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header2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C3351" w14:textId="2C31759B" w:rsidR="008C24E9" w:rsidRPr="00306559" w:rsidRDefault="001C1846" w:rsidP="00124924">
      <w:pPr>
        <w:pStyle w:val="HeadingCoverPage"/>
        <w:rPr>
          <w:color w:val="FFFFFF" w:themeColor="background1"/>
        </w:rPr>
      </w:pPr>
      <w:r w:rsidRPr="00306559">
        <w:rPr>
          <w:color w:val="FFFFFF" w:themeColor="background1"/>
        </w:rPr>
        <w:tab/>
      </w:r>
    </w:p>
    <w:p w14:paraId="3DBD9C81" w14:textId="20BB860C" w:rsidR="00E11C73" w:rsidRPr="00306559" w:rsidRDefault="000B7AB9" w:rsidP="00124924">
      <w:pPr>
        <w:pStyle w:val="HeadingCoverPage"/>
        <w:rPr>
          <w:color w:val="FFFFFF" w:themeColor="background1"/>
        </w:rPr>
      </w:pPr>
      <w:r w:rsidRPr="00306559">
        <w:rPr>
          <w:color w:val="FFFFFF" w:themeColor="background1"/>
        </w:rPr>
        <w:t>30 June 201</w:t>
      </w:r>
      <w:r w:rsidR="00EB61DD" w:rsidRPr="00306559">
        <w:rPr>
          <w:color w:val="FFFFFF" w:themeColor="background1"/>
        </w:rPr>
        <w:t>7</w:t>
      </w:r>
      <w:r w:rsidR="00124924" w:rsidRPr="00306559">
        <w:rPr>
          <w:color w:val="FFFFFF" w:themeColor="background1"/>
        </w:rPr>
        <w:br/>
      </w:r>
      <w:r w:rsidR="00E11C73" w:rsidRPr="00306559">
        <w:rPr>
          <w:color w:val="FFFFFF" w:themeColor="background1"/>
        </w:rPr>
        <w:t>Valuation</w:t>
      </w:r>
      <w:r w:rsidR="00591FD8" w:rsidRPr="00306559">
        <w:rPr>
          <w:color w:val="FFFFFF" w:themeColor="background1"/>
        </w:rPr>
        <w:t xml:space="preserve"> Report</w:t>
      </w:r>
    </w:p>
    <w:p w14:paraId="2E29DC81" w14:textId="77777777" w:rsidR="00E27E5B" w:rsidRPr="009210D0" w:rsidRDefault="00477399" w:rsidP="00124924">
      <w:pPr>
        <w:pStyle w:val="HeadingCoverPageSecondTitle"/>
      </w:pPr>
      <w:r w:rsidRPr="009210D0">
        <w:t>Department of Social Services</w:t>
      </w:r>
    </w:p>
    <w:p w14:paraId="16FCF9F6" w14:textId="77777777" w:rsidR="00965504" w:rsidRPr="002B2B33" w:rsidRDefault="00965504" w:rsidP="00965504">
      <w:pPr>
        <w:tabs>
          <w:tab w:val="left" w:pos="4356"/>
        </w:tabs>
        <w:jc w:val="center"/>
        <w:rPr>
          <w:sz w:val="16"/>
          <w:szCs w:val="36"/>
        </w:rPr>
      </w:pPr>
    </w:p>
    <w:p w14:paraId="70354187" w14:textId="4BFAC1BB" w:rsidR="0037036D" w:rsidRPr="009210D0" w:rsidRDefault="008D1AEB" w:rsidP="006F5EE4">
      <w:pPr>
        <w:tabs>
          <w:tab w:val="left" w:pos="4356"/>
        </w:tabs>
        <w:jc w:val="center"/>
        <w:rPr>
          <w:color w:val="FFFFFF" w:themeColor="background1"/>
          <w:sz w:val="36"/>
          <w:szCs w:val="36"/>
        </w:rPr>
      </w:pPr>
      <w:r>
        <w:rPr>
          <w:color w:val="FFFFFF" w:themeColor="background1"/>
          <w:sz w:val="36"/>
          <w:szCs w:val="36"/>
        </w:rPr>
        <w:t>Final Report</w:t>
      </w:r>
      <w:r w:rsidR="0037036D">
        <w:rPr>
          <w:color w:val="FFFFFF" w:themeColor="background1"/>
          <w:sz w:val="36"/>
          <w:szCs w:val="36"/>
        </w:rPr>
        <w:t xml:space="preserve"> 2018</w:t>
      </w:r>
    </w:p>
    <w:p w14:paraId="7AA5FA66" w14:textId="77777777" w:rsidR="00965504" w:rsidRPr="009210D0" w:rsidRDefault="00965504" w:rsidP="00965504"/>
    <w:p w14:paraId="4C841FD4" w14:textId="77777777" w:rsidR="001D6392" w:rsidRPr="009210D0" w:rsidRDefault="001D6392" w:rsidP="00965504">
      <w:pPr>
        <w:sectPr w:rsidR="001D6392" w:rsidRPr="009210D0" w:rsidSect="005714E3">
          <w:headerReference w:type="even" r:id="rId8"/>
          <w:headerReference w:type="default" r:id="rId9"/>
          <w:headerReference w:type="first" r:id="rId10"/>
          <w:footerReference w:type="first" r:id="rId11"/>
          <w:pgSz w:w="11907" w:h="16840" w:code="9"/>
          <w:pgMar w:top="2268" w:right="1021" w:bottom="1134" w:left="1021" w:header="397" w:footer="567" w:gutter="0"/>
          <w:pgNumType w:start="1"/>
          <w:cols w:space="708"/>
          <w:titlePg/>
          <w:docGrid w:linePitch="360"/>
        </w:sectPr>
      </w:pPr>
    </w:p>
    <w:p w14:paraId="03C5DCC3" w14:textId="77777777" w:rsidR="00522039" w:rsidRPr="009210D0" w:rsidRDefault="00522039" w:rsidP="00522039">
      <w:pPr>
        <w:pStyle w:val="ContentsPageTitle"/>
      </w:pPr>
      <w:bookmarkStart w:id="0" w:name="_Toc455503879"/>
      <w:r w:rsidRPr="009210D0">
        <w:lastRenderedPageBreak/>
        <w:t>Conten</w:t>
      </w:r>
      <w:bookmarkStart w:id="1" w:name="TOC"/>
      <w:bookmarkEnd w:id="1"/>
      <w:r w:rsidRPr="009210D0">
        <w:t>t</w:t>
      </w:r>
      <w:bookmarkStart w:id="2" w:name="SmallDoc"/>
      <w:bookmarkEnd w:id="2"/>
      <w:r w:rsidRPr="009210D0">
        <w:t>s</w:t>
      </w:r>
      <w:bookmarkEnd w:id="0"/>
    </w:p>
    <w:p w14:paraId="799B1C35" w14:textId="77777777" w:rsidR="000061F7" w:rsidRDefault="00522039">
      <w:pPr>
        <w:pStyle w:val="TOC1"/>
        <w:rPr>
          <w:rFonts w:eastAsiaTheme="minorEastAsia" w:cstheme="minorBidi"/>
          <w:b w:val="0"/>
          <w:snapToGrid/>
          <w:sz w:val="22"/>
          <w:szCs w:val="22"/>
          <w:lang w:eastAsia="en-AU"/>
        </w:rPr>
      </w:pPr>
      <w:r w:rsidRPr="009210D0">
        <w:rPr>
          <w:b w:val="0"/>
          <w:noProof w:val="0"/>
        </w:rPr>
        <w:fldChar w:fldCharType="begin"/>
      </w:r>
      <w:r w:rsidRPr="009210D0">
        <w:rPr>
          <w:b w:val="0"/>
          <w:noProof w:val="0"/>
        </w:rPr>
        <w:instrText xml:space="preserve"> TOC \o "1-1" \h \z \t "Heading 2,2,Heading 3,3,Appendix Number (Long),3,Please Note,2,Preface Title,2,Heading 2 No spacing,2,Heading 2 Chapter Heading,2" </w:instrText>
      </w:r>
      <w:r w:rsidRPr="009210D0">
        <w:rPr>
          <w:b w:val="0"/>
          <w:noProof w:val="0"/>
        </w:rPr>
        <w:fldChar w:fldCharType="separate"/>
      </w:r>
      <w:hyperlink w:anchor="_Toc506388191" w:history="1">
        <w:r w:rsidR="000061F7" w:rsidRPr="00D47648">
          <w:rPr>
            <w:rStyle w:val="Hyperlink"/>
          </w:rPr>
          <w:t>Part I: Executive summary</w:t>
        </w:r>
        <w:r w:rsidR="000061F7">
          <w:rPr>
            <w:webHidden/>
          </w:rPr>
          <w:tab/>
        </w:r>
        <w:r w:rsidR="000061F7">
          <w:rPr>
            <w:webHidden/>
          </w:rPr>
          <w:fldChar w:fldCharType="begin"/>
        </w:r>
        <w:r w:rsidR="000061F7">
          <w:rPr>
            <w:webHidden/>
          </w:rPr>
          <w:instrText xml:space="preserve"> PAGEREF _Toc506388191 \h </w:instrText>
        </w:r>
        <w:r w:rsidR="000061F7">
          <w:rPr>
            <w:webHidden/>
          </w:rPr>
        </w:r>
        <w:r w:rsidR="000061F7">
          <w:rPr>
            <w:webHidden/>
          </w:rPr>
          <w:fldChar w:fldCharType="separate"/>
        </w:r>
        <w:r w:rsidR="00C93C1A">
          <w:rPr>
            <w:webHidden/>
          </w:rPr>
          <w:t>1</w:t>
        </w:r>
        <w:r w:rsidR="000061F7">
          <w:rPr>
            <w:webHidden/>
          </w:rPr>
          <w:fldChar w:fldCharType="end"/>
        </w:r>
      </w:hyperlink>
    </w:p>
    <w:p w14:paraId="4E9618A9" w14:textId="77777777" w:rsidR="000061F7" w:rsidRDefault="00507428">
      <w:pPr>
        <w:pStyle w:val="TOC1"/>
        <w:rPr>
          <w:rFonts w:eastAsiaTheme="minorEastAsia" w:cstheme="minorBidi"/>
          <w:b w:val="0"/>
          <w:snapToGrid/>
          <w:sz w:val="22"/>
          <w:szCs w:val="22"/>
          <w:lang w:eastAsia="en-AU"/>
        </w:rPr>
      </w:pPr>
      <w:hyperlink w:anchor="_Toc506388192" w:history="1">
        <w:r w:rsidR="000061F7" w:rsidRPr="00D47648">
          <w:rPr>
            <w:rStyle w:val="Hyperlink"/>
          </w:rPr>
          <w:t>Part II: Valuation results</w:t>
        </w:r>
        <w:r w:rsidR="000061F7">
          <w:rPr>
            <w:webHidden/>
          </w:rPr>
          <w:tab/>
        </w:r>
        <w:r w:rsidR="000061F7">
          <w:rPr>
            <w:webHidden/>
          </w:rPr>
          <w:fldChar w:fldCharType="begin"/>
        </w:r>
        <w:r w:rsidR="000061F7">
          <w:rPr>
            <w:webHidden/>
          </w:rPr>
          <w:instrText xml:space="preserve"> PAGEREF _Toc506388192 \h </w:instrText>
        </w:r>
        <w:r w:rsidR="000061F7">
          <w:rPr>
            <w:webHidden/>
          </w:rPr>
        </w:r>
        <w:r w:rsidR="000061F7">
          <w:rPr>
            <w:webHidden/>
          </w:rPr>
          <w:fldChar w:fldCharType="separate"/>
        </w:r>
        <w:r w:rsidR="00C93C1A">
          <w:rPr>
            <w:webHidden/>
          </w:rPr>
          <w:t>16</w:t>
        </w:r>
        <w:r w:rsidR="000061F7">
          <w:rPr>
            <w:webHidden/>
          </w:rPr>
          <w:fldChar w:fldCharType="end"/>
        </w:r>
      </w:hyperlink>
    </w:p>
    <w:p w14:paraId="6F3CEB86" w14:textId="77777777" w:rsidR="000061F7" w:rsidRDefault="00507428">
      <w:pPr>
        <w:pStyle w:val="TOC2"/>
        <w:rPr>
          <w:rFonts w:eastAsiaTheme="minorEastAsia" w:cstheme="minorBidi"/>
          <w:b w:val="0"/>
          <w:snapToGrid/>
          <w:sz w:val="22"/>
          <w:szCs w:val="22"/>
          <w:lang w:eastAsia="en-AU"/>
        </w:rPr>
      </w:pPr>
      <w:hyperlink w:anchor="_Toc506388193" w:history="1">
        <w:r w:rsidR="000061F7" w:rsidRPr="00D47648">
          <w:rPr>
            <w:rStyle w:val="Hyperlink"/>
          </w:rPr>
          <w:t>1</w:t>
        </w:r>
        <w:r w:rsidR="000061F7">
          <w:rPr>
            <w:rFonts w:eastAsiaTheme="minorEastAsia" w:cstheme="minorBidi"/>
            <w:b w:val="0"/>
            <w:snapToGrid/>
            <w:sz w:val="22"/>
            <w:szCs w:val="22"/>
            <w:lang w:eastAsia="en-AU"/>
          </w:rPr>
          <w:tab/>
        </w:r>
        <w:r w:rsidR="000061F7" w:rsidRPr="00D47648">
          <w:rPr>
            <w:rStyle w:val="Hyperlink"/>
          </w:rPr>
          <w:t>Introduction</w:t>
        </w:r>
        <w:r w:rsidR="000061F7">
          <w:rPr>
            <w:webHidden/>
          </w:rPr>
          <w:tab/>
        </w:r>
        <w:r w:rsidR="000061F7">
          <w:rPr>
            <w:webHidden/>
          </w:rPr>
          <w:fldChar w:fldCharType="begin"/>
        </w:r>
        <w:r w:rsidR="000061F7">
          <w:rPr>
            <w:webHidden/>
          </w:rPr>
          <w:instrText xml:space="preserve"> PAGEREF _Toc506388193 \h </w:instrText>
        </w:r>
        <w:r w:rsidR="000061F7">
          <w:rPr>
            <w:webHidden/>
          </w:rPr>
        </w:r>
        <w:r w:rsidR="000061F7">
          <w:rPr>
            <w:webHidden/>
          </w:rPr>
          <w:fldChar w:fldCharType="separate"/>
        </w:r>
        <w:r w:rsidR="00C93C1A">
          <w:rPr>
            <w:webHidden/>
          </w:rPr>
          <w:t>17</w:t>
        </w:r>
        <w:r w:rsidR="000061F7">
          <w:rPr>
            <w:webHidden/>
          </w:rPr>
          <w:fldChar w:fldCharType="end"/>
        </w:r>
      </w:hyperlink>
    </w:p>
    <w:p w14:paraId="0F24759C" w14:textId="77777777" w:rsidR="000061F7" w:rsidRDefault="00507428">
      <w:pPr>
        <w:pStyle w:val="TOC3"/>
        <w:rPr>
          <w:rFonts w:eastAsiaTheme="minorEastAsia" w:cstheme="minorBidi"/>
          <w:snapToGrid/>
          <w:sz w:val="22"/>
          <w:szCs w:val="22"/>
          <w:lang w:eastAsia="en-AU"/>
        </w:rPr>
      </w:pPr>
      <w:hyperlink w:anchor="_Toc506388194" w:history="1">
        <w:r w:rsidR="000061F7" w:rsidRPr="00D47648">
          <w:rPr>
            <w:rStyle w:val="Hyperlink"/>
          </w:rPr>
          <w:t>1.1</w:t>
        </w:r>
        <w:r w:rsidR="000061F7">
          <w:rPr>
            <w:rFonts w:eastAsiaTheme="minorEastAsia" w:cstheme="minorBidi"/>
            <w:snapToGrid/>
            <w:sz w:val="22"/>
            <w:szCs w:val="22"/>
            <w:lang w:eastAsia="en-AU"/>
          </w:rPr>
          <w:tab/>
        </w:r>
        <w:r w:rsidR="000061F7" w:rsidRPr="00D47648">
          <w:rPr>
            <w:rStyle w:val="Hyperlink"/>
          </w:rPr>
          <w:t>Background and Introduction</w:t>
        </w:r>
        <w:r w:rsidR="000061F7">
          <w:rPr>
            <w:webHidden/>
          </w:rPr>
          <w:tab/>
        </w:r>
        <w:r w:rsidR="000061F7">
          <w:rPr>
            <w:webHidden/>
          </w:rPr>
          <w:fldChar w:fldCharType="begin"/>
        </w:r>
        <w:r w:rsidR="000061F7">
          <w:rPr>
            <w:webHidden/>
          </w:rPr>
          <w:instrText xml:space="preserve"> PAGEREF _Toc506388194 \h </w:instrText>
        </w:r>
        <w:r w:rsidR="000061F7">
          <w:rPr>
            <w:webHidden/>
          </w:rPr>
        </w:r>
        <w:r w:rsidR="000061F7">
          <w:rPr>
            <w:webHidden/>
          </w:rPr>
          <w:fldChar w:fldCharType="separate"/>
        </w:r>
        <w:r w:rsidR="00C93C1A">
          <w:rPr>
            <w:webHidden/>
          </w:rPr>
          <w:t>17</w:t>
        </w:r>
        <w:r w:rsidR="000061F7">
          <w:rPr>
            <w:webHidden/>
          </w:rPr>
          <w:fldChar w:fldCharType="end"/>
        </w:r>
      </w:hyperlink>
    </w:p>
    <w:p w14:paraId="04C093F4" w14:textId="77777777" w:rsidR="000061F7" w:rsidRDefault="00507428">
      <w:pPr>
        <w:pStyle w:val="TOC3"/>
        <w:rPr>
          <w:rFonts w:eastAsiaTheme="minorEastAsia" w:cstheme="minorBidi"/>
          <w:snapToGrid/>
          <w:sz w:val="22"/>
          <w:szCs w:val="22"/>
          <w:lang w:eastAsia="en-AU"/>
        </w:rPr>
      </w:pPr>
      <w:hyperlink w:anchor="_Toc506388195" w:history="1">
        <w:r w:rsidR="000061F7" w:rsidRPr="00D47648">
          <w:rPr>
            <w:rStyle w:val="Hyperlink"/>
          </w:rPr>
          <w:t>1.2</w:t>
        </w:r>
        <w:r w:rsidR="000061F7">
          <w:rPr>
            <w:rFonts w:eastAsiaTheme="minorEastAsia" w:cstheme="minorBidi"/>
            <w:snapToGrid/>
            <w:sz w:val="22"/>
            <w:szCs w:val="22"/>
            <w:lang w:eastAsia="en-AU"/>
          </w:rPr>
          <w:tab/>
        </w:r>
        <w:r w:rsidR="000061F7" w:rsidRPr="00D47648">
          <w:rPr>
            <w:rStyle w:val="Hyperlink"/>
          </w:rPr>
          <w:t>Summary of June 2017 valuation model</w:t>
        </w:r>
        <w:r w:rsidR="000061F7">
          <w:rPr>
            <w:webHidden/>
          </w:rPr>
          <w:tab/>
        </w:r>
        <w:r w:rsidR="000061F7">
          <w:rPr>
            <w:webHidden/>
          </w:rPr>
          <w:fldChar w:fldCharType="begin"/>
        </w:r>
        <w:r w:rsidR="000061F7">
          <w:rPr>
            <w:webHidden/>
          </w:rPr>
          <w:instrText xml:space="preserve"> PAGEREF _Toc506388195 \h </w:instrText>
        </w:r>
        <w:r w:rsidR="000061F7">
          <w:rPr>
            <w:webHidden/>
          </w:rPr>
        </w:r>
        <w:r w:rsidR="000061F7">
          <w:rPr>
            <w:webHidden/>
          </w:rPr>
          <w:fldChar w:fldCharType="separate"/>
        </w:r>
        <w:r w:rsidR="00C93C1A">
          <w:rPr>
            <w:webHidden/>
          </w:rPr>
          <w:t>17</w:t>
        </w:r>
        <w:r w:rsidR="000061F7">
          <w:rPr>
            <w:webHidden/>
          </w:rPr>
          <w:fldChar w:fldCharType="end"/>
        </w:r>
      </w:hyperlink>
    </w:p>
    <w:p w14:paraId="6AF8A68B" w14:textId="77777777" w:rsidR="000061F7" w:rsidRDefault="00507428">
      <w:pPr>
        <w:pStyle w:val="TOC3"/>
        <w:rPr>
          <w:rFonts w:eastAsiaTheme="minorEastAsia" w:cstheme="minorBidi"/>
          <w:snapToGrid/>
          <w:sz w:val="22"/>
          <w:szCs w:val="22"/>
          <w:lang w:eastAsia="en-AU"/>
        </w:rPr>
      </w:pPr>
      <w:hyperlink w:anchor="_Toc506388196" w:history="1">
        <w:r w:rsidR="000061F7" w:rsidRPr="00D47648">
          <w:rPr>
            <w:rStyle w:val="Hyperlink"/>
          </w:rPr>
          <w:t>1.3</w:t>
        </w:r>
        <w:r w:rsidR="000061F7">
          <w:rPr>
            <w:rFonts w:eastAsiaTheme="minorEastAsia" w:cstheme="minorBidi"/>
            <w:snapToGrid/>
            <w:sz w:val="22"/>
            <w:szCs w:val="22"/>
            <w:lang w:eastAsia="en-AU"/>
          </w:rPr>
          <w:tab/>
        </w:r>
        <w:r w:rsidR="000061F7" w:rsidRPr="00D47648">
          <w:rPr>
            <w:rStyle w:val="Hyperlink"/>
          </w:rPr>
          <w:t>Model uses</w:t>
        </w:r>
        <w:r w:rsidR="000061F7">
          <w:rPr>
            <w:webHidden/>
          </w:rPr>
          <w:tab/>
        </w:r>
        <w:r w:rsidR="000061F7">
          <w:rPr>
            <w:webHidden/>
          </w:rPr>
          <w:fldChar w:fldCharType="begin"/>
        </w:r>
        <w:r w:rsidR="000061F7">
          <w:rPr>
            <w:webHidden/>
          </w:rPr>
          <w:instrText xml:space="preserve"> PAGEREF _Toc506388196 \h </w:instrText>
        </w:r>
        <w:r w:rsidR="000061F7">
          <w:rPr>
            <w:webHidden/>
          </w:rPr>
        </w:r>
        <w:r w:rsidR="000061F7">
          <w:rPr>
            <w:webHidden/>
          </w:rPr>
          <w:fldChar w:fldCharType="separate"/>
        </w:r>
        <w:r w:rsidR="00C93C1A">
          <w:rPr>
            <w:webHidden/>
          </w:rPr>
          <w:t>19</w:t>
        </w:r>
        <w:r w:rsidR="000061F7">
          <w:rPr>
            <w:webHidden/>
          </w:rPr>
          <w:fldChar w:fldCharType="end"/>
        </w:r>
      </w:hyperlink>
    </w:p>
    <w:p w14:paraId="601A1775" w14:textId="77777777" w:rsidR="000061F7" w:rsidRDefault="00507428">
      <w:pPr>
        <w:pStyle w:val="TOC3"/>
        <w:rPr>
          <w:rFonts w:eastAsiaTheme="minorEastAsia" w:cstheme="minorBidi"/>
          <w:snapToGrid/>
          <w:sz w:val="22"/>
          <w:szCs w:val="22"/>
          <w:lang w:eastAsia="en-AU"/>
        </w:rPr>
      </w:pPr>
      <w:hyperlink w:anchor="_Toc506388197" w:history="1">
        <w:r w:rsidR="000061F7" w:rsidRPr="00D47648">
          <w:rPr>
            <w:rStyle w:val="Hyperlink"/>
          </w:rPr>
          <w:t>1.4</w:t>
        </w:r>
        <w:r w:rsidR="000061F7">
          <w:rPr>
            <w:rFonts w:eastAsiaTheme="minorEastAsia" w:cstheme="minorBidi"/>
            <w:snapToGrid/>
            <w:sz w:val="22"/>
            <w:szCs w:val="22"/>
            <w:lang w:eastAsia="en-AU"/>
          </w:rPr>
          <w:tab/>
        </w:r>
        <w:r w:rsidR="000061F7" w:rsidRPr="00D47648">
          <w:rPr>
            <w:rStyle w:val="Hyperlink"/>
          </w:rPr>
          <w:t>Model limitations</w:t>
        </w:r>
        <w:r w:rsidR="000061F7">
          <w:rPr>
            <w:webHidden/>
          </w:rPr>
          <w:tab/>
        </w:r>
        <w:r w:rsidR="000061F7">
          <w:rPr>
            <w:webHidden/>
          </w:rPr>
          <w:fldChar w:fldCharType="begin"/>
        </w:r>
        <w:r w:rsidR="000061F7">
          <w:rPr>
            <w:webHidden/>
          </w:rPr>
          <w:instrText xml:space="preserve"> PAGEREF _Toc506388197 \h </w:instrText>
        </w:r>
        <w:r w:rsidR="000061F7">
          <w:rPr>
            <w:webHidden/>
          </w:rPr>
        </w:r>
        <w:r w:rsidR="000061F7">
          <w:rPr>
            <w:webHidden/>
          </w:rPr>
          <w:fldChar w:fldCharType="separate"/>
        </w:r>
        <w:r w:rsidR="00C93C1A">
          <w:rPr>
            <w:webHidden/>
          </w:rPr>
          <w:t>20</w:t>
        </w:r>
        <w:r w:rsidR="000061F7">
          <w:rPr>
            <w:webHidden/>
          </w:rPr>
          <w:fldChar w:fldCharType="end"/>
        </w:r>
      </w:hyperlink>
    </w:p>
    <w:p w14:paraId="6402D22C" w14:textId="77777777" w:rsidR="000061F7" w:rsidRDefault="00507428">
      <w:pPr>
        <w:pStyle w:val="TOC3"/>
        <w:rPr>
          <w:rFonts w:eastAsiaTheme="minorEastAsia" w:cstheme="minorBidi"/>
          <w:snapToGrid/>
          <w:sz w:val="22"/>
          <w:szCs w:val="22"/>
          <w:lang w:eastAsia="en-AU"/>
        </w:rPr>
      </w:pPr>
      <w:hyperlink w:anchor="_Toc506388198" w:history="1">
        <w:r w:rsidR="000061F7" w:rsidRPr="00D47648">
          <w:rPr>
            <w:rStyle w:val="Hyperlink"/>
          </w:rPr>
          <w:t>1.5</w:t>
        </w:r>
        <w:r w:rsidR="000061F7">
          <w:rPr>
            <w:rFonts w:eastAsiaTheme="minorEastAsia" w:cstheme="minorBidi"/>
            <w:snapToGrid/>
            <w:sz w:val="22"/>
            <w:szCs w:val="22"/>
            <w:lang w:eastAsia="en-AU"/>
          </w:rPr>
          <w:tab/>
        </w:r>
        <w:r w:rsidR="000061F7" w:rsidRPr="00D47648">
          <w:rPr>
            <w:rStyle w:val="Hyperlink"/>
          </w:rPr>
          <w:t>Reliances</w:t>
        </w:r>
        <w:r w:rsidR="000061F7">
          <w:rPr>
            <w:webHidden/>
          </w:rPr>
          <w:tab/>
        </w:r>
        <w:r w:rsidR="000061F7">
          <w:rPr>
            <w:webHidden/>
          </w:rPr>
          <w:fldChar w:fldCharType="begin"/>
        </w:r>
        <w:r w:rsidR="000061F7">
          <w:rPr>
            <w:webHidden/>
          </w:rPr>
          <w:instrText xml:space="preserve"> PAGEREF _Toc506388198 \h </w:instrText>
        </w:r>
        <w:r w:rsidR="000061F7">
          <w:rPr>
            <w:webHidden/>
          </w:rPr>
        </w:r>
        <w:r w:rsidR="000061F7">
          <w:rPr>
            <w:webHidden/>
          </w:rPr>
          <w:fldChar w:fldCharType="separate"/>
        </w:r>
        <w:r w:rsidR="00C93C1A">
          <w:rPr>
            <w:webHidden/>
          </w:rPr>
          <w:t>20</w:t>
        </w:r>
        <w:r w:rsidR="000061F7">
          <w:rPr>
            <w:webHidden/>
          </w:rPr>
          <w:fldChar w:fldCharType="end"/>
        </w:r>
      </w:hyperlink>
    </w:p>
    <w:p w14:paraId="5B45C6B0" w14:textId="77777777" w:rsidR="000061F7" w:rsidRDefault="00507428">
      <w:pPr>
        <w:pStyle w:val="TOC3"/>
        <w:rPr>
          <w:rFonts w:eastAsiaTheme="minorEastAsia" w:cstheme="minorBidi"/>
          <w:snapToGrid/>
          <w:sz w:val="22"/>
          <w:szCs w:val="22"/>
          <w:lang w:eastAsia="en-AU"/>
        </w:rPr>
      </w:pPr>
      <w:hyperlink w:anchor="_Toc506388199" w:history="1">
        <w:r w:rsidR="000061F7" w:rsidRPr="00D47648">
          <w:rPr>
            <w:rStyle w:val="Hyperlink"/>
          </w:rPr>
          <w:t>1.6</w:t>
        </w:r>
        <w:r w:rsidR="000061F7">
          <w:rPr>
            <w:rFonts w:eastAsiaTheme="minorEastAsia" w:cstheme="minorBidi"/>
            <w:snapToGrid/>
            <w:sz w:val="22"/>
            <w:szCs w:val="22"/>
            <w:lang w:eastAsia="en-AU"/>
          </w:rPr>
          <w:tab/>
        </w:r>
        <w:r w:rsidR="000061F7" w:rsidRPr="00D47648">
          <w:rPr>
            <w:rStyle w:val="Hyperlink"/>
          </w:rPr>
          <w:t>Professional standards</w:t>
        </w:r>
        <w:r w:rsidR="000061F7">
          <w:rPr>
            <w:webHidden/>
          </w:rPr>
          <w:tab/>
        </w:r>
        <w:r w:rsidR="000061F7">
          <w:rPr>
            <w:webHidden/>
          </w:rPr>
          <w:fldChar w:fldCharType="begin"/>
        </w:r>
        <w:r w:rsidR="000061F7">
          <w:rPr>
            <w:webHidden/>
          </w:rPr>
          <w:instrText xml:space="preserve"> PAGEREF _Toc506388199 \h </w:instrText>
        </w:r>
        <w:r w:rsidR="000061F7">
          <w:rPr>
            <w:webHidden/>
          </w:rPr>
        </w:r>
        <w:r w:rsidR="000061F7">
          <w:rPr>
            <w:webHidden/>
          </w:rPr>
          <w:fldChar w:fldCharType="separate"/>
        </w:r>
        <w:r w:rsidR="00C93C1A">
          <w:rPr>
            <w:webHidden/>
          </w:rPr>
          <w:t>20</w:t>
        </w:r>
        <w:r w:rsidR="000061F7">
          <w:rPr>
            <w:webHidden/>
          </w:rPr>
          <w:fldChar w:fldCharType="end"/>
        </w:r>
      </w:hyperlink>
    </w:p>
    <w:p w14:paraId="1EE42C93" w14:textId="77777777" w:rsidR="000061F7" w:rsidRDefault="00507428">
      <w:pPr>
        <w:pStyle w:val="TOC2"/>
        <w:rPr>
          <w:rFonts w:eastAsiaTheme="minorEastAsia" w:cstheme="minorBidi"/>
          <w:b w:val="0"/>
          <w:snapToGrid/>
          <w:sz w:val="22"/>
          <w:szCs w:val="22"/>
          <w:lang w:eastAsia="en-AU"/>
        </w:rPr>
      </w:pPr>
      <w:hyperlink w:anchor="_Toc506388200" w:history="1">
        <w:r w:rsidR="000061F7" w:rsidRPr="00D47648">
          <w:rPr>
            <w:rStyle w:val="Hyperlink"/>
          </w:rPr>
          <w:t>2</w:t>
        </w:r>
        <w:r w:rsidR="000061F7">
          <w:rPr>
            <w:rFonts w:eastAsiaTheme="minorEastAsia" w:cstheme="minorBidi"/>
            <w:b w:val="0"/>
            <w:snapToGrid/>
            <w:sz w:val="22"/>
            <w:szCs w:val="22"/>
            <w:lang w:eastAsia="en-AU"/>
          </w:rPr>
          <w:tab/>
        </w:r>
        <w:r w:rsidR="000061F7" w:rsidRPr="00D47648">
          <w:rPr>
            <w:rStyle w:val="Hyperlink"/>
          </w:rPr>
          <w:t>Developments and new insights</w:t>
        </w:r>
        <w:r w:rsidR="000061F7">
          <w:rPr>
            <w:webHidden/>
          </w:rPr>
          <w:tab/>
        </w:r>
        <w:r w:rsidR="000061F7">
          <w:rPr>
            <w:webHidden/>
          </w:rPr>
          <w:fldChar w:fldCharType="begin"/>
        </w:r>
        <w:r w:rsidR="000061F7">
          <w:rPr>
            <w:webHidden/>
          </w:rPr>
          <w:instrText xml:space="preserve"> PAGEREF _Toc506388200 \h </w:instrText>
        </w:r>
        <w:r w:rsidR="000061F7">
          <w:rPr>
            <w:webHidden/>
          </w:rPr>
        </w:r>
        <w:r w:rsidR="000061F7">
          <w:rPr>
            <w:webHidden/>
          </w:rPr>
          <w:fldChar w:fldCharType="separate"/>
        </w:r>
        <w:r w:rsidR="00C93C1A">
          <w:rPr>
            <w:webHidden/>
          </w:rPr>
          <w:t>21</w:t>
        </w:r>
        <w:r w:rsidR="000061F7">
          <w:rPr>
            <w:webHidden/>
          </w:rPr>
          <w:fldChar w:fldCharType="end"/>
        </w:r>
      </w:hyperlink>
    </w:p>
    <w:p w14:paraId="328EC6B0" w14:textId="77777777" w:rsidR="000061F7" w:rsidRDefault="00507428">
      <w:pPr>
        <w:pStyle w:val="TOC3"/>
        <w:rPr>
          <w:rFonts w:eastAsiaTheme="minorEastAsia" w:cstheme="minorBidi"/>
          <w:snapToGrid/>
          <w:sz w:val="22"/>
          <w:szCs w:val="22"/>
          <w:lang w:eastAsia="en-AU"/>
        </w:rPr>
      </w:pPr>
      <w:hyperlink w:anchor="_Toc506388201" w:history="1">
        <w:r w:rsidR="000061F7" w:rsidRPr="00D47648">
          <w:rPr>
            <w:rStyle w:val="Hyperlink"/>
          </w:rPr>
          <w:t>2.1</w:t>
        </w:r>
        <w:r w:rsidR="000061F7">
          <w:rPr>
            <w:rFonts w:eastAsiaTheme="minorEastAsia" w:cstheme="minorBidi"/>
            <w:snapToGrid/>
            <w:sz w:val="22"/>
            <w:szCs w:val="22"/>
            <w:lang w:eastAsia="en-AU"/>
          </w:rPr>
          <w:tab/>
        </w:r>
        <w:r w:rsidR="000061F7" w:rsidRPr="00D47648">
          <w:rPr>
            <w:rStyle w:val="Hyperlink"/>
          </w:rPr>
          <w:t>Overview of model developments for the 2017 valuation</w:t>
        </w:r>
        <w:r w:rsidR="000061F7">
          <w:rPr>
            <w:webHidden/>
          </w:rPr>
          <w:tab/>
        </w:r>
        <w:r w:rsidR="000061F7">
          <w:rPr>
            <w:webHidden/>
          </w:rPr>
          <w:fldChar w:fldCharType="begin"/>
        </w:r>
        <w:r w:rsidR="000061F7">
          <w:rPr>
            <w:webHidden/>
          </w:rPr>
          <w:instrText xml:space="preserve"> PAGEREF _Toc506388201 \h </w:instrText>
        </w:r>
        <w:r w:rsidR="000061F7">
          <w:rPr>
            <w:webHidden/>
          </w:rPr>
        </w:r>
        <w:r w:rsidR="000061F7">
          <w:rPr>
            <w:webHidden/>
          </w:rPr>
          <w:fldChar w:fldCharType="separate"/>
        </w:r>
        <w:r w:rsidR="00C93C1A">
          <w:rPr>
            <w:webHidden/>
          </w:rPr>
          <w:t>22</w:t>
        </w:r>
        <w:r w:rsidR="000061F7">
          <w:rPr>
            <w:webHidden/>
          </w:rPr>
          <w:fldChar w:fldCharType="end"/>
        </w:r>
      </w:hyperlink>
    </w:p>
    <w:p w14:paraId="2A692C20" w14:textId="77777777" w:rsidR="000061F7" w:rsidRDefault="00507428">
      <w:pPr>
        <w:pStyle w:val="TOC3"/>
        <w:rPr>
          <w:rFonts w:eastAsiaTheme="minorEastAsia" w:cstheme="minorBidi"/>
          <w:snapToGrid/>
          <w:sz w:val="22"/>
          <w:szCs w:val="22"/>
          <w:lang w:eastAsia="en-AU"/>
        </w:rPr>
      </w:pPr>
      <w:hyperlink w:anchor="_Toc506388202" w:history="1">
        <w:r w:rsidR="000061F7" w:rsidRPr="00D47648">
          <w:rPr>
            <w:rStyle w:val="Hyperlink"/>
          </w:rPr>
          <w:t>2.2</w:t>
        </w:r>
        <w:r w:rsidR="000061F7">
          <w:rPr>
            <w:rFonts w:eastAsiaTheme="minorEastAsia" w:cstheme="minorBidi"/>
            <w:snapToGrid/>
            <w:sz w:val="22"/>
            <w:szCs w:val="22"/>
            <w:lang w:eastAsia="en-AU"/>
          </w:rPr>
          <w:tab/>
        </w:r>
        <w:r w:rsidR="000061F7" w:rsidRPr="00D47648">
          <w:rPr>
            <w:rStyle w:val="Hyperlink"/>
          </w:rPr>
          <w:t>Intergenerational welfare dependence</w:t>
        </w:r>
        <w:r w:rsidR="000061F7">
          <w:rPr>
            <w:webHidden/>
          </w:rPr>
          <w:tab/>
        </w:r>
        <w:r w:rsidR="000061F7">
          <w:rPr>
            <w:webHidden/>
          </w:rPr>
          <w:fldChar w:fldCharType="begin"/>
        </w:r>
        <w:r w:rsidR="000061F7">
          <w:rPr>
            <w:webHidden/>
          </w:rPr>
          <w:instrText xml:space="preserve"> PAGEREF _Toc506388202 \h </w:instrText>
        </w:r>
        <w:r w:rsidR="000061F7">
          <w:rPr>
            <w:webHidden/>
          </w:rPr>
        </w:r>
        <w:r w:rsidR="000061F7">
          <w:rPr>
            <w:webHidden/>
          </w:rPr>
          <w:fldChar w:fldCharType="separate"/>
        </w:r>
        <w:r w:rsidR="00C93C1A">
          <w:rPr>
            <w:webHidden/>
          </w:rPr>
          <w:t>23</w:t>
        </w:r>
        <w:r w:rsidR="000061F7">
          <w:rPr>
            <w:webHidden/>
          </w:rPr>
          <w:fldChar w:fldCharType="end"/>
        </w:r>
      </w:hyperlink>
    </w:p>
    <w:p w14:paraId="1FCE8777" w14:textId="77777777" w:rsidR="000061F7" w:rsidRDefault="00507428">
      <w:pPr>
        <w:pStyle w:val="TOC3"/>
        <w:rPr>
          <w:rFonts w:eastAsiaTheme="minorEastAsia" w:cstheme="minorBidi"/>
          <w:snapToGrid/>
          <w:sz w:val="22"/>
          <w:szCs w:val="22"/>
          <w:lang w:eastAsia="en-AU"/>
        </w:rPr>
      </w:pPr>
      <w:hyperlink w:anchor="_Toc506388203" w:history="1">
        <w:r w:rsidR="000061F7" w:rsidRPr="00D47648">
          <w:rPr>
            <w:rStyle w:val="Hyperlink"/>
          </w:rPr>
          <w:t>2.3</w:t>
        </w:r>
        <w:r w:rsidR="000061F7">
          <w:rPr>
            <w:rFonts w:eastAsiaTheme="minorEastAsia" w:cstheme="minorBidi"/>
            <w:snapToGrid/>
            <w:sz w:val="22"/>
            <w:szCs w:val="22"/>
            <w:lang w:eastAsia="en-AU"/>
          </w:rPr>
          <w:tab/>
        </w:r>
        <w:r w:rsidR="000061F7" w:rsidRPr="00D47648">
          <w:rPr>
            <w:rStyle w:val="Hyperlink"/>
          </w:rPr>
          <w:t>Education sector</w:t>
        </w:r>
        <w:r w:rsidR="000061F7">
          <w:rPr>
            <w:webHidden/>
          </w:rPr>
          <w:tab/>
        </w:r>
        <w:r w:rsidR="000061F7">
          <w:rPr>
            <w:webHidden/>
          </w:rPr>
          <w:fldChar w:fldCharType="begin"/>
        </w:r>
        <w:r w:rsidR="000061F7">
          <w:rPr>
            <w:webHidden/>
          </w:rPr>
          <w:instrText xml:space="preserve"> PAGEREF _Toc506388203 \h </w:instrText>
        </w:r>
        <w:r w:rsidR="000061F7">
          <w:rPr>
            <w:webHidden/>
          </w:rPr>
        </w:r>
        <w:r w:rsidR="000061F7">
          <w:rPr>
            <w:webHidden/>
          </w:rPr>
          <w:fldChar w:fldCharType="separate"/>
        </w:r>
        <w:r w:rsidR="00C93C1A">
          <w:rPr>
            <w:webHidden/>
          </w:rPr>
          <w:t>28</w:t>
        </w:r>
        <w:r w:rsidR="000061F7">
          <w:rPr>
            <w:webHidden/>
          </w:rPr>
          <w:fldChar w:fldCharType="end"/>
        </w:r>
      </w:hyperlink>
    </w:p>
    <w:p w14:paraId="512FB0C7" w14:textId="77777777" w:rsidR="000061F7" w:rsidRDefault="00507428">
      <w:pPr>
        <w:pStyle w:val="TOC3"/>
        <w:rPr>
          <w:rFonts w:eastAsiaTheme="minorEastAsia" w:cstheme="minorBidi"/>
          <w:snapToGrid/>
          <w:sz w:val="22"/>
          <w:szCs w:val="22"/>
          <w:lang w:eastAsia="en-AU"/>
        </w:rPr>
      </w:pPr>
      <w:hyperlink w:anchor="_Toc506388204" w:history="1">
        <w:r w:rsidR="000061F7" w:rsidRPr="00D47648">
          <w:rPr>
            <w:rStyle w:val="Hyperlink"/>
          </w:rPr>
          <w:t>2.4</w:t>
        </w:r>
        <w:r w:rsidR="000061F7">
          <w:rPr>
            <w:rFonts w:eastAsiaTheme="minorEastAsia" w:cstheme="minorBidi"/>
            <w:snapToGrid/>
            <w:sz w:val="22"/>
            <w:szCs w:val="22"/>
            <w:lang w:eastAsia="en-AU"/>
          </w:rPr>
          <w:tab/>
        </w:r>
        <w:r w:rsidR="000061F7" w:rsidRPr="00D47648">
          <w:rPr>
            <w:rStyle w:val="Hyperlink"/>
          </w:rPr>
          <w:t>Barriers to work</w:t>
        </w:r>
        <w:r w:rsidR="000061F7">
          <w:rPr>
            <w:webHidden/>
          </w:rPr>
          <w:tab/>
        </w:r>
        <w:r w:rsidR="000061F7">
          <w:rPr>
            <w:webHidden/>
          </w:rPr>
          <w:fldChar w:fldCharType="begin"/>
        </w:r>
        <w:r w:rsidR="000061F7">
          <w:rPr>
            <w:webHidden/>
          </w:rPr>
          <w:instrText xml:space="preserve"> PAGEREF _Toc506388204 \h </w:instrText>
        </w:r>
        <w:r w:rsidR="000061F7">
          <w:rPr>
            <w:webHidden/>
          </w:rPr>
        </w:r>
        <w:r w:rsidR="000061F7">
          <w:rPr>
            <w:webHidden/>
          </w:rPr>
          <w:fldChar w:fldCharType="separate"/>
        </w:r>
        <w:r w:rsidR="00C93C1A">
          <w:rPr>
            <w:webHidden/>
          </w:rPr>
          <w:t>31</w:t>
        </w:r>
        <w:r w:rsidR="000061F7">
          <w:rPr>
            <w:webHidden/>
          </w:rPr>
          <w:fldChar w:fldCharType="end"/>
        </w:r>
      </w:hyperlink>
    </w:p>
    <w:p w14:paraId="2D9DA640" w14:textId="77777777" w:rsidR="000061F7" w:rsidRDefault="00507428">
      <w:pPr>
        <w:pStyle w:val="TOC3"/>
        <w:rPr>
          <w:rFonts w:eastAsiaTheme="minorEastAsia" w:cstheme="minorBidi"/>
          <w:snapToGrid/>
          <w:sz w:val="22"/>
          <w:szCs w:val="22"/>
          <w:lang w:eastAsia="en-AU"/>
        </w:rPr>
      </w:pPr>
      <w:hyperlink w:anchor="_Toc506388205" w:history="1">
        <w:r w:rsidR="000061F7" w:rsidRPr="00D47648">
          <w:rPr>
            <w:rStyle w:val="Hyperlink"/>
          </w:rPr>
          <w:t>2.5</w:t>
        </w:r>
        <w:r w:rsidR="000061F7">
          <w:rPr>
            <w:rFonts w:eastAsiaTheme="minorEastAsia" w:cstheme="minorBidi"/>
            <w:snapToGrid/>
            <w:sz w:val="22"/>
            <w:szCs w:val="22"/>
            <w:lang w:eastAsia="en-AU"/>
          </w:rPr>
          <w:tab/>
        </w:r>
        <w:r w:rsidR="000061F7" w:rsidRPr="00D47648">
          <w:rPr>
            <w:rStyle w:val="Hyperlink"/>
          </w:rPr>
          <w:t>Family units</w:t>
        </w:r>
        <w:r w:rsidR="000061F7">
          <w:rPr>
            <w:webHidden/>
          </w:rPr>
          <w:tab/>
        </w:r>
        <w:r w:rsidR="000061F7">
          <w:rPr>
            <w:webHidden/>
          </w:rPr>
          <w:fldChar w:fldCharType="begin"/>
        </w:r>
        <w:r w:rsidR="000061F7">
          <w:rPr>
            <w:webHidden/>
          </w:rPr>
          <w:instrText xml:space="preserve"> PAGEREF _Toc506388205 \h </w:instrText>
        </w:r>
        <w:r w:rsidR="000061F7">
          <w:rPr>
            <w:webHidden/>
          </w:rPr>
        </w:r>
        <w:r w:rsidR="000061F7">
          <w:rPr>
            <w:webHidden/>
          </w:rPr>
          <w:fldChar w:fldCharType="separate"/>
        </w:r>
        <w:r w:rsidR="00C93C1A">
          <w:rPr>
            <w:webHidden/>
          </w:rPr>
          <w:t>36</w:t>
        </w:r>
        <w:r w:rsidR="000061F7">
          <w:rPr>
            <w:webHidden/>
          </w:rPr>
          <w:fldChar w:fldCharType="end"/>
        </w:r>
      </w:hyperlink>
    </w:p>
    <w:p w14:paraId="13FFA491" w14:textId="77777777" w:rsidR="000061F7" w:rsidRDefault="00507428">
      <w:pPr>
        <w:pStyle w:val="TOC3"/>
        <w:rPr>
          <w:rFonts w:eastAsiaTheme="minorEastAsia" w:cstheme="minorBidi"/>
          <w:snapToGrid/>
          <w:sz w:val="22"/>
          <w:szCs w:val="22"/>
          <w:lang w:eastAsia="en-AU"/>
        </w:rPr>
      </w:pPr>
      <w:hyperlink w:anchor="_Toc506388206" w:history="1">
        <w:r w:rsidR="000061F7" w:rsidRPr="00D47648">
          <w:rPr>
            <w:rStyle w:val="Hyperlink"/>
          </w:rPr>
          <w:t>2.6</w:t>
        </w:r>
        <w:r w:rsidR="000061F7">
          <w:rPr>
            <w:rFonts w:eastAsiaTheme="minorEastAsia" w:cstheme="minorBidi"/>
            <w:snapToGrid/>
            <w:sz w:val="22"/>
            <w:szCs w:val="22"/>
            <w:lang w:eastAsia="en-AU"/>
          </w:rPr>
          <w:tab/>
        </w:r>
        <w:r w:rsidR="000061F7" w:rsidRPr="00D47648">
          <w:rPr>
            <w:rStyle w:val="Hyperlink"/>
          </w:rPr>
          <w:t>Drivers of lifetime cost</w:t>
        </w:r>
        <w:r w:rsidR="000061F7">
          <w:rPr>
            <w:webHidden/>
          </w:rPr>
          <w:tab/>
        </w:r>
        <w:r w:rsidR="000061F7">
          <w:rPr>
            <w:webHidden/>
          </w:rPr>
          <w:fldChar w:fldCharType="begin"/>
        </w:r>
        <w:r w:rsidR="000061F7">
          <w:rPr>
            <w:webHidden/>
          </w:rPr>
          <w:instrText xml:space="preserve"> PAGEREF _Toc506388206 \h </w:instrText>
        </w:r>
        <w:r w:rsidR="000061F7">
          <w:rPr>
            <w:webHidden/>
          </w:rPr>
        </w:r>
        <w:r w:rsidR="000061F7">
          <w:rPr>
            <w:webHidden/>
          </w:rPr>
          <w:fldChar w:fldCharType="separate"/>
        </w:r>
        <w:r w:rsidR="00C93C1A">
          <w:rPr>
            <w:webHidden/>
          </w:rPr>
          <w:t>40</w:t>
        </w:r>
        <w:r w:rsidR="000061F7">
          <w:rPr>
            <w:webHidden/>
          </w:rPr>
          <w:fldChar w:fldCharType="end"/>
        </w:r>
      </w:hyperlink>
    </w:p>
    <w:p w14:paraId="515914CF" w14:textId="77777777" w:rsidR="000061F7" w:rsidRDefault="00507428">
      <w:pPr>
        <w:pStyle w:val="TOC3"/>
        <w:rPr>
          <w:rFonts w:eastAsiaTheme="minorEastAsia" w:cstheme="minorBidi"/>
          <w:snapToGrid/>
          <w:sz w:val="22"/>
          <w:szCs w:val="22"/>
          <w:lang w:eastAsia="en-AU"/>
        </w:rPr>
      </w:pPr>
      <w:hyperlink w:anchor="_Toc506388207" w:history="1">
        <w:r w:rsidR="000061F7" w:rsidRPr="00D47648">
          <w:rPr>
            <w:rStyle w:val="Hyperlink"/>
          </w:rPr>
          <w:t>2.7</w:t>
        </w:r>
        <w:r w:rsidR="000061F7">
          <w:rPr>
            <w:rFonts w:eastAsiaTheme="minorEastAsia" w:cstheme="minorBidi"/>
            <w:snapToGrid/>
            <w:sz w:val="22"/>
            <w:szCs w:val="22"/>
            <w:lang w:eastAsia="en-AU"/>
          </w:rPr>
          <w:tab/>
        </w:r>
        <w:r w:rsidR="000061F7" w:rsidRPr="00D47648">
          <w:rPr>
            <w:rStyle w:val="Hyperlink"/>
          </w:rPr>
          <w:t>Distribution of average lifetime cost</w:t>
        </w:r>
        <w:r w:rsidR="000061F7">
          <w:rPr>
            <w:webHidden/>
          </w:rPr>
          <w:tab/>
        </w:r>
        <w:r w:rsidR="000061F7">
          <w:rPr>
            <w:webHidden/>
          </w:rPr>
          <w:fldChar w:fldCharType="begin"/>
        </w:r>
        <w:r w:rsidR="000061F7">
          <w:rPr>
            <w:webHidden/>
          </w:rPr>
          <w:instrText xml:space="preserve"> PAGEREF _Toc506388207 \h </w:instrText>
        </w:r>
        <w:r w:rsidR="000061F7">
          <w:rPr>
            <w:webHidden/>
          </w:rPr>
        </w:r>
        <w:r w:rsidR="000061F7">
          <w:rPr>
            <w:webHidden/>
          </w:rPr>
          <w:fldChar w:fldCharType="separate"/>
        </w:r>
        <w:r w:rsidR="00C93C1A">
          <w:rPr>
            <w:webHidden/>
          </w:rPr>
          <w:t>44</w:t>
        </w:r>
        <w:r w:rsidR="000061F7">
          <w:rPr>
            <w:webHidden/>
          </w:rPr>
          <w:fldChar w:fldCharType="end"/>
        </w:r>
      </w:hyperlink>
    </w:p>
    <w:p w14:paraId="618023A3" w14:textId="77777777" w:rsidR="000061F7" w:rsidRDefault="00507428">
      <w:pPr>
        <w:pStyle w:val="TOC2"/>
        <w:rPr>
          <w:rFonts w:eastAsiaTheme="minorEastAsia" w:cstheme="minorBidi"/>
          <w:b w:val="0"/>
          <w:snapToGrid/>
          <w:sz w:val="22"/>
          <w:szCs w:val="22"/>
          <w:lang w:eastAsia="en-AU"/>
        </w:rPr>
      </w:pPr>
      <w:hyperlink w:anchor="_Toc506388208" w:history="1">
        <w:r w:rsidR="000061F7" w:rsidRPr="00D47648">
          <w:rPr>
            <w:rStyle w:val="Hyperlink"/>
          </w:rPr>
          <w:t>3</w:t>
        </w:r>
        <w:r w:rsidR="000061F7">
          <w:rPr>
            <w:rFonts w:eastAsiaTheme="minorEastAsia" w:cstheme="minorBidi"/>
            <w:b w:val="0"/>
            <w:snapToGrid/>
            <w:sz w:val="22"/>
            <w:szCs w:val="22"/>
            <w:lang w:eastAsia="en-AU"/>
          </w:rPr>
          <w:tab/>
        </w:r>
        <w:r w:rsidR="000061F7" w:rsidRPr="00D47648">
          <w:rPr>
            <w:rStyle w:val="Hyperlink"/>
          </w:rPr>
          <w:t>Changes to the welfare system</w:t>
        </w:r>
        <w:r w:rsidR="000061F7">
          <w:rPr>
            <w:webHidden/>
          </w:rPr>
          <w:tab/>
        </w:r>
        <w:r w:rsidR="000061F7">
          <w:rPr>
            <w:webHidden/>
          </w:rPr>
          <w:fldChar w:fldCharType="begin"/>
        </w:r>
        <w:r w:rsidR="000061F7">
          <w:rPr>
            <w:webHidden/>
          </w:rPr>
          <w:instrText xml:space="preserve"> PAGEREF _Toc506388208 \h </w:instrText>
        </w:r>
        <w:r w:rsidR="000061F7">
          <w:rPr>
            <w:webHidden/>
          </w:rPr>
        </w:r>
        <w:r w:rsidR="000061F7">
          <w:rPr>
            <w:webHidden/>
          </w:rPr>
          <w:fldChar w:fldCharType="separate"/>
        </w:r>
        <w:r w:rsidR="00C93C1A">
          <w:rPr>
            <w:webHidden/>
          </w:rPr>
          <w:t>46</w:t>
        </w:r>
        <w:r w:rsidR="000061F7">
          <w:rPr>
            <w:webHidden/>
          </w:rPr>
          <w:fldChar w:fldCharType="end"/>
        </w:r>
      </w:hyperlink>
    </w:p>
    <w:p w14:paraId="0BE40746" w14:textId="77777777" w:rsidR="000061F7" w:rsidRDefault="00507428">
      <w:pPr>
        <w:pStyle w:val="TOC3"/>
        <w:rPr>
          <w:rFonts w:eastAsiaTheme="minorEastAsia" w:cstheme="minorBidi"/>
          <w:snapToGrid/>
          <w:sz w:val="22"/>
          <w:szCs w:val="22"/>
          <w:lang w:eastAsia="en-AU"/>
        </w:rPr>
      </w:pPr>
      <w:hyperlink w:anchor="_Toc506388209" w:history="1">
        <w:r w:rsidR="000061F7" w:rsidRPr="00D47648">
          <w:rPr>
            <w:rStyle w:val="Hyperlink"/>
          </w:rPr>
          <w:t>3.1</w:t>
        </w:r>
        <w:r w:rsidR="000061F7">
          <w:rPr>
            <w:rFonts w:eastAsiaTheme="minorEastAsia" w:cstheme="minorBidi"/>
            <w:snapToGrid/>
            <w:sz w:val="22"/>
            <w:szCs w:val="22"/>
            <w:lang w:eastAsia="en-AU"/>
          </w:rPr>
          <w:tab/>
        </w:r>
        <w:r w:rsidR="000061F7" w:rsidRPr="00D47648">
          <w:rPr>
            <w:rStyle w:val="Hyperlink"/>
          </w:rPr>
          <w:t>Introduction</w:t>
        </w:r>
        <w:r w:rsidR="000061F7">
          <w:rPr>
            <w:webHidden/>
          </w:rPr>
          <w:tab/>
        </w:r>
        <w:r w:rsidR="000061F7">
          <w:rPr>
            <w:webHidden/>
          </w:rPr>
          <w:fldChar w:fldCharType="begin"/>
        </w:r>
        <w:r w:rsidR="000061F7">
          <w:rPr>
            <w:webHidden/>
          </w:rPr>
          <w:instrText xml:space="preserve"> PAGEREF _Toc506388209 \h </w:instrText>
        </w:r>
        <w:r w:rsidR="000061F7">
          <w:rPr>
            <w:webHidden/>
          </w:rPr>
        </w:r>
        <w:r w:rsidR="000061F7">
          <w:rPr>
            <w:webHidden/>
          </w:rPr>
          <w:fldChar w:fldCharType="separate"/>
        </w:r>
        <w:r w:rsidR="00C93C1A">
          <w:rPr>
            <w:webHidden/>
          </w:rPr>
          <w:t>46</w:t>
        </w:r>
        <w:r w:rsidR="000061F7">
          <w:rPr>
            <w:webHidden/>
          </w:rPr>
          <w:fldChar w:fldCharType="end"/>
        </w:r>
      </w:hyperlink>
    </w:p>
    <w:p w14:paraId="45F7C0DA" w14:textId="77777777" w:rsidR="000061F7" w:rsidRDefault="00507428">
      <w:pPr>
        <w:pStyle w:val="TOC3"/>
        <w:rPr>
          <w:rFonts w:eastAsiaTheme="minorEastAsia" w:cstheme="minorBidi"/>
          <w:snapToGrid/>
          <w:sz w:val="22"/>
          <w:szCs w:val="22"/>
          <w:lang w:eastAsia="en-AU"/>
        </w:rPr>
      </w:pPr>
      <w:hyperlink w:anchor="_Toc506388210" w:history="1">
        <w:r w:rsidR="000061F7" w:rsidRPr="00D47648">
          <w:rPr>
            <w:rStyle w:val="Hyperlink"/>
          </w:rPr>
          <w:t>3.2</w:t>
        </w:r>
        <w:r w:rsidR="000061F7">
          <w:rPr>
            <w:rFonts w:eastAsiaTheme="minorEastAsia" w:cstheme="minorBidi"/>
            <w:snapToGrid/>
            <w:sz w:val="22"/>
            <w:szCs w:val="22"/>
            <w:lang w:eastAsia="en-AU"/>
          </w:rPr>
          <w:tab/>
        </w:r>
        <w:r w:rsidR="000061F7" w:rsidRPr="00D47648">
          <w:rPr>
            <w:rStyle w:val="Hyperlink"/>
          </w:rPr>
          <w:t>Changes to the welfare system</w:t>
        </w:r>
        <w:r w:rsidR="000061F7">
          <w:rPr>
            <w:webHidden/>
          </w:rPr>
          <w:tab/>
        </w:r>
        <w:r w:rsidR="000061F7">
          <w:rPr>
            <w:webHidden/>
          </w:rPr>
          <w:fldChar w:fldCharType="begin"/>
        </w:r>
        <w:r w:rsidR="000061F7">
          <w:rPr>
            <w:webHidden/>
          </w:rPr>
          <w:instrText xml:space="preserve"> PAGEREF _Toc506388210 \h </w:instrText>
        </w:r>
        <w:r w:rsidR="000061F7">
          <w:rPr>
            <w:webHidden/>
          </w:rPr>
        </w:r>
        <w:r w:rsidR="000061F7">
          <w:rPr>
            <w:webHidden/>
          </w:rPr>
          <w:fldChar w:fldCharType="separate"/>
        </w:r>
        <w:r w:rsidR="00C93C1A">
          <w:rPr>
            <w:webHidden/>
          </w:rPr>
          <w:t>46</w:t>
        </w:r>
        <w:r w:rsidR="000061F7">
          <w:rPr>
            <w:webHidden/>
          </w:rPr>
          <w:fldChar w:fldCharType="end"/>
        </w:r>
      </w:hyperlink>
    </w:p>
    <w:p w14:paraId="4CAE3C6B" w14:textId="77777777" w:rsidR="000061F7" w:rsidRDefault="00507428">
      <w:pPr>
        <w:pStyle w:val="TOC2"/>
        <w:rPr>
          <w:rFonts w:eastAsiaTheme="minorEastAsia" w:cstheme="minorBidi"/>
          <w:b w:val="0"/>
          <w:snapToGrid/>
          <w:sz w:val="22"/>
          <w:szCs w:val="22"/>
          <w:lang w:eastAsia="en-AU"/>
        </w:rPr>
      </w:pPr>
      <w:hyperlink w:anchor="_Toc506388211" w:history="1">
        <w:r w:rsidR="000061F7" w:rsidRPr="00D47648">
          <w:rPr>
            <w:rStyle w:val="Hyperlink"/>
          </w:rPr>
          <w:t>4</w:t>
        </w:r>
        <w:r w:rsidR="000061F7">
          <w:rPr>
            <w:rFonts w:eastAsiaTheme="minorEastAsia" w:cstheme="minorBidi"/>
            <w:b w:val="0"/>
            <w:snapToGrid/>
            <w:sz w:val="22"/>
            <w:szCs w:val="22"/>
            <w:lang w:eastAsia="en-AU"/>
          </w:rPr>
          <w:tab/>
        </w:r>
        <w:r w:rsidR="000061F7" w:rsidRPr="00D47648">
          <w:rPr>
            <w:rStyle w:val="Hyperlink"/>
          </w:rPr>
          <w:t>Summary of recent experience</w:t>
        </w:r>
        <w:r w:rsidR="000061F7">
          <w:rPr>
            <w:webHidden/>
          </w:rPr>
          <w:tab/>
        </w:r>
        <w:r w:rsidR="000061F7">
          <w:rPr>
            <w:webHidden/>
          </w:rPr>
          <w:fldChar w:fldCharType="begin"/>
        </w:r>
        <w:r w:rsidR="000061F7">
          <w:rPr>
            <w:webHidden/>
          </w:rPr>
          <w:instrText xml:space="preserve"> PAGEREF _Toc506388211 \h </w:instrText>
        </w:r>
        <w:r w:rsidR="000061F7">
          <w:rPr>
            <w:webHidden/>
          </w:rPr>
        </w:r>
        <w:r w:rsidR="000061F7">
          <w:rPr>
            <w:webHidden/>
          </w:rPr>
          <w:fldChar w:fldCharType="separate"/>
        </w:r>
        <w:r w:rsidR="00C93C1A">
          <w:rPr>
            <w:webHidden/>
          </w:rPr>
          <w:t>48</w:t>
        </w:r>
        <w:r w:rsidR="000061F7">
          <w:rPr>
            <w:webHidden/>
          </w:rPr>
          <w:fldChar w:fldCharType="end"/>
        </w:r>
      </w:hyperlink>
    </w:p>
    <w:p w14:paraId="5350AAD0" w14:textId="77777777" w:rsidR="000061F7" w:rsidRDefault="00507428">
      <w:pPr>
        <w:pStyle w:val="TOC3"/>
        <w:rPr>
          <w:rFonts w:eastAsiaTheme="minorEastAsia" w:cstheme="minorBidi"/>
          <w:snapToGrid/>
          <w:sz w:val="22"/>
          <w:szCs w:val="22"/>
          <w:lang w:eastAsia="en-AU"/>
        </w:rPr>
      </w:pPr>
      <w:hyperlink w:anchor="_Toc506388212" w:history="1">
        <w:r w:rsidR="000061F7" w:rsidRPr="00D47648">
          <w:rPr>
            <w:rStyle w:val="Hyperlink"/>
          </w:rPr>
          <w:t>4.1</w:t>
        </w:r>
        <w:r w:rsidR="000061F7">
          <w:rPr>
            <w:rFonts w:eastAsiaTheme="minorEastAsia" w:cstheme="minorBidi"/>
            <w:snapToGrid/>
            <w:sz w:val="22"/>
            <w:szCs w:val="22"/>
            <w:lang w:eastAsia="en-AU"/>
          </w:rPr>
          <w:tab/>
        </w:r>
        <w:r w:rsidR="000061F7" w:rsidRPr="00D47648">
          <w:rPr>
            <w:rStyle w:val="Hyperlink"/>
          </w:rPr>
          <w:t>Summary of model population</w:t>
        </w:r>
        <w:r w:rsidR="000061F7">
          <w:rPr>
            <w:webHidden/>
          </w:rPr>
          <w:tab/>
        </w:r>
        <w:r w:rsidR="000061F7">
          <w:rPr>
            <w:webHidden/>
          </w:rPr>
          <w:fldChar w:fldCharType="begin"/>
        </w:r>
        <w:r w:rsidR="000061F7">
          <w:rPr>
            <w:webHidden/>
          </w:rPr>
          <w:instrText xml:space="preserve"> PAGEREF _Toc506388212 \h </w:instrText>
        </w:r>
        <w:r w:rsidR="000061F7">
          <w:rPr>
            <w:webHidden/>
          </w:rPr>
        </w:r>
        <w:r w:rsidR="000061F7">
          <w:rPr>
            <w:webHidden/>
          </w:rPr>
          <w:fldChar w:fldCharType="separate"/>
        </w:r>
        <w:r w:rsidR="00C93C1A">
          <w:rPr>
            <w:webHidden/>
          </w:rPr>
          <w:t>48</w:t>
        </w:r>
        <w:r w:rsidR="000061F7">
          <w:rPr>
            <w:webHidden/>
          </w:rPr>
          <w:fldChar w:fldCharType="end"/>
        </w:r>
      </w:hyperlink>
    </w:p>
    <w:p w14:paraId="58B5D483" w14:textId="77777777" w:rsidR="000061F7" w:rsidRDefault="00507428">
      <w:pPr>
        <w:pStyle w:val="TOC3"/>
        <w:rPr>
          <w:rFonts w:eastAsiaTheme="minorEastAsia" w:cstheme="minorBidi"/>
          <w:snapToGrid/>
          <w:sz w:val="22"/>
          <w:szCs w:val="22"/>
          <w:lang w:eastAsia="en-AU"/>
        </w:rPr>
      </w:pPr>
      <w:hyperlink w:anchor="_Toc506388213" w:history="1">
        <w:r w:rsidR="000061F7" w:rsidRPr="00D47648">
          <w:rPr>
            <w:rStyle w:val="Hyperlink"/>
          </w:rPr>
          <w:t>4.2</w:t>
        </w:r>
        <w:r w:rsidR="000061F7">
          <w:rPr>
            <w:rFonts w:eastAsiaTheme="minorEastAsia" w:cstheme="minorBidi"/>
            <w:snapToGrid/>
            <w:sz w:val="22"/>
            <w:szCs w:val="22"/>
            <w:lang w:eastAsia="en-AU"/>
          </w:rPr>
          <w:tab/>
        </w:r>
        <w:r w:rsidR="000061F7" w:rsidRPr="00D47648">
          <w:rPr>
            <w:rStyle w:val="Hyperlink"/>
          </w:rPr>
          <w:t>Summary of experience over the last year</w:t>
        </w:r>
        <w:r w:rsidR="000061F7">
          <w:rPr>
            <w:webHidden/>
          </w:rPr>
          <w:tab/>
        </w:r>
        <w:r w:rsidR="000061F7">
          <w:rPr>
            <w:webHidden/>
          </w:rPr>
          <w:fldChar w:fldCharType="begin"/>
        </w:r>
        <w:r w:rsidR="000061F7">
          <w:rPr>
            <w:webHidden/>
          </w:rPr>
          <w:instrText xml:space="preserve"> PAGEREF _Toc506388213 \h </w:instrText>
        </w:r>
        <w:r w:rsidR="000061F7">
          <w:rPr>
            <w:webHidden/>
          </w:rPr>
        </w:r>
        <w:r w:rsidR="000061F7">
          <w:rPr>
            <w:webHidden/>
          </w:rPr>
          <w:fldChar w:fldCharType="separate"/>
        </w:r>
        <w:r w:rsidR="00C93C1A">
          <w:rPr>
            <w:webHidden/>
          </w:rPr>
          <w:t>49</w:t>
        </w:r>
        <w:r w:rsidR="000061F7">
          <w:rPr>
            <w:webHidden/>
          </w:rPr>
          <w:fldChar w:fldCharType="end"/>
        </w:r>
      </w:hyperlink>
    </w:p>
    <w:p w14:paraId="52A69575" w14:textId="77777777" w:rsidR="000061F7" w:rsidRDefault="00507428">
      <w:pPr>
        <w:pStyle w:val="TOC3"/>
        <w:rPr>
          <w:rFonts w:eastAsiaTheme="minorEastAsia" w:cstheme="minorBidi"/>
          <w:snapToGrid/>
          <w:sz w:val="22"/>
          <w:szCs w:val="22"/>
          <w:lang w:eastAsia="en-AU"/>
        </w:rPr>
      </w:pPr>
      <w:hyperlink w:anchor="_Toc506388214" w:history="1">
        <w:r w:rsidR="000061F7" w:rsidRPr="00D47648">
          <w:rPr>
            <w:rStyle w:val="Hyperlink"/>
          </w:rPr>
          <w:t>4.3</w:t>
        </w:r>
        <w:r w:rsidR="000061F7">
          <w:rPr>
            <w:rFonts w:eastAsiaTheme="minorEastAsia" w:cstheme="minorBidi"/>
            <w:snapToGrid/>
            <w:sz w:val="22"/>
            <w:szCs w:val="22"/>
            <w:lang w:eastAsia="en-AU"/>
          </w:rPr>
          <w:tab/>
        </w:r>
        <w:r w:rsidR="000061F7" w:rsidRPr="00D47648">
          <w:rPr>
            <w:rStyle w:val="Hyperlink"/>
          </w:rPr>
          <w:t>Numbers of people accessing payments</w:t>
        </w:r>
        <w:r w:rsidR="000061F7">
          <w:rPr>
            <w:webHidden/>
          </w:rPr>
          <w:tab/>
        </w:r>
        <w:r w:rsidR="000061F7">
          <w:rPr>
            <w:webHidden/>
          </w:rPr>
          <w:fldChar w:fldCharType="begin"/>
        </w:r>
        <w:r w:rsidR="000061F7">
          <w:rPr>
            <w:webHidden/>
          </w:rPr>
          <w:instrText xml:space="preserve"> PAGEREF _Toc506388214 \h </w:instrText>
        </w:r>
        <w:r w:rsidR="000061F7">
          <w:rPr>
            <w:webHidden/>
          </w:rPr>
        </w:r>
        <w:r w:rsidR="000061F7">
          <w:rPr>
            <w:webHidden/>
          </w:rPr>
          <w:fldChar w:fldCharType="separate"/>
        </w:r>
        <w:r w:rsidR="00C93C1A">
          <w:rPr>
            <w:webHidden/>
          </w:rPr>
          <w:t>50</w:t>
        </w:r>
        <w:r w:rsidR="000061F7">
          <w:rPr>
            <w:webHidden/>
          </w:rPr>
          <w:fldChar w:fldCharType="end"/>
        </w:r>
      </w:hyperlink>
    </w:p>
    <w:p w14:paraId="5BC08A9C" w14:textId="77777777" w:rsidR="000061F7" w:rsidRDefault="00507428">
      <w:pPr>
        <w:pStyle w:val="TOC3"/>
        <w:rPr>
          <w:rFonts w:eastAsiaTheme="minorEastAsia" w:cstheme="minorBidi"/>
          <w:snapToGrid/>
          <w:sz w:val="22"/>
          <w:szCs w:val="22"/>
          <w:lang w:eastAsia="en-AU"/>
        </w:rPr>
      </w:pPr>
      <w:hyperlink w:anchor="_Toc506388215" w:history="1">
        <w:r w:rsidR="000061F7" w:rsidRPr="00D47648">
          <w:rPr>
            <w:rStyle w:val="Hyperlink"/>
          </w:rPr>
          <w:t>4.4</w:t>
        </w:r>
        <w:r w:rsidR="000061F7">
          <w:rPr>
            <w:rFonts w:eastAsiaTheme="minorEastAsia" w:cstheme="minorBidi"/>
            <w:snapToGrid/>
            <w:sz w:val="22"/>
            <w:szCs w:val="22"/>
            <w:lang w:eastAsia="en-AU"/>
          </w:rPr>
          <w:tab/>
        </w:r>
        <w:r w:rsidR="000061F7" w:rsidRPr="00D47648">
          <w:rPr>
            <w:rStyle w:val="Hyperlink"/>
          </w:rPr>
          <w:t>Average payment sizes</w:t>
        </w:r>
        <w:r w:rsidR="000061F7">
          <w:rPr>
            <w:webHidden/>
          </w:rPr>
          <w:tab/>
        </w:r>
        <w:r w:rsidR="000061F7">
          <w:rPr>
            <w:webHidden/>
          </w:rPr>
          <w:fldChar w:fldCharType="begin"/>
        </w:r>
        <w:r w:rsidR="000061F7">
          <w:rPr>
            <w:webHidden/>
          </w:rPr>
          <w:instrText xml:space="preserve"> PAGEREF _Toc506388215 \h </w:instrText>
        </w:r>
        <w:r w:rsidR="000061F7">
          <w:rPr>
            <w:webHidden/>
          </w:rPr>
        </w:r>
        <w:r w:rsidR="000061F7">
          <w:rPr>
            <w:webHidden/>
          </w:rPr>
          <w:fldChar w:fldCharType="separate"/>
        </w:r>
        <w:r w:rsidR="00C93C1A">
          <w:rPr>
            <w:webHidden/>
          </w:rPr>
          <w:t>55</w:t>
        </w:r>
        <w:r w:rsidR="000061F7">
          <w:rPr>
            <w:webHidden/>
          </w:rPr>
          <w:fldChar w:fldCharType="end"/>
        </w:r>
      </w:hyperlink>
    </w:p>
    <w:p w14:paraId="04926C1A" w14:textId="77777777" w:rsidR="000061F7" w:rsidRDefault="00507428">
      <w:pPr>
        <w:pStyle w:val="TOC3"/>
        <w:rPr>
          <w:rFonts w:eastAsiaTheme="minorEastAsia" w:cstheme="minorBidi"/>
          <w:snapToGrid/>
          <w:sz w:val="22"/>
          <w:szCs w:val="22"/>
          <w:lang w:eastAsia="en-AU"/>
        </w:rPr>
      </w:pPr>
      <w:hyperlink w:anchor="_Toc506388216" w:history="1">
        <w:r w:rsidR="000061F7" w:rsidRPr="00D47648">
          <w:rPr>
            <w:rStyle w:val="Hyperlink"/>
          </w:rPr>
          <w:t>4.5</w:t>
        </w:r>
        <w:r w:rsidR="000061F7">
          <w:rPr>
            <w:rFonts w:eastAsiaTheme="minorEastAsia" w:cstheme="minorBidi"/>
            <w:snapToGrid/>
            <w:sz w:val="22"/>
            <w:szCs w:val="22"/>
            <w:lang w:eastAsia="en-AU"/>
          </w:rPr>
          <w:tab/>
        </w:r>
        <w:r w:rsidR="000061F7" w:rsidRPr="00D47648">
          <w:rPr>
            <w:rStyle w:val="Hyperlink"/>
          </w:rPr>
          <w:t>Changes in model population</w:t>
        </w:r>
        <w:r w:rsidR="000061F7">
          <w:rPr>
            <w:webHidden/>
          </w:rPr>
          <w:tab/>
        </w:r>
        <w:r w:rsidR="000061F7">
          <w:rPr>
            <w:webHidden/>
          </w:rPr>
          <w:fldChar w:fldCharType="begin"/>
        </w:r>
        <w:r w:rsidR="000061F7">
          <w:rPr>
            <w:webHidden/>
          </w:rPr>
          <w:instrText xml:space="preserve"> PAGEREF _Toc506388216 \h </w:instrText>
        </w:r>
        <w:r w:rsidR="000061F7">
          <w:rPr>
            <w:webHidden/>
          </w:rPr>
        </w:r>
        <w:r w:rsidR="000061F7">
          <w:rPr>
            <w:webHidden/>
          </w:rPr>
          <w:fldChar w:fldCharType="separate"/>
        </w:r>
        <w:r w:rsidR="00C93C1A">
          <w:rPr>
            <w:webHidden/>
          </w:rPr>
          <w:t>57</w:t>
        </w:r>
        <w:r w:rsidR="000061F7">
          <w:rPr>
            <w:webHidden/>
          </w:rPr>
          <w:fldChar w:fldCharType="end"/>
        </w:r>
      </w:hyperlink>
    </w:p>
    <w:p w14:paraId="0049C45E" w14:textId="77777777" w:rsidR="000061F7" w:rsidRDefault="00507428">
      <w:pPr>
        <w:pStyle w:val="TOC3"/>
        <w:rPr>
          <w:rFonts w:eastAsiaTheme="minorEastAsia" w:cstheme="minorBidi"/>
          <w:snapToGrid/>
          <w:sz w:val="22"/>
          <w:szCs w:val="22"/>
          <w:lang w:eastAsia="en-AU"/>
        </w:rPr>
      </w:pPr>
      <w:hyperlink w:anchor="_Toc506388217" w:history="1">
        <w:r w:rsidR="000061F7" w:rsidRPr="00D47648">
          <w:rPr>
            <w:rStyle w:val="Hyperlink"/>
          </w:rPr>
          <w:t>4.6</w:t>
        </w:r>
        <w:r w:rsidR="000061F7">
          <w:rPr>
            <w:rFonts w:eastAsiaTheme="minorEastAsia" w:cstheme="minorBidi"/>
            <w:snapToGrid/>
            <w:sz w:val="22"/>
            <w:szCs w:val="22"/>
            <w:lang w:eastAsia="en-AU"/>
          </w:rPr>
          <w:tab/>
        </w:r>
        <w:r w:rsidR="000061F7" w:rsidRPr="00D47648">
          <w:rPr>
            <w:rStyle w:val="Hyperlink"/>
          </w:rPr>
          <w:t>Profile of model population</w:t>
        </w:r>
        <w:r w:rsidR="000061F7">
          <w:rPr>
            <w:webHidden/>
          </w:rPr>
          <w:tab/>
        </w:r>
        <w:r w:rsidR="000061F7">
          <w:rPr>
            <w:webHidden/>
          </w:rPr>
          <w:fldChar w:fldCharType="begin"/>
        </w:r>
        <w:r w:rsidR="000061F7">
          <w:rPr>
            <w:webHidden/>
          </w:rPr>
          <w:instrText xml:space="preserve"> PAGEREF _Toc506388217 \h </w:instrText>
        </w:r>
        <w:r w:rsidR="000061F7">
          <w:rPr>
            <w:webHidden/>
          </w:rPr>
        </w:r>
        <w:r w:rsidR="000061F7">
          <w:rPr>
            <w:webHidden/>
          </w:rPr>
          <w:fldChar w:fldCharType="separate"/>
        </w:r>
        <w:r w:rsidR="00C93C1A">
          <w:rPr>
            <w:webHidden/>
          </w:rPr>
          <w:t>59</w:t>
        </w:r>
        <w:r w:rsidR="000061F7">
          <w:rPr>
            <w:webHidden/>
          </w:rPr>
          <w:fldChar w:fldCharType="end"/>
        </w:r>
      </w:hyperlink>
    </w:p>
    <w:p w14:paraId="28FEEFFD" w14:textId="77777777" w:rsidR="000061F7" w:rsidRDefault="00507428">
      <w:pPr>
        <w:pStyle w:val="TOC2"/>
        <w:rPr>
          <w:rFonts w:eastAsiaTheme="minorEastAsia" w:cstheme="minorBidi"/>
          <w:b w:val="0"/>
          <w:snapToGrid/>
          <w:sz w:val="22"/>
          <w:szCs w:val="22"/>
          <w:lang w:eastAsia="en-AU"/>
        </w:rPr>
      </w:pPr>
      <w:hyperlink w:anchor="_Toc506388218" w:history="1">
        <w:r w:rsidR="000061F7" w:rsidRPr="00D47648">
          <w:rPr>
            <w:rStyle w:val="Hyperlink"/>
          </w:rPr>
          <w:t>5</w:t>
        </w:r>
        <w:r w:rsidR="000061F7">
          <w:rPr>
            <w:rFonts w:eastAsiaTheme="minorEastAsia" w:cstheme="minorBidi"/>
            <w:b w:val="0"/>
            <w:snapToGrid/>
            <w:sz w:val="22"/>
            <w:szCs w:val="22"/>
            <w:lang w:eastAsia="en-AU"/>
          </w:rPr>
          <w:tab/>
        </w:r>
        <w:r w:rsidR="000061F7" w:rsidRPr="00D47648">
          <w:rPr>
            <w:rStyle w:val="Hyperlink"/>
          </w:rPr>
          <w:t>Overall results</w:t>
        </w:r>
        <w:r w:rsidR="000061F7">
          <w:rPr>
            <w:webHidden/>
          </w:rPr>
          <w:tab/>
        </w:r>
        <w:r w:rsidR="000061F7">
          <w:rPr>
            <w:webHidden/>
          </w:rPr>
          <w:fldChar w:fldCharType="begin"/>
        </w:r>
        <w:r w:rsidR="000061F7">
          <w:rPr>
            <w:webHidden/>
          </w:rPr>
          <w:instrText xml:space="preserve"> PAGEREF _Toc506388218 \h </w:instrText>
        </w:r>
        <w:r w:rsidR="000061F7">
          <w:rPr>
            <w:webHidden/>
          </w:rPr>
        </w:r>
        <w:r w:rsidR="000061F7">
          <w:rPr>
            <w:webHidden/>
          </w:rPr>
          <w:fldChar w:fldCharType="separate"/>
        </w:r>
        <w:r w:rsidR="00C93C1A">
          <w:rPr>
            <w:webHidden/>
          </w:rPr>
          <w:t>60</w:t>
        </w:r>
        <w:r w:rsidR="000061F7">
          <w:rPr>
            <w:webHidden/>
          </w:rPr>
          <w:fldChar w:fldCharType="end"/>
        </w:r>
      </w:hyperlink>
    </w:p>
    <w:p w14:paraId="57498C56" w14:textId="77777777" w:rsidR="000061F7" w:rsidRDefault="00507428">
      <w:pPr>
        <w:pStyle w:val="TOC3"/>
        <w:rPr>
          <w:rFonts w:eastAsiaTheme="minorEastAsia" w:cstheme="minorBidi"/>
          <w:snapToGrid/>
          <w:sz w:val="22"/>
          <w:szCs w:val="22"/>
          <w:lang w:eastAsia="en-AU"/>
        </w:rPr>
      </w:pPr>
      <w:hyperlink w:anchor="_Toc506388219" w:history="1">
        <w:r w:rsidR="000061F7" w:rsidRPr="00D47648">
          <w:rPr>
            <w:rStyle w:val="Hyperlink"/>
          </w:rPr>
          <w:t>5.1</w:t>
        </w:r>
        <w:r w:rsidR="000061F7">
          <w:rPr>
            <w:rFonts w:eastAsiaTheme="minorEastAsia" w:cstheme="minorBidi"/>
            <w:snapToGrid/>
            <w:sz w:val="22"/>
            <w:szCs w:val="22"/>
            <w:lang w:eastAsia="en-AU"/>
          </w:rPr>
          <w:tab/>
        </w:r>
        <w:r w:rsidR="000061F7" w:rsidRPr="00D47648">
          <w:rPr>
            <w:rStyle w:val="Hyperlink"/>
          </w:rPr>
          <w:t>Total lifetime cost</w:t>
        </w:r>
        <w:r w:rsidR="000061F7">
          <w:rPr>
            <w:webHidden/>
          </w:rPr>
          <w:tab/>
        </w:r>
        <w:r w:rsidR="000061F7">
          <w:rPr>
            <w:webHidden/>
          </w:rPr>
          <w:fldChar w:fldCharType="begin"/>
        </w:r>
        <w:r w:rsidR="000061F7">
          <w:rPr>
            <w:webHidden/>
          </w:rPr>
          <w:instrText xml:space="preserve"> PAGEREF _Toc506388219 \h </w:instrText>
        </w:r>
        <w:r w:rsidR="000061F7">
          <w:rPr>
            <w:webHidden/>
          </w:rPr>
        </w:r>
        <w:r w:rsidR="000061F7">
          <w:rPr>
            <w:webHidden/>
          </w:rPr>
          <w:fldChar w:fldCharType="separate"/>
        </w:r>
        <w:r w:rsidR="00C93C1A">
          <w:rPr>
            <w:webHidden/>
          </w:rPr>
          <w:t>60</w:t>
        </w:r>
        <w:r w:rsidR="000061F7">
          <w:rPr>
            <w:webHidden/>
          </w:rPr>
          <w:fldChar w:fldCharType="end"/>
        </w:r>
      </w:hyperlink>
    </w:p>
    <w:p w14:paraId="3B9995C9" w14:textId="77777777" w:rsidR="000061F7" w:rsidRDefault="00507428">
      <w:pPr>
        <w:pStyle w:val="TOC3"/>
        <w:rPr>
          <w:rFonts w:eastAsiaTheme="minorEastAsia" w:cstheme="minorBidi"/>
          <w:snapToGrid/>
          <w:sz w:val="22"/>
          <w:szCs w:val="22"/>
          <w:lang w:eastAsia="en-AU"/>
        </w:rPr>
      </w:pPr>
      <w:hyperlink w:anchor="_Toc506388220" w:history="1">
        <w:r w:rsidR="000061F7" w:rsidRPr="00D47648">
          <w:rPr>
            <w:rStyle w:val="Hyperlink"/>
          </w:rPr>
          <w:t>5.2</w:t>
        </w:r>
        <w:r w:rsidR="000061F7">
          <w:rPr>
            <w:rFonts w:eastAsiaTheme="minorEastAsia" w:cstheme="minorBidi"/>
            <w:snapToGrid/>
            <w:sz w:val="22"/>
            <w:szCs w:val="22"/>
            <w:lang w:eastAsia="en-AU"/>
          </w:rPr>
          <w:tab/>
        </w:r>
        <w:r w:rsidR="000061F7" w:rsidRPr="00D47648">
          <w:rPr>
            <w:rStyle w:val="Hyperlink"/>
          </w:rPr>
          <w:t>Change since the previous valuation</w:t>
        </w:r>
        <w:r w:rsidR="000061F7">
          <w:rPr>
            <w:webHidden/>
          </w:rPr>
          <w:tab/>
        </w:r>
        <w:r w:rsidR="000061F7">
          <w:rPr>
            <w:webHidden/>
          </w:rPr>
          <w:fldChar w:fldCharType="begin"/>
        </w:r>
        <w:r w:rsidR="000061F7">
          <w:rPr>
            <w:webHidden/>
          </w:rPr>
          <w:instrText xml:space="preserve"> PAGEREF _Toc506388220 \h </w:instrText>
        </w:r>
        <w:r w:rsidR="000061F7">
          <w:rPr>
            <w:webHidden/>
          </w:rPr>
        </w:r>
        <w:r w:rsidR="000061F7">
          <w:rPr>
            <w:webHidden/>
          </w:rPr>
          <w:fldChar w:fldCharType="separate"/>
        </w:r>
        <w:r w:rsidR="00C93C1A">
          <w:rPr>
            <w:webHidden/>
          </w:rPr>
          <w:t>63</w:t>
        </w:r>
        <w:r w:rsidR="000061F7">
          <w:rPr>
            <w:webHidden/>
          </w:rPr>
          <w:fldChar w:fldCharType="end"/>
        </w:r>
      </w:hyperlink>
    </w:p>
    <w:p w14:paraId="0E1411FF" w14:textId="77777777" w:rsidR="000061F7" w:rsidRDefault="00507428">
      <w:pPr>
        <w:pStyle w:val="TOC3"/>
        <w:rPr>
          <w:rFonts w:eastAsiaTheme="minorEastAsia" w:cstheme="minorBidi"/>
          <w:snapToGrid/>
          <w:sz w:val="22"/>
          <w:szCs w:val="22"/>
          <w:lang w:eastAsia="en-AU"/>
        </w:rPr>
      </w:pPr>
      <w:hyperlink w:anchor="_Toc506388221" w:history="1">
        <w:r w:rsidR="000061F7" w:rsidRPr="00D47648">
          <w:rPr>
            <w:rStyle w:val="Hyperlink"/>
          </w:rPr>
          <w:t>5.3</w:t>
        </w:r>
        <w:r w:rsidR="000061F7">
          <w:rPr>
            <w:rFonts w:eastAsiaTheme="minorEastAsia" w:cstheme="minorBidi"/>
            <w:snapToGrid/>
            <w:sz w:val="22"/>
            <w:szCs w:val="22"/>
            <w:lang w:eastAsia="en-AU"/>
          </w:rPr>
          <w:tab/>
        </w:r>
        <w:r w:rsidR="000061F7" w:rsidRPr="00D47648">
          <w:rPr>
            <w:rStyle w:val="Hyperlink"/>
          </w:rPr>
          <w:t>Summary of change in lifetime cost by welfare class</w:t>
        </w:r>
        <w:r w:rsidR="000061F7">
          <w:rPr>
            <w:webHidden/>
          </w:rPr>
          <w:tab/>
        </w:r>
        <w:r w:rsidR="000061F7">
          <w:rPr>
            <w:webHidden/>
          </w:rPr>
          <w:fldChar w:fldCharType="begin"/>
        </w:r>
        <w:r w:rsidR="000061F7">
          <w:rPr>
            <w:webHidden/>
          </w:rPr>
          <w:instrText xml:space="preserve"> PAGEREF _Toc506388221 \h </w:instrText>
        </w:r>
        <w:r w:rsidR="000061F7">
          <w:rPr>
            <w:webHidden/>
          </w:rPr>
        </w:r>
        <w:r w:rsidR="000061F7">
          <w:rPr>
            <w:webHidden/>
          </w:rPr>
          <w:fldChar w:fldCharType="separate"/>
        </w:r>
        <w:r w:rsidR="00C93C1A">
          <w:rPr>
            <w:webHidden/>
          </w:rPr>
          <w:t>67</w:t>
        </w:r>
        <w:r w:rsidR="000061F7">
          <w:rPr>
            <w:webHidden/>
          </w:rPr>
          <w:fldChar w:fldCharType="end"/>
        </w:r>
      </w:hyperlink>
    </w:p>
    <w:p w14:paraId="33030C2D" w14:textId="77777777" w:rsidR="000061F7" w:rsidRDefault="00507428">
      <w:pPr>
        <w:pStyle w:val="TOC3"/>
        <w:rPr>
          <w:rFonts w:eastAsiaTheme="minorEastAsia" w:cstheme="minorBidi"/>
          <w:snapToGrid/>
          <w:sz w:val="22"/>
          <w:szCs w:val="22"/>
          <w:lang w:eastAsia="en-AU"/>
        </w:rPr>
      </w:pPr>
      <w:hyperlink w:anchor="_Toc506388222" w:history="1">
        <w:r w:rsidR="000061F7" w:rsidRPr="00D47648">
          <w:rPr>
            <w:rStyle w:val="Hyperlink"/>
          </w:rPr>
          <w:t>5.4</w:t>
        </w:r>
        <w:r w:rsidR="000061F7">
          <w:rPr>
            <w:rFonts w:eastAsiaTheme="minorEastAsia" w:cstheme="minorBidi"/>
            <w:snapToGrid/>
            <w:sz w:val="22"/>
            <w:szCs w:val="22"/>
            <w:lang w:eastAsia="en-AU"/>
          </w:rPr>
          <w:tab/>
        </w:r>
        <w:r w:rsidR="000061F7" w:rsidRPr="00D47648">
          <w:rPr>
            <w:rStyle w:val="Hyperlink"/>
          </w:rPr>
          <w:t>Changes since the baseline valuation</w:t>
        </w:r>
        <w:r w:rsidR="000061F7">
          <w:rPr>
            <w:webHidden/>
          </w:rPr>
          <w:tab/>
        </w:r>
        <w:r w:rsidR="000061F7">
          <w:rPr>
            <w:webHidden/>
          </w:rPr>
          <w:fldChar w:fldCharType="begin"/>
        </w:r>
        <w:r w:rsidR="000061F7">
          <w:rPr>
            <w:webHidden/>
          </w:rPr>
          <w:instrText xml:space="preserve"> PAGEREF _Toc506388222 \h </w:instrText>
        </w:r>
        <w:r w:rsidR="000061F7">
          <w:rPr>
            <w:webHidden/>
          </w:rPr>
        </w:r>
        <w:r w:rsidR="000061F7">
          <w:rPr>
            <w:webHidden/>
          </w:rPr>
          <w:fldChar w:fldCharType="separate"/>
        </w:r>
        <w:r w:rsidR="00C93C1A">
          <w:rPr>
            <w:webHidden/>
          </w:rPr>
          <w:t>69</w:t>
        </w:r>
        <w:r w:rsidR="000061F7">
          <w:rPr>
            <w:webHidden/>
          </w:rPr>
          <w:fldChar w:fldCharType="end"/>
        </w:r>
      </w:hyperlink>
    </w:p>
    <w:p w14:paraId="16F6D817" w14:textId="77777777" w:rsidR="000061F7" w:rsidRDefault="00507428">
      <w:pPr>
        <w:pStyle w:val="TOC3"/>
        <w:rPr>
          <w:rFonts w:eastAsiaTheme="minorEastAsia" w:cstheme="minorBidi"/>
          <w:snapToGrid/>
          <w:sz w:val="22"/>
          <w:szCs w:val="22"/>
          <w:lang w:eastAsia="en-AU"/>
        </w:rPr>
      </w:pPr>
      <w:hyperlink w:anchor="_Toc506388223" w:history="1">
        <w:r w:rsidR="000061F7" w:rsidRPr="00D47648">
          <w:rPr>
            <w:rStyle w:val="Hyperlink"/>
          </w:rPr>
          <w:t>5.5</w:t>
        </w:r>
        <w:r w:rsidR="000061F7">
          <w:rPr>
            <w:rFonts w:eastAsiaTheme="minorEastAsia" w:cstheme="minorBidi"/>
            <w:snapToGrid/>
            <w:sz w:val="22"/>
            <w:szCs w:val="22"/>
            <w:lang w:eastAsia="en-AU"/>
          </w:rPr>
          <w:tab/>
        </w:r>
        <w:r w:rsidR="000061F7" w:rsidRPr="00D47648">
          <w:rPr>
            <w:rStyle w:val="Hyperlink"/>
          </w:rPr>
          <w:t>Forecasts</w:t>
        </w:r>
        <w:r w:rsidR="000061F7">
          <w:rPr>
            <w:webHidden/>
          </w:rPr>
          <w:tab/>
        </w:r>
        <w:r w:rsidR="000061F7">
          <w:rPr>
            <w:webHidden/>
          </w:rPr>
          <w:fldChar w:fldCharType="begin"/>
        </w:r>
        <w:r w:rsidR="000061F7">
          <w:rPr>
            <w:webHidden/>
          </w:rPr>
          <w:instrText xml:space="preserve"> PAGEREF _Toc506388223 \h </w:instrText>
        </w:r>
        <w:r w:rsidR="000061F7">
          <w:rPr>
            <w:webHidden/>
          </w:rPr>
        </w:r>
        <w:r w:rsidR="000061F7">
          <w:rPr>
            <w:webHidden/>
          </w:rPr>
          <w:fldChar w:fldCharType="separate"/>
        </w:r>
        <w:r w:rsidR="00C93C1A">
          <w:rPr>
            <w:webHidden/>
          </w:rPr>
          <w:t>71</w:t>
        </w:r>
        <w:r w:rsidR="000061F7">
          <w:rPr>
            <w:webHidden/>
          </w:rPr>
          <w:fldChar w:fldCharType="end"/>
        </w:r>
      </w:hyperlink>
    </w:p>
    <w:p w14:paraId="16CCB79C" w14:textId="77777777" w:rsidR="000061F7" w:rsidRDefault="00507428">
      <w:pPr>
        <w:pStyle w:val="TOC3"/>
        <w:rPr>
          <w:rFonts w:eastAsiaTheme="minorEastAsia" w:cstheme="minorBidi"/>
          <w:snapToGrid/>
          <w:sz w:val="22"/>
          <w:szCs w:val="22"/>
          <w:lang w:eastAsia="en-AU"/>
        </w:rPr>
      </w:pPr>
      <w:hyperlink w:anchor="_Toc506388224" w:history="1">
        <w:r w:rsidR="000061F7" w:rsidRPr="00D47648">
          <w:rPr>
            <w:rStyle w:val="Hyperlink"/>
          </w:rPr>
          <w:t>5.6</w:t>
        </w:r>
        <w:r w:rsidR="000061F7">
          <w:rPr>
            <w:rFonts w:eastAsiaTheme="minorEastAsia" w:cstheme="minorBidi"/>
            <w:snapToGrid/>
            <w:sz w:val="22"/>
            <w:szCs w:val="22"/>
            <w:lang w:eastAsia="en-AU"/>
          </w:rPr>
          <w:tab/>
        </w:r>
        <w:r w:rsidR="000061F7" w:rsidRPr="00D47648">
          <w:rPr>
            <w:rStyle w:val="Hyperlink"/>
          </w:rPr>
          <w:t>Areas of sensitivity and uncertainty</w:t>
        </w:r>
        <w:r w:rsidR="000061F7">
          <w:rPr>
            <w:webHidden/>
          </w:rPr>
          <w:tab/>
        </w:r>
        <w:r w:rsidR="000061F7">
          <w:rPr>
            <w:webHidden/>
          </w:rPr>
          <w:fldChar w:fldCharType="begin"/>
        </w:r>
        <w:r w:rsidR="000061F7">
          <w:rPr>
            <w:webHidden/>
          </w:rPr>
          <w:instrText xml:space="preserve"> PAGEREF _Toc506388224 \h </w:instrText>
        </w:r>
        <w:r w:rsidR="000061F7">
          <w:rPr>
            <w:webHidden/>
          </w:rPr>
        </w:r>
        <w:r w:rsidR="000061F7">
          <w:rPr>
            <w:webHidden/>
          </w:rPr>
          <w:fldChar w:fldCharType="separate"/>
        </w:r>
        <w:r w:rsidR="00C93C1A">
          <w:rPr>
            <w:webHidden/>
          </w:rPr>
          <w:t>73</w:t>
        </w:r>
        <w:r w:rsidR="000061F7">
          <w:rPr>
            <w:webHidden/>
          </w:rPr>
          <w:fldChar w:fldCharType="end"/>
        </w:r>
      </w:hyperlink>
    </w:p>
    <w:p w14:paraId="46AC9990" w14:textId="77777777" w:rsidR="000061F7" w:rsidRDefault="00507428">
      <w:pPr>
        <w:pStyle w:val="TOC2"/>
        <w:rPr>
          <w:rFonts w:eastAsiaTheme="minorEastAsia" w:cstheme="minorBidi"/>
          <w:b w:val="0"/>
          <w:snapToGrid/>
          <w:sz w:val="22"/>
          <w:szCs w:val="22"/>
          <w:lang w:eastAsia="en-AU"/>
        </w:rPr>
      </w:pPr>
      <w:hyperlink w:anchor="_Toc506388225" w:history="1">
        <w:r w:rsidR="000061F7" w:rsidRPr="00D47648">
          <w:rPr>
            <w:rStyle w:val="Hyperlink"/>
          </w:rPr>
          <w:t>6</w:t>
        </w:r>
        <w:r w:rsidR="000061F7">
          <w:rPr>
            <w:rFonts w:eastAsiaTheme="minorEastAsia" w:cstheme="minorBidi"/>
            <w:b w:val="0"/>
            <w:snapToGrid/>
            <w:sz w:val="22"/>
            <w:szCs w:val="22"/>
            <w:lang w:eastAsia="en-AU"/>
          </w:rPr>
          <w:tab/>
        </w:r>
        <w:r w:rsidR="000061F7" w:rsidRPr="00D47648">
          <w:rPr>
            <w:rStyle w:val="Hyperlink"/>
          </w:rPr>
          <w:t>Results for income support recipients</w:t>
        </w:r>
        <w:r w:rsidR="000061F7">
          <w:rPr>
            <w:webHidden/>
          </w:rPr>
          <w:tab/>
        </w:r>
        <w:r w:rsidR="000061F7">
          <w:rPr>
            <w:webHidden/>
          </w:rPr>
          <w:fldChar w:fldCharType="begin"/>
        </w:r>
        <w:r w:rsidR="000061F7">
          <w:rPr>
            <w:webHidden/>
          </w:rPr>
          <w:instrText xml:space="preserve"> PAGEREF _Toc506388225 \h </w:instrText>
        </w:r>
        <w:r w:rsidR="000061F7">
          <w:rPr>
            <w:webHidden/>
          </w:rPr>
        </w:r>
        <w:r w:rsidR="000061F7">
          <w:rPr>
            <w:webHidden/>
          </w:rPr>
          <w:fldChar w:fldCharType="separate"/>
        </w:r>
        <w:r w:rsidR="00C93C1A">
          <w:rPr>
            <w:webHidden/>
          </w:rPr>
          <w:t>78</w:t>
        </w:r>
        <w:r w:rsidR="000061F7">
          <w:rPr>
            <w:webHidden/>
          </w:rPr>
          <w:fldChar w:fldCharType="end"/>
        </w:r>
      </w:hyperlink>
    </w:p>
    <w:p w14:paraId="668C0480" w14:textId="77777777" w:rsidR="000061F7" w:rsidRDefault="00507428">
      <w:pPr>
        <w:pStyle w:val="TOC3"/>
        <w:rPr>
          <w:rFonts w:eastAsiaTheme="minorEastAsia" w:cstheme="minorBidi"/>
          <w:snapToGrid/>
          <w:sz w:val="22"/>
          <w:szCs w:val="22"/>
          <w:lang w:eastAsia="en-AU"/>
        </w:rPr>
      </w:pPr>
      <w:hyperlink w:anchor="_Toc506388226" w:history="1">
        <w:r w:rsidR="000061F7" w:rsidRPr="00D47648">
          <w:rPr>
            <w:rStyle w:val="Hyperlink"/>
          </w:rPr>
          <w:t>6.1</w:t>
        </w:r>
        <w:r w:rsidR="000061F7">
          <w:rPr>
            <w:rFonts w:eastAsiaTheme="minorEastAsia" w:cstheme="minorBidi"/>
            <w:snapToGrid/>
            <w:sz w:val="22"/>
            <w:szCs w:val="22"/>
            <w:lang w:eastAsia="en-AU"/>
          </w:rPr>
          <w:tab/>
        </w:r>
        <w:r w:rsidR="000061F7" w:rsidRPr="00D47648">
          <w:rPr>
            <w:rStyle w:val="Hyperlink"/>
          </w:rPr>
          <w:t>Studying Payment recipients</w:t>
        </w:r>
        <w:r w:rsidR="000061F7">
          <w:rPr>
            <w:webHidden/>
          </w:rPr>
          <w:tab/>
        </w:r>
        <w:r w:rsidR="000061F7">
          <w:rPr>
            <w:webHidden/>
          </w:rPr>
          <w:fldChar w:fldCharType="begin"/>
        </w:r>
        <w:r w:rsidR="000061F7">
          <w:rPr>
            <w:webHidden/>
          </w:rPr>
          <w:instrText xml:space="preserve"> PAGEREF _Toc506388226 \h </w:instrText>
        </w:r>
        <w:r w:rsidR="000061F7">
          <w:rPr>
            <w:webHidden/>
          </w:rPr>
        </w:r>
        <w:r w:rsidR="000061F7">
          <w:rPr>
            <w:webHidden/>
          </w:rPr>
          <w:fldChar w:fldCharType="separate"/>
        </w:r>
        <w:r w:rsidR="00C93C1A">
          <w:rPr>
            <w:webHidden/>
          </w:rPr>
          <w:t>78</w:t>
        </w:r>
        <w:r w:rsidR="000061F7">
          <w:rPr>
            <w:webHidden/>
          </w:rPr>
          <w:fldChar w:fldCharType="end"/>
        </w:r>
      </w:hyperlink>
    </w:p>
    <w:p w14:paraId="24957E84" w14:textId="77777777" w:rsidR="000061F7" w:rsidRDefault="00507428">
      <w:pPr>
        <w:pStyle w:val="TOC3"/>
        <w:rPr>
          <w:rFonts w:eastAsiaTheme="minorEastAsia" w:cstheme="minorBidi"/>
          <w:snapToGrid/>
          <w:sz w:val="22"/>
          <w:szCs w:val="22"/>
          <w:lang w:eastAsia="en-AU"/>
        </w:rPr>
      </w:pPr>
      <w:hyperlink w:anchor="_Toc506388227" w:history="1">
        <w:r w:rsidR="000061F7" w:rsidRPr="00D47648">
          <w:rPr>
            <w:rStyle w:val="Hyperlink"/>
          </w:rPr>
          <w:t>6.2</w:t>
        </w:r>
        <w:r w:rsidR="000061F7">
          <w:rPr>
            <w:rFonts w:eastAsiaTheme="minorEastAsia" w:cstheme="minorBidi"/>
            <w:snapToGrid/>
            <w:sz w:val="22"/>
            <w:szCs w:val="22"/>
            <w:lang w:eastAsia="en-AU"/>
          </w:rPr>
          <w:tab/>
        </w:r>
        <w:r w:rsidR="000061F7" w:rsidRPr="00D47648">
          <w:rPr>
            <w:rStyle w:val="Hyperlink"/>
          </w:rPr>
          <w:t>Working Age Payment recipients</w:t>
        </w:r>
        <w:r w:rsidR="000061F7">
          <w:rPr>
            <w:webHidden/>
          </w:rPr>
          <w:tab/>
        </w:r>
        <w:r w:rsidR="000061F7">
          <w:rPr>
            <w:webHidden/>
          </w:rPr>
          <w:fldChar w:fldCharType="begin"/>
        </w:r>
        <w:r w:rsidR="000061F7">
          <w:rPr>
            <w:webHidden/>
          </w:rPr>
          <w:instrText xml:space="preserve"> PAGEREF _Toc506388227 \h </w:instrText>
        </w:r>
        <w:r w:rsidR="000061F7">
          <w:rPr>
            <w:webHidden/>
          </w:rPr>
        </w:r>
        <w:r w:rsidR="000061F7">
          <w:rPr>
            <w:webHidden/>
          </w:rPr>
          <w:fldChar w:fldCharType="separate"/>
        </w:r>
        <w:r w:rsidR="00C93C1A">
          <w:rPr>
            <w:webHidden/>
          </w:rPr>
          <w:t>85</w:t>
        </w:r>
        <w:r w:rsidR="000061F7">
          <w:rPr>
            <w:webHidden/>
          </w:rPr>
          <w:fldChar w:fldCharType="end"/>
        </w:r>
      </w:hyperlink>
    </w:p>
    <w:p w14:paraId="16234388" w14:textId="77777777" w:rsidR="000061F7" w:rsidRDefault="00507428">
      <w:pPr>
        <w:pStyle w:val="TOC3"/>
        <w:rPr>
          <w:rFonts w:eastAsiaTheme="minorEastAsia" w:cstheme="minorBidi"/>
          <w:snapToGrid/>
          <w:sz w:val="22"/>
          <w:szCs w:val="22"/>
          <w:lang w:eastAsia="en-AU"/>
        </w:rPr>
      </w:pPr>
      <w:hyperlink w:anchor="_Toc506388228" w:history="1">
        <w:r w:rsidR="000061F7" w:rsidRPr="00D47648">
          <w:rPr>
            <w:rStyle w:val="Hyperlink"/>
          </w:rPr>
          <w:t>6.3</w:t>
        </w:r>
        <w:r w:rsidR="000061F7">
          <w:rPr>
            <w:rFonts w:eastAsiaTheme="minorEastAsia" w:cstheme="minorBidi"/>
            <w:snapToGrid/>
            <w:sz w:val="22"/>
            <w:szCs w:val="22"/>
            <w:lang w:eastAsia="en-AU"/>
          </w:rPr>
          <w:tab/>
        </w:r>
        <w:r w:rsidR="000061F7" w:rsidRPr="00D47648">
          <w:rPr>
            <w:rStyle w:val="Hyperlink"/>
          </w:rPr>
          <w:t>Parenting Payment recipients</w:t>
        </w:r>
        <w:r w:rsidR="000061F7">
          <w:rPr>
            <w:webHidden/>
          </w:rPr>
          <w:tab/>
        </w:r>
        <w:r w:rsidR="000061F7">
          <w:rPr>
            <w:webHidden/>
          </w:rPr>
          <w:fldChar w:fldCharType="begin"/>
        </w:r>
        <w:r w:rsidR="000061F7">
          <w:rPr>
            <w:webHidden/>
          </w:rPr>
          <w:instrText xml:space="preserve"> PAGEREF _Toc506388228 \h </w:instrText>
        </w:r>
        <w:r w:rsidR="000061F7">
          <w:rPr>
            <w:webHidden/>
          </w:rPr>
        </w:r>
        <w:r w:rsidR="000061F7">
          <w:rPr>
            <w:webHidden/>
          </w:rPr>
          <w:fldChar w:fldCharType="separate"/>
        </w:r>
        <w:r w:rsidR="00C93C1A">
          <w:rPr>
            <w:webHidden/>
          </w:rPr>
          <w:t>92</w:t>
        </w:r>
        <w:r w:rsidR="000061F7">
          <w:rPr>
            <w:webHidden/>
          </w:rPr>
          <w:fldChar w:fldCharType="end"/>
        </w:r>
      </w:hyperlink>
    </w:p>
    <w:p w14:paraId="61E26703" w14:textId="77777777" w:rsidR="000061F7" w:rsidRDefault="00507428">
      <w:pPr>
        <w:pStyle w:val="TOC3"/>
        <w:rPr>
          <w:rFonts w:eastAsiaTheme="minorEastAsia" w:cstheme="minorBidi"/>
          <w:snapToGrid/>
          <w:sz w:val="22"/>
          <w:szCs w:val="22"/>
          <w:lang w:eastAsia="en-AU"/>
        </w:rPr>
      </w:pPr>
      <w:hyperlink w:anchor="_Toc506388229" w:history="1">
        <w:r w:rsidR="000061F7" w:rsidRPr="00D47648">
          <w:rPr>
            <w:rStyle w:val="Hyperlink"/>
          </w:rPr>
          <w:t>6.4</w:t>
        </w:r>
        <w:r w:rsidR="000061F7">
          <w:rPr>
            <w:rFonts w:eastAsiaTheme="minorEastAsia" w:cstheme="minorBidi"/>
            <w:snapToGrid/>
            <w:sz w:val="22"/>
            <w:szCs w:val="22"/>
            <w:lang w:eastAsia="en-AU"/>
          </w:rPr>
          <w:tab/>
        </w:r>
        <w:r w:rsidR="000061F7" w:rsidRPr="00D47648">
          <w:rPr>
            <w:rStyle w:val="Hyperlink"/>
          </w:rPr>
          <w:t>Carers (Income Support)</w:t>
        </w:r>
        <w:r w:rsidR="000061F7">
          <w:rPr>
            <w:webHidden/>
          </w:rPr>
          <w:tab/>
        </w:r>
        <w:r w:rsidR="000061F7">
          <w:rPr>
            <w:webHidden/>
          </w:rPr>
          <w:fldChar w:fldCharType="begin"/>
        </w:r>
        <w:r w:rsidR="000061F7">
          <w:rPr>
            <w:webHidden/>
          </w:rPr>
          <w:instrText xml:space="preserve"> PAGEREF _Toc506388229 \h </w:instrText>
        </w:r>
        <w:r w:rsidR="000061F7">
          <w:rPr>
            <w:webHidden/>
          </w:rPr>
        </w:r>
        <w:r w:rsidR="000061F7">
          <w:rPr>
            <w:webHidden/>
          </w:rPr>
          <w:fldChar w:fldCharType="separate"/>
        </w:r>
        <w:r w:rsidR="00C93C1A">
          <w:rPr>
            <w:webHidden/>
          </w:rPr>
          <w:t>99</w:t>
        </w:r>
        <w:r w:rsidR="000061F7">
          <w:rPr>
            <w:webHidden/>
          </w:rPr>
          <w:fldChar w:fldCharType="end"/>
        </w:r>
      </w:hyperlink>
    </w:p>
    <w:p w14:paraId="4596B72E" w14:textId="77777777" w:rsidR="000061F7" w:rsidRDefault="00507428">
      <w:pPr>
        <w:pStyle w:val="TOC3"/>
        <w:rPr>
          <w:rFonts w:eastAsiaTheme="minorEastAsia" w:cstheme="minorBidi"/>
          <w:snapToGrid/>
          <w:sz w:val="22"/>
          <w:szCs w:val="22"/>
          <w:lang w:eastAsia="en-AU"/>
        </w:rPr>
      </w:pPr>
      <w:hyperlink w:anchor="_Toc506388230" w:history="1">
        <w:r w:rsidR="000061F7" w:rsidRPr="00D47648">
          <w:rPr>
            <w:rStyle w:val="Hyperlink"/>
          </w:rPr>
          <w:t>6.5</w:t>
        </w:r>
        <w:r w:rsidR="000061F7">
          <w:rPr>
            <w:rFonts w:eastAsiaTheme="minorEastAsia" w:cstheme="minorBidi"/>
            <w:snapToGrid/>
            <w:sz w:val="22"/>
            <w:szCs w:val="22"/>
            <w:lang w:eastAsia="en-AU"/>
          </w:rPr>
          <w:tab/>
        </w:r>
        <w:r w:rsidR="000061F7" w:rsidRPr="00D47648">
          <w:rPr>
            <w:rStyle w:val="Hyperlink"/>
          </w:rPr>
          <w:t>Disability Support Pensioners</w:t>
        </w:r>
        <w:r w:rsidR="000061F7">
          <w:rPr>
            <w:webHidden/>
          </w:rPr>
          <w:tab/>
        </w:r>
        <w:r w:rsidR="000061F7">
          <w:rPr>
            <w:webHidden/>
          </w:rPr>
          <w:fldChar w:fldCharType="begin"/>
        </w:r>
        <w:r w:rsidR="000061F7">
          <w:rPr>
            <w:webHidden/>
          </w:rPr>
          <w:instrText xml:space="preserve"> PAGEREF _Toc506388230 \h </w:instrText>
        </w:r>
        <w:r w:rsidR="000061F7">
          <w:rPr>
            <w:webHidden/>
          </w:rPr>
        </w:r>
        <w:r w:rsidR="000061F7">
          <w:rPr>
            <w:webHidden/>
          </w:rPr>
          <w:fldChar w:fldCharType="separate"/>
        </w:r>
        <w:r w:rsidR="00C93C1A">
          <w:rPr>
            <w:webHidden/>
          </w:rPr>
          <w:t>105</w:t>
        </w:r>
        <w:r w:rsidR="000061F7">
          <w:rPr>
            <w:webHidden/>
          </w:rPr>
          <w:fldChar w:fldCharType="end"/>
        </w:r>
      </w:hyperlink>
    </w:p>
    <w:p w14:paraId="41FE386D" w14:textId="77777777" w:rsidR="000061F7" w:rsidRDefault="00507428">
      <w:pPr>
        <w:pStyle w:val="TOC3"/>
        <w:rPr>
          <w:rFonts w:eastAsiaTheme="minorEastAsia" w:cstheme="minorBidi"/>
          <w:snapToGrid/>
          <w:sz w:val="22"/>
          <w:szCs w:val="22"/>
          <w:lang w:eastAsia="en-AU"/>
        </w:rPr>
      </w:pPr>
      <w:hyperlink w:anchor="_Toc506388231" w:history="1">
        <w:r w:rsidR="000061F7" w:rsidRPr="00D47648">
          <w:rPr>
            <w:rStyle w:val="Hyperlink"/>
          </w:rPr>
          <w:t>6.6</w:t>
        </w:r>
        <w:r w:rsidR="000061F7">
          <w:rPr>
            <w:rFonts w:eastAsiaTheme="minorEastAsia" w:cstheme="minorBidi"/>
            <w:snapToGrid/>
            <w:sz w:val="22"/>
            <w:szCs w:val="22"/>
            <w:lang w:eastAsia="en-AU"/>
          </w:rPr>
          <w:tab/>
        </w:r>
        <w:r w:rsidR="000061F7" w:rsidRPr="00D47648">
          <w:rPr>
            <w:rStyle w:val="Hyperlink"/>
          </w:rPr>
          <w:t>Age Pensioners</w:t>
        </w:r>
        <w:r w:rsidR="000061F7">
          <w:rPr>
            <w:webHidden/>
          </w:rPr>
          <w:tab/>
        </w:r>
        <w:r w:rsidR="000061F7">
          <w:rPr>
            <w:webHidden/>
          </w:rPr>
          <w:fldChar w:fldCharType="begin"/>
        </w:r>
        <w:r w:rsidR="000061F7">
          <w:rPr>
            <w:webHidden/>
          </w:rPr>
          <w:instrText xml:space="preserve"> PAGEREF _Toc506388231 \h </w:instrText>
        </w:r>
        <w:r w:rsidR="000061F7">
          <w:rPr>
            <w:webHidden/>
          </w:rPr>
        </w:r>
        <w:r w:rsidR="000061F7">
          <w:rPr>
            <w:webHidden/>
          </w:rPr>
          <w:fldChar w:fldCharType="separate"/>
        </w:r>
        <w:r w:rsidR="00C93C1A">
          <w:rPr>
            <w:webHidden/>
          </w:rPr>
          <w:t>112</w:t>
        </w:r>
        <w:r w:rsidR="000061F7">
          <w:rPr>
            <w:webHidden/>
          </w:rPr>
          <w:fldChar w:fldCharType="end"/>
        </w:r>
      </w:hyperlink>
    </w:p>
    <w:p w14:paraId="50C789D5" w14:textId="77777777" w:rsidR="000061F7" w:rsidRDefault="00507428">
      <w:pPr>
        <w:pStyle w:val="TOC2"/>
        <w:rPr>
          <w:rFonts w:eastAsiaTheme="minorEastAsia" w:cstheme="minorBidi"/>
          <w:b w:val="0"/>
          <w:snapToGrid/>
          <w:sz w:val="22"/>
          <w:szCs w:val="22"/>
          <w:lang w:eastAsia="en-AU"/>
        </w:rPr>
      </w:pPr>
      <w:hyperlink w:anchor="_Toc506388232" w:history="1">
        <w:r w:rsidR="000061F7" w:rsidRPr="00D47648">
          <w:rPr>
            <w:rStyle w:val="Hyperlink"/>
          </w:rPr>
          <w:t>7</w:t>
        </w:r>
        <w:r w:rsidR="000061F7">
          <w:rPr>
            <w:rFonts w:eastAsiaTheme="minorEastAsia" w:cstheme="minorBidi"/>
            <w:b w:val="0"/>
            <w:snapToGrid/>
            <w:sz w:val="22"/>
            <w:szCs w:val="22"/>
            <w:lang w:eastAsia="en-AU"/>
          </w:rPr>
          <w:tab/>
        </w:r>
        <w:r w:rsidR="000061F7" w:rsidRPr="00D47648">
          <w:rPr>
            <w:rStyle w:val="Hyperlink"/>
          </w:rPr>
          <w:t>Results for non income support recipients</w:t>
        </w:r>
        <w:r w:rsidR="000061F7">
          <w:rPr>
            <w:webHidden/>
          </w:rPr>
          <w:tab/>
        </w:r>
        <w:r w:rsidR="000061F7">
          <w:rPr>
            <w:webHidden/>
          </w:rPr>
          <w:fldChar w:fldCharType="begin"/>
        </w:r>
        <w:r w:rsidR="000061F7">
          <w:rPr>
            <w:webHidden/>
          </w:rPr>
          <w:instrText xml:space="preserve"> PAGEREF _Toc506388232 \h </w:instrText>
        </w:r>
        <w:r w:rsidR="000061F7">
          <w:rPr>
            <w:webHidden/>
          </w:rPr>
        </w:r>
        <w:r w:rsidR="000061F7">
          <w:rPr>
            <w:webHidden/>
          </w:rPr>
          <w:fldChar w:fldCharType="separate"/>
        </w:r>
        <w:r w:rsidR="00C93C1A">
          <w:rPr>
            <w:webHidden/>
          </w:rPr>
          <w:t>118</w:t>
        </w:r>
        <w:r w:rsidR="000061F7">
          <w:rPr>
            <w:webHidden/>
          </w:rPr>
          <w:fldChar w:fldCharType="end"/>
        </w:r>
      </w:hyperlink>
    </w:p>
    <w:p w14:paraId="11FFA139" w14:textId="77777777" w:rsidR="000061F7" w:rsidRDefault="00507428">
      <w:pPr>
        <w:pStyle w:val="TOC3"/>
        <w:rPr>
          <w:rFonts w:eastAsiaTheme="minorEastAsia" w:cstheme="minorBidi"/>
          <w:snapToGrid/>
          <w:sz w:val="22"/>
          <w:szCs w:val="22"/>
          <w:lang w:eastAsia="en-AU"/>
        </w:rPr>
      </w:pPr>
      <w:hyperlink w:anchor="_Toc506388233" w:history="1">
        <w:r w:rsidR="000061F7" w:rsidRPr="00D47648">
          <w:rPr>
            <w:rStyle w:val="Hyperlink"/>
          </w:rPr>
          <w:t>7.1</w:t>
        </w:r>
        <w:r w:rsidR="000061F7">
          <w:rPr>
            <w:rFonts w:eastAsiaTheme="minorEastAsia" w:cstheme="minorBidi"/>
            <w:snapToGrid/>
            <w:sz w:val="22"/>
            <w:szCs w:val="22"/>
            <w:lang w:eastAsia="en-AU"/>
          </w:rPr>
          <w:tab/>
        </w:r>
        <w:r w:rsidR="000061F7" w:rsidRPr="00D47648">
          <w:rPr>
            <w:rStyle w:val="Hyperlink"/>
          </w:rPr>
          <w:t>Non income support – Family</w:t>
        </w:r>
        <w:r w:rsidR="000061F7">
          <w:rPr>
            <w:webHidden/>
          </w:rPr>
          <w:tab/>
        </w:r>
        <w:r w:rsidR="000061F7">
          <w:rPr>
            <w:webHidden/>
          </w:rPr>
          <w:fldChar w:fldCharType="begin"/>
        </w:r>
        <w:r w:rsidR="000061F7">
          <w:rPr>
            <w:webHidden/>
          </w:rPr>
          <w:instrText xml:space="preserve"> PAGEREF _Toc506388233 \h </w:instrText>
        </w:r>
        <w:r w:rsidR="000061F7">
          <w:rPr>
            <w:webHidden/>
          </w:rPr>
        </w:r>
        <w:r w:rsidR="000061F7">
          <w:rPr>
            <w:webHidden/>
          </w:rPr>
          <w:fldChar w:fldCharType="separate"/>
        </w:r>
        <w:r w:rsidR="00C93C1A">
          <w:rPr>
            <w:webHidden/>
          </w:rPr>
          <w:t>118</w:t>
        </w:r>
        <w:r w:rsidR="000061F7">
          <w:rPr>
            <w:webHidden/>
          </w:rPr>
          <w:fldChar w:fldCharType="end"/>
        </w:r>
      </w:hyperlink>
    </w:p>
    <w:p w14:paraId="16D8D051" w14:textId="77777777" w:rsidR="000061F7" w:rsidRDefault="00507428">
      <w:pPr>
        <w:pStyle w:val="TOC3"/>
        <w:rPr>
          <w:rFonts w:eastAsiaTheme="minorEastAsia" w:cstheme="minorBidi"/>
          <w:snapToGrid/>
          <w:sz w:val="22"/>
          <w:szCs w:val="22"/>
          <w:lang w:eastAsia="en-AU"/>
        </w:rPr>
      </w:pPr>
      <w:hyperlink w:anchor="_Toc506388234" w:history="1">
        <w:r w:rsidR="000061F7" w:rsidRPr="00D47648">
          <w:rPr>
            <w:rStyle w:val="Hyperlink"/>
          </w:rPr>
          <w:t>7.2</w:t>
        </w:r>
        <w:r w:rsidR="000061F7">
          <w:rPr>
            <w:rFonts w:eastAsiaTheme="minorEastAsia" w:cstheme="minorBidi"/>
            <w:snapToGrid/>
            <w:sz w:val="22"/>
            <w:szCs w:val="22"/>
            <w:lang w:eastAsia="en-AU"/>
          </w:rPr>
          <w:tab/>
        </w:r>
        <w:r w:rsidR="000061F7" w:rsidRPr="00D47648">
          <w:rPr>
            <w:rStyle w:val="Hyperlink"/>
          </w:rPr>
          <w:t>Non income support – Carers</w:t>
        </w:r>
        <w:r w:rsidR="000061F7">
          <w:rPr>
            <w:webHidden/>
          </w:rPr>
          <w:tab/>
        </w:r>
        <w:r w:rsidR="000061F7">
          <w:rPr>
            <w:webHidden/>
          </w:rPr>
          <w:fldChar w:fldCharType="begin"/>
        </w:r>
        <w:r w:rsidR="000061F7">
          <w:rPr>
            <w:webHidden/>
          </w:rPr>
          <w:instrText xml:space="preserve"> PAGEREF _Toc506388234 \h </w:instrText>
        </w:r>
        <w:r w:rsidR="000061F7">
          <w:rPr>
            <w:webHidden/>
          </w:rPr>
        </w:r>
        <w:r w:rsidR="000061F7">
          <w:rPr>
            <w:webHidden/>
          </w:rPr>
          <w:fldChar w:fldCharType="separate"/>
        </w:r>
        <w:r w:rsidR="00C93C1A">
          <w:rPr>
            <w:webHidden/>
          </w:rPr>
          <w:t>125</w:t>
        </w:r>
        <w:r w:rsidR="000061F7">
          <w:rPr>
            <w:webHidden/>
          </w:rPr>
          <w:fldChar w:fldCharType="end"/>
        </w:r>
      </w:hyperlink>
    </w:p>
    <w:p w14:paraId="16BC6747" w14:textId="77777777" w:rsidR="000061F7" w:rsidRDefault="00507428">
      <w:pPr>
        <w:pStyle w:val="TOC3"/>
        <w:rPr>
          <w:rFonts w:eastAsiaTheme="minorEastAsia" w:cstheme="minorBidi"/>
          <w:snapToGrid/>
          <w:sz w:val="22"/>
          <w:szCs w:val="22"/>
          <w:lang w:eastAsia="en-AU"/>
        </w:rPr>
      </w:pPr>
      <w:hyperlink w:anchor="_Toc506388235" w:history="1">
        <w:r w:rsidR="000061F7" w:rsidRPr="00D47648">
          <w:rPr>
            <w:rStyle w:val="Hyperlink"/>
          </w:rPr>
          <w:t>7.3</w:t>
        </w:r>
        <w:r w:rsidR="000061F7">
          <w:rPr>
            <w:rFonts w:eastAsiaTheme="minorEastAsia" w:cstheme="minorBidi"/>
            <w:snapToGrid/>
            <w:sz w:val="22"/>
            <w:szCs w:val="22"/>
            <w:lang w:eastAsia="en-AU"/>
          </w:rPr>
          <w:tab/>
        </w:r>
        <w:r w:rsidR="000061F7" w:rsidRPr="00D47648">
          <w:rPr>
            <w:rStyle w:val="Hyperlink"/>
          </w:rPr>
          <w:t>Non income support – Other</w:t>
        </w:r>
        <w:r w:rsidR="000061F7">
          <w:rPr>
            <w:webHidden/>
          </w:rPr>
          <w:tab/>
        </w:r>
        <w:r w:rsidR="000061F7">
          <w:rPr>
            <w:webHidden/>
          </w:rPr>
          <w:fldChar w:fldCharType="begin"/>
        </w:r>
        <w:r w:rsidR="000061F7">
          <w:rPr>
            <w:webHidden/>
          </w:rPr>
          <w:instrText xml:space="preserve"> PAGEREF _Toc506388235 \h </w:instrText>
        </w:r>
        <w:r w:rsidR="000061F7">
          <w:rPr>
            <w:webHidden/>
          </w:rPr>
        </w:r>
        <w:r w:rsidR="000061F7">
          <w:rPr>
            <w:webHidden/>
          </w:rPr>
          <w:fldChar w:fldCharType="separate"/>
        </w:r>
        <w:r w:rsidR="00C93C1A">
          <w:rPr>
            <w:webHidden/>
          </w:rPr>
          <w:t>132</w:t>
        </w:r>
        <w:r w:rsidR="000061F7">
          <w:rPr>
            <w:webHidden/>
          </w:rPr>
          <w:fldChar w:fldCharType="end"/>
        </w:r>
      </w:hyperlink>
    </w:p>
    <w:p w14:paraId="54D2DCF1" w14:textId="77777777" w:rsidR="000061F7" w:rsidRDefault="00507428">
      <w:pPr>
        <w:pStyle w:val="TOC2"/>
        <w:rPr>
          <w:rFonts w:eastAsiaTheme="minorEastAsia" w:cstheme="minorBidi"/>
          <w:b w:val="0"/>
          <w:snapToGrid/>
          <w:sz w:val="22"/>
          <w:szCs w:val="22"/>
          <w:lang w:eastAsia="en-AU"/>
        </w:rPr>
      </w:pPr>
      <w:hyperlink w:anchor="_Toc506388236" w:history="1">
        <w:r w:rsidR="000061F7" w:rsidRPr="00D47648">
          <w:rPr>
            <w:rStyle w:val="Hyperlink"/>
          </w:rPr>
          <w:t>8</w:t>
        </w:r>
        <w:r w:rsidR="000061F7">
          <w:rPr>
            <w:rFonts w:eastAsiaTheme="minorEastAsia" w:cstheme="minorBidi"/>
            <w:b w:val="0"/>
            <w:snapToGrid/>
            <w:sz w:val="22"/>
            <w:szCs w:val="22"/>
            <w:lang w:eastAsia="en-AU"/>
          </w:rPr>
          <w:tab/>
        </w:r>
        <w:r w:rsidR="000061F7" w:rsidRPr="00D47648">
          <w:rPr>
            <w:rStyle w:val="Hyperlink"/>
          </w:rPr>
          <w:t>Results for non-welfare recipients</w:t>
        </w:r>
        <w:r w:rsidR="000061F7">
          <w:rPr>
            <w:webHidden/>
          </w:rPr>
          <w:tab/>
        </w:r>
        <w:r w:rsidR="000061F7">
          <w:rPr>
            <w:webHidden/>
          </w:rPr>
          <w:fldChar w:fldCharType="begin"/>
        </w:r>
        <w:r w:rsidR="000061F7">
          <w:rPr>
            <w:webHidden/>
          </w:rPr>
          <w:instrText xml:space="preserve"> PAGEREF _Toc506388236 \h </w:instrText>
        </w:r>
        <w:r w:rsidR="000061F7">
          <w:rPr>
            <w:webHidden/>
          </w:rPr>
        </w:r>
        <w:r w:rsidR="000061F7">
          <w:rPr>
            <w:webHidden/>
          </w:rPr>
          <w:fldChar w:fldCharType="separate"/>
        </w:r>
        <w:r w:rsidR="00C93C1A">
          <w:rPr>
            <w:webHidden/>
          </w:rPr>
          <w:t>140</w:t>
        </w:r>
        <w:r w:rsidR="000061F7">
          <w:rPr>
            <w:webHidden/>
          </w:rPr>
          <w:fldChar w:fldCharType="end"/>
        </w:r>
      </w:hyperlink>
    </w:p>
    <w:p w14:paraId="3872F4B3" w14:textId="77777777" w:rsidR="000061F7" w:rsidRDefault="00507428">
      <w:pPr>
        <w:pStyle w:val="TOC3"/>
        <w:rPr>
          <w:rFonts w:eastAsiaTheme="minorEastAsia" w:cstheme="minorBidi"/>
          <w:snapToGrid/>
          <w:sz w:val="22"/>
          <w:szCs w:val="22"/>
          <w:lang w:eastAsia="en-AU"/>
        </w:rPr>
      </w:pPr>
      <w:hyperlink w:anchor="_Toc506388237" w:history="1">
        <w:r w:rsidR="000061F7" w:rsidRPr="00D47648">
          <w:rPr>
            <w:rStyle w:val="Hyperlink"/>
          </w:rPr>
          <w:t>8.1</w:t>
        </w:r>
        <w:r w:rsidR="000061F7">
          <w:rPr>
            <w:rFonts w:eastAsiaTheme="minorEastAsia" w:cstheme="minorBidi"/>
            <w:snapToGrid/>
            <w:sz w:val="22"/>
            <w:szCs w:val="22"/>
            <w:lang w:eastAsia="en-AU"/>
          </w:rPr>
          <w:tab/>
        </w:r>
        <w:r w:rsidR="000061F7" w:rsidRPr="00D47648">
          <w:rPr>
            <w:rStyle w:val="Hyperlink"/>
          </w:rPr>
          <w:t>Previous welfare recipients</w:t>
        </w:r>
        <w:r w:rsidR="000061F7">
          <w:rPr>
            <w:webHidden/>
          </w:rPr>
          <w:tab/>
        </w:r>
        <w:r w:rsidR="000061F7">
          <w:rPr>
            <w:webHidden/>
          </w:rPr>
          <w:fldChar w:fldCharType="begin"/>
        </w:r>
        <w:r w:rsidR="000061F7">
          <w:rPr>
            <w:webHidden/>
          </w:rPr>
          <w:instrText xml:space="preserve"> PAGEREF _Toc506388237 \h </w:instrText>
        </w:r>
        <w:r w:rsidR="000061F7">
          <w:rPr>
            <w:webHidden/>
          </w:rPr>
        </w:r>
        <w:r w:rsidR="000061F7">
          <w:rPr>
            <w:webHidden/>
          </w:rPr>
          <w:fldChar w:fldCharType="separate"/>
        </w:r>
        <w:r w:rsidR="00C93C1A">
          <w:rPr>
            <w:webHidden/>
          </w:rPr>
          <w:t>140</w:t>
        </w:r>
        <w:r w:rsidR="000061F7">
          <w:rPr>
            <w:webHidden/>
          </w:rPr>
          <w:fldChar w:fldCharType="end"/>
        </w:r>
      </w:hyperlink>
    </w:p>
    <w:p w14:paraId="2D224721" w14:textId="77777777" w:rsidR="000061F7" w:rsidRDefault="00507428">
      <w:pPr>
        <w:pStyle w:val="TOC3"/>
        <w:rPr>
          <w:rFonts w:eastAsiaTheme="minorEastAsia" w:cstheme="minorBidi"/>
          <w:snapToGrid/>
          <w:sz w:val="22"/>
          <w:szCs w:val="22"/>
          <w:lang w:eastAsia="en-AU"/>
        </w:rPr>
      </w:pPr>
      <w:hyperlink w:anchor="_Toc506388238" w:history="1">
        <w:r w:rsidR="000061F7" w:rsidRPr="00D47648">
          <w:rPr>
            <w:rStyle w:val="Hyperlink"/>
          </w:rPr>
          <w:t>8.2</w:t>
        </w:r>
        <w:r w:rsidR="000061F7">
          <w:rPr>
            <w:rFonts w:eastAsiaTheme="minorEastAsia" w:cstheme="minorBidi"/>
            <w:snapToGrid/>
            <w:sz w:val="22"/>
            <w:szCs w:val="22"/>
            <w:lang w:eastAsia="en-AU"/>
          </w:rPr>
          <w:tab/>
        </w:r>
        <w:r w:rsidR="000061F7" w:rsidRPr="00D47648">
          <w:rPr>
            <w:rStyle w:val="Hyperlink"/>
          </w:rPr>
          <w:t>Rest of the Australian population</w:t>
        </w:r>
        <w:r w:rsidR="000061F7">
          <w:rPr>
            <w:webHidden/>
          </w:rPr>
          <w:tab/>
        </w:r>
        <w:r w:rsidR="000061F7">
          <w:rPr>
            <w:webHidden/>
          </w:rPr>
          <w:fldChar w:fldCharType="begin"/>
        </w:r>
        <w:r w:rsidR="000061F7">
          <w:rPr>
            <w:webHidden/>
          </w:rPr>
          <w:instrText xml:space="preserve"> PAGEREF _Toc506388238 \h </w:instrText>
        </w:r>
        <w:r w:rsidR="000061F7">
          <w:rPr>
            <w:webHidden/>
          </w:rPr>
        </w:r>
        <w:r w:rsidR="000061F7">
          <w:rPr>
            <w:webHidden/>
          </w:rPr>
          <w:fldChar w:fldCharType="separate"/>
        </w:r>
        <w:r w:rsidR="00C93C1A">
          <w:rPr>
            <w:webHidden/>
          </w:rPr>
          <w:t>146</w:t>
        </w:r>
        <w:r w:rsidR="000061F7">
          <w:rPr>
            <w:webHidden/>
          </w:rPr>
          <w:fldChar w:fldCharType="end"/>
        </w:r>
      </w:hyperlink>
    </w:p>
    <w:p w14:paraId="170F7723" w14:textId="77777777" w:rsidR="000061F7" w:rsidRDefault="00507428">
      <w:pPr>
        <w:pStyle w:val="TOC1"/>
        <w:rPr>
          <w:rFonts w:eastAsiaTheme="minorEastAsia" w:cstheme="minorBidi"/>
          <w:b w:val="0"/>
          <w:snapToGrid/>
          <w:sz w:val="22"/>
          <w:szCs w:val="22"/>
          <w:lang w:eastAsia="en-AU"/>
        </w:rPr>
      </w:pPr>
      <w:hyperlink w:anchor="_Toc506388239" w:history="1">
        <w:r w:rsidR="000061F7" w:rsidRPr="00D47648">
          <w:rPr>
            <w:rStyle w:val="Hyperlink"/>
          </w:rPr>
          <w:t>Appendices</w:t>
        </w:r>
        <w:r w:rsidR="000061F7">
          <w:rPr>
            <w:webHidden/>
          </w:rPr>
          <w:tab/>
        </w:r>
        <w:r w:rsidR="000061F7">
          <w:rPr>
            <w:webHidden/>
          </w:rPr>
          <w:fldChar w:fldCharType="begin"/>
        </w:r>
        <w:r w:rsidR="000061F7">
          <w:rPr>
            <w:webHidden/>
          </w:rPr>
          <w:instrText xml:space="preserve"> PAGEREF _Toc506388239 \h </w:instrText>
        </w:r>
        <w:r w:rsidR="000061F7">
          <w:rPr>
            <w:webHidden/>
          </w:rPr>
        </w:r>
        <w:r w:rsidR="000061F7">
          <w:rPr>
            <w:webHidden/>
          </w:rPr>
          <w:fldChar w:fldCharType="separate"/>
        </w:r>
        <w:r w:rsidR="00C93C1A">
          <w:rPr>
            <w:webHidden/>
          </w:rPr>
          <w:t>152</w:t>
        </w:r>
        <w:r w:rsidR="000061F7">
          <w:rPr>
            <w:webHidden/>
          </w:rPr>
          <w:fldChar w:fldCharType="end"/>
        </w:r>
      </w:hyperlink>
    </w:p>
    <w:p w14:paraId="629716ED" w14:textId="77777777" w:rsidR="00522039" w:rsidRPr="009210D0" w:rsidRDefault="00522039" w:rsidP="00522039">
      <w:pPr>
        <w:sectPr w:rsidR="00522039" w:rsidRPr="009210D0" w:rsidSect="00306559">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1134" w:right="1021" w:bottom="1418" w:left="1021" w:header="567" w:footer="567" w:gutter="0"/>
          <w:pgNumType w:fmt="lowerRoman"/>
          <w:cols w:space="720"/>
          <w:docGrid w:linePitch="299"/>
        </w:sectPr>
      </w:pPr>
      <w:r w:rsidRPr="009210D0">
        <w:rPr>
          <w:b/>
          <w:color w:val="auto"/>
        </w:rPr>
        <w:fldChar w:fldCharType="end"/>
      </w:r>
    </w:p>
    <w:p w14:paraId="59577377" w14:textId="77777777" w:rsidR="001F627D" w:rsidRPr="009210D0" w:rsidRDefault="0060364A" w:rsidP="00145367">
      <w:pPr>
        <w:pStyle w:val="Heading1"/>
        <w:spacing w:before="6720"/>
      </w:pPr>
      <w:bookmarkStart w:id="3" w:name="_Toc506388191"/>
      <w:r w:rsidRPr="009210D0">
        <w:rPr>
          <w:noProof/>
          <w:lang w:eastAsia="en-AU"/>
        </w:rPr>
        <w:lastRenderedPageBreak/>
        <w:drawing>
          <wp:anchor distT="0" distB="0" distL="114300" distR="114300" simplePos="0" relativeHeight="251673600" behindDoc="0" locked="0" layoutInCell="1" allowOverlap="1" wp14:anchorId="6C947CC6" wp14:editId="00348254">
            <wp:simplePos x="0" y="0"/>
            <wp:positionH relativeFrom="column">
              <wp:posOffset>-508000</wp:posOffset>
            </wp:positionH>
            <wp:positionV relativeFrom="paragraph">
              <wp:posOffset>-861060</wp:posOffset>
            </wp:positionV>
            <wp:extent cx="7271385" cy="4842510"/>
            <wp:effectExtent l="0" t="0" r="5715" b="0"/>
            <wp:wrapNone/>
            <wp:docPr id="1028" name="Picture 1028" descr="Group of people is reading some documents and discussing" title="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x_general\images\Royalty free images\People\iStock_000015436937La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1385" cy="484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27D" w:rsidRPr="009210D0">
        <w:t>Part I: Executive summary</w:t>
      </w:r>
      <w:bookmarkEnd w:id="3"/>
    </w:p>
    <w:p w14:paraId="0AF56F41" w14:textId="77777777" w:rsidR="0060364A" w:rsidRPr="009210D0" w:rsidRDefault="0060364A" w:rsidP="0060364A"/>
    <w:p w14:paraId="04B9CDFC" w14:textId="77777777" w:rsidR="005C0870" w:rsidRPr="009210D0" w:rsidRDefault="005C0870">
      <w:pPr>
        <w:kinsoku/>
        <w:overflowPunct/>
        <w:autoSpaceDE/>
        <w:autoSpaceDN/>
        <w:adjustRightInd/>
        <w:snapToGrid/>
      </w:pPr>
      <w:r w:rsidRPr="009210D0">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outlines key points from this report section."/>
      </w:tblPr>
      <w:tblGrid>
        <w:gridCol w:w="10081"/>
      </w:tblGrid>
      <w:tr w:rsidR="00FD1D2C" w:rsidRPr="0037036D" w14:paraId="62B2EB00" w14:textId="77777777" w:rsidTr="0037036D">
        <w:trPr>
          <w:trHeight w:val="20"/>
          <w:tblHeader/>
        </w:trPr>
        <w:tc>
          <w:tcPr>
            <w:tcW w:w="10081" w:type="dxa"/>
            <w:shd w:val="clear" w:color="auto" w:fill="F3ABA4" w:themeFill="accent6" w:themeFillTint="66"/>
          </w:tcPr>
          <w:p w14:paraId="664791D8" w14:textId="453BFFA7" w:rsidR="00FD1D2C" w:rsidRPr="0037036D" w:rsidRDefault="00FD1D2C" w:rsidP="00676A00">
            <w:pPr>
              <w:pStyle w:val="Majorheading"/>
              <w:spacing w:before="0" w:after="0"/>
              <w:rPr>
                <w:color w:val="404040" w:themeColor="text1" w:themeTint="BF"/>
                <w:sz w:val="2"/>
              </w:rPr>
            </w:pPr>
          </w:p>
        </w:tc>
      </w:tr>
      <w:tr w:rsidR="0066412B" w:rsidRPr="009210D0" w14:paraId="36DDE881" w14:textId="77777777" w:rsidTr="007116AD">
        <w:tc>
          <w:tcPr>
            <w:tcW w:w="10081" w:type="dxa"/>
            <w:shd w:val="clear" w:color="auto" w:fill="F3ABA4" w:themeFill="accent6" w:themeFillTint="66"/>
          </w:tcPr>
          <w:p w14:paraId="13E48D0D" w14:textId="1B288594" w:rsidR="00EF3D46" w:rsidRPr="004B6C89" w:rsidRDefault="00EF3D46" w:rsidP="00676A00">
            <w:pPr>
              <w:pStyle w:val="Majorheading"/>
              <w:spacing w:before="120"/>
              <w:rPr>
                <w:color w:val="404040" w:themeColor="text1" w:themeTint="BF"/>
              </w:rPr>
            </w:pPr>
            <w:r w:rsidRPr="004B6C89">
              <w:rPr>
                <w:color w:val="404040" w:themeColor="text1" w:themeTint="BF"/>
              </w:rPr>
              <w:t>Key Findings</w:t>
            </w:r>
          </w:p>
          <w:p w14:paraId="7A31FD0D" w14:textId="744F057F" w:rsidR="007C00A3" w:rsidRDefault="00C80D22" w:rsidP="00750026">
            <w:pPr>
              <w:pStyle w:val="Bullet1"/>
              <w:numPr>
                <w:ilvl w:val="0"/>
                <w:numId w:val="0"/>
              </w:numPr>
            </w:pPr>
            <w:r>
              <w:t xml:space="preserve">This </w:t>
            </w:r>
            <w:r w:rsidR="00750026">
              <w:t xml:space="preserve">30 June 2017 actuarial </w:t>
            </w:r>
            <w:r>
              <w:t xml:space="preserve">valuation is part of the work undertaken by the Department of Social Services to implement the Australian Priority Investment Approach to social welfare with the aim of reducing welfare dependency and improving the lifetime wellbeing of people and families in Australia. </w:t>
            </w:r>
            <w:r w:rsidR="00750026">
              <w:t>The actuarial valuation provides a long term perspective of the financial commitments implicit in the current welfare system and provides information on:</w:t>
            </w:r>
          </w:p>
          <w:p w14:paraId="6A155D48" w14:textId="77777777" w:rsidR="00750026" w:rsidRPr="00750026" w:rsidRDefault="00750026" w:rsidP="00750026">
            <w:pPr>
              <w:pStyle w:val="ListBullet"/>
            </w:pPr>
            <w:r w:rsidRPr="00750026">
              <w:t>The future cost of the system (lifetime cost).</w:t>
            </w:r>
          </w:p>
          <w:p w14:paraId="50A88E7D" w14:textId="1B472E1B" w:rsidR="00750026" w:rsidRPr="00750026" w:rsidRDefault="00750026" w:rsidP="00750026">
            <w:pPr>
              <w:pStyle w:val="ListBullet"/>
            </w:pPr>
            <w:r w:rsidRPr="00750026">
              <w:t>How the different payment types (programs) contribute to this overall cost.</w:t>
            </w:r>
          </w:p>
          <w:p w14:paraId="6D6F2A7F" w14:textId="396B4025" w:rsidR="00750026" w:rsidRPr="00750026" w:rsidRDefault="00750026" w:rsidP="00750026">
            <w:pPr>
              <w:pStyle w:val="ListBullet"/>
            </w:pPr>
            <w:r w:rsidRPr="00750026">
              <w:t>The factors which drive the overall lifetime cost and annual expenditures.</w:t>
            </w:r>
          </w:p>
          <w:p w14:paraId="5CBE4937" w14:textId="2E8474FA" w:rsidR="00750026" w:rsidRPr="00750026" w:rsidRDefault="00750026" w:rsidP="00750026">
            <w:pPr>
              <w:pStyle w:val="ListBullet"/>
            </w:pPr>
            <w:r w:rsidRPr="00750026">
              <w:t>How the cost is changing over time, which provides information on the financial sustainability of the system.</w:t>
            </w:r>
          </w:p>
          <w:p w14:paraId="0B0B9F39" w14:textId="4E88F93B" w:rsidR="00750026" w:rsidRPr="00750026" w:rsidRDefault="00750026" w:rsidP="00750026">
            <w:pPr>
              <w:pStyle w:val="ListBullet"/>
            </w:pPr>
            <w:r w:rsidRPr="00750026">
              <w:t>The impact of changes, both to the welfare system and to external drivers of the system experience.</w:t>
            </w:r>
          </w:p>
          <w:p w14:paraId="57E7F1D2" w14:textId="3D03618E" w:rsidR="00750026" w:rsidRPr="00750026" w:rsidRDefault="00750026" w:rsidP="00750026">
            <w:pPr>
              <w:pStyle w:val="ListBullet"/>
            </w:pPr>
            <w:r w:rsidRPr="00750026">
              <w:t>How different groups of people within the system contribute to the overall cost.</w:t>
            </w:r>
          </w:p>
          <w:p w14:paraId="756768B3" w14:textId="13B28F42" w:rsidR="00750026" w:rsidRPr="00750026" w:rsidRDefault="00750026" w:rsidP="00FA4F6F">
            <w:pPr>
              <w:pStyle w:val="ListBullet"/>
            </w:pPr>
            <w:r w:rsidRPr="00750026">
              <w:t>The factors which explain why some groups of people have different levels of expected payment utilisation</w:t>
            </w:r>
            <w:r>
              <w:t xml:space="preserve"> </w:t>
            </w:r>
            <w:r w:rsidRPr="00750026">
              <w:t xml:space="preserve">than others. </w:t>
            </w:r>
          </w:p>
          <w:p w14:paraId="2E570A5D" w14:textId="4532B533" w:rsidR="007116AD" w:rsidRPr="007116AD" w:rsidRDefault="007116AD" w:rsidP="007116AD">
            <w:pPr>
              <w:pStyle w:val="Bullet1"/>
              <w:keepNext/>
              <w:numPr>
                <w:ilvl w:val="0"/>
                <w:numId w:val="0"/>
              </w:numPr>
              <w:rPr>
                <w:b/>
              </w:rPr>
            </w:pPr>
            <w:r w:rsidRPr="007116AD">
              <w:rPr>
                <w:b/>
              </w:rPr>
              <w:t>Headline results</w:t>
            </w:r>
          </w:p>
          <w:p w14:paraId="13F72E66" w14:textId="38EE2C76" w:rsidR="00144D45" w:rsidRPr="0075685F" w:rsidRDefault="00144D45" w:rsidP="00144D45">
            <w:pPr>
              <w:pStyle w:val="Bullet1"/>
              <w:numPr>
                <w:ilvl w:val="0"/>
                <w:numId w:val="0"/>
              </w:numPr>
            </w:pPr>
            <w:r w:rsidRPr="0075685F">
              <w:t>The total lifetime cost is estimated to be $4,681 billion as at 30 June 2017, up 3.7%</w:t>
            </w:r>
            <w:r>
              <w:t xml:space="preserve"> ($167 billion)</w:t>
            </w:r>
            <w:r w:rsidRPr="0075685F">
              <w:t xml:space="preserve"> from $4,514</w:t>
            </w:r>
            <w:r w:rsidR="004F14F5">
              <w:t> </w:t>
            </w:r>
            <w:r w:rsidRPr="0075685F">
              <w:t>billion last year</w:t>
            </w:r>
            <w:r>
              <w:t>.</w:t>
            </w:r>
            <w:r w:rsidRPr="0075685F">
              <w:t xml:space="preserve"> </w:t>
            </w:r>
            <w:r>
              <w:t>This change is the combined effect of:</w:t>
            </w:r>
          </w:p>
          <w:p w14:paraId="0CBBC365" w14:textId="5E5E7C10" w:rsidR="00144D45" w:rsidRPr="0075685F" w:rsidRDefault="00144D45" w:rsidP="00144D45">
            <w:pPr>
              <w:pStyle w:val="ListBullet"/>
            </w:pPr>
            <w:r w:rsidRPr="0075685F">
              <w:t>Population growth and inflation</w:t>
            </w:r>
            <w:r>
              <w:t xml:space="preserve"> which</w:t>
            </w:r>
            <w:r w:rsidRPr="0075685F">
              <w:t xml:space="preserve"> increased the total lifetime cost by</w:t>
            </w:r>
            <w:r>
              <w:t xml:space="preserve"> $210bn</w:t>
            </w:r>
            <w:r w:rsidRPr="0075685F">
              <w:t xml:space="preserve"> </w:t>
            </w:r>
            <w:r>
              <w:t>(+4.7</w:t>
            </w:r>
            <w:r w:rsidRPr="0075685F">
              <w:t>%</w:t>
            </w:r>
            <w:r w:rsidR="004F14F5">
              <w:t>).</w:t>
            </w:r>
          </w:p>
          <w:p w14:paraId="1A439FFB" w14:textId="1CCAD2F6" w:rsidR="00144D45" w:rsidRPr="0075685F" w:rsidRDefault="00144D45" w:rsidP="00144D45">
            <w:pPr>
              <w:pStyle w:val="ListBullet"/>
            </w:pPr>
            <w:r w:rsidRPr="0075685F">
              <w:t xml:space="preserve">Other changes including a reduction in the number of people accessing welfare payments </w:t>
            </w:r>
            <w:r>
              <w:t xml:space="preserve">which </w:t>
            </w:r>
            <w:r w:rsidRPr="0075685F">
              <w:t xml:space="preserve">have </w:t>
            </w:r>
            <w:r>
              <w:t>contributed</w:t>
            </w:r>
            <w:r w:rsidRPr="0075685F">
              <w:t xml:space="preserve"> a decrease of </w:t>
            </w:r>
            <w:r>
              <w:t>$43bn (-1</w:t>
            </w:r>
            <w:r w:rsidR="004F14F5">
              <w:t>.0</w:t>
            </w:r>
            <w:r w:rsidRPr="0075685F">
              <w:t>%</w:t>
            </w:r>
            <w:r>
              <w:t>).</w:t>
            </w:r>
          </w:p>
          <w:p w14:paraId="455E4C54" w14:textId="50639900" w:rsidR="007116AD" w:rsidRPr="007116AD" w:rsidRDefault="007116AD" w:rsidP="007116AD">
            <w:pPr>
              <w:pStyle w:val="Bullet1"/>
              <w:keepNext/>
              <w:numPr>
                <w:ilvl w:val="0"/>
                <w:numId w:val="0"/>
              </w:numPr>
              <w:rPr>
                <w:b/>
              </w:rPr>
            </w:pPr>
            <w:r>
              <w:rPr>
                <w:b/>
              </w:rPr>
              <w:t>Movements since the June 2016 valuation</w:t>
            </w:r>
          </w:p>
          <w:p w14:paraId="519A6BD5" w14:textId="77777777" w:rsidR="00144D45" w:rsidRPr="0075685F" w:rsidRDefault="00144D45" w:rsidP="00144D45">
            <w:pPr>
              <w:pStyle w:val="Bullet1"/>
              <w:numPr>
                <w:ilvl w:val="0"/>
                <w:numId w:val="0"/>
              </w:numPr>
            </w:pPr>
            <w:r w:rsidRPr="0075685F">
              <w:t>Key observations regarding the overall movement in results and drivers of change include:</w:t>
            </w:r>
          </w:p>
          <w:p w14:paraId="2C279FA6" w14:textId="77777777" w:rsidR="00144D45" w:rsidRDefault="00144D45" w:rsidP="00144D45">
            <w:pPr>
              <w:pStyle w:val="ListBullet"/>
            </w:pPr>
            <w:r w:rsidRPr="0075685F">
              <w:t xml:space="preserve">The welfare population now represents 32.6% of the population (down from 33.3% at June 2016), with the proportion of the population in receipt of income support down from 23.8% to 23.3%. </w:t>
            </w:r>
          </w:p>
          <w:p w14:paraId="072471E9" w14:textId="143FB152" w:rsidR="00144D45" w:rsidRDefault="00144D45" w:rsidP="00144D45">
            <w:pPr>
              <w:pStyle w:val="ListBullet2"/>
            </w:pPr>
            <w:r>
              <w:t>Whilst the population has grown over the year the total number of people in the welfare system is very close to that last year</w:t>
            </w:r>
            <w:r w:rsidR="004F14F5">
              <w:t>.</w:t>
            </w:r>
            <w:r w:rsidR="00F52081">
              <w:t xml:space="preserve"> </w:t>
            </w:r>
          </w:p>
          <w:p w14:paraId="1C329984" w14:textId="19966B63" w:rsidR="00144D45" w:rsidRDefault="00144D45" w:rsidP="00144D45">
            <w:pPr>
              <w:pStyle w:val="ListBullet2"/>
            </w:pPr>
            <w:r>
              <w:t>Over the latest year, e</w:t>
            </w:r>
            <w:r w:rsidRPr="0075685F">
              <w:t>ntries to the welfare system have decreased and exits</w:t>
            </w:r>
            <w:r>
              <w:t xml:space="preserve"> from the system have</w:t>
            </w:r>
            <w:r w:rsidRPr="0075685F">
              <w:t xml:space="preserve"> increased</w:t>
            </w:r>
            <w:r>
              <w:t xml:space="preserve"> compared to recent years</w:t>
            </w:r>
            <w:r w:rsidR="004F14F5">
              <w:t>.</w:t>
            </w:r>
            <w:r>
              <w:t xml:space="preserve"> </w:t>
            </w:r>
          </w:p>
          <w:p w14:paraId="5C381453" w14:textId="7291A194" w:rsidR="00144D45" w:rsidRPr="0075685F" w:rsidRDefault="00144D45" w:rsidP="00144D45">
            <w:pPr>
              <w:pStyle w:val="ListBullet2"/>
            </w:pPr>
            <w:r>
              <w:t>The numbers of people in most income support classes</w:t>
            </w:r>
            <w:r w:rsidR="00964E82">
              <w:t>, including the Studying, Working Age, Parenting and Disability Support Pensioners classes,</w:t>
            </w:r>
            <w:r>
              <w:t xml:space="preserve"> have reduced compared to last year</w:t>
            </w:r>
            <w:r w:rsidRPr="0075685F">
              <w:t>.</w:t>
            </w:r>
            <w:r>
              <w:t xml:space="preserve"> The exceptions to this are the Carers class and Age Pension class, both of which have continued to grow, but to a lesser extent than previously expected.</w:t>
            </w:r>
          </w:p>
          <w:p w14:paraId="6E7096E8" w14:textId="77777777" w:rsidR="00144D45" w:rsidRDefault="00144D45" w:rsidP="00144D45">
            <w:pPr>
              <w:pStyle w:val="ListBullet"/>
            </w:pPr>
            <w:r w:rsidRPr="0075685F">
              <w:t>The average lifetime cost has remained fairly stable</w:t>
            </w:r>
            <w:r>
              <w:t xml:space="preserve"> after allowing for inflation, both across the whole population and for most of the main classes</w:t>
            </w:r>
            <w:r w:rsidRPr="0075685F">
              <w:t>.</w:t>
            </w:r>
            <w:r>
              <w:t xml:space="preserve"> </w:t>
            </w:r>
          </w:p>
          <w:p w14:paraId="705A2B8E" w14:textId="5E7562A8" w:rsidR="00144D45" w:rsidRDefault="00144D45" w:rsidP="00144D45">
            <w:pPr>
              <w:pStyle w:val="ListBullet2"/>
            </w:pPr>
            <w:r>
              <w:t xml:space="preserve">A slightly bigger change has been seen for the </w:t>
            </w:r>
            <w:r w:rsidR="00D10802">
              <w:t xml:space="preserve">Working Age </w:t>
            </w:r>
            <w:r>
              <w:t>class, where reducing numbers and changes to other payments have shifted the profile of people in the class and resulted in an increased average size.</w:t>
            </w:r>
          </w:p>
          <w:p w14:paraId="4E45C85E" w14:textId="7CA8DF4E" w:rsidR="00144D45" w:rsidRPr="0075685F" w:rsidRDefault="00144D45" w:rsidP="00144D45">
            <w:pPr>
              <w:pStyle w:val="ListBullet2"/>
            </w:pPr>
            <w:r>
              <w:t xml:space="preserve">Conversely, the average size for the </w:t>
            </w:r>
            <w:r w:rsidR="00D10802">
              <w:t xml:space="preserve">Non Income Support Other </w:t>
            </w:r>
            <w:r>
              <w:t xml:space="preserve">class has reduced, </w:t>
            </w:r>
            <w:r w:rsidR="000949CF">
              <w:t xml:space="preserve">as we expect fewer people who are above retirement age in this class to move on to the age pension in the future. </w:t>
            </w:r>
          </w:p>
          <w:p w14:paraId="1B710FE6" w14:textId="3C305EF4" w:rsidR="000C761D" w:rsidRPr="0075685F" w:rsidRDefault="00871DAB" w:rsidP="000C761D">
            <w:pPr>
              <w:pStyle w:val="ListBullet"/>
            </w:pPr>
            <w:r w:rsidRPr="0075685F">
              <w:t xml:space="preserve">The net impact of adjustments for policy changes </w:t>
            </w:r>
            <w:r>
              <w:t>has contributed to a 0.</w:t>
            </w:r>
            <w:r w:rsidR="004F14F5">
              <w:t>1</w:t>
            </w:r>
            <w:r>
              <w:t>% decrease</w:t>
            </w:r>
            <w:r w:rsidR="00C66309">
              <w:t xml:space="preserve"> ($4 billion)</w:t>
            </w:r>
            <w:r>
              <w:t xml:space="preserve"> in the total lifetime cost</w:t>
            </w:r>
            <w:r w:rsidRPr="0075685F">
              <w:t>. A substantial increase due to the introduction of the Child Care Subsidy and associated changes is more than offset by the introduction of the $80,000 income limit for claiming</w:t>
            </w:r>
            <w:r w:rsidR="000949CF">
              <w:t xml:space="preserve"> the</w:t>
            </w:r>
            <w:r w:rsidRPr="0075685F">
              <w:t xml:space="preserve"> Family Tax Benefit </w:t>
            </w:r>
            <w:r w:rsidR="0018791A">
              <w:t>P</w:t>
            </w:r>
            <w:r w:rsidRPr="0075685F">
              <w:t>art A</w:t>
            </w:r>
            <w:r w:rsidR="000949CF">
              <w:t xml:space="preserve"> supplement</w:t>
            </w:r>
            <w:r>
              <w:t xml:space="preserve"> </w:t>
            </w:r>
            <w:r w:rsidR="004F14F5">
              <w:t xml:space="preserve">and </w:t>
            </w:r>
            <w:r w:rsidRPr="0075685F">
              <w:t xml:space="preserve">the </w:t>
            </w:r>
            <w:r>
              <w:t>two</w:t>
            </w:r>
            <w:r w:rsidRPr="0075685F">
              <w:t xml:space="preserve"> year freeze on FTB rates</w:t>
            </w:r>
            <w:r>
              <w:t>.</w:t>
            </w:r>
          </w:p>
          <w:p w14:paraId="045442C4" w14:textId="065F7326" w:rsidR="007116AD" w:rsidRPr="007116AD" w:rsidRDefault="007116AD" w:rsidP="007116AD">
            <w:pPr>
              <w:pStyle w:val="Bullet1"/>
              <w:keepNext/>
              <w:numPr>
                <w:ilvl w:val="0"/>
                <w:numId w:val="0"/>
              </w:numPr>
              <w:rPr>
                <w:b/>
              </w:rPr>
            </w:pPr>
            <w:r>
              <w:rPr>
                <w:b/>
              </w:rPr>
              <w:t>New findings</w:t>
            </w:r>
          </w:p>
          <w:p w14:paraId="288B3382" w14:textId="7D8309D1" w:rsidR="0041448B" w:rsidRPr="0075685F" w:rsidRDefault="0041448B" w:rsidP="00536498">
            <w:pPr>
              <w:pStyle w:val="Bullet1"/>
              <w:keepLines/>
              <w:numPr>
                <w:ilvl w:val="0"/>
                <w:numId w:val="0"/>
              </w:numPr>
            </w:pPr>
            <w:r w:rsidRPr="0075685F">
              <w:t xml:space="preserve">While there has been little movement in the overall lifetime cost results, the valuation model has been enhanced since last year to provide more insights into </w:t>
            </w:r>
            <w:r w:rsidR="00187C2A">
              <w:t>parental welfare dependence</w:t>
            </w:r>
            <w:r w:rsidRPr="0075685F">
              <w:t xml:space="preserve">; the impact of barriers to </w:t>
            </w:r>
            <w:r w:rsidRPr="0075685F">
              <w:lastRenderedPageBreak/>
              <w:t xml:space="preserve">work on jobseeker pathways and lifetime costs; and the outcomes for people being supported to study in different education sectors. </w:t>
            </w:r>
            <w:r w:rsidR="003B74A5" w:rsidRPr="0075685F">
              <w:t>Some insights from t</w:t>
            </w:r>
            <w:r w:rsidRPr="0075685F">
              <w:t>his new analysis</w:t>
            </w:r>
            <w:r w:rsidR="003B74A5" w:rsidRPr="0075685F">
              <w:t xml:space="preserve"> include:</w:t>
            </w:r>
          </w:p>
          <w:p w14:paraId="3D015A23" w14:textId="271C8047" w:rsidR="00B5010E" w:rsidRPr="0075685F" w:rsidRDefault="00B5010E" w:rsidP="00B5010E">
            <w:pPr>
              <w:pStyle w:val="ListBullet"/>
            </w:pPr>
            <w:r w:rsidRPr="0075685F">
              <w:t xml:space="preserve">Parental welfare dependence is highly correlated with welfare usage. People with higher parental welfare dependence tend to enter into the welfare system earlier, utilise more income support, and have a higher average lifetime cost. There are large differences in outcomes between those with the highest parental welfare dependence and those with none. </w:t>
            </w:r>
            <w:r w:rsidR="00B74467">
              <w:t>E</w:t>
            </w:r>
            <w:r w:rsidRPr="0075685F">
              <w:t>xamples of these differences are:</w:t>
            </w:r>
          </w:p>
          <w:p w14:paraId="758809C3" w14:textId="77777777" w:rsidR="00B74467" w:rsidRDefault="002C7354" w:rsidP="00B5010E">
            <w:pPr>
              <w:pStyle w:val="ListBullet2"/>
            </w:pPr>
            <w:r w:rsidRPr="0075685F">
              <w:t xml:space="preserve">Younger people whose parents or guardians had a very high level of welfare dependency are 5.8 times more likely to be on income support payments today compared to those with no parental welfare dependency. </w:t>
            </w:r>
          </w:p>
          <w:p w14:paraId="77EBC442" w14:textId="0EFF272F" w:rsidR="00B5010E" w:rsidRPr="0075685F" w:rsidRDefault="00B5010E" w:rsidP="00B5010E">
            <w:pPr>
              <w:pStyle w:val="ListBullet2"/>
            </w:pPr>
            <w:r w:rsidRPr="0075685F">
              <w:t>Around 26% of 16</w:t>
            </w:r>
            <w:r w:rsidR="00D10802">
              <w:t xml:space="preserve"> to </w:t>
            </w:r>
            <w:r w:rsidRPr="0075685F">
              <w:t xml:space="preserve">20 year olds who had a very high level of parental welfare dependency up to age 15 are currently receiving </w:t>
            </w:r>
            <w:r w:rsidR="003C32DF">
              <w:t>Working Age payments</w:t>
            </w:r>
            <w:r w:rsidRPr="0075685F">
              <w:t>, compared to just 2% for those individuals with no parental welfare dependency.</w:t>
            </w:r>
          </w:p>
          <w:p w14:paraId="1122DEA7" w14:textId="46C0161C" w:rsidR="00B5010E" w:rsidRPr="0075685F" w:rsidRDefault="00B5010E" w:rsidP="00B5010E">
            <w:pPr>
              <w:pStyle w:val="ListBullet2"/>
            </w:pPr>
            <w:r w:rsidRPr="0075685F">
              <w:t>By the age of 25, around 90% of children with very high parental welfare dependence will have interacted with the welfare system, compared to around 45% for those with no such dependence.</w:t>
            </w:r>
          </w:p>
          <w:p w14:paraId="4C1489C2" w14:textId="29169312" w:rsidR="00B5010E" w:rsidRPr="0075685F" w:rsidRDefault="008D3EC1" w:rsidP="004F14F5">
            <w:pPr>
              <w:pStyle w:val="ListBullet"/>
              <w:keepNext/>
            </w:pPr>
            <w:r w:rsidRPr="0075685F">
              <w:t>People who have reported barriers to work have higher welfare dependency and higher lifetime costs</w:t>
            </w:r>
            <w:r w:rsidR="00B5010E" w:rsidRPr="0075685F">
              <w:t>:</w:t>
            </w:r>
          </w:p>
          <w:p w14:paraId="4AF5ACAB" w14:textId="78DB3E8B" w:rsidR="00B5010E" w:rsidRPr="0075685F" w:rsidRDefault="00B5010E" w:rsidP="008D3EC1">
            <w:pPr>
              <w:pStyle w:val="ListBullet2"/>
            </w:pPr>
            <w:r w:rsidRPr="0075685F">
              <w:t>People with an exemption</w:t>
            </w:r>
            <w:r w:rsidR="001D28C2" w:rsidRPr="001D28C2">
              <w:t xml:space="preserve"> from mutual obligations</w:t>
            </w:r>
            <w:r w:rsidRPr="0075685F">
              <w:t xml:space="preserve"> in the past year, a reported psychological/psychiatric condition, or reduced capacity to work have greater future dependence on welfare. They are less likely to leave the Working Age class, and when they do they are much more likely to transition to another form of income support (in particular the Disability Support Pension).</w:t>
            </w:r>
            <w:r w:rsidR="008D3EC1" w:rsidRPr="0075685F">
              <w:t xml:space="preserve"> We expect they will spend around 4 to 6 years longer on pre-retirement income support than other people in the Working Age class.</w:t>
            </w:r>
          </w:p>
          <w:p w14:paraId="4DEE0A1E" w14:textId="77777777" w:rsidR="00B5010E" w:rsidRPr="0075685F" w:rsidRDefault="00B5010E" w:rsidP="008D3EC1">
            <w:pPr>
              <w:pStyle w:val="ListBullet2"/>
            </w:pPr>
            <w:r w:rsidRPr="0075685F">
              <w:t>Whether or not a Working Age recipient has had a work capacity assessment is more indicative of higher future lifetime cost than the level of assessment.</w:t>
            </w:r>
          </w:p>
          <w:p w14:paraId="4006ED40" w14:textId="758BB376" w:rsidR="00B5010E" w:rsidRPr="0075685F" w:rsidRDefault="00B5010E" w:rsidP="00AA596F">
            <w:pPr>
              <w:pStyle w:val="ListBullet2"/>
            </w:pPr>
            <w:r w:rsidRPr="0075685F">
              <w:t xml:space="preserve">People with a </w:t>
            </w:r>
            <w:r w:rsidR="000301FE">
              <w:t xml:space="preserve">recent </w:t>
            </w:r>
            <w:r w:rsidRPr="0075685F">
              <w:t>exemption</w:t>
            </w:r>
            <w:r w:rsidR="001D28C2" w:rsidRPr="001D28C2">
              <w:t xml:space="preserve"> from mutual obligations</w:t>
            </w:r>
            <w:r w:rsidRPr="0075685F">
              <w:t xml:space="preserve"> in the past year </w:t>
            </w:r>
            <w:r w:rsidR="000301FE">
              <w:t xml:space="preserve">(but without a current active exemption) </w:t>
            </w:r>
            <w:r w:rsidRPr="0075685F">
              <w:t xml:space="preserve">are expected to spend a similar number of future years in the Working Age class to those with an active exemption. </w:t>
            </w:r>
            <w:r w:rsidR="00AA596F" w:rsidRPr="00AA596F">
              <w:t>This suggests that while these people no longer qualify for an exemption, the circumstances of their exemption have longer lasting effects which increase the difficulty of them finding employment.</w:t>
            </w:r>
          </w:p>
          <w:p w14:paraId="47458289" w14:textId="6D8EE25B" w:rsidR="00B5010E" w:rsidRPr="0075685F" w:rsidRDefault="00B5010E" w:rsidP="00B5010E">
            <w:pPr>
              <w:pStyle w:val="ListBullet"/>
            </w:pPr>
            <w:r w:rsidRPr="0075685F">
              <w:t xml:space="preserve">There has been a reduction in the average capacity to work and an increase in the number of exemptions and reported psychological or psychiatric conditions for people in the </w:t>
            </w:r>
            <w:r w:rsidR="00871E70">
              <w:t>W</w:t>
            </w:r>
            <w:r w:rsidRPr="0075685F">
              <w:t xml:space="preserve">orking </w:t>
            </w:r>
            <w:r w:rsidR="00871E70">
              <w:t>A</w:t>
            </w:r>
            <w:r w:rsidRPr="0075685F">
              <w:t xml:space="preserve">ge class over the last </w:t>
            </w:r>
            <w:r w:rsidR="00AC3251">
              <w:t>five</w:t>
            </w:r>
            <w:r w:rsidRPr="0075685F">
              <w:t xml:space="preserve"> years. This has occurred over the same period as the tightening of DSP eligibility and introduction of DSP medical reviews</w:t>
            </w:r>
            <w:r w:rsidR="00C15562" w:rsidRPr="0075685F">
              <w:t>.</w:t>
            </w:r>
          </w:p>
          <w:p w14:paraId="01880233" w14:textId="12AB8512" w:rsidR="00095042" w:rsidRPr="0075685F" w:rsidRDefault="00095042" w:rsidP="00095042">
            <w:pPr>
              <w:pStyle w:val="ListBullet"/>
            </w:pPr>
            <w:r w:rsidRPr="0075685F">
              <w:t>Including information on the education sector of students shows that:</w:t>
            </w:r>
          </w:p>
          <w:p w14:paraId="14A95844" w14:textId="1D8EA450" w:rsidR="002C7354" w:rsidRPr="0075685F" w:rsidRDefault="008714CC" w:rsidP="008714CC">
            <w:pPr>
              <w:pStyle w:val="ListBullet2"/>
            </w:pPr>
            <w:r w:rsidRPr="008714CC">
              <w:t xml:space="preserve">Due to eligibility criteria, young studying recipients (under age 18) are mostly either </w:t>
            </w:r>
            <w:r w:rsidR="00D10802">
              <w:t>I</w:t>
            </w:r>
            <w:r w:rsidR="00D10802" w:rsidRPr="008714CC">
              <w:t>ndigenous</w:t>
            </w:r>
            <w:r w:rsidRPr="008714CC">
              <w:t xml:space="preserve">, independent or needing to live away from home. In this age range, VET students are projected to have lower future dependency than secondary school students and are expected to spend two and a half years less on income support payments. </w:t>
            </w:r>
          </w:p>
          <w:p w14:paraId="4CDC34AE" w14:textId="3FABED56" w:rsidR="00860AD5" w:rsidRPr="0075685F" w:rsidRDefault="00FE7A8F" w:rsidP="002C7354">
            <w:pPr>
              <w:pStyle w:val="ListBullet2"/>
            </w:pPr>
            <w:r w:rsidRPr="0075685F">
              <w:t xml:space="preserve">For people 18 and above who rely on student income support, </w:t>
            </w:r>
            <w:r w:rsidR="00095042" w:rsidRPr="0075685F">
              <w:t xml:space="preserve">VET students have higher future welfare dependency than higher education students. </w:t>
            </w:r>
          </w:p>
        </w:tc>
      </w:tr>
    </w:tbl>
    <w:p w14:paraId="7A2D68EA" w14:textId="4D878FDA" w:rsidR="0066412B" w:rsidRDefault="0066412B" w:rsidP="0072717C">
      <w:pPr>
        <w:pStyle w:val="PwCNormal"/>
        <w:numPr>
          <w:ilvl w:val="0"/>
          <w:numId w:val="0"/>
        </w:numPr>
      </w:pPr>
    </w:p>
    <w:tbl>
      <w:tblPr>
        <w:tblStyle w:val="TableGrid"/>
        <w:tblW w:w="10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Caption w:val="Explanatory Notes"/>
        <w:tblDescription w:val="This table contains explanatory notes."/>
      </w:tblPr>
      <w:tblGrid>
        <w:gridCol w:w="10110"/>
      </w:tblGrid>
      <w:tr w:rsidR="009536E9" w14:paraId="5BE67542" w14:textId="77777777" w:rsidTr="0037036D">
        <w:trPr>
          <w:trHeight w:val="20"/>
          <w:tblHeader/>
        </w:trPr>
        <w:tc>
          <w:tcPr>
            <w:tcW w:w="10110" w:type="dxa"/>
            <w:shd w:val="clear" w:color="auto" w:fill="D9D9D9" w:themeFill="background1" w:themeFillShade="D9"/>
          </w:tcPr>
          <w:p w14:paraId="0971556A" w14:textId="436C9B0E" w:rsidR="009536E9" w:rsidRPr="0037036D" w:rsidRDefault="009536E9" w:rsidP="00676A00">
            <w:pPr>
              <w:pStyle w:val="Majorheading"/>
              <w:keepNext w:val="0"/>
              <w:keepLines w:val="0"/>
              <w:spacing w:before="0" w:after="0"/>
              <w:rPr>
                <w:sz w:val="2"/>
                <w:szCs w:val="10"/>
              </w:rPr>
            </w:pPr>
          </w:p>
        </w:tc>
      </w:tr>
      <w:tr w:rsidR="0072717C" w14:paraId="4A08CD0C" w14:textId="77777777" w:rsidTr="00676A00">
        <w:trPr>
          <w:trHeight w:val="486"/>
        </w:trPr>
        <w:tc>
          <w:tcPr>
            <w:tcW w:w="10110" w:type="dxa"/>
            <w:shd w:val="clear" w:color="auto" w:fill="D9D9D9" w:themeFill="background1" w:themeFillShade="D9"/>
          </w:tcPr>
          <w:p w14:paraId="570B93A8" w14:textId="0B70A716" w:rsidR="0072717C" w:rsidRPr="009B4917" w:rsidRDefault="0072717C" w:rsidP="00676A00">
            <w:pPr>
              <w:pStyle w:val="Majorheading"/>
              <w:keepNext w:val="0"/>
              <w:keepLines w:val="0"/>
              <w:spacing w:before="120"/>
            </w:pPr>
            <w:r w:rsidRPr="009B4917">
              <w:t>Explanatory notes</w:t>
            </w:r>
          </w:p>
          <w:p w14:paraId="65540EE6" w14:textId="4F4D856F" w:rsidR="00FD4E29" w:rsidRPr="00FD4E29" w:rsidRDefault="00FD4E29" w:rsidP="00195715">
            <w:pPr>
              <w:pStyle w:val="Bullet1"/>
              <w:numPr>
                <w:ilvl w:val="0"/>
                <w:numId w:val="0"/>
              </w:numPr>
            </w:pPr>
            <w:r w:rsidRPr="00FD4E29">
              <w:t xml:space="preserve">We </w:t>
            </w:r>
            <w:r>
              <w:t>have set out below</w:t>
            </w:r>
            <w:r w:rsidR="00AD2494">
              <w:t xml:space="preserve"> some brief</w:t>
            </w:r>
            <w:r>
              <w:t xml:space="preserve"> explanatory notes</w:t>
            </w:r>
            <w:r w:rsidR="00D95A88">
              <w:t xml:space="preserve"> and definitions. Further </w:t>
            </w:r>
            <w:r w:rsidR="00195715">
              <w:t xml:space="preserve">explanation </w:t>
            </w:r>
            <w:r w:rsidR="00D95A88">
              <w:t xml:space="preserve">can be found in </w:t>
            </w:r>
            <w:r w:rsidR="00195715">
              <w:t xml:space="preserve">section </w:t>
            </w:r>
            <w:r w:rsidR="00195715">
              <w:fldChar w:fldCharType="begin"/>
            </w:r>
            <w:r w:rsidR="00195715">
              <w:instrText xml:space="preserve"> REF _Ref505677989 \n \h </w:instrText>
            </w:r>
            <w:r w:rsidR="00195715">
              <w:fldChar w:fldCharType="separate"/>
            </w:r>
            <w:r w:rsidR="00C93C1A">
              <w:t>1</w:t>
            </w:r>
            <w:r w:rsidR="00195715">
              <w:fldChar w:fldCharType="end"/>
            </w:r>
            <w:r w:rsidR="00195715">
              <w:t xml:space="preserve"> of the report </w:t>
            </w:r>
            <w:r w:rsidR="00D95A88">
              <w:t xml:space="preserve">the glossary in </w:t>
            </w:r>
            <w:r w:rsidR="00D95A88">
              <w:fldChar w:fldCharType="begin"/>
            </w:r>
            <w:r w:rsidR="00D95A88">
              <w:instrText xml:space="preserve"> REF _Ref436556771 \n \h </w:instrText>
            </w:r>
            <w:r w:rsidR="00D95A88">
              <w:fldChar w:fldCharType="separate"/>
            </w:r>
            <w:r w:rsidR="00C93C1A">
              <w:t>Appendix A</w:t>
            </w:r>
            <w:r w:rsidR="00D95A88">
              <w:fldChar w:fldCharType="end"/>
            </w:r>
            <w:r w:rsidR="00D95A88">
              <w:t>.</w:t>
            </w:r>
          </w:p>
          <w:p w14:paraId="249F5C3D" w14:textId="7BC6BC26" w:rsidR="0089332D" w:rsidRDefault="002A7E79" w:rsidP="00195715">
            <w:pPr>
              <w:pStyle w:val="Bullet1"/>
              <w:numPr>
                <w:ilvl w:val="0"/>
                <w:numId w:val="0"/>
              </w:numPr>
            </w:pPr>
            <w:r w:rsidRPr="00FD4E29">
              <w:rPr>
                <w:color w:val="E0301E"/>
              </w:rPr>
              <w:t>Model (Australian)</w:t>
            </w:r>
            <w:r w:rsidR="00FD55E2" w:rsidRPr="00FD4E29">
              <w:rPr>
                <w:color w:val="E0301E"/>
              </w:rPr>
              <w:t xml:space="preserve"> population</w:t>
            </w:r>
            <w:r w:rsidR="00FD4E29">
              <w:br/>
            </w:r>
            <w:r w:rsidR="00FE7F97">
              <w:t>The set of individual person records used in the model</w:t>
            </w:r>
            <w:r w:rsidR="007A4D02">
              <w:t>, representing the Australian resident population together with current overseas welfare recipients</w:t>
            </w:r>
            <w:r w:rsidR="00FE7F97">
              <w:t>.</w:t>
            </w:r>
          </w:p>
          <w:p w14:paraId="588509E6" w14:textId="0697AF9D" w:rsidR="0072717C" w:rsidRDefault="0089332D" w:rsidP="0089332D">
            <w:pPr>
              <w:pStyle w:val="Bullet1"/>
              <w:keepNext/>
              <w:keepLines/>
              <w:numPr>
                <w:ilvl w:val="0"/>
                <w:numId w:val="0"/>
              </w:numPr>
            </w:pPr>
            <w:r w:rsidRPr="00D95A88">
              <w:rPr>
                <w:color w:val="E0301E"/>
              </w:rPr>
              <w:t>Lifetime cost</w:t>
            </w:r>
            <w:r>
              <w:br/>
              <w:t>The net present value of all future welfare payments (to the in-scope population).</w:t>
            </w:r>
          </w:p>
          <w:p w14:paraId="16688889" w14:textId="61760127" w:rsidR="00A173E4" w:rsidRDefault="00A173E4" w:rsidP="00195715">
            <w:pPr>
              <w:pStyle w:val="Bullet1"/>
              <w:numPr>
                <w:ilvl w:val="0"/>
                <w:numId w:val="0"/>
              </w:numPr>
            </w:pPr>
            <w:r w:rsidRPr="00FD4E29">
              <w:rPr>
                <w:color w:val="E0301E"/>
              </w:rPr>
              <w:t>Income support</w:t>
            </w:r>
            <w:r w:rsidR="00343A91">
              <w:rPr>
                <w:color w:val="E0301E"/>
              </w:rPr>
              <w:t xml:space="preserve"> payments</w:t>
            </w:r>
            <w:r w:rsidR="00FD4E29">
              <w:br/>
            </w:r>
            <w:r>
              <w:t>A regular payment designed to assist with day to day living costs</w:t>
            </w:r>
            <w:r w:rsidR="00343A91">
              <w:t xml:space="preserve">. Examples include Age Pension, Newstart </w:t>
            </w:r>
            <w:r w:rsidR="00343A91">
              <w:lastRenderedPageBreak/>
              <w:t>Allowance, Disability Support Pension, Carer Payment and Parenting Payment</w:t>
            </w:r>
            <w:r>
              <w:t xml:space="preserve">. </w:t>
            </w:r>
            <w:r w:rsidR="00195715">
              <w:t>Other supplementary payments such as Family Tax Benefit and child care payments are referred to as non income support payments</w:t>
            </w:r>
            <w:r>
              <w:t>.</w:t>
            </w:r>
          </w:p>
          <w:p w14:paraId="0F119CB5" w14:textId="71F50B66" w:rsidR="002258DE" w:rsidRDefault="002258DE" w:rsidP="00195715">
            <w:pPr>
              <w:pStyle w:val="Bullet1"/>
              <w:numPr>
                <w:ilvl w:val="0"/>
                <w:numId w:val="0"/>
              </w:numPr>
            </w:pPr>
            <w:r w:rsidRPr="00FD4E29">
              <w:rPr>
                <w:color w:val="E0301E"/>
              </w:rPr>
              <w:t>Welfare class</w:t>
            </w:r>
            <w:r w:rsidR="00FD4E29">
              <w:br/>
            </w:r>
            <w:r w:rsidR="00343A91">
              <w:t>U</w:t>
            </w:r>
            <w:r>
              <w:t>nique segments within the model</w:t>
            </w:r>
            <w:r w:rsidR="00343A91">
              <w:t xml:space="preserve"> which each person is assigned to</w:t>
            </w:r>
            <w:r>
              <w:t>. There are 12 classes: 6 for income support recipients, 3 for non income support recipients and 3 for the rest of population. Each person is assigned to the single most appropriate category for each financial year</w:t>
            </w:r>
            <w:r w:rsidR="00CA11BC">
              <w:t>, and can move between classes in future years</w:t>
            </w:r>
            <w:r>
              <w:t xml:space="preserve">. </w:t>
            </w:r>
            <w:r w:rsidR="00A85F80">
              <w:t>P</w:t>
            </w:r>
            <w:r>
              <w:t>lease refer to</w:t>
            </w:r>
            <w:r w:rsidR="00343A91">
              <w:t xml:space="preserve"> section </w:t>
            </w:r>
            <w:r w:rsidR="00343A91">
              <w:fldChar w:fldCharType="begin"/>
            </w:r>
            <w:r w:rsidR="00343A91">
              <w:instrText xml:space="preserve"> REF _Ref505676450 \n \h </w:instrText>
            </w:r>
            <w:r w:rsidR="00343A91">
              <w:fldChar w:fldCharType="separate"/>
            </w:r>
            <w:r w:rsidR="00C93C1A">
              <w:t>1.2</w:t>
            </w:r>
            <w:r w:rsidR="00343A91">
              <w:fldChar w:fldCharType="end"/>
            </w:r>
            <w:r w:rsidR="00195715">
              <w:t xml:space="preserve"> of the report</w:t>
            </w:r>
            <w:r w:rsidR="00A85F80">
              <w:t xml:space="preserve"> for information on the payment types included in each class</w:t>
            </w:r>
            <w:r w:rsidR="00343A91">
              <w:t>.</w:t>
            </w:r>
          </w:p>
          <w:p w14:paraId="0825FD5A" w14:textId="60C344A9" w:rsidR="002258DE" w:rsidRDefault="00D4612C" w:rsidP="00195715">
            <w:pPr>
              <w:pStyle w:val="Bullet1"/>
              <w:numPr>
                <w:ilvl w:val="0"/>
                <w:numId w:val="0"/>
              </w:numPr>
            </w:pPr>
            <w:r w:rsidRPr="00D95A88">
              <w:rPr>
                <w:color w:val="E0301E"/>
              </w:rPr>
              <w:t>Welfare system interaction</w:t>
            </w:r>
            <w:r w:rsidR="00D95A88">
              <w:br/>
            </w:r>
            <w:r>
              <w:t>The receipt of a welfare payment (</w:t>
            </w:r>
            <w:r w:rsidR="00F023BC">
              <w:t xml:space="preserve">including </w:t>
            </w:r>
            <w:r>
              <w:t>both income support and non income support</w:t>
            </w:r>
            <w:r w:rsidR="00F023BC">
              <w:t xml:space="preserve"> payments</w:t>
            </w:r>
            <w:r>
              <w:t>) by an individual.</w:t>
            </w:r>
          </w:p>
          <w:p w14:paraId="3D94CDAA" w14:textId="018E07D1" w:rsidR="002A7E79" w:rsidRDefault="002258DE" w:rsidP="00195715">
            <w:pPr>
              <w:pStyle w:val="Bullet1"/>
              <w:numPr>
                <w:ilvl w:val="0"/>
                <w:numId w:val="0"/>
              </w:numPr>
            </w:pPr>
            <w:r w:rsidRPr="00D95A88">
              <w:rPr>
                <w:color w:val="E0301E"/>
              </w:rPr>
              <w:t>Duration on welfare</w:t>
            </w:r>
            <w:r w:rsidR="00D95A88">
              <w:br/>
            </w:r>
            <w:r>
              <w:t>The number of financial years in which an individual has received a welfare payment. This includes income support payments as well as non income support payments.</w:t>
            </w:r>
          </w:p>
          <w:p w14:paraId="24405EE2" w14:textId="107B15F1" w:rsidR="00FD55E2" w:rsidRDefault="00FD55E2" w:rsidP="00195715">
            <w:pPr>
              <w:pStyle w:val="Bullet1"/>
              <w:numPr>
                <w:ilvl w:val="0"/>
                <w:numId w:val="0"/>
              </w:numPr>
            </w:pPr>
            <w:r w:rsidRPr="00D95A88">
              <w:rPr>
                <w:color w:val="E0301E"/>
              </w:rPr>
              <w:t>Work capacity assessment</w:t>
            </w:r>
            <w:r w:rsidR="00D95A88">
              <w:br/>
            </w:r>
            <w:r w:rsidR="00FE7F97">
              <w:t>An assessment of an individual’s level of functional impairment</w:t>
            </w:r>
            <w:r w:rsidR="00A173E4">
              <w:t xml:space="preserve"> and work capacity</w:t>
            </w:r>
            <w:r w:rsidR="009B4917">
              <w:t xml:space="preserve">. This is expressed in the data as </w:t>
            </w:r>
            <w:r w:rsidR="00A173E4">
              <w:t>the number of hours in a week they are capable of working.</w:t>
            </w:r>
          </w:p>
          <w:p w14:paraId="5099EB40" w14:textId="25E97011" w:rsidR="005C63F9" w:rsidRPr="007028E0" w:rsidRDefault="005C63F9" w:rsidP="005C63F9">
            <w:pPr>
              <w:pStyle w:val="Bullet1"/>
              <w:numPr>
                <w:ilvl w:val="0"/>
                <w:numId w:val="0"/>
              </w:numPr>
            </w:pPr>
            <w:r>
              <w:rPr>
                <w:color w:val="E0301E"/>
              </w:rPr>
              <w:t>Welfare dependence</w:t>
            </w:r>
            <w:r>
              <w:rPr>
                <w:color w:val="E0301E"/>
              </w:rPr>
              <w:br/>
            </w:r>
            <w:r w:rsidRPr="005C63F9">
              <w:t xml:space="preserve">Welfare dependence is used to describe the </w:t>
            </w:r>
            <w:r>
              <w:t>historical</w:t>
            </w:r>
            <w:r w:rsidRPr="005C63F9">
              <w:t xml:space="preserve"> </w:t>
            </w:r>
            <w:r>
              <w:t>and/</w:t>
            </w:r>
            <w:r w:rsidRPr="005C63F9">
              <w:t xml:space="preserve">or </w:t>
            </w:r>
            <w:r>
              <w:t>expected future</w:t>
            </w:r>
            <w:r w:rsidRPr="005C63F9">
              <w:t xml:space="preserve"> level of welfare use</w:t>
            </w:r>
            <w:r>
              <w:t xml:space="preserve"> for a group of people</w:t>
            </w:r>
            <w:r w:rsidRPr="005C63F9">
              <w:t xml:space="preserve">. </w:t>
            </w:r>
            <w:r>
              <w:t>A group with h</w:t>
            </w:r>
            <w:r w:rsidRPr="005C63F9">
              <w:t xml:space="preserve">igh welfare dependence would </w:t>
            </w:r>
            <w:r>
              <w:t>either have high historical welfare use or high expected future welfare use</w:t>
            </w:r>
            <w:r w:rsidRPr="005C63F9">
              <w:t>.</w:t>
            </w:r>
          </w:p>
          <w:p w14:paraId="2AEB9C7F" w14:textId="26DBA0AA" w:rsidR="00FD55E2" w:rsidRDefault="00FD55E2" w:rsidP="00195715">
            <w:pPr>
              <w:pStyle w:val="Bullet1"/>
              <w:numPr>
                <w:ilvl w:val="0"/>
                <w:numId w:val="0"/>
              </w:numPr>
            </w:pPr>
            <w:r w:rsidRPr="00D95A88">
              <w:rPr>
                <w:color w:val="E0301E"/>
              </w:rPr>
              <w:t>Parental welfare dependence</w:t>
            </w:r>
            <w:r w:rsidR="00D95A88">
              <w:br/>
            </w:r>
            <w:r w:rsidR="009B4917">
              <w:t>A measure of the level of</w:t>
            </w:r>
            <w:r w:rsidR="00A173E4">
              <w:t xml:space="preserve"> </w:t>
            </w:r>
            <w:r w:rsidR="005C63F9">
              <w:t xml:space="preserve">welfare dependence of a </w:t>
            </w:r>
            <w:r w:rsidR="009B4917">
              <w:t xml:space="preserve">person’s </w:t>
            </w:r>
            <w:r w:rsidR="00306D3C">
              <w:t xml:space="preserve">parents/guardians during the course of </w:t>
            </w:r>
            <w:r w:rsidR="009B4917">
              <w:t>that</w:t>
            </w:r>
            <w:r w:rsidR="00306D3C">
              <w:t xml:space="preserve"> person’s childhood (up to the age of 15)</w:t>
            </w:r>
            <w:r w:rsidR="00A173E4">
              <w:t>.</w:t>
            </w:r>
            <w:r w:rsidR="005C63F9">
              <w:t xml:space="preserve"> For the purposes of this parental welfare dependence we have only considered the use of </w:t>
            </w:r>
            <w:r w:rsidR="005C63F9" w:rsidRPr="005C63F9">
              <w:t>income support payments (excluding the Aged Pension) by a</w:t>
            </w:r>
            <w:r w:rsidR="005C63F9">
              <w:t xml:space="preserve"> person’s parents/guardians.</w:t>
            </w:r>
          </w:p>
          <w:p w14:paraId="56385459" w14:textId="5D88FE20" w:rsidR="0072717C" w:rsidRDefault="00BA76F3" w:rsidP="00CA11BC">
            <w:pPr>
              <w:pStyle w:val="Bullet1"/>
              <w:numPr>
                <w:ilvl w:val="0"/>
                <w:numId w:val="0"/>
              </w:numPr>
            </w:pPr>
            <w:r w:rsidRPr="00D95A88">
              <w:rPr>
                <w:color w:val="E0301E"/>
              </w:rPr>
              <w:t>M</w:t>
            </w:r>
            <w:r w:rsidR="00FD55E2" w:rsidRPr="00D95A88">
              <w:rPr>
                <w:color w:val="E0301E"/>
              </w:rPr>
              <w:t>utual obligation</w:t>
            </w:r>
            <w:r w:rsidR="009B4917">
              <w:rPr>
                <w:color w:val="E0301E"/>
              </w:rPr>
              <w:t xml:space="preserve"> requirement</w:t>
            </w:r>
            <w:r w:rsidR="00FD55E2" w:rsidRPr="00D95A88">
              <w:rPr>
                <w:color w:val="E0301E"/>
              </w:rPr>
              <w:t>s</w:t>
            </w:r>
            <w:r w:rsidR="00D95A88">
              <w:br/>
            </w:r>
            <w:r>
              <w:t xml:space="preserve">A set of activities that must be completed by an individual in order to receive </w:t>
            </w:r>
            <w:r w:rsidR="009B4917">
              <w:t xml:space="preserve">Newstart Allowance, Youth Allowance as a job seeker, Parenting Payment Single </w:t>
            </w:r>
            <w:r w:rsidR="00B0130C">
              <w:t>after the recipient</w:t>
            </w:r>
            <w:r w:rsidR="00CA11BC">
              <w:t>’</w:t>
            </w:r>
            <w:r w:rsidR="00B0130C">
              <w:t>s youngest child turns 6,</w:t>
            </w:r>
            <w:r w:rsidR="009B4917">
              <w:t xml:space="preserve"> and some types of Special Benefit</w:t>
            </w:r>
            <w:r>
              <w:t>.</w:t>
            </w:r>
            <w:r w:rsidR="009B4917">
              <w:t xml:space="preserve"> Welfare recipients may be granted either a permanent o</w:t>
            </w:r>
            <w:r w:rsidR="00CA11BC">
              <w:t>r</w:t>
            </w:r>
            <w:r w:rsidR="009B4917">
              <w:t xml:space="preserve"> a short-term exemption from these obligations in some situations, for example due to disability or a personal crisis.</w:t>
            </w:r>
          </w:p>
        </w:tc>
      </w:tr>
    </w:tbl>
    <w:p w14:paraId="50A388AE" w14:textId="77777777" w:rsidR="0072717C" w:rsidRPr="0057506F" w:rsidRDefault="0072717C" w:rsidP="0072717C">
      <w:pPr>
        <w:pStyle w:val="PwCNormal"/>
        <w:numPr>
          <w:ilvl w:val="0"/>
          <w:numId w:val="0"/>
        </w:numPr>
      </w:pPr>
    </w:p>
    <w:p w14:paraId="0108829C" w14:textId="33CF4FBC" w:rsidR="00A24115" w:rsidRPr="0057506F" w:rsidRDefault="00A24115" w:rsidP="00A24115">
      <w:pPr>
        <w:pStyle w:val="PwCNormal"/>
      </w:pPr>
      <w:r w:rsidRPr="0057506F">
        <w:br w:type="page"/>
      </w:r>
    </w:p>
    <w:p w14:paraId="36E07E88" w14:textId="2A023D36" w:rsidR="00A12811" w:rsidRPr="00762EEA" w:rsidRDefault="00A12811" w:rsidP="00A12811">
      <w:pPr>
        <w:pStyle w:val="Heading2ExecutiveSummary"/>
      </w:pPr>
      <w:r>
        <w:lastRenderedPageBreak/>
        <w:t>Introduction</w:t>
      </w:r>
    </w:p>
    <w:p w14:paraId="1AAD6E3D" w14:textId="77777777" w:rsidR="00247079" w:rsidRPr="00762EEA" w:rsidRDefault="00247079" w:rsidP="00247079">
      <w:pPr>
        <w:pStyle w:val="Heading3ExecutiveSummary"/>
      </w:pPr>
      <w:r w:rsidRPr="00762EEA">
        <w:t xml:space="preserve">Background to this report </w:t>
      </w:r>
    </w:p>
    <w:p w14:paraId="0A6AD9C7" w14:textId="77777777" w:rsidR="00247079" w:rsidRDefault="00247079" w:rsidP="00247079">
      <w:pPr>
        <w:pStyle w:val="PwCNormal"/>
        <w:numPr>
          <w:ilvl w:val="0"/>
          <w:numId w:val="0"/>
        </w:numPr>
      </w:pPr>
      <w:r w:rsidRPr="00C61C8F">
        <w:t xml:space="preserve">This report documents the findings of the 30 June 2017 actuarial valuation of the Australian income support and social security system. This valuation is part of the work undertaken by the Department of Social Services </w:t>
      </w:r>
      <w:r>
        <w:t xml:space="preserve">(the Department) </w:t>
      </w:r>
      <w:r w:rsidRPr="00C61C8F">
        <w:t>to implement the Australian Priority Investment Approach to social welfare with the aim of reducing welfare dependency and improving the lifetime wellbeing of people and families in Australia.</w:t>
      </w:r>
    </w:p>
    <w:p w14:paraId="403162F0" w14:textId="77777777" w:rsidR="00247079" w:rsidRPr="00762EEA" w:rsidRDefault="00247079" w:rsidP="00247079">
      <w:pPr>
        <w:pStyle w:val="Heading3ExecutiveSummary"/>
      </w:pPr>
      <w:r>
        <w:t>Developments in the valuation</w:t>
      </w:r>
    </w:p>
    <w:p w14:paraId="41AD5B24" w14:textId="7748E552" w:rsidR="00247079" w:rsidRDefault="00247079" w:rsidP="00247079">
      <w:pPr>
        <w:pStyle w:val="PwCNormal"/>
        <w:numPr>
          <w:ilvl w:val="0"/>
          <w:numId w:val="1"/>
        </w:numPr>
      </w:pPr>
      <w:r>
        <w:t>The model used in this work projects individuals</w:t>
      </w:r>
      <w:r w:rsidR="000545CE">
        <w:t>’</w:t>
      </w:r>
      <w:r>
        <w:t xml:space="preserve"> trajectories through life and their interactions with the welfare system. As part of ongoing model development</w:t>
      </w:r>
      <w:r w:rsidR="00A747A5">
        <w:t>, this year</w:t>
      </w:r>
      <w:r>
        <w:t xml:space="preserve"> we have </w:t>
      </w:r>
      <w:r w:rsidR="00A747A5">
        <w:t xml:space="preserve">added a number of new variables which allow the model to </w:t>
      </w:r>
      <w:r w:rsidR="00E50E89">
        <w:t xml:space="preserve">better differentiate </w:t>
      </w:r>
      <w:r w:rsidR="0058394F">
        <w:t xml:space="preserve">lifetime costs </w:t>
      </w:r>
      <w:r w:rsidR="00E50E89">
        <w:t xml:space="preserve">between </w:t>
      </w:r>
      <w:r w:rsidR="0058394F">
        <w:t xml:space="preserve">different </w:t>
      </w:r>
      <w:r w:rsidR="00E50E89">
        <w:t xml:space="preserve">individuals. </w:t>
      </w:r>
      <w:r w:rsidR="0058394F">
        <w:t xml:space="preserve">In particular, the model now </w:t>
      </w:r>
      <w:r w:rsidR="00A747A5">
        <w:t>take</w:t>
      </w:r>
      <w:r w:rsidR="0058394F">
        <w:t>s</w:t>
      </w:r>
      <w:r w:rsidR="00A747A5">
        <w:t xml:space="preserve"> into account differences in trajectories for people depending on their </w:t>
      </w:r>
      <w:r w:rsidR="00187C2A">
        <w:t>parental welfare dependence</w:t>
      </w:r>
      <w:r w:rsidR="00A747A5">
        <w:t xml:space="preserve">, the education sector they are studying in if they are a student, and some of their barriers to work if they are on a </w:t>
      </w:r>
      <w:r w:rsidR="00FE30F6">
        <w:t>W</w:t>
      </w:r>
      <w:r w:rsidR="00A747A5">
        <w:t xml:space="preserve">orking </w:t>
      </w:r>
      <w:r w:rsidR="00FE30F6">
        <w:t xml:space="preserve">Age </w:t>
      </w:r>
      <w:r w:rsidR="00A747A5">
        <w:t xml:space="preserve">payment. These variables change over time for individuals, </w:t>
      </w:r>
      <w:r w:rsidR="00F61B8B">
        <w:t>and including them as predictive factors has flow on impacts throughout the whole model, but enables greater differentiation of lifetime trajectories and costs between groups within the population</w:t>
      </w:r>
      <w:r w:rsidR="006C27B1">
        <w:t>.</w:t>
      </w:r>
      <w:r>
        <w:t xml:space="preserve"> </w:t>
      </w:r>
      <w:r w:rsidR="00781D7A">
        <w:t xml:space="preserve">Other significant developments in the valuation have included </w:t>
      </w:r>
      <w:r w:rsidRPr="00EF1AB9">
        <w:t>model refinements to allow for changes in policy settings</w:t>
      </w:r>
      <w:r>
        <w:t xml:space="preserve"> and refinements and updates </w:t>
      </w:r>
      <w:r w:rsidR="00781D7A">
        <w:t>to</w:t>
      </w:r>
      <w:r>
        <w:t xml:space="preserve"> account for </w:t>
      </w:r>
      <w:r w:rsidR="00781D7A">
        <w:t>the</w:t>
      </w:r>
      <w:r>
        <w:t xml:space="preserve"> additional year of </w:t>
      </w:r>
      <w:r w:rsidR="00781D7A">
        <w:t xml:space="preserve">experience and </w:t>
      </w:r>
      <w:r>
        <w:t>information that is now available.</w:t>
      </w:r>
    </w:p>
    <w:p w14:paraId="328E58A2" w14:textId="77777777" w:rsidR="00247079" w:rsidRPr="00762EEA" w:rsidRDefault="00247079" w:rsidP="00247079">
      <w:pPr>
        <w:pStyle w:val="Heading3ExecutiveSummary"/>
      </w:pPr>
      <w:r>
        <w:t>Changes to the welfare system</w:t>
      </w:r>
    </w:p>
    <w:p w14:paraId="19EB0F8D" w14:textId="5A0A2A97" w:rsidR="00247079" w:rsidRDefault="00247079" w:rsidP="00247079">
      <w:pPr>
        <w:pStyle w:val="PwCNormal"/>
        <w:numPr>
          <w:ilvl w:val="0"/>
          <w:numId w:val="1"/>
        </w:numPr>
      </w:pPr>
      <w:r w:rsidRPr="00D71343">
        <w:t>The actuarial valuation reflects the policy as legislated at the valuation date. It assumes that these policy settings will persist in perpetuity.</w:t>
      </w:r>
      <w:r>
        <w:t xml:space="preserve"> In the valuation we make explicit allowances for only the more material changes to </w:t>
      </w:r>
      <w:r w:rsidR="00781D7A">
        <w:t xml:space="preserve">legislated </w:t>
      </w:r>
      <w:r>
        <w:t xml:space="preserve">policy. </w:t>
      </w:r>
      <w:r w:rsidRPr="00D71343">
        <w:t xml:space="preserve">The </w:t>
      </w:r>
      <w:r>
        <w:t>allowances</w:t>
      </w:r>
      <w:r w:rsidRPr="00D71343">
        <w:t xml:space="preserve"> reflect the estimated direct impact of the change</w:t>
      </w:r>
      <w:r>
        <w:t>s; n</w:t>
      </w:r>
      <w:r w:rsidRPr="00D71343">
        <w:t xml:space="preserve">o </w:t>
      </w:r>
      <w:r>
        <w:t xml:space="preserve">second order </w:t>
      </w:r>
      <w:r w:rsidRPr="00D71343">
        <w:t xml:space="preserve">allowance has been made </w:t>
      </w:r>
      <w:r>
        <w:t xml:space="preserve">to account </w:t>
      </w:r>
      <w:r w:rsidRPr="00D71343">
        <w:t xml:space="preserve">for any </w:t>
      </w:r>
      <w:r>
        <w:t xml:space="preserve">flow on impacts or </w:t>
      </w:r>
      <w:r w:rsidRPr="00D71343">
        <w:t>behavioural responses to the changes</w:t>
      </w:r>
      <w:r w:rsidR="00781D7A">
        <w:t>, which will emerge over time in the experience and impact the valuation results as they occur</w:t>
      </w:r>
      <w:r w:rsidRPr="00D71343">
        <w:t>.</w:t>
      </w:r>
    </w:p>
    <w:p w14:paraId="69C05FC0" w14:textId="77777777" w:rsidR="00247079" w:rsidRDefault="00247079" w:rsidP="00247079">
      <w:pPr>
        <w:pStyle w:val="PwCNormal"/>
        <w:numPr>
          <w:ilvl w:val="0"/>
          <w:numId w:val="1"/>
        </w:numPr>
      </w:pPr>
      <w:r>
        <w:t>The table below outlines the more material changes to policy that have occurred since the 2016 valuation, along with their expected influence on the welfare system.</w:t>
      </w:r>
    </w:p>
    <w:p w14:paraId="14262630" w14:textId="77777777" w:rsidR="00247079" w:rsidRPr="00663ACD" w:rsidRDefault="00247079" w:rsidP="00247079">
      <w:pPr>
        <w:pStyle w:val="Caption"/>
      </w:pPr>
      <w:r w:rsidRPr="00663ACD">
        <w:t xml:space="preserve">Table </w:t>
      </w:r>
      <w:fldSimple w:instr=" SEQ Table \* ARABIC ">
        <w:r w:rsidR="00C93C1A">
          <w:rPr>
            <w:noProof/>
          </w:rPr>
          <w:t>1</w:t>
        </w:r>
      </w:fldSimple>
      <w:r w:rsidRPr="00663ACD">
        <w:t xml:space="preserve">: Summary of </w:t>
      </w:r>
      <w:r>
        <w:t xml:space="preserve">main material policy </w:t>
      </w:r>
      <w:r w:rsidRPr="00663ACD">
        <w:t xml:space="preserve">changes </w:t>
      </w:r>
      <w:r>
        <w:t>(legislated 1 July 2016 to 30 June 2017)</w:t>
      </w:r>
    </w:p>
    <w:tbl>
      <w:tblPr>
        <w:tblStyle w:val="ListTable3-Accent61"/>
        <w:tblW w:w="9973" w:type="dxa"/>
        <w:tblInd w:w="108" w:type="dxa"/>
        <w:tblLook w:val="04A0" w:firstRow="1" w:lastRow="0" w:firstColumn="1" w:lastColumn="0" w:noHBand="0" w:noVBand="1"/>
        <w:tblCaption w:val=" Summary of changes in welfare recipient population"/>
        <w:tblDescription w:val="This table lists material changes that have occurred since the 2016 valuation. It lists seven policy changes along with their description and expected influence on the welfare system."/>
      </w:tblPr>
      <w:tblGrid>
        <w:gridCol w:w="2268"/>
        <w:gridCol w:w="3261"/>
        <w:gridCol w:w="4444"/>
      </w:tblGrid>
      <w:tr w:rsidR="00950798" w:rsidRPr="00C66E06" w14:paraId="3AB5EA48" w14:textId="77777777" w:rsidTr="002453D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E0301E" w:themeColor="accent6"/>
              <w:left w:val="single" w:sz="4" w:space="0" w:color="E0301E" w:themeColor="accent6"/>
              <w:bottom w:val="single" w:sz="4" w:space="0" w:color="E0301E" w:themeColor="accent6"/>
            </w:tcBorders>
          </w:tcPr>
          <w:p w14:paraId="49AFE7CB" w14:textId="3E57360F" w:rsidR="00950798" w:rsidRPr="00C66E06" w:rsidRDefault="00950798" w:rsidP="00D704AA">
            <w:pPr>
              <w:pStyle w:val="TableColumnHeadingSmall"/>
            </w:pPr>
            <w:r>
              <w:t>Policy change</w:t>
            </w:r>
          </w:p>
        </w:tc>
        <w:tc>
          <w:tcPr>
            <w:tcW w:w="3261" w:type="dxa"/>
            <w:tcBorders>
              <w:top w:val="single" w:sz="4" w:space="0" w:color="E0301E" w:themeColor="accent6"/>
              <w:left w:val="single" w:sz="4" w:space="0" w:color="E0301E" w:themeColor="accent6"/>
            </w:tcBorders>
            <w:hideMark/>
          </w:tcPr>
          <w:p w14:paraId="1693C653" w14:textId="6B89FE32" w:rsidR="00950798" w:rsidRPr="00C66E06" w:rsidRDefault="00950798" w:rsidP="00D704AA">
            <w:pPr>
              <w:pStyle w:val="TableColumnHeadingSmall"/>
              <w:cnfStyle w:val="100000000000" w:firstRow="1" w:lastRow="0" w:firstColumn="0" w:lastColumn="0" w:oddVBand="0" w:evenVBand="0" w:oddHBand="0" w:evenHBand="0" w:firstRowFirstColumn="0" w:firstRowLastColumn="0" w:lastRowFirstColumn="0" w:lastRowLastColumn="0"/>
            </w:pPr>
            <w:r>
              <w:t>Description</w:t>
            </w:r>
            <w:r w:rsidRPr="00C66E06">
              <w:t xml:space="preserve"> of policy change</w:t>
            </w:r>
          </w:p>
        </w:tc>
        <w:tc>
          <w:tcPr>
            <w:tcW w:w="4444" w:type="dxa"/>
            <w:tcBorders>
              <w:top w:val="single" w:sz="4" w:space="0" w:color="E0301E" w:themeColor="accent6"/>
              <w:left w:val="nil"/>
              <w:bottom w:val="nil"/>
              <w:right w:val="single" w:sz="4" w:space="0" w:color="E0301E" w:themeColor="accent6"/>
            </w:tcBorders>
            <w:hideMark/>
          </w:tcPr>
          <w:p w14:paraId="3E2C0B2F" w14:textId="77777777" w:rsidR="00950798" w:rsidRPr="00C66E06" w:rsidRDefault="00950798" w:rsidP="00D704AA">
            <w:pPr>
              <w:pStyle w:val="TableColumnHeadingSmall"/>
              <w:cnfStyle w:val="100000000000" w:firstRow="1" w:lastRow="0" w:firstColumn="0" w:lastColumn="0" w:oddVBand="0" w:evenVBand="0" w:oddHBand="0" w:evenHBand="0" w:firstRowFirstColumn="0" w:firstRowLastColumn="0" w:lastRowFirstColumn="0" w:lastRowLastColumn="0"/>
            </w:pPr>
            <w:r w:rsidRPr="00C66E06">
              <w:t>Expected influence on the welfare system</w:t>
            </w:r>
          </w:p>
        </w:tc>
      </w:tr>
      <w:tr w:rsidR="00950798" w:rsidRPr="00C66E06" w14:paraId="7FFE208D" w14:textId="77777777" w:rsidTr="002453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E0301E" w:themeColor="accent6"/>
            </w:tcBorders>
            <w:shd w:val="clear" w:color="auto" w:fill="auto"/>
          </w:tcPr>
          <w:p w14:paraId="7A501EAD" w14:textId="4D5293EF" w:rsidR="00950798" w:rsidRPr="00C66E06" w:rsidRDefault="00950798" w:rsidP="00D704AA">
            <w:pPr>
              <w:pStyle w:val="TableTextSmall"/>
            </w:pPr>
            <w:r>
              <w:t>Child Care Subsidy</w:t>
            </w:r>
          </w:p>
        </w:tc>
        <w:tc>
          <w:tcPr>
            <w:tcW w:w="3261" w:type="dxa"/>
            <w:tcBorders>
              <w:left w:val="nil"/>
            </w:tcBorders>
            <w:hideMark/>
          </w:tcPr>
          <w:p w14:paraId="6FE9AEAF" w14:textId="7C5C41AA" w:rsidR="00950798" w:rsidRPr="00C66E06" w:rsidRDefault="00950798" w:rsidP="00D704AA">
            <w:pPr>
              <w:pStyle w:val="TableTextSmall"/>
              <w:cnfStyle w:val="000000100000" w:firstRow="0" w:lastRow="0" w:firstColumn="0" w:lastColumn="0" w:oddVBand="0" w:evenVBand="0" w:oddHBand="1" w:evenHBand="0" w:firstRowFirstColumn="0" w:firstRowLastColumn="0" w:lastRowFirstColumn="0" w:lastRowLastColumn="0"/>
              <w:rPr>
                <w:b/>
              </w:rPr>
            </w:pPr>
            <w:r w:rsidRPr="00C66E06">
              <w:t xml:space="preserve">Introduction of </w:t>
            </w:r>
            <w:r>
              <w:t xml:space="preserve">the </w:t>
            </w:r>
            <w:r w:rsidRPr="00C66E06">
              <w:t xml:space="preserve">Child Care Subsidy, and cessation of </w:t>
            </w:r>
            <w:r>
              <w:t xml:space="preserve">the </w:t>
            </w:r>
            <w:r w:rsidRPr="00C66E06">
              <w:t xml:space="preserve">Child Care Benefit and Child Care Rebate </w:t>
            </w:r>
            <w:r>
              <w:t>from July 2018.</w:t>
            </w:r>
          </w:p>
        </w:tc>
        <w:tc>
          <w:tcPr>
            <w:tcW w:w="4444" w:type="dxa"/>
            <w:tcBorders>
              <w:left w:val="nil"/>
              <w:right w:val="single" w:sz="4" w:space="0" w:color="E0301E" w:themeColor="accent6"/>
            </w:tcBorders>
            <w:hideMark/>
          </w:tcPr>
          <w:p w14:paraId="72DF6A4E" w14:textId="77777777" w:rsidR="00950798" w:rsidRPr="00C66E06" w:rsidRDefault="00950798" w:rsidP="00D704AA">
            <w:pPr>
              <w:pStyle w:val="TableTextSmall"/>
              <w:cnfStyle w:val="000000100000" w:firstRow="0" w:lastRow="0" w:firstColumn="0" w:lastColumn="0" w:oddVBand="0" w:evenVBand="0" w:oddHBand="1" w:evenHBand="0" w:firstRowFirstColumn="0" w:firstRowLastColumn="0" w:lastRowFirstColumn="0" w:lastRowLastColumn="0"/>
            </w:pPr>
            <w:r>
              <w:t xml:space="preserve">Those parents currently receiving Child Care Benefit and Rebate payments will receive a different rate of payment based on their individual circumstances. On average, it is expected that child care payments will increase. </w:t>
            </w:r>
          </w:p>
        </w:tc>
      </w:tr>
      <w:tr w:rsidR="00950798" w:rsidRPr="00C66E06" w14:paraId="641C2164" w14:textId="77777777" w:rsidTr="002453D4">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E0301E" w:themeColor="accent6"/>
              <w:left w:val="single" w:sz="4" w:space="0" w:color="E0301E" w:themeColor="accent6"/>
              <w:bottom w:val="single" w:sz="4" w:space="0" w:color="E0301E" w:themeColor="accent6"/>
            </w:tcBorders>
            <w:shd w:val="clear" w:color="auto" w:fill="auto"/>
          </w:tcPr>
          <w:p w14:paraId="4D8E8C94" w14:textId="3165243E" w:rsidR="00950798" w:rsidRDefault="00950798" w:rsidP="00D704AA">
            <w:pPr>
              <w:pStyle w:val="TableTextSmall"/>
            </w:pPr>
            <w:r>
              <w:t>Income Limit of $80,000 for FTB Part A supplement</w:t>
            </w:r>
          </w:p>
        </w:tc>
        <w:tc>
          <w:tcPr>
            <w:tcW w:w="3261" w:type="dxa"/>
            <w:tcBorders>
              <w:top w:val="nil"/>
              <w:left w:val="nil"/>
              <w:bottom w:val="nil"/>
            </w:tcBorders>
          </w:tcPr>
          <w:p w14:paraId="5333C8EB" w14:textId="6EB5BFDE" w:rsidR="00950798" w:rsidRPr="00C66E06" w:rsidRDefault="00950798" w:rsidP="00D704AA">
            <w:pPr>
              <w:pStyle w:val="TableTextSmall"/>
              <w:cnfStyle w:val="000000000000" w:firstRow="0" w:lastRow="0" w:firstColumn="0" w:lastColumn="0" w:oddVBand="0" w:evenVBand="0" w:oddHBand="0" w:evenHBand="0" w:firstRowFirstColumn="0" w:firstRowLastColumn="0" w:lastRowFirstColumn="0" w:lastRowLastColumn="0"/>
              <w:rPr>
                <w:b/>
              </w:rPr>
            </w:pPr>
            <w:r>
              <w:t xml:space="preserve">Introduction of an income limit of $80,000 on the </w:t>
            </w:r>
            <w:r w:rsidRPr="00C9798C">
              <w:t xml:space="preserve">payment of the Family Tax Benefit </w:t>
            </w:r>
            <w:r>
              <w:t>Part A S</w:t>
            </w:r>
            <w:r w:rsidRPr="00C9798C">
              <w:t xml:space="preserve">upplement, </w:t>
            </w:r>
            <w:r>
              <w:t>from July 2017.</w:t>
            </w:r>
          </w:p>
        </w:tc>
        <w:tc>
          <w:tcPr>
            <w:tcW w:w="4444" w:type="dxa"/>
            <w:tcBorders>
              <w:top w:val="nil"/>
              <w:left w:val="nil"/>
              <w:bottom w:val="nil"/>
              <w:right w:val="single" w:sz="4" w:space="0" w:color="E0301E" w:themeColor="accent6"/>
            </w:tcBorders>
          </w:tcPr>
          <w:p w14:paraId="04AFB76A" w14:textId="77777777" w:rsidR="00950798" w:rsidRPr="00C66E06" w:rsidRDefault="00950798" w:rsidP="00D704AA">
            <w:pPr>
              <w:pStyle w:val="TableTextSmall"/>
              <w:cnfStyle w:val="000000000000" w:firstRow="0" w:lastRow="0" w:firstColumn="0" w:lastColumn="0" w:oddVBand="0" w:evenVBand="0" w:oddHBand="0" w:evenHBand="0" w:firstRowFirstColumn="0" w:firstRowLastColumn="0" w:lastRowFirstColumn="0" w:lastRowLastColumn="0"/>
            </w:pPr>
            <w:r>
              <w:t xml:space="preserve">Those people who earn </w:t>
            </w:r>
            <w:r w:rsidRPr="00977F60">
              <w:t xml:space="preserve">more than $80,000 </w:t>
            </w:r>
            <w:r>
              <w:t xml:space="preserve">will not be entitled to the </w:t>
            </w:r>
            <w:r w:rsidRPr="00977F60">
              <w:t xml:space="preserve">FTB Part A </w:t>
            </w:r>
            <w:r>
              <w:t>S</w:t>
            </w:r>
            <w:r w:rsidRPr="00977F60">
              <w:t>upplement.</w:t>
            </w:r>
            <w:r>
              <w:t xml:space="preserve"> On average this will reduce the amount of FTB paid per person.</w:t>
            </w:r>
          </w:p>
        </w:tc>
      </w:tr>
      <w:tr w:rsidR="00950798" w:rsidRPr="00C66E06" w14:paraId="59FB0CED" w14:textId="77777777" w:rsidTr="002453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E0301E" w:themeColor="accent6"/>
            </w:tcBorders>
            <w:shd w:val="clear" w:color="auto" w:fill="auto"/>
          </w:tcPr>
          <w:p w14:paraId="3E4C98B5" w14:textId="0B99DAD3" w:rsidR="00950798" w:rsidRDefault="00950798" w:rsidP="00961841">
            <w:pPr>
              <w:pStyle w:val="TableTextSmall"/>
            </w:pPr>
            <w:r>
              <w:t>Freeze of current Family Tax Benefit rates</w:t>
            </w:r>
          </w:p>
        </w:tc>
        <w:tc>
          <w:tcPr>
            <w:tcW w:w="3261" w:type="dxa"/>
            <w:tcBorders>
              <w:left w:val="nil"/>
            </w:tcBorders>
          </w:tcPr>
          <w:p w14:paraId="2639E8E6" w14:textId="70B3D704" w:rsidR="00950798" w:rsidRPr="00C66E06" w:rsidRDefault="00950798" w:rsidP="00961841">
            <w:pPr>
              <w:pStyle w:val="TableTextSmall"/>
              <w:cnfStyle w:val="000000100000" w:firstRow="0" w:lastRow="0" w:firstColumn="0" w:lastColumn="0" w:oddVBand="0" w:evenVBand="0" w:oddHBand="1" w:evenHBand="0" w:firstRowFirstColumn="0" w:firstRowLastColumn="0" w:lastRowFirstColumn="0" w:lastRowLastColumn="0"/>
              <w:rPr>
                <w:b/>
              </w:rPr>
            </w:pPr>
            <w:r>
              <w:t>Freeze of the current F</w:t>
            </w:r>
            <w:r w:rsidRPr="00C66E06">
              <w:t xml:space="preserve">amily </w:t>
            </w:r>
            <w:r>
              <w:t>T</w:t>
            </w:r>
            <w:r w:rsidRPr="00C66E06">
              <w:t xml:space="preserve">ax </w:t>
            </w:r>
            <w:r>
              <w:t>B</w:t>
            </w:r>
            <w:r w:rsidRPr="00C66E06">
              <w:t xml:space="preserve">enefit </w:t>
            </w:r>
            <w:r>
              <w:t xml:space="preserve">(Part A and B) </w:t>
            </w:r>
            <w:r w:rsidRPr="00C66E06">
              <w:t>rates for two years, from 1 July 2017</w:t>
            </w:r>
            <w:r>
              <w:t>.</w:t>
            </w:r>
          </w:p>
        </w:tc>
        <w:tc>
          <w:tcPr>
            <w:tcW w:w="4444" w:type="dxa"/>
            <w:tcBorders>
              <w:left w:val="nil"/>
              <w:right w:val="single" w:sz="4" w:space="0" w:color="E0301E" w:themeColor="accent6"/>
            </w:tcBorders>
          </w:tcPr>
          <w:p w14:paraId="16A884CB" w14:textId="77777777" w:rsidR="00950798" w:rsidRPr="00C66E06" w:rsidRDefault="00950798" w:rsidP="00D704AA">
            <w:pPr>
              <w:pStyle w:val="TableTextSmall"/>
              <w:cnfStyle w:val="000000100000" w:firstRow="0" w:lastRow="0" w:firstColumn="0" w:lastColumn="0" w:oddVBand="0" w:evenVBand="0" w:oddHBand="1" w:evenHBand="0" w:firstRowFirstColumn="0" w:firstRowLastColumn="0" w:lastRowFirstColumn="0" w:lastRowLastColumn="0"/>
            </w:pPr>
            <w:r>
              <w:t>Future payment rates for FTB will be lower as a result of two years without indexation.</w:t>
            </w:r>
          </w:p>
        </w:tc>
      </w:tr>
      <w:tr w:rsidR="00950798" w:rsidRPr="00C66E06" w14:paraId="2E09D2AF" w14:textId="77777777" w:rsidTr="002453D4">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E0301E" w:themeColor="accent6"/>
              <w:left w:val="single" w:sz="4" w:space="0" w:color="E0301E" w:themeColor="accent6"/>
              <w:bottom w:val="single" w:sz="4" w:space="0" w:color="E0301E" w:themeColor="accent6"/>
            </w:tcBorders>
            <w:shd w:val="clear" w:color="auto" w:fill="auto"/>
          </w:tcPr>
          <w:p w14:paraId="4633E34E" w14:textId="745DC774" w:rsidR="00950798" w:rsidRDefault="00950798" w:rsidP="00D704AA">
            <w:pPr>
              <w:pStyle w:val="TableTextSmall"/>
            </w:pPr>
            <w:r>
              <w:t>Student Start-Up Scholarship</w:t>
            </w:r>
          </w:p>
        </w:tc>
        <w:tc>
          <w:tcPr>
            <w:tcW w:w="3261" w:type="dxa"/>
            <w:tcBorders>
              <w:top w:val="nil"/>
              <w:left w:val="nil"/>
              <w:bottom w:val="nil"/>
            </w:tcBorders>
          </w:tcPr>
          <w:p w14:paraId="0F2BCE3F" w14:textId="1B8B3318" w:rsidR="00950798" w:rsidRPr="00C66E06" w:rsidRDefault="00950798" w:rsidP="00D704AA">
            <w:pPr>
              <w:pStyle w:val="TableTextSmall"/>
              <w:cnfStyle w:val="000000000000" w:firstRow="0" w:lastRow="0" w:firstColumn="0" w:lastColumn="0" w:oddVBand="0" w:evenVBand="0" w:oddHBand="0" w:evenHBand="0" w:firstRowFirstColumn="0" w:firstRowLastColumn="0" w:lastRowFirstColumn="0" w:lastRowLastColumn="0"/>
              <w:rPr>
                <w:b/>
              </w:rPr>
            </w:pPr>
            <w:r>
              <w:t>Removal of the grandfathering for the Student Start-Up Scholarship from July 2017.</w:t>
            </w:r>
          </w:p>
        </w:tc>
        <w:tc>
          <w:tcPr>
            <w:tcW w:w="4444" w:type="dxa"/>
            <w:tcBorders>
              <w:top w:val="nil"/>
              <w:left w:val="nil"/>
              <w:bottom w:val="nil"/>
              <w:right w:val="single" w:sz="4" w:space="0" w:color="E0301E" w:themeColor="accent6"/>
            </w:tcBorders>
          </w:tcPr>
          <w:p w14:paraId="1E93FAD0" w14:textId="77777777" w:rsidR="00950798" w:rsidRPr="00C66E06" w:rsidRDefault="00950798" w:rsidP="00D704AA">
            <w:pPr>
              <w:pStyle w:val="TableTextSmall"/>
              <w:cnfStyle w:val="000000000000" w:firstRow="0" w:lastRow="0" w:firstColumn="0" w:lastColumn="0" w:oddVBand="0" w:evenVBand="0" w:oddHBand="0" w:evenHBand="0" w:firstRowFirstColumn="0" w:firstRowLastColumn="0" w:lastRowFirstColumn="0" w:lastRowLastColumn="0"/>
            </w:pPr>
            <w:r>
              <w:t>Those students who have not yet finished their studies will no longer be entitled to Student Start-Up Scholarship. Some of these students may elect to receive the Student Start-Up Loan.</w:t>
            </w:r>
          </w:p>
        </w:tc>
      </w:tr>
      <w:tr w:rsidR="00950798" w:rsidRPr="00C66E06" w14:paraId="7AC42BD6" w14:textId="77777777" w:rsidTr="002453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E0301E" w:themeColor="accent6"/>
            </w:tcBorders>
            <w:shd w:val="clear" w:color="auto" w:fill="auto"/>
          </w:tcPr>
          <w:p w14:paraId="60E2379F" w14:textId="0A6CB872" w:rsidR="00950798" w:rsidRDefault="00950798" w:rsidP="00961841">
            <w:pPr>
              <w:pStyle w:val="TableTextSmall"/>
            </w:pPr>
            <w:r>
              <w:t>Closure of Carbon Tax Compensation</w:t>
            </w:r>
          </w:p>
        </w:tc>
        <w:tc>
          <w:tcPr>
            <w:tcW w:w="3261" w:type="dxa"/>
            <w:tcBorders>
              <w:left w:val="nil"/>
            </w:tcBorders>
          </w:tcPr>
          <w:p w14:paraId="49E4443D" w14:textId="4FA3FB08" w:rsidR="00950798" w:rsidRPr="00C66E06" w:rsidRDefault="00950798" w:rsidP="00961841">
            <w:pPr>
              <w:pStyle w:val="TableTextSmall"/>
              <w:cnfStyle w:val="000000100000" w:firstRow="0" w:lastRow="0" w:firstColumn="0" w:lastColumn="0" w:oddVBand="0" w:evenVBand="0" w:oddHBand="1" w:evenHBand="0" w:firstRowFirstColumn="0" w:firstRowLastColumn="0" w:lastRowFirstColumn="0" w:lastRowLastColumn="0"/>
              <w:rPr>
                <w:b/>
              </w:rPr>
            </w:pPr>
            <w:r>
              <w:t>Closure of Carbon Tax compensation (the Energy Supplement) to new recipients of Family Tax Benefit and concession cards (including the Seniors Health Card) from March 2017.</w:t>
            </w:r>
          </w:p>
        </w:tc>
        <w:tc>
          <w:tcPr>
            <w:tcW w:w="4444" w:type="dxa"/>
            <w:tcBorders>
              <w:left w:val="nil"/>
              <w:right w:val="single" w:sz="4" w:space="0" w:color="E0301E" w:themeColor="accent6"/>
            </w:tcBorders>
          </w:tcPr>
          <w:p w14:paraId="551AA8A2" w14:textId="4731544B" w:rsidR="00950798" w:rsidRPr="00C66E06" w:rsidRDefault="00950798" w:rsidP="00D704AA">
            <w:pPr>
              <w:pStyle w:val="TableTextSmall"/>
              <w:cnfStyle w:val="000000100000" w:firstRow="0" w:lastRow="0" w:firstColumn="0" w:lastColumn="0" w:oddVBand="0" w:evenVBand="0" w:oddHBand="1" w:evenHBand="0" w:firstRowFirstColumn="0" w:firstRowLastColumn="0" w:lastRowFirstColumn="0" w:lastRowLastColumn="0"/>
            </w:pPr>
            <w:r>
              <w:t>New recipients of FTB and new holders of the Seniors Health Card will not receive the Energy Supplement, as they have done historically.</w:t>
            </w:r>
          </w:p>
        </w:tc>
      </w:tr>
      <w:tr w:rsidR="00950798" w:rsidRPr="00C66E06" w14:paraId="5C347792" w14:textId="77777777" w:rsidTr="002453D4">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E0301E" w:themeColor="accent6"/>
              <w:left w:val="single" w:sz="4" w:space="0" w:color="E0301E" w:themeColor="accent6"/>
              <w:bottom w:val="single" w:sz="4" w:space="0" w:color="E0301E" w:themeColor="accent6"/>
            </w:tcBorders>
            <w:shd w:val="clear" w:color="auto" w:fill="auto"/>
          </w:tcPr>
          <w:p w14:paraId="0AF1B8DB" w14:textId="6E677F64" w:rsidR="00950798" w:rsidRDefault="00950798" w:rsidP="00D704AA">
            <w:pPr>
              <w:pStyle w:val="TableTextSmall"/>
            </w:pPr>
            <w:r>
              <w:t xml:space="preserve">Freeze of </w:t>
            </w:r>
            <w:r w:rsidR="006A17CD">
              <w:t xml:space="preserve">FTB </w:t>
            </w:r>
            <w:r>
              <w:t>higher income free area</w:t>
            </w:r>
            <w:r w:rsidR="006A17CD">
              <w:t xml:space="preserve"> and primary earner income limit</w:t>
            </w:r>
          </w:p>
        </w:tc>
        <w:tc>
          <w:tcPr>
            <w:tcW w:w="3261" w:type="dxa"/>
            <w:tcBorders>
              <w:top w:val="single" w:sz="4" w:space="0" w:color="E0301E" w:themeColor="accent6"/>
              <w:left w:val="nil"/>
              <w:bottom w:val="single" w:sz="4" w:space="0" w:color="E0301E" w:themeColor="accent6"/>
            </w:tcBorders>
          </w:tcPr>
          <w:p w14:paraId="52D29A8A" w14:textId="2AB5ACC9" w:rsidR="00950798" w:rsidRPr="00C66E06" w:rsidRDefault="006A17CD" w:rsidP="00D704AA">
            <w:pPr>
              <w:pStyle w:val="TableTextSmall"/>
              <w:cnfStyle w:val="000000000000" w:firstRow="0" w:lastRow="0" w:firstColumn="0" w:lastColumn="0" w:oddVBand="0" w:evenVBand="0" w:oddHBand="0" w:evenHBand="0" w:firstRowFirstColumn="0" w:firstRowLastColumn="0" w:lastRowFirstColumn="0" w:lastRowLastColumn="0"/>
              <w:rPr>
                <w:b/>
              </w:rPr>
            </w:pPr>
            <w:r>
              <w:t>Freeze of the higher income free area for Family Tax Benefit Part A, and the primary earner income limit for Family Tax Benefit Part B at their current levels until 30 June 2020.</w:t>
            </w:r>
          </w:p>
        </w:tc>
        <w:tc>
          <w:tcPr>
            <w:tcW w:w="4444" w:type="dxa"/>
            <w:tcBorders>
              <w:top w:val="single" w:sz="4" w:space="0" w:color="E0301E" w:themeColor="accent6"/>
              <w:left w:val="nil"/>
              <w:bottom w:val="single" w:sz="4" w:space="0" w:color="E0301E" w:themeColor="accent6"/>
              <w:right w:val="single" w:sz="4" w:space="0" w:color="E0301E" w:themeColor="accent6"/>
            </w:tcBorders>
          </w:tcPr>
          <w:p w14:paraId="747F8C40" w14:textId="04525D26" w:rsidR="00950798" w:rsidRPr="00C66E06" w:rsidRDefault="00950798" w:rsidP="00835841">
            <w:pPr>
              <w:pStyle w:val="TableTextSmall"/>
              <w:cnfStyle w:val="000000000000" w:firstRow="0" w:lastRow="0" w:firstColumn="0" w:lastColumn="0" w:oddVBand="0" w:evenVBand="0" w:oddHBand="0" w:evenHBand="0" w:firstRowFirstColumn="0" w:firstRowLastColumn="0" w:lastRowFirstColumn="0" w:lastRowLastColumn="0"/>
            </w:pPr>
            <w:r>
              <w:t>People whose income grows beyond the current limits will lose their entitlement. This will reduce the amount of FTB payments.</w:t>
            </w:r>
          </w:p>
        </w:tc>
      </w:tr>
      <w:tr w:rsidR="00950798" w:rsidRPr="00C66E06" w14:paraId="47F42BCD" w14:textId="77777777" w:rsidTr="002453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E0301E" w:themeColor="accent6"/>
            </w:tcBorders>
            <w:shd w:val="clear" w:color="auto" w:fill="auto"/>
          </w:tcPr>
          <w:p w14:paraId="11E2A957" w14:textId="7C3AFBF6" w:rsidR="00950798" w:rsidRDefault="00950798" w:rsidP="00D704AA">
            <w:pPr>
              <w:pStyle w:val="TableTextSmall"/>
            </w:pPr>
            <w:r>
              <w:t>Energy Assistance Payment</w:t>
            </w:r>
          </w:p>
        </w:tc>
        <w:tc>
          <w:tcPr>
            <w:tcW w:w="3261" w:type="dxa"/>
            <w:tcBorders>
              <w:left w:val="nil"/>
            </w:tcBorders>
            <w:shd w:val="clear" w:color="auto" w:fill="auto"/>
          </w:tcPr>
          <w:p w14:paraId="63DC13D9" w14:textId="764D632D" w:rsidR="00950798" w:rsidRPr="00C66E06" w:rsidRDefault="00950798" w:rsidP="00D704AA">
            <w:pPr>
              <w:pStyle w:val="TableTextSmall"/>
              <w:cnfStyle w:val="000000100000" w:firstRow="0" w:lastRow="0" w:firstColumn="0" w:lastColumn="0" w:oddVBand="0" w:evenVBand="0" w:oddHBand="1" w:evenHBand="0" w:firstRowFirstColumn="0" w:firstRowLastColumn="0" w:lastRowFirstColumn="0" w:lastRowLastColumn="0"/>
              <w:rPr>
                <w:b/>
              </w:rPr>
            </w:pPr>
            <w:r>
              <w:t>Payment of one-off Energy Assistance Payment in June 2017.</w:t>
            </w:r>
          </w:p>
        </w:tc>
        <w:tc>
          <w:tcPr>
            <w:tcW w:w="4444" w:type="dxa"/>
            <w:tcBorders>
              <w:left w:val="nil"/>
              <w:right w:val="single" w:sz="4" w:space="0" w:color="E0301E" w:themeColor="accent6"/>
            </w:tcBorders>
            <w:shd w:val="clear" w:color="auto" w:fill="auto"/>
          </w:tcPr>
          <w:p w14:paraId="0CF256AF" w14:textId="77777777" w:rsidR="00950798" w:rsidRPr="00C66E06" w:rsidRDefault="00950798" w:rsidP="00D704AA">
            <w:pPr>
              <w:pStyle w:val="TableTextSmall"/>
              <w:cnfStyle w:val="000000100000" w:firstRow="0" w:lastRow="0" w:firstColumn="0" w:lastColumn="0" w:oddVBand="0" w:evenVBand="0" w:oddHBand="1" w:evenHBand="0" w:firstRowFirstColumn="0" w:firstRowLastColumn="0" w:lastRowFirstColumn="0" w:lastRowLastColumn="0"/>
            </w:pPr>
            <w:r>
              <w:t>A new payment made in the 2016 financial year which is not expected to continue.</w:t>
            </w:r>
          </w:p>
        </w:tc>
      </w:tr>
    </w:tbl>
    <w:p w14:paraId="7D412219" w14:textId="77777777" w:rsidR="00247079" w:rsidRDefault="00247079" w:rsidP="00247079">
      <w:pPr>
        <w:pStyle w:val="PwCNormal"/>
        <w:numPr>
          <w:ilvl w:val="0"/>
          <w:numId w:val="0"/>
        </w:numPr>
      </w:pPr>
      <w:r>
        <w:lastRenderedPageBreak/>
        <w:t>Over the last few years there have also been operational developments relating to the medical assessment for the Disability Support Pension, and these have acted to tighten the eligibility. We have previously noted decreasing entries into the Disability Support Pension as a result of this, and a continuation of this experience has been observed this year.</w:t>
      </w:r>
    </w:p>
    <w:p w14:paraId="46C615FD" w14:textId="77777777" w:rsidR="00247079" w:rsidRDefault="00247079" w:rsidP="00247079">
      <w:pPr>
        <w:pStyle w:val="Heading3ExecutiveSummary"/>
      </w:pPr>
      <w:r>
        <w:t>Uses, limitations and reliances</w:t>
      </w:r>
    </w:p>
    <w:p w14:paraId="38465CF5" w14:textId="3C677E43" w:rsidR="00247079" w:rsidRPr="0057506F" w:rsidRDefault="00247079" w:rsidP="00247079">
      <w:pPr>
        <w:pStyle w:val="PwCNormal"/>
        <w:numPr>
          <w:ilvl w:val="0"/>
          <w:numId w:val="0"/>
        </w:numPr>
      </w:pPr>
      <w:r w:rsidRPr="009436DE">
        <w:t xml:space="preserve">The model can be used at a “system level” to consider the likely future welfare utilisation of the Australian population as it grows and </w:t>
      </w:r>
      <w:r w:rsidR="00781D7A">
        <w:t xml:space="preserve">as </w:t>
      </w:r>
      <w:r w:rsidRPr="009436DE">
        <w:t>the demographic profile shifts</w:t>
      </w:r>
      <w:r w:rsidR="00781D7A">
        <w:t xml:space="preserve">, as well as at a detailed level </w:t>
      </w:r>
      <w:r w:rsidR="00D45728">
        <w:t>to examine experience for sufficiently sized groups of interest within the population</w:t>
      </w:r>
      <w:r w:rsidR="00D45728" w:rsidRPr="009436DE">
        <w:t>.</w:t>
      </w:r>
      <w:r w:rsidRPr="009436DE">
        <w:t xml:space="preserve"> The valuation also provides the ability to explore the sensitivity of the model results to changes in the model assumptions. This provides a platform through which different scenarios can be explored and their potential impact assessed over </w:t>
      </w:r>
      <w:r>
        <w:t>both the short and longer term.</w:t>
      </w:r>
    </w:p>
    <w:p w14:paraId="7E68F8DE" w14:textId="3178A1E2" w:rsidR="00247079" w:rsidRDefault="00247079" w:rsidP="00247079">
      <w:pPr>
        <w:pStyle w:val="PwCNormal"/>
        <w:numPr>
          <w:ilvl w:val="0"/>
          <w:numId w:val="1"/>
        </w:numPr>
      </w:pPr>
      <w:r>
        <w:t xml:space="preserve">The model </w:t>
      </w:r>
      <w:r w:rsidRPr="00D9173B">
        <w:t>captures the different risk characteristics that are important at a population level</w:t>
      </w:r>
      <w:r w:rsidR="00781D7A">
        <w:t xml:space="preserve"> and for </w:t>
      </w:r>
      <w:r w:rsidR="00E46DFD">
        <w:t>groups of people</w:t>
      </w:r>
      <w:r w:rsidRPr="00D9173B">
        <w:t xml:space="preserve">, but does not reflect all the factors that may result in different outcomes or different levels of payment for individual people. As such </w:t>
      </w:r>
      <w:r>
        <w:t xml:space="preserve">it is able to </w:t>
      </w:r>
      <w:r w:rsidRPr="00D9173B">
        <w:t xml:space="preserve">produce population and population group information rather than information for individuals. </w:t>
      </w:r>
    </w:p>
    <w:p w14:paraId="1C2062FF" w14:textId="07645558" w:rsidR="00247079" w:rsidRDefault="00247079" w:rsidP="00247079">
      <w:pPr>
        <w:pStyle w:val="PwCNormal"/>
        <w:numPr>
          <w:ilvl w:val="0"/>
          <w:numId w:val="0"/>
        </w:numPr>
      </w:pPr>
      <w:r w:rsidRPr="00A4160D">
        <w:t>This report has been prepared</w:t>
      </w:r>
      <w:r>
        <w:t xml:space="preserve"> by PricewaterhouseCoopers (PwC)</w:t>
      </w:r>
      <w:r w:rsidRPr="00A4160D">
        <w:t xml:space="preserve"> at the request of the Department to document the</w:t>
      </w:r>
      <w:r w:rsidR="006F2D78">
        <w:t xml:space="preserve"> ac</w:t>
      </w:r>
      <w:r w:rsidRPr="00A4160D">
        <w:t xml:space="preserve">tuarial </w:t>
      </w:r>
      <w:r w:rsidR="00E46DFD">
        <w:t>v</w:t>
      </w:r>
      <w:r w:rsidRPr="00A4160D">
        <w:t>aluation of Australia’s social security and income support system as at 30 June 2017. It is not intended, or necessarily suitable, for any other purpose.</w:t>
      </w:r>
      <w:r>
        <w:t xml:space="preserve"> </w:t>
      </w:r>
      <w:r w:rsidRPr="00A4160D">
        <w:t xml:space="preserve">The report relies on the completeness and accuracy of information compiled and provided by the Department. There is </w:t>
      </w:r>
      <w:r>
        <w:t xml:space="preserve">also </w:t>
      </w:r>
      <w:r w:rsidRPr="00A4160D">
        <w:t>a limitation to the accuracy of the results contained in this report because of the inherent uncertainty of any estimation of such long term costs.</w:t>
      </w:r>
    </w:p>
    <w:p w14:paraId="25FD31DD" w14:textId="4AF84C73" w:rsidR="00A12811" w:rsidRDefault="00363B42" w:rsidP="00A12811">
      <w:pPr>
        <w:pStyle w:val="Heading2ExecutiveSummary"/>
      </w:pPr>
      <w:r>
        <w:t>Allowance for recent e</w:t>
      </w:r>
      <w:r w:rsidR="00A12811">
        <w:t>xperience</w:t>
      </w:r>
    </w:p>
    <w:p w14:paraId="0863105E" w14:textId="2F2AC7F8" w:rsidR="00940180" w:rsidRDefault="00940180" w:rsidP="00940180">
      <w:pPr>
        <w:pStyle w:val="PwCNormal"/>
        <w:numPr>
          <w:ilvl w:val="0"/>
          <w:numId w:val="1"/>
        </w:numPr>
      </w:pPr>
      <w:r>
        <w:t>The valuation has been developed with reference to the latest welfare recipient experience as at 30 June 2017, and this experience has impacted the population at the valuation date as well as the assumptions selected for use in the future projections.</w:t>
      </w:r>
    </w:p>
    <w:p w14:paraId="5B778997" w14:textId="21829E57" w:rsidR="00940180" w:rsidRDefault="00940180" w:rsidP="00940180">
      <w:pPr>
        <w:pStyle w:val="PwCNormal"/>
        <w:numPr>
          <w:ilvl w:val="0"/>
          <w:numId w:val="0"/>
        </w:numPr>
      </w:pPr>
      <w:r>
        <w:t>For the June 2017 valuation the total model population is</w:t>
      </w:r>
      <w:r w:rsidRPr="00AC495B">
        <w:t xml:space="preserve"> 24.7 million people which comprises the </w:t>
      </w:r>
      <w:r>
        <w:t xml:space="preserve">updated resident population of </w:t>
      </w:r>
      <w:r w:rsidRPr="00AC495B">
        <w:t xml:space="preserve">24.6 million, as well as 0.1 million </w:t>
      </w:r>
      <w:r>
        <w:t>overseas payment recipients</w:t>
      </w:r>
      <w:r w:rsidRPr="00AC495B">
        <w:t xml:space="preserve">. </w:t>
      </w:r>
      <w:r>
        <w:t>This updated</w:t>
      </w:r>
      <w:r w:rsidRPr="00AC495B">
        <w:t xml:space="preserve"> model population has increased by 0.5 million since June 2016 which reflects population growth over the year</w:t>
      </w:r>
      <w:r>
        <w:t xml:space="preserve"> of around 350,000</w:t>
      </w:r>
      <w:r w:rsidRPr="00AC495B">
        <w:t>, as well as allowance</w:t>
      </w:r>
      <w:r w:rsidR="00247079">
        <w:t xml:space="preserve"> for</w:t>
      </w:r>
      <w:r w:rsidRPr="00AC495B">
        <w:t xml:space="preserve"> updated informa</w:t>
      </w:r>
      <w:r>
        <w:t>tion drawn from the 2016 Census (which showed the population was around 150,000 higher than from previous estimates).</w:t>
      </w:r>
    </w:p>
    <w:p w14:paraId="13E65378" w14:textId="221985AF" w:rsidR="00940180" w:rsidRDefault="00940180" w:rsidP="00940180">
      <w:pPr>
        <w:pStyle w:val="PwCNormal"/>
        <w:numPr>
          <w:ilvl w:val="0"/>
          <w:numId w:val="0"/>
        </w:numPr>
      </w:pPr>
      <w:r>
        <w:t xml:space="preserve">Since the previous valuation, we observed the following key trends </w:t>
      </w:r>
      <w:r w:rsidR="00E46DFD">
        <w:t>with</w:t>
      </w:r>
      <w:r>
        <w:t xml:space="preserve"> regards to the number of people accessing each payment type:</w:t>
      </w:r>
    </w:p>
    <w:p w14:paraId="061CE330" w14:textId="77777777" w:rsidR="00940180" w:rsidRDefault="00940180" w:rsidP="002757B8">
      <w:pPr>
        <w:pStyle w:val="ListBullet"/>
      </w:pPr>
      <w:r>
        <w:t>Total entries into the welfare system have continued to decrease over the past year;</w:t>
      </w:r>
    </w:p>
    <w:p w14:paraId="1D444B95" w14:textId="77777777" w:rsidR="00940180" w:rsidRPr="009C4351" w:rsidRDefault="00940180" w:rsidP="002757B8">
      <w:pPr>
        <w:pStyle w:val="ListBullet"/>
      </w:pPr>
      <w:r>
        <w:t>The number of people exiting the welfare system has increased;</w:t>
      </w:r>
    </w:p>
    <w:p w14:paraId="60144DDF" w14:textId="66CC3206" w:rsidR="00940180" w:rsidRPr="009C4351" w:rsidRDefault="00940180" w:rsidP="002757B8">
      <w:pPr>
        <w:pStyle w:val="ListBullet"/>
      </w:pPr>
      <w:r w:rsidRPr="009C4351">
        <w:t>The number of entrants into DSP has continued to reduce significantly</w:t>
      </w:r>
      <w:r>
        <w:t>, following the tightening of DSP eligibility criteria</w:t>
      </w:r>
      <w:r w:rsidRPr="009C4351">
        <w:t>; and</w:t>
      </w:r>
    </w:p>
    <w:p w14:paraId="05FC4D71" w14:textId="059E863E" w:rsidR="00940180" w:rsidRDefault="00940180" w:rsidP="002757B8">
      <w:pPr>
        <w:pStyle w:val="ListBullet"/>
      </w:pPr>
      <w:r w:rsidRPr="009C4351">
        <w:t xml:space="preserve">The number of people entering the Age Pension has reduced, </w:t>
      </w:r>
      <w:r>
        <w:t xml:space="preserve">in part </w:t>
      </w:r>
      <w:r w:rsidR="00E46DFD">
        <w:t xml:space="preserve">as </w:t>
      </w:r>
      <w:r w:rsidRPr="009C4351">
        <w:t>a result of the changes in the pensions asset</w:t>
      </w:r>
      <w:r w:rsidR="00647550">
        <w:t>s</w:t>
      </w:r>
      <w:r w:rsidRPr="009C4351">
        <w:t xml:space="preserve"> test.</w:t>
      </w:r>
    </w:p>
    <w:p w14:paraId="0EBC52D3" w14:textId="77777777" w:rsidR="00144D45" w:rsidRDefault="00144D45" w:rsidP="00144D45">
      <w:pPr>
        <w:pStyle w:val="PwCNormal"/>
        <w:numPr>
          <w:ilvl w:val="0"/>
          <w:numId w:val="0"/>
        </w:numPr>
      </w:pPr>
      <w:r>
        <w:t>These factors have resulted in a very small decrease in the number of people in receipt of payments over the last year, despite the increase in the total population of Australia. In particular, the numbers of people in most income support classes have reduced compared to last year</w:t>
      </w:r>
      <w:r w:rsidRPr="0075685F">
        <w:t>.</w:t>
      </w:r>
      <w:r>
        <w:t xml:space="preserve"> The exceptions to this are the Carers class and Age Pension class, both of which have continued to grow, but to a lesser extent than previously expected.</w:t>
      </w:r>
    </w:p>
    <w:p w14:paraId="3B338AF8" w14:textId="482A5979" w:rsidR="00940180" w:rsidRDefault="00940180" w:rsidP="00940180">
      <w:pPr>
        <w:pStyle w:val="PwCNormal"/>
        <w:numPr>
          <w:ilvl w:val="0"/>
          <w:numId w:val="0"/>
        </w:numPr>
      </w:pPr>
      <w:r>
        <w:t>The welfare population now represents 32.6% of the population (down from 33.3% at June 2016)</w:t>
      </w:r>
      <w:r w:rsidR="00E46DFD">
        <w:t>, with the proportion of the population in receipt of income support down from 23.8% to 23.3%</w:t>
      </w:r>
      <w:r>
        <w:t>.</w:t>
      </w:r>
    </w:p>
    <w:p w14:paraId="4367184C" w14:textId="74EC8887" w:rsidR="00940180" w:rsidRDefault="00940180" w:rsidP="00940180">
      <w:pPr>
        <w:pStyle w:val="PwCNormal"/>
        <w:numPr>
          <w:ilvl w:val="0"/>
          <w:numId w:val="0"/>
        </w:numPr>
      </w:pPr>
      <w:r>
        <w:t>The chart below shows the projected number of people in each welfare class</w:t>
      </w:r>
      <w:r w:rsidR="00E46DFD">
        <w:t>, and highlights</w:t>
      </w:r>
      <w:r w:rsidR="00363B42">
        <w:t xml:space="preserve"> some of</w:t>
      </w:r>
      <w:r>
        <w:t xml:space="preserve"> the movemen</w:t>
      </w:r>
      <w:r w:rsidR="00363B42">
        <w:t xml:space="preserve">ts in the key projection assumptions </w:t>
      </w:r>
      <w:r>
        <w:t xml:space="preserve">in response to the experience noted above. </w:t>
      </w:r>
      <w:r w:rsidRPr="00AC495B">
        <w:t>The red and orange bars show the actual number of people in each class for the year ending 30 June 2017, as well as the expected numbers of people in each active class over the period June 2018 to June 2022. We</w:t>
      </w:r>
      <w:r w:rsidR="00247079">
        <w:t xml:space="preserve"> ha</w:t>
      </w:r>
      <w:r w:rsidRPr="00AC495B">
        <w:t>ve also included information from the previous June 2016 valuation for comparison</w:t>
      </w:r>
      <w:r>
        <w:t>:</w:t>
      </w:r>
      <w:r w:rsidRPr="00AC495B">
        <w:t xml:space="preserve"> </w:t>
      </w:r>
      <w:r>
        <w:t>t</w:t>
      </w:r>
      <w:r w:rsidRPr="00AC495B">
        <w:t xml:space="preserve">he grey bar shows the actual number of </w:t>
      </w:r>
      <w:r w:rsidRPr="00AC495B">
        <w:lastRenderedPageBreak/>
        <w:t>people in each class for the year ending 30 June 2016</w:t>
      </w:r>
      <w:r>
        <w:t>; whilst the</w:t>
      </w:r>
      <w:r w:rsidRPr="00AC495B">
        <w:t xml:space="preserve"> black</w:t>
      </w:r>
      <w:r>
        <w:t>/grey</w:t>
      </w:r>
      <w:r w:rsidRPr="00AC495B">
        <w:t xml:space="preserve"> outline bars show the projected numbers based on the June 2016 valuation.</w:t>
      </w:r>
    </w:p>
    <w:p w14:paraId="651BEB08" w14:textId="77777777" w:rsidR="00940180" w:rsidRPr="00AC495B" w:rsidRDefault="00940180" w:rsidP="00940180">
      <w:pPr>
        <w:pStyle w:val="Caption"/>
      </w:pPr>
      <w:r w:rsidRPr="00AC495B">
        <w:t xml:space="preserve">Figure </w:t>
      </w:r>
      <w:r w:rsidRPr="00AC495B">
        <w:fldChar w:fldCharType="begin"/>
      </w:r>
      <w:r w:rsidRPr="00AC495B">
        <w:rPr>
          <w:bCs w:val="0"/>
        </w:rPr>
        <w:instrText xml:space="preserve"> SEQ Figure \* ARABIC </w:instrText>
      </w:r>
      <w:r w:rsidRPr="00AC495B">
        <w:fldChar w:fldCharType="separate"/>
      </w:r>
      <w:r w:rsidR="00C93C1A">
        <w:rPr>
          <w:bCs w:val="0"/>
          <w:noProof/>
        </w:rPr>
        <w:t>1</w:t>
      </w:r>
      <w:r w:rsidRPr="00AC495B">
        <w:fldChar w:fldCharType="end"/>
      </w:r>
      <w:r w:rsidRPr="00AC495B">
        <w:t>: Actual and Projected numbers of people in each active welfare class</w:t>
      </w:r>
    </w:p>
    <w:p w14:paraId="7B14806C" w14:textId="77777777" w:rsidR="00940180" w:rsidRPr="00AC495B" w:rsidRDefault="00940180" w:rsidP="00940180">
      <w:pPr>
        <w:pStyle w:val="PwCNormal"/>
        <w:numPr>
          <w:ilvl w:val="0"/>
          <w:numId w:val="0"/>
        </w:numPr>
      </w:pPr>
      <w:r w:rsidRPr="006A5C72">
        <w:rPr>
          <w:noProof/>
          <w:lang w:eastAsia="en-AU"/>
        </w:rPr>
        <w:drawing>
          <wp:inline distT="0" distB="0" distL="0" distR="0" wp14:anchorId="12215440" wp14:editId="6E97B145">
            <wp:extent cx="5774400" cy="2966400"/>
            <wp:effectExtent l="0" t="0" r="0" b="5715"/>
            <wp:docPr id="10" name="Picture 10" descr="This figure is a grouped column chart. The chart shows the projected number of individuals in each active welfare class for each financial year for the next 6 years. The vertical axis shows the number of individuals ranging from 0 to 3 million. The horizontal axis shows welfare class for active welfare classes 1 to 9.&#10;&#10;For each welfare class on the horizontal axis, there are 7 columns grouped together. The 7 columns show the actual number of people in the class at 30 June 2016 and 30 June 2017 as well as the projected number of people in the class for at each 30 June 2018, 30 June 2019, 30 June 2020, 30 June 2021 and 30 June 2022.&#10;&#10;The expected number of people in each active welfare class at 30 June 2022 from the Jun16 valuation is: 359,000 for Studying, 1,288,000 for Working age, 462,000 for Parents, 359,000 for Carers, 825,000 for Disability Support, 2,759,000 for Pension age, 1,536,000 for Non-IS Family, 219,000 for Non-IS Carer and 634,000 for Non-IS Other.&#10;&#10;The expected number of people in each active welfare class at 30 June 2022 from the Jun17 valuation is: 365,000 for Studying, 1,271,000 for Working age, 441,000 for Parents, 342,000 for Carers, 778,000 for Disability Support, 2,684,000 for Pension age, 1,519,000 for Non-IS Family, 224,000 for Non-IS Carer and 566,000 for Non-IS Other. &#10;&#10;Further features shown in the chart are discussed in the accompanying text within the report.&#10;" title="Actual and Projected numbers of people in each active welfar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4400" cy="2966400"/>
                    </a:xfrm>
                    <a:prstGeom prst="rect">
                      <a:avLst/>
                    </a:prstGeom>
                    <a:noFill/>
                    <a:ln>
                      <a:noFill/>
                    </a:ln>
                  </pic:spPr>
                </pic:pic>
              </a:graphicData>
            </a:graphic>
          </wp:inline>
        </w:drawing>
      </w:r>
    </w:p>
    <w:p w14:paraId="5C8FAC5D" w14:textId="77777777" w:rsidR="00940180" w:rsidRPr="00AC495B" w:rsidRDefault="00940180" w:rsidP="00940180">
      <w:pPr>
        <w:pStyle w:val="PwCNormal"/>
        <w:numPr>
          <w:ilvl w:val="0"/>
          <w:numId w:val="0"/>
        </w:numPr>
      </w:pPr>
      <w:r>
        <w:t>Key features:</w:t>
      </w:r>
    </w:p>
    <w:p w14:paraId="4EE88446" w14:textId="77777777" w:rsidR="009A747E" w:rsidRDefault="009A747E" w:rsidP="002757B8">
      <w:pPr>
        <w:pStyle w:val="ListBullet"/>
      </w:pPr>
      <w:r>
        <w:t>The total projected numbers of people from the June 2017 valuation (the red and orange bars), are generally lower than the projections from the previous June 2016 valuation (the black/grey outline bars). This is reflective of the recent decrease in entries and increase in exits which will act to reduce the total number of welfare recipients if this experience continues.</w:t>
      </w:r>
    </w:p>
    <w:p w14:paraId="136FB964" w14:textId="313E8859" w:rsidR="00363B42" w:rsidRDefault="00940180" w:rsidP="002757B8">
      <w:pPr>
        <w:pStyle w:val="ListBullet"/>
      </w:pPr>
      <w:r>
        <w:t>In particular</w:t>
      </w:r>
      <w:r w:rsidR="00E80345">
        <w:t>,</w:t>
      </w:r>
      <w:r>
        <w:t xml:space="preserve"> </w:t>
      </w:r>
      <w:r w:rsidR="009A747E">
        <w:t>decreases in the projection</w:t>
      </w:r>
      <w:r>
        <w:t xml:space="preserve"> can be seen for the Pension Age and Disability Support classes</w:t>
      </w:r>
      <w:r w:rsidR="009A747E">
        <w:t>, relative to the June 2016 projection</w:t>
      </w:r>
      <w:r>
        <w:t xml:space="preserve">. This is reflective of </w:t>
      </w:r>
      <w:r w:rsidR="009A747E">
        <w:t xml:space="preserve">the </w:t>
      </w:r>
      <w:r>
        <w:t>decreasing entries into these classes</w:t>
      </w:r>
      <w:r w:rsidR="009A747E">
        <w:t xml:space="preserve"> </w:t>
      </w:r>
      <w:r>
        <w:t>observed over the last year.</w:t>
      </w:r>
    </w:p>
    <w:p w14:paraId="5BC09104" w14:textId="256DF00F" w:rsidR="004D3BBC" w:rsidRDefault="004D3BBC" w:rsidP="002757B8">
      <w:pPr>
        <w:pStyle w:val="ListBullet"/>
      </w:pPr>
      <w:r>
        <w:t>Despite the decrease noted above, the number</w:t>
      </w:r>
      <w:r w:rsidRPr="00AC495B">
        <w:t xml:space="preserve"> of age pensioners </w:t>
      </w:r>
      <w:r>
        <w:t>is still projected to</w:t>
      </w:r>
      <w:r w:rsidRPr="00AC495B">
        <w:t xml:space="preserve"> increase</w:t>
      </w:r>
      <w:r>
        <w:t>,</w:t>
      </w:r>
      <w:r w:rsidRPr="00AC495B">
        <w:t xml:space="preserve"> </w:t>
      </w:r>
      <w:r>
        <w:t>although at a lower rate than was expected based on the June 2016 valuation. This increase reflects the increasing population of people above age 65</w:t>
      </w:r>
      <w:r w:rsidR="00E80345">
        <w:t xml:space="preserve">, </w:t>
      </w:r>
      <w:r>
        <w:t>as</w:t>
      </w:r>
      <w:r w:rsidR="00E80345">
        <w:t>sociated with</w:t>
      </w:r>
      <w:r w:rsidR="006F2D78">
        <w:t xml:space="preserve"> </w:t>
      </w:r>
      <w:r w:rsidR="00E80345">
        <w:t>demographic factors and</w:t>
      </w:r>
      <w:r>
        <w:t xml:space="preserve"> improved longevity. A decrease in the number of people in the </w:t>
      </w:r>
      <w:r w:rsidR="00D10802">
        <w:t xml:space="preserve">Pension Age </w:t>
      </w:r>
      <w:r>
        <w:t>class can be observed in the June 2018 projection due to the impact of the pensions asset</w:t>
      </w:r>
      <w:r w:rsidR="002F0CBF">
        <w:t>s</w:t>
      </w:r>
      <w:r>
        <w:t xml:space="preserve"> test changes.</w:t>
      </w:r>
      <w:r w:rsidR="003D1C7B">
        <w:t xml:space="preserve"> In addition the </w:t>
      </w:r>
      <w:r w:rsidR="002F0CBF">
        <w:t xml:space="preserve">Age Pension </w:t>
      </w:r>
      <w:r w:rsidR="003D1C7B">
        <w:t>age increases to 65.5 from 1 July 2017 which also reduce</w:t>
      </w:r>
      <w:r w:rsidR="00E80345">
        <w:t>s</w:t>
      </w:r>
      <w:r w:rsidR="003D1C7B">
        <w:t xml:space="preserve"> the projected entries into age pension in 2017/18.</w:t>
      </w:r>
    </w:p>
    <w:p w14:paraId="14AF2442" w14:textId="42A80B5D" w:rsidR="00940180" w:rsidRPr="00AC495B" w:rsidRDefault="00940180" w:rsidP="002757B8">
      <w:pPr>
        <w:pStyle w:val="ListBullet"/>
      </w:pPr>
      <w:r w:rsidRPr="00AC495B">
        <w:t xml:space="preserve">The number of people in the </w:t>
      </w:r>
      <w:r w:rsidR="003C32DF">
        <w:t>C</w:t>
      </w:r>
      <w:r w:rsidRPr="00AC495B">
        <w:t>arers class has been growing from year to year and we expect this to continue in the future. As the population ages and there are a higher number of older people needing care, there may be more demand for this payment. Note also that this class includes a group of people over pension age who may</w:t>
      </w:r>
      <w:r w:rsidR="00482DBF">
        <w:t xml:space="preserve"> be caring for ageing partners.</w:t>
      </w:r>
    </w:p>
    <w:p w14:paraId="1E0EBB6B" w14:textId="5B48BEFB" w:rsidR="00940180" w:rsidRDefault="00940180" w:rsidP="002757B8">
      <w:pPr>
        <w:pStyle w:val="ListBullet"/>
      </w:pPr>
      <w:r w:rsidRPr="00AC495B">
        <w:t xml:space="preserve">The number of people in the </w:t>
      </w:r>
      <w:r w:rsidR="003C32DF">
        <w:t>Working Age class</w:t>
      </w:r>
      <w:r w:rsidRPr="00AC495B">
        <w:t xml:space="preserve"> is projected to be fairly stable over </w:t>
      </w:r>
      <w:r>
        <w:t>this period</w:t>
      </w:r>
      <w:r w:rsidR="00482DBF">
        <w:t>.</w:t>
      </w:r>
    </w:p>
    <w:p w14:paraId="3638AE45" w14:textId="77777777" w:rsidR="00940180" w:rsidRPr="00AC495B" w:rsidRDefault="00940180" w:rsidP="00940180">
      <w:pPr>
        <w:pStyle w:val="PwCNormal"/>
        <w:numPr>
          <w:ilvl w:val="0"/>
          <w:numId w:val="0"/>
        </w:numPr>
      </w:pPr>
      <w:r>
        <w:t>We have also updated projected payment size assumptions to allow for updated experience and we have noted the following features from our analysis</w:t>
      </w:r>
      <w:r w:rsidRPr="00AC495B">
        <w:t>:</w:t>
      </w:r>
    </w:p>
    <w:p w14:paraId="378261F6" w14:textId="2BF7E8AA" w:rsidR="00940180" w:rsidRPr="00AC495B" w:rsidRDefault="00940180" w:rsidP="002757B8">
      <w:pPr>
        <w:pStyle w:val="ListBullet"/>
      </w:pPr>
      <w:r w:rsidRPr="00AC495B">
        <w:t xml:space="preserve">There has been a reduction in </w:t>
      </w:r>
      <w:r w:rsidR="005B3E7D">
        <w:t>non income</w:t>
      </w:r>
      <w:r w:rsidRPr="00AC495B">
        <w:t xml:space="preserve"> support studying payments, driven by the replacement of the Student Start-up Scholarship (SSS) with the Student Start-up Loan (SSL); and</w:t>
      </w:r>
    </w:p>
    <w:p w14:paraId="1FF4EC7E" w14:textId="77777777" w:rsidR="00940180" w:rsidRPr="00AC495B" w:rsidRDefault="00940180" w:rsidP="002757B8">
      <w:pPr>
        <w:pStyle w:val="ListBullet"/>
      </w:pPr>
      <w:r w:rsidRPr="00AC495B">
        <w:t>Average Family Tax Benefit (FTB) payments have continued to gradually reduce, likely a result of a number of policy changes in recent years which have generally tightened FTB payments.</w:t>
      </w:r>
    </w:p>
    <w:p w14:paraId="70B8C8A9" w14:textId="77777777" w:rsidR="00144D45" w:rsidRDefault="00144D45" w:rsidP="00144D45">
      <w:pPr>
        <w:pStyle w:val="PwCNormal"/>
        <w:numPr>
          <w:ilvl w:val="0"/>
          <w:numId w:val="0"/>
        </w:numPr>
      </w:pPr>
      <w:r>
        <w:t>Changes in other payments are discussed later, for each class in turn, as changes in average payments across the whole welfare system are influenced by the mix of people in different classes and the changes in this mix over time.</w:t>
      </w:r>
    </w:p>
    <w:p w14:paraId="18EA0F36" w14:textId="7A5A21C6" w:rsidR="00A12811" w:rsidRDefault="00A12811" w:rsidP="00A12811">
      <w:pPr>
        <w:pStyle w:val="PwCNormal"/>
        <w:numPr>
          <w:ilvl w:val="0"/>
          <w:numId w:val="0"/>
        </w:numPr>
      </w:pPr>
    </w:p>
    <w:p w14:paraId="0F917146" w14:textId="77777777" w:rsidR="00C62854" w:rsidRPr="003F4C54" w:rsidRDefault="00C62854" w:rsidP="00C62854">
      <w:pPr>
        <w:pStyle w:val="Heading2ExecutiveSummary"/>
      </w:pPr>
      <w:r w:rsidRPr="003F4C54">
        <w:lastRenderedPageBreak/>
        <w:t>Results</w:t>
      </w:r>
    </w:p>
    <w:p w14:paraId="59B34399" w14:textId="77777777" w:rsidR="00C62854" w:rsidRPr="0036202D" w:rsidRDefault="00C62854" w:rsidP="00C62854">
      <w:pPr>
        <w:pStyle w:val="Heading3ExecutiveSummary"/>
      </w:pPr>
      <w:r w:rsidRPr="0036202D">
        <w:t>Lifetime cost at 30 June 2017</w:t>
      </w:r>
      <w:r>
        <w:t xml:space="preserve"> </w:t>
      </w:r>
    </w:p>
    <w:p w14:paraId="4D353520" w14:textId="77777777" w:rsidR="00C62854" w:rsidRPr="0036202D" w:rsidRDefault="00C62854" w:rsidP="00C62854">
      <w:pPr>
        <w:pStyle w:val="PwCNormal"/>
        <w:numPr>
          <w:ilvl w:val="0"/>
          <w:numId w:val="0"/>
        </w:numPr>
      </w:pPr>
      <w:r w:rsidRPr="0036202D">
        <w:t>The key result of the actuarial valuation is the total lifetime cost, which is defined at the valuation date as the net present value of future in-scope payments made to all people in the model population over the remainder of their natural lifetimes.</w:t>
      </w:r>
    </w:p>
    <w:p w14:paraId="0D43DFB9" w14:textId="77777777" w:rsidR="00C62854" w:rsidRPr="0036202D" w:rsidRDefault="00C62854" w:rsidP="00C62854">
      <w:pPr>
        <w:pStyle w:val="PwCNormal"/>
        <w:numPr>
          <w:ilvl w:val="0"/>
          <w:numId w:val="0"/>
        </w:numPr>
      </w:pPr>
      <w:r w:rsidRPr="0036202D">
        <w:t>The total lifetime cost can be assessed for any group of people within the model population. In the discussion on the results we examine the total lifetime cost for the whole model population and for four groups of people in the starting population:</w:t>
      </w:r>
    </w:p>
    <w:p w14:paraId="7FEA808A" w14:textId="77777777" w:rsidR="00C62854" w:rsidRPr="0036202D" w:rsidRDefault="00C62854" w:rsidP="00C62854">
      <w:pPr>
        <w:pStyle w:val="ListBullet"/>
      </w:pPr>
      <w:r w:rsidRPr="0036202D">
        <w:t xml:space="preserve">Current welfare recipients - this includes any person who received a payment in the 2016/17 year. </w:t>
      </w:r>
    </w:p>
    <w:p w14:paraId="62522125" w14:textId="059F4206" w:rsidR="00C62854" w:rsidRPr="0036202D" w:rsidRDefault="00C62854" w:rsidP="00C62854">
      <w:pPr>
        <w:pStyle w:val="ListBullet"/>
      </w:pPr>
      <w:r w:rsidRPr="0036202D">
        <w:t>Recent exits – people who exited a welfare recipient class in the last three years. This is people who would be assigned to one of the welfare recipient classes (classes 1</w:t>
      </w:r>
      <w:r w:rsidR="00FE30F6">
        <w:t xml:space="preserve"> to </w:t>
      </w:r>
      <w:r w:rsidRPr="0036202D">
        <w:t xml:space="preserve">9) at 30 June 2014, 30 June 2015, or 30 June 2016 but do not fall into one of these classes at 30 June 2017. </w:t>
      </w:r>
    </w:p>
    <w:p w14:paraId="03CE81C1" w14:textId="10D39501" w:rsidR="00C62854" w:rsidRPr="0036202D" w:rsidRDefault="00C62854" w:rsidP="00C62854">
      <w:pPr>
        <w:pStyle w:val="ListBullet"/>
      </w:pPr>
      <w:r w:rsidRPr="0036202D">
        <w:t>Older exits – other people who are known to have previously received a payment</w:t>
      </w:r>
      <w:r w:rsidR="00DE3E46">
        <w:t>.</w:t>
      </w:r>
    </w:p>
    <w:p w14:paraId="24547F83" w14:textId="77777777" w:rsidR="00C62854" w:rsidRPr="0036202D" w:rsidRDefault="00C62854" w:rsidP="00C62854">
      <w:pPr>
        <w:pStyle w:val="ListBullet"/>
      </w:pPr>
      <w:r w:rsidRPr="0036202D">
        <w:t>Rest of the Australian Population – the remainder of the model population.</w:t>
      </w:r>
    </w:p>
    <w:p w14:paraId="58AC997B" w14:textId="77777777" w:rsidR="00C62854" w:rsidRPr="0036202D" w:rsidRDefault="00C62854" w:rsidP="00C62854">
      <w:pPr>
        <w:pStyle w:val="PwCNormal"/>
        <w:numPr>
          <w:ilvl w:val="0"/>
          <w:numId w:val="1"/>
        </w:numPr>
      </w:pPr>
      <w:r w:rsidRPr="0036202D">
        <w:t xml:space="preserve">Future migrants and unborn children are not included in the estimate of total lifetime cost, but will appear in future valuations once they migrate or are born, and at that time will contribute to an increase in the total lifetime cost. </w:t>
      </w:r>
    </w:p>
    <w:p w14:paraId="7088FC2A" w14:textId="77777777" w:rsidR="00C62854" w:rsidRPr="0036202D" w:rsidRDefault="00C62854" w:rsidP="00C62854">
      <w:pPr>
        <w:pStyle w:val="PwCNormal"/>
        <w:numPr>
          <w:ilvl w:val="0"/>
          <w:numId w:val="1"/>
        </w:numPr>
        <w:rPr>
          <w:rFonts w:cstheme="minorHAnsi"/>
        </w:rPr>
      </w:pPr>
      <w:r w:rsidRPr="0036202D">
        <w:t>For any group of people the lifetime cost can be considered in terms of the number of people in the group and the lifetime cost per person. Through</w:t>
      </w:r>
      <w:r>
        <w:t>out</w:t>
      </w:r>
      <w:r w:rsidRPr="0036202D">
        <w:t xml:space="preserve"> this report we use the term </w:t>
      </w:r>
      <w:r w:rsidRPr="0036202D">
        <w:rPr>
          <w:b/>
        </w:rPr>
        <w:t>average lifetime cost</w:t>
      </w:r>
      <w:r w:rsidRPr="0036202D">
        <w:t xml:space="preserve"> to refer to the per person future lifetime cost for a group of people.</w:t>
      </w:r>
    </w:p>
    <w:p w14:paraId="523EDA75" w14:textId="77777777" w:rsidR="00C62854" w:rsidRPr="0036202D" w:rsidRDefault="00C62854" w:rsidP="00C62854">
      <w:pPr>
        <w:pStyle w:val="PwCNormal"/>
        <w:numPr>
          <w:ilvl w:val="0"/>
          <w:numId w:val="1"/>
        </w:numPr>
      </w:pPr>
      <w:r w:rsidRPr="0036202D">
        <w:rPr>
          <w:rFonts w:cstheme="minorHAnsi"/>
        </w:rPr>
        <w:t>Note that while the model does simulate the lifetime trajectory of each individual, it is only intended that results ever be considered for a similar group of individuals – either in total or on average for that group.</w:t>
      </w:r>
      <w:r w:rsidRPr="0036202D">
        <w:t xml:space="preserve"> </w:t>
      </w:r>
    </w:p>
    <w:p w14:paraId="504F9671" w14:textId="77777777" w:rsidR="00C62854" w:rsidRPr="00187667" w:rsidRDefault="00C62854" w:rsidP="00C62854">
      <w:pPr>
        <w:pStyle w:val="Heading3ExecutiveSummary"/>
      </w:pPr>
      <w:r w:rsidRPr="00187667">
        <w:t>Lifetime cost results by class</w:t>
      </w:r>
    </w:p>
    <w:p w14:paraId="184B4206" w14:textId="77777777" w:rsidR="00C62854" w:rsidRDefault="00C62854" w:rsidP="00C62854">
      <w:pPr>
        <w:pStyle w:val="PwCNormal"/>
        <w:numPr>
          <w:ilvl w:val="0"/>
          <w:numId w:val="0"/>
        </w:numPr>
      </w:pPr>
      <w:r w:rsidRPr="00187667">
        <w:t xml:space="preserve">The total lifetime cost for the model population is estimated to be </w:t>
      </w:r>
      <w:r w:rsidRPr="00187667">
        <w:rPr>
          <w:b/>
        </w:rPr>
        <w:t>$4,681 billion</w:t>
      </w:r>
      <w:r w:rsidRPr="00187667">
        <w:t xml:space="preserve"> as at 30 June 2017, in respect of the </w:t>
      </w:r>
      <w:r w:rsidRPr="00187667">
        <w:rPr>
          <w:b/>
        </w:rPr>
        <w:t>24.7 million</w:t>
      </w:r>
      <w:r w:rsidRPr="00187667">
        <w:t xml:space="preserve"> people included in the model population. This is a substantial and somewhat uncertain figure, but does lend itself to longer term thinking about the dynamics and cost of the welfare system; it can be considered a benchmark against which the potential impact on the total lifetime cost of policy changes can be assessed.</w:t>
      </w:r>
    </w:p>
    <w:p w14:paraId="0832BC38" w14:textId="77777777" w:rsidR="00247079" w:rsidRPr="001A0F44" w:rsidRDefault="00247079" w:rsidP="00247079">
      <w:pPr>
        <w:pStyle w:val="PwCNormal"/>
      </w:pPr>
      <w:r w:rsidRPr="001A0F44">
        <w:t>The figure below shows a breakdown of this total lifetime cost by current age and gender.</w:t>
      </w:r>
    </w:p>
    <w:p w14:paraId="1D6B7295" w14:textId="77777777" w:rsidR="00247079" w:rsidRPr="001A0F44" w:rsidRDefault="00247079" w:rsidP="002453D4">
      <w:pPr>
        <w:pStyle w:val="Caption"/>
      </w:pPr>
      <w:r w:rsidRPr="001A0F44">
        <w:t xml:space="preserve">Figure </w:t>
      </w:r>
      <w:fldSimple w:instr=" SEQ Figure \* ARABIC ">
        <w:r w:rsidR="00C93C1A">
          <w:rPr>
            <w:noProof/>
          </w:rPr>
          <w:t>2</w:t>
        </w:r>
      </w:fldSimple>
      <w:r w:rsidRPr="001A0F44">
        <w:t>: Total lifetime cost by age and gender</w:t>
      </w:r>
    </w:p>
    <w:tbl>
      <w:tblPr>
        <w:tblStyle w:val="TableGrid"/>
        <w:tblW w:w="10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tal lifetime cost by age and gender"/>
        <w:tblDescription w:val="This table contains a chart of total lifetime cost by age and gender"/>
      </w:tblPr>
      <w:tblGrid>
        <w:gridCol w:w="6236"/>
        <w:gridCol w:w="4682"/>
      </w:tblGrid>
      <w:tr w:rsidR="00247079" w14:paraId="073006D7" w14:textId="77777777" w:rsidTr="005A0AE0">
        <w:trPr>
          <w:trHeight w:val="3402"/>
          <w:tblHeader/>
        </w:trPr>
        <w:tc>
          <w:tcPr>
            <w:tcW w:w="6236" w:type="dxa"/>
          </w:tcPr>
          <w:p w14:paraId="3E17877C" w14:textId="2007F778" w:rsidR="00247079" w:rsidRPr="00B23AD6" w:rsidRDefault="00B23AD6" w:rsidP="002453D4">
            <w:pPr>
              <w:keepNext/>
            </w:pPr>
            <w:r w:rsidRPr="00B23AD6">
              <w:rPr>
                <w:noProof/>
                <w:lang w:eastAsia="en-AU"/>
              </w:rPr>
              <w:drawing>
                <wp:inline distT="0" distB="0" distL="0" distR="0" wp14:anchorId="03071D83" wp14:editId="679E9618">
                  <wp:extent cx="3422187" cy="2160000"/>
                  <wp:effectExtent l="0" t="0" r="0" b="0"/>
                  <wp:docPr id="1069" name="Picture 1069" descr="This figure is a horizontal bar chart showing total lifetime cost by age for males and females separately. The vertical axis shows age at valuation ranging from 0 to 90. The horizontal axis shows the average lifetime cost ranging from $0 to $50bn. The total lifetime costs for males at each age are shown by the horizontal bars to the left of the vertical axis and the average lifetime costs for females at each age are shown by horizontal bars the to the right. &#10;&#10;The bars for each given age and gender are split into the total lifetime costs associated with the following welfare payment categories: IS studying, IS working age, IS parents, IS carer, IS disability, IS age, IS dependent, Other – FTB, Other –family, Other – new parents, Other – health and disability, Other – carer, Other – study and skills, Other – remote and regional, Other – general allowances, All other and Rent assistance.&#10;&#10;The chart is based on the 24,654,000 individuals in Australia at 30 June 2017.&#10;&#10;For males, the highest total lifetime costs (of approximately $30bn) are seen for people aged between 22 and 35. The total lifetime cost then drops down steadily with age to approximately $25bn for men aged 55 to 65.&#10;&#10;The total lifetime cost for females is approximately $20bn more than males for ages 25 to 35 which is largely due to the FTB component being higher for females. Across these ages, the total lifetime cost for females has smaller working age and disability support components than males, however the parenting and carer components are larger. Above age 40, females have a higher total lifetime cost than males, largely due to a larger age pension component. The total lifetime cost of females aged 60 is approximately $32bn.&#10;&#10;The features shown in the chart are discussed further in the accompanying text within the report.&#10;" title="Total lifetime cost by age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2187" cy="2160000"/>
                          </a:xfrm>
                          <a:prstGeom prst="rect">
                            <a:avLst/>
                          </a:prstGeom>
                          <a:noFill/>
                          <a:ln>
                            <a:noFill/>
                          </a:ln>
                        </pic:spPr>
                      </pic:pic>
                    </a:graphicData>
                  </a:graphic>
                </wp:inline>
              </w:drawing>
            </w:r>
          </w:p>
        </w:tc>
        <w:tc>
          <w:tcPr>
            <w:tcW w:w="4682" w:type="dxa"/>
          </w:tcPr>
          <w:p w14:paraId="27B57338" w14:textId="77777777" w:rsidR="00247079" w:rsidRPr="00B23AD6" w:rsidRDefault="00247079" w:rsidP="002453D4">
            <w:pPr>
              <w:keepNext/>
            </w:pPr>
          </w:p>
          <w:p w14:paraId="7711F6A5" w14:textId="77777777" w:rsidR="00247079" w:rsidRPr="00B23AD6" w:rsidRDefault="00247079" w:rsidP="002453D4">
            <w:pPr>
              <w:keepNext/>
            </w:pPr>
            <w:r w:rsidRPr="00B23AD6">
              <w:rPr>
                <w:noProof/>
                <w:lang w:eastAsia="en-AU"/>
              </w:rPr>
              <w:drawing>
                <wp:inline distT="0" distB="0" distL="0" distR="0" wp14:anchorId="6C4C91AA" wp14:editId="661FBB4D">
                  <wp:extent cx="1082771" cy="1620000"/>
                  <wp:effectExtent l="0" t="0" r="0" b="0"/>
                  <wp:docPr id="1066" name="Picture 1066"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2771" cy="1620000"/>
                          </a:xfrm>
                          <a:prstGeom prst="rect">
                            <a:avLst/>
                          </a:prstGeom>
                          <a:noFill/>
                          <a:ln>
                            <a:noFill/>
                          </a:ln>
                        </pic:spPr>
                      </pic:pic>
                    </a:graphicData>
                  </a:graphic>
                </wp:inline>
              </w:drawing>
            </w:r>
          </w:p>
        </w:tc>
      </w:tr>
    </w:tbl>
    <w:p w14:paraId="588312FD" w14:textId="778E603B" w:rsidR="00247079" w:rsidRDefault="00247079" w:rsidP="00247079">
      <w:pPr>
        <w:pStyle w:val="PwCNormal"/>
      </w:pPr>
      <w:r>
        <w:t xml:space="preserve">From the chart, we can see that the age pension is by far the largest component of the total lifetime cost. The total lifetime cost for women is also higher than that for men, owing to a higher usage of </w:t>
      </w:r>
      <w:r w:rsidR="0070204F">
        <w:t>P</w:t>
      </w:r>
      <w:r>
        <w:t xml:space="preserve">arenting and </w:t>
      </w:r>
      <w:r w:rsidR="005B3E7D">
        <w:t>non income</w:t>
      </w:r>
      <w:r>
        <w:t xml:space="preserve"> support family (including FTB) payments.</w:t>
      </w:r>
      <w:r w:rsidR="00B23AD6">
        <w:t xml:space="preserve"> In addition projected Age Pension payments are higher for females and this is likely due to higher expected longevity.</w:t>
      </w:r>
      <w:r>
        <w:t xml:space="preserve"> The remainder of the total lifetime cost </w:t>
      </w:r>
      <w:r>
        <w:lastRenderedPageBreak/>
        <w:t xml:space="preserve">predominantly arises from income support payments – this is due to income support users being more likely to remain in the welfare system (and continue to use welfare), as well as these payments being larger in size compared to </w:t>
      </w:r>
      <w:r w:rsidR="005B3E7D">
        <w:t>non income</w:t>
      </w:r>
      <w:r>
        <w:t xml:space="preserve"> support.</w:t>
      </w:r>
    </w:p>
    <w:p w14:paraId="0E518A1C" w14:textId="16B25D7C" w:rsidR="007A02FC" w:rsidRPr="00187667" w:rsidRDefault="007A02FC" w:rsidP="00C62854">
      <w:pPr>
        <w:pStyle w:val="PwCNormal-keepwithnext"/>
        <w:numPr>
          <w:ilvl w:val="0"/>
          <w:numId w:val="1"/>
        </w:numPr>
      </w:pPr>
      <w:r>
        <w:t>The following table provides a further breakdown of the lifetime costs depicted in the figure above:</w:t>
      </w:r>
    </w:p>
    <w:p w14:paraId="231FFCD3" w14:textId="77777777" w:rsidR="00C62854" w:rsidRDefault="00C62854" w:rsidP="00C62854">
      <w:pPr>
        <w:pStyle w:val="Caption"/>
      </w:pPr>
      <w:r w:rsidRPr="00187667">
        <w:t xml:space="preserve">Table </w:t>
      </w:r>
      <w:fldSimple w:instr=" SEQ Table \* ARABIC ">
        <w:r w:rsidR="00C93C1A">
          <w:rPr>
            <w:noProof/>
          </w:rPr>
          <w:t>2</w:t>
        </w:r>
      </w:fldSimple>
      <w:r w:rsidRPr="00187667">
        <w:t>: Summary of key valuation results (30 June 201</w:t>
      </w:r>
      <w:r>
        <w:t>7</w:t>
      </w:r>
      <w:r w:rsidRPr="00187667">
        <w:t xml:space="preserve"> valuation)</w:t>
      </w:r>
    </w:p>
    <w:tbl>
      <w:tblPr>
        <w:tblW w:w="9363" w:type="dxa"/>
        <w:tblInd w:w="57" w:type="dxa"/>
        <w:tblLayout w:type="fixed"/>
        <w:tblCellMar>
          <w:left w:w="113" w:type="dxa"/>
          <w:right w:w="113" w:type="dxa"/>
        </w:tblCellMar>
        <w:tblLook w:val="04A0" w:firstRow="1" w:lastRow="0" w:firstColumn="1" w:lastColumn="0" w:noHBand="0" w:noVBand="1"/>
        <w:tblCaption w:val=" Summary of key valuation results"/>
        <w:tblDescription w:val="This table lists figures for current welfare recipients in several categories, as well as previous welfare recipients and the rest of the Australian resident population. &#10;&#10;The categories given for current welfare recipients are: studying payments, working age payments, parenting payments, carer payments, disability support, age pensioners, family (non-income support), carer (non-income support) and other (non-income support), as well as a total for all current welfare recipients. Previous welfare recipients are divided into those that exited within 1 to 3 years, and those who exited 4 or more years ago, as well as a combined total.&#10;&#10;For each category, the horizontal axis shows the number of people in the population, their average age, their lifetime cost in billions of dollars, the average payment that was made to them in 2016/2017, their average lifetime cost in thousands, percentage change in their average lifetime cost, and the ratio of total average lifetime cost to the average 2016/2017 payment.&#10;&#10;The largest lifetime costs are the age pension, at 542 billion dollars, followed by working age payments at $411 billion, and then disability payments and family non-income support at 351 and 303 billion respectively. Parenting, carer and disability payment recipients received the highest per-person average amounts in the year, with $29,100, $26,700 and $22,000 each, compared to $16,900 for aged pensioners and $11,200 for working age recipients. &#10;&#10;There are 4.5 million previous welfare recipients, who have an average age of 45 years. Their lifetime cost is 735 billion dollars, and they have an average lifetime cost of $164,000 per person.&#10;&#10;The rest of the Australian population has 12.1 million people, an average age of 28 years, and will have an average lifetime cost of $190,000 per person.&#10;"/>
      </w:tblPr>
      <w:tblGrid>
        <w:gridCol w:w="2750"/>
        <w:gridCol w:w="1077"/>
        <w:gridCol w:w="907"/>
        <w:gridCol w:w="855"/>
        <w:gridCol w:w="993"/>
        <w:gridCol w:w="925"/>
        <w:gridCol w:w="964"/>
        <w:gridCol w:w="892"/>
      </w:tblGrid>
      <w:tr w:rsidR="00EC5DFB" w:rsidRPr="009210D0" w14:paraId="7CD6D184" w14:textId="77777777" w:rsidTr="00EC5DFB">
        <w:trPr>
          <w:trHeight w:val="1357"/>
          <w:tblHeader/>
        </w:trPr>
        <w:tc>
          <w:tcPr>
            <w:tcW w:w="2750" w:type="dxa"/>
            <w:tcBorders>
              <w:top w:val="single" w:sz="4" w:space="0" w:color="E02628"/>
              <w:left w:val="nil"/>
              <w:bottom w:val="single" w:sz="4" w:space="0" w:color="FFFFFF" w:themeColor="background1"/>
              <w:right w:val="single" w:sz="4" w:space="0" w:color="FFFFFF"/>
            </w:tcBorders>
            <w:shd w:val="clear" w:color="auto" w:fill="E02628"/>
            <w:hideMark/>
          </w:tcPr>
          <w:p w14:paraId="1D32FDE6" w14:textId="77777777" w:rsidR="00EC5DFB" w:rsidRPr="00B11441" w:rsidRDefault="00EC5DFB" w:rsidP="00156206">
            <w:pPr>
              <w:pStyle w:val="TableColumnHeadingSmall"/>
              <w:rPr>
                <w:rFonts w:cstheme="minorHAnsi"/>
                <w:snapToGrid/>
                <w:sz w:val="14"/>
                <w:szCs w:val="14"/>
                <w:lang w:eastAsia="en-AU"/>
              </w:rPr>
            </w:pPr>
          </w:p>
          <w:p w14:paraId="484332D3" w14:textId="77777777" w:rsidR="00EC5DFB" w:rsidRPr="00B11441" w:rsidRDefault="00EC5DFB" w:rsidP="00156206">
            <w:pPr>
              <w:pStyle w:val="TableColumnHeadingSmall"/>
              <w:rPr>
                <w:rFonts w:cstheme="minorHAnsi"/>
                <w:snapToGrid/>
                <w:sz w:val="14"/>
                <w:szCs w:val="14"/>
                <w:lang w:eastAsia="en-AU"/>
              </w:rPr>
            </w:pPr>
            <w:r w:rsidRPr="00B11441">
              <w:rPr>
                <w:rFonts w:cstheme="minorHAnsi"/>
                <w:snapToGrid/>
                <w:sz w:val="14"/>
                <w:szCs w:val="14"/>
                <w:lang w:eastAsia="en-AU"/>
              </w:rPr>
              <w:t>Population segment</w:t>
            </w:r>
          </w:p>
        </w:tc>
        <w:tc>
          <w:tcPr>
            <w:tcW w:w="1077"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5501B36D" w14:textId="77777777" w:rsidR="00EC5DFB" w:rsidRPr="00B11441" w:rsidRDefault="00EC5DFB" w:rsidP="00156206">
            <w:pPr>
              <w:pStyle w:val="TableColumnHeadingSmall"/>
              <w:rPr>
                <w:rFonts w:cstheme="minorHAnsi"/>
                <w:snapToGrid/>
                <w:color w:val="FFFFFF"/>
                <w:sz w:val="14"/>
                <w:szCs w:val="14"/>
                <w:lang w:eastAsia="en-AU"/>
              </w:rPr>
            </w:pPr>
          </w:p>
          <w:p w14:paraId="3D4D3038" w14:textId="77777777" w:rsidR="00EC5DFB" w:rsidRPr="00B11441" w:rsidRDefault="00EC5DFB" w:rsidP="00156206">
            <w:pPr>
              <w:pStyle w:val="TableColumnHeadingSmall"/>
              <w:rPr>
                <w:rFonts w:cstheme="minorHAnsi"/>
                <w:snapToGrid/>
                <w:color w:val="FFFFFF"/>
                <w:sz w:val="14"/>
                <w:szCs w:val="14"/>
                <w:lang w:eastAsia="en-AU"/>
              </w:rPr>
            </w:pPr>
            <w:r w:rsidRPr="00B11441">
              <w:rPr>
                <w:rFonts w:cstheme="minorHAnsi"/>
                <w:snapToGrid/>
                <w:color w:val="FFFFFF"/>
                <w:sz w:val="14"/>
                <w:szCs w:val="14"/>
                <w:lang w:eastAsia="en-AU"/>
              </w:rPr>
              <w:t>Number in starting population</w:t>
            </w:r>
          </w:p>
        </w:tc>
        <w:tc>
          <w:tcPr>
            <w:tcW w:w="907"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553FA318" w14:textId="77777777" w:rsidR="00EC5DFB" w:rsidRPr="00B11441" w:rsidRDefault="00EC5DFB" w:rsidP="00156206">
            <w:pPr>
              <w:pStyle w:val="TableColumnHeadingSmall"/>
              <w:jc w:val="center"/>
              <w:rPr>
                <w:rFonts w:cstheme="minorHAnsi"/>
                <w:snapToGrid/>
                <w:color w:val="FFFFFF"/>
                <w:sz w:val="14"/>
                <w:szCs w:val="14"/>
                <w:lang w:eastAsia="en-AU"/>
              </w:rPr>
            </w:pPr>
          </w:p>
          <w:p w14:paraId="0560A5E4" w14:textId="77777777" w:rsidR="00EC5DFB" w:rsidRPr="00B11441" w:rsidRDefault="00EC5DFB" w:rsidP="00156206">
            <w:pPr>
              <w:pStyle w:val="TableColumnHeadingSmall"/>
              <w:jc w:val="center"/>
              <w:rPr>
                <w:rFonts w:cstheme="minorHAnsi"/>
                <w:snapToGrid/>
                <w:color w:val="FFFFFF"/>
                <w:sz w:val="14"/>
                <w:szCs w:val="14"/>
                <w:lang w:eastAsia="en-AU"/>
              </w:rPr>
            </w:pPr>
            <w:r w:rsidRPr="00B11441">
              <w:rPr>
                <w:rFonts w:cstheme="minorHAnsi"/>
                <w:snapToGrid/>
                <w:color w:val="FFFFFF"/>
                <w:sz w:val="14"/>
                <w:szCs w:val="14"/>
                <w:lang w:eastAsia="en-AU"/>
              </w:rPr>
              <w:t>Average age</w:t>
            </w:r>
          </w:p>
        </w:tc>
        <w:tc>
          <w:tcPr>
            <w:tcW w:w="855"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67C8CAF5" w14:textId="77777777" w:rsidR="00EC5DFB" w:rsidRPr="00B11441" w:rsidRDefault="00EC5DFB" w:rsidP="00156206">
            <w:pPr>
              <w:pStyle w:val="TableColumnHeadingSmall"/>
              <w:jc w:val="center"/>
              <w:rPr>
                <w:rFonts w:cstheme="minorHAnsi"/>
                <w:snapToGrid/>
                <w:color w:val="FFFFFF"/>
                <w:sz w:val="14"/>
                <w:szCs w:val="14"/>
                <w:lang w:eastAsia="en-AU"/>
              </w:rPr>
            </w:pPr>
          </w:p>
          <w:p w14:paraId="1D1EFC83" w14:textId="77777777" w:rsidR="00EC5DFB" w:rsidRPr="00B11441" w:rsidRDefault="00EC5DFB" w:rsidP="00156206">
            <w:pPr>
              <w:pStyle w:val="TableColumnHeadingSmall"/>
              <w:jc w:val="center"/>
              <w:rPr>
                <w:rFonts w:cstheme="minorHAnsi"/>
                <w:snapToGrid/>
                <w:color w:val="FFFFFF"/>
                <w:sz w:val="14"/>
                <w:szCs w:val="14"/>
                <w:lang w:eastAsia="en-AU"/>
              </w:rPr>
            </w:pPr>
            <w:r w:rsidRPr="00B11441">
              <w:rPr>
                <w:rFonts w:cstheme="minorHAnsi"/>
                <w:snapToGrid/>
                <w:color w:val="FFFFFF"/>
                <w:sz w:val="14"/>
                <w:szCs w:val="14"/>
                <w:lang w:eastAsia="en-AU"/>
              </w:rPr>
              <w:t xml:space="preserve">Total Lifetime cost </w:t>
            </w:r>
            <w:r w:rsidRPr="00B11441">
              <w:rPr>
                <w:rFonts w:cstheme="minorHAnsi"/>
                <w:snapToGrid/>
                <w:color w:val="FFFFFF"/>
                <w:sz w:val="14"/>
                <w:szCs w:val="14"/>
                <w:lang w:eastAsia="en-AU"/>
              </w:rPr>
              <w:br/>
              <w:t>($bn)</w:t>
            </w:r>
          </w:p>
        </w:tc>
        <w:tc>
          <w:tcPr>
            <w:tcW w:w="993"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48C9E975" w14:textId="77777777" w:rsidR="00EC5DFB" w:rsidRPr="00B11441" w:rsidRDefault="00EC5DFB" w:rsidP="00156206">
            <w:pPr>
              <w:pStyle w:val="TableColumnHeadingSmall"/>
              <w:jc w:val="center"/>
              <w:rPr>
                <w:rFonts w:cstheme="minorHAnsi"/>
                <w:snapToGrid/>
                <w:color w:val="FFFFFF"/>
                <w:sz w:val="14"/>
                <w:szCs w:val="14"/>
                <w:lang w:eastAsia="en-AU"/>
              </w:rPr>
            </w:pPr>
          </w:p>
          <w:p w14:paraId="050E0C5E" w14:textId="77777777" w:rsidR="00EC5DFB" w:rsidRPr="00B11441" w:rsidRDefault="00EC5DFB" w:rsidP="00156206">
            <w:pPr>
              <w:pStyle w:val="TableColumnHeadingSmall"/>
              <w:jc w:val="center"/>
              <w:rPr>
                <w:rFonts w:cstheme="minorHAnsi"/>
                <w:snapToGrid/>
                <w:color w:val="FFFFFF"/>
                <w:sz w:val="14"/>
                <w:szCs w:val="14"/>
                <w:lang w:eastAsia="en-AU"/>
              </w:rPr>
            </w:pPr>
            <w:r w:rsidRPr="00B11441">
              <w:rPr>
                <w:rFonts w:cstheme="minorHAnsi"/>
                <w:snapToGrid/>
                <w:color w:val="FFFFFF"/>
                <w:sz w:val="14"/>
                <w:szCs w:val="14"/>
                <w:lang w:eastAsia="en-AU"/>
              </w:rPr>
              <w:t xml:space="preserve">Average payment in 2016/17 </w:t>
            </w:r>
            <w:r w:rsidRPr="00B11441">
              <w:rPr>
                <w:rFonts w:cstheme="minorHAnsi"/>
                <w:snapToGrid/>
                <w:color w:val="FFFFFF"/>
                <w:sz w:val="14"/>
                <w:szCs w:val="14"/>
                <w:lang w:eastAsia="en-AU"/>
              </w:rPr>
              <w:br/>
              <w:t>(a)</w:t>
            </w:r>
          </w:p>
        </w:tc>
        <w:tc>
          <w:tcPr>
            <w:tcW w:w="925" w:type="dxa"/>
            <w:tcBorders>
              <w:top w:val="single" w:sz="4" w:space="0" w:color="E02628"/>
              <w:left w:val="nil"/>
              <w:bottom w:val="single" w:sz="4" w:space="0" w:color="FFFFFF" w:themeColor="background1"/>
              <w:right w:val="single" w:sz="4" w:space="0" w:color="FFFFFF"/>
            </w:tcBorders>
            <w:shd w:val="clear" w:color="auto" w:fill="E02628"/>
            <w:hideMark/>
          </w:tcPr>
          <w:p w14:paraId="06FD23FB" w14:textId="77777777" w:rsidR="00EC5DFB" w:rsidRPr="00B11441" w:rsidRDefault="00EC5DFB" w:rsidP="00156206">
            <w:pPr>
              <w:pStyle w:val="TableColumnHeadingSmall"/>
              <w:jc w:val="center"/>
              <w:rPr>
                <w:rFonts w:cstheme="minorHAnsi"/>
                <w:snapToGrid/>
                <w:color w:val="FFFFFF"/>
                <w:sz w:val="14"/>
                <w:szCs w:val="14"/>
                <w:lang w:eastAsia="en-AU"/>
              </w:rPr>
            </w:pPr>
          </w:p>
          <w:p w14:paraId="3859FFA5" w14:textId="77777777" w:rsidR="00EC5DFB" w:rsidRPr="00B11441" w:rsidRDefault="00EC5DFB" w:rsidP="00156206">
            <w:pPr>
              <w:pStyle w:val="TableColumnHeadingSmall"/>
              <w:jc w:val="center"/>
              <w:rPr>
                <w:rFonts w:cstheme="minorHAnsi"/>
                <w:snapToGrid/>
                <w:color w:val="FFFFFF"/>
                <w:sz w:val="14"/>
                <w:szCs w:val="14"/>
                <w:lang w:eastAsia="en-AU"/>
              </w:rPr>
            </w:pPr>
            <w:r w:rsidRPr="00B11441">
              <w:rPr>
                <w:rFonts w:cstheme="minorHAnsi"/>
                <w:snapToGrid/>
                <w:color w:val="FFFFFF"/>
                <w:sz w:val="14"/>
                <w:szCs w:val="14"/>
                <w:lang w:eastAsia="en-AU"/>
              </w:rPr>
              <w:t>Average lifetime cost ($'000) (b)</w:t>
            </w:r>
          </w:p>
        </w:tc>
        <w:tc>
          <w:tcPr>
            <w:tcW w:w="964" w:type="dxa"/>
            <w:tcBorders>
              <w:top w:val="single" w:sz="4" w:space="0" w:color="E02628"/>
              <w:left w:val="single" w:sz="4" w:space="0" w:color="FFFFFF"/>
              <w:bottom w:val="single" w:sz="4" w:space="0" w:color="FFFFFF" w:themeColor="background1"/>
              <w:right w:val="single" w:sz="4" w:space="0" w:color="FFFFFF"/>
            </w:tcBorders>
            <w:shd w:val="clear" w:color="auto" w:fill="E02628"/>
          </w:tcPr>
          <w:p w14:paraId="625D0D93" w14:textId="77777777" w:rsidR="00EC5DFB" w:rsidRPr="00AD21EE" w:rsidRDefault="00EC5DFB" w:rsidP="00156206">
            <w:pPr>
              <w:pStyle w:val="TableColumnHeadingSmall"/>
              <w:jc w:val="center"/>
              <w:rPr>
                <w:rFonts w:cstheme="minorHAnsi"/>
                <w:snapToGrid/>
                <w:color w:val="FFFFFF"/>
                <w:sz w:val="14"/>
                <w:szCs w:val="14"/>
                <w:lang w:eastAsia="en-AU"/>
              </w:rPr>
            </w:pPr>
          </w:p>
          <w:p w14:paraId="4828A9C7" w14:textId="32F3FE5A" w:rsidR="00EC5DFB" w:rsidRPr="00AD21EE" w:rsidRDefault="00EC5DFB" w:rsidP="00EC5DFB">
            <w:pPr>
              <w:pStyle w:val="TableColumnHeadingSmall"/>
              <w:jc w:val="center"/>
              <w:rPr>
                <w:lang w:eastAsia="en-AU"/>
              </w:rPr>
            </w:pPr>
            <w:r w:rsidRPr="00AD21EE">
              <w:rPr>
                <w:rFonts w:cstheme="minorHAnsi"/>
                <w:snapToGrid/>
                <w:color w:val="FFFFFF"/>
                <w:sz w:val="14"/>
                <w:szCs w:val="14"/>
                <w:lang w:eastAsia="en-AU"/>
              </w:rPr>
              <w:t>Change in average lifetime cost (%)</w:t>
            </w:r>
          </w:p>
        </w:tc>
        <w:tc>
          <w:tcPr>
            <w:tcW w:w="892" w:type="dxa"/>
            <w:tcBorders>
              <w:top w:val="single" w:sz="4" w:space="0" w:color="E02628"/>
              <w:left w:val="single" w:sz="4" w:space="0" w:color="FFFFFF"/>
              <w:bottom w:val="single" w:sz="4" w:space="0" w:color="FFFFFF" w:themeColor="background1"/>
              <w:right w:val="nil"/>
            </w:tcBorders>
            <w:shd w:val="clear" w:color="auto" w:fill="E02628"/>
            <w:hideMark/>
          </w:tcPr>
          <w:p w14:paraId="6FB11DE7" w14:textId="5931020E" w:rsidR="00EC5DFB" w:rsidRPr="00B11441" w:rsidRDefault="00EC5DFB" w:rsidP="00156206">
            <w:pPr>
              <w:pStyle w:val="TableColumnHeadingSmall"/>
              <w:jc w:val="center"/>
              <w:rPr>
                <w:rFonts w:cstheme="minorHAnsi"/>
                <w:snapToGrid/>
                <w:color w:val="FFFFFF"/>
                <w:sz w:val="14"/>
                <w:szCs w:val="14"/>
                <w:lang w:eastAsia="en-AU"/>
              </w:rPr>
            </w:pPr>
          </w:p>
          <w:p w14:paraId="78D51343" w14:textId="77777777" w:rsidR="00EC5DFB" w:rsidRPr="00B11441" w:rsidRDefault="00EC5DFB" w:rsidP="00156206">
            <w:pPr>
              <w:pStyle w:val="TableColumnHeadingSmall"/>
              <w:jc w:val="center"/>
              <w:rPr>
                <w:rFonts w:cstheme="minorHAnsi"/>
                <w:snapToGrid/>
                <w:color w:val="FFFFFF"/>
                <w:sz w:val="14"/>
                <w:szCs w:val="14"/>
                <w:lang w:eastAsia="en-AU"/>
              </w:rPr>
            </w:pPr>
            <w:r w:rsidRPr="00B11441">
              <w:rPr>
                <w:rFonts w:cstheme="minorHAnsi"/>
                <w:snapToGrid/>
                <w:color w:val="FFFFFF"/>
                <w:sz w:val="14"/>
                <w:szCs w:val="14"/>
                <w:lang w:eastAsia="en-AU"/>
              </w:rPr>
              <w:t>Ratio</w:t>
            </w:r>
          </w:p>
          <w:p w14:paraId="2150E45B" w14:textId="77777777" w:rsidR="00EC5DFB" w:rsidRPr="00B11441" w:rsidRDefault="00EC5DFB" w:rsidP="00156206">
            <w:pPr>
              <w:pStyle w:val="TableColumnHeadingSmall"/>
              <w:jc w:val="center"/>
              <w:rPr>
                <w:rFonts w:cstheme="minorHAnsi"/>
                <w:snapToGrid/>
                <w:color w:val="FFFFFF"/>
                <w:sz w:val="14"/>
                <w:szCs w:val="14"/>
                <w:lang w:eastAsia="en-AU"/>
              </w:rPr>
            </w:pPr>
            <w:r w:rsidRPr="00B11441">
              <w:rPr>
                <w:rFonts w:cstheme="minorHAnsi"/>
                <w:snapToGrid/>
                <w:color w:val="FFFFFF"/>
                <w:sz w:val="14"/>
                <w:szCs w:val="14"/>
                <w:lang w:eastAsia="en-AU"/>
              </w:rPr>
              <w:t>= (b) / (a)</w:t>
            </w:r>
          </w:p>
        </w:tc>
      </w:tr>
      <w:tr w:rsidR="00EC5DFB" w:rsidRPr="009210D0" w14:paraId="0313BD26" w14:textId="77777777" w:rsidTr="00EC5DFB">
        <w:trPr>
          <w:trHeight w:val="227"/>
          <w:tblHeader/>
        </w:trPr>
        <w:tc>
          <w:tcPr>
            <w:tcW w:w="2750" w:type="dxa"/>
            <w:tcBorders>
              <w:top w:val="single" w:sz="4" w:space="0" w:color="FFFFFF" w:themeColor="background1"/>
              <w:left w:val="nil"/>
              <w:bottom w:val="single" w:sz="4" w:space="0" w:color="E02628"/>
              <w:right w:val="nil"/>
            </w:tcBorders>
            <w:shd w:val="clear" w:color="auto" w:fill="E02628"/>
            <w:noWrap/>
            <w:vAlign w:val="center"/>
            <w:hideMark/>
          </w:tcPr>
          <w:p w14:paraId="5830AD70" w14:textId="77777777" w:rsidR="00EC5DFB" w:rsidRPr="00B11441" w:rsidRDefault="00EC5DFB" w:rsidP="00156206">
            <w:pPr>
              <w:pStyle w:val="TableColumnHeadingSmall"/>
              <w:rPr>
                <w:rFonts w:cstheme="minorHAnsi"/>
                <w:snapToGrid/>
                <w:sz w:val="14"/>
                <w:szCs w:val="14"/>
                <w:lang w:eastAsia="en-AU"/>
              </w:rPr>
            </w:pPr>
            <w:r w:rsidRPr="00B11441">
              <w:rPr>
                <w:rFonts w:cstheme="minorHAnsi"/>
                <w:snapToGrid/>
                <w:sz w:val="14"/>
                <w:szCs w:val="14"/>
                <w:lang w:eastAsia="en-AU"/>
              </w:rPr>
              <w:t>Current welfare recipients</w:t>
            </w:r>
          </w:p>
        </w:tc>
        <w:tc>
          <w:tcPr>
            <w:tcW w:w="1077" w:type="dxa"/>
            <w:tcBorders>
              <w:top w:val="single" w:sz="4" w:space="0" w:color="FFFFFF" w:themeColor="background1"/>
              <w:left w:val="nil"/>
              <w:bottom w:val="single" w:sz="4" w:space="0" w:color="E02628"/>
              <w:right w:val="nil"/>
            </w:tcBorders>
            <w:shd w:val="clear" w:color="auto" w:fill="E02628"/>
            <w:noWrap/>
            <w:vAlign w:val="center"/>
            <w:hideMark/>
          </w:tcPr>
          <w:p w14:paraId="5E7A7E86" w14:textId="77777777" w:rsidR="00EC5DFB" w:rsidRPr="00EA2E57" w:rsidRDefault="00EC5DFB" w:rsidP="00156206">
            <w:pPr>
              <w:pStyle w:val="TableColumnHeadingSmall"/>
              <w:rPr>
                <w:rFonts w:cstheme="minorHAnsi"/>
                <w:snapToGrid/>
                <w:sz w:val="14"/>
                <w:szCs w:val="14"/>
                <w:lang w:eastAsia="en-AU"/>
              </w:rPr>
            </w:pPr>
            <w:r w:rsidRPr="00EA2E57">
              <w:rPr>
                <w:rFonts w:cstheme="minorHAnsi"/>
                <w:snapToGrid/>
                <w:sz w:val="14"/>
                <w:szCs w:val="14"/>
                <w:lang w:eastAsia="en-AU"/>
              </w:rPr>
              <w:t> </w:t>
            </w:r>
          </w:p>
        </w:tc>
        <w:tc>
          <w:tcPr>
            <w:tcW w:w="907" w:type="dxa"/>
            <w:tcBorders>
              <w:top w:val="single" w:sz="4" w:space="0" w:color="FFFFFF" w:themeColor="background1"/>
              <w:left w:val="nil"/>
              <w:bottom w:val="single" w:sz="4" w:space="0" w:color="E02628"/>
              <w:right w:val="nil"/>
            </w:tcBorders>
            <w:shd w:val="clear" w:color="auto" w:fill="E02628"/>
            <w:noWrap/>
            <w:vAlign w:val="center"/>
            <w:hideMark/>
          </w:tcPr>
          <w:p w14:paraId="1C54B68B" w14:textId="77777777" w:rsidR="00EC5DFB" w:rsidRPr="00EA2E57" w:rsidRDefault="00EC5DFB" w:rsidP="00156206">
            <w:pPr>
              <w:pStyle w:val="TableColumnHeadingSmall"/>
              <w:rPr>
                <w:rFonts w:cstheme="minorHAnsi"/>
                <w:snapToGrid/>
                <w:sz w:val="14"/>
                <w:szCs w:val="14"/>
                <w:lang w:eastAsia="en-AU"/>
              </w:rPr>
            </w:pPr>
            <w:r w:rsidRPr="00EA2E57">
              <w:rPr>
                <w:rFonts w:cstheme="minorHAnsi"/>
                <w:snapToGrid/>
                <w:sz w:val="14"/>
                <w:szCs w:val="14"/>
                <w:lang w:eastAsia="en-AU"/>
              </w:rPr>
              <w:t> </w:t>
            </w:r>
          </w:p>
        </w:tc>
        <w:tc>
          <w:tcPr>
            <w:tcW w:w="855" w:type="dxa"/>
            <w:tcBorders>
              <w:top w:val="single" w:sz="4" w:space="0" w:color="FFFFFF" w:themeColor="background1"/>
              <w:left w:val="nil"/>
              <w:bottom w:val="single" w:sz="4" w:space="0" w:color="E02628"/>
              <w:right w:val="nil"/>
            </w:tcBorders>
            <w:shd w:val="clear" w:color="auto" w:fill="E02628"/>
            <w:noWrap/>
            <w:vAlign w:val="center"/>
            <w:hideMark/>
          </w:tcPr>
          <w:p w14:paraId="78EBC07E" w14:textId="77777777" w:rsidR="00EC5DFB" w:rsidRPr="00EA2E57" w:rsidRDefault="00EC5DFB" w:rsidP="00156206">
            <w:pPr>
              <w:pStyle w:val="TableColumnHeadingSmall"/>
              <w:rPr>
                <w:rFonts w:cstheme="minorHAnsi"/>
                <w:snapToGrid/>
                <w:sz w:val="14"/>
                <w:szCs w:val="14"/>
                <w:lang w:eastAsia="en-AU"/>
              </w:rPr>
            </w:pPr>
            <w:r w:rsidRPr="00EA2E57">
              <w:rPr>
                <w:rFonts w:cstheme="minorHAnsi"/>
                <w:snapToGrid/>
                <w:sz w:val="14"/>
                <w:szCs w:val="14"/>
                <w:lang w:eastAsia="en-AU"/>
              </w:rPr>
              <w:t> </w:t>
            </w:r>
          </w:p>
        </w:tc>
        <w:tc>
          <w:tcPr>
            <w:tcW w:w="993" w:type="dxa"/>
            <w:tcBorders>
              <w:top w:val="single" w:sz="4" w:space="0" w:color="FFFFFF" w:themeColor="background1"/>
              <w:left w:val="nil"/>
              <w:bottom w:val="single" w:sz="4" w:space="0" w:color="E02628"/>
              <w:right w:val="nil"/>
            </w:tcBorders>
            <w:shd w:val="clear" w:color="auto" w:fill="E02628"/>
            <w:noWrap/>
            <w:vAlign w:val="center"/>
            <w:hideMark/>
          </w:tcPr>
          <w:p w14:paraId="0744A55A" w14:textId="77777777" w:rsidR="00EC5DFB" w:rsidRPr="00EA2E57" w:rsidRDefault="00EC5DFB" w:rsidP="00156206">
            <w:pPr>
              <w:pStyle w:val="TableColumnHeadingSmall"/>
              <w:rPr>
                <w:rFonts w:cstheme="minorHAnsi"/>
                <w:snapToGrid/>
                <w:sz w:val="14"/>
                <w:szCs w:val="14"/>
                <w:lang w:eastAsia="en-AU"/>
              </w:rPr>
            </w:pPr>
          </w:p>
        </w:tc>
        <w:tc>
          <w:tcPr>
            <w:tcW w:w="925" w:type="dxa"/>
            <w:tcBorders>
              <w:top w:val="single" w:sz="4" w:space="0" w:color="FFFFFF" w:themeColor="background1"/>
              <w:left w:val="nil"/>
              <w:bottom w:val="single" w:sz="4" w:space="0" w:color="E02628"/>
              <w:right w:val="nil"/>
            </w:tcBorders>
            <w:shd w:val="clear" w:color="auto" w:fill="E02628"/>
            <w:noWrap/>
            <w:vAlign w:val="center"/>
            <w:hideMark/>
          </w:tcPr>
          <w:p w14:paraId="6F881FAB" w14:textId="77777777" w:rsidR="00EC5DFB" w:rsidRPr="00EA2E57" w:rsidRDefault="00EC5DFB" w:rsidP="00156206">
            <w:pPr>
              <w:pStyle w:val="TableColumnHeadingSmall"/>
              <w:rPr>
                <w:rFonts w:cstheme="minorHAnsi"/>
                <w:snapToGrid/>
                <w:sz w:val="14"/>
                <w:szCs w:val="14"/>
                <w:lang w:eastAsia="en-AU"/>
              </w:rPr>
            </w:pPr>
            <w:r w:rsidRPr="00EA2E57">
              <w:rPr>
                <w:rFonts w:cstheme="minorHAnsi"/>
                <w:snapToGrid/>
                <w:sz w:val="14"/>
                <w:szCs w:val="14"/>
                <w:lang w:eastAsia="en-AU"/>
              </w:rPr>
              <w:t> </w:t>
            </w:r>
          </w:p>
        </w:tc>
        <w:tc>
          <w:tcPr>
            <w:tcW w:w="964" w:type="dxa"/>
            <w:tcBorders>
              <w:top w:val="single" w:sz="4" w:space="0" w:color="FFFFFF" w:themeColor="background1"/>
              <w:left w:val="nil"/>
              <w:bottom w:val="single" w:sz="4" w:space="0" w:color="E02628"/>
              <w:right w:val="nil"/>
            </w:tcBorders>
            <w:shd w:val="clear" w:color="auto" w:fill="E02628"/>
          </w:tcPr>
          <w:p w14:paraId="13B4EC8D" w14:textId="77777777" w:rsidR="00EC5DFB" w:rsidRPr="00AD21EE" w:rsidRDefault="00EC5DFB" w:rsidP="00156206">
            <w:pPr>
              <w:pStyle w:val="TableColumnHeadingSmall"/>
              <w:rPr>
                <w:rFonts w:cstheme="minorHAnsi"/>
                <w:snapToGrid/>
                <w:sz w:val="14"/>
                <w:szCs w:val="14"/>
                <w:lang w:eastAsia="en-AU"/>
              </w:rPr>
            </w:pPr>
          </w:p>
        </w:tc>
        <w:tc>
          <w:tcPr>
            <w:tcW w:w="892" w:type="dxa"/>
            <w:tcBorders>
              <w:top w:val="single" w:sz="4" w:space="0" w:color="FFFFFF" w:themeColor="background1"/>
              <w:left w:val="nil"/>
              <w:bottom w:val="single" w:sz="4" w:space="0" w:color="E02628"/>
              <w:right w:val="nil"/>
            </w:tcBorders>
            <w:shd w:val="clear" w:color="auto" w:fill="E02628"/>
            <w:noWrap/>
            <w:vAlign w:val="center"/>
            <w:hideMark/>
          </w:tcPr>
          <w:p w14:paraId="5433E93E" w14:textId="5B061733" w:rsidR="00EC5DFB" w:rsidRPr="00EA2E57" w:rsidRDefault="00EC5DFB" w:rsidP="00156206">
            <w:pPr>
              <w:pStyle w:val="TableColumnHeadingSmall"/>
              <w:rPr>
                <w:rFonts w:cstheme="minorHAnsi"/>
                <w:snapToGrid/>
                <w:sz w:val="14"/>
                <w:szCs w:val="14"/>
                <w:lang w:eastAsia="en-AU"/>
              </w:rPr>
            </w:pPr>
            <w:r w:rsidRPr="00EA2E57">
              <w:rPr>
                <w:rFonts w:cstheme="minorHAnsi"/>
                <w:snapToGrid/>
                <w:sz w:val="14"/>
                <w:szCs w:val="14"/>
                <w:lang w:eastAsia="en-AU"/>
              </w:rPr>
              <w:t> </w:t>
            </w:r>
          </w:p>
        </w:tc>
      </w:tr>
      <w:tr w:rsidR="00EC5DFB" w:rsidRPr="009210D0" w14:paraId="7903A0D7" w14:textId="77777777" w:rsidTr="00EC5DFB">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274C1806" w14:textId="77777777" w:rsidR="00EC5DFB" w:rsidRPr="00B11441" w:rsidRDefault="00EC5DFB" w:rsidP="00EC5DFB">
            <w:pPr>
              <w:pStyle w:val="TableTextSmall"/>
              <w:keepNext/>
              <w:keepLines/>
              <w:rPr>
                <w:rFonts w:cstheme="minorHAnsi"/>
                <w:snapToGrid/>
                <w:sz w:val="14"/>
                <w:szCs w:val="14"/>
                <w:lang w:eastAsia="en-AU"/>
              </w:rPr>
            </w:pPr>
            <w:r w:rsidRPr="00B11441">
              <w:rPr>
                <w:rFonts w:cstheme="minorHAnsi"/>
                <w:snapToGrid/>
                <w:sz w:val="14"/>
                <w:szCs w:val="14"/>
                <w:lang w:eastAsia="en-AU"/>
              </w:rPr>
              <w:t>- Studying payment recipients</w:t>
            </w:r>
          </w:p>
        </w:tc>
        <w:tc>
          <w:tcPr>
            <w:tcW w:w="1077" w:type="dxa"/>
            <w:tcBorders>
              <w:top w:val="single" w:sz="4" w:space="0" w:color="E02628"/>
              <w:left w:val="nil"/>
              <w:bottom w:val="single" w:sz="4" w:space="0" w:color="E02628"/>
              <w:right w:val="nil"/>
            </w:tcBorders>
            <w:shd w:val="clear" w:color="000000" w:fill="FFFFFF"/>
            <w:noWrap/>
            <w:hideMark/>
          </w:tcPr>
          <w:p w14:paraId="2D426105"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371,462</w:t>
            </w:r>
          </w:p>
        </w:tc>
        <w:tc>
          <w:tcPr>
            <w:tcW w:w="907" w:type="dxa"/>
            <w:tcBorders>
              <w:top w:val="single" w:sz="4" w:space="0" w:color="E02628"/>
              <w:left w:val="nil"/>
              <w:bottom w:val="single" w:sz="4" w:space="0" w:color="E02628"/>
              <w:right w:val="nil"/>
            </w:tcBorders>
            <w:shd w:val="clear" w:color="000000" w:fill="FFFFFF"/>
            <w:noWrap/>
            <w:hideMark/>
          </w:tcPr>
          <w:p w14:paraId="6690C831"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24</w:t>
            </w:r>
          </w:p>
        </w:tc>
        <w:tc>
          <w:tcPr>
            <w:tcW w:w="855" w:type="dxa"/>
            <w:tcBorders>
              <w:top w:val="single" w:sz="4" w:space="0" w:color="E02628"/>
              <w:left w:val="nil"/>
              <w:bottom w:val="single" w:sz="4" w:space="0" w:color="E02628"/>
              <w:right w:val="nil"/>
            </w:tcBorders>
            <w:shd w:val="clear" w:color="000000" w:fill="FFFFFF"/>
            <w:noWrap/>
            <w:hideMark/>
          </w:tcPr>
          <w:p w14:paraId="5B5CF5A9"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79</w:t>
            </w:r>
          </w:p>
        </w:tc>
        <w:tc>
          <w:tcPr>
            <w:tcW w:w="993" w:type="dxa"/>
            <w:tcBorders>
              <w:top w:val="single" w:sz="4" w:space="0" w:color="E02628"/>
              <w:left w:val="nil"/>
              <w:bottom w:val="single" w:sz="4" w:space="0" w:color="E02628"/>
              <w:right w:val="nil"/>
            </w:tcBorders>
            <w:shd w:val="clear" w:color="000000" w:fill="FFFFFF"/>
            <w:noWrap/>
            <w:hideMark/>
          </w:tcPr>
          <w:p w14:paraId="184949E3"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8,100</w:t>
            </w:r>
          </w:p>
        </w:tc>
        <w:tc>
          <w:tcPr>
            <w:tcW w:w="925" w:type="dxa"/>
            <w:tcBorders>
              <w:top w:val="single" w:sz="4" w:space="0" w:color="E02628"/>
              <w:left w:val="nil"/>
              <w:bottom w:val="single" w:sz="4" w:space="0" w:color="E02628"/>
              <w:right w:val="nil"/>
            </w:tcBorders>
            <w:shd w:val="clear" w:color="000000" w:fill="FFFFFF"/>
            <w:noWrap/>
            <w:hideMark/>
          </w:tcPr>
          <w:p w14:paraId="4EA435BF"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212</w:t>
            </w:r>
          </w:p>
        </w:tc>
        <w:tc>
          <w:tcPr>
            <w:tcW w:w="964" w:type="dxa"/>
            <w:tcBorders>
              <w:top w:val="single" w:sz="4" w:space="0" w:color="E02628"/>
              <w:left w:val="nil"/>
              <w:bottom w:val="single" w:sz="4" w:space="0" w:color="E02628"/>
              <w:right w:val="nil"/>
            </w:tcBorders>
            <w:shd w:val="clear" w:color="000000" w:fill="FFFFFF"/>
          </w:tcPr>
          <w:p w14:paraId="1CD981B1" w14:textId="20B9978D" w:rsidR="00EC5DFB" w:rsidRPr="00AD21EE" w:rsidRDefault="00EC5DFB" w:rsidP="00EC5DFB">
            <w:pPr>
              <w:pStyle w:val="TableTextSmall"/>
              <w:keepNext/>
              <w:keepLines/>
              <w:jc w:val="center"/>
              <w:rPr>
                <w:rFonts w:ascii="Arial" w:hAnsi="Arial"/>
                <w:sz w:val="14"/>
                <w:szCs w:val="14"/>
              </w:rPr>
            </w:pPr>
            <w:r w:rsidRPr="00AD21EE">
              <w:rPr>
                <w:rFonts w:ascii="Arial" w:hAnsi="Arial"/>
                <w:sz w:val="14"/>
                <w:szCs w:val="14"/>
              </w:rPr>
              <w:t>+1.1%</w:t>
            </w:r>
          </w:p>
        </w:tc>
        <w:tc>
          <w:tcPr>
            <w:tcW w:w="892" w:type="dxa"/>
            <w:tcBorders>
              <w:top w:val="single" w:sz="4" w:space="0" w:color="E02628"/>
              <w:left w:val="nil"/>
              <w:bottom w:val="single" w:sz="4" w:space="0" w:color="E02628"/>
              <w:right w:val="nil"/>
            </w:tcBorders>
            <w:shd w:val="clear" w:color="000000" w:fill="FFFFFF"/>
            <w:noWrap/>
            <w:hideMark/>
          </w:tcPr>
          <w:p w14:paraId="0CAEC7A4" w14:textId="1EE39BB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26</w:t>
            </w:r>
          </w:p>
        </w:tc>
      </w:tr>
      <w:tr w:rsidR="00EC5DFB" w:rsidRPr="009210D0" w14:paraId="333AB473" w14:textId="77777777" w:rsidTr="00EC5DFB">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1B3E4308" w14:textId="77777777" w:rsidR="00EC5DFB" w:rsidRPr="00B11441" w:rsidRDefault="00EC5DFB" w:rsidP="00EC5DFB">
            <w:pPr>
              <w:pStyle w:val="TableTextSmall"/>
              <w:keepNext/>
              <w:keepLines/>
              <w:rPr>
                <w:rFonts w:cstheme="minorHAnsi"/>
                <w:snapToGrid/>
                <w:sz w:val="14"/>
                <w:szCs w:val="14"/>
                <w:lang w:eastAsia="en-AU"/>
              </w:rPr>
            </w:pPr>
            <w:r w:rsidRPr="00B11441">
              <w:rPr>
                <w:rFonts w:cstheme="minorHAnsi"/>
                <w:snapToGrid/>
                <w:sz w:val="14"/>
                <w:szCs w:val="14"/>
                <w:lang w:eastAsia="en-AU"/>
              </w:rPr>
              <w:t>- Working age payment recipients</w:t>
            </w:r>
          </w:p>
        </w:tc>
        <w:tc>
          <w:tcPr>
            <w:tcW w:w="1077" w:type="dxa"/>
            <w:tcBorders>
              <w:top w:val="single" w:sz="4" w:space="0" w:color="E02628"/>
              <w:left w:val="nil"/>
              <w:bottom w:val="single" w:sz="4" w:space="0" w:color="E02628"/>
              <w:right w:val="nil"/>
            </w:tcBorders>
            <w:shd w:val="clear" w:color="000000" w:fill="FFFFFF"/>
            <w:noWrap/>
            <w:hideMark/>
          </w:tcPr>
          <w:p w14:paraId="3E9E452D"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1,301,346</w:t>
            </w:r>
          </w:p>
        </w:tc>
        <w:tc>
          <w:tcPr>
            <w:tcW w:w="907" w:type="dxa"/>
            <w:tcBorders>
              <w:top w:val="single" w:sz="4" w:space="0" w:color="E02628"/>
              <w:left w:val="nil"/>
              <w:bottom w:val="single" w:sz="4" w:space="0" w:color="E02628"/>
              <w:right w:val="nil"/>
            </w:tcBorders>
            <w:shd w:val="clear" w:color="000000" w:fill="FFFFFF"/>
            <w:noWrap/>
            <w:hideMark/>
          </w:tcPr>
          <w:p w14:paraId="58D09CD3"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40</w:t>
            </w:r>
          </w:p>
        </w:tc>
        <w:tc>
          <w:tcPr>
            <w:tcW w:w="855" w:type="dxa"/>
            <w:tcBorders>
              <w:top w:val="single" w:sz="4" w:space="0" w:color="E02628"/>
              <w:left w:val="nil"/>
              <w:bottom w:val="single" w:sz="4" w:space="0" w:color="E02628"/>
              <w:right w:val="nil"/>
            </w:tcBorders>
            <w:shd w:val="clear" w:color="000000" w:fill="FFFFFF"/>
            <w:noWrap/>
            <w:hideMark/>
          </w:tcPr>
          <w:p w14:paraId="561D1D72"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411</w:t>
            </w:r>
          </w:p>
        </w:tc>
        <w:tc>
          <w:tcPr>
            <w:tcW w:w="993" w:type="dxa"/>
            <w:tcBorders>
              <w:top w:val="single" w:sz="4" w:space="0" w:color="E02628"/>
              <w:left w:val="nil"/>
              <w:bottom w:val="single" w:sz="4" w:space="0" w:color="E02628"/>
              <w:right w:val="nil"/>
            </w:tcBorders>
            <w:shd w:val="clear" w:color="000000" w:fill="FFFFFF"/>
            <w:noWrap/>
            <w:hideMark/>
          </w:tcPr>
          <w:p w14:paraId="35FF939A"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11,200</w:t>
            </w:r>
          </w:p>
        </w:tc>
        <w:tc>
          <w:tcPr>
            <w:tcW w:w="925" w:type="dxa"/>
            <w:tcBorders>
              <w:top w:val="single" w:sz="4" w:space="0" w:color="E02628"/>
              <w:left w:val="nil"/>
              <w:bottom w:val="single" w:sz="4" w:space="0" w:color="E02628"/>
              <w:right w:val="nil"/>
            </w:tcBorders>
            <w:shd w:val="clear" w:color="000000" w:fill="FFFFFF"/>
            <w:noWrap/>
            <w:hideMark/>
          </w:tcPr>
          <w:p w14:paraId="28CE5815"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316</w:t>
            </w:r>
          </w:p>
        </w:tc>
        <w:tc>
          <w:tcPr>
            <w:tcW w:w="964" w:type="dxa"/>
            <w:tcBorders>
              <w:top w:val="single" w:sz="4" w:space="0" w:color="E02628"/>
              <w:left w:val="nil"/>
              <w:bottom w:val="single" w:sz="4" w:space="0" w:color="E02628"/>
              <w:right w:val="nil"/>
            </w:tcBorders>
            <w:shd w:val="clear" w:color="000000" w:fill="FFFFFF"/>
          </w:tcPr>
          <w:p w14:paraId="4605F4E7" w14:textId="1D3BA8E1" w:rsidR="00EC5DFB" w:rsidRPr="00AD21EE" w:rsidRDefault="008D2F5D" w:rsidP="00EC5DFB">
            <w:pPr>
              <w:pStyle w:val="TableTextSmall"/>
              <w:keepNext/>
              <w:keepLines/>
              <w:jc w:val="center"/>
              <w:rPr>
                <w:rFonts w:ascii="Arial" w:hAnsi="Arial"/>
                <w:sz w:val="14"/>
                <w:szCs w:val="14"/>
              </w:rPr>
            </w:pPr>
            <w:r>
              <w:rPr>
                <w:rFonts w:ascii="Arial" w:hAnsi="Arial"/>
                <w:sz w:val="14"/>
                <w:szCs w:val="14"/>
              </w:rPr>
              <w:t>+3.7</w:t>
            </w:r>
            <w:r w:rsidR="00EC5DFB" w:rsidRPr="00AD21EE">
              <w:rPr>
                <w:rFonts w:ascii="Arial" w:hAnsi="Arial"/>
                <w:sz w:val="14"/>
                <w:szCs w:val="14"/>
              </w:rPr>
              <w:t>%</w:t>
            </w:r>
          </w:p>
        </w:tc>
        <w:tc>
          <w:tcPr>
            <w:tcW w:w="892" w:type="dxa"/>
            <w:tcBorders>
              <w:top w:val="single" w:sz="4" w:space="0" w:color="E02628"/>
              <w:left w:val="nil"/>
              <w:bottom w:val="single" w:sz="4" w:space="0" w:color="E02628"/>
              <w:right w:val="nil"/>
            </w:tcBorders>
            <w:shd w:val="clear" w:color="000000" w:fill="FFFFFF"/>
            <w:noWrap/>
            <w:hideMark/>
          </w:tcPr>
          <w:p w14:paraId="0F15EF01" w14:textId="5F511E58"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28</w:t>
            </w:r>
          </w:p>
        </w:tc>
      </w:tr>
      <w:tr w:rsidR="00EC5DFB" w:rsidRPr="009210D0" w14:paraId="495A5B27" w14:textId="77777777" w:rsidTr="00EC5DFB">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6E296A07" w14:textId="77777777" w:rsidR="00EC5DFB" w:rsidRPr="00B11441" w:rsidRDefault="00EC5DFB" w:rsidP="00EC5DFB">
            <w:pPr>
              <w:pStyle w:val="TableTextSmall"/>
              <w:keepNext/>
              <w:keepLines/>
              <w:rPr>
                <w:rFonts w:cstheme="minorHAnsi"/>
                <w:snapToGrid/>
                <w:sz w:val="14"/>
                <w:szCs w:val="14"/>
                <w:lang w:eastAsia="en-AU"/>
              </w:rPr>
            </w:pPr>
            <w:r w:rsidRPr="00B11441">
              <w:rPr>
                <w:rFonts w:cstheme="minorHAnsi"/>
                <w:snapToGrid/>
                <w:sz w:val="14"/>
                <w:szCs w:val="14"/>
                <w:lang w:eastAsia="en-AU"/>
              </w:rPr>
              <w:t>- Parenting payment recipients</w:t>
            </w:r>
          </w:p>
        </w:tc>
        <w:tc>
          <w:tcPr>
            <w:tcW w:w="1077" w:type="dxa"/>
            <w:tcBorders>
              <w:top w:val="single" w:sz="4" w:space="0" w:color="E02628"/>
              <w:left w:val="nil"/>
              <w:bottom w:val="single" w:sz="4" w:space="0" w:color="E02628"/>
              <w:right w:val="nil"/>
            </w:tcBorders>
            <w:shd w:val="clear" w:color="000000" w:fill="FFFFFF"/>
            <w:noWrap/>
            <w:hideMark/>
          </w:tcPr>
          <w:p w14:paraId="45D58EF8"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432,641</w:t>
            </w:r>
          </w:p>
        </w:tc>
        <w:tc>
          <w:tcPr>
            <w:tcW w:w="907" w:type="dxa"/>
            <w:tcBorders>
              <w:top w:val="single" w:sz="4" w:space="0" w:color="E02628"/>
              <w:left w:val="nil"/>
              <w:bottom w:val="single" w:sz="4" w:space="0" w:color="E02628"/>
              <w:right w:val="nil"/>
            </w:tcBorders>
            <w:shd w:val="clear" w:color="000000" w:fill="FFFFFF"/>
            <w:noWrap/>
            <w:hideMark/>
          </w:tcPr>
          <w:p w14:paraId="2CDAA6D2"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33</w:t>
            </w:r>
          </w:p>
        </w:tc>
        <w:tc>
          <w:tcPr>
            <w:tcW w:w="855" w:type="dxa"/>
            <w:tcBorders>
              <w:top w:val="single" w:sz="4" w:space="0" w:color="E02628"/>
              <w:left w:val="nil"/>
              <w:bottom w:val="single" w:sz="4" w:space="0" w:color="E02628"/>
              <w:right w:val="nil"/>
            </w:tcBorders>
            <w:shd w:val="clear" w:color="000000" w:fill="FFFFFF"/>
            <w:noWrap/>
            <w:hideMark/>
          </w:tcPr>
          <w:p w14:paraId="5B3EA140"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210</w:t>
            </w:r>
          </w:p>
        </w:tc>
        <w:tc>
          <w:tcPr>
            <w:tcW w:w="993" w:type="dxa"/>
            <w:tcBorders>
              <w:top w:val="single" w:sz="4" w:space="0" w:color="E02628"/>
              <w:left w:val="nil"/>
              <w:bottom w:val="single" w:sz="4" w:space="0" w:color="E02628"/>
              <w:right w:val="nil"/>
            </w:tcBorders>
            <w:shd w:val="clear" w:color="000000" w:fill="FFFFFF"/>
            <w:noWrap/>
            <w:hideMark/>
          </w:tcPr>
          <w:p w14:paraId="0CBD01B9"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29,100</w:t>
            </w:r>
          </w:p>
        </w:tc>
        <w:tc>
          <w:tcPr>
            <w:tcW w:w="925" w:type="dxa"/>
            <w:tcBorders>
              <w:top w:val="single" w:sz="4" w:space="0" w:color="E02628"/>
              <w:left w:val="nil"/>
              <w:bottom w:val="single" w:sz="4" w:space="0" w:color="E02628"/>
              <w:right w:val="nil"/>
            </w:tcBorders>
            <w:shd w:val="clear" w:color="000000" w:fill="FFFFFF"/>
            <w:noWrap/>
            <w:hideMark/>
          </w:tcPr>
          <w:p w14:paraId="49F7D825"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485</w:t>
            </w:r>
          </w:p>
        </w:tc>
        <w:tc>
          <w:tcPr>
            <w:tcW w:w="964" w:type="dxa"/>
            <w:tcBorders>
              <w:top w:val="single" w:sz="4" w:space="0" w:color="E02628"/>
              <w:left w:val="nil"/>
              <w:bottom w:val="single" w:sz="4" w:space="0" w:color="E02628"/>
              <w:right w:val="nil"/>
            </w:tcBorders>
            <w:shd w:val="clear" w:color="000000" w:fill="FFFFFF"/>
          </w:tcPr>
          <w:p w14:paraId="73AEC9F7" w14:textId="5BB770B7" w:rsidR="00EC5DFB" w:rsidRPr="00AD21EE" w:rsidRDefault="00EC5DFB" w:rsidP="00EC5DFB">
            <w:pPr>
              <w:pStyle w:val="TableTextSmall"/>
              <w:keepNext/>
              <w:keepLines/>
              <w:jc w:val="center"/>
              <w:rPr>
                <w:rFonts w:ascii="Arial" w:hAnsi="Arial"/>
                <w:sz w:val="14"/>
                <w:szCs w:val="14"/>
              </w:rPr>
            </w:pPr>
            <w:r w:rsidRPr="00AD21EE">
              <w:rPr>
                <w:rFonts w:ascii="Arial" w:hAnsi="Arial"/>
                <w:sz w:val="14"/>
                <w:szCs w:val="14"/>
              </w:rPr>
              <w:t>+2.2%</w:t>
            </w:r>
          </w:p>
        </w:tc>
        <w:tc>
          <w:tcPr>
            <w:tcW w:w="892" w:type="dxa"/>
            <w:tcBorders>
              <w:top w:val="single" w:sz="4" w:space="0" w:color="E02628"/>
              <w:left w:val="nil"/>
              <w:bottom w:val="single" w:sz="4" w:space="0" w:color="E02628"/>
              <w:right w:val="nil"/>
            </w:tcBorders>
            <w:shd w:val="clear" w:color="000000" w:fill="FFFFFF"/>
            <w:noWrap/>
            <w:hideMark/>
          </w:tcPr>
          <w:p w14:paraId="442BD749" w14:textId="6D912113"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17</w:t>
            </w:r>
          </w:p>
        </w:tc>
      </w:tr>
      <w:tr w:rsidR="00EC5DFB" w:rsidRPr="009210D0" w14:paraId="643C3D60" w14:textId="77777777" w:rsidTr="00EC5DFB">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2A67BDC9" w14:textId="77777777" w:rsidR="00EC5DFB" w:rsidRPr="00B11441" w:rsidRDefault="00EC5DFB" w:rsidP="00EC5DFB">
            <w:pPr>
              <w:pStyle w:val="TableTextSmall"/>
              <w:keepNext/>
              <w:keepLines/>
              <w:rPr>
                <w:rFonts w:cstheme="minorHAnsi"/>
                <w:snapToGrid/>
                <w:sz w:val="14"/>
                <w:szCs w:val="14"/>
                <w:lang w:eastAsia="en-AU"/>
              </w:rPr>
            </w:pPr>
            <w:r w:rsidRPr="00B11441">
              <w:rPr>
                <w:rFonts w:cstheme="minorHAnsi"/>
                <w:snapToGrid/>
                <w:sz w:val="14"/>
                <w:szCs w:val="14"/>
                <w:lang w:eastAsia="en-AU"/>
              </w:rPr>
              <w:t>- Carer payment recipients</w:t>
            </w:r>
          </w:p>
        </w:tc>
        <w:tc>
          <w:tcPr>
            <w:tcW w:w="1077" w:type="dxa"/>
            <w:tcBorders>
              <w:top w:val="single" w:sz="4" w:space="0" w:color="E02628"/>
              <w:left w:val="nil"/>
              <w:bottom w:val="single" w:sz="4" w:space="0" w:color="E02628"/>
              <w:right w:val="nil"/>
            </w:tcBorders>
            <w:shd w:val="clear" w:color="000000" w:fill="FFFFFF"/>
            <w:noWrap/>
            <w:hideMark/>
          </w:tcPr>
          <w:p w14:paraId="68E8A0F5"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277,220</w:t>
            </w:r>
          </w:p>
        </w:tc>
        <w:tc>
          <w:tcPr>
            <w:tcW w:w="907" w:type="dxa"/>
            <w:tcBorders>
              <w:top w:val="single" w:sz="4" w:space="0" w:color="E02628"/>
              <w:left w:val="nil"/>
              <w:bottom w:val="single" w:sz="4" w:space="0" w:color="E02628"/>
              <w:right w:val="nil"/>
            </w:tcBorders>
            <w:shd w:val="clear" w:color="000000" w:fill="FFFFFF"/>
            <w:noWrap/>
            <w:hideMark/>
          </w:tcPr>
          <w:p w14:paraId="3F73C825"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51</w:t>
            </w:r>
          </w:p>
        </w:tc>
        <w:tc>
          <w:tcPr>
            <w:tcW w:w="855" w:type="dxa"/>
            <w:tcBorders>
              <w:top w:val="single" w:sz="4" w:space="0" w:color="E02628"/>
              <w:left w:val="nil"/>
              <w:bottom w:val="single" w:sz="4" w:space="0" w:color="E02628"/>
              <w:right w:val="nil"/>
            </w:tcBorders>
            <w:shd w:val="clear" w:color="000000" w:fill="FFFFFF"/>
            <w:noWrap/>
            <w:hideMark/>
          </w:tcPr>
          <w:p w14:paraId="57D217EB"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125</w:t>
            </w:r>
          </w:p>
        </w:tc>
        <w:tc>
          <w:tcPr>
            <w:tcW w:w="993" w:type="dxa"/>
            <w:tcBorders>
              <w:top w:val="single" w:sz="4" w:space="0" w:color="E02628"/>
              <w:left w:val="nil"/>
              <w:bottom w:val="single" w:sz="4" w:space="0" w:color="E02628"/>
              <w:right w:val="nil"/>
            </w:tcBorders>
            <w:shd w:val="clear" w:color="000000" w:fill="FFFFFF"/>
            <w:noWrap/>
            <w:hideMark/>
          </w:tcPr>
          <w:p w14:paraId="31EC8277"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26,700</w:t>
            </w:r>
          </w:p>
        </w:tc>
        <w:tc>
          <w:tcPr>
            <w:tcW w:w="925" w:type="dxa"/>
            <w:tcBorders>
              <w:top w:val="single" w:sz="4" w:space="0" w:color="E02628"/>
              <w:left w:val="nil"/>
              <w:bottom w:val="single" w:sz="4" w:space="0" w:color="E02628"/>
              <w:right w:val="nil"/>
            </w:tcBorders>
            <w:shd w:val="clear" w:color="000000" w:fill="FFFFFF"/>
            <w:noWrap/>
            <w:hideMark/>
          </w:tcPr>
          <w:p w14:paraId="5955DEE1"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449</w:t>
            </w:r>
          </w:p>
        </w:tc>
        <w:tc>
          <w:tcPr>
            <w:tcW w:w="964" w:type="dxa"/>
            <w:tcBorders>
              <w:top w:val="single" w:sz="4" w:space="0" w:color="E02628"/>
              <w:left w:val="nil"/>
              <w:bottom w:val="single" w:sz="4" w:space="0" w:color="E02628"/>
              <w:right w:val="nil"/>
            </w:tcBorders>
            <w:shd w:val="clear" w:color="000000" w:fill="FFFFFF"/>
          </w:tcPr>
          <w:p w14:paraId="3AC574BB" w14:textId="02044E80" w:rsidR="00EC5DFB" w:rsidRPr="00AD21EE" w:rsidRDefault="008D2F5D" w:rsidP="00EC5DFB">
            <w:pPr>
              <w:pStyle w:val="TableTextSmall"/>
              <w:keepNext/>
              <w:keepLines/>
              <w:jc w:val="center"/>
              <w:rPr>
                <w:rFonts w:ascii="Arial" w:hAnsi="Arial"/>
                <w:sz w:val="14"/>
                <w:szCs w:val="14"/>
              </w:rPr>
            </w:pPr>
            <w:r>
              <w:rPr>
                <w:rFonts w:ascii="Arial" w:hAnsi="Arial"/>
                <w:sz w:val="14"/>
                <w:szCs w:val="14"/>
              </w:rPr>
              <w:t>+2.6</w:t>
            </w:r>
            <w:r w:rsidR="00EC5DFB" w:rsidRPr="00AD21EE">
              <w:rPr>
                <w:rFonts w:ascii="Arial" w:hAnsi="Arial"/>
                <w:sz w:val="14"/>
                <w:szCs w:val="14"/>
              </w:rPr>
              <w:t>%</w:t>
            </w:r>
          </w:p>
        </w:tc>
        <w:tc>
          <w:tcPr>
            <w:tcW w:w="892" w:type="dxa"/>
            <w:tcBorders>
              <w:top w:val="single" w:sz="4" w:space="0" w:color="E02628"/>
              <w:left w:val="nil"/>
              <w:bottom w:val="single" w:sz="4" w:space="0" w:color="E02628"/>
              <w:right w:val="nil"/>
            </w:tcBorders>
            <w:shd w:val="clear" w:color="000000" w:fill="FFFFFF"/>
            <w:noWrap/>
            <w:hideMark/>
          </w:tcPr>
          <w:p w14:paraId="4E543ACC" w14:textId="1386F082"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17</w:t>
            </w:r>
          </w:p>
        </w:tc>
      </w:tr>
      <w:tr w:rsidR="00EC5DFB" w:rsidRPr="009210D0" w14:paraId="7A9680B1" w14:textId="77777777" w:rsidTr="00EC5DFB">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760B6A35" w14:textId="77777777" w:rsidR="00EC5DFB" w:rsidRPr="00B11441" w:rsidRDefault="00EC5DFB" w:rsidP="00EC5DFB">
            <w:pPr>
              <w:pStyle w:val="TableTextSmall"/>
              <w:keepNext/>
              <w:keepLines/>
              <w:rPr>
                <w:rFonts w:cstheme="minorHAnsi"/>
                <w:snapToGrid/>
                <w:sz w:val="14"/>
                <w:szCs w:val="14"/>
                <w:lang w:eastAsia="en-AU"/>
              </w:rPr>
            </w:pPr>
            <w:r w:rsidRPr="00B11441">
              <w:rPr>
                <w:rFonts w:cstheme="minorHAnsi"/>
                <w:snapToGrid/>
                <w:sz w:val="14"/>
                <w:szCs w:val="14"/>
                <w:lang w:eastAsia="en-AU"/>
              </w:rPr>
              <w:t>- Disability support pensioners</w:t>
            </w:r>
          </w:p>
        </w:tc>
        <w:tc>
          <w:tcPr>
            <w:tcW w:w="1077" w:type="dxa"/>
            <w:tcBorders>
              <w:top w:val="single" w:sz="4" w:space="0" w:color="E02628"/>
              <w:left w:val="nil"/>
              <w:bottom w:val="single" w:sz="4" w:space="0" w:color="E02628"/>
              <w:right w:val="nil"/>
            </w:tcBorders>
            <w:shd w:val="clear" w:color="000000" w:fill="FFFFFF"/>
            <w:noWrap/>
            <w:hideMark/>
          </w:tcPr>
          <w:p w14:paraId="2EF66765"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760,148</w:t>
            </w:r>
          </w:p>
        </w:tc>
        <w:tc>
          <w:tcPr>
            <w:tcW w:w="907" w:type="dxa"/>
            <w:tcBorders>
              <w:top w:val="single" w:sz="4" w:space="0" w:color="E02628"/>
              <w:left w:val="nil"/>
              <w:bottom w:val="single" w:sz="4" w:space="0" w:color="E02628"/>
              <w:right w:val="nil"/>
            </w:tcBorders>
            <w:shd w:val="clear" w:color="000000" w:fill="FFFFFF"/>
            <w:noWrap/>
            <w:hideMark/>
          </w:tcPr>
          <w:p w14:paraId="3DE95626"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50</w:t>
            </w:r>
          </w:p>
        </w:tc>
        <w:tc>
          <w:tcPr>
            <w:tcW w:w="855" w:type="dxa"/>
            <w:tcBorders>
              <w:top w:val="single" w:sz="4" w:space="0" w:color="E02628"/>
              <w:left w:val="nil"/>
              <w:bottom w:val="single" w:sz="4" w:space="0" w:color="E02628"/>
              <w:right w:val="nil"/>
            </w:tcBorders>
            <w:shd w:val="clear" w:color="000000" w:fill="FFFFFF"/>
            <w:noWrap/>
            <w:hideMark/>
          </w:tcPr>
          <w:p w14:paraId="3B9ABC15"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351</w:t>
            </w:r>
          </w:p>
        </w:tc>
        <w:tc>
          <w:tcPr>
            <w:tcW w:w="993" w:type="dxa"/>
            <w:tcBorders>
              <w:top w:val="single" w:sz="4" w:space="0" w:color="E02628"/>
              <w:left w:val="nil"/>
              <w:bottom w:val="single" w:sz="4" w:space="0" w:color="E02628"/>
              <w:right w:val="nil"/>
            </w:tcBorders>
            <w:shd w:val="clear" w:color="000000" w:fill="FFFFFF"/>
            <w:noWrap/>
            <w:hideMark/>
          </w:tcPr>
          <w:p w14:paraId="3A2E4806"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22,000</w:t>
            </w:r>
          </w:p>
        </w:tc>
        <w:tc>
          <w:tcPr>
            <w:tcW w:w="925" w:type="dxa"/>
            <w:tcBorders>
              <w:top w:val="single" w:sz="4" w:space="0" w:color="E02628"/>
              <w:left w:val="nil"/>
              <w:bottom w:val="single" w:sz="4" w:space="0" w:color="E02628"/>
              <w:right w:val="nil"/>
            </w:tcBorders>
            <w:shd w:val="clear" w:color="000000" w:fill="FFFFFF"/>
            <w:noWrap/>
            <w:hideMark/>
          </w:tcPr>
          <w:p w14:paraId="1C8DD238"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462</w:t>
            </w:r>
          </w:p>
        </w:tc>
        <w:tc>
          <w:tcPr>
            <w:tcW w:w="964" w:type="dxa"/>
            <w:tcBorders>
              <w:top w:val="single" w:sz="4" w:space="0" w:color="E02628"/>
              <w:left w:val="nil"/>
              <w:bottom w:val="single" w:sz="4" w:space="0" w:color="E02628"/>
              <w:right w:val="nil"/>
            </w:tcBorders>
            <w:shd w:val="clear" w:color="000000" w:fill="FFFFFF"/>
          </w:tcPr>
          <w:p w14:paraId="02E06810" w14:textId="0D94C049" w:rsidR="00EC5DFB" w:rsidRPr="00AD21EE" w:rsidRDefault="008D2F5D" w:rsidP="00EC5DFB">
            <w:pPr>
              <w:pStyle w:val="TableTextSmall"/>
              <w:keepNext/>
              <w:keepLines/>
              <w:jc w:val="center"/>
              <w:rPr>
                <w:rFonts w:ascii="Arial" w:hAnsi="Arial"/>
                <w:sz w:val="14"/>
                <w:szCs w:val="14"/>
              </w:rPr>
            </w:pPr>
            <w:r>
              <w:rPr>
                <w:rFonts w:ascii="Arial" w:hAnsi="Arial"/>
                <w:sz w:val="14"/>
                <w:szCs w:val="14"/>
              </w:rPr>
              <w:t>+2.6</w:t>
            </w:r>
            <w:r w:rsidR="00EC5DFB" w:rsidRPr="00AD21EE">
              <w:rPr>
                <w:rFonts w:ascii="Arial" w:hAnsi="Arial"/>
                <w:sz w:val="14"/>
                <w:szCs w:val="14"/>
              </w:rPr>
              <w:t>%</w:t>
            </w:r>
          </w:p>
        </w:tc>
        <w:tc>
          <w:tcPr>
            <w:tcW w:w="892" w:type="dxa"/>
            <w:tcBorders>
              <w:top w:val="single" w:sz="4" w:space="0" w:color="E02628"/>
              <w:left w:val="nil"/>
              <w:bottom w:val="single" w:sz="4" w:space="0" w:color="E02628"/>
              <w:right w:val="nil"/>
            </w:tcBorders>
            <w:shd w:val="clear" w:color="000000" w:fill="FFFFFF"/>
            <w:noWrap/>
            <w:hideMark/>
          </w:tcPr>
          <w:p w14:paraId="07C65F20" w14:textId="441C0B0A"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21</w:t>
            </w:r>
          </w:p>
        </w:tc>
      </w:tr>
      <w:tr w:rsidR="00EC5DFB" w:rsidRPr="009210D0" w14:paraId="11890DA4" w14:textId="77777777" w:rsidTr="00EC5DFB">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7AD3ED66" w14:textId="77777777" w:rsidR="00EC5DFB" w:rsidRPr="00B11441" w:rsidRDefault="00EC5DFB" w:rsidP="00EC5DFB">
            <w:pPr>
              <w:pStyle w:val="TableTextSmall"/>
              <w:keepNext/>
              <w:keepLines/>
              <w:rPr>
                <w:rFonts w:cstheme="minorHAnsi"/>
                <w:snapToGrid/>
                <w:sz w:val="14"/>
                <w:szCs w:val="14"/>
                <w:lang w:eastAsia="en-AU"/>
              </w:rPr>
            </w:pPr>
            <w:r w:rsidRPr="00B11441">
              <w:rPr>
                <w:rFonts w:cstheme="minorHAnsi"/>
                <w:snapToGrid/>
                <w:sz w:val="14"/>
                <w:szCs w:val="14"/>
                <w:lang w:eastAsia="en-AU"/>
              </w:rPr>
              <w:t>- Age pensioners</w:t>
            </w:r>
          </w:p>
        </w:tc>
        <w:tc>
          <w:tcPr>
            <w:tcW w:w="1077" w:type="dxa"/>
            <w:tcBorders>
              <w:top w:val="single" w:sz="4" w:space="0" w:color="E02628"/>
              <w:left w:val="nil"/>
              <w:bottom w:val="single" w:sz="4" w:space="0" w:color="E02628"/>
              <w:right w:val="nil"/>
            </w:tcBorders>
            <w:shd w:val="clear" w:color="000000" w:fill="FFFFFF"/>
            <w:noWrap/>
            <w:hideMark/>
          </w:tcPr>
          <w:p w14:paraId="2F475FDC"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2,594,978</w:t>
            </w:r>
          </w:p>
        </w:tc>
        <w:tc>
          <w:tcPr>
            <w:tcW w:w="907" w:type="dxa"/>
            <w:tcBorders>
              <w:top w:val="single" w:sz="4" w:space="0" w:color="E02628"/>
              <w:left w:val="nil"/>
              <w:bottom w:val="single" w:sz="4" w:space="0" w:color="E02628"/>
              <w:right w:val="nil"/>
            </w:tcBorders>
            <w:shd w:val="clear" w:color="000000" w:fill="FFFFFF"/>
            <w:noWrap/>
            <w:hideMark/>
          </w:tcPr>
          <w:p w14:paraId="603553DC"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76</w:t>
            </w:r>
          </w:p>
        </w:tc>
        <w:tc>
          <w:tcPr>
            <w:tcW w:w="855" w:type="dxa"/>
            <w:tcBorders>
              <w:top w:val="single" w:sz="4" w:space="0" w:color="E02628"/>
              <w:left w:val="nil"/>
              <w:bottom w:val="single" w:sz="4" w:space="0" w:color="E02628"/>
              <w:right w:val="nil"/>
            </w:tcBorders>
            <w:shd w:val="clear" w:color="000000" w:fill="FFFFFF"/>
            <w:noWrap/>
            <w:hideMark/>
          </w:tcPr>
          <w:p w14:paraId="78DF100F"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542</w:t>
            </w:r>
          </w:p>
        </w:tc>
        <w:tc>
          <w:tcPr>
            <w:tcW w:w="993" w:type="dxa"/>
            <w:tcBorders>
              <w:top w:val="single" w:sz="4" w:space="0" w:color="E02628"/>
              <w:left w:val="nil"/>
              <w:bottom w:val="single" w:sz="4" w:space="0" w:color="E02628"/>
              <w:right w:val="nil"/>
            </w:tcBorders>
            <w:shd w:val="clear" w:color="000000" w:fill="FFFFFF"/>
            <w:noWrap/>
            <w:hideMark/>
          </w:tcPr>
          <w:p w14:paraId="20781A4B"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16,900</w:t>
            </w:r>
          </w:p>
        </w:tc>
        <w:tc>
          <w:tcPr>
            <w:tcW w:w="925" w:type="dxa"/>
            <w:tcBorders>
              <w:top w:val="single" w:sz="4" w:space="0" w:color="E02628"/>
              <w:left w:val="nil"/>
              <w:bottom w:val="single" w:sz="4" w:space="0" w:color="E02628"/>
              <w:right w:val="nil"/>
            </w:tcBorders>
            <w:shd w:val="clear" w:color="000000" w:fill="FFFFFF"/>
            <w:noWrap/>
            <w:hideMark/>
          </w:tcPr>
          <w:p w14:paraId="3A95790D"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209</w:t>
            </w:r>
          </w:p>
        </w:tc>
        <w:tc>
          <w:tcPr>
            <w:tcW w:w="964" w:type="dxa"/>
            <w:tcBorders>
              <w:top w:val="single" w:sz="4" w:space="0" w:color="E02628"/>
              <w:left w:val="nil"/>
              <w:bottom w:val="single" w:sz="4" w:space="0" w:color="E02628"/>
              <w:right w:val="nil"/>
            </w:tcBorders>
            <w:shd w:val="clear" w:color="000000" w:fill="FFFFFF"/>
          </w:tcPr>
          <w:p w14:paraId="31C86224" w14:textId="3A0932C3" w:rsidR="00EC5DFB" w:rsidRPr="00AD21EE" w:rsidRDefault="00EC5DFB" w:rsidP="00EC5DFB">
            <w:pPr>
              <w:pStyle w:val="TableTextSmall"/>
              <w:keepNext/>
              <w:keepLines/>
              <w:jc w:val="center"/>
              <w:rPr>
                <w:rFonts w:ascii="Arial" w:hAnsi="Arial"/>
                <w:sz w:val="14"/>
                <w:szCs w:val="14"/>
              </w:rPr>
            </w:pPr>
            <w:r w:rsidRPr="00AD21EE">
              <w:rPr>
                <w:rFonts w:ascii="Arial" w:hAnsi="Arial"/>
                <w:sz w:val="14"/>
                <w:szCs w:val="14"/>
              </w:rPr>
              <w:t>+2.8%</w:t>
            </w:r>
          </w:p>
        </w:tc>
        <w:tc>
          <w:tcPr>
            <w:tcW w:w="892" w:type="dxa"/>
            <w:tcBorders>
              <w:top w:val="single" w:sz="4" w:space="0" w:color="E02628"/>
              <w:left w:val="nil"/>
              <w:bottom w:val="single" w:sz="4" w:space="0" w:color="E02628"/>
              <w:right w:val="nil"/>
            </w:tcBorders>
            <w:shd w:val="clear" w:color="000000" w:fill="FFFFFF"/>
            <w:noWrap/>
            <w:hideMark/>
          </w:tcPr>
          <w:p w14:paraId="1351BE58" w14:textId="7604D0BA"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12</w:t>
            </w:r>
          </w:p>
        </w:tc>
      </w:tr>
      <w:tr w:rsidR="00EC5DFB" w:rsidRPr="009210D0" w14:paraId="1C791486" w14:textId="77777777" w:rsidTr="00EC5DFB">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51DD0AB1" w14:textId="77777777" w:rsidR="00EC5DFB" w:rsidRPr="00B11441" w:rsidRDefault="00EC5DFB" w:rsidP="00EC5DFB">
            <w:pPr>
              <w:pStyle w:val="TableTextSmall"/>
              <w:keepNext/>
              <w:keepLines/>
              <w:rPr>
                <w:rFonts w:cstheme="minorHAnsi"/>
                <w:snapToGrid/>
                <w:sz w:val="14"/>
                <w:szCs w:val="14"/>
                <w:lang w:eastAsia="en-AU"/>
              </w:rPr>
            </w:pPr>
            <w:r w:rsidRPr="00B11441">
              <w:rPr>
                <w:rFonts w:cstheme="minorHAnsi"/>
                <w:snapToGrid/>
                <w:sz w:val="14"/>
                <w:szCs w:val="14"/>
                <w:lang w:eastAsia="en-AU"/>
              </w:rPr>
              <w:t>- Family non IS clients</w:t>
            </w:r>
          </w:p>
        </w:tc>
        <w:tc>
          <w:tcPr>
            <w:tcW w:w="1077" w:type="dxa"/>
            <w:tcBorders>
              <w:top w:val="single" w:sz="4" w:space="0" w:color="E02628"/>
              <w:left w:val="nil"/>
              <w:bottom w:val="single" w:sz="4" w:space="0" w:color="E02628"/>
              <w:right w:val="nil"/>
            </w:tcBorders>
            <w:shd w:val="clear" w:color="000000" w:fill="FFFFFF"/>
            <w:noWrap/>
            <w:hideMark/>
          </w:tcPr>
          <w:p w14:paraId="27F01865"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1,543,972</w:t>
            </w:r>
          </w:p>
        </w:tc>
        <w:tc>
          <w:tcPr>
            <w:tcW w:w="907" w:type="dxa"/>
            <w:tcBorders>
              <w:top w:val="single" w:sz="4" w:space="0" w:color="E02628"/>
              <w:left w:val="nil"/>
              <w:bottom w:val="single" w:sz="4" w:space="0" w:color="E02628"/>
              <w:right w:val="nil"/>
            </w:tcBorders>
            <w:shd w:val="clear" w:color="000000" w:fill="FFFFFF"/>
            <w:noWrap/>
            <w:hideMark/>
          </w:tcPr>
          <w:p w14:paraId="40E4AA57"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40</w:t>
            </w:r>
          </w:p>
        </w:tc>
        <w:tc>
          <w:tcPr>
            <w:tcW w:w="855" w:type="dxa"/>
            <w:tcBorders>
              <w:top w:val="single" w:sz="4" w:space="0" w:color="E02628"/>
              <w:left w:val="nil"/>
              <w:bottom w:val="single" w:sz="4" w:space="0" w:color="E02628"/>
              <w:right w:val="nil"/>
            </w:tcBorders>
            <w:shd w:val="clear" w:color="000000" w:fill="FFFFFF"/>
            <w:noWrap/>
            <w:hideMark/>
          </w:tcPr>
          <w:p w14:paraId="1F67A8AB"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303</w:t>
            </w:r>
          </w:p>
        </w:tc>
        <w:tc>
          <w:tcPr>
            <w:tcW w:w="993" w:type="dxa"/>
            <w:tcBorders>
              <w:top w:val="single" w:sz="4" w:space="0" w:color="E02628"/>
              <w:left w:val="nil"/>
              <w:bottom w:val="single" w:sz="4" w:space="0" w:color="E02628"/>
              <w:right w:val="nil"/>
            </w:tcBorders>
            <w:shd w:val="clear" w:color="000000" w:fill="FFFFFF"/>
            <w:noWrap/>
            <w:hideMark/>
          </w:tcPr>
          <w:p w14:paraId="66BE7286"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5,400</w:t>
            </w:r>
          </w:p>
        </w:tc>
        <w:tc>
          <w:tcPr>
            <w:tcW w:w="925" w:type="dxa"/>
            <w:tcBorders>
              <w:top w:val="single" w:sz="4" w:space="0" w:color="E02628"/>
              <w:left w:val="nil"/>
              <w:bottom w:val="single" w:sz="4" w:space="0" w:color="E02628"/>
              <w:right w:val="nil"/>
            </w:tcBorders>
            <w:shd w:val="clear" w:color="000000" w:fill="FFFFFF"/>
            <w:noWrap/>
            <w:hideMark/>
          </w:tcPr>
          <w:p w14:paraId="333C66AE"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197</w:t>
            </w:r>
          </w:p>
        </w:tc>
        <w:tc>
          <w:tcPr>
            <w:tcW w:w="964" w:type="dxa"/>
            <w:tcBorders>
              <w:top w:val="single" w:sz="4" w:space="0" w:color="E02628"/>
              <w:left w:val="nil"/>
              <w:bottom w:val="single" w:sz="4" w:space="0" w:color="E02628"/>
              <w:right w:val="nil"/>
            </w:tcBorders>
            <w:shd w:val="clear" w:color="000000" w:fill="FFFFFF"/>
          </w:tcPr>
          <w:p w14:paraId="46D6AD88" w14:textId="0DED2EBF" w:rsidR="00EC5DFB" w:rsidRPr="00AD21EE" w:rsidRDefault="00EC5DFB" w:rsidP="00EC5DFB">
            <w:pPr>
              <w:pStyle w:val="TableTextSmall"/>
              <w:keepNext/>
              <w:keepLines/>
              <w:jc w:val="center"/>
              <w:rPr>
                <w:rFonts w:ascii="Arial" w:hAnsi="Arial"/>
                <w:sz w:val="14"/>
                <w:szCs w:val="14"/>
              </w:rPr>
            </w:pPr>
            <w:r w:rsidRPr="00AD21EE">
              <w:rPr>
                <w:rFonts w:ascii="Arial" w:hAnsi="Arial"/>
                <w:sz w:val="14"/>
                <w:szCs w:val="14"/>
              </w:rPr>
              <w:t>+1.4%</w:t>
            </w:r>
          </w:p>
        </w:tc>
        <w:tc>
          <w:tcPr>
            <w:tcW w:w="892" w:type="dxa"/>
            <w:tcBorders>
              <w:top w:val="single" w:sz="4" w:space="0" w:color="E02628"/>
              <w:left w:val="nil"/>
              <w:bottom w:val="single" w:sz="4" w:space="0" w:color="E02628"/>
              <w:right w:val="nil"/>
            </w:tcBorders>
            <w:shd w:val="clear" w:color="000000" w:fill="FFFFFF"/>
            <w:noWrap/>
            <w:hideMark/>
          </w:tcPr>
          <w:p w14:paraId="2F3BFF8C" w14:textId="6F69BF24"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36</w:t>
            </w:r>
          </w:p>
        </w:tc>
      </w:tr>
      <w:tr w:rsidR="00EC5DFB" w:rsidRPr="009210D0" w14:paraId="227E3D52" w14:textId="77777777" w:rsidTr="00EC5DFB">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6C151705" w14:textId="77777777" w:rsidR="00EC5DFB" w:rsidRPr="00B11441" w:rsidRDefault="00EC5DFB" w:rsidP="00EC5DFB">
            <w:pPr>
              <w:pStyle w:val="TableTextSmall"/>
              <w:keepNext/>
              <w:keepLines/>
              <w:rPr>
                <w:rFonts w:cstheme="minorHAnsi"/>
                <w:snapToGrid/>
                <w:sz w:val="14"/>
                <w:szCs w:val="14"/>
                <w:lang w:eastAsia="en-AU"/>
              </w:rPr>
            </w:pPr>
            <w:r w:rsidRPr="00B11441">
              <w:rPr>
                <w:rFonts w:cstheme="minorHAnsi"/>
                <w:snapToGrid/>
                <w:sz w:val="14"/>
                <w:szCs w:val="14"/>
                <w:lang w:eastAsia="en-AU"/>
              </w:rPr>
              <w:t>- Carer non IS clients</w:t>
            </w:r>
          </w:p>
        </w:tc>
        <w:tc>
          <w:tcPr>
            <w:tcW w:w="1077" w:type="dxa"/>
            <w:tcBorders>
              <w:top w:val="single" w:sz="4" w:space="0" w:color="E02628"/>
              <w:left w:val="nil"/>
              <w:bottom w:val="single" w:sz="4" w:space="0" w:color="E02628"/>
              <w:right w:val="nil"/>
            </w:tcBorders>
            <w:shd w:val="clear" w:color="000000" w:fill="FFFFFF"/>
            <w:noWrap/>
            <w:hideMark/>
          </w:tcPr>
          <w:p w14:paraId="0020F974"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202,505</w:t>
            </w:r>
          </w:p>
        </w:tc>
        <w:tc>
          <w:tcPr>
            <w:tcW w:w="907" w:type="dxa"/>
            <w:tcBorders>
              <w:top w:val="single" w:sz="4" w:space="0" w:color="E02628"/>
              <w:left w:val="nil"/>
              <w:bottom w:val="single" w:sz="4" w:space="0" w:color="E02628"/>
              <w:right w:val="nil"/>
            </w:tcBorders>
            <w:shd w:val="clear" w:color="000000" w:fill="FFFFFF"/>
            <w:noWrap/>
            <w:hideMark/>
          </w:tcPr>
          <w:p w14:paraId="0C0E9A81"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51</w:t>
            </w:r>
          </w:p>
        </w:tc>
        <w:tc>
          <w:tcPr>
            <w:tcW w:w="855" w:type="dxa"/>
            <w:tcBorders>
              <w:top w:val="single" w:sz="4" w:space="0" w:color="E02628"/>
              <w:left w:val="nil"/>
              <w:bottom w:val="single" w:sz="4" w:space="0" w:color="E02628"/>
              <w:right w:val="nil"/>
            </w:tcBorders>
            <w:shd w:val="clear" w:color="000000" w:fill="FFFFFF"/>
            <w:noWrap/>
            <w:hideMark/>
          </w:tcPr>
          <w:p w14:paraId="274A05A8"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42</w:t>
            </w:r>
          </w:p>
        </w:tc>
        <w:tc>
          <w:tcPr>
            <w:tcW w:w="993" w:type="dxa"/>
            <w:tcBorders>
              <w:top w:val="single" w:sz="4" w:space="0" w:color="E02628"/>
              <w:left w:val="nil"/>
              <w:bottom w:val="single" w:sz="4" w:space="0" w:color="E02628"/>
              <w:right w:val="nil"/>
            </w:tcBorders>
            <w:shd w:val="clear" w:color="000000" w:fill="FFFFFF"/>
            <w:noWrap/>
            <w:hideMark/>
          </w:tcPr>
          <w:p w14:paraId="5DC7C820"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6,700</w:t>
            </w:r>
          </w:p>
        </w:tc>
        <w:tc>
          <w:tcPr>
            <w:tcW w:w="925" w:type="dxa"/>
            <w:tcBorders>
              <w:top w:val="single" w:sz="4" w:space="0" w:color="E02628"/>
              <w:left w:val="nil"/>
              <w:bottom w:val="single" w:sz="4" w:space="0" w:color="E02628"/>
              <w:right w:val="nil"/>
            </w:tcBorders>
            <w:shd w:val="clear" w:color="000000" w:fill="FFFFFF"/>
            <w:noWrap/>
            <w:hideMark/>
          </w:tcPr>
          <w:p w14:paraId="545556DE"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207</w:t>
            </w:r>
          </w:p>
        </w:tc>
        <w:tc>
          <w:tcPr>
            <w:tcW w:w="964" w:type="dxa"/>
            <w:tcBorders>
              <w:top w:val="single" w:sz="4" w:space="0" w:color="E02628"/>
              <w:left w:val="nil"/>
              <w:bottom w:val="single" w:sz="4" w:space="0" w:color="E02628"/>
              <w:right w:val="nil"/>
            </w:tcBorders>
            <w:shd w:val="clear" w:color="000000" w:fill="FFFFFF"/>
          </w:tcPr>
          <w:p w14:paraId="13E10A2F" w14:textId="5F2708F0" w:rsidR="00EC5DFB" w:rsidRPr="00AD21EE" w:rsidRDefault="00EC5DFB" w:rsidP="00EC5DFB">
            <w:pPr>
              <w:pStyle w:val="TableTextSmall"/>
              <w:keepNext/>
              <w:keepLines/>
              <w:jc w:val="center"/>
              <w:rPr>
                <w:rFonts w:ascii="Arial" w:hAnsi="Arial"/>
                <w:sz w:val="14"/>
                <w:szCs w:val="14"/>
              </w:rPr>
            </w:pPr>
            <w:r w:rsidRPr="00AD21EE">
              <w:rPr>
                <w:rFonts w:ascii="Arial" w:hAnsi="Arial"/>
                <w:sz w:val="14"/>
                <w:szCs w:val="14"/>
              </w:rPr>
              <w:t>+0.5%</w:t>
            </w:r>
          </w:p>
        </w:tc>
        <w:tc>
          <w:tcPr>
            <w:tcW w:w="892" w:type="dxa"/>
            <w:tcBorders>
              <w:top w:val="single" w:sz="4" w:space="0" w:color="E02628"/>
              <w:left w:val="nil"/>
              <w:bottom w:val="single" w:sz="4" w:space="0" w:color="E02628"/>
              <w:right w:val="nil"/>
            </w:tcBorders>
            <w:shd w:val="clear" w:color="000000" w:fill="FFFFFF"/>
            <w:noWrap/>
            <w:hideMark/>
          </w:tcPr>
          <w:p w14:paraId="68F25FB5" w14:textId="34CC1226"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31</w:t>
            </w:r>
          </w:p>
        </w:tc>
      </w:tr>
      <w:tr w:rsidR="00EC5DFB" w:rsidRPr="009210D0" w14:paraId="001F53F8" w14:textId="77777777" w:rsidTr="00EC5DFB">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60032AC2" w14:textId="77777777" w:rsidR="00EC5DFB" w:rsidRPr="00B11441" w:rsidRDefault="00EC5DFB" w:rsidP="00EC5DFB">
            <w:pPr>
              <w:pStyle w:val="TableTextSmall"/>
              <w:keepNext/>
              <w:keepLines/>
              <w:rPr>
                <w:rFonts w:cstheme="minorHAnsi"/>
                <w:snapToGrid/>
                <w:sz w:val="14"/>
                <w:szCs w:val="14"/>
                <w:lang w:eastAsia="en-AU"/>
              </w:rPr>
            </w:pPr>
            <w:r w:rsidRPr="00B11441">
              <w:rPr>
                <w:rFonts w:cstheme="minorHAnsi"/>
                <w:snapToGrid/>
                <w:sz w:val="14"/>
                <w:szCs w:val="14"/>
                <w:lang w:eastAsia="en-AU"/>
              </w:rPr>
              <w:t>- Other non IS clients</w:t>
            </w:r>
          </w:p>
        </w:tc>
        <w:tc>
          <w:tcPr>
            <w:tcW w:w="1077" w:type="dxa"/>
            <w:tcBorders>
              <w:top w:val="single" w:sz="4" w:space="0" w:color="E02628"/>
              <w:left w:val="nil"/>
              <w:bottom w:val="single" w:sz="4" w:space="0" w:color="E02628"/>
              <w:right w:val="nil"/>
            </w:tcBorders>
            <w:shd w:val="clear" w:color="000000" w:fill="FFFFFF"/>
            <w:noWrap/>
            <w:hideMark/>
          </w:tcPr>
          <w:p w14:paraId="748C489D"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557,092</w:t>
            </w:r>
          </w:p>
        </w:tc>
        <w:tc>
          <w:tcPr>
            <w:tcW w:w="907" w:type="dxa"/>
            <w:tcBorders>
              <w:top w:val="single" w:sz="4" w:space="0" w:color="E02628"/>
              <w:left w:val="nil"/>
              <w:bottom w:val="single" w:sz="4" w:space="0" w:color="E02628"/>
              <w:right w:val="nil"/>
            </w:tcBorders>
            <w:shd w:val="clear" w:color="000000" w:fill="FFFFFF"/>
            <w:noWrap/>
            <w:hideMark/>
          </w:tcPr>
          <w:p w14:paraId="44CA9DB4"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54</w:t>
            </w:r>
          </w:p>
        </w:tc>
        <w:tc>
          <w:tcPr>
            <w:tcW w:w="855" w:type="dxa"/>
            <w:tcBorders>
              <w:top w:val="single" w:sz="4" w:space="0" w:color="E02628"/>
              <w:left w:val="nil"/>
              <w:bottom w:val="single" w:sz="4" w:space="0" w:color="E02628"/>
              <w:right w:val="nil"/>
            </w:tcBorders>
            <w:shd w:val="clear" w:color="000000" w:fill="FFFFFF"/>
            <w:noWrap/>
            <w:hideMark/>
          </w:tcPr>
          <w:p w14:paraId="2C10E72C"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72</w:t>
            </w:r>
          </w:p>
        </w:tc>
        <w:tc>
          <w:tcPr>
            <w:tcW w:w="993" w:type="dxa"/>
            <w:tcBorders>
              <w:top w:val="single" w:sz="4" w:space="0" w:color="E02628"/>
              <w:left w:val="nil"/>
              <w:bottom w:val="single" w:sz="4" w:space="0" w:color="E02628"/>
              <w:right w:val="nil"/>
            </w:tcBorders>
            <w:shd w:val="clear" w:color="000000" w:fill="FFFFFF"/>
            <w:noWrap/>
            <w:hideMark/>
          </w:tcPr>
          <w:p w14:paraId="1F81423A"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2,800</w:t>
            </w:r>
          </w:p>
        </w:tc>
        <w:tc>
          <w:tcPr>
            <w:tcW w:w="925" w:type="dxa"/>
            <w:tcBorders>
              <w:top w:val="single" w:sz="4" w:space="0" w:color="E02628"/>
              <w:left w:val="nil"/>
              <w:bottom w:val="single" w:sz="4" w:space="0" w:color="E02628"/>
              <w:right w:val="nil"/>
            </w:tcBorders>
            <w:shd w:val="clear" w:color="000000" w:fill="FFFFFF"/>
            <w:noWrap/>
            <w:hideMark/>
          </w:tcPr>
          <w:p w14:paraId="3CD66A3C" w14:textId="7777777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129</w:t>
            </w:r>
          </w:p>
        </w:tc>
        <w:tc>
          <w:tcPr>
            <w:tcW w:w="964" w:type="dxa"/>
            <w:tcBorders>
              <w:top w:val="single" w:sz="4" w:space="0" w:color="E02628"/>
              <w:left w:val="nil"/>
              <w:bottom w:val="single" w:sz="4" w:space="0" w:color="E02628"/>
              <w:right w:val="nil"/>
            </w:tcBorders>
            <w:shd w:val="clear" w:color="000000" w:fill="FFFFFF"/>
          </w:tcPr>
          <w:p w14:paraId="158F1328" w14:textId="67025F7E" w:rsidR="00EC5DFB" w:rsidRPr="00AD21EE" w:rsidRDefault="00D566BF" w:rsidP="00EC5DFB">
            <w:pPr>
              <w:pStyle w:val="TableTextSmall"/>
              <w:keepNext/>
              <w:keepLines/>
              <w:jc w:val="center"/>
              <w:rPr>
                <w:rFonts w:ascii="Arial" w:hAnsi="Arial"/>
                <w:sz w:val="14"/>
                <w:szCs w:val="14"/>
              </w:rPr>
            </w:pPr>
            <w:r>
              <w:rPr>
                <w:rFonts w:ascii="Arial" w:hAnsi="Arial"/>
                <w:sz w:val="14"/>
                <w:szCs w:val="14"/>
              </w:rPr>
              <w:t>-5.6</w:t>
            </w:r>
            <w:r w:rsidR="00EC5DFB" w:rsidRPr="00AD21EE">
              <w:rPr>
                <w:rFonts w:ascii="Arial" w:hAnsi="Arial"/>
                <w:sz w:val="14"/>
                <w:szCs w:val="14"/>
              </w:rPr>
              <w:t>%</w:t>
            </w:r>
          </w:p>
        </w:tc>
        <w:tc>
          <w:tcPr>
            <w:tcW w:w="892" w:type="dxa"/>
            <w:tcBorders>
              <w:top w:val="single" w:sz="4" w:space="0" w:color="E02628"/>
              <w:left w:val="nil"/>
              <w:bottom w:val="single" w:sz="4" w:space="0" w:color="E02628"/>
              <w:right w:val="nil"/>
            </w:tcBorders>
            <w:shd w:val="clear" w:color="000000" w:fill="FFFFFF"/>
            <w:noWrap/>
            <w:hideMark/>
          </w:tcPr>
          <w:p w14:paraId="08B65E5C" w14:textId="3B506067" w:rsidR="00EC5DFB" w:rsidRPr="00EA2E57" w:rsidRDefault="00EC5DFB" w:rsidP="00EC5DFB">
            <w:pPr>
              <w:pStyle w:val="TableTextSmall"/>
              <w:keepNext/>
              <w:keepLines/>
              <w:jc w:val="center"/>
              <w:rPr>
                <w:rFonts w:ascii="Arial" w:hAnsi="Arial"/>
                <w:snapToGrid/>
                <w:color w:val="333333"/>
                <w:sz w:val="14"/>
                <w:szCs w:val="14"/>
                <w:lang w:eastAsia="en-AU"/>
              </w:rPr>
            </w:pPr>
            <w:r w:rsidRPr="00EA2E57">
              <w:rPr>
                <w:rFonts w:ascii="Arial" w:hAnsi="Arial"/>
                <w:sz w:val="14"/>
                <w:szCs w:val="14"/>
              </w:rPr>
              <w:t>46</w:t>
            </w:r>
          </w:p>
        </w:tc>
      </w:tr>
      <w:tr w:rsidR="00EC5DFB" w:rsidRPr="009210D0" w14:paraId="45E24BA5" w14:textId="77777777" w:rsidTr="00EC5DFB">
        <w:trPr>
          <w:trHeight w:val="227"/>
          <w:tblHeader/>
        </w:trPr>
        <w:tc>
          <w:tcPr>
            <w:tcW w:w="2750" w:type="dxa"/>
            <w:tcBorders>
              <w:top w:val="single" w:sz="4" w:space="0" w:color="E02628"/>
              <w:left w:val="nil"/>
              <w:bottom w:val="single" w:sz="4" w:space="0" w:color="E02628"/>
              <w:right w:val="nil"/>
            </w:tcBorders>
            <w:shd w:val="clear" w:color="auto" w:fill="F4CACA" w:themeFill="accent5" w:themeFillTint="33"/>
            <w:noWrap/>
            <w:vAlign w:val="center"/>
            <w:hideMark/>
          </w:tcPr>
          <w:p w14:paraId="4CE5108F" w14:textId="77777777" w:rsidR="00EC5DFB" w:rsidRPr="00B11441" w:rsidRDefault="00EC5DFB" w:rsidP="00EC5DFB">
            <w:pPr>
              <w:pStyle w:val="TableTextSmall"/>
              <w:keepNext/>
              <w:keepLines/>
              <w:rPr>
                <w:rFonts w:cstheme="minorHAnsi"/>
                <w:i/>
                <w:iCs/>
                <w:snapToGrid/>
                <w:sz w:val="14"/>
                <w:szCs w:val="14"/>
                <w:lang w:eastAsia="en-AU"/>
              </w:rPr>
            </w:pPr>
            <w:r w:rsidRPr="00B11441">
              <w:rPr>
                <w:rFonts w:cstheme="minorHAnsi"/>
                <w:i/>
                <w:iCs/>
                <w:snapToGrid/>
                <w:sz w:val="14"/>
                <w:szCs w:val="14"/>
                <w:lang w:eastAsia="en-AU"/>
              </w:rPr>
              <w:t>Total current welfare recipients</w:t>
            </w:r>
          </w:p>
        </w:tc>
        <w:tc>
          <w:tcPr>
            <w:tcW w:w="1077" w:type="dxa"/>
            <w:tcBorders>
              <w:top w:val="single" w:sz="4" w:space="0" w:color="E02628"/>
              <w:left w:val="nil"/>
              <w:bottom w:val="single" w:sz="4" w:space="0" w:color="E02628"/>
              <w:right w:val="nil"/>
            </w:tcBorders>
            <w:shd w:val="clear" w:color="auto" w:fill="F4CACA" w:themeFill="accent5" w:themeFillTint="33"/>
            <w:noWrap/>
            <w:hideMark/>
          </w:tcPr>
          <w:p w14:paraId="0AB91206" w14:textId="77777777" w:rsidR="00EC5DFB" w:rsidRPr="00EA2E57" w:rsidRDefault="00EC5DFB" w:rsidP="00EC5DFB">
            <w:pPr>
              <w:pStyle w:val="TableTextSmall"/>
              <w:keepNext/>
              <w:keepLines/>
              <w:jc w:val="center"/>
              <w:rPr>
                <w:rFonts w:ascii="Arial" w:hAnsi="Arial"/>
                <w:i/>
                <w:iCs/>
                <w:snapToGrid/>
                <w:color w:val="333333"/>
                <w:sz w:val="14"/>
                <w:szCs w:val="14"/>
                <w:lang w:eastAsia="en-AU"/>
              </w:rPr>
            </w:pPr>
            <w:r w:rsidRPr="00EA2E57">
              <w:rPr>
                <w:rFonts w:ascii="Arial" w:hAnsi="Arial"/>
                <w:i/>
                <w:sz w:val="14"/>
                <w:szCs w:val="14"/>
              </w:rPr>
              <w:t>8,041,364</w:t>
            </w:r>
          </w:p>
        </w:tc>
        <w:tc>
          <w:tcPr>
            <w:tcW w:w="907" w:type="dxa"/>
            <w:tcBorders>
              <w:top w:val="single" w:sz="4" w:space="0" w:color="E02628"/>
              <w:left w:val="nil"/>
              <w:bottom w:val="single" w:sz="4" w:space="0" w:color="E02628"/>
              <w:right w:val="nil"/>
            </w:tcBorders>
            <w:shd w:val="clear" w:color="auto" w:fill="F4CACA" w:themeFill="accent5" w:themeFillTint="33"/>
            <w:noWrap/>
            <w:hideMark/>
          </w:tcPr>
          <w:p w14:paraId="78F52A65" w14:textId="77777777" w:rsidR="00EC5DFB" w:rsidRPr="00EA2E57" w:rsidRDefault="00EC5DFB" w:rsidP="00EC5DFB">
            <w:pPr>
              <w:pStyle w:val="TableTextSmall"/>
              <w:keepNext/>
              <w:keepLines/>
              <w:jc w:val="center"/>
              <w:rPr>
                <w:rFonts w:ascii="Arial" w:hAnsi="Arial"/>
                <w:i/>
                <w:iCs/>
                <w:snapToGrid/>
                <w:color w:val="333333"/>
                <w:sz w:val="14"/>
                <w:szCs w:val="14"/>
                <w:lang w:eastAsia="en-AU"/>
              </w:rPr>
            </w:pPr>
            <w:r w:rsidRPr="00EA2E57">
              <w:rPr>
                <w:rFonts w:ascii="Arial" w:hAnsi="Arial"/>
                <w:i/>
                <w:sz w:val="14"/>
                <w:szCs w:val="14"/>
              </w:rPr>
              <w:t>53</w:t>
            </w:r>
          </w:p>
        </w:tc>
        <w:tc>
          <w:tcPr>
            <w:tcW w:w="855" w:type="dxa"/>
            <w:tcBorders>
              <w:top w:val="single" w:sz="4" w:space="0" w:color="E02628"/>
              <w:left w:val="nil"/>
              <w:bottom w:val="single" w:sz="4" w:space="0" w:color="E02628"/>
              <w:right w:val="nil"/>
            </w:tcBorders>
            <w:shd w:val="clear" w:color="auto" w:fill="F4CACA" w:themeFill="accent5" w:themeFillTint="33"/>
            <w:noWrap/>
            <w:hideMark/>
          </w:tcPr>
          <w:p w14:paraId="70686A10" w14:textId="77777777" w:rsidR="00EC5DFB" w:rsidRPr="00EA2E57" w:rsidRDefault="00EC5DFB" w:rsidP="00EC5DFB">
            <w:pPr>
              <w:pStyle w:val="TableTextSmall"/>
              <w:keepNext/>
              <w:keepLines/>
              <w:jc w:val="center"/>
              <w:rPr>
                <w:rFonts w:ascii="Arial" w:hAnsi="Arial"/>
                <w:i/>
                <w:iCs/>
                <w:snapToGrid/>
                <w:color w:val="333333"/>
                <w:sz w:val="14"/>
                <w:szCs w:val="14"/>
                <w:lang w:eastAsia="en-AU"/>
              </w:rPr>
            </w:pPr>
            <w:r w:rsidRPr="00EA2E57">
              <w:rPr>
                <w:rFonts w:ascii="Arial" w:hAnsi="Arial"/>
                <w:i/>
                <w:sz w:val="14"/>
                <w:szCs w:val="14"/>
              </w:rPr>
              <w:t>2,134</w:t>
            </w:r>
          </w:p>
        </w:tc>
        <w:tc>
          <w:tcPr>
            <w:tcW w:w="993" w:type="dxa"/>
            <w:tcBorders>
              <w:top w:val="single" w:sz="4" w:space="0" w:color="E02628"/>
              <w:left w:val="nil"/>
              <w:bottom w:val="single" w:sz="4" w:space="0" w:color="E02628"/>
              <w:right w:val="nil"/>
            </w:tcBorders>
            <w:shd w:val="clear" w:color="auto" w:fill="F4CACA" w:themeFill="accent5" w:themeFillTint="33"/>
            <w:noWrap/>
            <w:hideMark/>
          </w:tcPr>
          <w:p w14:paraId="70B9CDF0" w14:textId="77777777" w:rsidR="00EC5DFB" w:rsidRPr="00EA2E57" w:rsidRDefault="00EC5DFB" w:rsidP="00EC5DFB">
            <w:pPr>
              <w:pStyle w:val="TableTextSmall"/>
              <w:keepNext/>
              <w:keepLines/>
              <w:jc w:val="center"/>
              <w:rPr>
                <w:rFonts w:ascii="Arial" w:hAnsi="Arial"/>
                <w:i/>
                <w:iCs/>
                <w:snapToGrid/>
                <w:color w:val="333333"/>
                <w:sz w:val="14"/>
                <w:szCs w:val="14"/>
                <w:lang w:eastAsia="en-AU"/>
              </w:rPr>
            </w:pPr>
            <w:r w:rsidRPr="00EA2E57">
              <w:rPr>
                <w:rFonts w:ascii="Arial" w:hAnsi="Arial"/>
                <w:i/>
                <w:sz w:val="14"/>
                <w:szCs w:val="14"/>
              </w:rPr>
              <w:t>13,606</w:t>
            </w:r>
          </w:p>
        </w:tc>
        <w:tc>
          <w:tcPr>
            <w:tcW w:w="925" w:type="dxa"/>
            <w:tcBorders>
              <w:top w:val="single" w:sz="4" w:space="0" w:color="E02628"/>
              <w:left w:val="nil"/>
              <w:bottom w:val="single" w:sz="4" w:space="0" w:color="E02628"/>
              <w:right w:val="nil"/>
            </w:tcBorders>
            <w:shd w:val="clear" w:color="auto" w:fill="F4CACA" w:themeFill="accent5" w:themeFillTint="33"/>
            <w:noWrap/>
            <w:hideMark/>
          </w:tcPr>
          <w:p w14:paraId="231E6035" w14:textId="77777777" w:rsidR="00EC5DFB" w:rsidRPr="00EA2E57" w:rsidRDefault="00EC5DFB" w:rsidP="00EC5DFB">
            <w:pPr>
              <w:pStyle w:val="TableTextSmall"/>
              <w:keepNext/>
              <w:keepLines/>
              <w:jc w:val="center"/>
              <w:rPr>
                <w:rFonts w:ascii="Arial" w:hAnsi="Arial"/>
                <w:i/>
                <w:iCs/>
                <w:snapToGrid/>
                <w:color w:val="333333"/>
                <w:sz w:val="14"/>
                <w:szCs w:val="14"/>
                <w:lang w:eastAsia="en-AU"/>
              </w:rPr>
            </w:pPr>
            <w:r w:rsidRPr="00EA2E57">
              <w:rPr>
                <w:rFonts w:ascii="Arial" w:hAnsi="Arial"/>
                <w:i/>
                <w:sz w:val="14"/>
                <w:szCs w:val="14"/>
              </w:rPr>
              <w:t>265</w:t>
            </w:r>
          </w:p>
        </w:tc>
        <w:tc>
          <w:tcPr>
            <w:tcW w:w="964" w:type="dxa"/>
            <w:tcBorders>
              <w:top w:val="single" w:sz="4" w:space="0" w:color="E02628"/>
              <w:left w:val="nil"/>
              <w:bottom w:val="single" w:sz="4" w:space="0" w:color="E02628"/>
              <w:right w:val="nil"/>
            </w:tcBorders>
            <w:shd w:val="clear" w:color="auto" w:fill="F4CACA" w:themeFill="accent5" w:themeFillTint="33"/>
          </w:tcPr>
          <w:p w14:paraId="73CBA5F2" w14:textId="325D9CDB" w:rsidR="00EC5DFB" w:rsidRPr="00AD21EE" w:rsidRDefault="00EC5DFB" w:rsidP="00AD21EE">
            <w:pPr>
              <w:pStyle w:val="TableTextSmall"/>
              <w:keepNext/>
              <w:keepLines/>
              <w:jc w:val="center"/>
              <w:rPr>
                <w:rFonts w:ascii="Arial" w:hAnsi="Arial"/>
                <w:sz w:val="14"/>
                <w:szCs w:val="14"/>
              </w:rPr>
            </w:pPr>
            <w:r w:rsidRPr="00AD21EE">
              <w:rPr>
                <w:rFonts w:ascii="Arial" w:hAnsi="Arial"/>
                <w:sz w:val="14"/>
                <w:szCs w:val="14"/>
              </w:rPr>
              <w:t>+</w:t>
            </w:r>
            <w:r w:rsidR="00AD21EE" w:rsidRPr="00AD21EE">
              <w:rPr>
                <w:rFonts w:ascii="Arial" w:hAnsi="Arial"/>
                <w:sz w:val="14"/>
                <w:szCs w:val="14"/>
              </w:rPr>
              <w:t>1.9</w:t>
            </w:r>
            <w:r w:rsidRPr="00AD21EE">
              <w:rPr>
                <w:rFonts w:ascii="Arial" w:hAnsi="Arial"/>
                <w:sz w:val="14"/>
                <w:szCs w:val="14"/>
              </w:rPr>
              <w:t>%</w:t>
            </w:r>
          </w:p>
        </w:tc>
        <w:tc>
          <w:tcPr>
            <w:tcW w:w="892" w:type="dxa"/>
            <w:tcBorders>
              <w:top w:val="single" w:sz="4" w:space="0" w:color="E02628"/>
              <w:left w:val="nil"/>
              <w:bottom w:val="single" w:sz="4" w:space="0" w:color="E02628"/>
              <w:right w:val="nil"/>
            </w:tcBorders>
            <w:shd w:val="clear" w:color="auto" w:fill="F4CACA" w:themeFill="accent5" w:themeFillTint="33"/>
            <w:noWrap/>
            <w:hideMark/>
          </w:tcPr>
          <w:p w14:paraId="5F5D9A02" w14:textId="2CDEA0CD" w:rsidR="00EC5DFB" w:rsidRPr="00EA2E57" w:rsidRDefault="00EC5DFB" w:rsidP="00EC5DFB">
            <w:pPr>
              <w:pStyle w:val="TableTextSmall"/>
              <w:keepNext/>
              <w:keepLines/>
              <w:jc w:val="center"/>
              <w:rPr>
                <w:rFonts w:ascii="Arial" w:hAnsi="Arial"/>
                <w:i/>
                <w:snapToGrid/>
                <w:color w:val="333333"/>
                <w:sz w:val="14"/>
                <w:szCs w:val="14"/>
                <w:lang w:eastAsia="en-AU"/>
              </w:rPr>
            </w:pPr>
            <w:r w:rsidRPr="00EA2E57">
              <w:rPr>
                <w:rFonts w:ascii="Arial" w:hAnsi="Arial"/>
                <w:i/>
                <w:sz w:val="14"/>
                <w:szCs w:val="14"/>
              </w:rPr>
              <w:t>20</w:t>
            </w:r>
          </w:p>
        </w:tc>
      </w:tr>
      <w:tr w:rsidR="00EC5DFB" w:rsidRPr="009210D0" w14:paraId="49CB4F84" w14:textId="77777777" w:rsidTr="00EC5DFB">
        <w:trPr>
          <w:trHeight w:val="227"/>
          <w:tblHeader/>
        </w:trPr>
        <w:tc>
          <w:tcPr>
            <w:tcW w:w="2750" w:type="dxa"/>
            <w:tcBorders>
              <w:top w:val="single" w:sz="4" w:space="0" w:color="E02628"/>
              <w:left w:val="nil"/>
              <w:bottom w:val="single" w:sz="4" w:space="0" w:color="E02628"/>
              <w:right w:val="nil"/>
            </w:tcBorders>
            <w:shd w:val="clear" w:color="auto" w:fill="E02628"/>
            <w:noWrap/>
            <w:vAlign w:val="center"/>
            <w:hideMark/>
          </w:tcPr>
          <w:p w14:paraId="157CE4D7" w14:textId="77777777" w:rsidR="00EC5DFB" w:rsidRPr="00B11441" w:rsidRDefault="00EC5DFB" w:rsidP="00EC5DFB">
            <w:pPr>
              <w:pStyle w:val="TableColumnHeadingSmall"/>
              <w:rPr>
                <w:rFonts w:cstheme="minorHAnsi"/>
                <w:snapToGrid/>
                <w:sz w:val="14"/>
                <w:szCs w:val="14"/>
                <w:lang w:eastAsia="en-AU"/>
              </w:rPr>
            </w:pPr>
            <w:r w:rsidRPr="00B11441">
              <w:rPr>
                <w:rFonts w:cstheme="minorHAnsi"/>
                <w:snapToGrid/>
                <w:sz w:val="14"/>
                <w:szCs w:val="14"/>
                <w:lang w:eastAsia="en-AU"/>
              </w:rPr>
              <w:t>Previous welfare recipients</w:t>
            </w:r>
          </w:p>
        </w:tc>
        <w:tc>
          <w:tcPr>
            <w:tcW w:w="1077" w:type="dxa"/>
            <w:tcBorders>
              <w:top w:val="single" w:sz="4" w:space="0" w:color="E02628"/>
              <w:left w:val="nil"/>
              <w:bottom w:val="single" w:sz="4" w:space="0" w:color="E02628"/>
              <w:right w:val="nil"/>
            </w:tcBorders>
            <w:shd w:val="clear" w:color="auto" w:fill="E02628"/>
            <w:noWrap/>
            <w:hideMark/>
          </w:tcPr>
          <w:p w14:paraId="7363D528" w14:textId="77777777" w:rsidR="00EC5DFB" w:rsidRPr="00EA2E57" w:rsidRDefault="00EC5DFB" w:rsidP="00EC5DFB">
            <w:pPr>
              <w:pStyle w:val="TableColumnHeadingSmall"/>
              <w:jc w:val="center"/>
              <w:rPr>
                <w:rFonts w:ascii="Arial" w:hAnsi="Arial"/>
                <w:snapToGrid/>
                <w:sz w:val="14"/>
                <w:szCs w:val="14"/>
                <w:lang w:eastAsia="en-AU"/>
              </w:rPr>
            </w:pPr>
          </w:p>
        </w:tc>
        <w:tc>
          <w:tcPr>
            <w:tcW w:w="907" w:type="dxa"/>
            <w:tcBorders>
              <w:top w:val="single" w:sz="4" w:space="0" w:color="E02628"/>
              <w:left w:val="nil"/>
              <w:bottom w:val="single" w:sz="4" w:space="0" w:color="E02628"/>
              <w:right w:val="nil"/>
            </w:tcBorders>
            <w:shd w:val="clear" w:color="auto" w:fill="E02628"/>
            <w:noWrap/>
            <w:hideMark/>
          </w:tcPr>
          <w:p w14:paraId="57F5638E" w14:textId="77777777" w:rsidR="00EC5DFB" w:rsidRPr="00EA2E57" w:rsidRDefault="00EC5DFB" w:rsidP="00EC5DFB">
            <w:pPr>
              <w:pStyle w:val="TableColumnHeadingSmall"/>
              <w:jc w:val="center"/>
              <w:rPr>
                <w:rFonts w:ascii="Arial" w:hAnsi="Arial"/>
                <w:snapToGrid/>
                <w:sz w:val="14"/>
                <w:szCs w:val="14"/>
                <w:lang w:eastAsia="en-AU"/>
              </w:rPr>
            </w:pPr>
          </w:p>
        </w:tc>
        <w:tc>
          <w:tcPr>
            <w:tcW w:w="855" w:type="dxa"/>
            <w:tcBorders>
              <w:top w:val="single" w:sz="4" w:space="0" w:color="E02628"/>
              <w:left w:val="nil"/>
              <w:bottom w:val="single" w:sz="4" w:space="0" w:color="E02628"/>
              <w:right w:val="nil"/>
            </w:tcBorders>
            <w:shd w:val="clear" w:color="auto" w:fill="E02628"/>
            <w:noWrap/>
            <w:hideMark/>
          </w:tcPr>
          <w:p w14:paraId="7BF91A85" w14:textId="77777777" w:rsidR="00EC5DFB" w:rsidRPr="00EA2E57" w:rsidRDefault="00EC5DFB" w:rsidP="00EC5DFB">
            <w:pPr>
              <w:pStyle w:val="TableColumnHeadingSmall"/>
              <w:jc w:val="center"/>
              <w:rPr>
                <w:rFonts w:ascii="Arial" w:hAnsi="Arial"/>
                <w:snapToGrid/>
                <w:sz w:val="14"/>
                <w:szCs w:val="14"/>
                <w:lang w:eastAsia="en-AU"/>
              </w:rPr>
            </w:pPr>
          </w:p>
        </w:tc>
        <w:tc>
          <w:tcPr>
            <w:tcW w:w="993" w:type="dxa"/>
            <w:tcBorders>
              <w:top w:val="single" w:sz="4" w:space="0" w:color="E02628"/>
              <w:left w:val="nil"/>
              <w:bottom w:val="single" w:sz="4" w:space="0" w:color="E02628"/>
              <w:right w:val="nil"/>
            </w:tcBorders>
            <w:shd w:val="clear" w:color="auto" w:fill="E02628"/>
            <w:noWrap/>
            <w:hideMark/>
          </w:tcPr>
          <w:p w14:paraId="1E7B5BA7" w14:textId="77777777" w:rsidR="00EC5DFB" w:rsidRPr="00EA2E57" w:rsidRDefault="00EC5DFB" w:rsidP="00EC5DFB">
            <w:pPr>
              <w:pStyle w:val="TableColumnHeadingSmall"/>
              <w:jc w:val="center"/>
              <w:rPr>
                <w:rFonts w:ascii="Arial" w:hAnsi="Arial"/>
                <w:snapToGrid/>
                <w:sz w:val="14"/>
                <w:szCs w:val="14"/>
                <w:lang w:eastAsia="en-AU"/>
              </w:rPr>
            </w:pPr>
          </w:p>
        </w:tc>
        <w:tc>
          <w:tcPr>
            <w:tcW w:w="925" w:type="dxa"/>
            <w:tcBorders>
              <w:top w:val="single" w:sz="4" w:space="0" w:color="E02628"/>
              <w:left w:val="nil"/>
              <w:bottom w:val="single" w:sz="4" w:space="0" w:color="E02628"/>
              <w:right w:val="nil"/>
            </w:tcBorders>
            <w:shd w:val="clear" w:color="auto" w:fill="E02628"/>
            <w:noWrap/>
            <w:hideMark/>
          </w:tcPr>
          <w:p w14:paraId="7D77C88A" w14:textId="77777777" w:rsidR="00EC5DFB" w:rsidRPr="00EA2E57" w:rsidRDefault="00EC5DFB" w:rsidP="00EC5DFB">
            <w:pPr>
              <w:pStyle w:val="TableColumnHeadingSmall"/>
              <w:jc w:val="center"/>
              <w:rPr>
                <w:rFonts w:ascii="Arial" w:hAnsi="Arial"/>
                <w:snapToGrid/>
                <w:sz w:val="14"/>
                <w:szCs w:val="14"/>
                <w:lang w:eastAsia="en-AU"/>
              </w:rPr>
            </w:pPr>
          </w:p>
        </w:tc>
        <w:tc>
          <w:tcPr>
            <w:tcW w:w="964" w:type="dxa"/>
            <w:tcBorders>
              <w:top w:val="single" w:sz="4" w:space="0" w:color="E02628"/>
              <w:left w:val="nil"/>
              <w:bottom w:val="single" w:sz="4" w:space="0" w:color="E02628"/>
              <w:right w:val="nil"/>
            </w:tcBorders>
            <w:shd w:val="clear" w:color="auto" w:fill="E02628"/>
          </w:tcPr>
          <w:p w14:paraId="29B65DCE" w14:textId="77777777" w:rsidR="00EC5DFB" w:rsidRPr="00AD21EE" w:rsidRDefault="00EC5DFB" w:rsidP="00EC5DFB">
            <w:pPr>
              <w:pStyle w:val="TableColumnHeadingSmall"/>
              <w:jc w:val="center"/>
              <w:rPr>
                <w:rFonts w:ascii="Arial" w:hAnsi="Arial"/>
                <w:sz w:val="14"/>
                <w:szCs w:val="14"/>
              </w:rPr>
            </w:pPr>
          </w:p>
        </w:tc>
        <w:tc>
          <w:tcPr>
            <w:tcW w:w="892" w:type="dxa"/>
            <w:tcBorders>
              <w:top w:val="single" w:sz="4" w:space="0" w:color="E02628"/>
              <w:left w:val="nil"/>
              <w:bottom w:val="single" w:sz="4" w:space="0" w:color="E02628"/>
              <w:right w:val="nil"/>
            </w:tcBorders>
            <w:shd w:val="clear" w:color="auto" w:fill="E02628"/>
            <w:noWrap/>
            <w:hideMark/>
          </w:tcPr>
          <w:p w14:paraId="77556325" w14:textId="66AA2E12" w:rsidR="00EC5DFB" w:rsidRPr="00EA2E57" w:rsidRDefault="00EC5DFB" w:rsidP="00EC5DFB">
            <w:pPr>
              <w:pStyle w:val="TableColumnHeadingSmall"/>
              <w:jc w:val="center"/>
              <w:rPr>
                <w:rFonts w:ascii="Arial" w:hAnsi="Arial"/>
                <w:snapToGrid/>
                <w:sz w:val="14"/>
                <w:szCs w:val="14"/>
                <w:lang w:eastAsia="en-AU"/>
              </w:rPr>
            </w:pPr>
          </w:p>
        </w:tc>
      </w:tr>
      <w:tr w:rsidR="00EC5DFB" w:rsidRPr="009210D0" w14:paraId="0B82B6E5" w14:textId="77777777" w:rsidTr="00EC5DFB">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17B6619C" w14:textId="77777777" w:rsidR="00EC5DFB" w:rsidRPr="00B11441" w:rsidRDefault="00EC5DFB" w:rsidP="00EC5DFB">
            <w:pPr>
              <w:pStyle w:val="TableTextSmall"/>
              <w:keepNext/>
              <w:keepLines/>
              <w:rPr>
                <w:rFonts w:cstheme="minorHAnsi"/>
                <w:snapToGrid/>
                <w:sz w:val="14"/>
                <w:szCs w:val="14"/>
                <w:lang w:eastAsia="en-AU"/>
              </w:rPr>
            </w:pPr>
            <w:r w:rsidRPr="00B11441">
              <w:rPr>
                <w:rFonts w:cstheme="minorHAnsi"/>
                <w:snapToGrid/>
                <w:sz w:val="14"/>
                <w:szCs w:val="14"/>
                <w:lang w:eastAsia="en-AU"/>
              </w:rPr>
              <w:t>- Exited 1-3 years</w:t>
            </w:r>
          </w:p>
        </w:tc>
        <w:tc>
          <w:tcPr>
            <w:tcW w:w="1077" w:type="dxa"/>
            <w:tcBorders>
              <w:top w:val="single" w:sz="4" w:space="0" w:color="E02628"/>
              <w:left w:val="nil"/>
              <w:bottom w:val="single" w:sz="4" w:space="0" w:color="E02628"/>
              <w:right w:val="nil"/>
            </w:tcBorders>
            <w:shd w:val="clear" w:color="000000" w:fill="FFFFFF"/>
            <w:noWrap/>
            <w:hideMark/>
          </w:tcPr>
          <w:p w14:paraId="4ACB4B4E" w14:textId="77777777" w:rsidR="00EC5DFB" w:rsidRPr="00EA2E57" w:rsidRDefault="00EC5DFB" w:rsidP="00EC5DFB">
            <w:pPr>
              <w:pStyle w:val="TableTextSmall"/>
              <w:keepNext/>
              <w:keepLines/>
              <w:jc w:val="center"/>
              <w:rPr>
                <w:rFonts w:ascii="Arial" w:hAnsi="Arial"/>
                <w:snapToGrid/>
                <w:sz w:val="14"/>
                <w:szCs w:val="14"/>
                <w:lang w:eastAsia="en-AU"/>
              </w:rPr>
            </w:pPr>
            <w:r w:rsidRPr="00EA2E57">
              <w:rPr>
                <w:rFonts w:ascii="Arial" w:hAnsi="Arial"/>
                <w:sz w:val="14"/>
                <w:szCs w:val="14"/>
              </w:rPr>
              <w:t>1,538,442</w:t>
            </w:r>
          </w:p>
        </w:tc>
        <w:tc>
          <w:tcPr>
            <w:tcW w:w="907" w:type="dxa"/>
            <w:tcBorders>
              <w:top w:val="single" w:sz="4" w:space="0" w:color="E02628"/>
              <w:left w:val="nil"/>
              <w:bottom w:val="single" w:sz="4" w:space="0" w:color="E02628"/>
              <w:right w:val="nil"/>
            </w:tcBorders>
            <w:shd w:val="clear" w:color="000000" w:fill="FFFFFF"/>
            <w:noWrap/>
            <w:hideMark/>
          </w:tcPr>
          <w:p w14:paraId="7414BA90" w14:textId="77777777" w:rsidR="00EC5DFB" w:rsidRPr="00EA2E57" w:rsidRDefault="00EC5DFB" w:rsidP="00EC5DFB">
            <w:pPr>
              <w:pStyle w:val="TableTextSmall"/>
              <w:keepNext/>
              <w:keepLines/>
              <w:jc w:val="center"/>
              <w:rPr>
                <w:rFonts w:ascii="Arial" w:hAnsi="Arial"/>
                <w:snapToGrid/>
                <w:sz w:val="14"/>
                <w:szCs w:val="14"/>
                <w:lang w:eastAsia="en-AU"/>
              </w:rPr>
            </w:pPr>
            <w:r w:rsidRPr="00EA2E57">
              <w:rPr>
                <w:rFonts w:ascii="Arial" w:hAnsi="Arial"/>
                <w:sz w:val="14"/>
                <w:szCs w:val="14"/>
              </w:rPr>
              <w:t>41</w:t>
            </w:r>
          </w:p>
        </w:tc>
        <w:tc>
          <w:tcPr>
            <w:tcW w:w="855" w:type="dxa"/>
            <w:tcBorders>
              <w:top w:val="single" w:sz="4" w:space="0" w:color="E02628"/>
              <w:left w:val="nil"/>
              <w:bottom w:val="single" w:sz="4" w:space="0" w:color="E02628"/>
              <w:right w:val="nil"/>
            </w:tcBorders>
            <w:shd w:val="clear" w:color="000000" w:fill="FFFFFF"/>
            <w:noWrap/>
            <w:hideMark/>
          </w:tcPr>
          <w:p w14:paraId="5A460E3D" w14:textId="77777777" w:rsidR="00EC5DFB" w:rsidRPr="00EA2E57" w:rsidRDefault="00EC5DFB" w:rsidP="00EC5DFB">
            <w:pPr>
              <w:pStyle w:val="TableTextSmall"/>
              <w:keepNext/>
              <w:keepLines/>
              <w:jc w:val="center"/>
              <w:rPr>
                <w:rFonts w:ascii="Arial" w:hAnsi="Arial"/>
                <w:snapToGrid/>
                <w:sz w:val="14"/>
                <w:szCs w:val="14"/>
                <w:lang w:eastAsia="en-AU"/>
              </w:rPr>
            </w:pPr>
            <w:r w:rsidRPr="00EA2E57">
              <w:rPr>
                <w:rFonts w:ascii="Arial" w:hAnsi="Arial"/>
                <w:sz w:val="14"/>
                <w:szCs w:val="14"/>
              </w:rPr>
              <w:t>274</w:t>
            </w:r>
          </w:p>
        </w:tc>
        <w:tc>
          <w:tcPr>
            <w:tcW w:w="993" w:type="dxa"/>
            <w:tcBorders>
              <w:top w:val="single" w:sz="4" w:space="0" w:color="E02628"/>
              <w:left w:val="nil"/>
              <w:bottom w:val="single" w:sz="4" w:space="0" w:color="E02628"/>
              <w:right w:val="nil"/>
            </w:tcBorders>
            <w:shd w:val="clear" w:color="000000" w:fill="FFFFFF"/>
            <w:noWrap/>
            <w:hideMark/>
          </w:tcPr>
          <w:p w14:paraId="4C9D119A" w14:textId="77777777" w:rsidR="00EC5DFB" w:rsidRPr="00EA2E57" w:rsidRDefault="00EC5DFB" w:rsidP="00EC5DFB">
            <w:pPr>
              <w:pStyle w:val="TableTextSmall"/>
              <w:keepNext/>
              <w:keepLines/>
              <w:jc w:val="center"/>
              <w:rPr>
                <w:rFonts w:ascii="Arial" w:hAnsi="Arial"/>
                <w:snapToGrid/>
                <w:sz w:val="14"/>
                <w:szCs w:val="14"/>
                <w:lang w:eastAsia="en-AU"/>
              </w:rPr>
            </w:pPr>
            <w:r w:rsidRPr="00EA2E57">
              <w:rPr>
                <w:rFonts w:ascii="Arial" w:hAnsi="Arial"/>
                <w:sz w:val="14"/>
                <w:szCs w:val="14"/>
              </w:rPr>
              <w:t>n/a</w:t>
            </w:r>
          </w:p>
        </w:tc>
        <w:tc>
          <w:tcPr>
            <w:tcW w:w="925" w:type="dxa"/>
            <w:tcBorders>
              <w:top w:val="single" w:sz="4" w:space="0" w:color="E02628"/>
              <w:left w:val="nil"/>
              <w:bottom w:val="single" w:sz="4" w:space="0" w:color="E02628"/>
              <w:right w:val="nil"/>
            </w:tcBorders>
            <w:shd w:val="clear" w:color="000000" w:fill="FFFFFF"/>
            <w:noWrap/>
            <w:hideMark/>
          </w:tcPr>
          <w:p w14:paraId="40B919D0" w14:textId="77777777" w:rsidR="00EC5DFB" w:rsidRPr="00EA2E57" w:rsidRDefault="00EC5DFB" w:rsidP="00EC5DFB">
            <w:pPr>
              <w:pStyle w:val="TableTextSmall"/>
              <w:keepNext/>
              <w:keepLines/>
              <w:jc w:val="center"/>
              <w:rPr>
                <w:rFonts w:ascii="Arial" w:hAnsi="Arial"/>
                <w:snapToGrid/>
                <w:sz w:val="14"/>
                <w:szCs w:val="14"/>
                <w:lang w:eastAsia="en-AU"/>
              </w:rPr>
            </w:pPr>
            <w:r w:rsidRPr="00EA2E57">
              <w:rPr>
                <w:rFonts w:ascii="Arial" w:hAnsi="Arial"/>
                <w:sz w:val="14"/>
                <w:szCs w:val="14"/>
              </w:rPr>
              <w:t>178</w:t>
            </w:r>
          </w:p>
        </w:tc>
        <w:tc>
          <w:tcPr>
            <w:tcW w:w="964" w:type="dxa"/>
            <w:tcBorders>
              <w:top w:val="single" w:sz="4" w:space="0" w:color="E02628"/>
              <w:left w:val="nil"/>
              <w:bottom w:val="single" w:sz="4" w:space="0" w:color="E02628"/>
              <w:right w:val="nil"/>
            </w:tcBorders>
            <w:shd w:val="clear" w:color="000000" w:fill="FFFFFF"/>
          </w:tcPr>
          <w:p w14:paraId="38FAAC04" w14:textId="320E6F06" w:rsidR="00EC5DFB" w:rsidRPr="00AD21EE" w:rsidRDefault="00AD21EE" w:rsidP="00EC5DFB">
            <w:pPr>
              <w:pStyle w:val="TableTextSmall"/>
              <w:keepNext/>
              <w:keepLines/>
              <w:jc w:val="center"/>
              <w:rPr>
                <w:rFonts w:ascii="Arial" w:hAnsi="Arial"/>
                <w:sz w:val="14"/>
                <w:szCs w:val="14"/>
              </w:rPr>
            </w:pPr>
            <w:r>
              <w:rPr>
                <w:rFonts w:ascii="Arial" w:hAnsi="Arial"/>
                <w:sz w:val="14"/>
                <w:szCs w:val="14"/>
              </w:rPr>
              <w:t>+4.5</w:t>
            </w:r>
            <w:r w:rsidR="0087053A" w:rsidRPr="00AD21EE">
              <w:rPr>
                <w:rFonts w:ascii="Arial" w:hAnsi="Arial"/>
                <w:sz w:val="14"/>
                <w:szCs w:val="14"/>
              </w:rPr>
              <w:t>%</w:t>
            </w:r>
          </w:p>
        </w:tc>
        <w:tc>
          <w:tcPr>
            <w:tcW w:w="892" w:type="dxa"/>
            <w:tcBorders>
              <w:top w:val="single" w:sz="4" w:space="0" w:color="E02628"/>
              <w:left w:val="nil"/>
              <w:bottom w:val="single" w:sz="4" w:space="0" w:color="E02628"/>
              <w:right w:val="nil"/>
            </w:tcBorders>
            <w:shd w:val="clear" w:color="000000" w:fill="FFFFFF"/>
            <w:noWrap/>
            <w:hideMark/>
          </w:tcPr>
          <w:p w14:paraId="18200460" w14:textId="54396593" w:rsidR="00EC5DFB" w:rsidRPr="00EA2E57" w:rsidRDefault="00EC5DFB" w:rsidP="00EC5DFB">
            <w:pPr>
              <w:pStyle w:val="TableTextSmall"/>
              <w:keepNext/>
              <w:keepLines/>
              <w:jc w:val="center"/>
              <w:rPr>
                <w:rFonts w:ascii="Arial" w:hAnsi="Arial"/>
                <w:snapToGrid/>
                <w:sz w:val="14"/>
                <w:szCs w:val="14"/>
                <w:lang w:eastAsia="en-AU"/>
              </w:rPr>
            </w:pPr>
            <w:r w:rsidRPr="00EA2E57">
              <w:rPr>
                <w:rFonts w:ascii="Arial" w:hAnsi="Arial"/>
                <w:sz w:val="14"/>
                <w:szCs w:val="14"/>
              </w:rPr>
              <w:t>n/a</w:t>
            </w:r>
          </w:p>
        </w:tc>
      </w:tr>
      <w:tr w:rsidR="00EC5DFB" w:rsidRPr="009210D0" w14:paraId="1B96F5F7" w14:textId="77777777" w:rsidTr="00EC5DFB">
        <w:trPr>
          <w:trHeight w:val="227"/>
          <w:tblHeader/>
        </w:trPr>
        <w:tc>
          <w:tcPr>
            <w:tcW w:w="2750" w:type="dxa"/>
            <w:tcBorders>
              <w:top w:val="single" w:sz="4" w:space="0" w:color="E02628"/>
              <w:left w:val="nil"/>
              <w:bottom w:val="single" w:sz="4" w:space="0" w:color="E02628"/>
              <w:right w:val="nil"/>
            </w:tcBorders>
            <w:shd w:val="clear" w:color="000000" w:fill="FFFFFF"/>
            <w:noWrap/>
            <w:vAlign w:val="center"/>
            <w:hideMark/>
          </w:tcPr>
          <w:p w14:paraId="30AF1C00" w14:textId="77777777" w:rsidR="00EC5DFB" w:rsidRPr="00B11441" w:rsidRDefault="00EC5DFB" w:rsidP="00EC5DFB">
            <w:pPr>
              <w:pStyle w:val="TableTextSmall"/>
              <w:keepNext/>
              <w:keepLines/>
              <w:rPr>
                <w:rFonts w:cstheme="minorHAnsi"/>
                <w:snapToGrid/>
                <w:sz w:val="14"/>
                <w:szCs w:val="14"/>
                <w:lang w:eastAsia="en-AU"/>
              </w:rPr>
            </w:pPr>
            <w:r w:rsidRPr="00B11441">
              <w:rPr>
                <w:rFonts w:cstheme="minorHAnsi"/>
                <w:snapToGrid/>
                <w:sz w:val="14"/>
                <w:szCs w:val="14"/>
                <w:lang w:eastAsia="en-AU"/>
              </w:rPr>
              <w:t>- Exited 4+ years</w:t>
            </w:r>
          </w:p>
        </w:tc>
        <w:tc>
          <w:tcPr>
            <w:tcW w:w="1077" w:type="dxa"/>
            <w:tcBorders>
              <w:top w:val="single" w:sz="4" w:space="0" w:color="E02628"/>
              <w:left w:val="nil"/>
              <w:bottom w:val="single" w:sz="4" w:space="0" w:color="E02628"/>
              <w:right w:val="nil"/>
            </w:tcBorders>
            <w:shd w:val="clear" w:color="000000" w:fill="FFFFFF"/>
            <w:noWrap/>
            <w:hideMark/>
          </w:tcPr>
          <w:p w14:paraId="48D1F74D" w14:textId="77777777" w:rsidR="00EC5DFB" w:rsidRPr="00EA2E57" w:rsidRDefault="00EC5DFB" w:rsidP="00EC5DFB">
            <w:pPr>
              <w:pStyle w:val="TableTextSmall"/>
              <w:keepNext/>
              <w:keepLines/>
              <w:jc w:val="center"/>
              <w:rPr>
                <w:rFonts w:ascii="Arial" w:hAnsi="Arial"/>
                <w:snapToGrid/>
                <w:sz w:val="14"/>
                <w:szCs w:val="14"/>
                <w:lang w:eastAsia="en-AU"/>
              </w:rPr>
            </w:pPr>
            <w:r w:rsidRPr="00EA2E57">
              <w:rPr>
                <w:rFonts w:ascii="Arial" w:hAnsi="Arial"/>
                <w:sz w:val="14"/>
                <w:szCs w:val="14"/>
              </w:rPr>
              <w:t>2,951,378</w:t>
            </w:r>
          </w:p>
        </w:tc>
        <w:tc>
          <w:tcPr>
            <w:tcW w:w="907" w:type="dxa"/>
            <w:tcBorders>
              <w:top w:val="single" w:sz="4" w:space="0" w:color="E02628"/>
              <w:left w:val="nil"/>
              <w:bottom w:val="single" w:sz="4" w:space="0" w:color="E02628"/>
              <w:right w:val="nil"/>
            </w:tcBorders>
            <w:shd w:val="clear" w:color="000000" w:fill="FFFFFF"/>
            <w:noWrap/>
            <w:hideMark/>
          </w:tcPr>
          <w:p w14:paraId="3A0933DE" w14:textId="77777777" w:rsidR="00EC5DFB" w:rsidRPr="00EA2E57" w:rsidRDefault="00EC5DFB" w:rsidP="00EC5DFB">
            <w:pPr>
              <w:pStyle w:val="TableTextSmall"/>
              <w:keepNext/>
              <w:keepLines/>
              <w:jc w:val="center"/>
              <w:rPr>
                <w:rFonts w:ascii="Arial" w:hAnsi="Arial"/>
                <w:snapToGrid/>
                <w:sz w:val="14"/>
                <w:szCs w:val="14"/>
                <w:lang w:eastAsia="en-AU"/>
              </w:rPr>
            </w:pPr>
            <w:r w:rsidRPr="00EA2E57">
              <w:rPr>
                <w:rFonts w:ascii="Arial" w:hAnsi="Arial"/>
                <w:sz w:val="14"/>
                <w:szCs w:val="14"/>
              </w:rPr>
              <w:t>47</w:t>
            </w:r>
          </w:p>
        </w:tc>
        <w:tc>
          <w:tcPr>
            <w:tcW w:w="855" w:type="dxa"/>
            <w:tcBorders>
              <w:top w:val="single" w:sz="4" w:space="0" w:color="E02628"/>
              <w:left w:val="nil"/>
              <w:bottom w:val="single" w:sz="4" w:space="0" w:color="E02628"/>
              <w:right w:val="nil"/>
            </w:tcBorders>
            <w:shd w:val="clear" w:color="000000" w:fill="FFFFFF"/>
            <w:noWrap/>
            <w:hideMark/>
          </w:tcPr>
          <w:p w14:paraId="0E179EE6" w14:textId="77777777" w:rsidR="00EC5DFB" w:rsidRPr="00EA2E57" w:rsidRDefault="00EC5DFB" w:rsidP="00EC5DFB">
            <w:pPr>
              <w:pStyle w:val="TableTextSmall"/>
              <w:keepNext/>
              <w:keepLines/>
              <w:jc w:val="center"/>
              <w:rPr>
                <w:rFonts w:ascii="Arial" w:hAnsi="Arial"/>
                <w:snapToGrid/>
                <w:sz w:val="14"/>
                <w:szCs w:val="14"/>
                <w:lang w:eastAsia="en-AU"/>
              </w:rPr>
            </w:pPr>
            <w:r w:rsidRPr="00EA2E57">
              <w:rPr>
                <w:rFonts w:ascii="Arial" w:hAnsi="Arial"/>
                <w:sz w:val="14"/>
                <w:szCs w:val="14"/>
              </w:rPr>
              <w:t>461</w:t>
            </w:r>
          </w:p>
        </w:tc>
        <w:tc>
          <w:tcPr>
            <w:tcW w:w="993" w:type="dxa"/>
            <w:tcBorders>
              <w:top w:val="single" w:sz="4" w:space="0" w:color="E02628"/>
              <w:left w:val="nil"/>
              <w:bottom w:val="single" w:sz="4" w:space="0" w:color="E02628"/>
              <w:right w:val="nil"/>
            </w:tcBorders>
            <w:shd w:val="clear" w:color="000000" w:fill="FFFFFF"/>
            <w:noWrap/>
            <w:hideMark/>
          </w:tcPr>
          <w:p w14:paraId="3B378977" w14:textId="77777777" w:rsidR="00EC5DFB" w:rsidRPr="00EA2E57" w:rsidRDefault="00EC5DFB" w:rsidP="00EC5DFB">
            <w:pPr>
              <w:pStyle w:val="TableTextSmall"/>
              <w:keepNext/>
              <w:keepLines/>
              <w:jc w:val="center"/>
              <w:rPr>
                <w:rFonts w:ascii="Arial" w:hAnsi="Arial"/>
                <w:snapToGrid/>
                <w:sz w:val="14"/>
                <w:szCs w:val="14"/>
                <w:lang w:eastAsia="en-AU"/>
              </w:rPr>
            </w:pPr>
            <w:r w:rsidRPr="00EA2E57">
              <w:rPr>
                <w:rFonts w:ascii="Arial" w:hAnsi="Arial"/>
                <w:sz w:val="14"/>
                <w:szCs w:val="14"/>
              </w:rPr>
              <w:t>n/a</w:t>
            </w:r>
          </w:p>
        </w:tc>
        <w:tc>
          <w:tcPr>
            <w:tcW w:w="925" w:type="dxa"/>
            <w:tcBorders>
              <w:top w:val="single" w:sz="4" w:space="0" w:color="E02628"/>
              <w:left w:val="nil"/>
              <w:bottom w:val="single" w:sz="4" w:space="0" w:color="E02628"/>
              <w:right w:val="nil"/>
            </w:tcBorders>
            <w:shd w:val="clear" w:color="000000" w:fill="FFFFFF"/>
            <w:noWrap/>
            <w:hideMark/>
          </w:tcPr>
          <w:p w14:paraId="5CA15EA3" w14:textId="77777777" w:rsidR="00EC5DFB" w:rsidRPr="00EA2E57" w:rsidRDefault="00EC5DFB" w:rsidP="00EC5DFB">
            <w:pPr>
              <w:pStyle w:val="TableTextSmall"/>
              <w:keepNext/>
              <w:keepLines/>
              <w:jc w:val="center"/>
              <w:rPr>
                <w:rFonts w:ascii="Arial" w:hAnsi="Arial"/>
                <w:snapToGrid/>
                <w:sz w:val="14"/>
                <w:szCs w:val="14"/>
                <w:lang w:eastAsia="en-AU"/>
              </w:rPr>
            </w:pPr>
            <w:r w:rsidRPr="00EA2E57">
              <w:rPr>
                <w:rFonts w:ascii="Arial" w:hAnsi="Arial"/>
                <w:sz w:val="14"/>
                <w:szCs w:val="14"/>
              </w:rPr>
              <w:t>156</w:t>
            </w:r>
          </w:p>
        </w:tc>
        <w:tc>
          <w:tcPr>
            <w:tcW w:w="964" w:type="dxa"/>
            <w:tcBorders>
              <w:top w:val="single" w:sz="4" w:space="0" w:color="E02628"/>
              <w:left w:val="nil"/>
              <w:bottom w:val="single" w:sz="4" w:space="0" w:color="E02628"/>
              <w:right w:val="nil"/>
            </w:tcBorders>
            <w:shd w:val="clear" w:color="000000" w:fill="FFFFFF"/>
          </w:tcPr>
          <w:p w14:paraId="11696FF2" w14:textId="39A5B868" w:rsidR="00EC5DFB" w:rsidRPr="00AD21EE" w:rsidRDefault="00AD21EE" w:rsidP="00EC5DFB">
            <w:pPr>
              <w:pStyle w:val="TableTextSmall"/>
              <w:keepNext/>
              <w:keepLines/>
              <w:jc w:val="center"/>
              <w:rPr>
                <w:rFonts w:ascii="Arial" w:hAnsi="Arial"/>
                <w:sz w:val="14"/>
                <w:szCs w:val="14"/>
              </w:rPr>
            </w:pPr>
            <w:r>
              <w:rPr>
                <w:rFonts w:ascii="Arial" w:hAnsi="Arial"/>
                <w:sz w:val="14"/>
                <w:szCs w:val="14"/>
              </w:rPr>
              <w:t>+5.2</w:t>
            </w:r>
            <w:r w:rsidR="0087053A" w:rsidRPr="00AD21EE">
              <w:rPr>
                <w:rFonts w:ascii="Arial" w:hAnsi="Arial"/>
                <w:sz w:val="14"/>
                <w:szCs w:val="14"/>
              </w:rPr>
              <w:t>%</w:t>
            </w:r>
          </w:p>
        </w:tc>
        <w:tc>
          <w:tcPr>
            <w:tcW w:w="892" w:type="dxa"/>
            <w:tcBorders>
              <w:top w:val="single" w:sz="4" w:space="0" w:color="E02628"/>
              <w:left w:val="nil"/>
              <w:bottom w:val="single" w:sz="4" w:space="0" w:color="E02628"/>
              <w:right w:val="nil"/>
            </w:tcBorders>
            <w:shd w:val="clear" w:color="000000" w:fill="FFFFFF"/>
            <w:noWrap/>
            <w:hideMark/>
          </w:tcPr>
          <w:p w14:paraId="35B88D33" w14:textId="03A5F9B6" w:rsidR="00EC5DFB" w:rsidRPr="00EA2E57" w:rsidRDefault="00EC5DFB" w:rsidP="00EC5DFB">
            <w:pPr>
              <w:pStyle w:val="TableTextSmall"/>
              <w:keepNext/>
              <w:keepLines/>
              <w:jc w:val="center"/>
              <w:rPr>
                <w:rFonts w:ascii="Arial" w:hAnsi="Arial"/>
                <w:snapToGrid/>
                <w:sz w:val="14"/>
                <w:szCs w:val="14"/>
                <w:lang w:eastAsia="en-AU"/>
              </w:rPr>
            </w:pPr>
            <w:r w:rsidRPr="00EA2E57">
              <w:rPr>
                <w:rFonts w:ascii="Arial" w:hAnsi="Arial"/>
                <w:sz w:val="14"/>
                <w:szCs w:val="14"/>
              </w:rPr>
              <w:t>n/a</w:t>
            </w:r>
          </w:p>
        </w:tc>
      </w:tr>
      <w:tr w:rsidR="00EC5DFB" w:rsidRPr="009210D0" w14:paraId="7372457B" w14:textId="77777777" w:rsidTr="00EC5DFB">
        <w:trPr>
          <w:trHeight w:val="227"/>
          <w:tblHeader/>
        </w:trPr>
        <w:tc>
          <w:tcPr>
            <w:tcW w:w="2750" w:type="dxa"/>
            <w:tcBorders>
              <w:top w:val="single" w:sz="4" w:space="0" w:color="E02628"/>
              <w:left w:val="nil"/>
              <w:bottom w:val="single" w:sz="4" w:space="0" w:color="E02628"/>
              <w:right w:val="nil"/>
            </w:tcBorders>
            <w:shd w:val="clear" w:color="auto" w:fill="F4CACA" w:themeFill="accent5" w:themeFillTint="33"/>
            <w:noWrap/>
            <w:vAlign w:val="center"/>
            <w:hideMark/>
          </w:tcPr>
          <w:p w14:paraId="0966B3DD" w14:textId="77777777" w:rsidR="00EC5DFB" w:rsidRPr="00B11441" w:rsidRDefault="00EC5DFB" w:rsidP="00EC5DFB">
            <w:pPr>
              <w:pStyle w:val="TableTextSmall"/>
              <w:keepNext/>
              <w:keepLines/>
              <w:rPr>
                <w:rFonts w:cstheme="minorHAnsi"/>
                <w:i/>
                <w:iCs/>
                <w:snapToGrid/>
                <w:sz w:val="14"/>
                <w:szCs w:val="14"/>
                <w:lang w:eastAsia="en-AU"/>
              </w:rPr>
            </w:pPr>
            <w:r w:rsidRPr="00B11441">
              <w:rPr>
                <w:rFonts w:cstheme="minorHAnsi"/>
                <w:i/>
                <w:iCs/>
                <w:snapToGrid/>
                <w:sz w:val="14"/>
                <w:szCs w:val="14"/>
                <w:lang w:eastAsia="en-AU"/>
              </w:rPr>
              <w:t>Total previous welfare recipients</w:t>
            </w:r>
          </w:p>
        </w:tc>
        <w:tc>
          <w:tcPr>
            <w:tcW w:w="1077" w:type="dxa"/>
            <w:tcBorders>
              <w:top w:val="single" w:sz="4" w:space="0" w:color="E02628"/>
              <w:left w:val="nil"/>
              <w:bottom w:val="single" w:sz="4" w:space="0" w:color="E02628"/>
              <w:right w:val="nil"/>
            </w:tcBorders>
            <w:shd w:val="clear" w:color="auto" w:fill="F4CACA" w:themeFill="accent5" w:themeFillTint="33"/>
            <w:noWrap/>
            <w:hideMark/>
          </w:tcPr>
          <w:p w14:paraId="440EE26D" w14:textId="77777777" w:rsidR="00EC5DFB" w:rsidRPr="00EA2E57" w:rsidRDefault="00EC5DFB" w:rsidP="00EC5DFB">
            <w:pPr>
              <w:pStyle w:val="TableTextSmall"/>
              <w:keepNext/>
              <w:keepLines/>
              <w:jc w:val="center"/>
              <w:rPr>
                <w:rFonts w:ascii="Arial" w:hAnsi="Arial"/>
                <w:i/>
                <w:iCs/>
                <w:snapToGrid/>
                <w:sz w:val="14"/>
                <w:szCs w:val="14"/>
                <w:lang w:eastAsia="en-AU"/>
              </w:rPr>
            </w:pPr>
            <w:r w:rsidRPr="00EA2E57">
              <w:rPr>
                <w:rFonts w:ascii="Arial" w:hAnsi="Arial"/>
                <w:i/>
                <w:sz w:val="14"/>
                <w:szCs w:val="14"/>
              </w:rPr>
              <w:t>4,489,820</w:t>
            </w:r>
          </w:p>
        </w:tc>
        <w:tc>
          <w:tcPr>
            <w:tcW w:w="907" w:type="dxa"/>
            <w:tcBorders>
              <w:top w:val="single" w:sz="4" w:space="0" w:color="E02628"/>
              <w:left w:val="nil"/>
              <w:bottom w:val="single" w:sz="4" w:space="0" w:color="E02628"/>
              <w:right w:val="nil"/>
            </w:tcBorders>
            <w:shd w:val="clear" w:color="auto" w:fill="F4CACA" w:themeFill="accent5" w:themeFillTint="33"/>
            <w:noWrap/>
            <w:hideMark/>
          </w:tcPr>
          <w:p w14:paraId="0A1151D5" w14:textId="77777777" w:rsidR="00EC5DFB" w:rsidRPr="00EA2E57" w:rsidRDefault="00EC5DFB" w:rsidP="00EC5DFB">
            <w:pPr>
              <w:pStyle w:val="TableTextSmall"/>
              <w:keepNext/>
              <w:keepLines/>
              <w:jc w:val="center"/>
              <w:rPr>
                <w:rFonts w:ascii="Arial" w:hAnsi="Arial"/>
                <w:i/>
                <w:iCs/>
                <w:snapToGrid/>
                <w:sz w:val="14"/>
                <w:szCs w:val="14"/>
                <w:lang w:eastAsia="en-AU"/>
              </w:rPr>
            </w:pPr>
            <w:r w:rsidRPr="00EA2E57">
              <w:rPr>
                <w:rFonts w:ascii="Arial" w:hAnsi="Arial"/>
                <w:i/>
                <w:sz w:val="14"/>
                <w:szCs w:val="14"/>
              </w:rPr>
              <w:t>45</w:t>
            </w:r>
          </w:p>
        </w:tc>
        <w:tc>
          <w:tcPr>
            <w:tcW w:w="855" w:type="dxa"/>
            <w:tcBorders>
              <w:top w:val="single" w:sz="4" w:space="0" w:color="E02628"/>
              <w:left w:val="nil"/>
              <w:bottom w:val="single" w:sz="4" w:space="0" w:color="E02628"/>
              <w:right w:val="nil"/>
            </w:tcBorders>
            <w:shd w:val="clear" w:color="auto" w:fill="F4CACA" w:themeFill="accent5" w:themeFillTint="33"/>
            <w:noWrap/>
            <w:hideMark/>
          </w:tcPr>
          <w:p w14:paraId="557D10E0" w14:textId="77777777" w:rsidR="00EC5DFB" w:rsidRPr="00EA2E57" w:rsidRDefault="00EC5DFB" w:rsidP="00EC5DFB">
            <w:pPr>
              <w:pStyle w:val="TableTextSmall"/>
              <w:keepNext/>
              <w:keepLines/>
              <w:jc w:val="center"/>
              <w:rPr>
                <w:rFonts w:ascii="Arial" w:hAnsi="Arial"/>
                <w:i/>
                <w:iCs/>
                <w:snapToGrid/>
                <w:sz w:val="14"/>
                <w:szCs w:val="14"/>
                <w:lang w:eastAsia="en-AU"/>
              </w:rPr>
            </w:pPr>
            <w:r w:rsidRPr="00EA2E57">
              <w:rPr>
                <w:rFonts w:ascii="Arial" w:hAnsi="Arial"/>
                <w:i/>
                <w:sz w:val="14"/>
                <w:szCs w:val="14"/>
              </w:rPr>
              <w:t>735</w:t>
            </w:r>
          </w:p>
        </w:tc>
        <w:tc>
          <w:tcPr>
            <w:tcW w:w="993" w:type="dxa"/>
            <w:tcBorders>
              <w:top w:val="single" w:sz="4" w:space="0" w:color="E02628"/>
              <w:left w:val="nil"/>
              <w:bottom w:val="single" w:sz="4" w:space="0" w:color="E02628"/>
              <w:right w:val="nil"/>
            </w:tcBorders>
            <w:shd w:val="clear" w:color="auto" w:fill="F4CACA" w:themeFill="accent5" w:themeFillTint="33"/>
            <w:noWrap/>
            <w:hideMark/>
          </w:tcPr>
          <w:p w14:paraId="39FD3991" w14:textId="77777777" w:rsidR="00EC5DFB" w:rsidRPr="00EA2E57" w:rsidRDefault="00EC5DFB" w:rsidP="00EC5DFB">
            <w:pPr>
              <w:pStyle w:val="TableTextSmall"/>
              <w:keepNext/>
              <w:keepLines/>
              <w:jc w:val="center"/>
              <w:rPr>
                <w:rFonts w:ascii="Arial" w:hAnsi="Arial"/>
                <w:i/>
                <w:snapToGrid/>
                <w:sz w:val="14"/>
                <w:szCs w:val="14"/>
                <w:lang w:eastAsia="en-AU"/>
              </w:rPr>
            </w:pPr>
            <w:r w:rsidRPr="00EA2E57">
              <w:rPr>
                <w:rFonts w:ascii="Arial" w:hAnsi="Arial"/>
                <w:i/>
                <w:sz w:val="14"/>
                <w:szCs w:val="14"/>
              </w:rPr>
              <w:t>n/a</w:t>
            </w:r>
          </w:p>
        </w:tc>
        <w:tc>
          <w:tcPr>
            <w:tcW w:w="925" w:type="dxa"/>
            <w:tcBorders>
              <w:top w:val="single" w:sz="4" w:space="0" w:color="E02628"/>
              <w:left w:val="nil"/>
              <w:bottom w:val="single" w:sz="4" w:space="0" w:color="E02628"/>
              <w:right w:val="nil"/>
            </w:tcBorders>
            <w:shd w:val="clear" w:color="auto" w:fill="F4CACA" w:themeFill="accent5" w:themeFillTint="33"/>
            <w:noWrap/>
            <w:hideMark/>
          </w:tcPr>
          <w:p w14:paraId="4296417F" w14:textId="77777777" w:rsidR="00EC5DFB" w:rsidRPr="00EA2E57" w:rsidRDefault="00EC5DFB" w:rsidP="00EC5DFB">
            <w:pPr>
              <w:pStyle w:val="TableTextSmall"/>
              <w:keepNext/>
              <w:keepLines/>
              <w:jc w:val="center"/>
              <w:rPr>
                <w:rFonts w:ascii="Arial" w:hAnsi="Arial"/>
                <w:i/>
                <w:iCs/>
                <w:snapToGrid/>
                <w:sz w:val="14"/>
                <w:szCs w:val="14"/>
                <w:lang w:eastAsia="en-AU"/>
              </w:rPr>
            </w:pPr>
            <w:r w:rsidRPr="00EA2E57">
              <w:rPr>
                <w:rFonts w:ascii="Arial" w:hAnsi="Arial"/>
                <w:i/>
                <w:sz w:val="14"/>
                <w:szCs w:val="14"/>
              </w:rPr>
              <w:t>164</w:t>
            </w:r>
          </w:p>
        </w:tc>
        <w:tc>
          <w:tcPr>
            <w:tcW w:w="964" w:type="dxa"/>
            <w:tcBorders>
              <w:top w:val="single" w:sz="4" w:space="0" w:color="E02628"/>
              <w:left w:val="nil"/>
              <w:bottom w:val="single" w:sz="4" w:space="0" w:color="E02628"/>
              <w:right w:val="nil"/>
            </w:tcBorders>
            <w:shd w:val="clear" w:color="auto" w:fill="F4CACA" w:themeFill="accent5" w:themeFillTint="33"/>
          </w:tcPr>
          <w:p w14:paraId="149E0C41" w14:textId="3246A6D7" w:rsidR="00EC5DFB" w:rsidRPr="00AD21EE" w:rsidRDefault="00EC5DFB" w:rsidP="0087053A">
            <w:pPr>
              <w:pStyle w:val="TableTextSmall"/>
              <w:keepNext/>
              <w:keepLines/>
              <w:jc w:val="center"/>
              <w:rPr>
                <w:rFonts w:ascii="Arial" w:hAnsi="Arial"/>
                <w:sz w:val="14"/>
                <w:szCs w:val="14"/>
              </w:rPr>
            </w:pPr>
            <w:r w:rsidRPr="00AD21EE">
              <w:rPr>
                <w:rFonts w:ascii="Arial" w:hAnsi="Arial"/>
                <w:sz w:val="14"/>
                <w:szCs w:val="14"/>
              </w:rPr>
              <w:t>+</w:t>
            </w:r>
            <w:r w:rsidR="00D566BF">
              <w:rPr>
                <w:rFonts w:ascii="Arial" w:hAnsi="Arial"/>
                <w:sz w:val="14"/>
                <w:szCs w:val="14"/>
              </w:rPr>
              <w:t>5.3</w:t>
            </w:r>
            <w:r w:rsidRPr="00AD21EE">
              <w:rPr>
                <w:rFonts w:ascii="Arial" w:hAnsi="Arial"/>
                <w:sz w:val="14"/>
                <w:szCs w:val="14"/>
              </w:rPr>
              <w:t>%</w:t>
            </w:r>
          </w:p>
        </w:tc>
        <w:tc>
          <w:tcPr>
            <w:tcW w:w="892" w:type="dxa"/>
            <w:tcBorders>
              <w:top w:val="single" w:sz="4" w:space="0" w:color="E02628"/>
              <w:left w:val="nil"/>
              <w:bottom w:val="single" w:sz="4" w:space="0" w:color="E02628"/>
              <w:right w:val="nil"/>
            </w:tcBorders>
            <w:shd w:val="clear" w:color="auto" w:fill="F4CACA" w:themeFill="accent5" w:themeFillTint="33"/>
            <w:noWrap/>
            <w:hideMark/>
          </w:tcPr>
          <w:p w14:paraId="195B8C77" w14:textId="14F84C91" w:rsidR="00EC5DFB" w:rsidRPr="00EA2E57" w:rsidRDefault="00EC5DFB" w:rsidP="00EC5DFB">
            <w:pPr>
              <w:pStyle w:val="TableTextSmall"/>
              <w:keepNext/>
              <w:keepLines/>
              <w:jc w:val="center"/>
              <w:rPr>
                <w:rFonts w:ascii="Arial" w:hAnsi="Arial"/>
                <w:i/>
                <w:snapToGrid/>
                <w:sz w:val="14"/>
                <w:szCs w:val="14"/>
                <w:lang w:eastAsia="en-AU"/>
              </w:rPr>
            </w:pPr>
            <w:r w:rsidRPr="00EA2E57">
              <w:rPr>
                <w:rFonts w:ascii="Arial" w:hAnsi="Arial"/>
                <w:i/>
                <w:sz w:val="14"/>
                <w:szCs w:val="14"/>
              </w:rPr>
              <w:t>n/a</w:t>
            </w:r>
          </w:p>
        </w:tc>
      </w:tr>
      <w:tr w:rsidR="00EC5DFB" w:rsidRPr="009210D0" w14:paraId="1CFE58A7" w14:textId="77777777" w:rsidTr="00EC5DFB">
        <w:trPr>
          <w:trHeight w:val="227"/>
          <w:tblHeader/>
        </w:trPr>
        <w:tc>
          <w:tcPr>
            <w:tcW w:w="2750" w:type="dxa"/>
            <w:tcBorders>
              <w:top w:val="single" w:sz="4" w:space="0" w:color="E02628"/>
              <w:left w:val="nil"/>
              <w:bottom w:val="single" w:sz="4" w:space="0" w:color="E02628"/>
              <w:right w:val="nil"/>
            </w:tcBorders>
            <w:shd w:val="clear" w:color="auto" w:fill="E02628"/>
            <w:noWrap/>
            <w:vAlign w:val="center"/>
            <w:hideMark/>
          </w:tcPr>
          <w:p w14:paraId="01E06AFC" w14:textId="77777777" w:rsidR="00EC5DFB" w:rsidRPr="00B11441" w:rsidRDefault="00EC5DFB" w:rsidP="00EC5DFB">
            <w:pPr>
              <w:pStyle w:val="TableColumnHeadingSmall"/>
              <w:rPr>
                <w:rFonts w:cstheme="minorHAnsi"/>
                <w:snapToGrid/>
                <w:sz w:val="14"/>
                <w:szCs w:val="14"/>
                <w:lang w:eastAsia="en-AU"/>
              </w:rPr>
            </w:pPr>
            <w:r w:rsidRPr="00B11441">
              <w:rPr>
                <w:rFonts w:cstheme="minorHAnsi"/>
                <w:snapToGrid/>
                <w:sz w:val="14"/>
                <w:szCs w:val="14"/>
                <w:lang w:eastAsia="en-AU"/>
              </w:rPr>
              <w:t>Rest of Australian resident population</w:t>
            </w:r>
          </w:p>
        </w:tc>
        <w:tc>
          <w:tcPr>
            <w:tcW w:w="1077" w:type="dxa"/>
            <w:tcBorders>
              <w:top w:val="single" w:sz="4" w:space="0" w:color="E02628"/>
              <w:left w:val="nil"/>
              <w:bottom w:val="single" w:sz="4" w:space="0" w:color="E02628"/>
              <w:right w:val="nil"/>
            </w:tcBorders>
            <w:shd w:val="clear" w:color="auto" w:fill="E02628"/>
            <w:noWrap/>
            <w:hideMark/>
          </w:tcPr>
          <w:p w14:paraId="1974FD39" w14:textId="77777777" w:rsidR="00EC5DFB" w:rsidRPr="00EA2E57" w:rsidRDefault="00EC5DFB" w:rsidP="00EC5DFB">
            <w:pPr>
              <w:pStyle w:val="TableColumnHeadingSmall"/>
              <w:jc w:val="center"/>
              <w:rPr>
                <w:rFonts w:ascii="Arial" w:hAnsi="Arial"/>
                <w:snapToGrid/>
                <w:sz w:val="14"/>
                <w:szCs w:val="14"/>
                <w:lang w:eastAsia="en-AU"/>
              </w:rPr>
            </w:pPr>
          </w:p>
        </w:tc>
        <w:tc>
          <w:tcPr>
            <w:tcW w:w="907" w:type="dxa"/>
            <w:tcBorders>
              <w:top w:val="single" w:sz="4" w:space="0" w:color="E02628"/>
              <w:left w:val="nil"/>
              <w:bottom w:val="single" w:sz="4" w:space="0" w:color="E02628"/>
              <w:right w:val="nil"/>
            </w:tcBorders>
            <w:shd w:val="clear" w:color="auto" w:fill="E02628"/>
            <w:noWrap/>
            <w:hideMark/>
          </w:tcPr>
          <w:p w14:paraId="3823259D" w14:textId="77777777" w:rsidR="00EC5DFB" w:rsidRPr="00EA2E57" w:rsidRDefault="00EC5DFB" w:rsidP="00EC5DFB">
            <w:pPr>
              <w:pStyle w:val="TableColumnHeadingSmall"/>
              <w:jc w:val="center"/>
              <w:rPr>
                <w:rFonts w:ascii="Arial" w:hAnsi="Arial"/>
                <w:snapToGrid/>
                <w:sz w:val="14"/>
                <w:szCs w:val="14"/>
                <w:lang w:eastAsia="en-AU"/>
              </w:rPr>
            </w:pPr>
          </w:p>
        </w:tc>
        <w:tc>
          <w:tcPr>
            <w:tcW w:w="855" w:type="dxa"/>
            <w:tcBorders>
              <w:top w:val="single" w:sz="4" w:space="0" w:color="E02628"/>
              <w:left w:val="nil"/>
              <w:bottom w:val="single" w:sz="4" w:space="0" w:color="E02628"/>
              <w:right w:val="nil"/>
            </w:tcBorders>
            <w:shd w:val="clear" w:color="auto" w:fill="E02628"/>
            <w:noWrap/>
            <w:hideMark/>
          </w:tcPr>
          <w:p w14:paraId="3766C177" w14:textId="77777777" w:rsidR="00EC5DFB" w:rsidRPr="00EA2E57" w:rsidRDefault="00EC5DFB" w:rsidP="00EC5DFB">
            <w:pPr>
              <w:pStyle w:val="TableColumnHeadingSmall"/>
              <w:jc w:val="center"/>
              <w:rPr>
                <w:rFonts w:ascii="Arial" w:hAnsi="Arial"/>
                <w:snapToGrid/>
                <w:sz w:val="14"/>
                <w:szCs w:val="14"/>
                <w:lang w:eastAsia="en-AU"/>
              </w:rPr>
            </w:pPr>
          </w:p>
        </w:tc>
        <w:tc>
          <w:tcPr>
            <w:tcW w:w="993" w:type="dxa"/>
            <w:tcBorders>
              <w:top w:val="single" w:sz="4" w:space="0" w:color="E02628"/>
              <w:left w:val="nil"/>
              <w:bottom w:val="single" w:sz="4" w:space="0" w:color="E02628"/>
              <w:right w:val="nil"/>
            </w:tcBorders>
            <w:shd w:val="clear" w:color="auto" w:fill="E02628"/>
            <w:noWrap/>
            <w:hideMark/>
          </w:tcPr>
          <w:p w14:paraId="7C18CC5E" w14:textId="77777777" w:rsidR="00EC5DFB" w:rsidRPr="00EA2E57" w:rsidRDefault="00EC5DFB" w:rsidP="00EC5DFB">
            <w:pPr>
              <w:pStyle w:val="TableColumnHeadingSmall"/>
              <w:jc w:val="center"/>
              <w:rPr>
                <w:rFonts w:ascii="Arial" w:hAnsi="Arial"/>
                <w:snapToGrid/>
                <w:sz w:val="14"/>
                <w:szCs w:val="14"/>
                <w:lang w:eastAsia="en-AU"/>
              </w:rPr>
            </w:pPr>
          </w:p>
        </w:tc>
        <w:tc>
          <w:tcPr>
            <w:tcW w:w="925" w:type="dxa"/>
            <w:tcBorders>
              <w:top w:val="single" w:sz="4" w:space="0" w:color="E02628"/>
              <w:left w:val="nil"/>
              <w:bottom w:val="single" w:sz="4" w:space="0" w:color="E02628"/>
              <w:right w:val="nil"/>
            </w:tcBorders>
            <w:shd w:val="clear" w:color="auto" w:fill="E02628"/>
            <w:noWrap/>
            <w:hideMark/>
          </w:tcPr>
          <w:p w14:paraId="5E651FB1" w14:textId="77777777" w:rsidR="00EC5DFB" w:rsidRPr="00EA2E57" w:rsidRDefault="00EC5DFB" w:rsidP="00EC5DFB">
            <w:pPr>
              <w:pStyle w:val="TableColumnHeadingSmall"/>
              <w:jc w:val="center"/>
              <w:rPr>
                <w:rFonts w:ascii="Arial" w:hAnsi="Arial"/>
                <w:snapToGrid/>
                <w:sz w:val="14"/>
                <w:szCs w:val="14"/>
                <w:lang w:eastAsia="en-AU"/>
              </w:rPr>
            </w:pPr>
          </w:p>
        </w:tc>
        <w:tc>
          <w:tcPr>
            <w:tcW w:w="964" w:type="dxa"/>
            <w:tcBorders>
              <w:top w:val="single" w:sz="4" w:space="0" w:color="E02628"/>
              <w:left w:val="nil"/>
              <w:bottom w:val="single" w:sz="4" w:space="0" w:color="E02628"/>
              <w:right w:val="nil"/>
            </w:tcBorders>
            <w:shd w:val="clear" w:color="auto" w:fill="E02628"/>
          </w:tcPr>
          <w:p w14:paraId="1935E570" w14:textId="66BDC85C" w:rsidR="00EC5DFB" w:rsidRPr="00AD21EE" w:rsidRDefault="00EC5DFB" w:rsidP="00EC5DFB">
            <w:pPr>
              <w:pStyle w:val="TableColumnHeadingSmall"/>
              <w:jc w:val="center"/>
              <w:rPr>
                <w:rFonts w:ascii="Arial" w:hAnsi="Arial"/>
                <w:sz w:val="14"/>
                <w:szCs w:val="14"/>
              </w:rPr>
            </w:pPr>
          </w:p>
        </w:tc>
        <w:tc>
          <w:tcPr>
            <w:tcW w:w="892" w:type="dxa"/>
            <w:tcBorders>
              <w:top w:val="single" w:sz="4" w:space="0" w:color="E02628"/>
              <w:left w:val="nil"/>
              <w:bottom w:val="single" w:sz="4" w:space="0" w:color="E02628"/>
              <w:right w:val="nil"/>
            </w:tcBorders>
            <w:shd w:val="clear" w:color="auto" w:fill="E02628"/>
            <w:noWrap/>
            <w:hideMark/>
          </w:tcPr>
          <w:p w14:paraId="687DB8B8" w14:textId="0E48C839" w:rsidR="00EC5DFB" w:rsidRPr="00EA2E57" w:rsidRDefault="00EC5DFB" w:rsidP="00EC5DFB">
            <w:pPr>
              <w:pStyle w:val="TableColumnHeadingSmall"/>
              <w:jc w:val="center"/>
              <w:rPr>
                <w:rFonts w:ascii="Arial" w:hAnsi="Arial"/>
                <w:snapToGrid/>
                <w:sz w:val="14"/>
                <w:szCs w:val="14"/>
                <w:lang w:eastAsia="en-AU"/>
              </w:rPr>
            </w:pPr>
          </w:p>
        </w:tc>
      </w:tr>
      <w:tr w:rsidR="00EC5DFB" w:rsidRPr="009210D0" w14:paraId="411EB8D1" w14:textId="77777777" w:rsidTr="00EC5DFB">
        <w:trPr>
          <w:trHeight w:val="227"/>
          <w:tblHeader/>
        </w:trPr>
        <w:tc>
          <w:tcPr>
            <w:tcW w:w="2750" w:type="dxa"/>
            <w:tcBorders>
              <w:top w:val="single" w:sz="4" w:space="0" w:color="E02628"/>
              <w:left w:val="nil"/>
              <w:bottom w:val="single" w:sz="4" w:space="0" w:color="E02628"/>
              <w:right w:val="nil"/>
            </w:tcBorders>
            <w:shd w:val="clear" w:color="auto" w:fill="F4CACA" w:themeFill="accent5" w:themeFillTint="33"/>
            <w:noWrap/>
            <w:vAlign w:val="center"/>
            <w:hideMark/>
          </w:tcPr>
          <w:p w14:paraId="649BC5B3" w14:textId="77777777" w:rsidR="00EC5DFB" w:rsidRPr="00B11441" w:rsidRDefault="00EC5DFB" w:rsidP="00EC5DFB">
            <w:pPr>
              <w:pStyle w:val="TableTextSmall"/>
              <w:keepNext/>
              <w:keepLines/>
              <w:rPr>
                <w:rFonts w:cstheme="minorHAnsi"/>
                <w:i/>
                <w:snapToGrid/>
                <w:sz w:val="14"/>
                <w:szCs w:val="14"/>
                <w:lang w:eastAsia="en-AU"/>
              </w:rPr>
            </w:pPr>
            <w:r w:rsidRPr="00B11441">
              <w:rPr>
                <w:rFonts w:cstheme="minorHAnsi"/>
                <w:i/>
                <w:snapToGrid/>
                <w:sz w:val="14"/>
                <w:szCs w:val="14"/>
                <w:lang w:eastAsia="en-AU"/>
              </w:rPr>
              <w:t>- Rest of Australian resident population</w:t>
            </w:r>
          </w:p>
        </w:tc>
        <w:tc>
          <w:tcPr>
            <w:tcW w:w="1077" w:type="dxa"/>
            <w:tcBorders>
              <w:top w:val="single" w:sz="4" w:space="0" w:color="E02628"/>
              <w:left w:val="nil"/>
              <w:bottom w:val="single" w:sz="4" w:space="0" w:color="E02628"/>
              <w:right w:val="nil"/>
            </w:tcBorders>
            <w:shd w:val="clear" w:color="auto" w:fill="F4CACA" w:themeFill="accent5" w:themeFillTint="33"/>
            <w:noWrap/>
            <w:vAlign w:val="center"/>
            <w:hideMark/>
          </w:tcPr>
          <w:p w14:paraId="46FC455C" w14:textId="77777777" w:rsidR="00EC5DFB" w:rsidRPr="00EA2E57" w:rsidRDefault="00EC5DFB" w:rsidP="00EC5DFB">
            <w:pPr>
              <w:pStyle w:val="TableTextSmall"/>
              <w:keepNext/>
              <w:keepLines/>
              <w:jc w:val="center"/>
              <w:rPr>
                <w:rFonts w:ascii="Arial" w:hAnsi="Arial"/>
                <w:i/>
                <w:snapToGrid/>
                <w:sz w:val="14"/>
                <w:szCs w:val="14"/>
                <w:lang w:eastAsia="en-AU"/>
              </w:rPr>
            </w:pPr>
            <w:r w:rsidRPr="00EA2E57">
              <w:rPr>
                <w:rFonts w:ascii="Arial" w:hAnsi="Arial"/>
                <w:i/>
                <w:sz w:val="14"/>
                <w:szCs w:val="14"/>
              </w:rPr>
              <w:t>12,122,461</w:t>
            </w:r>
          </w:p>
        </w:tc>
        <w:tc>
          <w:tcPr>
            <w:tcW w:w="907" w:type="dxa"/>
            <w:tcBorders>
              <w:top w:val="single" w:sz="4" w:space="0" w:color="E02628"/>
              <w:left w:val="nil"/>
              <w:bottom w:val="single" w:sz="4" w:space="0" w:color="E02628"/>
              <w:right w:val="nil"/>
            </w:tcBorders>
            <w:shd w:val="clear" w:color="auto" w:fill="F4CACA" w:themeFill="accent5" w:themeFillTint="33"/>
            <w:noWrap/>
            <w:vAlign w:val="center"/>
            <w:hideMark/>
          </w:tcPr>
          <w:p w14:paraId="56FDB263" w14:textId="77777777" w:rsidR="00EC5DFB" w:rsidRPr="00EA2E57" w:rsidRDefault="00EC5DFB" w:rsidP="00EC5DFB">
            <w:pPr>
              <w:pStyle w:val="TableTextSmall"/>
              <w:keepNext/>
              <w:keepLines/>
              <w:jc w:val="center"/>
              <w:rPr>
                <w:rFonts w:ascii="Arial" w:hAnsi="Arial"/>
                <w:i/>
                <w:snapToGrid/>
                <w:sz w:val="14"/>
                <w:szCs w:val="14"/>
                <w:lang w:eastAsia="en-AU"/>
              </w:rPr>
            </w:pPr>
            <w:r w:rsidRPr="00EA2E57">
              <w:rPr>
                <w:rFonts w:ascii="Arial" w:hAnsi="Arial"/>
                <w:i/>
                <w:sz w:val="14"/>
                <w:szCs w:val="14"/>
              </w:rPr>
              <w:t>28</w:t>
            </w:r>
          </w:p>
        </w:tc>
        <w:tc>
          <w:tcPr>
            <w:tcW w:w="855" w:type="dxa"/>
            <w:tcBorders>
              <w:top w:val="single" w:sz="4" w:space="0" w:color="E02628"/>
              <w:left w:val="nil"/>
              <w:bottom w:val="single" w:sz="4" w:space="0" w:color="E02628"/>
              <w:right w:val="nil"/>
            </w:tcBorders>
            <w:shd w:val="clear" w:color="auto" w:fill="F4CACA" w:themeFill="accent5" w:themeFillTint="33"/>
            <w:noWrap/>
            <w:vAlign w:val="center"/>
            <w:hideMark/>
          </w:tcPr>
          <w:p w14:paraId="5DB1633E" w14:textId="77777777" w:rsidR="00EC5DFB" w:rsidRPr="00EA2E57" w:rsidRDefault="00EC5DFB" w:rsidP="00EC5DFB">
            <w:pPr>
              <w:pStyle w:val="TableTextSmall"/>
              <w:keepNext/>
              <w:keepLines/>
              <w:jc w:val="center"/>
              <w:rPr>
                <w:rFonts w:ascii="Arial" w:hAnsi="Arial"/>
                <w:i/>
                <w:snapToGrid/>
                <w:sz w:val="14"/>
                <w:szCs w:val="14"/>
                <w:lang w:eastAsia="en-AU"/>
              </w:rPr>
            </w:pPr>
            <w:r w:rsidRPr="00EA2E57">
              <w:rPr>
                <w:rFonts w:ascii="Arial" w:hAnsi="Arial"/>
                <w:i/>
                <w:sz w:val="14"/>
                <w:szCs w:val="14"/>
              </w:rPr>
              <w:t>1,812</w:t>
            </w:r>
          </w:p>
        </w:tc>
        <w:tc>
          <w:tcPr>
            <w:tcW w:w="993" w:type="dxa"/>
            <w:tcBorders>
              <w:top w:val="single" w:sz="4" w:space="0" w:color="E02628"/>
              <w:left w:val="nil"/>
              <w:bottom w:val="single" w:sz="4" w:space="0" w:color="E02628"/>
              <w:right w:val="nil"/>
            </w:tcBorders>
            <w:shd w:val="clear" w:color="auto" w:fill="F4CACA" w:themeFill="accent5" w:themeFillTint="33"/>
            <w:noWrap/>
            <w:vAlign w:val="center"/>
            <w:hideMark/>
          </w:tcPr>
          <w:p w14:paraId="79393536" w14:textId="77777777" w:rsidR="00EC5DFB" w:rsidRPr="00EA2E57" w:rsidRDefault="00EC5DFB" w:rsidP="00EC5DFB">
            <w:pPr>
              <w:pStyle w:val="TableTextSmall"/>
              <w:keepNext/>
              <w:keepLines/>
              <w:jc w:val="center"/>
              <w:rPr>
                <w:rFonts w:ascii="Arial" w:hAnsi="Arial"/>
                <w:i/>
                <w:snapToGrid/>
                <w:sz w:val="14"/>
                <w:szCs w:val="14"/>
                <w:lang w:eastAsia="en-AU"/>
              </w:rPr>
            </w:pPr>
            <w:r w:rsidRPr="00EA2E57">
              <w:rPr>
                <w:rFonts w:ascii="Arial" w:hAnsi="Arial"/>
                <w:i/>
                <w:sz w:val="14"/>
                <w:szCs w:val="14"/>
              </w:rPr>
              <w:t>n/a</w:t>
            </w:r>
          </w:p>
        </w:tc>
        <w:tc>
          <w:tcPr>
            <w:tcW w:w="925" w:type="dxa"/>
            <w:tcBorders>
              <w:top w:val="single" w:sz="4" w:space="0" w:color="E02628"/>
              <w:left w:val="nil"/>
              <w:bottom w:val="single" w:sz="4" w:space="0" w:color="E02628"/>
              <w:right w:val="nil"/>
            </w:tcBorders>
            <w:shd w:val="clear" w:color="auto" w:fill="F4CACA" w:themeFill="accent5" w:themeFillTint="33"/>
            <w:noWrap/>
            <w:vAlign w:val="center"/>
            <w:hideMark/>
          </w:tcPr>
          <w:p w14:paraId="22BB43D7" w14:textId="77777777" w:rsidR="00EC5DFB" w:rsidRPr="00EA2E57" w:rsidRDefault="00EC5DFB" w:rsidP="00EC5DFB">
            <w:pPr>
              <w:pStyle w:val="TableTextSmall"/>
              <w:keepNext/>
              <w:keepLines/>
              <w:jc w:val="center"/>
              <w:rPr>
                <w:rFonts w:ascii="Arial" w:hAnsi="Arial"/>
                <w:i/>
                <w:snapToGrid/>
                <w:sz w:val="14"/>
                <w:szCs w:val="14"/>
                <w:lang w:eastAsia="en-AU"/>
              </w:rPr>
            </w:pPr>
            <w:r w:rsidRPr="00EA2E57">
              <w:rPr>
                <w:rFonts w:ascii="Arial" w:hAnsi="Arial"/>
                <w:i/>
                <w:sz w:val="14"/>
                <w:szCs w:val="14"/>
              </w:rPr>
              <w:t>150</w:t>
            </w:r>
          </w:p>
        </w:tc>
        <w:tc>
          <w:tcPr>
            <w:tcW w:w="964" w:type="dxa"/>
            <w:tcBorders>
              <w:top w:val="single" w:sz="4" w:space="0" w:color="E02628"/>
              <w:left w:val="nil"/>
              <w:bottom w:val="single" w:sz="4" w:space="0" w:color="E02628"/>
              <w:right w:val="nil"/>
            </w:tcBorders>
            <w:shd w:val="clear" w:color="auto" w:fill="F4CACA" w:themeFill="accent5" w:themeFillTint="33"/>
          </w:tcPr>
          <w:p w14:paraId="4567D7DF" w14:textId="7E5C1B6B" w:rsidR="00EC5DFB" w:rsidRPr="00AD21EE" w:rsidRDefault="00EC5DFB" w:rsidP="0087053A">
            <w:pPr>
              <w:pStyle w:val="TableTextSmall"/>
              <w:keepNext/>
              <w:keepLines/>
              <w:jc w:val="center"/>
              <w:rPr>
                <w:rFonts w:ascii="Arial" w:hAnsi="Arial"/>
                <w:sz w:val="14"/>
                <w:szCs w:val="14"/>
              </w:rPr>
            </w:pPr>
            <w:r w:rsidRPr="00AD21EE">
              <w:rPr>
                <w:rFonts w:ascii="Arial" w:hAnsi="Arial"/>
                <w:sz w:val="14"/>
                <w:szCs w:val="14"/>
              </w:rPr>
              <w:t>+1.</w:t>
            </w:r>
            <w:r w:rsidR="00AD21EE">
              <w:rPr>
                <w:rFonts w:ascii="Arial" w:hAnsi="Arial"/>
                <w:sz w:val="14"/>
                <w:szCs w:val="14"/>
              </w:rPr>
              <w:t>0</w:t>
            </w:r>
            <w:r w:rsidRPr="00AD21EE">
              <w:rPr>
                <w:rFonts w:ascii="Arial" w:hAnsi="Arial"/>
                <w:sz w:val="14"/>
                <w:szCs w:val="14"/>
              </w:rPr>
              <w:t>%</w:t>
            </w:r>
          </w:p>
        </w:tc>
        <w:tc>
          <w:tcPr>
            <w:tcW w:w="892" w:type="dxa"/>
            <w:tcBorders>
              <w:top w:val="single" w:sz="4" w:space="0" w:color="E02628"/>
              <w:left w:val="nil"/>
              <w:bottom w:val="single" w:sz="4" w:space="0" w:color="E02628"/>
              <w:right w:val="nil"/>
            </w:tcBorders>
            <w:shd w:val="clear" w:color="auto" w:fill="F4CACA" w:themeFill="accent5" w:themeFillTint="33"/>
            <w:noWrap/>
            <w:vAlign w:val="center"/>
            <w:hideMark/>
          </w:tcPr>
          <w:p w14:paraId="05266640" w14:textId="43AFAC0A" w:rsidR="00EC5DFB" w:rsidRPr="00EA2E57" w:rsidRDefault="00EC5DFB" w:rsidP="00EC5DFB">
            <w:pPr>
              <w:pStyle w:val="TableTextSmall"/>
              <w:keepNext/>
              <w:keepLines/>
              <w:jc w:val="center"/>
              <w:rPr>
                <w:rFonts w:ascii="Arial" w:hAnsi="Arial"/>
                <w:i/>
                <w:snapToGrid/>
                <w:sz w:val="14"/>
                <w:szCs w:val="14"/>
                <w:lang w:eastAsia="en-AU"/>
              </w:rPr>
            </w:pPr>
            <w:r w:rsidRPr="00EA2E57">
              <w:rPr>
                <w:rFonts w:ascii="Arial" w:hAnsi="Arial"/>
                <w:i/>
                <w:sz w:val="14"/>
                <w:szCs w:val="14"/>
              </w:rPr>
              <w:t>n/a</w:t>
            </w:r>
          </w:p>
        </w:tc>
      </w:tr>
      <w:tr w:rsidR="00EC5DFB" w:rsidRPr="009210D0" w14:paraId="104B8C8E" w14:textId="77777777" w:rsidTr="00EC5DFB">
        <w:trPr>
          <w:trHeight w:val="227"/>
          <w:tblHeader/>
        </w:trPr>
        <w:tc>
          <w:tcPr>
            <w:tcW w:w="2750" w:type="dxa"/>
            <w:tcBorders>
              <w:top w:val="single" w:sz="4" w:space="0" w:color="E02628"/>
              <w:left w:val="nil"/>
              <w:bottom w:val="single" w:sz="4" w:space="0" w:color="E02628"/>
              <w:right w:val="nil"/>
            </w:tcBorders>
            <w:shd w:val="clear" w:color="auto" w:fill="E02628"/>
            <w:noWrap/>
            <w:vAlign w:val="center"/>
            <w:hideMark/>
          </w:tcPr>
          <w:p w14:paraId="52A51107" w14:textId="77777777" w:rsidR="00EC5DFB" w:rsidRPr="00B11441" w:rsidRDefault="00EC5DFB" w:rsidP="00EC5DFB">
            <w:pPr>
              <w:pStyle w:val="TableColumnHeadingSmall"/>
              <w:rPr>
                <w:rFonts w:cstheme="minorHAnsi"/>
                <w:snapToGrid/>
                <w:sz w:val="14"/>
                <w:szCs w:val="14"/>
                <w:lang w:eastAsia="en-AU"/>
              </w:rPr>
            </w:pPr>
            <w:r w:rsidRPr="00B11441">
              <w:rPr>
                <w:rFonts w:cstheme="minorHAnsi"/>
                <w:snapToGrid/>
                <w:sz w:val="14"/>
                <w:szCs w:val="14"/>
                <w:lang w:eastAsia="en-AU"/>
              </w:rPr>
              <w:t>Australian resident population</w:t>
            </w:r>
          </w:p>
        </w:tc>
        <w:tc>
          <w:tcPr>
            <w:tcW w:w="1077" w:type="dxa"/>
            <w:tcBorders>
              <w:top w:val="single" w:sz="4" w:space="0" w:color="E02628"/>
              <w:left w:val="nil"/>
              <w:bottom w:val="single" w:sz="4" w:space="0" w:color="E02628"/>
              <w:right w:val="nil"/>
            </w:tcBorders>
            <w:shd w:val="clear" w:color="auto" w:fill="E02628"/>
            <w:noWrap/>
            <w:hideMark/>
          </w:tcPr>
          <w:p w14:paraId="218B10FD" w14:textId="77777777" w:rsidR="00EC5DFB" w:rsidRPr="00EA2E57" w:rsidRDefault="00EC5DFB" w:rsidP="00EC5DFB">
            <w:pPr>
              <w:pStyle w:val="TableColumnHeadingSmall"/>
              <w:jc w:val="center"/>
              <w:rPr>
                <w:rFonts w:cstheme="minorHAnsi"/>
                <w:snapToGrid/>
                <w:sz w:val="14"/>
                <w:szCs w:val="14"/>
                <w:lang w:eastAsia="en-AU"/>
              </w:rPr>
            </w:pPr>
            <w:r w:rsidRPr="00EA2E57">
              <w:rPr>
                <w:rFonts w:cstheme="minorHAnsi"/>
                <w:sz w:val="14"/>
                <w:szCs w:val="14"/>
              </w:rPr>
              <w:t>24,653,645</w:t>
            </w:r>
          </w:p>
        </w:tc>
        <w:tc>
          <w:tcPr>
            <w:tcW w:w="907" w:type="dxa"/>
            <w:tcBorders>
              <w:top w:val="single" w:sz="4" w:space="0" w:color="E02628"/>
              <w:left w:val="nil"/>
              <w:bottom w:val="single" w:sz="4" w:space="0" w:color="E02628"/>
              <w:right w:val="nil"/>
            </w:tcBorders>
            <w:shd w:val="clear" w:color="auto" w:fill="E02628"/>
            <w:noWrap/>
            <w:hideMark/>
          </w:tcPr>
          <w:p w14:paraId="6F176C69" w14:textId="77777777" w:rsidR="00EC5DFB" w:rsidRPr="00EA2E57" w:rsidRDefault="00EC5DFB" w:rsidP="00EC5DFB">
            <w:pPr>
              <w:pStyle w:val="TableColumnHeadingSmall"/>
              <w:jc w:val="center"/>
              <w:rPr>
                <w:rFonts w:cstheme="minorHAnsi"/>
                <w:snapToGrid/>
                <w:sz w:val="14"/>
                <w:szCs w:val="14"/>
                <w:lang w:eastAsia="en-AU"/>
              </w:rPr>
            </w:pPr>
            <w:r w:rsidRPr="00EA2E57">
              <w:rPr>
                <w:rFonts w:cstheme="minorHAnsi"/>
                <w:sz w:val="14"/>
                <w:szCs w:val="14"/>
              </w:rPr>
              <w:t>39</w:t>
            </w:r>
          </w:p>
        </w:tc>
        <w:tc>
          <w:tcPr>
            <w:tcW w:w="855" w:type="dxa"/>
            <w:tcBorders>
              <w:top w:val="single" w:sz="4" w:space="0" w:color="E02628"/>
              <w:left w:val="nil"/>
              <w:bottom w:val="single" w:sz="4" w:space="0" w:color="E02628"/>
              <w:right w:val="nil"/>
            </w:tcBorders>
            <w:shd w:val="clear" w:color="auto" w:fill="E02628"/>
            <w:noWrap/>
            <w:hideMark/>
          </w:tcPr>
          <w:p w14:paraId="70A6E251" w14:textId="77777777" w:rsidR="00EC5DFB" w:rsidRPr="00EA2E57" w:rsidRDefault="00EC5DFB" w:rsidP="00EC5DFB">
            <w:pPr>
              <w:pStyle w:val="TableColumnHeadingSmall"/>
              <w:jc w:val="center"/>
              <w:rPr>
                <w:rFonts w:cstheme="minorHAnsi"/>
                <w:snapToGrid/>
                <w:sz w:val="14"/>
                <w:szCs w:val="14"/>
                <w:lang w:eastAsia="en-AU"/>
              </w:rPr>
            </w:pPr>
            <w:r w:rsidRPr="00EA2E57">
              <w:rPr>
                <w:rFonts w:cstheme="minorHAnsi"/>
                <w:sz w:val="14"/>
                <w:szCs w:val="14"/>
              </w:rPr>
              <w:t>4,681</w:t>
            </w:r>
          </w:p>
        </w:tc>
        <w:tc>
          <w:tcPr>
            <w:tcW w:w="993" w:type="dxa"/>
            <w:tcBorders>
              <w:top w:val="single" w:sz="4" w:space="0" w:color="E02628"/>
              <w:left w:val="nil"/>
              <w:bottom w:val="single" w:sz="4" w:space="0" w:color="E02628"/>
              <w:right w:val="nil"/>
            </w:tcBorders>
            <w:shd w:val="clear" w:color="auto" w:fill="E02628"/>
            <w:noWrap/>
            <w:hideMark/>
          </w:tcPr>
          <w:p w14:paraId="4D45261A" w14:textId="2C0E9D6A" w:rsidR="00EC5DFB" w:rsidRPr="00EA2E57" w:rsidRDefault="00EC5DFB" w:rsidP="00EC5DFB">
            <w:pPr>
              <w:pStyle w:val="TableColumnHeadingSmall"/>
              <w:jc w:val="center"/>
              <w:rPr>
                <w:rFonts w:cstheme="minorHAnsi"/>
                <w:snapToGrid/>
                <w:sz w:val="14"/>
                <w:szCs w:val="14"/>
                <w:lang w:eastAsia="en-AU"/>
              </w:rPr>
            </w:pPr>
            <w:r>
              <w:rPr>
                <w:rFonts w:cstheme="minorHAnsi"/>
                <w:sz w:val="14"/>
                <w:szCs w:val="14"/>
              </w:rPr>
              <w:t>4,438</w:t>
            </w:r>
          </w:p>
        </w:tc>
        <w:tc>
          <w:tcPr>
            <w:tcW w:w="925" w:type="dxa"/>
            <w:tcBorders>
              <w:top w:val="single" w:sz="4" w:space="0" w:color="E02628"/>
              <w:left w:val="nil"/>
              <w:bottom w:val="single" w:sz="4" w:space="0" w:color="E02628"/>
              <w:right w:val="nil"/>
            </w:tcBorders>
            <w:shd w:val="clear" w:color="auto" w:fill="E02628"/>
            <w:noWrap/>
            <w:hideMark/>
          </w:tcPr>
          <w:p w14:paraId="70D383D7" w14:textId="77777777" w:rsidR="00EC5DFB" w:rsidRPr="00EA2E57" w:rsidRDefault="00EC5DFB" w:rsidP="00EC5DFB">
            <w:pPr>
              <w:pStyle w:val="TableColumnHeadingSmall"/>
              <w:jc w:val="center"/>
              <w:rPr>
                <w:rFonts w:cstheme="minorHAnsi"/>
                <w:snapToGrid/>
                <w:sz w:val="14"/>
                <w:szCs w:val="14"/>
                <w:lang w:eastAsia="en-AU"/>
              </w:rPr>
            </w:pPr>
            <w:r w:rsidRPr="00EA2E57">
              <w:rPr>
                <w:rFonts w:cstheme="minorHAnsi"/>
                <w:sz w:val="14"/>
                <w:szCs w:val="14"/>
              </w:rPr>
              <w:t>190</w:t>
            </w:r>
          </w:p>
        </w:tc>
        <w:tc>
          <w:tcPr>
            <w:tcW w:w="964" w:type="dxa"/>
            <w:tcBorders>
              <w:top w:val="single" w:sz="4" w:space="0" w:color="E02628"/>
              <w:left w:val="nil"/>
              <w:bottom w:val="single" w:sz="4" w:space="0" w:color="E02628"/>
              <w:right w:val="nil"/>
            </w:tcBorders>
            <w:shd w:val="clear" w:color="auto" w:fill="E02628"/>
          </w:tcPr>
          <w:p w14:paraId="6809BA60" w14:textId="1F4EE15C" w:rsidR="00EC5DFB" w:rsidRPr="00AD21EE" w:rsidRDefault="00AD21EE" w:rsidP="00EC5DFB">
            <w:pPr>
              <w:pStyle w:val="TableColumnHeadingSmall"/>
              <w:jc w:val="center"/>
              <w:rPr>
                <w:rFonts w:ascii="Arial" w:hAnsi="Arial"/>
                <w:sz w:val="14"/>
                <w:szCs w:val="14"/>
              </w:rPr>
            </w:pPr>
            <w:r>
              <w:rPr>
                <w:rFonts w:cstheme="minorHAnsi"/>
                <w:sz w:val="14"/>
                <w:szCs w:val="14"/>
              </w:rPr>
              <w:t>+1.6</w:t>
            </w:r>
            <w:r w:rsidR="00EC5DFB" w:rsidRPr="00AD21EE">
              <w:rPr>
                <w:rFonts w:cstheme="minorHAnsi"/>
                <w:sz w:val="14"/>
                <w:szCs w:val="14"/>
              </w:rPr>
              <w:t>%</w:t>
            </w:r>
          </w:p>
        </w:tc>
        <w:tc>
          <w:tcPr>
            <w:tcW w:w="892" w:type="dxa"/>
            <w:tcBorders>
              <w:top w:val="single" w:sz="4" w:space="0" w:color="E02628"/>
              <w:left w:val="nil"/>
              <w:bottom w:val="single" w:sz="4" w:space="0" w:color="E02628"/>
              <w:right w:val="nil"/>
            </w:tcBorders>
            <w:shd w:val="clear" w:color="auto" w:fill="E02628"/>
            <w:noWrap/>
            <w:hideMark/>
          </w:tcPr>
          <w:p w14:paraId="7D75CB7C" w14:textId="3BD1507E" w:rsidR="00EC5DFB" w:rsidRPr="00EA2E57" w:rsidRDefault="00EC5DFB" w:rsidP="00EC5DFB">
            <w:pPr>
              <w:pStyle w:val="TableColumnHeadingSmall"/>
              <w:jc w:val="center"/>
              <w:rPr>
                <w:rFonts w:cstheme="minorHAnsi"/>
                <w:snapToGrid/>
                <w:sz w:val="14"/>
                <w:szCs w:val="14"/>
                <w:lang w:eastAsia="en-AU"/>
              </w:rPr>
            </w:pPr>
            <w:r>
              <w:rPr>
                <w:rFonts w:cstheme="minorHAnsi"/>
                <w:sz w:val="14"/>
                <w:szCs w:val="14"/>
              </w:rPr>
              <w:t>43</w:t>
            </w:r>
          </w:p>
        </w:tc>
      </w:tr>
    </w:tbl>
    <w:p w14:paraId="3D5BE5AC" w14:textId="77777777" w:rsidR="00C62854" w:rsidRPr="00775468" w:rsidRDefault="00C62854" w:rsidP="00C62854">
      <w:pPr>
        <w:pStyle w:val="Sources"/>
        <w:keepNext/>
        <w:keepLines/>
      </w:pPr>
      <w:r w:rsidRPr="00775468">
        <w:t xml:space="preserve">Notes: </w:t>
      </w:r>
    </w:p>
    <w:p w14:paraId="0986D945" w14:textId="77777777" w:rsidR="00C62854" w:rsidRPr="00775468" w:rsidRDefault="00C62854" w:rsidP="00964D65">
      <w:pPr>
        <w:pStyle w:val="Sources"/>
        <w:keepNext/>
        <w:keepLines/>
        <w:numPr>
          <w:ilvl w:val="0"/>
          <w:numId w:val="42"/>
        </w:numPr>
      </w:pPr>
      <w:r w:rsidRPr="00775468">
        <w:t>The average payment in 201</w:t>
      </w:r>
      <w:r>
        <w:t>6</w:t>
      </w:r>
      <w:r w:rsidRPr="00775468">
        <w:t>/1</w:t>
      </w:r>
      <w:r>
        <w:t>7</w:t>
      </w:r>
      <w:r w:rsidRPr="00775468">
        <w:t xml:space="preserve"> is understated owing to the data maturity issues with FTB and family payment data. This has a particular impact on the average payments for people in the family non IS and other non IS classes; we would expect these amounts to ultimately be larger than the figures shown.</w:t>
      </w:r>
    </w:p>
    <w:p w14:paraId="1549E11E" w14:textId="77777777" w:rsidR="00C62854" w:rsidRPr="00775468" w:rsidRDefault="00C62854" w:rsidP="00964D65">
      <w:pPr>
        <w:pStyle w:val="Sources"/>
        <w:keepNext/>
        <w:keepLines/>
        <w:numPr>
          <w:ilvl w:val="0"/>
          <w:numId w:val="42"/>
        </w:numPr>
      </w:pPr>
      <w:r w:rsidRPr="00775468">
        <w:t>Exited 4+ years refers to previous welfare recipients who have exited in the past 4-1</w:t>
      </w:r>
      <w:r>
        <w:t>6</w:t>
      </w:r>
      <w:r w:rsidRPr="00775468">
        <w:t xml:space="preserve"> years</w:t>
      </w:r>
    </w:p>
    <w:p w14:paraId="4E4E0674" w14:textId="2BF8832E" w:rsidR="00C62854" w:rsidRPr="00775468" w:rsidRDefault="00C62854" w:rsidP="00C62854">
      <w:pPr>
        <w:pStyle w:val="PwCNormal"/>
        <w:numPr>
          <w:ilvl w:val="0"/>
          <w:numId w:val="1"/>
        </w:numPr>
      </w:pPr>
      <w:r w:rsidRPr="00775468">
        <w:t xml:space="preserve">The total lifetime cost represents a multiple of over 40 times the total amount of 2016/17 in-scope payments, which was $111.4 billion. Such a multiplier is </w:t>
      </w:r>
      <w:r w:rsidR="00AC652B">
        <w:t>not unexpected</w:t>
      </w:r>
      <w:r w:rsidRPr="00775468">
        <w:t xml:space="preserve"> given that we have included the age pension in the valuation, which a significant proportion of the model population are expected to receive in the future for many years post retirement.</w:t>
      </w:r>
    </w:p>
    <w:p w14:paraId="225A5FB7" w14:textId="77777777" w:rsidR="00C62854" w:rsidRPr="00775468" w:rsidRDefault="00C62854" w:rsidP="00C62854">
      <w:pPr>
        <w:pStyle w:val="PwCNormal"/>
        <w:numPr>
          <w:ilvl w:val="0"/>
          <w:numId w:val="1"/>
        </w:numPr>
      </w:pPr>
      <w:r w:rsidRPr="00775468">
        <w:t>The table shows the contribution of each class and population group to the total lifetime cost, which reflects the number of people in that class and their average lifetime cost. The average lifetime cost for people in each class is driven by the probability of an average person in that starting population entering, remaining in or leaving the system in each future year; combined with the type and amount of payments they are likely to receive whilst they are active in the system.</w:t>
      </w:r>
    </w:p>
    <w:p w14:paraId="0016C594" w14:textId="30889A95" w:rsidR="00C62854" w:rsidRDefault="00C62854" w:rsidP="00C62854">
      <w:pPr>
        <w:pStyle w:val="PwCNormal"/>
        <w:numPr>
          <w:ilvl w:val="0"/>
          <w:numId w:val="1"/>
        </w:numPr>
      </w:pPr>
      <w:r w:rsidRPr="00775468">
        <w:t xml:space="preserve">Unsurprisingly, the current welfare recipient class with the largest total lifetime cost is </w:t>
      </w:r>
      <w:r w:rsidR="00D10802">
        <w:t>A</w:t>
      </w:r>
      <w:r w:rsidR="00D10802" w:rsidRPr="00775468">
        <w:t xml:space="preserve">ge </w:t>
      </w:r>
      <w:r w:rsidR="00D10802">
        <w:t>P</w:t>
      </w:r>
      <w:r w:rsidR="00D10802" w:rsidRPr="00775468">
        <w:t>ension</w:t>
      </w:r>
      <w:r w:rsidRPr="00775468">
        <w:t xml:space="preserve">, owing to the number of people in this class and the fact that once in that class, most people remain there for the rest of their lives. Furthermore, the projected future cost of age pension and related payments for current welfare recipients is a significant component of the lifetime costs for all other classes. This is shown in the </w:t>
      </w:r>
      <w:r>
        <w:t xml:space="preserve">chart </w:t>
      </w:r>
      <w:r w:rsidRPr="00775468">
        <w:t>below, which further splits the lifetime costs by class shown in the above table, into the 17 payment categories that we have included in the model.</w:t>
      </w:r>
    </w:p>
    <w:p w14:paraId="04A666EE" w14:textId="77777777" w:rsidR="00C62854" w:rsidRDefault="00C62854" w:rsidP="00C62854">
      <w:pPr>
        <w:kinsoku/>
        <w:overflowPunct/>
        <w:autoSpaceDE/>
        <w:autoSpaceDN/>
        <w:adjustRightInd/>
        <w:snapToGrid/>
      </w:pPr>
      <w:r>
        <w:br w:type="page"/>
      </w:r>
    </w:p>
    <w:p w14:paraId="7EC779B9" w14:textId="77777777" w:rsidR="00C62854" w:rsidRPr="0093688B" w:rsidRDefault="00C62854" w:rsidP="00C62854">
      <w:pPr>
        <w:pStyle w:val="Caption"/>
      </w:pPr>
      <w:r w:rsidRPr="0093688B">
        <w:lastRenderedPageBreak/>
        <w:t xml:space="preserve">Figure </w:t>
      </w:r>
      <w:fldSimple w:instr=" SEQ Figure \* ARABIC ">
        <w:r w:rsidR="00C93C1A">
          <w:rPr>
            <w:noProof/>
          </w:rPr>
          <w:t>3</w:t>
        </w:r>
      </w:fldSimple>
      <w:r w:rsidRPr="0093688B">
        <w:t>: Composition of lifetime cost ($billion) by welfare class and payment category</w:t>
      </w:r>
    </w:p>
    <w:p w14:paraId="17D078AF" w14:textId="77777777" w:rsidR="00C62854" w:rsidRPr="0057506F" w:rsidRDefault="00C62854" w:rsidP="00C62854">
      <w:r w:rsidRPr="003E4026">
        <w:rPr>
          <w:noProof/>
          <w:lang w:eastAsia="en-AU"/>
        </w:rPr>
        <w:drawing>
          <wp:inline distT="0" distB="0" distL="0" distR="0" wp14:anchorId="3D4FFA9C" wp14:editId="6597E419">
            <wp:extent cx="5803200" cy="2160000"/>
            <wp:effectExtent l="0" t="0" r="7620" b="0"/>
            <wp:docPr id="1060" name="Picture 1060" descr="This figure is a stacked horizontal bar chart. The vertical axis shows welfare class. The horizontal axis shows lifetime cost by welfare class ranging from 0 to 2,000 billion dollars.&#10;&#10;The bars for each welfare class are split into the lifetime cost associated with the following payment categories; IS studying, IS working age, IS parents, IS carers, IS disability, IS aged, IS dependent, Other – FTB, Other – family, Other – new parents, Other – health and disability, Other – carer, Other – study and skills, Other – remote and regional, Other – general allowances, All other, Rent assistance.&#10;&#10;The lifetime costs by welfare class are: 79 billion dollars for Studying, 411 billion dollars for Working age, 210billion dollars for Parents, 125 billion dollars for Carers, 351 billion dollars for Disability Support, 542 billion dollars for Pension age, 303 billion dollars for Non-IS Family, 42 billion dollars for Non-IS Carer, 72 billion dollars for Non-IS Other, 274 billion dollars for Exits within 1 to 3 years, 461 billion dollars for Exits post 4 years, and 1.81 trillion dollars for the rest of the Australian population.&#10;&#10;The age pension component of the lifetime cost by welfare class constitutes approximately 35% of the non-age pension income support classes and over 50% of the non-income support and non-welfare recipient classes.&#10;" title="Composition of lifetime cost ($billion) by welfare class and paymen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3200" cy="2160000"/>
                    </a:xfrm>
                    <a:prstGeom prst="rect">
                      <a:avLst/>
                    </a:prstGeom>
                    <a:noFill/>
                    <a:ln>
                      <a:noFill/>
                    </a:ln>
                  </pic:spPr>
                </pic:pic>
              </a:graphicData>
            </a:graphic>
          </wp:inline>
        </w:drawing>
      </w:r>
    </w:p>
    <w:p w14:paraId="33B28713" w14:textId="77777777" w:rsidR="00C62854" w:rsidRPr="0093688B" w:rsidRDefault="00C62854" w:rsidP="00C62854">
      <w:pPr>
        <w:pStyle w:val="PwCNormal-Single"/>
      </w:pPr>
      <w:r w:rsidRPr="0093688B">
        <w:rPr>
          <w:noProof/>
          <w:lang w:eastAsia="en-AU"/>
        </w:rPr>
        <w:drawing>
          <wp:inline distT="0" distB="0" distL="0" distR="0" wp14:anchorId="0A23B338" wp14:editId="3456745B">
            <wp:extent cx="6264275" cy="355036"/>
            <wp:effectExtent l="0" t="0" r="0" b="6985"/>
            <wp:docPr id="1064" name="Picture 1064"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4275" cy="355036"/>
                    </a:xfrm>
                    <a:prstGeom prst="rect">
                      <a:avLst/>
                    </a:prstGeom>
                    <a:noFill/>
                    <a:ln>
                      <a:noFill/>
                    </a:ln>
                  </pic:spPr>
                </pic:pic>
              </a:graphicData>
            </a:graphic>
          </wp:inline>
        </w:drawing>
      </w:r>
    </w:p>
    <w:p w14:paraId="62F4B1E7" w14:textId="77777777" w:rsidR="00C62854" w:rsidRPr="0093688B" w:rsidRDefault="00C62854" w:rsidP="00C62854">
      <w:pPr>
        <w:pStyle w:val="Sources"/>
        <w:keepNext/>
      </w:pPr>
      <w:r w:rsidRPr="0093688B">
        <w:t>Note: Exited 4+ years refers to previous welfare recipients who have exited in the past 4-16 years</w:t>
      </w:r>
    </w:p>
    <w:p w14:paraId="6F5F7254" w14:textId="77777777" w:rsidR="00C62854" w:rsidRPr="00EE6B0F" w:rsidRDefault="00C62854" w:rsidP="00C62854">
      <w:pPr>
        <w:pStyle w:val="PwCNormal"/>
        <w:keepLines/>
        <w:numPr>
          <w:ilvl w:val="0"/>
          <w:numId w:val="1"/>
        </w:numPr>
      </w:pPr>
      <w:r>
        <w:t xml:space="preserve">Below we show </w:t>
      </w:r>
      <w:r w:rsidRPr="00EE6B0F">
        <w:t xml:space="preserve">the number of years for which we expect people </w:t>
      </w:r>
      <w:r>
        <w:t xml:space="preserve">in each class </w:t>
      </w:r>
      <w:r w:rsidRPr="00EE6B0F">
        <w:t xml:space="preserve">to receive some income support payments, some other payments or no payments. </w:t>
      </w:r>
    </w:p>
    <w:p w14:paraId="3BB1E046" w14:textId="77CD559F" w:rsidR="00C62854" w:rsidRPr="00EE6B0F" w:rsidRDefault="00C62854" w:rsidP="00C62854">
      <w:pPr>
        <w:pStyle w:val="PwCNormal"/>
        <w:keepLines/>
        <w:numPr>
          <w:ilvl w:val="0"/>
          <w:numId w:val="1"/>
        </w:numPr>
      </w:pPr>
      <w:r w:rsidRPr="00EE6B0F">
        <w:t xml:space="preserve">Note this duration measure captures information on welfare system use over </w:t>
      </w:r>
      <w:r w:rsidR="00AC652B">
        <w:t>future</w:t>
      </w:r>
      <w:r w:rsidRPr="00EE6B0F">
        <w:t xml:space="preserve"> year</w:t>
      </w:r>
      <w:r w:rsidR="00AC652B">
        <w:t>s of a person’s lifetime</w:t>
      </w:r>
      <w:r w:rsidRPr="00EE6B0F">
        <w:t xml:space="preserve">; it is not a measure of the length of time or number of fortnightly payment periods spent in receipt of payment. </w:t>
      </w:r>
    </w:p>
    <w:p w14:paraId="31F5BCAA" w14:textId="77777777" w:rsidR="00C62854" w:rsidRPr="00EE6B0F" w:rsidRDefault="00C62854" w:rsidP="00C62854">
      <w:pPr>
        <w:pStyle w:val="Caption"/>
      </w:pPr>
      <w:r w:rsidRPr="00EE6B0F">
        <w:t xml:space="preserve">Table </w:t>
      </w:r>
      <w:fldSimple w:instr=" SEQ Table \* ARABIC ">
        <w:r w:rsidR="00C93C1A">
          <w:rPr>
            <w:noProof/>
          </w:rPr>
          <w:t>3</w:t>
        </w:r>
      </w:fldSimple>
      <w:r w:rsidRPr="00EE6B0F">
        <w:t>: Summary of duration results (30 June 2017 valuation)</w:t>
      </w:r>
    </w:p>
    <w:tbl>
      <w:tblPr>
        <w:tblW w:w="9700" w:type="dxa"/>
        <w:tblInd w:w="57" w:type="dxa"/>
        <w:tblLayout w:type="fixed"/>
        <w:tblCellMar>
          <w:left w:w="113" w:type="dxa"/>
          <w:right w:w="113" w:type="dxa"/>
        </w:tblCellMar>
        <w:tblLook w:val="04A0" w:firstRow="1" w:lastRow="0" w:firstColumn="1" w:lastColumn="0" w:noHBand="0" w:noVBand="1"/>
        <w:tblCaption w:val=" Summary of duration results (30 June 2016 valuation)"/>
        <w:tblDescription w:val="This table displays data for current welfare recipients in several categories, as well as previous welfare recipients and the rest of the Australian resident population. &#10;&#10;The categories given for current welfare recipients are: studying payments, working age payments, parenting payments, carer payments, disability support, age pensioners, family (non-income support), carer (non-income support) and other (non-income support), as well as a total for all current welfare recipients. Previous welfare recipients are divided into those that exited within 1 to 3 years, and those who exited 4 or more years ago, as well as a combined total. These are shown as rows in the table.&#10;&#10;For each category, there is data for the following columns; expected future lifetime in years, the proportion of future years receiving some income support payments, the proportions of future years receiving some non income support payments only and the proportion of years receiving no welfare payments. &#10;&#10;People in the studying class have the highest expected future lifetime (67 years) whilst age pensions have the lowest (14 years). The rest of the Australian population has a future life expectancy of 63 years. &#10;&#10;Disability support pensioners and age pensioners are both expected to spend 94% of their future years receiving some kind of income support payment.  Student payment recipients and the non IS support client are expected to spend 37-43% of their future lifetime receiving income support payments. &#10;&#10;Age pensioners and disability support pensioners are unlikely to receive only non income support payments in the future (3% and 1% of future lifetime years, respectively) and also unlikely to move off welfare payments altogether (3% and 4% of future lifetime years, respectively). &#10;&#10;Student payment recipients, previous welfare recipients and the rest of the Australian population are expected to spend 51-59% of their future years not receiving any welfare payments. &#10;&#10;Further features of the data in this table are discussed in the accompanying text within the report.&#10;"/>
      </w:tblPr>
      <w:tblGrid>
        <w:gridCol w:w="3458"/>
        <w:gridCol w:w="1134"/>
        <w:gridCol w:w="1702"/>
        <w:gridCol w:w="1703"/>
        <w:gridCol w:w="1703"/>
      </w:tblGrid>
      <w:tr w:rsidR="00C62854" w:rsidRPr="009210D0" w14:paraId="2C8C91B3" w14:textId="77777777" w:rsidTr="00156206">
        <w:trPr>
          <w:trHeight w:val="1010"/>
          <w:tblHeader/>
        </w:trPr>
        <w:tc>
          <w:tcPr>
            <w:tcW w:w="3458" w:type="dxa"/>
            <w:tcBorders>
              <w:top w:val="single" w:sz="4" w:space="0" w:color="E02628"/>
              <w:left w:val="nil"/>
              <w:bottom w:val="single" w:sz="4" w:space="0" w:color="FFFFFF" w:themeColor="background1"/>
              <w:right w:val="single" w:sz="4" w:space="0" w:color="FFFFFF"/>
            </w:tcBorders>
            <w:shd w:val="clear" w:color="auto" w:fill="E02628"/>
            <w:hideMark/>
          </w:tcPr>
          <w:p w14:paraId="3B539A6D" w14:textId="77777777" w:rsidR="00C62854" w:rsidRPr="00B11441" w:rsidRDefault="00C62854" w:rsidP="007C4F3B">
            <w:pPr>
              <w:pStyle w:val="PwCNormal"/>
              <w:keepNext/>
              <w:numPr>
                <w:ilvl w:val="0"/>
                <w:numId w:val="1"/>
              </w:numPr>
              <w:rPr>
                <w:b/>
                <w:snapToGrid/>
                <w:color w:val="FFFFFF" w:themeColor="background1"/>
                <w:sz w:val="14"/>
                <w:szCs w:val="14"/>
                <w:lang w:eastAsia="en-AU"/>
              </w:rPr>
            </w:pPr>
          </w:p>
          <w:p w14:paraId="11582B2E" w14:textId="77777777" w:rsidR="00C62854" w:rsidRPr="00B11441" w:rsidRDefault="00C62854" w:rsidP="007C4F3B">
            <w:pPr>
              <w:pStyle w:val="PwCNormal"/>
              <w:keepNext/>
              <w:numPr>
                <w:ilvl w:val="0"/>
                <w:numId w:val="1"/>
              </w:numPr>
              <w:rPr>
                <w:b/>
                <w:snapToGrid/>
                <w:color w:val="FFFFFF" w:themeColor="background1"/>
                <w:sz w:val="14"/>
                <w:szCs w:val="14"/>
                <w:lang w:eastAsia="en-AU"/>
              </w:rPr>
            </w:pPr>
            <w:r w:rsidRPr="00B11441">
              <w:rPr>
                <w:b/>
                <w:snapToGrid/>
                <w:color w:val="FFFFFF" w:themeColor="background1"/>
                <w:sz w:val="14"/>
                <w:szCs w:val="14"/>
                <w:lang w:eastAsia="en-AU"/>
              </w:rPr>
              <w:t>Population segment</w:t>
            </w:r>
          </w:p>
        </w:tc>
        <w:tc>
          <w:tcPr>
            <w:tcW w:w="1134"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7E7D468B" w14:textId="77777777" w:rsidR="00C62854" w:rsidRPr="00B11441" w:rsidRDefault="00C62854" w:rsidP="007C4F3B">
            <w:pPr>
              <w:keepNext/>
              <w:kinsoku/>
              <w:overflowPunct/>
              <w:autoSpaceDE/>
              <w:autoSpaceDN/>
              <w:adjustRightInd/>
              <w:snapToGrid/>
              <w:jc w:val="center"/>
              <w:rPr>
                <w:rFonts w:cstheme="minorHAnsi"/>
                <w:b/>
                <w:snapToGrid/>
                <w:color w:val="FFFFFF"/>
                <w:sz w:val="14"/>
                <w:szCs w:val="14"/>
                <w:lang w:eastAsia="en-AU"/>
              </w:rPr>
            </w:pPr>
          </w:p>
          <w:p w14:paraId="27084399" w14:textId="77777777" w:rsidR="00C62854" w:rsidRPr="00B11441" w:rsidRDefault="00C62854" w:rsidP="007C4F3B">
            <w:pPr>
              <w:keepNext/>
              <w:kinsoku/>
              <w:overflowPunct/>
              <w:autoSpaceDE/>
              <w:autoSpaceDN/>
              <w:adjustRightInd/>
              <w:snapToGrid/>
              <w:jc w:val="center"/>
              <w:rPr>
                <w:rFonts w:cstheme="minorHAnsi"/>
                <w:b/>
                <w:snapToGrid/>
                <w:color w:val="FFFFFF"/>
                <w:sz w:val="14"/>
                <w:szCs w:val="14"/>
                <w:lang w:eastAsia="en-AU"/>
              </w:rPr>
            </w:pPr>
            <w:r w:rsidRPr="00B11441">
              <w:rPr>
                <w:rFonts w:cstheme="minorHAnsi"/>
                <w:b/>
                <w:snapToGrid/>
                <w:color w:val="FFFFFF"/>
                <w:sz w:val="14"/>
                <w:szCs w:val="14"/>
                <w:lang w:eastAsia="en-AU"/>
              </w:rPr>
              <w:t>Expected future lifetime (years)</w:t>
            </w:r>
          </w:p>
        </w:tc>
        <w:tc>
          <w:tcPr>
            <w:tcW w:w="1702"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03161D3A" w14:textId="77777777" w:rsidR="00C62854" w:rsidRPr="00B11441" w:rsidRDefault="00C62854" w:rsidP="007C4F3B">
            <w:pPr>
              <w:keepNext/>
              <w:kinsoku/>
              <w:overflowPunct/>
              <w:autoSpaceDE/>
              <w:autoSpaceDN/>
              <w:adjustRightInd/>
              <w:snapToGrid/>
              <w:jc w:val="center"/>
              <w:rPr>
                <w:rFonts w:cstheme="minorHAnsi"/>
                <w:b/>
                <w:snapToGrid/>
                <w:color w:val="FFFFFF"/>
                <w:sz w:val="14"/>
                <w:szCs w:val="14"/>
                <w:lang w:eastAsia="en-AU"/>
              </w:rPr>
            </w:pPr>
          </w:p>
          <w:p w14:paraId="026BE8FB" w14:textId="77777777" w:rsidR="00C62854" w:rsidRPr="00B11441" w:rsidRDefault="00C62854" w:rsidP="007C4F3B">
            <w:pPr>
              <w:keepNext/>
              <w:kinsoku/>
              <w:overflowPunct/>
              <w:autoSpaceDE/>
              <w:autoSpaceDN/>
              <w:adjustRightInd/>
              <w:snapToGrid/>
              <w:jc w:val="center"/>
              <w:rPr>
                <w:rFonts w:cstheme="minorHAnsi"/>
                <w:b/>
                <w:snapToGrid/>
                <w:color w:val="FFFFFF"/>
                <w:sz w:val="14"/>
                <w:szCs w:val="14"/>
                <w:lang w:eastAsia="en-AU"/>
              </w:rPr>
            </w:pPr>
            <w:r w:rsidRPr="00B11441">
              <w:rPr>
                <w:rFonts w:cstheme="minorHAnsi"/>
                <w:b/>
                <w:snapToGrid/>
                <w:color w:val="FFFFFF"/>
                <w:sz w:val="14"/>
                <w:szCs w:val="14"/>
                <w:lang w:eastAsia="en-AU"/>
              </w:rPr>
              <w:t>Proportion of years receiving some income support payments</w:t>
            </w:r>
          </w:p>
        </w:tc>
        <w:tc>
          <w:tcPr>
            <w:tcW w:w="1703"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00D58D6D" w14:textId="77777777" w:rsidR="00C62854" w:rsidRPr="00B11441" w:rsidRDefault="00C62854" w:rsidP="007C4F3B">
            <w:pPr>
              <w:keepNext/>
              <w:kinsoku/>
              <w:overflowPunct/>
              <w:autoSpaceDE/>
              <w:autoSpaceDN/>
              <w:adjustRightInd/>
              <w:snapToGrid/>
              <w:jc w:val="center"/>
              <w:rPr>
                <w:rFonts w:cstheme="minorHAnsi"/>
                <w:b/>
                <w:snapToGrid/>
                <w:color w:val="FFFFFF"/>
                <w:sz w:val="14"/>
                <w:szCs w:val="14"/>
                <w:lang w:eastAsia="en-AU"/>
              </w:rPr>
            </w:pPr>
          </w:p>
          <w:p w14:paraId="1B9F4777" w14:textId="77777777" w:rsidR="00C62854" w:rsidRPr="00B11441" w:rsidRDefault="00C62854" w:rsidP="007C4F3B">
            <w:pPr>
              <w:keepNext/>
              <w:kinsoku/>
              <w:overflowPunct/>
              <w:autoSpaceDE/>
              <w:autoSpaceDN/>
              <w:adjustRightInd/>
              <w:snapToGrid/>
              <w:jc w:val="center"/>
              <w:rPr>
                <w:rFonts w:cstheme="minorHAnsi"/>
                <w:b/>
                <w:snapToGrid/>
                <w:color w:val="FFFFFF"/>
                <w:sz w:val="14"/>
                <w:szCs w:val="14"/>
                <w:lang w:eastAsia="en-AU"/>
              </w:rPr>
            </w:pPr>
            <w:r w:rsidRPr="00B11441">
              <w:rPr>
                <w:rFonts w:cstheme="minorHAnsi"/>
                <w:b/>
                <w:snapToGrid/>
                <w:color w:val="FFFFFF"/>
                <w:sz w:val="14"/>
                <w:szCs w:val="14"/>
                <w:lang w:eastAsia="en-AU"/>
              </w:rPr>
              <w:t>Proportion of years receiving some non income support payments only</w:t>
            </w:r>
          </w:p>
        </w:tc>
        <w:tc>
          <w:tcPr>
            <w:tcW w:w="1703"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48856D46" w14:textId="77777777" w:rsidR="00C62854" w:rsidRPr="00B11441" w:rsidRDefault="00C62854" w:rsidP="007C4F3B">
            <w:pPr>
              <w:keepNext/>
              <w:kinsoku/>
              <w:overflowPunct/>
              <w:autoSpaceDE/>
              <w:autoSpaceDN/>
              <w:adjustRightInd/>
              <w:snapToGrid/>
              <w:jc w:val="center"/>
              <w:rPr>
                <w:rFonts w:cstheme="minorHAnsi"/>
                <w:b/>
                <w:snapToGrid/>
                <w:color w:val="FFFFFF"/>
                <w:sz w:val="14"/>
                <w:szCs w:val="14"/>
                <w:lang w:eastAsia="en-AU"/>
              </w:rPr>
            </w:pPr>
          </w:p>
          <w:p w14:paraId="41BDE1CF" w14:textId="77777777" w:rsidR="00C62854" w:rsidRPr="00B11441" w:rsidRDefault="00C62854" w:rsidP="007C4F3B">
            <w:pPr>
              <w:keepNext/>
              <w:kinsoku/>
              <w:overflowPunct/>
              <w:autoSpaceDE/>
              <w:autoSpaceDN/>
              <w:adjustRightInd/>
              <w:snapToGrid/>
              <w:jc w:val="center"/>
              <w:rPr>
                <w:rFonts w:cstheme="minorHAnsi"/>
                <w:b/>
                <w:snapToGrid/>
                <w:color w:val="FFFFFF"/>
                <w:sz w:val="14"/>
                <w:szCs w:val="14"/>
                <w:lang w:eastAsia="en-AU"/>
              </w:rPr>
            </w:pPr>
            <w:r w:rsidRPr="00B11441">
              <w:rPr>
                <w:rFonts w:cstheme="minorHAnsi"/>
                <w:b/>
                <w:snapToGrid/>
                <w:color w:val="FFFFFF"/>
                <w:sz w:val="14"/>
                <w:szCs w:val="14"/>
                <w:lang w:eastAsia="en-AU"/>
              </w:rPr>
              <w:t>Proportion of years receiving no welfare payments</w:t>
            </w:r>
          </w:p>
        </w:tc>
      </w:tr>
      <w:tr w:rsidR="00C62854" w:rsidRPr="009210D0" w14:paraId="7458CFE7" w14:textId="77777777" w:rsidTr="00156206">
        <w:trPr>
          <w:trHeight w:val="227"/>
          <w:tblHeader/>
        </w:trPr>
        <w:tc>
          <w:tcPr>
            <w:tcW w:w="3458" w:type="dxa"/>
            <w:tcBorders>
              <w:top w:val="single" w:sz="4" w:space="0" w:color="FFFFFF" w:themeColor="background1"/>
              <w:left w:val="nil"/>
              <w:bottom w:val="single" w:sz="4" w:space="0" w:color="E02628"/>
              <w:right w:val="nil"/>
            </w:tcBorders>
            <w:shd w:val="clear" w:color="auto" w:fill="E02628"/>
            <w:noWrap/>
            <w:vAlign w:val="center"/>
            <w:hideMark/>
          </w:tcPr>
          <w:p w14:paraId="27BE4F27" w14:textId="77777777" w:rsidR="00C62854" w:rsidRPr="00B11441" w:rsidRDefault="00C62854" w:rsidP="007C4F3B">
            <w:pPr>
              <w:keepNext/>
              <w:kinsoku/>
              <w:overflowPunct/>
              <w:autoSpaceDE/>
              <w:autoSpaceDN/>
              <w:adjustRightInd/>
              <w:snapToGrid/>
              <w:rPr>
                <w:rFonts w:cstheme="minorHAnsi"/>
                <w:snapToGrid/>
                <w:color w:val="FFFFFF" w:themeColor="background1"/>
                <w:sz w:val="14"/>
                <w:szCs w:val="14"/>
                <w:lang w:eastAsia="en-AU"/>
              </w:rPr>
            </w:pPr>
            <w:r w:rsidRPr="00B11441">
              <w:rPr>
                <w:rFonts w:cstheme="minorHAnsi"/>
                <w:snapToGrid/>
                <w:color w:val="FFFFFF" w:themeColor="background1"/>
                <w:sz w:val="14"/>
                <w:szCs w:val="14"/>
                <w:lang w:eastAsia="en-AU"/>
              </w:rPr>
              <w:t>Current welfare recipients</w:t>
            </w:r>
          </w:p>
        </w:tc>
        <w:tc>
          <w:tcPr>
            <w:tcW w:w="1134" w:type="dxa"/>
            <w:tcBorders>
              <w:top w:val="single" w:sz="4" w:space="0" w:color="FFFFFF" w:themeColor="background1"/>
              <w:left w:val="nil"/>
              <w:bottom w:val="single" w:sz="4" w:space="0" w:color="E02628"/>
              <w:right w:val="nil"/>
            </w:tcBorders>
            <w:shd w:val="clear" w:color="auto" w:fill="E02628"/>
            <w:noWrap/>
            <w:vAlign w:val="center"/>
            <w:hideMark/>
          </w:tcPr>
          <w:p w14:paraId="4AEF5DD0" w14:textId="77777777" w:rsidR="00C62854" w:rsidRPr="00B11441" w:rsidRDefault="00C62854" w:rsidP="007C4F3B">
            <w:pPr>
              <w:keepNext/>
              <w:kinsoku/>
              <w:overflowPunct/>
              <w:autoSpaceDE/>
              <w:autoSpaceDN/>
              <w:adjustRightInd/>
              <w:snapToGrid/>
              <w:jc w:val="right"/>
              <w:rPr>
                <w:rFonts w:ascii="Arial" w:hAnsi="Arial"/>
                <w:snapToGrid/>
                <w:color w:val="FFFFFF" w:themeColor="background1"/>
                <w:sz w:val="14"/>
                <w:szCs w:val="14"/>
                <w:lang w:eastAsia="en-AU"/>
              </w:rPr>
            </w:pPr>
            <w:r w:rsidRPr="00B11441">
              <w:rPr>
                <w:rFonts w:ascii="Arial" w:hAnsi="Arial"/>
                <w:snapToGrid/>
                <w:color w:val="FFFFFF" w:themeColor="background1"/>
                <w:sz w:val="14"/>
                <w:szCs w:val="14"/>
                <w:lang w:eastAsia="en-AU"/>
              </w:rPr>
              <w:t> </w:t>
            </w:r>
          </w:p>
        </w:tc>
        <w:tc>
          <w:tcPr>
            <w:tcW w:w="1702" w:type="dxa"/>
            <w:tcBorders>
              <w:top w:val="single" w:sz="4" w:space="0" w:color="FFFFFF" w:themeColor="background1"/>
              <w:left w:val="nil"/>
              <w:bottom w:val="single" w:sz="4" w:space="0" w:color="E02628"/>
              <w:right w:val="nil"/>
            </w:tcBorders>
            <w:shd w:val="clear" w:color="auto" w:fill="E02628"/>
            <w:noWrap/>
            <w:vAlign w:val="center"/>
            <w:hideMark/>
          </w:tcPr>
          <w:p w14:paraId="5BEEDBD0" w14:textId="77777777" w:rsidR="00C62854" w:rsidRPr="00B11441" w:rsidRDefault="00C62854" w:rsidP="007C4F3B">
            <w:pPr>
              <w:keepNext/>
              <w:kinsoku/>
              <w:overflowPunct/>
              <w:autoSpaceDE/>
              <w:autoSpaceDN/>
              <w:adjustRightInd/>
              <w:snapToGrid/>
              <w:jc w:val="right"/>
              <w:rPr>
                <w:rFonts w:ascii="Arial" w:hAnsi="Arial"/>
                <w:snapToGrid/>
                <w:color w:val="FFFFFF" w:themeColor="background1"/>
                <w:sz w:val="14"/>
                <w:szCs w:val="14"/>
                <w:lang w:eastAsia="en-AU"/>
              </w:rPr>
            </w:pPr>
            <w:r w:rsidRPr="00B11441">
              <w:rPr>
                <w:rFonts w:ascii="Arial" w:hAnsi="Arial"/>
                <w:snapToGrid/>
                <w:color w:val="FFFFFF" w:themeColor="background1"/>
                <w:sz w:val="14"/>
                <w:szCs w:val="14"/>
                <w:lang w:eastAsia="en-AU"/>
              </w:rPr>
              <w:t> </w:t>
            </w:r>
          </w:p>
        </w:tc>
        <w:tc>
          <w:tcPr>
            <w:tcW w:w="1703" w:type="dxa"/>
            <w:tcBorders>
              <w:top w:val="single" w:sz="4" w:space="0" w:color="FFFFFF" w:themeColor="background1"/>
              <w:left w:val="nil"/>
              <w:bottom w:val="single" w:sz="4" w:space="0" w:color="E02628"/>
              <w:right w:val="nil"/>
            </w:tcBorders>
            <w:shd w:val="clear" w:color="auto" w:fill="E02628"/>
            <w:noWrap/>
            <w:vAlign w:val="center"/>
            <w:hideMark/>
          </w:tcPr>
          <w:p w14:paraId="75739FF0" w14:textId="77777777" w:rsidR="00C62854" w:rsidRPr="00B11441" w:rsidRDefault="00C62854" w:rsidP="007C4F3B">
            <w:pPr>
              <w:keepNext/>
              <w:kinsoku/>
              <w:overflowPunct/>
              <w:autoSpaceDE/>
              <w:autoSpaceDN/>
              <w:adjustRightInd/>
              <w:snapToGrid/>
              <w:jc w:val="right"/>
              <w:rPr>
                <w:rFonts w:ascii="Arial" w:hAnsi="Arial"/>
                <w:snapToGrid/>
                <w:color w:val="FFFFFF" w:themeColor="background1"/>
                <w:sz w:val="14"/>
                <w:szCs w:val="14"/>
                <w:lang w:eastAsia="en-AU"/>
              </w:rPr>
            </w:pPr>
            <w:r w:rsidRPr="00B11441">
              <w:rPr>
                <w:rFonts w:ascii="Arial" w:hAnsi="Arial"/>
                <w:snapToGrid/>
                <w:color w:val="FFFFFF" w:themeColor="background1"/>
                <w:sz w:val="14"/>
                <w:szCs w:val="14"/>
                <w:lang w:eastAsia="en-AU"/>
              </w:rPr>
              <w:t> </w:t>
            </w:r>
          </w:p>
        </w:tc>
        <w:tc>
          <w:tcPr>
            <w:tcW w:w="1703" w:type="dxa"/>
            <w:tcBorders>
              <w:top w:val="single" w:sz="4" w:space="0" w:color="FFFFFF" w:themeColor="background1"/>
              <w:left w:val="nil"/>
              <w:bottom w:val="single" w:sz="4" w:space="0" w:color="E02628"/>
              <w:right w:val="nil"/>
            </w:tcBorders>
            <w:shd w:val="clear" w:color="auto" w:fill="E02628"/>
            <w:noWrap/>
            <w:vAlign w:val="center"/>
            <w:hideMark/>
          </w:tcPr>
          <w:p w14:paraId="6FCBB12C" w14:textId="77777777" w:rsidR="00C62854" w:rsidRPr="00B11441" w:rsidRDefault="00C62854" w:rsidP="007C4F3B">
            <w:pPr>
              <w:keepNext/>
              <w:kinsoku/>
              <w:overflowPunct/>
              <w:autoSpaceDE/>
              <w:autoSpaceDN/>
              <w:adjustRightInd/>
              <w:snapToGrid/>
              <w:jc w:val="right"/>
              <w:rPr>
                <w:rFonts w:ascii="Arial" w:hAnsi="Arial"/>
                <w:snapToGrid/>
                <w:color w:val="FFFFFF" w:themeColor="background1"/>
                <w:sz w:val="14"/>
                <w:szCs w:val="14"/>
                <w:lang w:eastAsia="en-AU"/>
              </w:rPr>
            </w:pPr>
          </w:p>
        </w:tc>
      </w:tr>
      <w:tr w:rsidR="00C62854" w:rsidRPr="009210D0" w14:paraId="58AD3836"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0E2CD8EB" w14:textId="77777777" w:rsidR="00C62854" w:rsidRPr="00B11441" w:rsidRDefault="00C62854" w:rsidP="007C4F3B">
            <w:pPr>
              <w:pStyle w:val="TableTextSmall"/>
              <w:keepNext/>
              <w:ind w:left="227"/>
              <w:rPr>
                <w:snapToGrid/>
                <w:sz w:val="14"/>
                <w:szCs w:val="14"/>
                <w:lang w:eastAsia="en-AU"/>
              </w:rPr>
            </w:pPr>
            <w:r w:rsidRPr="00B11441">
              <w:rPr>
                <w:snapToGrid/>
                <w:sz w:val="14"/>
                <w:szCs w:val="14"/>
                <w:lang w:eastAsia="en-AU"/>
              </w:rPr>
              <w:t>- Studying payment recipients</w:t>
            </w:r>
          </w:p>
        </w:tc>
        <w:tc>
          <w:tcPr>
            <w:tcW w:w="1134" w:type="dxa"/>
            <w:tcBorders>
              <w:top w:val="single" w:sz="4" w:space="0" w:color="E02628"/>
              <w:left w:val="nil"/>
              <w:bottom w:val="single" w:sz="4" w:space="0" w:color="E02628"/>
              <w:right w:val="nil"/>
            </w:tcBorders>
            <w:shd w:val="clear" w:color="000000" w:fill="FFFFFF"/>
            <w:noWrap/>
            <w:hideMark/>
          </w:tcPr>
          <w:p w14:paraId="698A568E"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67</w:t>
            </w:r>
          </w:p>
        </w:tc>
        <w:tc>
          <w:tcPr>
            <w:tcW w:w="1702" w:type="dxa"/>
            <w:tcBorders>
              <w:top w:val="single" w:sz="4" w:space="0" w:color="E02628"/>
              <w:left w:val="nil"/>
              <w:bottom w:val="single" w:sz="4" w:space="0" w:color="E02628"/>
              <w:right w:val="nil"/>
            </w:tcBorders>
            <w:shd w:val="clear" w:color="000000" w:fill="FFFFFF"/>
            <w:noWrap/>
          </w:tcPr>
          <w:p w14:paraId="7B2785B6"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40%</w:t>
            </w:r>
          </w:p>
        </w:tc>
        <w:tc>
          <w:tcPr>
            <w:tcW w:w="1703" w:type="dxa"/>
            <w:tcBorders>
              <w:top w:val="single" w:sz="4" w:space="0" w:color="E02628"/>
              <w:left w:val="nil"/>
              <w:bottom w:val="single" w:sz="4" w:space="0" w:color="E02628"/>
              <w:right w:val="nil"/>
            </w:tcBorders>
            <w:shd w:val="clear" w:color="000000" w:fill="FFFFFF"/>
            <w:noWrap/>
          </w:tcPr>
          <w:p w14:paraId="3641882F"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8%</w:t>
            </w:r>
          </w:p>
        </w:tc>
        <w:tc>
          <w:tcPr>
            <w:tcW w:w="1703" w:type="dxa"/>
            <w:tcBorders>
              <w:top w:val="single" w:sz="4" w:space="0" w:color="E02628"/>
              <w:left w:val="nil"/>
              <w:bottom w:val="single" w:sz="4" w:space="0" w:color="E02628"/>
              <w:right w:val="nil"/>
            </w:tcBorders>
            <w:shd w:val="clear" w:color="000000" w:fill="FFFFFF"/>
            <w:noWrap/>
          </w:tcPr>
          <w:p w14:paraId="0B1250AA"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51%</w:t>
            </w:r>
          </w:p>
        </w:tc>
      </w:tr>
      <w:tr w:rsidR="00C62854" w:rsidRPr="009210D0" w14:paraId="003C78C3"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08526123" w14:textId="77777777" w:rsidR="00C62854" w:rsidRPr="00B11441" w:rsidRDefault="00C62854" w:rsidP="007C4F3B">
            <w:pPr>
              <w:pStyle w:val="TableTextSmall"/>
              <w:keepNext/>
              <w:ind w:left="227"/>
              <w:rPr>
                <w:snapToGrid/>
                <w:sz w:val="14"/>
                <w:szCs w:val="14"/>
                <w:lang w:eastAsia="en-AU"/>
              </w:rPr>
            </w:pPr>
            <w:r w:rsidRPr="00B11441">
              <w:rPr>
                <w:snapToGrid/>
                <w:sz w:val="14"/>
                <w:szCs w:val="14"/>
                <w:lang w:eastAsia="en-AU"/>
              </w:rPr>
              <w:t>- Working age payment recipients</w:t>
            </w:r>
          </w:p>
        </w:tc>
        <w:tc>
          <w:tcPr>
            <w:tcW w:w="1134" w:type="dxa"/>
            <w:tcBorders>
              <w:top w:val="single" w:sz="4" w:space="0" w:color="E02628"/>
              <w:left w:val="nil"/>
              <w:bottom w:val="single" w:sz="4" w:space="0" w:color="E02628"/>
              <w:right w:val="nil"/>
            </w:tcBorders>
            <w:shd w:val="clear" w:color="000000" w:fill="FFFFFF"/>
            <w:noWrap/>
            <w:hideMark/>
          </w:tcPr>
          <w:p w14:paraId="5B65364F"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49</w:t>
            </w:r>
          </w:p>
        </w:tc>
        <w:tc>
          <w:tcPr>
            <w:tcW w:w="1702" w:type="dxa"/>
            <w:tcBorders>
              <w:top w:val="single" w:sz="4" w:space="0" w:color="E02628"/>
              <w:left w:val="nil"/>
              <w:bottom w:val="single" w:sz="4" w:space="0" w:color="E02628"/>
              <w:right w:val="nil"/>
            </w:tcBorders>
            <w:shd w:val="clear" w:color="000000" w:fill="FFFFFF"/>
            <w:noWrap/>
          </w:tcPr>
          <w:p w14:paraId="54E15030"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62%</w:t>
            </w:r>
          </w:p>
        </w:tc>
        <w:tc>
          <w:tcPr>
            <w:tcW w:w="1703" w:type="dxa"/>
            <w:tcBorders>
              <w:top w:val="single" w:sz="4" w:space="0" w:color="E02628"/>
              <w:left w:val="nil"/>
              <w:bottom w:val="single" w:sz="4" w:space="0" w:color="E02628"/>
              <w:right w:val="nil"/>
            </w:tcBorders>
            <w:shd w:val="clear" w:color="000000" w:fill="FFFFFF"/>
            <w:noWrap/>
          </w:tcPr>
          <w:p w14:paraId="62CE12F5"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5%</w:t>
            </w:r>
          </w:p>
        </w:tc>
        <w:tc>
          <w:tcPr>
            <w:tcW w:w="1703" w:type="dxa"/>
            <w:tcBorders>
              <w:top w:val="single" w:sz="4" w:space="0" w:color="E02628"/>
              <w:left w:val="nil"/>
              <w:bottom w:val="single" w:sz="4" w:space="0" w:color="E02628"/>
              <w:right w:val="nil"/>
            </w:tcBorders>
            <w:shd w:val="clear" w:color="000000" w:fill="FFFFFF"/>
            <w:noWrap/>
          </w:tcPr>
          <w:p w14:paraId="16BA32D3"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33%</w:t>
            </w:r>
          </w:p>
        </w:tc>
      </w:tr>
      <w:tr w:rsidR="00C62854" w:rsidRPr="009210D0" w14:paraId="76515772"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2AF1757B" w14:textId="77777777" w:rsidR="00C62854" w:rsidRPr="00B11441" w:rsidRDefault="00C62854" w:rsidP="007C4F3B">
            <w:pPr>
              <w:pStyle w:val="TableTextSmall"/>
              <w:keepNext/>
              <w:ind w:left="227"/>
              <w:rPr>
                <w:snapToGrid/>
                <w:sz w:val="14"/>
                <w:szCs w:val="14"/>
                <w:lang w:eastAsia="en-AU"/>
              </w:rPr>
            </w:pPr>
            <w:r w:rsidRPr="00B11441">
              <w:rPr>
                <w:snapToGrid/>
                <w:sz w:val="14"/>
                <w:szCs w:val="14"/>
                <w:lang w:eastAsia="en-AU"/>
              </w:rPr>
              <w:t>- Parenting payment recipients</w:t>
            </w:r>
          </w:p>
        </w:tc>
        <w:tc>
          <w:tcPr>
            <w:tcW w:w="1134" w:type="dxa"/>
            <w:tcBorders>
              <w:top w:val="single" w:sz="4" w:space="0" w:color="E02628"/>
              <w:left w:val="nil"/>
              <w:bottom w:val="single" w:sz="4" w:space="0" w:color="E02628"/>
              <w:right w:val="nil"/>
            </w:tcBorders>
            <w:shd w:val="clear" w:color="000000" w:fill="FFFFFF"/>
            <w:noWrap/>
            <w:hideMark/>
          </w:tcPr>
          <w:p w14:paraId="0C34C2B6"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57</w:t>
            </w:r>
          </w:p>
        </w:tc>
        <w:tc>
          <w:tcPr>
            <w:tcW w:w="1702" w:type="dxa"/>
            <w:tcBorders>
              <w:top w:val="single" w:sz="4" w:space="0" w:color="E02628"/>
              <w:left w:val="nil"/>
              <w:bottom w:val="single" w:sz="4" w:space="0" w:color="E02628"/>
              <w:right w:val="nil"/>
            </w:tcBorders>
            <w:shd w:val="clear" w:color="000000" w:fill="FFFFFF"/>
            <w:noWrap/>
          </w:tcPr>
          <w:p w14:paraId="5F1E6581"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64%</w:t>
            </w:r>
          </w:p>
        </w:tc>
        <w:tc>
          <w:tcPr>
            <w:tcW w:w="1703" w:type="dxa"/>
            <w:tcBorders>
              <w:top w:val="single" w:sz="4" w:space="0" w:color="E02628"/>
              <w:left w:val="nil"/>
              <w:bottom w:val="single" w:sz="4" w:space="0" w:color="E02628"/>
              <w:right w:val="nil"/>
            </w:tcBorders>
            <w:shd w:val="clear" w:color="000000" w:fill="FFFFFF"/>
            <w:noWrap/>
          </w:tcPr>
          <w:p w14:paraId="2C28F835"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9%</w:t>
            </w:r>
          </w:p>
        </w:tc>
        <w:tc>
          <w:tcPr>
            <w:tcW w:w="1703" w:type="dxa"/>
            <w:tcBorders>
              <w:top w:val="single" w:sz="4" w:space="0" w:color="E02628"/>
              <w:left w:val="nil"/>
              <w:bottom w:val="single" w:sz="4" w:space="0" w:color="E02628"/>
              <w:right w:val="nil"/>
            </w:tcBorders>
            <w:shd w:val="clear" w:color="000000" w:fill="FFFFFF"/>
            <w:noWrap/>
          </w:tcPr>
          <w:p w14:paraId="3AC6C3C6"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27%</w:t>
            </w:r>
          </w:p>
        </w:tc>
      </w:tr>
      <w:tr w:rsidR="00C62854" w:rsidRPr="009210D0" w14:paraId="676093D4"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2994AC6C" w14:textId="77777777" w:rsidR="00C62854" w:rsidRPr="00B11441" w:rsidRDefault="00C62854" w:rsidP="007C4F3B">
            <w:pPr>
              <w:pStyle w:val="TableTextSmall"/>
              <w:keepNext/>
              <w:ind w:left="227"/>
              <w:rPr>
                <w:snapToGrid/>
                <w:sz w:val="14"/>
                <w:szCs w:val="14"/>
                <w:lang w:eastAsia="en-AU"/>
              </w:rPr>
            </w:pPr>
            <w:r w:rsidRPr="00B11441">
              <w:rPr>
                <w:snapToGrid/>
                <w:sz w:val="14"/>
                <w:szCs w:val="14"/>
                <w:lang w:eastAsia="en-AU"/>
              </w:rPr>
              <w:t>- Carer payment recipients</w:t>
            </w:r>
          </w:p>
        </w:tc>
        <w:tc>
          <w:tcPr>
            <w:tcW w:w="1134" w:type="dxa"/>
            <w:tcBorders>
              <w:top w:val="single" w:sz="4" w:space="0" w:color="E02628"/>
              <w:left w:val="nil"/>
              <w:bottom w:val="single" w:sz="4" w:space="0" w:color="E02628"/>
              <w:right w:val="nil"/>
            </w:tcBorders>
            <w:shd w:val="clear" w:color="000000" w:fill="FFFFFF"/>
            <w:noWrap/>
            <w:hideMark/>
          </w:tcPr>
          <w:p w14:paraId="47A77663"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37</w:t>
            </w:r>
          </w:p>
        </w:tc>
        <w:tc>
          <w:tcPr>
            <w:tcW w:w="1702" w:type="dxa"/>
            <w:tcBorders>
              <w:top w:val="single" w:sz="4" w:space="0" w:color="E02628"/>
              <w:left w:val="nil"/>
              <w:bottom w:val="single" w:sz="4" w:space="0" w:color="E02628"/>
              <w:right w:val="nil"/>
            </w:tcBorders>
            <w:shd w:val="clear" w:color="000000" w:fill="FFFFFF"/>
            <w:noWrap/>
          </w:tcPr>
          <w:p w14:paraId="7E7594EB"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84%</w:t>
            </w:r>
          </w:p>
        </w:tc>
        <w:tc>
          <w:tcPr>
            <w:tcW w:w="1703" w:type="dxa"/>
            <w:tcBorders>
              <w:top w:val="single" w:sz="4" w:space="0" w:color="E02628"/>
              <w:left w:val="nil"/>
              <w:bottom w:val="single" w:sz="4" w:space="0" w:color="E02628"/>
              <w:right w:val="nil"/>
            </w:tcBorders>
            <w:shd w:val="clear" w:color="000000" w:fill="FFFFFF"/>
            <w:noWrap/>
          </w:tcPr>
          <w:p w14:paraId="7FDEFD38"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4%</w:t>
            </w:r>
          </w:p>
        </w:tc>
        <w:tc>
          <w:tcPr>
            <w:tcW w:w="1703" w:type="dxa"/>
            <w:tcBorders>
              <w:top w:val="single" w:sz="4" w:space="0" w:color="E02628"/>
              <w:left w:val="nil"/>
              <w:bottom w:val="single" w:sz="4" w:space="0" w:color="E02628"/>
              <w:right w:val="nil"/>
            </w:tcBorders>
            <w:shd w:val="clear" w:color="000000" w:fill="FFFFFF"/>
            <w:noWrap/>
          </w:tcPr>
          <w:p w14:paraId="28A5454E"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12%</w:t>
            </w:r>
          </w:p>
        </w:tc>
      </w:tr>
      <w:tr w:rsidR="00C62854" w:rsidRPr="009210D0" w14:paraId="221280B5"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7F142BB1" w14:textId="77777777" w:rsidR="00C62854" w:rsidRPr="00B11441" w:rsidRDefault="00C62854" w:rsidP="007C4F3B">
            <w:pPr>
              <w:pStyle w:val="TableTextSmall"/>
              <w:keepNext/>
              <w:ind w:left="227"/>
              <w:rPr>
                <w:snapToGrid/>
                <w:sz w:val="14"/>
                <w:szCs w:val="14"/>
                <w:lang w:eastAsia="en-AU"/>
              </w:rPr>
            </w:pPr>
            <w:r w:rsidRPr="00B11441">
              <w:rPr>
                <w:snapToGrid/>
                <w:sz w:val="14"/>
                <w:szCs w:val="14"/>
                <w:lang w:eastAsia="en-AU"/>
              </w:rPr>
              <w:t>- Disability support pensioners</w:t>
            </w:r>
          </w:p>
        </w:tc>
        <w:tc>
          <w:tcPr>
            <w:tcW w:w="1134" w:type="dxa"/>
            <w:tcBorders>
              <w:top w:val="single" w:sz="4" w:space="0" w:color="E02628"/>
              <w:left w:val="nil"/>
              <w:bottom w:val="single" w:sz="4" w:space="0" w:color="E02628"/>
              <w:right w:val="nil"/>
            </w:tcBorders>
            <w:shd w:val="clear" w:color="000000" w:fill="FFFFFF"/>
            <w:noWrap/>
            <w:hideMark/>
          </w:tcPr>
          <w:p w14:paraId="43DD12EC"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34</w:t>
            </w:r>
          </w:p>
        </w:tc>
        <w:tc>
          <w:tcPr>
            <w:tcW w:w="1702" w:type="dxa"/>
            <w:tcBorders>
              <w:top w:val="single" w:sz="4" w:space="0" w:color="E02628"/>
              <w:left w:val="nil"/>
              <w:bottom w:val="single" w:sz="4" w:space="0" w:color="E02628"/>
              <w:right w:val="nil"/>
            </w:tcBorders>
            <w:shd w:val="clear" w:color="000000" w:fill="FFFFFF"/>
            <w:noWrap/>
          </w:tcPr>
          <w:p w14:paraId="132BB7B0"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94%</w:t>
            </w:r>
          </w:p>
        </w:tc>
        <w:tc>
          <w:tcPr>
            <w:tcW w:w="1703" w:type="dxa"/>
            <w:tcBorders>
              <w:top w:val="single" w:sz="4" w:space="0" w:color="E02628"/>
              <w:left w:val="nil"/>
              <w:bottom w:val="single" w:sz="4" w:space="0" w:color="E02628"/>
              <w:right w:val="nil"/>
            </w:tcBorders>
            <w:shd w:val="clear" w:color="000000" w:fill="FFFFFF"/>
            <w:noWrap/>
          </w:tcPr>
          <w:p w14:paraId="0F328726"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1%</w:t>
            </w:r>
          </w:p>
        </w:tc>
        <w:tc>
          <w:tcPr>
            <w:tcW w:w="1703" w:type="dxa"/>
            <w:tcBorders>
              <w:top w:val="single" w:sz="4" w:space="0" w:color="E02628"/>
              <w:left w:val="nil"/>
              <w:bottom w:val="single" w:sz="4" w:space="0" w:color="E02628"/>
              <w:right w:val="nil"/>
            </w:tcBorders>
            <w:shd w:val="clear" w:color="000000" w:fill="FFFFFF"/>
            <w:noWrap/>
          </w:tcPr>
          <w:p w14:paraId="207776BA"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4%</w:t>
            </w:r>
          </w:p>
        </w:tc>
      </w:tr>
      <w:tr w:rsidR="00C62854" w:rsidRPr="009210D0" w14:paraId="42A6B2B3"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3AE07001" w14:textId="77777777" w:rsidR="00C62854" w:rsidRPr="00B11441" w:rsidRDefault="00C62854" w:rsidP="007C4F3B">
            <w:pPr>
              <w:pStyle w:val="TableTextSmall"/>
              <w:keepNext/>
              <w:ind w:left="227"/>
              <w:rPr>
                <w:snapToGrid/>
                <w:sz w:val="14"/>
                <w:szCs w:val="14"/>
                <w:lang w:eastAsia="en-AU"/>
              </w:rPr>
            </w:pPr>
            <w:r w:rsidRPr="00B11441">
              <w:rPr>
                <w:snapToGrid/>
                <w:sz w:val="14"/>
                <w:szCs w:val="14"/>
                <w:lang w:eastAsia="en-AU"/>
              </w:rPr>
              <w:t>- Age pensioners</w:t>
            </w:r>
          </w:p>
        </w:tc>
        <w:tc>
          <w:tcPr>
            <w:tcW w:w="1134" w:type="dxa"/>
            <w:tcBorders>
              <w:top w:val="single" w:sz="4" w:space="0" w:color="E02628"/>
              <w:left w:val="nil"/>
              <w:bottom w:val="single" w:sz="4" w:space="0" w:color="E02628"/>
              <w:right w:val="nil"/>
            </w:tcBorders>
            <w:shd w:val="clear" w:color="000000" w:fill="FFFFFF"/>
            <w:noWrap/>
            <w:hideMark/>
          </w:tcPr>
          <w:p w14:paraId="4F359E72"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14</w:t>
            </w:r>
          </w:p>
        </w:tc>
        <w:tc>
          <w:tcPr>
            <w:tcW w:w="1702" w:type="dxa"/>
            <w:tcBorders>
              <w:top w:val="single" w:sz="4" w:space="0" w:color="E02628"/>
              <w:left w:val="nil"/>
              <w:bottom w:val="single" w:sz="4" w:space="0" w:color="E02628"/>
              <w:right w:val="nil"/>
            </w:tcBorders>
            <w:shd w:val="clear" w:color="000000" w:fill="FFFFFF"/>
            <w:noWrap/>
          </w:tcPr>
          <w:p w14:paraId="570C4B36"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94%</w:t>
            </w:r>
          </w:p>
        </w:tc>
        <w:tc>
          <w:tcPr>
            <w:tcW w:w="1703" w:type="dxa"/>
            <w:tcBorders>
              <w:top w:val="single" w:sz="4" w:space="0" w:color="E02628"/>
              <w:left w:val="nil"/>
              <w:bottom w:val="single" w:sz="4" w:space="0" w:color="E02628"/>
              <w:right w:val="nil"/>
            </w:tcBorders>
            <w:shd w:val="clear" w:color="000000" w:fill="FFFFFF"/>
            <w:noWrap/>
          </w:tcPr>
          <w:p w14:paraId="0DAE419E"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3%</w:t>
            </w:r>
          </w:p>
        </w:tc>
        <w:tc>
          <w:tcPr>
            <w:tcW w:w="1703" w:type="dxa"/>
            <w:tcBorders>
              <w:top w:val="single" w:sz="4" w:space="0" w:color="E02628"/>
              <w:left w:val="nil"/>
              <w:bottom w:val="single" w:sz="4" w:space="0" w:color="E02628"/>
              <w:right w:val="nil"/>
            </w:tcBorders>
            <w:shd w:val="clear" w:color="000000" w:fill="FFFFFF"/>
            <w:noWrap/>
          </w:tcPr>
          <w:p w14:paraId="71180C8F"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3%</w:t>
            </w:r>
          </w:p>
        </w:tc>
      </w:tr>
      <w:tr w:rsidR="00C62854" w:rsidRPr="009210D0" w14:paraId="610D0B85"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10225479" w14:textId="77777777" w:rsidR="00C62854" w:rsidRPr="00B11441" w:rsidRDefault="00C62854" w:rsidP="007C4F3B">
            <w:pPr>
              <w:pStyle w:val="TableTextSmall"/>
              <w:keepNext/>
              <w:ind w:left="227"/>
              <w:rPr>
                <w:snapToGrid/>
                <w:sz w:val="14"/>
                <w:szCs w:val="14"/>
                <w:lang w:eastAsia="en-AU"/>
              </w:rPr>
            </w:pPr>
            <w:r w:rsidRPr="00B11441">
              <w:rPr>
                <w:snapToGrid/>
                <w:sz w:val="14"/>
                <w:szCs w:val="14"/>
                <w:lang w:eastAsia="en-AU"/>
              </w:rPr>
              <w:t>- Family non IS clients</w:t>
            </w:r>
          </w:p>
        </w:tc>
        <w:tc>
          <w:tcPr>
            <w:tcW w:w="1134" w:type="dxa"/>
            <w:tcBorders>
              <w:top w:val="single" w:sz="4" w:space="0" w:color="E02628"/>
              <w:left w:val="nil"/>
              <w:bottom w:val="single" w:sz="4" w:space="0" w:color="E02628"/>
              <w:right w:val="nil"/>
            </w:tcBorders>
            <w:shd w:val="clear" w:color="000000" w:fill="FFFFFF"/>
            <w:noWrap/>
            <w:hideMark/>
          </w:tcPr>
          <w:p w14:paraId="100F5876"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51</w:t>
            </w:r>
          </w:p>
        </w:tc>
        <w:tc>
          <w:tcPr>
            <w:tcW w:w="1702" w:type="dxa"/>
            <w:tcBorders>
              <w:top w:val="single" w:sz="4" w:space="0" w:color="E02628"/>
              <w:left w:val="nil"/>
              <w:bottom w:val="single" w:sz="4" w:space="0" w:color="E02628"/>
              <w:right w:val="nil"/>
            </w:tcBorders>
            <w:shd w:val="clear" w:color="000000" w:fill="FFFFFF"/>
            <w:noWrap/>
          </w:tcPr>
          <w:p w14:paraId="37C16AAE"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38%</w:t>
            </w:r>
          </w:p>
        </w:tc>
        <w:tc>
          <w:tcPr>
            <w:tcW w:w="1703" w:type="dxa"/>
            <w:tcBorders>
              <w:top w:val="single" w:sz="4" w:space="0" w:color="E02628"/>
              <w:left w:val="nil"/>
              <w:bottom w:val="single" w:sz="4" w:space="0" w:color="E02628"/>
              <w:right w:val="nil"/>
            </w:tcBorders>
            <w:shd w:val="clear" w:color="000000" w:fill="FFFFFF"/>
            <w:noWrap/>
          </w:tcPr>
          <w:p w14:paraId="12265773"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14%</w:t>
            </w:r>
          </w:p>
        </w:tc>
        <w:tc>
          <w:tcPr>
            <w:tcW w:w="1703" w:type="dxa"/>
            <w:tcBorders>
              <w:top w:val="single" w:sz="4" w:space="0" w:color="E02628"/>
              <w:left w:val="nil"/>
              <w:bottom w:val="single" w:sz="4" w:space="0" w:color="E02628"/>
              <w:right w:val="nil"/>
            </w:tcBorders>
            <w:shd w:val="clear" w:color="000000" w:fill="FFFFFF"/>
            <w:noWrap/>
          </w:tcPr>
          <w:p w14:paraId="63F5A021"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48%</w:t>
            </w:r>
          </w:p>
        </w:tc>
      </w:tr>
      <w:tr w:rsidR="00C62854" w:rsidRPr="009210D0" w14:paraId="7A1FD148"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4C7FDEFB" w14:textId="77777777" w:rsidR="00C62854" w:rsidRPr="00B11441" w:rsidRDefault="00C62854" w:rsidP="007C4F3B">
            <w:pPr>
              <w:pStyle w:val="TableTextSmall"/>
              <w:keepNext/>
              <w:ind w:left="227"/>
              <w:rPr>
                <w:snapToGrid/>
                <w:sz w:val="14"/>
                <w:szCs w:val="14"/>
                <w:lang w:eastAsia="en-AU"/>
              </w:rPr>
            </w:pPr>
            <w:r w:rsidRPr="00B11441">
              <w:rPr>
                <w:snapToGrid/>
                <w:sz w:val="14"/>
                <w:szCs w:val="14"/>
                <w:lang w:eastAsia="en-AU"/>
              </w:rPr>
              <w:t>- Carer non IS clients</w:t>
            </w:r>
          </w:p>
        </w:tc>
        <w:tc>
          <w:tcPr>
            <w:tcW w:w="1134" w:type="dxa"/>
            <w:tcBorders>
              <w:top w:val="single" w:sz="4" w:space="0" w:color="E02628"/>
              <w:left w:val="nil"/>
              <w:bottom w:val="single" w:sz="4" w:space="0" w:color="E02628"/>
              <w:right w:val="nil"/>
            </w:tcBorders>
            <w:shd w:val="clear" w:color="000000" w:fill="FFFFFF"/>
            <w:noWrap/>
            <w:hideMark/>
          </w:tcPr>
          <w:p w14:paraId="609A3213"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40</w:t>
            </w:r>
          </w:p>
        </w:tc>
        <w:tc>
          <w:tcPr>
            <w:tcW w:w="1702" w:type="dxa"/>
            <w:tcBorders>
              <w:top w:val="single" w:sz="4" w:space="0" w:color="E02628"/>
              <w:left w:val="nil"/>
              <w:bottom w:val="single" w:sz="4" w:space="0" w:color="E02628"/>
              <w:right w:val="nil"/>
            </w:tcBorders>
            <w:shd w:val="clear" w:color="000000" w:fill="FFFFFF"/>
            <w:noWrap/>
          </w:tcPr>
          <w:p w14:paraId="167FFC84"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43%</w:t>
            </w:r>
          </w:p>
        </w:tc>
        <w:tc>
          <w:tcPr>
            <w:tcW w:w="1703" w:type="dxa"/>
            <w:tcBorders>
              <w:top w:val="single" w:sz="4" w:space="0" w:color="E02628"/>
              <w:left w:val="nil"/>
              <w:bottom w:val="single" w:sz="4" w:space="0" w:color="E02628"/>
              <w:right w:val="nil"/>
            </w:tcBorders>
            <w:shd w:val="clear" w:color="000000" w:fill="FFFFFF"/>
            <w:noWrap/>
          </w:tcPr>
          <w:p w14:paraId="4706FFDC"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23%</w:t>
            </w:r>
          </w:p>
        </w:tc>
        <w:tc>
          <w:tcPr>
            <w:tcW w:w="1703" w:type="dxa"/>
            <w:tcBorders>
              <w:top w:val="single" w:sz="4" w:space="0" w:color="E02628"/>
              <w:left w:val="nil"/>
              <w:bottom w:val="single" w:sz="4" w:space="0" w:color="E02628"/>
              <w:right w:val="nil"/>
            </w:tcBorders>
            <w:shd w:val="clear" w:color="000000" w:fill="FFFFFF"/>
            <w:noWrap/>
          </w:tcPr>
          <w:p w14:paraId="729285B1"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34%</w:t>
            </w:r>
          </w:p>
        </w:tc>
      </w:tr>
      <w:tr w:rsidR="00C62854" w:rsidRPr="009210D0" w14:paraId="58F36E64"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31ACAC45" w14:textId="77777777" w:rsidR="00C62854" w:rsidRPr="00B11441" w:rsidRDefault="00C62854" w:rsidP="007C4F3B">
            <w:pPr>
              <w:pStyle w:val="TableTextSmall"/>
              <w:keepNext/>
              <w:ind w:left="227"/>
              <w:rPr>
                <w:snapToGrid/>
                <w:sz w:val="14"/>
                <w:szCs w:val="14"/>
                <w:lang w:eastAsia="en-AU"/>
              </w:rPr>
            </w:pPr>
            <w:r w:rsidRPr="00B11441">
              <w:rPr>
                <w:snapToGrid/>
                <w:sz w:val="14"/>
                <w:szCs w:val="14"/>
                <w:lang w:eastAsia="en-AU"/>
              </w:rPr>
              <w:t>- Other non IS clients</w:t>
            </w:r>
          </w:p>
        </w:tc>
        <w:tc>
          <w:tcPr>
            <w:tcW w:w="1134" w:type="dxa"/>
            <w:tcBorders>
              <w:top w:val="single" w:sz="4" w:space="0" w:color="E02628"/>
              <w:left w:val="nil"/>
              <w:bottom w:val="single" w:sz="4" w:space="0" w:color="E02628"/>
              <w:right w:val="nil"/>
            </w:tcBorders>
            <w:shd w:val="clear" w:color="000000" w:fill="FFFFFF"/>
            <w:noWrap/>
            <w:hideMark/>
          </w:tcPr>
          <w:p w14:paraId="4859A94F"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37</w:t>
            </w:r>
          </w:p>
        </w:tc>
        <w:tc>
          <w:tcPr>
            <w:tcW w:w="1702" w:type="dxa"/>
            <w:tcBorders>
              <w:top w:val="single" w:sz="4" w:space="0" w:color="E02628"/>
              <w:left w:val="nil"/>
              <w:bottom w:val="single" w:sz="4" w:space="0" w:color="E02628"/>
              <w:right w:val="nil"/>
            </w:tcBorders>
            <w:shd w:val="clear" w:color="000000" w:fill="FFFFFF"/>
            <w:noWrap/>
          </w:tcPr>
          <w:p w14:paraId="32C11829"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37%</w:t>
            </w:r>
          </w:p>
        </w:tc>
        <w:tc>
          <w:tcPr>
            <w:tcW w:w="1703" w:type="dxa"/>
            <w:tcBorders>
              <w:top w:val="single" w:sz="4" w:space="0" w:color="E02628"/>
              <w:left w:val="nil"/>
              <w:bottom w:val="single" w:sz="4" w:space="0" w:color="E02628"/>
              <w:right w:val="nil"/>
            </w:tcBorders>
            <w:shd w:val="clear" w:color="000000" w:fill="FFFFFF"/>
            <w:noWrap/>
          </w:tcPr>
          <w:p w14:paraId="34C8BC47"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23%</w:t>
            </w:r>
          </w:p>
        </w:tc>
        <w:tc>
          <w:tcPr>
            <w:tcW w:w="1703" w:type="dxa"/>
            <w:tcBorders>
              <w:top w:val="single" w:sz="4" w:space="0" w:color="E02628"/>
              <w:left w:val="nil"/>
              <w:bottom w:val="single" w:sz="4" w:space="0" w:color="E02628"/>
              <w:right w:val="nil"/>
            </w:tcBorders>
            <w:shd w:val="clear" w:color="000000" w:fill="FFFFFF"/>
            <w:noWrap/>
          </w:tcPr>
          <w:p w14:paraId="13EBD267"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41%</w:t>
            </w:r>
          </w:p>
        </w:tc>
      </w:tr>
      <w:tr w:rsidR="00C62854" w:rsidRPr="009210D0" w14:paraId="50AD9D91"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0DDEDC48" w14:textId="77777777" w:rsidR="00C62854" w:rsidRPr="00B11441" w:rsidRDefault="00C62854" w:rsidP="007C4F3B">
            <w:pPr>
              <w:pStyle w:val="TableTextSmall"/>
              <w:keepNext/>
              <w:rPr>
                <w:i/>
                <w:snapToGrid/>
                <w:sz w:val="14"/>
                <w:szCs w:val="14"/>
                <w:lang w:eastAsia="en-AU"/>
              </w:rPr>
            </w:pPr>
            <w:r w:rsidRPr="00B11441">
              <w:rPr>
                <w:i/>
                <w:snapToGrid/>
                <w:sz w:val="14"/>
                <w:szCs w:val="14"/>
                <w:lang w:eastAsia="en-AU"/>
              </w:rPr>
              <w:t>Total current welfare recipients</w:t>
            </w:r>
          </w:p>
        </w:tc>
        <w:tc>
          <w:tcPr>
            <w:tcW w:w="1134" w:type="dxa"/>
            <w:tcBorders>
              <w:top w:val="single" w:sz="4" w:space="0" w:color="E02628"/>
              <w:left w:val="nil"/>
              <w:bottom w:val="single" w:sz="4" w:space="0" w:color="E02628"/>
              <w:right w:val="nil"/>
            </w:tcBorders>
            <w:shd w:val="clear" w:color="000000" w:fill="FFFFFF"/>
            <w:noWrap/>
            <w:hideMark/>
          </w:tcPr>
          <w:p w14:paraId="39B5637D" w14:textId="77777777" w:rsidR="00C62854" w:rsidRPr="00B11441" w:rsidRDefault="00C62854" w:rsidP="007C4F3B">
            <w:pPr>
              <w:pStyle w:val="TableTextSmall"/>
              <w:keepNext/>
              <w:jc w:val="center"/>
              <w:rPr>
                <w:rFonts w:ascii="Arial" w:hAnsi="Arial"/>
                <w:i/>
                <w:sz w:val="14"/>
                <w:szCs w:val="14"/>
              </w:rPr>
            </w:pPr>
            <w:r w:rsidRPr="00B11441">
              <w:rPr>
                <w:rFonts w:ascii="Arial" w:hAnsi="Arial"/>
                <w:sz w:val="14"/>
                <w:szCs w:val="14"/>
              </w:rPr>
              <w:t>36</w:t>
            </w:r>
          </w:p>
        </w:tc>
        <w:tc>
          <w:tcPr>
            <w:tcW w:w="1702" w:type="dxa"/>
            <w:tcBorders>
              <w:top w:val="single" w:sz="4" w:space="0" w:color="E02628"/>
              <w:left w:val="nil"/>
              <w:bottom w:val="single" w:sz="4" w:space="0" w:color="E02628"/>
              <w:right w:val="nil"/>
            </w:tcBorders>
            <w:shd w:val="clear" w:color="000000" w:fill="FFFFFF"/>
            <w:noWrap/>
          </w:tcPr>
          <w:p w14:paraId="7EB68820" w14:textId="77777777" w:rsidR="00C62854" w:rsidRPr="00B11441" w:rsidRDefault="00C62854" w:rsidP="007C4F3B">
            <w:pPr>
              <w:pStyle w:val="TableTextSmall"/>
              <w:keepNext/>
              <w:jc w:val="center"/>
              <w:rPr>
                <w:rFonts w:ascii="Arial" w:hAnsi="Arial"/>
                <w:i/>
                <w:sz w:val="14"/>
                <w:szCs w:val="14"/>
              </w:rPr>
            </w:pPr>
            <w:r w:rsidRPr="00B11441">
              <w:rPr>
                <w:rFonts w:ascii="Arial" w:hAnsi="Arial"/>
                <w:sz w:val="14"/>
                <w:szCs w:val="14"/>
              </w:rPr>
              <w:t>59%</w:t>
            </w:r>
          </w:p>
        </w:tc>
        <w:tc>
          <w:tcPr>
            <w:tcW w:w="1703" w:type="dxa"/>
            <w:tcBorders>
              <w:top w:val="single" w:sz="4" w:space="0" w:color="E02628"/>
              <w:left w:val="nil"/>
              <w:bottom w:val="single" w:sz="4" w:space="0" w:color="E02628"/>
              <w:right w:val="nil"/>
            </w:tcBorders>
            <w:shd w:val="clear" w:color="000000" w:fill="FFFFFF"/>
            <w:noWrap/>
          </w:tcPr>
          <w:p w14:paraId="3B912C09" w14:textId="77777777" w:rsidR="00C62854" w:rsidRPr="00B11441" w:rsidRDefault="00C62854" w:rsidP="007C4F3B">
            <w:pPr>
              <w:pStyle w:val="TableTextSmall"/>
              <w:keepNext/>
              <w:jc w:val="center"/>
              <w:rPr>
                <w:rFonts w:ascii="Arial" w:hAnsi="Arial"/>
                <w:i/>
                <w:sz w:val="14"/>
                <w:szCs w:val="14"/>
              </w:rPr>
            </w:pPr>
            <w:r w:rsidRPr="00B11441">
              <w:rPr>
                <w:rFonts w:ascii="Arial" w:hAnsi="Arial"/>
                <w:sz w:val="14"/>
                <w:szCs w:val="14"/>
              </w:rPr>
              <w:t>9%</w:t>
            </w:r>
          </w:p>
        </w:tc>
        <w:tc>
          <w:tcPr>
            <w:tcW w:w="1703" w:type="dxa"/>
            <w:tcBorders>
              <w:top w:val="single" w:sz="4" w:space="0" w:color="E02628"/>
              <w:left w:val="nil"/>
              <w:bottom w:val="single" w:sz="4" w:space="0" w:color="E02628"/>
              <w:right w:val="nil"/>
            </w:tcBorders>
            <w:shd w:val="clear" w:color="000000" w:fill="FFFFFF"/>
            <w:noWrap/>
          </w:tcPr>
          <w:p w14:paraId="4B532B36" w14:textId="77777777" w:rsidR="00C62854" w:rsidRPr="00B11441" w:rsidRDefault="00C62854" w:rsidP="007C4F3B">
            <w:pPr>
              <w:pStyle w:val="TableTextSmall"/>
              <w:keepNext/>
              <w:jc w:val="center"/>
              <w:rPr>
                <w:rFonts w:ascii="Arial" w:hAnsi="Arial"/>
                <w:i/>
                <w:sz w:val="14"/>
                <w:szCs w:val="14"/>
              </w:rPr>
            </w:pPr>
            <w:r w:rsidRPr="00B11441">
              <w:rPr>
                <w:rFonts w:ascii="Arial" w:hAnsi="Arial"/>
                <w:sz w:val="14"/>
                <w:szCs w:val="14"/>
              </w:rPr>
              <w:t>31%</w:t>
            </w:r>
          </w:p>
        </w:tc>
      </w:tr>
      <w:tr w:rsidR="00C62854" w:rsidRPr="009210D0" w14:paraId="7E1D8EB3" w14:textId="77777777" w:rsidTr="00156206">
        <w:trPr>
          <w:trHeight w:val="227"/>
          <w:tblHeader/>
        </w:trPr>
        <w:tc>
          <w:tcPr>
            <w:tcW w:w="3458" w:type="dxa"/>
            <w:tcBorders>
              <w:top w:val="single" w:sz="4" w:space="0" w:color="E02628"/>
              <w:left w:val="nil"/>
              <w:bottom w:val="single" w:sz="4" w:space="0" w:color="E02628"/>
              <w:right w:val="nil"/>
            </w:tcBorders>
            <w:shd w:val="clear" w:color="auto" w:fill="E02628"/>
            <w:noWrap/>
            <w:vAlign w:val="center"/>
            <w:hideMark/>
          </w:tcPr>
          <w:p w14:paraId="2F82B38C" w14:textId="77777777" w:rsidR="00C62854" w:rsidRPr="00B11441" w:rsidRDefault="00C62854" w:rsidP="007C4F3B">
            <w:pPr>
              <w:pStyle w:val="TableTextSmall"/>
              <w:keepNext/>
              <w:rPr>
                <w:snapToGrid/>
                <w:sz w:val="14"/>
                <w:szCs w:val="14"/>
                <w:lang w:eastAsia="en-AU"/>
              </w:rPr>
            </w:pPr>
            <w:r w:rsidRPr="00B11441">
              <w:rPr>
                <w:snapToGrid/>
                <w:color w:val="FFFFFF" w:themeColor="background1"/>
                <w:sz w:val="14"/>
                <w:szCs w:val="14"/>
                <w:lang w:eastAsia="en-AU"/>
              </w:rPr>
              <w:t>Previous welfare recipients</w:t>
            </w:r>
          </w:p>
        </w:tc>
        <w:tc>
          <w:tcPr>
            <w:tcW w:w="1134" w:type="dxa"/>
            <w:tcBorders>
              <w:top w:val="single" w:sz="4" w:space="0" w:color="E02628"/>
              <w:left w:val="nil"/>
              <w:bottom w:val="single" w:sz="4" w:space="0" w:color="E02628"/>
              <w:right w:val="nil"/>
            </w:tcBorders>
            <w:shd w:val="clear" w:color="auto" w:fill="E02628"/>
            <w:noWrap/>
            <w:hideMark/>
          </w:tcPr>
          <w:p w14:paraId="442EBC9A" w14:textId="77777777" w:rsidR="00C62854" w:rsidRPr="00B11441" w:rsidRDefault="00C62854" w:rsidP="007C4F3B">
            <w:pPr>
              <w:pStyle w:val="TableTextSmall"/>
              <w:keepNext/>
              <w:jc w:val="center"/>
              <w:rPr>
                <w:rFonts w:ascii="Arial" w:hAnsi="Arial"/>
                <w:sz w:val="14"/>
                <w:szCs w:val="14"/>
              </w:rPr>
            </w:pPr>
          </w:p>
        </w:tc>
        <w:tc>
          <w:tcPr>
            <w:tcW w:w="1702" w:type="dxa"/>
            <w:tcBorders>
              <w:top w:val="single" w:sz="4" w:space="0" w:color="E02628"/>
              <w:left w:val="nil"/>
              <w:bottom w:val="single" w:sz="4" w:space="0" w:color="E02628"/>
              <w:right w:val="nil"/>
            </w:tcBorders>
            <w:shd w:val="clear" w:color="auto" w:fill="E02628"/>
            <w:noWrap/>
          </w:tcPr>
          <w:p w14:paraId="5006495E" w14:textId="77777777" w:rsidR="00C62854" w:rsidRPr="00B11441" w:rsidRDefault="00C62854" w:rsidP="007C4F3B">
            <w:pPr>
              <w:pStyle w:val="TableTextSmall"/>
              <w:keepNext/>
              <w:jc w:val="center"/>
              <w:rPr>
                <w:rFonts w:ascii="Arial" w:hAnsi="Arial"/>
                <w:sz w:val="14"/>
                <w:szCs w:val="14"/>
              </w:rPr>
            </w:pPr>
          </w:p>
        </w:tc>
        <w:tc>
          <w:tcPr>
            <w:tcW w:w="1703" w:type="dxa"/>
            <w:tcBorders>
              <w:top w:val="single" w:sz="4" w:space="0" w:color="E02628"/>
              <w:left w:val="nil"/>
              <w:bottom w:val="single" w:sz="4" w:space="0" w:color="E02628"/>
              <w:right w:val="nil"/>
            </w:tcBorders>
            <w:shd w:val="clear" w:color="auto" w:fill="E02628"/>
            <w:noWrap/>
          </w:tcPr>
          <w:p w14:paraId="1C398ACB" w14:textId="77777777" w:rsidR="00C62854" w:rsidRPr="00B11441" w:rsidRDefault="00C62854" w:rsidP="007C4F3B">
            <w:pPr>
              <w:pStyle w:val="TableTextSmall"/>
              <w:keepNext/>
              <w:jc w:val="center"/>
              <w:rPr>
                <w:rFonts w:ascii="Arial" w:hAnsi="Arial"/>
                <w:sz w:val="14"/>
                <w:szCs w:val="14"/>
              </w:rPr>
            </w:pPr>
          </w:p>
        </w:tc>
        <w:tc>
          <w:tcPr>
            <w:tcW w:w="1703" w:type="dxa"/>
            <w:tcBorders>
              <w:top w:val="single" w:sz="4" w:space="0" w:color="E02628"/>
              <w:left w:val="nil"/>
              <w:bottom w:val="single" w:sz="4" w:space="0" w:color="E02628"/>
              <w:right w:val="nil"/>
            </w:tcBorders>
            <w:shd w:val="clear" w:color="auto" w:fill="E02628"/>
            <w:noWrap/>
          </w:tcPr>
          <w:p w14:paraId="668E59F2" w14:textId="77777777" w:rsidR="00C62854" w:rsidRPr="00B11441" w:rsidRDefault="00C62854" w:rsidP="007C4F3B">
            <w:pPr>
              <w:pStyle w:val="TableTextSmall"/>
              <w:keepNext/>
              <w:jc w:val="center"/>
              <w:rPr>
                <w:rFonts w:ascii="Arial" w:hAnsi="Arial"/>
                <w:sz w:val="14"/>
                <w:szCs w:val="14"/>
              </w:rPr>
            </w:pPr>
          </w:p>
        </w:tc>
      </w:tr>
      <w:tr w:rsidR="00C62854" w:rsidRPr="009210D0" w14:paraId="3011DE13"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4EF8578C" w14:textId="77777777" w:rsidR="00C62854" w:rsidRPr="00B11441" w:rsidRDefault="00C62854" w:rsidP="007C4F3B">
            <w:pPr>
              <w:pStyle w:val="TableTextSmall"/>
              <w:keepNext/>
              <w:ind w:left="227"/>
              <w:rPr>
                <w:snapToGrid/>
                <w:sz w:val="14"/>
                <w:szCs w:val="14"/>
                <w:lang w:eastAsia="en-AU"/>
              </w:rPr>
            </w:pPr>
            <w:r w:rsidRPr="00B11441">
              <w:rPr>
                <w:snapToGrid/>
                <w:sz w:val="14"/>
                <w:szCs w:val="14"/>
                <w:lang w:eastAsia="en-AU"/>
              </w:rPr>
              <w:t>- Exited 1-3 years</w:t>
            </w:r>
          </w:p>
        </w:tc>
        <w:tc>
          <w:tcPr>
            <w:tcW w:w="1134" w:type="dxa"/>
            <w:tcBorders>
              <w:top w:val="single" w:sz="4" w:space="0" w:color="E02628"/>
              <w:left w:val="nil"/>
              <w:bottom w:val="single" w:sz="4" w:space="0" w:color="E02628"/>
              <w:right w:val="nil"/>
            </w:tcBorders>
            <w:shd w:val="clear" w:color="000000" w:fill="FFFFFF"/>
            <w:noWrap/>
            <w:hideMark/>
          </w:tcPr>
          <w:p w14:paraId="28436CB4"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50</w:t>
            </w:r>
          </w:p>
        </w:tc>
        <w:tc>
          <w:tcPr>
            <w:tcW w:w="1702" w:type="dxa"/>
            <w:tcBorders>
              <w:top w:val="single" w:sz="4" w:space="0" w:color="E02628"/>
              <w:left w:val="nil"/>
              <w:bottom w:val="single" w:sz="4" w:space="0" w:color="E02628"/>
              <w:right w:val="nil"/>
            </w:tcBorders>
            <w:shd w:val="clear" w:color="000000" w:fill="FFFFFF"/>
            <w:noWrap/>
          </w:tcPr>
          <w:p w14:paraId="3DADFCDF"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41%</w:t>
            </w:r>
          </w:p>
        </w:tc>
        <w:tc>
          <w:tcPr>
            <w:tcW w:w="1703" w:type="dxa"/>
            <w:tcBorders>
              <w:top w:val="single" w:sz="4" w:space="0" w:color="E02628"/>
              <w:left w:val="nil"/>
              <w:bottom w:val="single" w:sz="4" w:space="0" w:color="E02628"/>
              <w:right w:val="nil"/>
            </w:tcBorders>
            <w:shd w:val="clear" w:color="000000" w:fill="FFFFFF"/>
            <w:noWrap/>
          </w:tcPr>
          <w:p w14:paraId="56CADBCA"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6%</w:t>
            </w:r>
          </w:p>
        </w:tc>
        <w:tc>
          <w:tcPr>
            <w:tcW w:w="1703" w:type="dxa"/>
            <w:tcBorders>
              <w:top w:val="single" w:sz="4" w:space="0" w:color="E02628"/>
              <w:left w:val="nil"/>
              <w:bottom w:val="single" w:sz="4" w:space="0" w:color="E02628"/>
              <w:right w:val="nil"/>
            </w:tcBorders>
            <w:shd w:val="clear" w:color="000000" w:fill="FFFFFF"/>
            <w:noWrap/>
          </w:tcPr>
          <w:p w14:paraId="3F5EB9FC"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53%</w:t>
            </w:r>
          </w:p>
        </w:tc>
      </w:tr>
      <w:tr w:rsidR="00C62854" w:rsidRPr="009210D0" w14:paraId="0A951C03"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38815D76" w14:textId="77777777" w:rsidR="00C62854" w:rsidRPr="00B11441" w:rsidRDefault="00C62854" w:rsidP="007C4F3B">
            <w:pPr>
              <w:pStyle w:val="TableTextSmall"/>
              <w:keepNext/>
              <w:ind w:left="227"/>
              <w:rPr>
                <w:snapToGrid/>
                <w:sz w:val="14"/>
                <w:szCs w:val="14"/>
                <w:lang w:eastAsia="en-AU"/>
              </w:rPr>
            </w:pPr>
            <w:r w:rsidRPr="00B11441">
              <w:rPr>
                <w:snapToGrid/>
                <w:sz w:val="14"/>
                <w:szCs w:val="14"/>
                <w:lang w:eastAsia="en-AU"/>
              </w:rPr>
              <w:t>- Exited 4+ years</w:t>
            </w:r>
          </w:p>
        </w:tc>
        <w:tc>
          <w:tcPr>
            <w:tcW w:w="1134" w:type="dxa"/>
            <w:tcBorders>
              <w:top w:val="single" w:sz="4" w:space="0" w:color="E02628"/>
              <w:left w:val="nil"/>
              <w:bottom w:val="single" w:sz="4" w:space="0" w:color="E02628"/>
              <w:right w:val="nil"/>
            </w:tcBorders>
            <w:shd w:val="clear" w:color="000000" w:fill="FFFFFF"/>
            <w:noWrap/>
            <w:hideMark/>
          </w:tcPr>
          <w:p w14:paraId="55EB5A8C"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44</w:t>
            </w:r>
          </w:p>
        </w:tc>
        <w:tc>
          <w:tcPr>
            <w:tcW w:w="1702" w:type="dxa"/>
            <w:tcBorders>
              <w:top w:val="single" w:sz="4" w:space="0" w:color="E02628"/>
              <w:left w:val="nil"/>
              <w:bottom w:val="single" w:sz="4" w:space="0" w:color="E02628"/>
              <w:right w:val="nil"/>
            </w:tcBorders>
            <w:shd w:val="clear" w:color="000000" w:fill="FFFFFF"/>
            <w:noWrap/>
          </w:tcPr>
          <w:p w14:paraId="40FD8F2A"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40%</w:t>
            </w:r>
          </w:p>
        </w:tc>
        <w:tc>
          <w:tcPr>
            <w:tcW w:w="1703" w:type="dxa"/>
            <w:tcBorders>
              <w:top w:val="single" w:sz="4" w:space="0" w:color="E02628"/>
              <w:left w:val="nil"/>
              <w:bottom w:val="single" w:sz="4" w:space="0" w:color="E02628"/>
              <w:right w:val="nil"/>
            </w:tcBorders>
            <w:shd w:val="clear" w:color="000000" w:fill="FFFFFF"/>
            <w:noWrap/>
          </w:tcPr>
          <w:p w14:paraId="5A6A2416"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4%</w:t>
            </w:r>
          </w:p>
        </w:tc>
        <w:tc>
          <w:tcPr>
            <w:tcW w:w="1703" w:type="dxa"/>
            <w:tcBorders>
              <w:top w:val="single" w:sz="4" w:space="0" w:color="E02628"/>
              <w:left w:val="nil"/>
              <w:bottom w:val="single" w:sz="4" w:space="0" w:color="E02628"/>
              <w:right w:val="nil"/>
            </w:tcBorders>
            <w:shd w:val="clear" w:color="000000" w:fill="FFFFFF"/>
            <w:noWrap/>
          </w:tcPr>
          <w:p w14:paraId="34F73410" w14:textId="77777777" w:rsidR="00C62854" w:rsidRPr="00B11441" w:rsidRDefault="00C62854" w:rsidP="007C4F3B">
            <w:pPr>
              <w:pStyle w:val="TableTextSmall"/>
              <w:keepNext/>
              <w:jc w:val="center"/>
              <w:rPr>
                <w:rFonts w:ascii="Arial" w:hAnsi="Arial"/>
                <w:sz w:val="14"/>
                <w:szCs w:val="14"/>
              </w:rPr>
            </w:pPr>
            <w:r w:rsidRPr="00B11441">
              <w:rPr>
                <w:rFonts w:ascii="Arial" w:hAnsi="Arial"/>
                <w:sz w:val="14"/>
                <w:szCs w:val="14"/>
              </w:rPr>
              <w:t>55%</w:t>
            </w:r>
          </w:p>
        </w:tc>
      </w:tr>
      <w:tr w:rsidR="00C62854" w:rsidRPr="009210D0" w14:paraId="70DC83AB"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15605C89" w14:textId="77777777" w:rsidR="00C62854" w:rsidRPr="00B11441" w:rsidRDefault="00C62854" w:rsidP="007C4F3B">
            <w:pPr>
              <w:pStyle w:val="TableTextSmall"/>
              <w:keepNext/>
              <w:rPr>
                <w:i/>
                <w:snapToGrid/>
                <w:sz w:val="14"/>
                <w:szCs w:val="14"/>
                <w:lang w:eastAsia="en-AU"/>
              </w:rPr>
            </w:pPr>
            <w:r w:rsidRPr="00B11441">
              <w:rPr>
                <w:i/>
                <w:snapToGrid/>
                <w:sz w:val="14"/>
                <w:szCs w:val="14"/>
                <w:lang w:eastAsia="en-AU"/>
              </w:rPr>
              <w:t>Total previous welfare recipients</w:t>
            </w:r>
          </w:p>
        </w:tc>
        <w:tc>
          <w:tcPr>
            <w:tcW w:w="1134" w:type="dxa"/>
            <w:tcBorders>
              <w:top w:val="single" w:sz="4" w:space="0" w:color="E02628"/>
              <w:left w:val="nil"/>
              <w:bottom w:val="single" w:sz="4" w:space="0" w:color="E02628"/>
              <w:right w:val="nil"/>
            </w:tcBorders>
            <w:shd w:val="clear" w:color="000000" w:fill="FFFFFF"/>
            <w:noWrap/>
            <w:hideMark/>
          </w:tcPr>
          <w:p w14:paraId="2CCAA526" w14:textId="77777777" w:rsidR="00C62854" w:rsidRPr="00B11441" w:rsidRDefault="00C62854" w:rsidP="007C4F3B">
            <w:pPr>
              <w:pStyle w:val="TableTextSmall"/>
              <w:keepNext/>
              <w:jc w:val="center"/>
              <w:rPr>
                <w:rFonts w:ascii="Arial" w:hAnsi="Arial"/>
                <w:i/>
                <w:sz w:val="14"/>
                <w:szCs w:val="14"/>
              </w:rPr>
            </w:pPr>
            <w:r w:rsidRPr="00B11441">
              <w:rPr>
                <w:rFonts w:ascii="Arial" w:hAnsi="Arial"/>
                <w:sz w:val="14"/>
                <w:szCs w:val="14"/>
              </w:rPr>
              <w:t>46</w:t>
            </w:r>
          </w:p>
        </w:tc>
        <w:tc>
          <w:tcPr>
            <w:tcW w:w="1702" w:type="dxa"/>
            <w:tcBorders>
              <w:top w:val="single" w:sz="4" w:space="0" w:color="E02628"/>
              <w:left w:val="nil"/>
              <w:bottom w:val="single" w:sz="4" w:space="0" w:color="E02628"/>
              <w:right w:val="nil"/>
            </w:tcBorders>
            <w:shd w:val="clear" w:color="000000" w:fill="FFFFFF"/>
            <w:noWrap/>
          </w:tcPr>
          <w:p w14:paraId="752E712D" w14:textId="77777777" w:rsidR="00C62854" w:rsidRPr="00B11441" w:rsidRDefault="00C62854" w:rsidP="007C4F3B">
            <w:pPr>
              <w:pStyle w:val="TableTextSmall"/>
              <w:keepNext/>
              <w:jc w:val="center"/>
              <w:rPr>
                <w:rFonts w:ascii="Arial" w:hAnsi="Arial"/>
                <w:i/>
                <w:sz w:val="14"/>
                <w:szCs w:val="14"/>
              </w:rPr>
            </w:pPr>
            <w:r w:rsidRPr="00B11441">
              <w:rPr>
                <w:rFonts w:ascii="Arial" w:hAnsi="Arial"/>
                <w:sz w:val="14"/>
                <w:szCs w:val="14"/>
              </w:rPr>
              <w:t>41%</w:t>
            </w:r>
          </w:p>
        </w:tc>
        <w:tc>
          <w:tcPr>
            <w:tcW w:w="1703" w:type="dxa"/>
            <w:tcBorders>
              <w:top w:val="single" w:sz="4" w:space="0" w:color="E02628"/>
              <w:left w:val="nil"/>
              <w:bottom w:val="single" w:sz="4" w:space="0" w:color="E02628"/>
              <w:right w:val="nil"/>
            </w:tcBorders>
            <w:shd w:val="clear" w:color="000000" w:fill="FFFFFF"/>
            <w:noWrap/>
          </w:tcPr>
          <w:p w14:paraId="11B8CB67" w14:textId="77777777" w:rsidR="00C62854" w:rsidRPr="00B11441" w:rsidRDefault="00C62854" w:rsidP="007C4F3B">
            <w:pPr>
              <w:pStyle w:val="TableTextSmall"/>
              <w:keepNext/>
              <w:jc w:val="center"/>
              <w:rPr>
                <w:rFonts w:ascii="Arial" w:hAnsi="Arial"/>
                <w:i/>
                <w:sz w:val="14"/>
                <w:szCs w:val="14"/>
              </w:rPr>
            </w:pPr>
            <w:r w:rsidRPr="00B11441">
              <w:rPr>
                <w:rFonts w:ascii="Arial" w:hAnsi="Arial"/>
                <w:sz w:val="14"/>
                <w:szCs w:val="14"/>
              </w:rPr>
              <w:t>5%</w:t>
            </w:r>
          </w:p>
        </w:tc>
        <w:tc>
          <w:tcPr>
            <w:tcW w:w="1703" w:type="dxa"/>
            <w:tcBorders>
              <w:top w:val="single" w:sz="4" w:space="0" w:color="E02628"/>
              <w:left w:val="nil"/>
              <w:bottom w:val="single" w:sz="4" w:space="0" w:color="E02628"/>
              <w:right w:val="nil"/>
            </w:tcBorders>
            <w:shd w:val="clear" w:color="000000" w:fill="FFFFFF"/>
            <w:noWrap/>
          </w:tcPr>
          <w:p w14:paraId="795FF23A" w14:textId="77777777" w:rsidR="00C62854" w:rsidRPr="00B11441" w:rsidRDefault="00C62854" w:rsidP="007C4F3B">
            <w:pPr>
              <w:pStyle w:val="TableTextSmall"/>
              <w:keepNext/>
              <w:jc w:val="center"/>
              <w:rPr>
                <w:rFonts w:ascii="Arial" w:hAnsi="Arial"/>
                <w:i/>
                <w:sz w:val="14"/>
                <w:szCs w:val="14"/>
              </w:rPr>
            </w:pPr>
            <w:r w:rsidRPr="00B11441">
              <w:rPr>
                <w:rFonts w:ascii="Arial" w:hAnsi="Arial"/>
                <w:sz w:val="14"/>
                <w:szCs w:val="14"/>
              </w:rPr>
              <w:t>55%</w:t>
            </w:r>
          </w:p>
        </w:tc>
      </w:tr>
      <w:tr w:rsidR="00C62854" w:rsidRPr="009210D0" w14:paraId="76FD78CB" w14:textId="77777777" w:rsidTr="00156206">
        <w:trPr>
          <w:trHeight w:val="227"/>
          <w:tblHeader/>
        </w:trPr>
        <w:tc>
          <w:tcPr>
            <w:tcW w:w="3458" w:type="dxa"/>
            <w:tcBorders>
              <w:top w:val="single" w:sz="4" w:space="0" w:color="E02628"/>
              <w:left w:val="nil"/>
              <w:bottom w:val="single" w:sz="4" w:space="0" w:color="E02628"/>
              <w:right w:val="nil"/>
            </w:tcBorders>
            <w:shd w:val="clear" w:color="auto" w:fill="E02628"/>
            <w:noWrap/>
            <w:vAlign w:val="center"/>
            <w:hideMark/>
          </w:tcPr>
          <w:p w14:paraId="56B426D7" w14:textId="77777777" w:rsidR="00C62854" w:rsidRPr="00B11441" w:rsidRDefault="00C62854" w:rsidP="007C4F3B">
            <w:pPr>
              <w:pStyle w:val="TableTextSmall"/>
              <w:keepNext/>
              <w:rPr>
                <w:snapToGrid/>
                <w:color w:val="FFFFFF" w:themeColor="background1"/>
                <w:sz w:val="14"/>
                <w:szCs w:val="14"/>
                <w:lang w:eastAsia="en-AU"/>
              </w:rPr>
            </w:pPr>
            <w:r w:rsidRPr="00B11441">
              <w:rPr>
                <w:snapToGrid/>
                <w:color w:val="FFFFFF" w:themeColor="background1"/>
                <w:sz w:val="14"/>
                <w:szCs w:val="14"/>
                <w:lang w:eastAsia="en-AU"/>
              </w:rPr>
              <w:t>Rest of Australian resident population</w:t>
            </w:r>
          </w:p>
        </w:tc>
        <w:tc>
          <w:tcPr>
            <w:tcW w:w="1134" w:type="dxa"/>
            <w:tcBorders>
              <w:top w:val="single" w:sz="4" w:space="0" w:color="E02628"/>
              <w:left w:val="nil"/>
              <w:bottom w:val="single" w:sz="4" w:space="0" w:color="E02628"/>
              <w:right w:val="nil"/>
            </w:tcBorders>
            <w:shd w:val="clear" w:color="auto" w:fill="E02628"/>
            <w:noWrap/>
            <w:hideMark/>
          </w:tcPr>
          <w:p w14:paraId="5842D95A" w14:textId="77777777" w:rsidR="00C62854" w:rsidRPr="00B11441" w:rsidRDefault="00C62854" w:rsidP="007C4F3B">
            <w:pPr>
              <w:pStyle w:val="TableTextSmall"/>
              <w:keepNext/>
              <w:jc w:val="center"/>
              <w:rPr>
                <w:rFonts w:ascii="Arial" w:hAnsi="Arial"/>
                <w:sz w:val="14"/>
                <w:szCs w:val="14"/>
              </w:rPr>
            </w:pPr>
          </w:p>
        </w:tc>
        <w:tc>
          <w:tcPr>
            <w:tcW w:w="1702" w:type="dxa"/>
            <w:tcBorders>
              <w:top w:val="single" w:sz="4" w:space="0" w:color="E02628"/>
              <w:left w:val="nil"/>
              <w:bottom w:val="single" w:sz="4" w:space="0" w:color="E02628"/>
              <w:right w:val="nil"/>
            </w:tcBorders>
            <w:shd w:val="clear" w:color="auto" w:fill="E02628"/>
            <w:noWrap/>
          </w:tcPr>
          <w:p w14:paraId="179923F8" w14:textId="77777777" w:rsidR="00C62854" w:rsidRPr="00B11441" w:rsidRDefault="00C62854" w:rsidP="007C4F3B">
            <w:pPr>
              <w:pStyle w:val="TableTextSmall"/>
              <w:keepNext/>
              <w:jc w:val="center"/>
              <w:rPr>
                <w:rFonts w:ascii="Arial" w:hAnsi="Arial"/>
                <w:sz w:val="14"/>
                <w:szCs w:val="14"/>
              </w:rPr>
            </w:pPr>
          </w:p>
        </w:tc>
        <w:tc>
          <w:tcPr>
            <w:tcW w:w="1703" w:type="dxa"/>
            <w:tcBorders>
              <w:top w:val="single" w:sz="4" w:space="0" w:color="E02628"/>
              <w:left w:val="nil"/>
              <w:bottom w:val="single" w:sz="4" w:space="0" w:color="E02628"/>
              <w:right w:val="nil"/>
            </w:tcBorders>
            <w:shd w:val="clear" w:color="auto" w:fill="E02628"/>
            <w:noWrap/>
          </w:tcPr>
          <w:p w14:paraId="6905A580" w14:textId="77777777" w:rsidR="00C62854" w:rsidRPr="00B11441" w:rsidRDefault="00C62854" w:rsidP="007C4F3B">
            <w:pPr>
              <w:pStyle w:val="TableTextSmall"/>
              <w:keepNext/>
              <w:jc w:val="center"/>
              <w:rPr>
                <w:rFonts w:ascii="Arial" w:hAnsi="Arial"/>
                <w:sz w:val="14"/>
                <w:szCs w:val="14"/>
              </w:rPr>
            </w:pPr>
          </w:p>
        </w:tc>
        <w:tc>
          <w:tcPr>
            <w:tcW w:w="1703" w:type="dxa"/>
            <w:tcBorders>
              <w:top w:val="single" w:sz="4" w:space="0" w:color="E02628"/>
              <w:left w:val="nil"/>
              <w:bottom w:val="single" w:sz="4" w:space="0" w:color="E02628"/>
              <w:right w:val="nil"/>
            </w:tcBorders>
            <w:shd w:val="clear" w:color="auto" w:fill="E02628"/>
            <w:noWrap/>
          </w:tcPr>
          <w:p w14:paraId="18AB197C" w14:textId="77777777" w:rsidR="00C62854" w:rsidRPr="00B11441" w:rsidRDefault="00C62854" w:rsidP="007C4F3B">
            <w:pPr>
              <w:pStyle w:val="TableTextSmall"/>
              <w:keepNext/>
              <w:jc w:val="center"/>
              <w:rPr>
                <w:rFonts w:ascii="Arial" w:hAnsi="Arial"/>
                <w:sz w:val="14"/>
                <w:szCs w:val="14"/>
              </w:rPr>
            </w:pPr>
          </w:p>
        </w:tc>
      </w:tr>
      <w:tr w:rsidR="00C62854" w:rsidRPr="009210D0" w14:paraId="1AADB9CC" w14:textId="77777777" w:rsidTr="00156206">
        <w:trPr>
          <w:trHeight w:val="227"/>
          <w:tblHeader/>
        </w:trPr>
        <w:tc>
          <w:tcPr>
            <w:tcW w:w="3458" w:type="dxa"/>
            <w:tcBorders>
              <w:top w:val="single" w:sz="4" w:space="0" w:color="E02628"/>
              <w:left w:val="nil"/>
              <w:bottom w:val="single" w:sz="4" w:space="0" w:color="E02628"/>
              <w:right w:val="nil"/>
            </w:tcBorders>
            <w:shd w:val="clear" w:color="000000" w:fill="FFFFFF"/>
            <w:noWrap/>
            <w:vAlign w:val="center"/>
            <w:hideMark/>
          </w:tcPr>
          <w:p w14:paraId="75100046" w14:textId="77777777" w:rsidR="00C62854" w:rsidRPr="00B11441" w:rsidRDefault="00C62854" w:rsidP="007C4F3B">
            <w:pPr>
              <w:pStyle w:val="TableTextSmall"/>
              <w:keepNext/>
              <w:ind w:left="227"/>
              <w:rPr>
                <w:i/>
                <w:iCs/>
                <w:snapToGrid/>
                <w:sz w:val="14"/>
                <w:szCs w:val="14"/>
                <w:lang w:eastAsia="en-AU"/>
              </w:rPr>
            </w:pPr>
            <w:r w:rsidRPr="00B11441">
              <w:rPr>
                <w:i/>
                <w:iCs/>
                <w:snapToGrid/>
                <w:sz w:val="14"/>
                <w:szCs w:val="14"/>
                <w:lang w:eastAsia="en-AU"/>
              </w:rPr>
              <w:t>- Rest of Australian resident population</w:t>
            </w:r>
          </w:p>
        </w:tc>
        <w:tc>
          <w:tcPr>
            <w:tcW w:w="1134" w:type="dxa"/>
            <w:tcBorders>
              <w:top w:val="single" w:sz="4" w:space="0" w:color="E02628"/>
              <w:left w:val="nil"/>
              <w:bottom w:val="single" w:sz="4" w:space="0" w:color="E02628"/>
              <w:right w:val="nil"/>
            </w:tcBorders>
            <w:shd w:val="clear" w:color="000000" w:fill="FFFFFF"/>
            <w:noWrap/>
            <w:hideMark/>
          </w:tcPr>
          <w:p w14:paraId="01E77971" w14:textId="77777777" w:rsidR="00C62854" w:rsidRPr="00B11441" w:rsidRDefault="00C62854" w:rsidP="007C4F3B">
            <w:pPr>
              <w:pStyle w:val="TableTextSmall"/>
              <w:keepNext/>
              <w:jc w:val="center"/>
              <w:rPr>
                <w:rFonts w:ascii="Arial" w:hAnsi="Arial"/>
                <w:i/>
                <w:sz w:val="14"/>
                <w:szCs w:val="14"/>
              </w:rPr>
            </w:pPr>
            <w:r w:rsidRPr="00B11441">
              <w:rPr>
                <w:rFonts w:ascii="Arial" w:hAnsi="Arial"/>
                <w:sz w:val="14"/>
                <w:szCs w:val="14"/>
              </w:rPr>
              <w:t>63</w:t>
            </w:r>
          </w:p>
        </w:tc>
        <w:tc>
          <w:tcPr>
            <w:tcW w:w="1702" w:type="dxa"/>
            <w:tcBorders>
              <w:top w:val="single" w:sz="4" w:space="0" w:color="E02628"/>
              <w:left w:val="nil"/>
              <w:bottom w:val="single" w:sz="4" w:space="0" w:color="E02628"/>
              <w:right w:val="nil"/>
            </w:tcBorders>
            <w:shd w:val="clear" w:color="000000" w:fill="FFFFFF"/>
            <w:noWrap/>
          </w:tcPr>
          <w:p w14:paraId="282A88D8" w14:textId="77777777" w:rsidR="00C62854" w:rsidRPr="00B11441" w:rsidRDefault="00C62854" w:rsidP="007C4F3B">
            <w:pPr>
              <w:pStyle w:val="TableTextSmall"/>
              <w:keepNext/>
              <w:jc w:val="center"/>
              <w:rPr>
                <w:rFonts w:ascii="Arial" w:hAnsi="Arial"/>
                <w:i/>
                <w:sz w:val="14"/>
                <w:szCs w:val="14"/>
              </w:rPr>
            </w:pPr>
            <w:r w:rsidRPr="00B11441">
              <w:rPr>
                <w:rFonts w:ascii="Arial" w:hAnsi="Arial"/>
                <w:sz w:val="14"/>
                <w:szCs w:val="14"/>
              </w:rPr>
              <w:t>34%</w:t>
            </w:r>
          </w:p>
        </w:tc>
        <w:tc>
          <w:tcPr>
            <w:tcW w:w="1703" w:type="dxa"/>
            <w:tcBorders>
              <w:top w:val="single" w:sz="4" w:space="0" w:color="E02628"/>
              <w:left w:val="nil"/>
              <w:bottom w:val="single" w:sz="4" w:space="0" w:color="E02628"/>
              <w:right w:val="nil"/>
            </w:tcBorders>
            <w:shd w:val="clear" w:color="000000" w:fill="FFFFFF"/>
            <w:noWrap/>
          </w:tcPr>
          <w:p w14:paraId="02D08112" w14:textId="77777777" w:rsidR="00C62854" w:rsidRPr="00B11441" w:rsidRDefault="00C62854" w:rsidP="007C4F3B">
            <w:pPr>
              <w:pStyle w:val="TableTextSmall"/>
              <w:keepNext/>
              <w:jc w:val="center"/>
              <w:rPr>
                <w:rFonts w:ascii="Arial" w:hAnsi="Arial"/>
                <w:i/>
                <w:sz w:val="14"/>
                <w:szCs w:val="14"/>
              </w:rPr>
            </w:pPr>
            <w:r w:rsidRPr="00B11441">
              <w:rPr>
                <w:rFonts w:ascii="Arial" w:hAnsi="Arial"/>
                <w:sz w:val="14"/>
                <w:szCs w:val="14"/>
              </w:rPr>
              <w:t>7%</w:t>
            </w:r>
          </w:p>
        </w:tc>
        <w:tc>
          <w:tcPr>
            <w:tcW w:w="1703" w:type="dxa"/>
            <w:tcBorders>
              <w:top w:val="single" w:sz="4" w:space="0" w:color="E02628"/>
              <w:left w:val="nil"/>
              <w:bottom w:val="single" w:sz="4" w:space="0" w:color="E02628"/>
              <w:right w:val="nil"/>
            </w:tcBorders>
            <w:shd w:val="clear" w:color="000000" w:fill="FFFFFF"/>
            <w:noWrap/>
          </w:tcPr>
          <w:p w14:paraId="13F4354E" w14:textId="77777777" w:rsidR="00C62854" w:rsidRPr="00B11441" w:rsidRDefault="00C62854" w:rsidP="007C4F3B">
            <w:pPr>
              <w:pStyle w:val="TableTextSmall"/>
              <w:keepNext/>
              <w:jc w:val="center"/>
              <w:rPr>
                <w:rFonts w:ascii="Arial" w:hAnsi="Arial"/>
                <w:i/>
                <w:sz w:val="14"/>
                <w:szCs w:val="14"/>
              </w:rPr>
            </w:pPr>
            <w:r w:rsidRPr="00B11441">
              <w:rPr>
                <w:rFonts w:ascii="Arial" w:hAnsi="Arial"/>
                <w:sz w:val="14"/>
                <w:szCs w:val="14"/>
              </w:rPr>
              <w:t>59%</w:t>
            </w:r>
          </w:p>
        </w:tc>
      </w:tr>
      <w:tr w:rsidR="00C62854" w:rsidRPr="009210D0" w14:paraId="2E1B47E7" w14:textId="77777777" w:rsidTr="00156206">
        <w:trPr>
          <w:trHeight w:val="227"/>
          <w:tblHeader/>
        </w:trPr>
        <w:tc>
          <w:tcPr>
            <w:tcW w:w="3458" w:type="dxa"/>
            <w:tcBorders>
              <w:top w:val="single" w:sz="4" w:space="0" w:color="E02628"/>
              <w:left w:val="nil"/>
              <w:bottom w:val="single" w:sz="4" w:space="0" w:color="E02628"/>
              <w:right w:val="nil"/>
            </w:tcBorders>
            <w:shd w:val="clear" w:color="auto" w:fill="E02628"/>
            <w:noWrap/>
            <w:vAlign w:val="center"/>
            <w:hideMark/>
          </w:tcPr>
          <w:p w14:paraId="15BD8407" w14:textId="77777777" w:rsidR="00C62854" w:rsidRPr="00B11441" w:rsidRDefault="00C62854" w:rsidP="00156206">
            <w:pPr>
              <w:pStyle w:val="TableTextSmall"/>
              <w:rPr>
                <w:snapToGrid/>
                <w:sz w:val="14"/>
                <w:szCs w:val="14"/>
                <w:lang w:eastAsia="en-AU"/>
              </w:rPr>
            </w:pPr>
            <w:r w:rsidRPr="00B11441">
              <w:rPr>
                <w:snapToGrid/>
                <w:color w:val="FFFFFF" w:themeColor="background1"/>
                <w:sz w:val="14"/>
                <w:szCs w:val="14"/>
                <w:lang w:eastAsia="en-AU"/>
              </w:rPr>
              <w:t>Australian resident population</w:t>
            </w:r>
          </w:p>
        </w:tc>
        <w:tc>
          <w:tcPr>
            <w:tcW w:w="1134" w:type="dxa"/>
            <w:tcBorders>
              <w:top w:val="single" w:sz="4" w:space="0" w:color="E02628"/>
              <w:left w:val="nil"/>
              <w:bottom w:val="single" w:sz="4" w:space="0" w:color="E02628"/>
              <w:right w:val="nil"/>
            </w:tcBorders>
            <w:shd w:val="clear" w:color="auto" w:fill="E02628"/>
            <w:noWrap/>
            <w:hideMark/>
          </w:tcPr>
          <w:p w14:paraId="227ECDDF" w14:textId="77777777" w:rsidR="00C62854" w:rsidRPr="00B11441" w:rsidRDefault="00C62854" w:rsidP="00156206">
            <w:pPr>
              <w:pStyle w:val="TableTextSmall"/>
              <w:jc w:val="center"/>
              <w:rPr>
                <w:rFonts w:ascii="Arial" w:hAnsi="Arial"/>
                <w:color w:val="FFFFFF" w:themeColor="background1"/>
                <w:sz w:val="14"/>
                <w:szCs w:val="14"/>
              </w:rPr>
            </w:pPr>
            <w:r w:rsidRPr="00B11441">
              <w:rPr>
                <w:rFonts w:ascii="Arial" w:hAnsi="Arial"/>
                <w:color w:val="FFFFFF" w:themeColor="background1"/>
                <w:sz w:val="14"/>
                <w:szCs w:val="14"/>
              </w:rPr>
              <w:t>51</w:t>
            </w:r>
          </w:p>
        </w:tc>
        <w:tc>
          <w:tcPr>
            <w:tcW w:w="1702" w:type="dxa"/>
            <w:tcBorders>
              <w:top w:val="single" w:sz="4" w:space="0" w:color="E02628"/>
              <w:left w:val="nil"/>
              <w:bottom w:val="single" w:sz="4" w:space="0" w:color="E02628"/>
              <w:right w:val="nil"/>
            </w:tcBorders>
            <w:shd w:val="clear" w:color="auto" w:fill="E02628"/>
            <w:noWrap/>
          </w:tcPr>
          <w:p w14:paraId="75ACA8DE" w14:textId="77777777" w:rsidR="00C62854" w:rsidRPr="00B11441" w:rsidRDefault="00C62854" w:rsidP="00156206">
            <w:pPr>
              <w:pStyle w:val="TableTextSmall"/>
              <w:jc w:val="center"/>
              <w:rPr>
                <w:rFonts w:ascii="Arial" w:hAnsi="Arial"/>
                <w:color w:val="FFFFFF" w:themeColor="background1"/>
                <w:sz w:val="14"/>
                <w:szCs w:val="14"/>
              </w:rPr>
            </w:pPr>
            <w:r w:rsidRPr="00B11441">
              <w:rPr>
                <w:rFonts w:ascii="Arial" w:hAnsi="Arial"/>
                <w:color w:val="FFFFFF" w:themeColor="background1"/>
                <w:sz w:val="14"/>
                <w:szCs w:val="14"/>
              </w:rPr>
              <w:t>41%</w:t>
            </w:r>
          </w:p>
        </w:tc>
        <w:tc>
          <w:tcPr>
            <w:tcW w:w="1703" w:type="dxa"/>
            <w:tcBorders>
              <w:top w:val="single" w:sz="4" w:space="0" w:color="E02628"/>
              <w:left w:val="nil"/>
              <w:bottom w:val="single" w:sz="4" w:space="0" w:color="E02628"/>
              <w:right w:val="nil"/>
            </w:tcBorders>
            <w:shd w:val="clear" w:color="auto" w:fill="E02628"/>
            <w:noWrap/>
          </w:tcPr>
          <w:p w14:paraId="7BD74A13" w14:textId="77777777" w:rsidR="00C62854" w:rsidRPr="00B11441" w:rsidRDefault="00C62854" w:rsidP="00156206">
            <w:pPr>
              <w:pStyle w:val="TableTextSmall"/>
              <w:jc w:val="center"/>
              <w:rPr>
                <w:rFonts w:ascii="Arial" w:hAnsi="Arial"/>
                <w:color w:val="FFFFFF" w:themeColor="background1"/>
                <w:sz w:val="14"/>
                <w:szCs w:val="14"/>
              </w:rPr>
            </w:pPr>
            <w:r w:rsidRPr="00B11441">
              <w:rPr>
                <w:rFonts w:ascii="Arial" w:hAnsi="Arial"/>
                <w:color w:val="FFFFFF" w:themeColor="background1"/>
                <w:sz w:val="14"/>
                <w:szCs w:val="14"/>
              </w:rPr>
              <w:t>7%</w:t>
            </w:r>
          </w:p>
        </w:tc>
        <w:tc>
          <w:tcPr>
            <w:tcW w:w="1703" w:type="dxa"/>
            <w:tcBorders>
              <w:top w:val="single" w:sz="4" w:space="0" w:color="E02628"/>
              <w:left w:val="nil"/>
              <w:bottom w:val="single" w:sz="4" w:space="0" w:color="E02628"/>
              <w:right w:val="nil"/>
            </w:tcBorders>
            <w:shd w:val="clear" w:color="auto" w:fill="E02628"/>
            <w:noWrap/>
          </w:tcPr>
          <w:p w14:paraId="0D41BDCE" w14:textId="77777777" w:rsidR="00C62854" w:rsidRPr="00B11441" w:rsidRDefault="00C62854" w:rsidP="00156206">
            <w:pPr>
              <w:pStyle w:val="TableTextSmall"/>
              <w:jc w:val="center"/>
              <w:rPr>
                <w:rFonts w:ascii="Arial" w:hAnsi="Arial"/>
                <w:color w:val="FFFFFF" w:themeColor="background1"/>
                <w:sz w:val="14"/>
                <w:szCs w:val="14"/>
              </w:rPr>
            </w:pPr>
            <w:r w:rsidRPr="00B11441">
              <w:rPr>
                <w:rFonts w:ascii="Arial" w:hAnsi="Arial"/>
                <w:color w:val="FFFFFF" w:themeColor="background1"/>
                <w:sz w:val="14"/>
                <w:szCs w:val="14"/>
              </w:rPr>
              <w:t>52%</w:t>
            </w:r>
          </w:p>
        </w:tc>
      </w:tr>
    </w:tbl>
    <w:p w14:paraId="67A22801" w14:textId="77777777" w:rsidR="00C62854" w:rsidRPr="0057506F" w:rsidRDefault="00C62854" w:rsidP="00C62854">
      <w:pPr>
        <w:pStyle w:val="Sources"/>
        <w:keepNext/>
      </w:pPr>
      <w:r w:rsidRPr="00EE6B0F">
        <w:t>Note: Exited 4+ years refers to previous welfare recipients who have exited in the past 4-16 years</w:t>
      </w:r>
    </w:p>
    <w:p w14:paraId="52E5AC51" w14:textId="77777777" w:rsidR="00C62854" w:rsidRDefault="00C62854" w:rsidP="00C62854">
      <w:pPr>
        <w:pStyle w:val="PwCNormal"/>
        <w:numPr>
          <w:ilvl w:val="0"/>
          <w:numId w:val="0"/>
        </w:numPr>
      </w:pPr>
    </w:p>
    <w:p w14:paraId="5010863A" w14:textId="039F1662" w:rsidR="00C62854" w:rsidRPr="00EE6B0F" w:rsidRDefault="00C62854" w:rsidP="00C62854">
      <w:pPr>
        <w:pStyle w:val="PwCNormal"/>
        <w:numPr>
          <w:ilvl w:val="0"/>
          <w:numId w:val="0"/>
        </w:numPr>
      </w:pPr>
      <w:r w:rsidRPr="00EE6B0F">
        <w:t>As can be seen current income support recipients are expected to spend a far greater proportion of their future lifetimes receiving income support</w:t>
      </w:r>
      <w:r w:rsidR="00AC652B">
        <w:t>,</w:t>
      </w:r>
      <w:r w:rsidRPr="00EE6B0F">
        <w:t xml:space="preserve"> and this is especially so for recipients of Carer payment, Disability </w:t>
      </w:r>
      <w:r w:rsidR="0033779C">
        <w:t>S</w:t>
      </w:r>
      <w:r w:rsidR="0033779C" w:rsidRPr="00EE6B0F">
        <w:t xml:space="preserve">upport </w:t>
      </w:r>
      <w:r w:rsidRPr="00EE6B0F">
        <w:t xml:space="preserve">pension and, unsurprisingly, the </w:t>
      </w:r>
      <w:r>
        <w:t>A</w:t>
      </w:r>
      <w:r w:rsidRPr="00EE6B0F">
        <w:t xml:space="preserve">ge </w:t>
      </w:r>
      <w:r>
        <w:t>P</w:t>
      </w:r>
      <w:r w:rsidRPr="00EE6B0F">
        <w:t>ension.</w:t>
      </w:r>
    </w:p>
    <w:p w14:paraId="7B436063" w14:textId="24FA4101" w:rsidR="00A12811" w:rsidRDefault="00C62854" w:rsidP="00C62854">
      <w:pPr>
        <w:pStyle w:val="PwCNormal"/>
        <w:numPr>
          <w:ilvl w:val="0"/>
          <w:numId w:val="0"/>
        </w:numPr>
      </w:pPr>
      <w:r w:rsidRPr="003F4C54">
        <w:lastRenderedPageBreak/>
        <w:t xml:space="preserve">The expected future durations on income support for Students and people in the non income support classes are similar and lower than for other income support </w:t>
      </w:r>
      <w:r w:rsidRPr="007E2739">
        <w:t xml:space="preserve">recipients, but somewhat higher than those for people who </w:t>
      </w:r>
      <w:r w:rsidRPr="0065215B">
        <w:t>have not received any welfare payments over the time period for which we have data.</w:t>
      </w:r>
    </w:p>
    <w:p w14:paraId="77D393C0" w14:textId="77777777" w:rsidR="00D65D06" w:rsidRPr="003F4C54" w:rsidRDefault="00D65D06" w:rsidP="00D65D06">
      <w:pPr>
        <w:pStyle w:val="Heading2ExecutiveSummary"/>
      </w:pPr>
      <w:r>
        <w:t>Changes in overall lifetime cost</w:t>
      </w:r>
    </w:p>
    <w:p w14:paraId="3CF95A4F" w14:textId="77777777" w:rsidR="00871DAB" w:rsidRDefault="00871DAB" w:rsidP="00871DAB">
      <w:pPr>
        <w:pStyle w:val="PwCNormal"/>
        <w:numPr>
          <w:ilvl w:val="0"/>
          <w:numId w:val="0"/>
        </w:numPr>
      </w:pPr>
      <w:r w:rsidRPr="003F4C54">
        <w:t xml:space="preserve">The assessment of </w:t>
      </w:r>
      <w:r>
        <w:t xml:space="preserve">the </w:t>
      </w:r>
      <w:r w:rsidRPr="003F4C54">
        <w:t xml:space="preserve">total lifetime cost has </w:t>
      </w:r>
      <w:r>
        <w:t>increased</w:t>
      </w:r>
      <w:r w:rsidRPr="003F4C54">
        <w:t xml:space="preserve"> from </w:t>
      </w:r>
      <w:r w:rsidRPr="003F4C54">
        <w:rPr>
          <w:b/>
        </w:rPr>
        <w:t>$4,514 billion</w:t>
      </w:r>
      <w:r w:rsidRPr="003F4C54">
        <w:t xml:space="preserve"> at 30 June 2016 to </w:t>
      </w:r>
      <w:r w:rsidRPr="003F4C54">
        <w:rPr>
          <w:b/>
        </w:rPr>
        <w:t>$4,681 billion</w:t>
      </w:r>
      <w:r w:rsidRPr="003F4C54">
        <w:t xml:space="preserve"> at 30 June 2017. </w:t>
      </w:r>
      <w:r>
        <w:t xml:space="preserve">This is an </w:t>
      </w:r>
      <w:r w:rsidRPr="003F4C54">
        <w:rPr>
          <w:b/>
        </w:rPr>
        <w:t>increase of $167 billion</w:t>
      </w:r>
      <w:r>
        <w:t xml:space="preserve"> reflecting the impact of growth in population, inflation, and our updated assumptions and model refinements to account for policy changes and observed changes in experience over the latest year.</w:t>
      </w:r>
    </w:p>
    <w:p w14:paraId="450A6144" w14:textId="77777777" w:rsidR="00871DAB" w:rsidRPr="003F4C54" w:rsidRDefault="00871DAB" w:rsidP="00871DAB">
      <w:pPr>
        <w:pStyle w:val="PwCNormal"/>
        <w:numPr>
          <w:ilvl w:val="0"/>
          <w:numId w:val="0"/>
        </w:numPr>
      </w:pPr>
      <w:r>
        <w:t>The following chart provides a detailed breakdown of the movement in the total lifetime cost. Each item of movement is discussed in turn below.</w:t>
      </w:r>
    </w:p>
    <w:p w14:paraId="3A423C01" w14:textId="77777777" w:rsidR="00871DAB" w:rsidRDefault="00871DAB" w:rsidP="00871DAB">
      <w:pPr>
        <w:pStyle w:val="Caption"/>
        <w:keepLines w:val="0"/>
      </w:pPr>
      <w:r w:rsidRPr="0093688B">
        <w:t xml:space="preserve">Figure </w:t>
      </w:r>
      <w:fldSimple w:instr=" SEQ Figure \* ARABIC ">
        <w:r w:rsidR="00C93C1A">
          <w:rPr>
            <w:noProof/>
          </w:rPr>
          <w:t>4</w:t>
        </w:r>
      </w:fldSimple>
      <w:r w:rsidRPr="0093688B">
        <w:t xml:space="preserve">: </w:t>
      </w:r>
      <w:r>
        <w:t>Explanation of change in lifetime cost</w:t>
      </w:r>
    </w:p>
    <w:p w14:paraId="4409A4D9" w14:textId="1BB75B10" w:rsidR="00871DAB" w:rsidRPr="00132E3F" w:rsidRDefault="00172324" w:rsidP="00DE3E46">
      <w:pPr>
        <w:pStyle w:val="PwCNormal"/>
        <w:numPr>
          <w:ilvl w:val="0"/>
          <w:numId w:val="0"/>
        </w:numPr>
      </w:pPr>
      <w:r w:rsidRPr="00E50AED">
        <w:rPr>
          <w:noProof/>
          <w:lang w:eastAsia="en-AU"/>
        </w:rPr>
        <w:drawing>
          <wp:inline distT="0" distB="0" distL="0" distR="0" wp14:anchorId="593B2BE6" wp14:editId="5E1DA471">
            <wp:extent cx="5832475" cy="2777369"/>
            <wp:effectExtent l="0" t="0" r="0" b="4445"/>
            <wp:docPr id="3074" name="Picture 3074" descr="This figure is a waterfall chart. The chart depicts the total change in lifetime cost between the June 2016 and June 2017 valuation split by the different contributing components. The vertical axis shows the change in the total lifetime cost, ranging from $0 to $ 250 billion. &#10;&#10;The horizontal axis has three sections. &#10;The first section shows the components that contribute to expected changes in the total lifetime cost. This section consists of the following columns: Population growth over FY16/17 (+$67bn), Inflation over FY16/17 (+$58bn) and Inflation of future payments (+$85bn). The second section shows the components that reflect changes to the welfare system. This section consists of the following columns: Policy changes to FY16/17 (increase) (+$27bn) and Policy changes to FY16/17 (decrease) (-$31bn). The section shows components that reflect emerging experience in the welfare system and any assumption changes. This section consists of the following columns: Welfare Utilization change (-$28bn), Lower future utilization (-$49bn), Higher average payments (+$46bn) and Updated Indexation assumptions (-$8bn). &#10;&#10;Further details about these sections are discussed in the accompanying text within the report.&#10;" title="Explanation of a change in lifetim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2475" cy="2777369"/>
                    </a:xfrm>
                    <a:prstGeom prst="rect">
                      <a:avLst/>
                    </a:prstGeom>
                    <a:noFill/>
                    <a:ln>
                      <a:noFill/>
                    </a:ln>
                  </pic:spPr>
                </pic:pic>
              </a:graphicData>
            </a:graphic>
          </wp:inline>
        </w:drawing>
      </w:r>
    </w:p>
    <w:p w14:paraId="4105FA17" w14:textId="77777777" w:rsidR="00871DAB" w:rsidRDefault="00871DAB" w:rsidP="00871DAB">
      <w:pPr>
        <w:pStyle w:val="Heading3ExecutiveSummary"/>
      </w:pPr>
      <w:r>
        <w:t>Expected changes</w:t>
      </w:r>
    </w:p>
    <w:p w14:paraId="1D58155B" w14:textId="77777777" w:rsidR="00871DAB" w:rsidRDefault="00871DAB" w:rsidP="00871DAB">
      <w:pPr>
        <w:pStyle w:val="PwCNormal"/>
        <w:numPr>
          <w:ilvl w:val="0"/>
          <w:numId w:val="0"/>
        </w:numPr>
      </w:pPr>
      <w:r>
        <w:t>Each year, we expect the total lifetime cost to grow in line with population growth and inflation.</w:t>
      </w:r>
    </w:p>
    <w:p w14:paraId="57380518" w14:textId="77777777" w:rsidR="00871DAB" w:rsidRDefault="00871DAB" w:rsidP="00871DAB">
      <w:pPr>
        <w:pStyle w:val="PwCNormal"/>
        <w:numPr>
          <w:ilvl w:val="0"/>
          <w:numId w:val="0"/>
        </w:numPr>
      </w:pPr>
      <w:r>
        <w:t xml:space="preserve">At the June 2017 valuation, the overall lifetime cost has </w:t>
      </w:r>
      <w:r w:rsidRPr="00132E3F">
        <w:rPr>
          <w:b/>
        </w:rPr>
        <w:t>increased by $</w:t>
      </w:r>
      <w:r>
        <w:rPr>
          <w:b/>
        </w:rPr>
        <w:t>67</w:t>
      </w:r>
      <w:r w:rsidRPr="00132E3F">
        <w:rPr>
          <w:b/>
        </w:rPr>
        <w:t>bn (+</w:t>
      </w:r>
      <w:r>
        <w:rPr>
          <w:b/>
        </w:rPr>
        <w:t>1.5</w:t>
      </w:r>
      <w:r w:rsidRPr="00132E3F">
        <w:rPr>
          <w:b/>
        </w:rPr>
        <w:t>%)</w:t>
      </w:r>
      <w:r>
        <w:t xml:space="preserve"> due to growth in the Australian Population over the 2016/17 year. The estimated population as at 30 June 2017 reflects the allowance for births and net migration over the year, as well as the use of the latest Australian Census (2016). The latest census includes an additional 150,000 individuals compared to the initial population forecasts based on the 2011 Australian Census.</w:t>
      </w:r>
    </w:p>
    <w:p w14:paraId="1B285D09" w14:textId="5C7F2061" w:rsidR="00871DAB" w:rsidRDefault="00871DAB" w:rsidP="00871DAB">
      <w:pPr>
        <w:pStyle w:val="PwCNormal"/>
        <w:numPr>
          <w:ilvl w:val="0"/>
          <w:numId w:val="0"/>
        </w:numPr>
      </w:pPr>
      <w:r>
        <w:t xml:space="preserve">The overall lifetime cost has further increased by </w:t>
      </w:r>
      <w:r w:rsidRPr="00D84F6D">
        <w:rPr>
          <w:b/>
        </w:rPr>
        <w:t>$143bn (+3.2%)</w:t>
      </w:r>
      <w:r>
        <w:t xml:space="preserve"> due to inflation. This includes inflation of payments over the 2016/17 year of 1.3% on average, </w:t>
      </w:r>
      <w:r w:rsidR="00913803">
        <w:t>allowance for</w:t>
      </w:r>
      <w:r>
        <w:t xml:space="preserve"> </w:t>
      </w:r>
      <w:r w:rsidR="00913803">
        <w:t>updated published inflation indices and their impact on future payment rates</w:t>
      </w:r>
      <w:r>
        <w:t>, as well as the impact of inflation on future payments as we move closer to the expected long term inflation rates.</w:t>
      </w:r>
    </w:p>
    <w:p w14:paraId="7685EAA6" w14:textId="77777777" w:rsidR="00871DAB" w:rsidRDefault="00871DAB" w:rsidP="00871DAB">
      <w:pPr>
        <w:pStyle w:val="Heading3ExecutiveSummary"/>
      </w:pPr>
      <w:r>
        <w:t>System changes</w:t>
      </w:r>
    </w:p>
    <w:p w14:paraId="0A87CDFB" w14:textId="3731CC97" w:rsidR="00871DAB" w:rsidRDefault="00871DAB" w:rsidP="00871DAB">
      <w:pPr>
        <w:pStyle w:val="PwCNormal"/>
        <w:numPr>
          <w:ilvl w:val="0"/>
          <w:numId w:val="0"/>
        </w:numPr>
      </w:pPr>
      <w:r>
        <w:t xml:space="preserve">Changes to the welfare system may directly influence the entitlements of individuals and their welfare usage. Over recent years a number of policy changes have been legislated which have had an impact on the total lifetime cost. At the June 2017 valuation, the overall lifetime cost was </w:t>
      </w:r>
      <w:r w:rsidRPr="00D84F6D">
        <w:rPr>
          <w:b/>
        </w:rPr>
        <w:t>reduced by</w:t>
      </w:r>
      <w:r>
        <w:t xml:space="preserve"> </w:t>
      </w:r>
      <w:r w:rsidRPr="00D84F6D">
        <w:rPr>
          <w:b/>
        </w:rPr>
        <w:t>$</w:t>
      </w:r>
      <w:r w:rsidR="00C02F8E">
        <w:rPr>
          <w:b/>
        </w:rPr>
        <w:t>4</w:t>
      </w:r>
      <w:r w:rsidRPr="00D84F6D">
        <w:rPr>
          <w:b/>
        </w:rPr>
        <w:t>bn (-0.</w:t>
      </w:r>
      <w:r w:rsidR="00C02F8E">
        <w:rPr>
          <w:b/>
        </w:rPr>
        <w:t>1</w:t>
      </w:r>
      <w:r w:rsidRPr="00D84F6D">
        <w:rPr>
          <w:b/>
        </w:rPr>
        <w:t xml:space="preserve">%) </w:t>
      </w:r>
      <w:r>
        <w:t>to reflect the net impact of these policy changes:</w:t>
      </w:r>
    </w:p>
    <w:p w14:paraId="16F5CA69" w14:textId="77777777" w:rsidR="00871DAB" w:rsidRDefault="00871DAB" w:rsidP="00871DAB">
      <w:pPr>
        <w:pStyle w:val="ListBullet"/>
      </w:pPr>
      <w:r>
        <w:rPr>
          <w:b/>
        </w:rPr>
        <w:t>Increases in lifetime cost</w:t>
      </w:r>
      <w:r w:rsidRPr="0036202D">
        <w:t xml:space="preserve"> </w:t>
      </w:r>
      <w:r>
        <w:t>–</w:t>
      </w:r>
      <w:r w:rsidRPr="0036202D">
        <w:t xml:space="preserve"> </w:t>
      </w:r>
      <w:r>
        <w:t xml:space="preserve">The introduction of the Child Care Subsidy from July 2018 has an estimated impact of a </w:t>
      </w:r>
      <w:r w:rsidRPr="00867915">
        <w:rPr>
          <w:b/>
        </w:rPr>
        <w:t>$27bn increase</w:t>
      </w:r>
      <w:r>
        <w:t xml:space="preserve"> in the total lifetime cost;</w:t>
      </w:r>
    </w:p>
    <w:p w14:paraId="6E62E8C5" w14:textId="0C82817E" w:rsidR="00871DAB" w:rsidRPr="008F1B9B" w:rsidRDefault="00871DAB" w:rsidP="00871DAB">
      <w:pPr>
        <w:pStyle w:val="ListBullet"/>
      </w:pPr>
      <w:r>
        <w:rPr>
          <w:b/>
        </w:rPr>
        <w:lastRenderedPageBreak/>
        <w:t>Decreases in total lifetime cost</w:t>
      </w:r>
      <w:r>
        <w:t xml:space="preserve"> – the combination </w:t>
      </w:r>
      <w:r w:rsidR="00DE3E46">
        <w:t xml:space="preserve">of </w:t>
      </w:r>
      <w:r>
        <w:t xml:space="preserve">a number of policy changes to the Family Tax Benefit, closure of the Carbon Tax Compensation, and updates to the impact of the </w:t>
      </w:r>
      <w:r w:rsidR="00647550">
        <w:t>pensions assets test</w:t>
      </w:r>
      <w:r>
        <w:t xml:space="preserve"> have contributed to an estimated </w:t>
      </w:r>
      <w:r w:rsidRPr="00D551FB">
        <w:rPr>
          <w:b/>
        </w:rPr>
        <w:t>decrease of $</w:t>
      </w:r>
      <w:r w:rsidR="007E2B38">
        <w:rPr>
          <w:b/>
        </w:rPr>
        <w:t>31</w:t>
      </w:r>
      <w:r w:rsidRPr="00D551FB">
        <w:rPr>
          <w:b/>
        </w:rPr>
        <w:t>bn</w:t>
      </w:r>
      <w:r>
        <w:t xml:space="preserve"> in the total lifetime cost.</w:t>
      </w:r>
    </w:p>
    <w:p w14:paraId="6388CA78" w14:textId="3FEFBFE2" w:rsidR="00871DAB" w:rsidRDefault="00871DAB" w:rsidP="00871DAB">
      <w:pPr>
        <w:pStyle w:val="Heading3ExecutiveSummary"/>
      </w:pPr>
      <w:r>
        <w:t>Ex</w:t>
      </w:r>
      <w:r w:rsidR="00961D8D">
        <w:t>perience and Assumptions</w:t>
      </w:r>
    </w:p>
    <w:p w14:paraId="11CC5602" w14:textId="4509DBD8" w:rsidR="00871DAB" w:rsidRPr="009B3A5D" w:rsidRDefault="00871DAB" w:rsidP="00871DAB">
      <w:pPr>
        <w:pStyle w:val="PwCNormal"/>
        <w:numPr>
          <w:ilvl w:val="0"/>
          <w:numId w:val="0"/>
        </w:numPr>
      </w:pPr>
      <w:r>
        <w:t xml:space="preserve">Further changes </w:t>
      </w:r>
      <w:r w:rsidR="00961D8D">
        <w:t xml:space="preserve">in </w:t>
      </w:r>
      <w:r>
        <w:t xml:space="preserve">the projected total lifetime cost </w:t>
      </w:r>
      <w:r w:rsidR="00961D8D">
        <w:t xml:space="preserve">result from the impact of </w:t>
      </w:r>
      <w:r>
        <w:t>emerging experience in the welfare system observed over the latest year</w:t>
      </w:r>
      <w:r w:rsidR="00961D8D">
        <w:t>, together with assumption changes which reflect this experience</w:t>
      </w:r>
      <w:r>
        <w:t xml:space="preserve">. In total, these contributed to a further </w:t>
      </w:r>
      <w:r w:rsidRPr="009B3A5D">
        <w:rPr>
          <w:b/>
        </w:rPr>
        <w:t>decrease of $</w:t>
      </w:r>
      <w:r w:rsidR="004102E1">
        <w:rPr>
          <w:b/>
        </w:rPr>
        <w:t>39</w:t>
      </w:r>
      <w:r w:rsidRPr="009B3A5D">
        <w:rPr>
          <w:b/>
        </w:rPr>
        <w:t>bn (-</w:t>
      </w:r>
      <w:r>
        <w:rPr>
          <w:b/>
        </w:rPr>
        <w:t>0.</w:t>
      </w:r>
      <w:r w:rsidR="004102E1">
        <w:rPr>
          <w:b/>
        </w:rPr>
        <w:t>9</w:t>
      </w:r>
      <w:r w:rsidRPr="009B3A5D">
        <w:rPr>
          <w:b/>
        </w:rPr>
        <w:t>%)</w:t>
      </w:r>
      <w:r>
        <w:rPr>
          <w:b/>
        </w:rPr>
        <w:t xml:space="preserve"> </w:t>
      </w:r>
      <w:r w:rsidRPr="009B3A5D">
        <w:t>in the overall lifetime cost.</w:t>
      </w:r>
      <w:r>
        <w:t xml:space="preserve"> </w:t>
      </w:r>
      <w:r w:rsidR="00E06009">
        <w:t xml:space="preserve">While this decrease is the net impact of many complex changes and interactions within the model, it </w:t>
      </w:r>
      <w:r w:rsidR="00961D8D">
        <w:t>can be broadly attributed to the following</w:t>
      </w:r>
      <w:r>
        <w:t>:</w:t>
      </w:r>
    </w:p>
    <w:p w14:paraId="670C3A3B" w14:textId="10F736BD" w:rsidR="00871DAB" w:rsidRPr="00E2481D" w:rsidRDefault="00E06009" w:rsidP="00871DAB">
      <w:pPr>
        <w:pStyle w:val="ListBullet"/>
        <w:rPr>
          <w:b/>
        </w:rPr>
      </w:pPr>
      <w:r>
        <w:rPr>
          <w:b/>
        </w:rPr>
        <w:t>Lower overall w</w:t>
      </w:r>
      <w:r w:rsidR="00871DAB">
        <w:rPr>
          <w:b/>
        </w:rPr>
        <w:t>elfare u</w:t>
      </w:r>
      <w:r w:rsidR="00871DAB" w:rsidRPr="00FA4BE1">
        <w:rPr>
          <w:b/>
        </w:rPr>
        <w:t>til</w:t>
      </w:r>
      <w:r w:rsidR="00871DAB">
        <w:rPr>
          <w:b/>
        </w:rPr>
        <w:t>isation ($28bn decrease)</w:t>
      </w:r>
      <w:r w:rsidR="00871DAB">
        <w:t xml:space="preserve"> – </w:t>
      </w:r>
      <w:r w:rsidR="00E43772">
        <w:t>in general the proportion of people utilising welfare was lower this year than last year, and this has resulted in a decrease in the lifetime cost.</w:t>
      </w:r>
      <w:r w:rsidR="00E43772" w:rsidDel="00E43772">
        <w:t xml:space="preserve"> </w:t>
      </w:r>
    </w:p>
    <w:p w14:paraId="5B22C96A" w14:textId="7AABF0E1" w:rsidR="00871DAB" w:rsidRPr="009B3A5D" w:rsidRDefault="00E06009" w:rsidP="00871DAB">
      <w:pPr>
        <w:pStyle w:val="ListBullet"/>
      </w:pPr>
      <w:r>
        <w:rPr>
          <w:b/>
        </w:rPr>
        <w:t>Lower assumed future utilisation of welfare</w:t>
      </w:r>
      <w:r w:rsidR="00871DAB" w:rsidRPr="00C11E84">
        <w:rPr>
          <w:b/>
        </w:rPr>
        <w:t xml:space="preserve"> ($</w:t>
      </w:r>
      <w:r w:rsidR="00D672D1">
        <w:rPr>
          <w:b/>
        </w:rPr>
        <w:t>49</w:t>
      </w:r>
      <w:r w:rsidR="00871DAB" w:rsidRPr="00C11E84">
        <w:rPr>
          <w:b/>
        </w:rPr>
        <w:t xml:space="preserve">bn decrease) </w:t>
      </w:r>
      <w:r w:rsidR="00871DAB">
        <w:t xml:space="preserve">– </w:t>
      </w:r>
      <w:r>
        <w:t xml:space="preserve">in response to the experience, assumed future </w:t>
      </w:r>
      <w:r w:rsidR="00871DAB">
        <w:t xml:space="preserve">entry rates into </w:t>
      </w:r>
      <w:r>
        <w:t xml:space="preserve">welfare have been reduced, in particular into the </w:t>
      </w:r>
      <w:r w:rsidR="004102E1">
        <w:t xml:space="preserve">DSP, </w:t>
      </w:r>
      <w:r w:rsidR="00871DAB">
        <w:t xml:space="preserve">Working Age and Age Pension; and </w:t>
      </w:r>
      <w:r>
        <w:t xml:space="preserve">more people have been assumed to exit from the welfare system, mainly </w:t>
      </w:r>
      <w:r w:rsidR="005E6AAD">
        <w:t xml:space="preserve">as a result of </w:t>
      </w:r>
      <w:r w:rsidR="00871DAB">
        <w:t>tightening of the eligibility criteria for the Family Tax Benefit.</w:t>
      </w:r>
    </w:p>
    <w:p w14:paraId="6095DB7F" w14:textId="4F47A4A2" w:rsidR="00871DAB" w:rsidRDefault="00E06009" w:rsidP="00871DAB">
      <w:pPr>
        <w:pStyle w:val="ListBullet"/>
      </w:pPr>
      <w:r>
        <w:rPr>
          <w:b/>
        </w:rPr>
        <w:t>Higher average payments</w:t>
      </w:r>
      <w:r w:rsidR="00871DAB">
        <w:rPr>
          <w:b/>
        </w:rPr>
        <w:t xml:space="preserve"> ($46bn increase) </w:t>
      </w:r>
      <w:r w:rsidR="00871DAB">
        <w:t xml:space="preserve">– </w:t>
      </w:r>
      <w:r w:rsidR="00480ED3">
        <w:t xml:space="preserve">although welfare utilisation has decreased, this has been offset by </w:t>
      </w:r>
      <w:r w:rsidR="00DB608B">
        <w:t>higher recent payment experience for new age pensioners</w:t>
      </w:r>
      <w:r w:rsidR="007A02FC">
        <w:t xml:space="preserve"> which has now been reflected in the </w:t>
      </w:r>
      <w:r w:rsidR="007A4D02">
        <w:t xml:space="preserve">payment </w:t>
      </w:r>
      <w:r w:rsidR="007A02FC">
        <w:t>assumptions</w:t>
      </w:r>
      <w:r w:rsidR="00423012">
        <w:t xml:space="preserve">. </w:t>
      </w:r>
      <w:r w:rsidR="007A4D02">
        <w:t xml:space="preserve">There has also been some reduction in payments as a result of </w:t>
      </w:r>
      <w:r w:rsidR="00871DAB">
        <w:t>reduced utilisation of FTB payments.</w:t>
      </w:r>
    </w:p>
    <w:p w14:paraId="123C8AF8" w14:textId="0A83BF2F" w:rsidR="00D65D06" w:rsidRPr="003D5C76" w:rsidRDefault="00871DAB" w:rsidP="004E6F4A">
      <w:pPr>
        <w:pStyle w:val="ListBullet"/>
      </w:pPr>
      <w:r>
        <w:rPr>
          <w:b/>
        </w:rPr>
        <w:t>Updated future indexation assumptions ($8bn decrease)</w:t>
      </w:r>
      <w:r>
        <w:t xml:space="preserve"> – at this valuation, the future payment indexation assumptions were updated to reflect the </w:t>
      </w:r>
      <w:r w:rsidR="00807107">
        <w:t xml:space="preserve">Australian Government </w:t>
      </w:r>
      <w:r>
        <w:t>forecasts outlined in the 2017</w:t>
      </w:r>
      <w:r w:rsidR="0049533C">
        <w:t>/</w:t>
      </w:r>
      <w:r>
        <w:t>18 Commonwealth Budget. In particular, reductions to the short term MTAWE and CPI rates were made.</w:t>
      </w:r>
      <w:r w:rsidR="004E6F4A">
        <w:t xml:space="preserve"> </w:t>
      </w:r>
      <w:r>
        <w:t>The indexation update had the biggest dollar impact on the Age Pension ($5bn</w:t>
      </w:r>
      <w:r w:rsidR="004E6F4A">
        <w:t xml:space="preserve"> decrease</w:t>
      </w:r>
      <w:r>
        <w:t>) as this is the largest component of the overall lifetime cost.</w:t>
      </w:r>
    </w:p>
    <w:p w14:paraId="385B26C2" w14:textId="77777777" w:rsidR="00A12811" w:rsidRDefault="00A12811" w:rsidP="00A12811">
      <w:pPr>
        <w:pStyle w:val="Heading2ExecutiveSummary"/>
      </w:pPr>
      <w:r>
        <w:t>New findings</w:t>
      </w:r>
    </w:p>
    <w:p w14:paraId="08DE6428" w14:textId="77777777" w:rsidR="00247079" w:rsidRDefault="00247079" w:rsidP="00247079">
      <w:pPr>
        <w:pStyle w:val="PwCNormal"/>
        <w:numPr>
          <w:ilvl w:val="0"/>
          <w:numId w:val="0"/>
        </w:numPr>
      </w:pPr>
      <w:r>
        <w:t>The following variables were added this year:</w:t>
      </w:r>
    </w:p>
    <w:p w14:paraId="56B4FD9D" w14:textId="60CEA0A5" w:rsidR="00247079" w:rsidRDefault="00247079" w:rsidP="00247079">
      <w:pPr>
        <w:pStyle w:val="ListBullet"/>
      </w:pPr>
      <w:r>
        <w:t>Intergenerational variable (</w:t>
      </w:r>
      <w:r w:rsidR="003B6961">
        <w:t xml:space="preserve">measure of </w:t>
      </w:r>
      <w:r>
        <w:t>parental welfare dependence)</w:t>
      </w:r>
    </w:p>
    <w:p w14:paraId="78725AE1" w14:textId="727C8D8E" w:rsidR="00247079" w:rsidRDefault="00247079" w:rsidP="00247079">
      <w:pPr>
        <w:pStyle w:val="ListBullet"/>
      </w:pPr>
      <w:r>
        <w:t>Education sector</w:t>
      </w:r>
      <w:r w:rsidR="003B6961">
        <w:t xml:space="preserve"> (for those on student income support)</w:t>
      </w:r>
    </w:p>
    <w:p w14:paraId="56156AB0" w14:textId="2AE58811" w:rsidR="00247079" w:rsidRDefault="00247079" w:rsidP="00E41ED3">
      <w:pPr>
        <w:pStyle w:val="ListBullet"/>
      </w:pPr>
      <w:r>
        <w:t>Barriers to work</w:t>
      </w:r>
      <w:r w:rsidR="003B6961">
        <w:t xml:space="preserve"> (for those on </w:t>
      </w:r>
      <w:r w:rsidR="003C32DF">
        <w:t>W</w:t>
      </w:r>
      <w:r w:rsidR="003B6961">
        <w:t xml:space="preserve">orking </w:t>
      </w:r>
      <w:r w:rsidR="003C32DF">
        <w:t>A</w:t>
      </w:r>
      <w:r w:rsidR="003B6961">
        <w:t>ge income support)</w:t>
      </w:r>
    </w:p>
    <w:p w14:paraId="0EAAD302" w14:textId="5D792EF4" w:rsidR="00247079" w:rsidRDefault="00247079" w:rsidP="00E41ED3">
      <w:pPr>
        <w:pStyle w:val="ListBullet"/>
      </w:pPr>
      <w:r>
        <w:t>Family composition (included in the model population but not the forward simulation)</w:t>
      </w:r>
    </w:p>
    <w:p w14:paraId="4A6DAAE0" w14:textId="0B668683" w:rsidR="00247079" w:rsidRDefault="00247079" w:rsidP="00964D65">
      <w:pPr>
        <w:pStyle w:val="PwCNormal"/>
        <w:numPr>
          <w:ilvl w:val="0"/>
          <w:numId w:val="33"/>
        </w:numPr>
      </w:pPr>
      <w:r>
        <w:t xml:space="preserve">These variables have helped to improve the model’s ability to differentiate between groups of people as well as facilitating further analysis </w:t>
      </w:r>
      <w:r w:rsidR="003B6961">
        <w:t>to</w:t>
      </w:r>
      <w:r>
        <w:t xml:space="preserve"> provide helpful information and insights.</w:t>
      </w:r>
    </w:p>
    <w:p w14:paraId="6C412139" w14:textId="77777777" w:rsidR="00247079" w:rsidRDefault="00247079" w:rsidP="00247079">
      <w:pPr>
        <w:pStyle w:val="Heading3ExecutiveSummary"/>
      </w:pPr>
      <w:r>
        <w:t>Intergenerational variable</w:t>
      </w:r>
    </w:p>
    <w:p w14:paraId="19A47D59" w14:textId="77777777" w:rsidR="00247079" w:rsidRDefault="00247079" w:rsidP="00964D65">
      <w:pPr>
        <w:pStyle w:val="PwCNormal"/>
        <w:numPr>
          <w:ilvl w:val="0"/>
          <w:numId w:val="33"/>
        </w:numPr>
      </w:pPr>
      <w:r>
        <w:t>The intergenerational variable measures the proportion of an individual’s childhood (up to the age of 15) during which their parents or guardians were reliant on income support payments, other than the age pension.</w:t>
      </w:r>
    </w:p>
    <w:p w14:paraId="566979B3" w14:textId="2D7361C8" w:rsidR="00247079" w:rsidRPr="0057506F" w:rsidRDefault="00247079" w:rsidP="00964D65">
      <w:pPr>
        <w:pStyle w:val="PwCNormal"/>
        <w:numPr>
          <w:ilvl w:val="0"/>
          <w:numId w:val="33"/>
        </w:numPr>
      </w:pPr>
      <w:r>
        <w:t>Parental welfare dependence is highly correlated with welfare usage</w:t>
      </w:r>
      <w:r w:rsidR="00AE4676">
        <w:t xml:space="preserve"> (though it is important to note that this does not imply a causal relationship between the two)</w:t>
      </w:r>
      <w:r>
        <w:t>. People with higher parental welfare dependence tend to enter into the welfare system earlier, utilise more income support, and have a higher average lifetime cost. There are generally large differences in outcomes between those with the highest parental welfare dependence and those with none. Two examples of these differences are:</w:t>
      </w:r>
    </w:p>
    <w:p w14:paraId="276EB4FA" w14:textId="4AA4883E" w:rsidR="00247079" w:rsidRDefault="00247079" w:rsidP="00247079">
      <w:pPr>
        <w:pStyle w:val="ListBullet"/>
      </w:pPr>
      <w:r w:rsidRPr="004526BF">
        <w:t>Around 26% of 16</w:t>
      </w:r>
      <w:r w:rsidR="00FE30F6">
        <w:t xml:space="preserve"> to </w:t>
      </w:r>
      <w:r w:rsidRPr="004526BF">
        <w:t xml:space="preserve">20 year olds with a very high level of parental welfare dependency are currently receiving </w:t>
      </w:r>
      <w:r w:rsidR="003C32DF">
        <w:t>W</w:t>
      </w:r>
      <w:r w:rsidRPr="004526BF">
        <w:t xml:space="preserve">orking </w:t>
      </w:r>
      <w:r w:rsidR="003C32DF">
        <w:t>A</w:t>
      </w:r>
      <w:r w:rsidRPr="004526BF">
        <w:t>ge payments, compared to just 2% for those individuals with no parental welfare dependency.</w:t>
      </w:r>
      <w:r w:rsidR="00AE4676">
        <w:t xml:space="preserve"> </w:t>
      </w:r>
    </w:p>
    <w:p w14:paraId="5D219257" w14:textId="77777777" w:rsidR="00247079" w:rsidRPr="004526BF" w:rsidRDefault="00247079" w:rsidP="00247079">
      <w:pPr>
        <w:pStyle w:val="ListBullet"/>
      </w:pPr>
      <w:r>
        <w:t>B</w:t>
      </w:r>
      <w:r w:rsidRPr="004526BF">
        <w:t>y the age of 25, around 90% of children with very high parental welfare dependence will have interacted with the welfare system, compared to around 45% for those with no such dependence</w:t>
      </w:r>
      <w:r>
        <w:t xml:space="preserve"> – this is shown in the chart below</w:t>
      </w:r>
      <w:r w:rsidRPr="004526BF">
        <w:t xml:space="preserve">. </w:t>
      </w:r>
    </w:p>
    <w:p w14:paraId="46F44FD4" w14:textId="5A26B1BB" w:rsidR="00001986" w:rsidRDefault="00001986" w:rsidP="00001986">
      <w:pPr>
        <w:pStyle w:val="Caption"/>
      </w:pPr>
      <w:r>
        <w:lastRenderedPageBreak/>
        <w:t xml:space="preserve">Figure </w:t>
      </w:r>
      <w:fldSimple w:instr=" SEQ Figure \* ARABIC ">
        <w:r w:rsidR="00C93C1A">
          <w:rPr>
            <w:noProof/>
          </w:rPr>
          <w:t>5</w:t>
        </w:r>
      </w:fldSimple>
      <w:r>
        <w:t xml:space="preserve">: </w:t>
      </w:r>
      <w:r w:rsidR="003C7631">
        <w:t xml:space="preserve">Proportion of people who are projected to have entered the welfare system </w:t>
      </w:r>
      <w:r w:rsidR="00DF3E66">
        <w:t>by or before</w:t>
      </w:r>
      <w:r w:rsidR="003C7631">
        <w:t xml:space="preserve"> the age</w:t>
      </w:r>
      <w:r w:rsidR="003C7631" w:rsidDel="00015F14">
        <w:t xml:space="preserve"> </w:t>
      </w:r>
      <w:r w:rsidR="003C7631">
        <w:t>shown</w:t>
      </w:r>
      <w:r w:rsidR="0000147F">
        <w:t>, by parental welfare dependency level</w:t>
      </w:r>
      <w:r w:rsidR="003C7631">
        <w:t xml:space="preserve"> (based on projection of current 15 year olds</w:t>
      </w:r>
      <w:r w:rsidR="005979E8">
        <w:t>)</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Number of exits, by year of exit and previous class&#10;"/>
        <w:tblDescription w:val="This figure is a stacked column chart. The chart shows the number of exits by previous class over the past five financial years. The vertical axis shows the number of people ranging from 0 to 600,000. The horizontal axis shows the financial years from 2012 to 2016.&#10;&#10;The columns for each financial year are split by active class: 1 Studying, 2 Working Age, 3 Parents, 4 Carers, 5 Disability Support, 6 Pension Age, 7 Non-IS Family, 8 Non-IS Carer, and 9 Non-IS Other.&#10;&#10;The total number of exits in each of the last five financial years was: 508,000 in 2012, 490,000 in 2013, 470,000 in 2014, 554,000 in 2015 and 570,000 in 2016.&#10;&#10;The key features of this chart are described in the accompanying text within the report.&#10;"/>
      </w:tblPr>
      <w:tblGrid>
        <w:gridCol w:w="6204"/>
        <w:gridCol w:w="3543"/>
      </w:tblGrid>
      <w:tr w:rsidR="00001986" w14:paraId="1DFEC586" w14:textId="77777777" w:rsidTr="00001986">
        <w:trPr>
          <w:tblHeader/>
        </w:trPr>
        <w:tc>
          <w:tcPr>
            <w:tcW w:w="6204" w:type="dxa"/>
            <w:hideMark/>
          </w:tcPr>
          <w:p w14:paraId="25A7450B" w14:textId="0F97EEFE" w:rsidR="00001986" w:rsidRDefault="009229DF">
            <w:pPr>
              <w:pStyle w:val="PwCNormal"/>
              <w:widowControl w:val="0"/>
              <w:numPr>
                <w:ilvl w:val="0"/>
                <w:numId w:val="0"/>
              </w:numPr>
            </w:pPr>
            <w:r w:rsidRPr="009C3622">
              <w:rPr>
                <w:noProof/>
                <w:lang w:eastAsia="en-AU"/>
              </w:rPr>
              <w:drawing>
                <wp:inline distT="0" distB="0" distL="0" distR="0" wp14:anchorId="52B85266" wp14:editId="14F9FED9">
                  <wp:extent cx="3616983" cy="2160000"/>
                  <wp:effectExtent l="0" t="0" r="2540" b="0"/>
                  <wp:docPr id="291" name="Picture 291" descr="This figure is a line chart that shows the projected of proportion of people who will enter the welfare system by parental welfare dependency for current 15 year olds, by age. The vertical axis shows the proportion of people who are projected to have entered the welfare system by or before the age shown, ranging from 0% to 100%. The horizontal axis shows age, ranging from 16 to 25.&#10;&#10;The chart contains a line for each of the following 4 levels of parental welfare dependence: Very High (81%+), High(36%-80%), Some(1%-35%) and None(0%).&#10;&#10;The chart shows that by the age of 25, 91% of 15 year olds with very high parental welfare dependency will have interacted with the welfare system at some point compared to 45% for those with no such dependence. For children with some and high parental welfare dependency, the proportion of individuals who enter the welfare system increase from 8% and 14% at age 17 respectively, to 54% and 81% at age 25 respectively. &#10;&#10;The key features of the chart are discussed in the accompanying text within the report.&#10;" title="Proportion of people who are projected to have entered the welfare system by or before the age shown, by parental welfare dependency level (based on projection of current 15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6983" cy="2160000"/>
                          </a:xfrm>
                          <a:prstGeom prst="rect">
                            <a:avLst/>
                          </a:prstGeom>
                          <a:noFill/>
                          <a:ln>
                            <a:noFill/>
                          </a:ln>
                        </pic:spPr>
                      </pic:pic>
                    </a:graphicData>
                  </a:graphic>
                </wp:inline>
              </w:drawing>
            </w:r>
          </w:p>
        </w:tc>
        <w:tc>
          <w:tcPr>
            <w:tcW w:w="3543" w:type="dxa"/>
            <w:vAlign w:val="center"/>
            <w:hideMark/>
          </w:tcPr>
          <w:p w14:paraId="1D108659" w14:textId="6313829F" w:rsidR="00001986" w:rsidRDefault="00001986">
            <w:pPr>
              <w:pStyle w:val="PwCNormal"/>
              <w:widowControl w:val="0"/>
              <w:numPr>
                <w:ilvl w:val="0"/>
                <w:numId w:val="0"/>
              </w:numPr>
            </w:pPr>
            <w:r>
              <w:rPr>
                <w:noProof/>
                <w:lang w:eastAsia="en-AU"/>
              </w:rPr>
              <w:drawing>
                <wp:inline distT="0" distB="0" distL="0" distR="0" wp14:anchorId="641A1A39" wp14:editId="45E3C410">
                  <wp:extent cx="746760" cy="1112520"/>
                  <wp:effectExtent l="0" t="0" r="0" b="0"/>
                  <wp:docPr id="3862" name="Picture 3862" descr="This is a legend to the previous chart."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26" cstate="print">
                            <a:extLst>
                              <a:ext uri="{28A0092B-C50C-407E-A947-70E740481C1C}">
                                <a14:useLocalDpi xmlns:a14="http://schemas.microsoft.com/office/drawing/2010/main" val="0"/>
                              </a:ext>
                            </a:extLst>
                          </a:blip>
                          <a:srcRect l="60664" t="35612" r="18698" b="12029"/>
                          <a:stretch>
                            <a:fillRect/>
                          </a:stretch>
                        </pic:blipFill>
                        <pic:spPr bwMode="auto">
                          <a:xfrm>
                            <a:off x="0" y="0"/>
                            <a:ext cx="746760" cy="1112520"/>
                          </a:xfrm>
                          <a:prstGeom prst="rect">
                            <a:avLst/>
                          </a:prstGeom>
                          <a:noFill/>
                          <a:ln>
                            <a:noFill/>
                          </a:ln>
                        </pic:spPr>
                      </pic:pic>
                    </a:graphicData>
                  </a:graphic>
                </wp:inline>
              </w:drawing>
            </w:r>
          </w:p>
        </w:tc>
      </w:tr>
    </w:tbl>
    <w:p w14:paraId="51EC5A34" w14:textId="01CE93B3" w:rsidR="00001986" w:rsidRDefault="00001986" w:rsidP="00964D65">
      <w:pPr>
        <w:pStyle w:val="PwCNormal"/>
        <w:numPr>
          <w:ilvl w:val="0"/>
          <w:numId w:val="33"/>
        </w:numPr>
      </w:pPr>
      <w:r>
        <w:t>As a result of their higher welfare utilisation, in particular of income support, the lifetime cost is significantly higher for those with high parental welfare dependence. Individuals with very high levels of parental welfare dependency account for more than 19% of the total lifetime cost for 0</w:t>
      </w:r>
      <w:r w:rsidR="0049533C">
        <w:t xml:space="preserve"> to </w:t>
      </w:r>
      <w:r>
        <w:t>20 year olds, despite making up only 11% of the group.</w:t>
      </w:r>
    </w:p>
    <w:p w14:paraId="12383A67" w14:textId="5B66341D" w:rsidR="005979E8" w:rsidRDefault="005979E8" w:rsidP="00FA4F6F">
      <w:pPr>
        <w:pStyle w:val="PwCNormal"/>
        <w:numPr>
          <w:ilvl w:val="0"/>
          <w:numId w:val="33"/>
        </w:numPr>
      </w:pPr>
      <w:r>
        <w:t>We note that the parental means test applies for some Youth Allowance and ABSTUDY recipients. As such, the insights here both a direct intergenerational link whereby some younger welfare recipients are by definition children of people with low income (and therefore highly likely to be welfare recipients), as well as an indirect effect of children being more likely to utilise welfare if their parents or guardians were also welfare dependent</w:t>
      </w:r>
      <w:r w:rsidR="007A4D02">
        <w:t>.</w:t>
      </w:r>
    </w:p>
    <w:p w14:paraId="734D6364" w14:textId="77777777" w:rsidR="00001986" w:rsidRDefault="00001986" w:rsidP="003B74A5">
      <w:pPr>
        <w:pStyle w:val="Heading3ExecutiveSummary"/>
      </w:pPr>
      <w:r>
        <w:t>Education sector</w:t>
      </w:r>
    </w:p>
    <w:p w14:paraId="7AEADFBF" w14:textId="7742FE31" w:rsidR="00001986" w:rsidRDefault="00001986" w:rsidP="00001986">
      <w:pPr>
        <w:pStyle w:val="PwCNormal"/>
        <w:numPr>
          <w:ilvl w:val="0"/>
          <w:numId w:val="0"/>
        </w:numPr>
      </w:pPr>
      <w:r>
        <w:t xml:space="preserve">The new education sector variable represents a </w:t>
      </w:r>
      <w:r w:rsidR="003B6961">
        <w:t>student’s</w:t>
      </w:r>
      <w:r>
        <w:t xml:space="preserve"> current level of study: secondary school, higher education or VET. It is strongly related to a person’s age and past educational achievements. </w:t>
      </w:r>
    </w:p>
    <w:p w14:paraId="1F969C4C" w14:textId="6D04DE97" w:rsidR="00001986" w:rsidRDefault="003229A7" w:rsidP="003229A7">
      <w:pPr>
        <w:pStyle w:val="ListBullet"/>
      </w:pPr>
      <w:r w:rsidRPr="003229A7">
        <w:t xml:space="preserve">Due to eligibility criteria, young studying recipients (under age 18) are mostly either </w:t>
      </w:r>
      <w:r w:rsidR="00D10802">
        <w:t>I</w:t>
      </w:r>
      <w:r w:rsidR="00D10802" w:rsidRPr="003229A7">
        <w:t>ndigenous</w:t>
      </w:r>
      <w:r w:rsidRPr="003229A7">
        <w:t xml:space="preserve">, independent or needing to live away from home. </w:t>
      </w:r>
      <w:r w:rsidR="008714CC">
        <w:t>In this age range</w:t>
      </w:r>
      <w:r w:rsidRPr="003229A7">
        <w:t xml:space="preserve">, VET students are projected to have </w:t>
      </w:r>
      <w:r>
        <w:t>lower</w:t>
      </w:r>
      <w:r w:rsidRPr="003229A7">
        <w:t xml:space="preserve"> future </w:t>
      </w:r>
      <w:r>
        <w:t>dependency</w:t>
      </w:r>
      <w:r w:rsidRPr="003229A7">
        <w:t xml:space="preserve"> than secondary school students and are expected to spend two and a half years less on income support payments. </w:t>
      </w:r>
    </w:p>
    <w:p w14:paraId="12A19F0D" w14:textId="354E647E" w:rsidR="00A42AF7" w:rsidRDefault="00AA596F" w:rsidP="00AA596F">
      <w:pPr>
        <w:pStyle w:val="ListBullet"/>
      </w:pPr>
      <w:r>
        <w:t>F</w:t>
      </w:r>
      <w:r w:rsidRPr="00AA596F">
        <w:t xml:space="preserve">or people 18 and above who rely on student income support, </w:t>
      </w:r>
      <w:r w:rsidR="00001986">
        <w:t>Higher education students are expected to stay longer in the studying class</w:t>
      </w:r>
      <w:r>
        <w:t xml:space="preserve"> than VET students. However</w:t>
      </w:r>
      <w:r w:rsidR="00001986">
        <w:t xml:space="preserve"> </w:t>
      </w:r>
      <w:r>
        <w:t xml:space="preserve">the impact of this on future welfare dependency is more than offset by them having </w:t>
      </w:r>
      <w:r w:rsidR="00001986">
        <w:t>a higher probability of exiting the system after finishing study when compared to VET students.</w:t>
      </w:r>
    </w:p>
    <w:p w14:paraId="6FF6D777" w14:textId="43FEC889" w:rsidR="00001986" w:rsidRDefault="00E41ED3" w:rsidP="00A42AF7">
      <w:pPr>
        <w:pStyle w:val="ListBullet"/>
        <w:numPr>
          <w:ilvl w:val="0"/>
          <w:numId w:val="0"/>
        </w:numPr>
      </w:pPr>
      <w:r>
        <w:t>Note that t</w:t>
      </w:r>
      <w:r w:rsidR="00A42AF7">
        <w:t>hese differences may be related to the characteristics and levels of disadvantage of the groups studying in the sectors, rather than the nature of the study itself. However, the finding warrants some further investigation to better understand these differences</w:t>
      </w:r>
      <w:r w:rsidR="009711A6">
        <w:t xml:space="preserve"> and inform policy development</w:t>
      </w:r>
      <w:r w:rsidR="00A42AF7">
        <w:t>.</w:t>
      </w:r>
      <w:r w:rsidR="00001986">
        <w:t xml:space="preserve"> </w:t>
      </w:r>
    </w:p>
    <w:p w14:paraId="7EE08635" w14:textId="77777777" w:rsidR="00247079" w:rsidRDefault="00247079" w:rsidP="00247079">
      <w:pPr>
        <w:pStyle w:val="Heading3ExecutiveSummary"/>
      </w:pPr>
      <w:r>
        <w:t>Barriers to work</w:t>
      </w:r>
    </w:p>
    <w:p w14:paraId="06899EDC" w14:textId="77777777" w:rsidR="00247079" w:rsidRDefault="00247079" w:rsidP="00247079">
      <w:pPr>
        <w:pStyle w:val="PwCNormal"/>
      </w:pPr>
      <w:r>
        <w:t>The barriers to work variable provides information about an individual’s ability to work based upon the status of their exemption from mutual obligation requirements, reported psychological/psychiatric condition, and assessed work capacity. It shows:</w:t>
      </w:r>
    </w:p>
    <w:p w14:paraId="22A53200" w14:textId="2E222171" w:rsidR="00001986" w:rsidRDefault="00001986" w:rsidP="00001986">
      <w:pPr>
        <w:pStyle w:val="ListBullet"/>
      </w:pPr>
      <w:r>
        <w:t xml:space="preserve">People with an exemption </w:t>
      </w:r>
      <w:r w:rsidR="00345A35">
        <w:t xml:space="preserve">from mutual obligation requirements </w:t>
      </w:r>
      <w:r>
        <w:t>in the past year, a reported psychological/psychiatric condition, or reduced capacity to work have greater future dependence on welfare. They are less likely to leave the Working Age class, and when they do they are much more likely to transition to another form of income support (in particular the Disability Support Pension).</w:t>
      </w:r>
    </w:p>
    <w:p w14:paraId="367BF5AE" w14:textId="77777777" w:rsidR="00001986" w:rsidRDefault="00001986" w:rsidP="00001986">
      <w:pPr>
        <w:pStyle w:val="ListBullet"/>
      </w:pPr>
      <w:r>
        <w:t>Whether or not a Working Age recipient has had a work capacity assessment is more indicative of higher future lifetime cost than the level of assessment.</w:t>
      </w:r>
    </w:p>
    <w:p w14:paraId="4C8CD938" w14:textId="197D39AA" w:rsidR="00001986" w:rsidRDefault="00001986" w:rsidP="00AA596F">
      <w:pPr>
        <w:pStyle w:val="ListBullet"/>
      </w:pPr>
      <w:r>
        <w:lastRenderedPageBreak/>
        <w:t xml:space="preserve">People with a </w:t>
      </w:r>
      <w:r w:rsidR="000301FE">
        <w:t xml:space="preserve">recent </w:t>
      </w:r>
      <w:r>
        <w:t>exemption</w:t>
      </w:r>
      <w:r w:rsidR="001D28C2" w:rsidRPr="001D28C2">
        <w:t xml:space="preserve"> from mutual obligations</w:t>
      </w:r>
      <w:r>
        <w:t xml:space="preserve"> in the past year </w:t>
      </w:r>
      <w:r w:rsidR="000301FE">
        <w:t xml:space="preserve">(but without a current active exemption) </w:t>
      </w:r>
      <w:r>
        <w:t xml:space="preserve">are expected to spend a similar </w:t>
      </w:r>
      <w:r w:rsidR="003B6961">
        <w:t>number</w:t>
      </w:r>
      <w:r>
        <w:t xml:space="preserve"> of future years in the Working Age class to those with an active exemption. </w:t>
      </w:r>
      <w:r w:rsidR="00AA596F" w:rsidRPr="00AA596F">
        <w:t>This suggests that while these people no longer qualify for an exemption, the circumstances of their exemption have longer lasting effects which increase the difficulty of them finding employment.</w:t>
      </w:r>
    </w:p>
    <w:p w14:paraId="52761E59" w14:textId="6EDC3945" w:rsidR="00001986" w:rsidRDefault="00001986" w:rsidP="00964D65">
      <w:pPr>
        <w:pStyle w:val="PwCNormal"/>
        <w:numPr>
          <w:ilvl w:val="0"/>
          <w:numId w:val="33"/>
        </w:numPr>
      </w:pPr>
      <w:r>
        <w:t xml:space="preserve">There has been a reduction in the average capacity to work and an increase in the number of exemptions and reported psychological or psychiatric conditions for people in the </w:t>
      </w:r>
      <w:r w:rsidR="003C32DF">
        <w:t>W</w:t>
      </w:r>
      <w:r>
        <w:t xml:space="preserve">orking </w:t>
      </w:r>
      <w:r w:rsidR="003C32DF">
        <w:t>A</w:t>
      </w:r>
      <w:r>
        <w:t xml:space="preserve">ge class over the last </w:t>
      </w:r>
      <w:r w:rsidR="00D75EE0">
        <w:t>five</w:t>
      </w:r>
      <w:r>
        <w:t xml:space="preserve"> years. This has occurred over the same period as the tightening of DSP eligibility and introduction of DSP medical reviews.</w:t>
      </w:r>
    </w:p>
    <w:p w14:paraId="1877107B" w14:textId="77777777" w:rsidR="00001986" w:rsidRDefault="00001986" w:rsidP="003B74A5">
      <w:pPr>
        <w:pStyle w:val="Heading3ExecutiveSummary"/>
      </w:pPr>
      <w:r>
        <w:t>Family composition</w:t>
      </w:r>
    </w:p>
    <w:p w14:paraId="2ABFF17D" w14:textId="77777777" w:rsidR="00001986" w:rsidRDefault="00001986" w:rsidP="00964D65">
      <w:pPr>
        <w:pStyle w:val="PwCNormal"/>
        <w:numPr>
          <w:ilvl w:val="0"/>
          <w:numId w:val="33"/>
        </w:numPr>
      </w:pPr>
      <w:r>
        <w:t>The considerably complex and dynamic nature of family units, further complicated by a number of gaps and inconsistencies in the information collated across the various data sources, has limited the extent to which we are able to analyse and provide insights on family units. Notwithstanding this, we have found that:</w:t>
      </w:r>
    </w:p>
    <w:p w14:paraId="20A001BC" w14:textId="77777777" w:rsidR="00001986" w:rsidRDefault="00001986" w:rsidP="00001986">
      <w:pPr>
        <w:pStyle w:val="ListBullet"/>
      </w:pPr>
      <w:r>
        <w:t>Single person family units with children have the highest level of welfare dependency – the majority of adults in these family units receive income support.</w:t>
      </w:r>
    </w:p>
    <w:p w14:paraId="356F3B0D" w14:textId="2E0D3DB3" w:rsidR="00001986" w:rsidRDefault="00001986" w:rsidP="00001986">
      <w:pPr>
        <w:pStyle w:val="ListBullet"/>
      </w:pPr>
      <w:r>
        <w:t xml:space="preserve">Partnered adults tend to have similar levels of income support dependence regardless of whether or not they have children. However, those people with children tend to have a much higher utilisation of </w:t>
      </w:r>
      <w:r w:rsidR="005B3E7D">
        <w:t>non income</w:t>
      </w:r>
      <w:r>
        <w:t xml:space="preserve"> support payments compared to those without children.</w:t>
      </w:r>
    </w:p>
    <w:p w14:paraId="112E7750" w14:textId="7CBD0752" w:rsidR="00A12811" w:rsidRPr="00762EEA" w:rsidRDefault="00A12811" w:rsidP="00A12811">
      <w:pPr>
        <w:pStyle w:val="PwCNormal"/>
        <w:numPr>
          <w:ilvl w:val="0"/>
          <w:numId w:val="0"/>
        </w:numPr>
      </w:pPr>
    </w:p>
    <w:p w14:paraId="3EA400AB" w14:textId="77777777" w:rsidR="00A12811" w:rsidRPr="00762EEA" w:rsidRDefault="00A12811" w:rsidP="00A12811">
      <w:pPr>
        <w:pStyle w:val="PwCNormal"/>
        <w:numPr>
          <w:ilvl w:val="0"/>
          <w:numId w:val="1"/>
        </w:numPr>
      </w:pPr>
    </w:p>
    <w:p w14:paraId="1687AA28" w14:textId="77777777" w:rsidR="00EF3D46" w:rsidRPr="0057506F" w:rsidRDefault="00EF3D46" w:rsidP="00EF3D46">
      <w:pPr>
        <w:pStyle w:val="PwCNormal"/>
        <w:numPr>
          <w:ilvl w:val="0"/>
          <w:numId w:val="0"/>
        </w:numPr>
        <w:sectPr w:rsidR="00EF3D46" w:rsidRPr="0057506F" w:rsidSect="000061F7">
          <w:headerReference w:type="even" r:id="rId27"/>
          <w:headerReference w:type="default" r:id="rId28"/>
          <w:footerReference w:type="even" r:id="rId29"/>
          <w:footerReference w:type="default" r:id="rId30"/>
          <w:headerReference w:type="first" r:id="rId31"/>
          <w:footerReference w:type="first" r:id="rId32"/>
          <w:pgSz w:w="11907" w:h="16840" w:code="9"/>
          <w:pgMar w:top="1588" w:right="1021" w:bottom="1418" w:left="1021" w:header="284" w:footer="284" w:gutter="0"/>
          <w:pgNumType w:start="1"/>
          <w:cols w:space="720"/>
          <w:docGrid w:linePitch="299"/>
        </w:sectPr>
      </w:pPr>
    </w:p>
    <w:p w14:paraId="0DFCBC7A" w14:textId="56626918" w:rsidR="00EB61DD" w:rsidRPr="005B00F6" w:rsidRDefault="0063015B" w:rsidP="007B47A0">
      <w:pPr>
        <w:pStyle w:val="Heading1"/>
        <w:spacing w:before="8640"/>
      </w:pPr>
      <w:bookmarkStart w:id="4" w:name="_Toc506388192"/>
      <w:bookmarkStart w:id="5" w:name="_Toc290024755"/>
      <w:bookmarkStart w:id="6" w:name="_Toc292795891"/>
      <w:bookmarkStart w:id="7" w:name="_Toc292795901"/>
      <w:bookmarkStart w:id="8" w:name="_Toc292795948"/>
      <w:bookmarkStart w:id="9" w:name="_Toc292795955"/>
      <w:bookmarkStart w:id="10" w:name="_Toc294534324"/>
      <w:bookmarkStart w:id="11" w:name="_Toc326144380"/>
      <w:bookmarkStart w:id="12" w:name="_Toc326144426"/>
      <w:bookmarkStart w:id="13" w:name="_Toc326144497"/>
      <w:bookmarkStart w:id="14" w:name="_Toc326144519"/>
      <w:bookmarkStart w:id="15" w:name="_Toc326144578"/>
      <w:bookmarkStart w:id="16" w:name="_Toc326144613"/>
      <w:bookmarkStart w:id="17" w:name="_Toc326144707"/>
      <w:r w:rsidRPr="005B00F6">
        <w:rPr>
          <w:bCs w:val="0"/>
          <w:noProof/>
          <w:lang w:eastAsia="en-AU"/>
        </w:rPr>
        <w:lastRenderedPageBreak/>
        <w:drawing>
          <wp:anchor distT="0" distB="0" distL="114300" distR="114300" simplePos="0" relativeHeight="251665408" behindDoc="1" locked="0" layoutInCell="1" allowOverlap="1" wp14:anchorId="430D2BB7" wp14:editId="58DD0EB5">
            <wp:simplePos x="0" y="0"/>
            <wp:positionH relativeFrom="column">
              <wp:posOffset>-505460</wp:posOffset>
            </wp:positionH>
            <wp:positionV relativeFrom="paragraph">
              <wp:posOffset>-865505</wp:posOffset>
            </wp:positionV>
            <wp:extent cx="7272000" cy="5928370"/>
            <wp:effectExtent l="0" t="0" r="5715" b="0"/>
            <wp:wrapNone/>
            <wp:docPr id="391" name="Picture 391" descr="A young man working at a laptop computer, smiling at the camera." title="Young man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S\Williams Lea\x_general\images\Royalty free images\People\iStock_000013958680Large.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7272000" cy="592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27D" w:rsidRPr="005B00F6">
        <w:rPr>
          <w:bCs w:val="0"/>
        </w:rPr>
        <w:t xml:space="preserve">Part II: Valuation </w:t>
      </w:r>
      <w:r w:rsidR="005473BA" w:rsidRPr="005B00F6">
        <w:rPr>
          <w:bCs w:val="0"/>
        </w:rPr>
        <w:t>r</w:t>
      </w:r>
      <w:r w:rsidR="001F627D" w:rsidRPr="005B00F6">
        <w:rPr>
          <w:bCs w:val="0"/>
        </w:rPr>
        <w:t>esults</w:t>
      </w:r>
      <w:bookmarkEnd w:id="4"/>
    </w:p>
    <w:p w14:paraId="50BFFFF6" w14:textId="77777777" w:rsidR="00EB61DD" w:rsidRPr="005B00F6" w:rsidRDefault="00EB61DD" w:rsidP="0060364A">
      <w:pPr>
        <w:sectPr w:rsidR="00EB61DD" w:rsidRPr="005B00F6" w:rsidSect="000061F7">
          <w:headerReference w:type="even" r:id="rId34"/>
          <w:headerReference w:type="first" r:id="rId35"/>
          <w:footerReference w:type="first" r:id="rId36"/>
          <w:pgSz w:w="11907" w:h="16840" w:code="9"/>
          <w:pgMar w:top="1588" w:right="1021" w:bottom="1418" w:left="1021" w:header="567" w:footer="567" w:gutter="0"/>
          <w:cols w:space="227"/>
          <w:docGrid w:linePitch="360"/>
        </w:sectPr>
      </w:pPr>
    </w:p>
    <w:p w14:paraId="3EE96B82" w14:textId="77777777" w:rsidR="00B10720" w:rsidRDefault="00B10720" w:rsidP="00B10720">
      <w:pPr>
        <w:pStyle w:val="Heading2"/>
      </w:pPr>
      <w:bookmarkStart w:id="18" w:name="_Toc433971859"/>
      <w:bookmarkStart w:id="19" w:name="_Ref505677989"/>
      <w:bookmarkStart w:id="20" w:name="_Toc506388193"/>
      <w:bookmarkStart w:id="21" w:name="_Ref437276343"/>
      <w:bookmarkStart w:id="22" w:name="_Ref441049475"/>
      <w:bookmarkStart w:id="23" w:name="_Toc455499353"/>
      <w:bookmarkStart w:id="24" w:name="_Toc455502374"/>
      <w:bookmarkStart w:id="25" w:name="_Ref433896635"/>
      <w:bookmarkEnd w:id="18"/>
      <w:r w:rsidRPr="00CA1013">
        <w:lastRenderedPageBreak/>
        <w:t>Introduction</w:t>
      </w:r>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outlines key points from this report section."/>
      </w:tblPr>
      <w:tblGrid>
        <w:gridCol w:w="10081"/>
      </w:tblGrid>
      <w:tr w:rsidR="00B10720" w:rsidRPr="009210D0" w14:paraId="1F8D4D43" w14:textId="77777777" w:rsidTr="00816D81">
        <w:trPr>
          <w:tblHeader/>
        </w:trPr>
        <w:tc>
          <w:tcPr>
            <w:tcW w:w="10081" w:type="dxa"/>
            <w:shd w:val="clear" w:color="auto" w:fill="F3ABA4" w:themeFill="accent6" w:themeFillTint="66"/>
          </w:tcPr>
          <w:p w14:paraId="1BCE4347" w14:textId="77777777" w:rsidR="00B10720" w:rsidRPr="00036E72" w:rsidRDefault="00B10720" w:rsidP="00816D81">
            <w:pPr>
              <w:pStyle w:val="PwCNormal"/>
              <w:numPr>
                <w:ilvl w:val="0"/>
                <w:numId w:val="0"/>
              </w:numPr>
              <w:rPr>
                <w:b/>
              </w:rPr>
            </w:pPr>
            <w:r w:rsidRPr="00036E72">
              <w:rPr>
                <w:b/>
              </w:rPr>
              <w:t>Key points</w:t>
            </w:r>
          </w:p>
          <w:p w14:paraId="52F7C798" w14:textId="77777777" w:rsidR="00B10720" w:rsidRDefault="00B10720" w:rsidP="00816D81">
            <w:pPr>
              <w:pStyle w:val="ListBullet"/>
              <w:numPr>
                <w:ilvl w:val="0"/>
                <w:numId w:val="0"/>
              </w:numPr>
            </w:pPr>
            <w:r>
              <w:t>This report presents the 30 June 2017 valuation of the Australian income support and social security system.</w:t>
            </w:r>
          </w:p>
          <w:p w14:paraId="06B0F308" w14:textId="77777777" w:rsidR="00B10720" w:rsidRPr="00036E72" w:rsidRDefault="00B10720" w:rsidP="00816D81">
            <w:pPr>
              <w:pStyle w:val="ListBullet"/>
            </w:pPr>
            <w:r w:rsidRPr="00036E72">
              <w:t xml:space="preserve">The 2017 valuation model has retained the </w:t>
            </w:r>
            <w:r>
              <w:t xml:space="preserve">same </w:t>
            </w:r>
            <w:r w:rsidRPr="00036E72">
              <w:t>general structure used for previous valuations</w:t>
            </w:r>
          </w:p>
          <w:p w14:paraId="4D682118" w14:textId="0A1BE362" w:rsidR="00B10720" w:rsidRPr="00036E72" w:rsidRDefault="00B10720" w:rsidP="00816D81">
            <w:pPr>
              <w:pStyle w:val="ListBullet"/>
            </w:pPr>
            <w:r w:rsidRPr="00036E72">
              <w:t xml:space="preserve">The model has been extended to include consideration of: intergenerational welfare use; the </w:t>
            </w:r>
            <w:r w:rsidR="00CF19A0">
              <w:t xml:space="preserve">outcomes for students in different </w:t>
            </w:r>
            <w:r w:rsidRPr="00036E72">
              <w:t>education sector</w:t>
            </w:r>
            <w:r w:rsidR="00CF19A0">
              <w:t>s</w:t>
            </w:r>
            <w:r w:rsidRPr="00036E72">
              <w:t xml:space="preserve">; and </w:t>
            </w:r>
            <w:r w:rsidR="00CF19A0" w:rsidRPr="0075685F">
              <w:t xml:space="preserve">the impact of barriers to work </w:t>
            </w:r>
            <w:r w:rsidRPr="00036E72">
              <w:t xml:space="preserve">for </w:t>
            </w:r>
            <w:r w:rsidR="003C32DF">
              <w:t>W</w:t>
            </w:r>
            <w:r w:rsidRPr="00036E72">
              <w:t xml:space="preserve">orking </w:t>
            </w:r>
            <w:r w:rsidR="003C32DF">
              <w:t>A</w:t>
            </w:r>
            <w:r w:rsidRPr="00036E72">
              <w:t>ge payment recipients</w:t>
            </w:r>
          </w:p>
          <w:p w14:paraId="2ECA6F7C" w14:textId="77777777" w:rsidR="00B10720" w:rsidRPr="00036E72" w:rsidRDefault="00B10720" w:rsidP="00816D81">
            <w:pPr>
              <w:pStyle w:val="ListBullet"/>
            </w:pPr>
            <w:r w:rsidRPr="00036E72">
              <w:t>The population data has also been extended to include information on people</w:t>
            </w:r>
            <w:r>
              <w:t>’</w:t>
            </w:r>
            <w:r w:rsidRPr="00036E72">
              <w:t>s family composition</w:t>
            </w:r>
          </w:p>
          <w:p w14:paraId="2723B2C1" w14:textId="77777777" w:rsidR="00B10720" w:rsidRPr="00036E72" w:rsidRDefault="00B10720" w:rsidP="00816D81">
            <w:pPr>
              <w:pStyle w:val="ListBullet"/>
            </w:pPr>
            <w:r w:rsidRPr="00036E72">
              <w:t>The model assumptions have been updated to reflect changes in policy settings since the last valuation and to reflect the experience</w:t>
            </w:r>
            <w:r>
              <w:t xml:space="preserve"> over the latest year</w:t>
            </w:r>
            <w:r w:rsidRPr="00036E72">
              <w:t>.</w:t>
            </w:r>
          </w:p>
        </w:tc>
      </w:tr>
    </w:tbl>
    <w:p w14:paraId="0AD9D132" w14:textId="77777777" w:rsidR="00B10720" w:rsidRPr="00C61C8F" w:rsidRDefault="00B10720" w:rsidP="00B10720">
      <w:pPr>
        <w:pStyle w:val="Heading3"/>
      </w:pPr>
      <w:bookmarkStart w:id="26" w:name="_Toc506388194"/>
      <w:r w:rsidRPr="00C61C8F">
        <w:t>Background and Introduction</w:t>
      </w:r>
      <w:bookmarkEnd w:id="26"/>
    </w:p>
    <w:p w14:paraId="613B1413" w14:textId="77777777" w:rsidR="00B10720" w:rsidRPr="00C61C8F" w:rsidRDefault="00B10720" w:rsidP="00B10720">
      <w:pPr>
        <w:pStyle w:val="PwCNormal"/>
        <w:numPr>
          <w:ilvl w:val="0"/>
          <w:numId w:val="0"/>
        </w:numPr>
      </w:pPr>
      <w:r w:rsidRPr="00C61C8F">
        <w:t xml:space="preserve">This report documents the findings of the 30 June 2017 actuarial valuation of the Australian income support and social security system. This valuation is part of the work undertaken by the Department of Social Services </w:t>
      </w:r>
      <w:r>
        <w:t xml:space="preserve">(the Department) </w:t>
      </w:r>
      <w:r w:rsidRPr="00C61C8F">
        <w:t>to implement the Australian Priority Investment Approach to social welfare with the aim of reducing welfare dependency and improving the lifetime wellbeing of people and families in Australia.</w:t>
      </w:r>
    </w:p>
    <w:p w14:paraId="327DFD7C" w14:textId="77777777" w:rsidR="00B10720" w:rsidRPr="00C61C8F" w:rsidRDefault="00B10720" w:rsidP="00B10720">
      <w:pPr>
        <w:pStyle w:val="PwCNormal"/>
        <w:numPr>
          <w:ilvl w:val="0"/>
          <w:numId w:val="0"/>
        </w:numPr>
      </w:pPr>
      <w:r w:rsidRPr="00C61C8F">
        <w:t>The actuarial valuation provides a long term perspective of the financial commitments implicit in the current welfare system and provides information on:</w:t>
      </w:r>
    </w:p>
    <w:p w14:paraId="26725D0F" w14:textId="77777777" w:rsidR="00B10720" w:rsidRPr="00C61C8F" w:rsidRDefault="00B10720" w:rsidP="00B10720">
      <w:pPr>
        <w:pStyle w:val="ListBullet"/>
      </w:pPr>
      <w:r w:rsidRPr="00C61C8F">
        <w:t>The future cost of the system (lifetime cost).</w:t>
      </w:r>
    </w:p>
    <w:p w14:paraId="0C68C837" w14:textId="77777777" w:rsidR="00B10720" w:rsidRPr="00C61C8F" w:rsidRDefault="00B10720" w:rsidP="00B10720">
      <w:pPr>
        <w:pStyle w:val="ListBullet"/>
      </w:pPr>
      <w:r w:rsidRPr="00C61C8F">
        <w:t>How the different payment types (programs) contribute to this overall cost.</w:t>
      </w:r>
    </w:p>
    <w:p w14:paraId="2AD5AF90" w14:textId="77777777" w:rsidR="00B10720" w:rsidRPr="00C61C8F" w:rsidRDefault="00B10720" w:rsidP="00B10720">
      <w:pPr>
        <w:pStyle w:val="ListBullet"/>
      </w:pPr>
      <w:r w:rsidRPr="00C61C8F">
        <w:t>The factors which drive the overall lifetime cost and annual expenditures.</w:t>
      </w:r>
    </w:p>
    <w:p w14:paraId="62BCE906" w14:textId="77777777" w:rsidR="00B10720" w:rsidRPr="00C61C8F" w:rsidRDefault="00B10720" w:rsidP="00B10720">
      <w:pPr>
        <w:pStyle w:val="ListBullet"/>
      </w:pPr>
      <w:r w:rsidRPr="00C61C8F">
        <w:t>How the cost is changing over time, which provides information on the financial sustainability of the system</w:t>
      </w:r>
      <w:r>
        <w:t>.</w:t>
      </w:r>
    </w:p>
    <w:p w14:paraId="0444707D" w14:textId="77777777" w:rsidR="00B10720" w:rsidRDefault="00B10720" w:rsidP="00B10720">
      <w:pPr>
        <w:pStyle w:val="ListBullet"/>
      </w:pPr>
      <w:r w:rsidRPr="00C61C8F">
        <w:t>The impact of changes, both to the welfare system and to external drivers of the system experience</w:t>
      </w:r>
      <w:r>
        <w:t>.</w:t>
      </w:r>
    </w:p>
    <w:p w14:paraId="509C0EB3" w14:textId="77777777" w:rsidR="00B10720" w:rsidRDefault="00B10720" w:rsidP="00B10720">
      <w:pPr>
        <w:pStyle w:val="ListBullet"/>
      </w:pPr>
      <w:r>
        <w:t>How different groups of people within the system contribute to the overall cost.</w:t>
      </w:r>
    </w:p>
    <w:p w14:paraId="0DECD813" w14:textId="77777777" w:rsidR="00B10720" w:rsidRPr="00C61C8F" w:rsidRDefault="00B10720" w:rsidP="00B10720">
      <w:pPr>
        <w:pStyle w:val="ListBullet"/>
      </w:pPr>
      <w:r>
        <w:t>The factors which explain why some groups of people have different levels of expected payment utilisation than others.</w:t>
      </w:r>
    </w:p>
    <w:p w14:paraId="522A0BB8" w14:textId="77777777" w:rsidR="00B10720" w:rsidRPr="0057506F" w:rsidRDefault="00B10720" w:rsidP="00B10720">
      <w:pPr>
        <w:pStyle w:val="PwCNormal"/>
        <w:numPr>
          <w:ilvl w:val="0"/>
          <w:numId w:val="0"/>
        </w:numPr>
      </w:pPr>
      <w:r w:rsidRPr="00C61C8F">
        <w:t xml:space="preserve">This is the third annual valuation and provides an updated assessment of the lifetime costs for the Australian population, together with information on the changes to the system </w:t>
      </w:r>
      <w:r>
        <w:t xml:space="preserve">since the 2016 valuation </w:t>
      </w:r>
      <w:r w:rsidRPr="00C61C8F">
        <w:t xml:space="preserve">and other findings </w:t>
      </w:r>
      <w:r>
        <w:t xml:space="preserve">emerging </w:t>
      </w:r>
      <w:r w:rsidRPr="00C61C8F">
        <w:t>from the analysis.</w:t>
      </w:r>
    </w:p>
    <w:p w14:paraId="3210823D" w14:textId="77777777" w:rsidR="00B10720" w:rsidRPr="000E1719" w:rsidRDefault="00B10720" w:rsidP="00B10720">
      <w:pPr>
        <w:pStyle w:val="Heading3"/>
      </w:pPr>
      <w:bookmarkStart w:id="27" w:name="_Ref505676450"/>
      <w:bookmarkStart w:id="28" w:name="_Toc506388195"/>
      <w:r w:rsidRPr="000E1719">
        <w:t>Summary of June 2017 valuation model</w:t>
      </w:r>
      <w:bookmarkEnd w:id="27"/>
      <w:bookmarkEnd w:id="28"/>
    </w:p>
    <w:p w14:paraId="3E612352" w14:textId="13A390EF" w:rsidR="00B10720" w:rsidRPr="00C313B7" w:rsidRDefault="00B10720" w:rsidP="00B10720">
      <w:pPr>
        <w:pStyle w:val="PwCNormal"/>
        <w:numPr>
          <w:ilvl w:val="0"/>
          <w:numId w:val="0"/>
        </w:numPr>
      </w:pPr>
      <w:r w:rsidRPr="00C313B7">
        <w:t>The June 2017 valuation model retains the same general structure as used for the previous valuations. It includes the following key components and steps:</w:t>
      </w:r>
    </w:p>
    <w:p w14:paraId="2F94CD5E" w14:textId="77777777" w:rsidR="00B10720" w:rsidRPr="00C313B7" w:rsidRDefault="00B10720" w:rsidP="00B10720">
      <w:pPr>
        <w:pStyle w:val="ListBullet"/>
      </w:pPr>
      <w:r w:rsidRPr="00C313B7">
        <w:t>There is a population module which represents the population at the valuation date. This contains records for the whole Australian resident population and any overseas payment recipients. The records capture information on each individual’s life situation and welfare history.</w:t>
      </w:r>
    </w:p>
    <w:p w14:paraId="7A975B0C" w14:textId="77777777" w:rsidR="00B10720" w:rsidRDefault="00B10720" w:rsidP="00B10720">
      <w:pPr>
        <w:pStyle w:val="ListBullet"/>
      </w:pPr>
      <w:r w:rsidRPr="00C313B7">
        <w:t>The</w:t>
      </w:r>
      <w:r>
        <w:t xml:space="preserve"> population is projected forward using a simulation approach to show the expec</w:t>
      </w:r>
      <w:r w:rsidRPr="00C313B7">
        <w:t>ted</w:t>
      </w:r>
      <w:r>
        <w:t xml:space="preserve"> life outcomes for each cohort of people. Simulations are performed on an annual cycle, building iteratively to provide a view of peoples’ entire future lifetimes.</w:t>
      </w:r>
    </w:p>
    <w:p w14:paraId="1B8CDBA4" w14:textId="77777777" w:rsidR="00B10720" w:rsidRDefault="00B10720" w:rsidP="00B10720">
      <w:pPr>
        <w:pStyle w:val="ListBullet"/>
      </w:pPr>
      <w:r>
        <w:t xml:space="preserve">The simulation model draws on detailed assumptions which show how we expect peoples’ characteristics, life situation and welfare use to evolve in each future year. </w:t>
      </w:r>
    </w:p>
    <w:p w14:paraId="05D2D4DC" w14:textId="77777777" w:rsidR="00B10720" w:rsidRDefault="00B10720" w:rsidP="00B10720">
      <w:pPr>
        <w:pStyle w:val="ListBullet2"/>
      </w:pPr>
      <w:r>
        <w:t>These assumptions are highly detailed and reflect how the different drivers of experience interact with each other.</w:t>
      </w:r>
    </w:p>
    <w:p w14:paraId="043CAAD5" w14:textId="77777777" w:rsidR="00B10720" w:rsidRDefault="00B10720" w:rsidP="00B10720">
      <w:pPr>
        <w:pStyle w:val="ListBullet2"/>
      </w:pPr>
      <w:r>
        <w:lastRenderedPageBreak/>
        <w:t>The assumptions are reflective of the welfare system in place at the valuation date, based on legislation in force at that point in time. More specifically, the assumptions have been updated to reflect any changes in legislation that took place over the year.</w:t>
      </w:r>
    </w:p>
    <w:p w14:paraId="2672559E" w14:textId="77777777" w:rsidR="00B10720" w:rsidRDefault="00B10720" w:rsidP="00B10720">
      <w:pPr>
        <w:pStyle w:val="ListBullet2"/>
      </w:pPr>
      <w:r>
        <w:t>The assumptions are also set to reflect of the broader economic environment and economic forecasts.</w:t>
      </w:r>
    </w:p>
    <w:p w14:paraId="0B4B56A2" w14:textId="77777777" w:rsidR="00B10720" w:rsidRPr="000E1719" w:rsidRDefault="00B10720" w:rsidP="00B10720">
      <w:pPr>
        <w:pStyle w:val="PwCNormal"/>
        <w:numPr>
          <w:ilvl w:val="0"/>
          <w:numId w:val="1"/>
        </w:numPr>
      </w:pPr>
      <w:r w:rsidRPr="000E1719">
        <w:t>The specific items considered in the annual simulation cycle are illustrated in the figure below. This also shows the order in which each variable is simulated.</w:t>
      </w:r>
    </w:p>
    <w:p w14:paraId="64473C39" w14:textId="31331D8E" w:rsidR="00B10720" w:rsidRPr="00C313B7" w:rsidRDefault="00B10720" w:rsidP="00B10720">
      <w:pPr>
        <w:pStyle w:val="Caption"/>
        <w:spacing w:before="240"/>
      </w:pPr>
      <w:r w:rsidRPr="00C313B7">
        <w:t xml:space="preserve">Figure </w:t>
      </w:r>
      <w:fldSimple w:instr=" SEQ Figure \* ARABIC ">
        <w:r w:rsidR="00C93C1A">
          <w:rPr>
            <w:noProof/>
          </w:rPr>
          <w:t>6</w:t>
        </w:r>
      </w:fldSimple>
      <w:r w:rsidRPr="00C313B7">
        <w:t>: Illustration of the simulation model structure</w:t>
      </w:r>
    </w:p>
    <w:p w14:paraId="1BDE3977" w14:textId="77777777" w:rsidR="00B10720" w:rsidRPr="0057506F" w:rsidRDefault="00B10720" w:rsidP="00B10720">
      <w:pPr>
        <w:pStyle w:val="PwCNormal"/>
        <w:numPr>
          <w:ilvl w:val="0"/>
          <w:numId w:val="0"/>
        </w:numPr>
      </w:pPr>
      <w:r w:rsidRPr="005E6FC1">
        <w:rPr>
          <w:noProof/>
          <w:lang w:eastAsia="en-AU"/>
        </w:rPr>
        <w:drawing>
          <wp:inline distT="0" distB="0" distL="0" distR="0" wp14:anchorId="35731D13" wp14:editId="3FCE2876">
            <wp:extent cx="6444000" cy="4122472"/>
            <wp:effectExtent l="0" t="0" r="0" b="0"/>
            <wp:docPr id="1" name="Picture 1" descr="This figure is an infographic diagram which provides an overview of the modelling sequence for the 2017 valuation. It shows the annual projection cycle broken down into the component models and processes that are used to update the population dataset. &#10;&#10;The projection cycle is broken down into six broad stages: &#10;(1) Starting population at the valuation date t (consideration of current characteristics, and data maturity adjustments).&#10;(2) Simulate demographic characters (Ageing, mortality, partner status, children and highest level of education).&#10;(3) Simulate welfare class and class specific variables (welfare class, DSP medical condition for class 5, caree variables for classes 4 and 8, partial capacity to work for class 2, employment earnings for classes 1-5, payment type for classes 1 to 3 and education sector for class 1).&#10;(4) Simulate payment category utilisation.&#10;(5) Simulate payment category amounts.&#10;(6) Update the population dataset to year t+1.&#10;&#10;Discussion of the elements shown in the diagram can be found within the report.&#10;" title="Illustration of the simulation mode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44000" cy="4122472"/>
                    </a:xfrm>
                    <a:prstGeom prst="rect">
                      <a:avLst/>
                    </a:prstGeom>
                    <a:noFill/>
                    <a:ln>
                      <a:noFill/>
                    </a:ln>
                  </pic:spPr>
                </pic:pic>
              </a:graphicData>
            </a:graphic>
          </wp:inline>
        </w:drawing>
      </w:r>
    </w:p>
    <w:p w14:paraId="784F3FC8" w14:textId="77777777" w:rsidR="00B10720" w:rsidRPr="006D3788" w:rsidRDefault="00B10720" w:rsidP="00B10720">
      <w:pPr>
        <w:pStyle w:val="Minorheading"/>
      </w:pPr>
      <w:r w:rsidRPr="006D3788">
        <w:t>Welfare classes</w:t>
      </w:r>
    </w:p>
    <w:p w14:paraId="134ED677" w14:textId="73DB167E" w:rsidR="00B10720" w:rsidRPr="00574E92" w:rsidRDefault="00B10720" w:rsidP="00B10720">
      <w:pPr>
        <w:pStyle w:val="PwCNormal"/>
        <w:numPr>
          <w:ilvl w:val="0"/>
          <w:numId w:val="0"/>
        </w:numPr>
      </w:pPr>
      <w:r w:rsidRPr="001A4392">
        <w:t xml:space="preserve">The simulation model structure above refers to welfare classes which </w:t>
      </w:r>
      <w:r>
        <w:t>are</w:t>
      </w:r>
      <w:r w:rsidRPr="001A4392">
        <w:t xml:space="preserve"> defined based on the types of payments received over the last year. The classes are hierarchical such that being in an income support class (classes 1 to 6) will take preceden</w:t>
      </w:r>
      <w:r w:rsidR="00A14F1D">
        <w:t>ce</w:t>
      </w:r>
      <w:r w:rsidRPr="001A4392">
        <w:t xml:space="preserve"> over being in a </w:t>
      </w:r>
      <w:r w:rsidR="005B3E7D">
        <w:t>non income</w:t>
      </w:r>
      <w:r w:rsidRPr="001A4392">
        <w:t xml:space="preserve"> support class (classes 7 to 9) where someone receives multiple payments during a year.</w:t>
      </w:r>
      <w:r>
        <w:t xml:space="preserve"> The class definitions are described in the table below</w:t>
      </w:r>
      <w:r w:rsidRPr="001A4392">
        <w:t>.</w:t>
      </w:r>
    </w:p>
    <w:p w14:paraId="528661FB" w14:textId="77777777" w:rsidR="00B10720" w:rsidRPr="001A4392" w:rsidRDefault="00B10720" w:rsidP="00B10720">
      <w:pPr>
        <w:pStyle w:val="Caption"/>
      </w:pPr>
      <w:bookmarkStart w:id="29" w:name="_Ref505589301"/>
      <w:r w:rsidRPr="001A4392">
        <w:lastRenderedPageBreak/>
        <w:t xml:space="preserve">Table </w:t>
      </w:r>
      <w:fldSimple w:instr=" SEQ Table \* ARABIC ">
        <w:r w:rsidR="00C93C1A">
          <w:rPr>
            <w:noProof/>
          </w:rPr>
          <w:t>4</w:t>
        </w:r>
      </w:fldSimple>
      <w:r w:rsidRPr="001A4392">
        <w:t>: Welfare classes</w:t>
      </w:r>
      <w:bookmarkEnd w:id="29"/>
    </w:p>
    <w:tbl>
      <w:tblPr>
        <w:tblStyle w:val="Tables-APBase"/>
        <w:tblW w:w="4711" w:type="pct"/>
        <w:tblInd w:w="108" w:type="dxa"/>
        <w:tblBorders>
          <w:left w:val="none" w:sz="0" w:space="0" w:color="auto"/>
          <w:bottom w:val="single" w:sz="4" w:space="0" w:color="E0301E"/>
          <w:insideH w:val="single" w:sz="4" w:space="0" w:color="E0301E"/>
          <w:insideV w:val="single" w:sz="4" w:space="0" w:color="E0301E" w:themeColor="accent6"/>
        </w:tblBorders>
        <w:tblLayout w:type="fixed"/>
        <w:tblLook w:val="04A0" w:firstRow="1" w:lastRow="0" w:firstColumn="1" w:lastColumn="0" w:noHBand="0" w:noVBand="1"/>
        <w:tblCaption w:val=" Welfare classes and mapping of payment types to them"/>
        <w:tblDescription w:val="This table shows the definitions for the 12 welfare classes. The columns represent the three broad grouping for classes:, Active – income support (IS), Active – non income support (Non IS), and Inactive classes. The rows show the different welfare classes and their definitions.&#10;&#10;Further details can be found in the accompanying text within the report.&#10;"/>
      </w:tblPr>
      <w:tblGrid>
        <w:gridCol w:w="3545"/>
        <w:gridCol w:w="3401"/>
        <w:gridCol w:w="2552"/>
      </w:tblGrid>
      <w:tr w:rsidR="00B10720" w:rsidRPr="001A4392" w14:paraId="1C3915C9" w14:textId="77777777" w:rsidTr="003979D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545" w:type="dxa"/>
            <w:shd w:val="clear" w:color="auto" w:fill="E0301E"/>
          </w:tcPr>
          <w:p w14:paraId="0869B05B" w14:textId="77777777" w:rsidR="00B10720" w:rsidRPr="001A4392" w:rsidRDefault="00B10720" w:rsidP="007C4F3B">
            <w:pPr>
              <w:pStyle w:val="TableTextSmall"/>
              <w:keepNext/>
              <w:jc w:val="center"/>
              <w:rPr>
                <w:rFonts w:asciiTheme="majorHAnsi" w:hAnsiTheme="majorHAnsi" w:cstheme="majorHAnsi"/>
                <w:b/>
                <w:color w:val="FFFFFF" w:themeColor="background1"/>
              </w:rPr>
            </w:pPr>
            <w:r w:rsidRPr="001A4392">
              <w:rPr>
                <w:rFonts w:asciiTheme="majorHAnsi" w:hAnsiTheme="majorHAnsi" w:cstheme="majorHAnsi"/>
                <w:b/>
                <w:color w:val="FFFFFF" w:themeColor="background1"/>
              </w:rPr>
              <w:t>Active – income support (IS)</w:t>
            </w:r>
          </w:p>
        </w:tc>
        <w:tc>
          <w:tcPr>
            <w:tcW w:w="3401" w:type="dxa"/>
            <w:shd w:val="clear" w:color="auto" w:fill="E0301E"/>
          </w:tcPr>
          <w:p w14:paraId="599F4230" w14:textId="77777777" w:rsidR="00B10720" w:rsidRPr="001A4392" w:rsidRDefault="00B10720" w:rsidP="007C4F3B">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1A4392">
              <w:rPr>
                <w:rFonts w:asciiTheme="majorHAnsi" w:hAnsiTheme="majorHAnsi" w:cstheme="majorHAnsi"/>
                <w:b/>
                <w:color w:val="FFFFFF" w:themeColor="background1"/>
              </w:rPr>
              <w:t>Active – non income support (Non IS)</w:t>
            </w:r>
          </w:p>
        </w:tc>
        <w:tc>
          <w:tcPr>
            <w:tcW w:w="2552" w:type="dxa"/>
            <w:shd w:val="clear" w:color="auto" w:fill="E0301E"/>
          </w:tcPr>
          <w:p w14:paraId="4DBB0EF1" w14:textId="77777777" w:rsidR="00B10720" w:rsidRPr="001A4392" w:rsidRDefault="00B10720" w:rsidP="007C4F3B">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1A4392">
              <w:rPr>
                <w:rFonts w:asciiTheme="majorHAnsi" w:hAnsiTheme="majorHAnsi" w:cstheme="majorHAnsi"/>
                <w:b/>
                <w:color w:val="FFFFFF" w:themeColor="background1"/>
              </w:rPr>
              <w:t>Inactive classes</w:t>
            </w:r>
          </w:p>
        </w:tc>
      </w:tr>
      <w:tr w:rsidR="00B10720" w:rsidRPr="001A4392" w14:paraId="529BC9FF" w14:textId="77777777" w:rsidTr="003979D2">
        <w:tc>
          <w:tcPr>
            <w:tcW w:w="3545" w:type="dxa"/>
          </w:tcPr>
          <w:p w14:paraId="55057884" w14:textId="77777777" w:rsidR="00B10720" w:rsidRPr="001A4392" w:rsidRDefault="00B10720" w:rsidP="007C4F3B">
            <w:pPr>
              <w:pStyle w:val="TableTextSmalltopic"/>
              <w:keepNext/>
            </w:pPr>
            <w:r w:rsidRPr="001A4392">
              <w:t xml:space="preserve">1 Studying </w:t>
            </w:r>
          </w:p>
          <w:p w14:paraId="4DED3825" w14:textId="5E8334AA" w:rsidR="00B10720" w:rsidRPr="001A4392" w:rsidRDefault="00B10720" w:rsidP="00845D12">
            <w:pPr>
              <w:pStyle w:val="TableTextSmall"/>
              <w:keepNext/>
            </w:pPr>
            <w:r w:rsidRPr="001A4392">
              <w:t xml:space="preserve">People receiving Austudy, </w:t>
            </w:r>
            <w:r w:rsidR="00961841">
              <w:t>ABSTUDY</w:t>
            </w:r>
            <w:r w:rsidR="00961841" w:rsidRPr="001A4392">
              <w:t xml:space="preserve"> </w:t>
            </w:r>
            <w:r w:rsidRPr="001A4392">
              <w:t>or Youth Allowance (</w:t>
            </w:r>
            <w:r w:rsidR="00845D12">
              <w:t>S</w:t>
            </w:r>
            <w:r w:rsidRPr="001A4392">
              <w:t>tudent) as their most recent income support payment.</w:t>
            </w:r>
          </w:p>
        </w:tc>
        <w:tc>
          <w:tcPr>
            <w:tcW w:w="3401" w:type="dxa"/>
          </w:tcPr>
          <w:p w14:paraId="208FB544" w14:textId="77777777" w:rsidR="00B10720" w:rsidRPr="001A4392" w:rsidRDefault="00B10720" w:rsidP="007C4F3B">
            <w:pPr>
              <w:pStyle w:val="TableTextSmalltopic"/>
              <w:keepNext/>
            </w:pPr>
            <w:r w:rsidRPr="001A4392">
              <w:t>7 Non IS Family</w:t>
            </w:r>
          </w:p>
          <w:p w14:paraId="4429B2AB" w14:textId="6A883E90" w:rsidR="00B10720" w:rsidRPr="001A4392" w:rsidRDefault="00B10720" w:rsidP="007C4F3B">
            <w:pPr>
              <w:pStyle w:val="TableTextSmall"/>
              <w:keepNext/>
            </w:pPr>
            <w:r w:rsidRPr="001A4392">
              <w:t xml:space="preserve">People not receiving any </w:t>
            </w:r>
            <w:r w:rsidR="003C32DF">
              <w:t>C</w:t>
            </w:r>
            <w:r w:rsidRPr="001A4392">
              <w:t xml:space="preserve">arer payments but receiving one or more family supplement payments e.g. FTB, Child Care Benefit in the previous year. </w:t>
            </w:r>
          </w:p>
        </w:tc>
        <w:tc>
          <w:tcPr>
            <w:tcW w:w="2552" w:type="dxa"/>
          </w:tcPr>
          <w:p w14:paraId="0EB8101C" w14:textId="14B085F6" w:rsidR="00B10720" w:rsidRPr="001A4392" w:rsidRDefault="00B10720" w:rsidP="007C4F3B">
            <w:pPr>
              <w:pStyle w:val="TableTextSmalltopic"/>
              <w:keepNext/>
            </w:pPr>
            <w:r w:rsidRPr="001A4392">
              <w:t>10 Previous welfare recipient</w:t>
            </w:r>
            <w:r w:rsidR="00A14F1D">
              <w:t>*</w:t>
            </w:r>
          </w:p>
          <w:p w14:paraId="0C0AB7A2" w14:textId="07700DBC" w:rsidR="00A14F1D" w:rsidRDefault="00B10720" w:rsidP="007C4F3B">
            <w:pPr>
              <w:pStyle w:val="TableTextSmall"/>
              <w:keepNext/>
            </w:pPr>
            <w:r w:rsidRPr="001A4392">
              <w:t>People who were previously in one of classes 1 to 9 but are not for the latest year.</w:t>
            </w:r>
          </w:p>
          <w:p w14:paraId="464EA84F" w14:textId="4EBB60BC" w:rsidR="00A14F1D" w:rsidRPr="00A14F1D" w:rsidRDefault="00A14F1D" w:rsidP="007C4F3B">
            <w:pPr>
              <w:pStyle w:val="TableTextSmall"/>
              <w:keepNext/>
              <w:rPr>
                <w:i/>
              </w:rPr>
            </w:pPr>
            <w:r w:rsidRPr="00A14F1D">
              <w:rPr>
                <w:i/>
                <w:sz w:val="12"/>
              </w:rPr>
              <w:t>*</w:t>
            </w:r>
            <w:r>
              <w:rPr>
                <w:i/>
                <w:sz w:val="12"/>
              </w:rPr>
              <w:t>These are p</w:t>
            </w:r>
            <w:r w:rsidRPr="00A14F1D">
              <w:rPr>
                <w:i/>
                <w:sz w:val="12"/>
              </w:rPr>
              <w:t xml:space="preserve">eople who were captured in classes 1 to 9 </w:t>
            </w:r>
            <w:r>
              <w:rPr>
                <w:i/>
                <w:sz w:val="12"/>
              </w:rPr>
              <w:t>from</w:t>
            </w:r>
            <w:r w:rsidRPr="00A14F1D">
              <w:rPr>
                <w:i/>
                <w:sz w:val="12"/>
              </w:rPr>
              <w:t xml:space="preserve"> 2001</w:t>
            </w:r>
            <w:r w:rsidR="00C015A1">
              <w:rPr>
                <w:i/>
                <w:sz w:val="12"/>
              </w:rPr>
              <w:t>/02</w:t>
            </w:r>
            <w:r>
              <w:rPr>
                <w:i/>
                <w:sz w:val="12"/>
              </w:rPr>
              <w:t xml:space="preserve"> onwards.</w:t>
            </w:r>
          </w:p>
        </w:tc>
      </w:tr>
      <w:tr w:rsidR="00B10720" w:rsidRPr="001A4392" w14:paraId="5EED49CF" w14:textId="77777777" w:rsidTr="003979D2">
        <w:tc>
          <w:tcPr>
            <w:tcW w:w="3545" w:type="dxa"/>
          </w:tcPr>
          <w:p w14:paraId="3DA119AC" w14:textId="77777777" w:rsidR="00B10720" w:rsidRPr="001A4392" w:rsidRDefault="00B10720" w:rsidP="007C4F3B">
            <w:pPr>
              <w:pStyle w:val="TableTextSmalltopic"/>
              <w:keepNext/>
            </w:pPr>
            <w:r w:rsidRPr="001A4392">
              <w:t xml:space="preserve">2 Working Age </w:t>
            </w:r>
          </w:p>
          <w:p w14:paraId="6862B3BF" w14:textId="07D50E3B" w:rsidR="00B10720" w:rsidRPr="001A4392" w:rsidRDefault="00B10720" w:rsidP="00845D12">
            <w:pPr>
              <w:pStyle w:val="TableTextSmall"/>
              <w:keepNext/>
            </w:pPr>
            <w:r w:rsidRPr="001A4392">
              <w:t>People receiving Newstart Allowance or Youth Allowance (</w:t>
            </w:r>
            <w:r w:rsidR="00845D12">
              <w:t>O</w:t>
            </w:r>
            <w:r w:rsidRPr="001A4392">
              <w:t>ther) as their most recent income support payment (a small number of other recipients are also</w:t>
            </w:r>
            <w:r w:rsidR="00574E92">
              <w:t xml:space="preserve"> included in this class – see </w:t>
            </w:r>
            <w:r w:rsidR="00491DA0">
              <w:t>s</w:t>
            </w:r>
            <w:r w:rsidRPr="001A4392">
              <w:t xml:space="preserve">ection </w:t>
            </w:r>
            <w:r w:rsidR="00574E92">
              <w:fldChar w:fldCharType="begin"/>
            </w:r>
            <w:r w:rsidR="00574E92">
              <w:instrText xml:space="preserve"> REF _Ref498422074 \r \h </w:instrText>
            </w:r>
            <w:r w:rsidR="00574E92">
              <w:fldChar w:fldCharType="separate"/>
            </w:r>
            <w:r w:rsidR="00C93C1A">
              <w:t>6.2</w:t>
            </w:r>
            <w:r w:rsidR="00574E92">
              <w:fldChar w:fldCharType="end"/>
            </w:r>
            <w:r w:rsidRPr="001A4392">
              <w:t xml:space="preserve"> for details)</w:t>
            </w:r>
          </w:p>
        </w:tc>
        <w:tc>
          <w:tcPr>
            <w:tcW w:w="3401" w:type="dxa"/>
          </w:tcPr>
          <w:p w14:paraId="2D96A58B" w14:textId="77777777" w:rsidR="00B10720" w:rsidRPr="001A4392" w:rsidRDefault="00B10720" w:rsidP="007C4F3B">
            <w:pPr>
              <w:pStyle w:val="TableTextSmalltopic"/>
              <w:keepNext/>
            </w:pPr>
            <w:r w:rsidRPr="001A4392">
              <w:t>8 Non IS Carer</w:t>
            </w:r>
          </w:p>
          <w:p w14:paraId="07598257" w14:textId="77777777" w:rsidR="00B10720" w:rsidRPr="001A4392" w:rsidRDefault="00B10720" w:rsidP="007C4F3B">
            <w:pPr>
              <w:pStyle w:val="TableTextSmall"/>
              <w:keepNext/>
            </w:pPr>
            <w:r w:rsidRPr="001A4392">
              <w:t>People receiving Carer Allowance or Carer Supplement</w:t>
            </w:r>
          </w:p>
        </w:tc>
        <w:tc>
          <w:tcPr>
            <w:tcW w:w="2552" w:type="dxa"/>
          </w:tcPr>
          <w:p w14:paraId="0FEA09F7" w14:textId="77777777" w:rsidR="00B10720" w:rsidRPr="001A4392" w:rsidRDefault="00B10720" w:rsidP="007C4F3B">
            <w:pPr>
              <w:pStyle w:val="TableTextSmalltopic"/>
              <w:keepNext/>
            </w:pPr>
            <w:r w:rsidRPr="001A4392">
              <w:t>11 Dead</w:t>
            </w:r>
          </w:p>
          <w:p w14:paraId="208D11B6" w14:textId="77777777" w:rsidR="00B10720" w:rsidRPr="001A4392" w:rsidRDefault="00B10720" w:rsidP="007C4F3B">
            <w:pPr>
              <w:pStyle w:val="TableTextSmall"/>
              <w:keepNext/>
            </w:pPr>
            <w:r w:rsidRPr="001A4392">
              <w:t>People who have died during the previous year or in prior years.</w:t>
            </w:r>
          </w:p>
        </w:tc>
      </w:tr>
      <w:tr w:rsidR="00B10720" w:rsidRPr="001A4392" w14:paraId="335B23A0" w14:textId="77777777" w:rsidTr="003979D2">
        <w:tc>
          <w:tcPr>
            <w:tcW w:w="3545" w:type="dxa"/>
          </w:tcPr>
          <w:p w14:paraId="50356A1B" w14:textId="77777777" w:rsidR="00B10720" w:rsidRPr="001A4392" w:rsidRDefault="00B10720" w:rsidP="007C4F3B">
            <w:pPr>
              <w:pStyle w:val="TableTextSmalltopic"/>
              <w:keepNext/>
            </w:pPr>
            <w:r w:rsidRPr="001A4392">
              <w:t xml:space="preserve">3 Parenting </w:t>
            </w:r>
          </w:p>
          <w:p w14:paraId="2C347AD5" w14:textId="77777777" w:rsidR="00B10720" w:rsidRPr="001A4392" w:rsidRDefault="00B10720" w:rsidP="007C4F3B">
            <w:pPr>
              <w:pStyle w:val="TableTextSmall"/>
              <w:keepNext/>
            </w:pPr>
            <w:r w:rsidRPr="001A4392">
              <w:t>People receiving Parenting Payment (Partnered or Single) as their most recent income support payment</w:t>
            </w:r>
          </w:p>
        </w:tc>
        <w:tc>
          <w:tcPr>
            <w:tcW w:w="3401" w:type="dxa"/>
          </w:tcPr>
          <w:p w14:paraId="7458FBDE" w14:textId="77777777" w:rsidR="00B10720" w:rsidRPr="001A4392" w:rsidRDefault="00B10720" w:rsidP="007C4F3B">
            <w:pPr>
              <w:pStyle w:val="TableTextSmalltopic"/>
              <w:keepNext/>
            </w:pPr>
            <w:r w:rsidRPr="001A4392">
              <w:t>9 Non IS Other</w:t>
            </w:r>
          </w:p>
          <w:p w14:paraId="14C36039" w14:textId="77777777" w:rsidR="00B10720" w:rsidRPr="001A4392" w:rsidRDefault="00B10720" w:rsidP="007C4F3B">
            <w:pPr>
              <w:pStyle w:val="TableTextSmall"/>
              <w:keepNext/>
            </w:pPr>
            <w:r w:rsidRPr="001A4392">
              <w:t>People receiving payments but not in any other welfare recipient class.</w:t>
            </w:r>
          </w:p>
        </w:tc>
        <w:tc>
          <w:tcPr>
            <w:tcW w:w="2552" w:type="dxa"/>
          </w:tcPr>
          <w:p w14:paraId="264F25D4" w14:textId="77777777" w:rsidR="00B10720" w:rsidRPr="001A4392" w:rsidRDefault="00B10720" w:rsidP="007C4F3B">
            <w:pPr>
              <w:pStyle w:val="TableTextSmalltopic"/>
              <w:keepNext/>
            </w:pPr>
            <w:r w:rsidRPr="001A4392">
              <w:t>12 Rest of Aust. population</w:t>
            </w:r>
          </w:p>
          <w:p w14:paraId="456AF58E" w14:textId="77777777" w:rsidR="00B10720" w:rsidRPr="001A4392" w:rsidRDefault="00B10720" w:rsidP="007C4F3B">
            <w:pPr>
              <w:pStyle w:val="TableTextSmall"/>
              <w:keepNext/>
            </w:pPr>
            <w:r w:rsidRPr="001A4392">
              <w:t>Rest of modelled population.</w:t>
            </w:r>
          </w:p>
        </w:tc>
      </w:tr>
      <w:tr w:rsidR="00B10720" w:rsidRPr="001A4392" w14:paraId="6F7D0E6A" w14:textId="77777777" w:rsidTr="003979D2">
        <w:tc>
          <w:tcPr>
            <w:tcW w:w="3545" w:type="dxa"/>
          </w:tcPr>
          <w:p w14:paraId="4A727F33" w14:textId="77777777" w:rsidR="00B10720" w:rsidRPr="001A4392" w:rsidRDefault="00B10720" w:rsidP="007C4F3B">
            <w:pPr>
              <w:pStyle w:val="TableTextSmalltopic"/>
              <w:keepNext/>
            </w:pPr>
            <w:r w:rsidRPr="001A4392">
              <w:t xml:space="preserve">4 Carers </w:t>
            </w:r>
          </w:p>
          <w:p w14:paraId="2586ABB5" w14:textId="77777777" w:rsidR="00B10720" w:rsidRPr="001A4392" w:rsidRDefault="00B10720" w:rsidP="007C4F3B">
            <w:pPr>
              <w:pStyle w:val="TableTextSmall"/>
              <w:keepNext/>
            </w:pPr>
            <w:r w:rsidRPr="001A4392">
              <w:t>People receiving Carer Payment as their most recent income support payment.</w:t>
            </w:r>
          </w:p>
        </w:tc>
        <w:tc>
          <w:tcPr>
            <w:tcW w:w="3401" w:type="dxa"/>
          </w:tcPr>
          <w:p w14:paraId="3A7612F9" w14:textId="77777777" w:rsidR="00B10720" w:rsidRPr="001A4392" w:rsidRDefault="00B10720" w:rsidP="007C4F3B">
            <w:pPr>
              <w:pStyle w:val="TableTextSmall"/>
              <w:keepNext/>
              <w:rPr>
                <w:rFonts w:ascii="Georgia" w:hAnsi="Georgia"/>
              </w:rPr>
            </w:pPr>
          </w:p>
        </w:tc>
        <w:tc>
          <w:tcPr>
            <w:tcW w:w="2552" w:type="dxa"/>
          </w:tcPr>
          <w:p w14:paraId="5EC2BA97" w14:textId="77777777" w:rsidR="00B10720" w:rsidRPr="001A4392" w:rsidRDefault="00B10720" w:rsidP="007C4F3B">
            <w:pPr>
              <w:pStyle w:val="TableTextSmall"/>
              <w:keepNext/>
              <w:rPr>
                <w:rFonts w:ascii="Georgia" w:hAnsi="Georgia"/>
              </w:rPr>
            </w:pPr>
          </w:p>
        </w:tc>
      </w:tr>
      <w:tr w:rsidR="00B10720" w:rsidRPr="001A4392" w14:paraId="40EBC0D8" w14:textId="77777777" w:rsidTr="003979D2">
        <w:tc>
          <w:tcPr>
            <w:tcW w:w="3545" w:type="dxa"/>
          </w:tcPr>
          <w:p w14:paraId="2B9EF75D" w14:textId="77777777" w:rsidR="00B10720" w:rsidRPr="001A4392" w:rsidRDefault="00B10720" w:rsidP="007C4F3B">
            <w:pPr>
              <w:pStyle w:val="TableTextSmalltopic"/>
              <w:keepNext/>
            </w:pPr>
            <w:r w:rsidRPr="001A4392">
              <w:t>5 Disability support</w:t>
            </w:r>
          </w:p>
          <w:p w14:paraId="0C847232" w14:textId="77777777" w:rsidR="00B10720" w:rsidRPr="001A4392" w:rsidRDefault="00B10720" w:rsidP="007C4F3B">
            <w:pPr>
              <w:pStyle w:val="TableTextSmall"/>
              <w:keepNext/>
            </w:pPr>
            <w:r w:rsidRPr="001A4392">
              <w:t>People receiving Disability Support Pension as their most recent income support payment.</w:t>
            </w:r>
          </w:p>
        </w:tc>
        <w:tc>
          <w:tcPr>
            <w:tcW w:w="3401" w:type="dxa"/>
          </w:tcPr>
          <w:p w14:paraId="501D9F9C" w14:textId="77777777" w:rsidR="00B10720" w:rsidRPr="001A4392" w:rsidRDefault="00B10720" w:rsidP="007C4F3B">
            <w:pPr>
              <w:pStyle w:val="TableTextSmall"/>
              <w:keepNext/>
              <w:rPr>
                <w:rFonts w:ascii="Georgia" w:hAnsi="Georgia"/>
              </w:rPr>
            </w:pPr>
          </w:p>
        </w:tc>
        <w:tc>
          <w:tcPr>
            <w:tcW w:w="2552" w:type="dxa"/>
          </w:tcPr>
          <w:p w14:paraId="1B810D66" w14:textId="77777777" w:rsidR="00B10720" w:rsidRPr="001A4392" w:rsidRDefault="00B10720" w:rsidP="007C4F3B">
            <w:pPr>
              <w:pStyle w:val="TableTextSmall"/>
              <w:keepNext/>
              <w:rPr>
                <w:rFonts w:ascii="Georgia" w:hAnsi="Georgia"/>
              </w:rPr>
            </w:pPr>
          </w:p>
        </w:tc>
      </w:tr>
      <w:tr w:rsidR="00B10720" w:rsidRPr="001A4392" w14:paraId="2FA73AA8" w14:textId="77777777" w:rsidTr="003979D2">
        <w:tc>
          <w:tcPr>
            <w:tcW w:w="3545" w:type="dxa"/>
          </w:tcPr>
          <w:p w14:paraId="2F52008D" w14:textId="77777777" w:rsidR="00B10720" w:rsidRPr="001A4392" w:rsidRDefault="00B10720" w:rsidP="00816D81">
            <w:pPr>
              <w:pStyle w:val="TableTextSmalltopic"/>
            </w:pPr>
            <w:r w:rsidRPr="001A4392">
              <w:t xml:space="preserve">6 Pension Age </w:t>
            </w:r>
          </w:p>
          <w:p w14:paraId="77EBF224" w14:textId="77777777" w:rsidR="00B10720" w:rsidRPr="001A4392" w:rsidRDefault="00B10720" w:rsidP="00816D81">
            <w:pPr>
              <w:pStyle w:val="TableTextSmall"/>
            </w:pPr>
            <w:r w:rsidRPr="001A4392">
              <w:t>People receiving any Age Pension as their most recent income support payment (a small number of Widow B Pension and Wife Pension recipients are also included in this class)</w:t>
            </w:r>
          </w:p>
        </w:tc>
        <w:tc>
          <w:tcPr>
            <w:tcW w:w="3401" w:type="dxa"/>
          </w:tcPr>
          <w:p w14:paraId="31B555E0" w14:textId="77777777" w:rsidR="00B10720" w:rsidRPr="001A4392" w:rsidRDefault="00B10720" w:rsidP="00816D81">
            <w:pPr>
              <w:pStyle w:val="TableTextSmall"/>
              <w:rPr>
                <w:rFonts w:ascii="Georgia" w:hAnsi="Georgia"/>
              </w:rPr>
            </w:pPr>
          </w:p>
        </w:tc>
        <w:tc>
          <w:tcPr>
            <w:tcW w:w="2552" w:type="dxa"/>
          </w:tcPr>
          <w:p w14:paraId="14AC4386" w14:textId="77777777" w:rsidR="00B10720" w:rsidRPr="001A4392" w:rsidRDefault="00B10720" w:rsidP="00816D81">
            <w:pPr>
              <w:pStyle w:val="TableTextSmall"/>
              <w:rPr>
                <w:rFonts w:ascii="Georgia" w:hAnsi="Georgia"/>
              </w:rPr>
            </w:pPr>
          </w:p>
        </w:tc>
      </w:tr>
    </w:tbl>
    <w:p w14:paraId="3D8203BE" w14:textId="77777777" w:rsidR="00B10720" w:rsidRPr="006D3788" w:rsidRDefault="00B10720" w:rsidP="00B10720">
      <w:pPr>
        <w:pStyle w:val="Minorheading"/>
      </w:pPr>
      <w:r>
        <w:t>Payment categories</w:t>
      </w:r>
    </w:p>
    <w:p w14:paraId="3FD65927" w14:textId="67F67EEC" w:rsidR="00B10720" w:rsidRDefault="00B10720" w:rsidP="00B10720">
      <w:pPr>
        <w:pStyle w:val="PwCNormal"/>
        <w:numPr>
          <w:ilvl w:val="0"/>
          <w:numId w:val="0"/>
        </w:numPr>
      </w:pPr>
      <w:r>
        <w:t>There are around 85 individual payment types which are included in</w:t>
      </w:r>
      <w:r w:rsidR="00A14F1D">
        <w:t xml:space="preserve"> the scope of the model. These</w:t>
      </w:r>
      <w:r>
        <w:t xml:space="preserve"> have been grouped into 17 payment categories for modelling, seven of which relate to income support payments and ten which relate to </w:t>
      </w:r>
      <w:r w:rsidR="005B3E7D">
        <w:t>non income</w:t>
      </w:r>
      <w:r>
        <w:t xml:space="preserve"> support payments.</w:t>
      </w:r>
    </w:p>
    <w:p w14:paraId="1D2711CD" w14:textId="584D6E7B" w:rsidR="00B10720" w:rsidRPr="0057506F" w:rsidRDefault="00B10720" w:rsidP="00B10720">
      <w:pPr>
        <w:pStyle w:val="PwCNormal"/>
        <w:numPr>
          <w:ilvl w:val="0"/>
          <w:numId w:val="0"/>
        </w:numPr>
      </w:pPr>
      <w:r w:rsidRPr="001A4392">
        <w:t xml:space="preserve">Note that whilst each person </w:t>
      </w:r>
      <w:r w:rsidR="00A14F1D">
        <w:t>is allocated</w:t>
      </w:r>
      <w:r w:rsidRPr="001A4392">
        <w:t xml:space="preserve"> to a single </w:t>
      </w:r>
      <w:r w:rsidR="00A14F1D">
        <w:t xml:space="preserve">unique </w:t>
      </w:r>
      <w:r w:rsidRPr="001A4392">
        <w:t>class in a ye</w:t>
      </w:r>
      <w:r>
        <w:t>ar, the model simulates the possibility of payment utilisation for each possible payment category. As such the model allows for individuals to receive multiple payments in the same year.</w:t>
      </w:r>
    </w:p>
    <w:p w14:paraId="7EE296C6" w14:textId="77777777" w:rsidR="00B10720" w:rsidRPr="009436DE" w:rsidRDefault="00B10720" w:rsidP="00B10720">
      <w:pPr>
        <w:pStyle w:val="Heading3"/>
      </w:pPr>
      <w:bookmarkStart w:id="30" w:name="_Toc506388196"/>
      <w:r w:rsidRPr="009436DE">
        <w:t>Model uses</w:t>
      </w:r>
      <w:bookmarkEnd w:id="30"/>
    </w:p>
    <w:p w14:paraId="55BF17B3" w14:textId="1CA0ADC1" w:rsidR="00B10720" w:rsidRPr="009436DE" w:rsidRDefault="00C015A1" w:rsidP="00C015A1">
      <w:pPr>
        <w:pStyle w:val="PwCNormal"/>
        <w:numPr>
          <w:ilvl w:val="0"/>
          <w:numId w:val="1"/>
        </w:numPr>
      </w:pPr>
      <w:r w:rsidRPr="00D9173B">
        <w:t xml:space="preserve">The actuarial valuation model is designed as a whole of population model with the purpose being to </w:t>
      </w:r>
      <w:r>
        <w:t xml:space="preserve">provide a </w:t>
      </w:r>
      <w:r w:rsidRPr="00D9173B">
        <w:t>tool for understanding the</w:t>
      </w:r>
      <w:r>
        <w:t xml:space="preserve"> welfare system and </w:t>
      </w:r>
      <w:r w:rsidRPr="00D9173B">
        <w:t xml:space="preserve">long term impact of decisions made today and in the future, at a fairly high “system” level, and for </w:t>
      </w:r>
      <w:r>
        <w:t xml:space="preserve">smaller </w:t>
      </w:r>
      <w:r w:rsidRPr="00D9173B">
        <w:t>groups of interest.</w:t>
      </w:r>
      <w:r>
        <w:t xml:space="preserve"> </w:t>
      </w:r>
      <w:r w:rsidR="00B10720" w:rsidRPr="009436DE">
        <w:t>The valuation model provides a flexible framework for exploring welfare system dynamics and the related lifetime cost outcomes.</w:t>
      </w:r>
    </w:p>
    <w:p w14:paraId="1EFD0BEA" w14:textId="77777777" w:rsidR="00B10720" w:rsidRPr="009436DE" w:rsidRDefault="00B10720" w:rsidP="00B10720">
      <w:pPr>
        <w:pStyle w:val="PwCNormal"/>
        <w:numPr>
          <w:ilvl w:val="0"/>
          <w:numId w:val="1"/>
        </w:numPr>
      </w:pPr>
      <w:r w:rsidRPr="009436DE">
        <w:t>The main results provide information on the current Australian population, which people are utilising welfare now and how the types and amounts of welfare payments vary across different groups of the population. They also provide information on the lifetime cost for different groups and the expected future pathways through the welfare system. This information can be examined further for groups of people defined by age, gender, current payment or a range of other characteristics.</w:t>
      </w:r>
    </w:p>
    <w:p w14:paraId="416EA8E6" w14:textId="71E5DFE0" w:rsidR="00C015A1" w:rsidRPr="009436DE" w:rsidRDefault="008F1B9B" w:rsidP="00B10720">
      <w:pPr>
        <w:pStyle w:val="PwCNormal"/>
        <w:numPr>
          <w:ilvl w:val="0"/>
          <w:numId w:val="1"/>
        </w:numPr>
      </w:pPr>
      <w:r w:rsidRPr="009436DE">
        <w:t>The model can be used at a “system level” to consider the likely future welfare utilisation of the Australian population as it grows and the demographic profile shifts over the coming years. We know that the population is expected to both grow and age; by considering which people within the population are more likely to draw on supports from the welfare system we can see how the numbers of people seeking to access different payments may vary in future.</w:t>
      </w:r>
      <w:r>
        <w:t xml:space="preserve"> </w:t>
      </w:r>
      <w:r w:rsidRPr="005E60C7">
        <w:t>The model can also be used for diving deeper into sufficiently sized groups of interest to explore their specific welfare interactions over time.</w:t>
      </w:r>
    </w:p>
    <w:p w14:paraId="70CAF646" w14:textId="5B3682EE" w:rsidR="00B10720" w:rsidRPr="0057506F" w:rsidRDefault="00B10720" w:rsidP="00B10720">
      <w:pPr>
        <w:pStyle w:val="PwCNormal"/>
        <w:numPr>
          <w:ilvl w:val="0"/>
          <w:numId w:val="0"/>
        </w:numPr>
      </w:pPr>
      <w:r w:rsidRPr="009436DE">
        <w:t xml:space="preserve">The valuation provides the ability to explore the sensitivity of the model results to changes in the model assumptions. This provides a platform through which different scenarios can be explored and their potential impact assessed over both the short and longer term. For example, the model could be used to explore the </w:t>
      </w:r>
      <w:r w:rsidRPr="009436DE">
        <w:lastRenderedPageBreak/>
        <w:t xml:space="preserve">impact of different economic scenarios, changes in payment design (payment eligibility, amounts or indexation) or changes in fertility rates or the retirement age. </w:t>
      </w:r>
    </w:p>
    <w:p w14:paraId="3556BDF6" w14:textId="77777777" w:rsidR="00B10720" w:rsidRPr="006F1918" w:rsidRDefault="00B10720" w:rsidP="00B10720">
      <w:pPr>
        <w:pStyle w:val="Heading3"/>
      </w:pPr>
      <w:bookmarkStart w:id="31" w:name="_Toc506388197"/>
      <w:r w:rsidRPr="006F1918">
        <w:t>Model limitations</w:t>
      </w:r>
      <w:bookmarkEnd w:id="31"/>
    </w:p>
    <w:p w14:paraId="4A22AC3D" w14:textId="1BEB33B2" w:rsidR="00B10720" w:rsidRDefault="00C015A1" w:rsidP="00B10720">
      <w:pPr>
        <w:pStyle w:val="PwCNormal"/>
        <w:numPr>
          <w:ilvl w:val="0"/>
          <w:numId w:val="0"/>
        </w:numPr>
      </w:pPr>
      <w:r>
        <w:t>Whil</w:t>
      </w:r>
      <w:r w:rsidR="00501D76">
        <w:t>e the m</w:t>
      </w:r>
      <w:r w:rsidR="00B10720">
        <w:t xml:space="preserve">odel </w:t>
      </w:r>
      <w:r w:rsidR="00B10720" w:rsidRPr="00D9173B">
        <w:t xml:space="preserve">captures the different risk characteristics that are important at a population </w:t>
      </w:r>
      <w:r w:rsidR="00095A1C">
        <w:t xml:space="preserve">or group </w:t>
      </w:r>
      <w:r w:rsidR="00B10720" w:rsidRPr="00D9173B">
        <w:t xml:space="preserve">level, </w:t>
      </w:r>
      <w:r w:rsidR="00095A1C">
        <w:t>it</w:t>
      </w:r>
      <w:r w:rsidR="00095A1C" w:rsidRPr="00D9173B">
        <w:t xml:space="preserve"> </w:t>
      </w:r>
      <w:r w:rsidR="00B10720" w:rsidRPr="00D9173B">
        <w:t xml:space="preserve">does not reflect all the factors that may result in different outcomes for individual people. As such </w:t>
      </w:r>
      <w:r w:rsidR="00B10720">
        <w:t xml:space="preserve">it is able to </w:t>
      </w:r>
      <w:r w:rsidR="00B10720" w:rsidRPr="00D9173B">
        <w:t xml:space="preserve">produce population and population group information rather than information for individuals. </w:t>
      </w:r>
    </w:p>
    <w:p w14:paraId="5FECF09E" w14:textId="031AC70F" w:rsidR="00095A1C" w:rsidRDefault="008F1B9B" w:rsidP="00B10720">
      <w:pPr>
        <w:pStyle w:val="PwCNormal"/>
        <w:numPr>
          <w:ilvl w:val="0"/>
          <w:numId w:val="0"/>
        </w:numPr>
      </w:pPr>
      <w:r w:rsidRPr="00A4160D">
        <w:t>There is a limitation to the accuracy of the results contained in this report because of the inherent uncertainty of any estimation of such long term costs.</w:t>
      </w:r>
    </w:p>
    <w:p w14:paraId="2F366F5C" w14:textId="77777777" w:rsidR="00B10720" w:rsidRPr="00C27B8F" w:rsidRDefault="00B10720" w:rsidP="00B10720">
      <w:pPr>
        <w:pStyle w:val="Heading3"/>
      </w:pPr>
      <w:bookmarkStart w:id="32" w:name="_Toc506388198"/>
      <w:r>
        <w:t>Reliances</w:t>
      </w:r>
      <w:bookmarkEnd w:id="32"/>
    </w:p>
    <w:p w14:paraId="565AF609" w14:textId="77777777" w:rsidR="00B10720" w:rsidRPr="00A4160D" w:rsidRDefault="00B10720" w:rsidP="00B10720">
      <w:pPr>
        <w:pStyle w:val="PwCNormal"/>
        <w:numPr>
          <w:ilvl w:val="0"/>
          <w:numId w:val="0"/>
        </w:numPr>
      </w:pPr>
      <w:r w:rsidRPr="00A4160D">
        <w:t>This report has been prepared</w:t>
      </w:r>
      <w:r>
        <w:t xml:space="preserve"> by PricewaterhouseCoopers (PwC)</w:t>
      </w:r>
      <w:r w:rsidRPr="00A4160D">
        <w:t xml:space="preserve"> at the request of the Department to document the Actuarial Valuation of Australia’s social security and income support system as at 30 June 2017. It is not intended, or necessarily suitable, for any other purpose.</w:t>
      </w:r>
    </w:p>
    <w:p w14:paraId="7A9D9A65" w14:textId="77777777" w:rsidR="00B10720" w:rsidRPr="00A4160D" w:rsidRDefault="00B10720" w:rsidP="00B10720">
      <w:pPr>
        <w:pStyle w:val="PwCNormal"/>
        <w:numPr>
          <w:ilvl w:val="0"/>
          <w:numId w:val="0"/>
        </w:numPr>
      </w:pPr>
      <w:r w:rsidRPr="00A4160D">
        <w:t xml:space="preserve">The report relies on the completeness and accuracy of information compiled and provided by the Department. We have not verified that data is accurate or complete, but we have checked it for internal consistency and for consistency with other information summaries produced by the Department. We note that the Department also does not give any warranty as to the reliability or accuracy of the data provided to PwC for the valuation. </w:t>
      </w:r>
    </w:p>
    <w:p w14:paraId="0B3920D0" w14:textId="77777777" w:rsidR="00B10720" w:rsidRPr="00A4160D" w:rsidRDefault="00B10720" w:rsidP="00B10720">
      <w:pPr>
        <w:pStyle w:val="PwCNormal"/>
        <w:numPr>
          <w:ilvl w:val="0"/>
          <w:numId w:val="1"/>
        </w:numPr>
      </w:pPr>
      <w:r w:rsidRPr="00A4160D">
        <w:t>There is a limitation to the accuracy of the results contained in this report because of the inherent uncertainty of any estimation of such long term costs. The issue of uncertainty is expanded upon in the results section of this report.</w:t>
      </w:r>
    </w:p>
    <w:p w14:paraId="29AC7274" w14:textId="77777777" w:rsidR="00B10720" w:rsidRPr="00A4160D" w:rsidRDefault="00B10720" w:rsidP="00B10720">
      <w:pPr>
        <w:pStyle w:val="PwCNormal"/>
        <w:numPr>
          <w:ilvl w:val="0"/>
          <w:numId w:val="0"/>
        </w:numPr>
      </w:pPr>
      <w:r w:rsidRPr="00A4160D">
        <w:t>We accept no liability for loss or damage howsoever arising in the use of this report by the Department for other than the purpose stated above, nor for any use of this report, without full understanding of the reliances and limitations noted above, or for errors or omissions arising from the provision of inaccurate or incomplete information to us. We accept no liability for loss or damages howsoever arising in the use of this report by third parties.</w:t>
      </w:r>
    </w:p>
    <w:p w14:paraId="3615B30A" w14:textId="77777777" w:rsidR="003E4E38" w:rsidRPr="00F57376" w:rsidRDefault="003E4E38" w:rsidP="003E4E38">
      <w:pPr>
        <w:pStyle w:val="Heading3"/>
      </w:pPr>
      <w:bookmarkStart w:id="33" w:name="_Toc506388199"/>
      <w:r w:rsidRPr="00F57376">
        <w:t>Professional standards</w:t>
      </w:r>
      <w:bookmarkEnd w:id="33"/>
    </w:p>
    <w:p w14:paraId="79825036" w14:textId="187F0B28" w:rsidR="003E4E38" w:rsidRPr="008A7C88" w:rsidRDefault="003E4E38" w:rsidP="003E4E38">
      <w:pPr>
        <w:pStyle w:val="PwCNormal"/>
        <w:numPr>
          <w:ilvl w:val="0"/>
          <w:numId w:val="1"/>
        </w:numPr>
      </w:pPr>
      <w:r w:rsidRPr="008A7C88">
        <w:t>The advice in this report is intended to satisfy the Code of Professional Conduct issued by the Actuaries Institute. No other Australian Professional Standards are relevant to this work.</w:t>
      </w:r>
    </w:p>
    <w:p w14:paraId="174C0FB2" w14:textId="6AAE2BA1" w:rsidR="003E4E38" w:rsidRPr="00F57376" w:rsidRDefault="003E4E38" w:rsidP="003E4E38">
      <w:pPr>
        <w:pStyle w:val="PwCNormal"/>
        <w:numPr>
          <w:ilvl w:val="0"/>
          <w:numId w:val="0"/>
        </w:numPr>
      </w:pPr>
      <w:r w:rsidRPr="00F57376">
        <w:t xml:space="preserve">The International Actuarial Association has published an International Standard of Actuarial Practice 2 (ISAP 2) “Financial Analysis of Social Security Programs”. </w:t>
      </w:r>
      <w:r>
        <w:t>I</w:t>
      </w:r>
      <w:r w:rsidRPr="00F57376">
        <w:t xml:space="preserve">t </w:t>
      </w:r>
      <w:r>
        <w:t xml:space="preserve">provides guidance </w:t>
      </w:r>
      <w:r w:rsidRPr="000B64F8">
        <w:t>to actuaries performing financial analyses of SSPs, or reviewing, advising on, or opining on such analyses</w:t>
      </w:r>
      <w:r>
        <w:t xml:space="preserve">. </w:t>
      </w:r>
      <w:r w:rsidRPr="00F57376">
        <w:t>It is our view that the standard is not intended to cover the type of social benefit system in Australia</w:t>
      </w:r>
      <w:r>
        <w:t xml:space="preserve"> and as </w:t>
      </w:r>
      <w:r w:rsidRPr="00F57376">
        <w:t xml:space="preserve">such, we do not consider it </w:t>
      </w:r>
      <w:r>
        <w:t xml:space="preserve">directly </w:t>
      </w:r>
      <w:r w:rsidRPr="00F57376">
        <w:t>relevant to this valuation.</w:t>
      </w:r>
      <w:r>
        <w:t xml:space="preserve"> Nonetheless we have considered the appropriate practices set out in the standard and consider that the approach adopted in this valuation aligns with the practices that are relevant to our work.</w:t>
      </w:r>
    </w:p>
    <w:p w14:paraId="57AF8A08" w14:textId="77777777" w:rsidR="00B10720" w:rsidRPr="0057506F" w:rsidRDefault="00B10720" w:rsidP="00B10720">
      <w:pPr>
        <w:pStyle w:val="PwCNormal"/>
        <w:numPr>
          <w:ilvl w:val="0"/>
          <w:numId w:val="0"/>
        </w:numPr>
      </w:pPr>
    </w:p>
    <w:p w14:paraId="044F3019" w14:textId="77777777" w:rsidR="00B10720" w:rsidRDefault="00B10720" w:rsidP="00B10720">
      <w:pPr>
        <w:pStyle w:val="PwCNormal"/>
        <w:numPr>
          <w:ilvl w:val="0"/>
          <w:numId w:val="0"/>
        </w:numPr>
      </w:pPr>
    </w:p>
    <w:p w14:paraId="5B4A5C01" w14:textId="77777777" w:rsidR="003E4E38" w:rsidRPr="0057506F" w:rsidRDefault="003E4E38" w:rsidP="00B10720">
      <w:pPr>
        <w:pStyle w:val="PwCNormal"/>
        <w:numPr>
          <w:ilvl w:val="0"/>
          <w:numId w:val="0"/>
        </w:numPr>
        <w:sectPr w:rsidR="003E4E38" w:rsidRPr="0057506F" w:rsidSect="00CC5ACB">
          <w:headerReference w:type="default" r:id="rId38"/>
          <w:pgSz w:w="11907" w:h="16840" w:code="9"/>
          <w:pgMar w:top="1588" w:right="1021" w:bottom="1418" w:left="1021" w:header="567" w:footer="567" w:gutter="0"/>
          <w:cols w:space="227"/>
          <w:docGrid w:linePitch="360"/>
        </w:sectPr>
      </w:pPr>
    </w:p>
    <w:p w14:paraId="6CF4E4BA" w14:textId="77777777" w:rsidR="00B10720" w:rsidRDefault="00B10720" w:rsidP="00B10720">
      <w:pPr>
        <w:pStyle w:val="Heading2"/>
      </w:pPr>
      <w:bookmarkStart w:id="34" w:name="_Ref498422945"/>
      <w:bookmarkStart w:id="35" w:name="_Ref498433629"/>
      <w:bookmarkStart w:id="36" w:name="_Ref498434007"/>
      <w:bookmarkStart w:id="37" w:name="_Toc506388200"/>
      <w:r>
        <w:lastRenderedPageBreak/>
        <w:t>Developments and new insights</w:t>
      </w:r>
      <w:bookmarkEnd w:id="34"/>
      <w:bookmarkEnd w:id="35"/>
      <w:bookmarkEnd w:id="36"/>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contains the key points relating to developments and new insights."/>
      </w:tblPr>
      <w:tblGrid>
        <w:gridCol w:w="10081"/>
      </w:tblGrid>
      <w:tr w:rsidR="008E1064" w:rsidRPr="008E1064" w14:paraId="5E66E28D" w14:textId="77777777" w:rsidTr="008E1064">
        <w:trPr>
          <w:trHeight w:val="170"/>
          <w:tblHeader/>
        </w:trPr>
        <w:tc>
          <w:tcPr>
            <w:tcW w:w="10081" w:type="dxa"/>
            <w:shd w:val="clear" w:color="auto" w:fill="F3ABA4" w:themeFill="accent6" w:themeFillTint="66"/>
          </w:tcPr>
          <w:p w14:paraId="64EFCBB6" w14:textId="04F38FAB" w:rsidR="008E1064" w:rsidRPr="008E1064" w:rsidRDefault="008E1064" w:rsidP="008E1064">
            <w:pPr>
              <w:pStyle w:val="PwCNormal"/>
              <w:numPr>
                <w:ilvl w:val="0"/>
                <w:numId w:val="1"/>
              </w:numPr>
              <w:spacing w:before="0" w:after="0"/>
              <w:rPr>
                <w:b/>
                <w:sz w:val="10"/>
                <w:szCs w:val="10"/>
              </w:rPr>
            </w:pPr>
          </w:p>
        </w:tc>
      </w:tr>
      <w:tr w:rsidR="00B10720" w:rsidRPr="006B0F86" w14:paraId="69448D82" w14:textId="77777777" w:rsidTr="0035517F">
        <w:trPr>
          <w:trHeight w:val="567"/>
        </w:trPr>
        <w:tc>
          <w:tcPr>
            <w:tcW w:w="10081" w:type="dxa"/>
            <w:shd w:val="clear" w:color="auto" w:fill="F3ABA4" w:themeFill="accent6" w:themeFillTint="66"/>
          </w:tcPr>
          <w:p w14:paraId="182A399D" w14:textId="77777777" w:rsidR="00790D5A" w:rsidRPr="0079243B" w:rsidRDefault="00790D5A" w:rsidP="008E1064">
            <w:pPr>
              <w:pStyle w:val="PwCNormal"/>
              <w:numPr>
                <w:ilvl w:val="0"/>
                <w:numId w:val="1"/>
              </w:numPr>
              <w:spacing w:before="0"/>
              <w:rPr>
                <w:b/>
              </w:rPr>
            </w:pPr>
            <w:r w:rsidRPr="0079243B">
              <w:rPr>
                <w:b/>
              </w:rPr>
              <w:t>Key points</w:t>
            </w:r>
          </w:p>
          <w:p w14:paraId="26F10D42" w14:textId="3276C5F5" w:rsidR="00790D5A" w:rsidRPr="000815C7" w:rsidRDefault="00790D5A" w:rsidP="00790D5A">
            <w:pPr>
              <w:pStyle w:val="PwCNormal"/>
              <w:numPr>
                <w:ilvl w:val="0"/>
                <w:numId w:val="0"/>
              </w:numPr>
            </w:pPr>
            <w:r w:rsidRPr="000815C7">
              <w:t xml:space="preserve">As part of ongoing model development, this year we have added a number of new variables which allow the model to take into account differences in trajectories for people depending on their </w:t>
            </w:r>
            <w:r w:rsidR="00187C2A">
              <w:t>parental welfare dependence</w:t>
            </w:r>
            <w:r w:rsidRPr="000815C7">
              <w:t xml:space="preserve">, the education sector </w:t>
            </w:r>
            <w:r w:rsidR="00352504">
              <w:t>students</w:t>
            </w:r>
            <w:r w:rsidRPr="000815C7">
              <w:t xml:space="preserve"> are studying in, and some of their barriers to work if they are on a </w:t>
            </w:r>
            <w:r w:rsidR="003C32DF">
              <w:t>W</w:t>
            </w:r>
            <w:r w:rsidRPr="000815C7">
              <w:t xml:space="preserve">orking </w:t>
            </w:r>
            <w:r w:rsidR="003C32DF">
              <w:t>A</w:t>
            </w:r>
            <w:r w:rsidRPr="000815C7">
              <w:t xml:space="preserve">ge payment. These variables change over time for individuals, and including them as predictive factors has flow on impacts throughout the whole model, but enables greater differentiation of lifetime trajectories and costs between groups within the population. We have also added information on the family composition of members of the model population at the </w:t>
            </w:r>
            <w:r>
              <w:t xml:space="preserve">valuation </w:t>
            </w:r>
            <w:r w:rsidRPr="000815C7">
              <w:t>date, but without projecting this forward.</w:t>
            </w:r>
          </w:p>
          <w:p w14:paraId="089672EC" w14:textId="77777777" w:rsidR="00790D5A" w:rsidRPr="000815C7" w:rsidRDefault="00790D5A" w:rsidP="00790D5A">
            <w:pPr>
              <w:pStyle w:val="PwCNormal"/>
              <w:numPr>
                <w:ilvl w:val="0"/>
                <w:numId w:val="0"/>
              </w:numPr>
            </w:pPr>
            <w:r w:rsidRPr="000815C7">
              <w:t>This extension of the model has allowed us to bring the following new insights:</w:t>
            </w:r>
          </w:p>
          <w:p w14:paraId="0EC38853" w14:textId="77777777" w:rsidR="00790D5A" w:rsidRPr="000815C7" w:rsidRDefault="00790D5A" w:rsidP="00790D5A">
            <w:pPr>
              <w:pStyle w:val="ListBullet"/>
            </w:pPr>
            <w:r w:rsidRPr="000815C7">
              <w:t xml:space="preserve">The intergenerational variable measures the proportion of an individual’s childhood (up to the age of 15) during which their parents or guardians were reliant on </w:t>
            </w:r>
            <w:r>
              <w:t xml:space="preserve">pre-retirement </w:t>
            </w:r>
            <w:r w:rsidRPr="000815C7">
              <w:t>income support payments. It shows:</w:t>
            </w:r>
          </w:p>
          <w:p w14:paraId="7E51A1A7" w14:textId="77777777" w:rsidR="00790D5A" w:rsidRPr="000815C7" w:rsidRDefault="00790D5A" w:rsidP="00790D5A">
            <w:pPr>
              <w:pStyle w:val="ListBullet2"/>
            </w:pPr>
            <w:r w:rsidRPr="000815C7">
              <w:t>People with higher parental welfare dependence tend to enter into the welfare system earlier, utilise more income support, and have a higher average lifetime cost.</w:t>
            </w:r>
          </w:p>
          <w:p w14:paraId="1CB38B24" w14:textId="77777777" w:rsidR="00790D5A" w:rsidRPr="000815C7" w:rsidRDefault="00790D5A" w:rsidP="00790D5A">
            <w:pPr>
              <w:pStyle w:val="ListBullet2"/>
            </w:pPr>
            <w:r w:rsidRPr="000815C7">
              <w:t>There are generally large differences in outcomes between those with the highest parental welfare dependence and those with none. For example:</w:t>
            </w:r>
          </w:p>
          <w:p w14:paraId="3E9AA2AB" w14:textId="052AD019" w:rsidR="00B74467" w:rsidRDefault="00B74467" w:rsidP="00B74467">
            <w:pPr>
              <w:pStyle w:val="ListBullet3"/>
            </w:pPr>
            <w:r w:rsidRPr="00B74467">
              <w:t>Younger people whose parents or guardians had a very high level of welfare dependency are 5.8 times more likely to be on income support payments today compared to those with no parental welfare dependency.</w:t>
            </w:r>
          </w:p>
          <w:p w14:paraId="2EEDA724" w14:textId="747F650C" w:rsidR="00790D5A" w:rsidRPr="000815C7" w:rsidRDefault="00790D5A" w:rsidP="00B74467">
            <w:pPr>
              <w:pStyle w:val="ListBullet3"/>
            </w:pPr>
            <w:r w:rsidRPr="000815C7">
              <w:t>Around 26% of 16</w:t>
            </w:r>
            <w:r w:rsidR="00FE30F6">
              <w:t xml:space="preserve"> to </w:t>
            </w:r>
            <w:r w:rsidRPr="000815C7">
              <w:t xml:space="preserve">20 year olds with a very high level of parental welfare dependency are currently receiving </w:t>
            </w:r>
            <w:r w:rsidR="003C32DF">
              <w:t>W</w:t>
            </w:r>
            <w:r w:rsidRPr="000815C7">
              <w:t xml:space="preserve">orking </w:t>
            </w:r>
            <w:r w:rsidR="003C32DF">
              <w:t>A</w:t>
            </w:r>
            <w:r w:rsidRPr="000815C7">
              <w:t xml:space="preserve">ge payments, compared to just 2% for those individuals with no </w:t>
            </w:r>
            <w:r>
              <w:t xml:space="preserve">such </w:t>
            </w:r>
            <w:r w:rsidRPr="000815C7">
              <w:t>dependency.</w:t>
            </w:r>
          </w:p>
          <w:p w14:paraId="6E31D95B" w14:textId="77777777" w:rsidR="00790D5A" w:rsidRPr="000815C7" w:rsidRDefault="00790D5A" w:rsidP="00790D5A">
            <w:pPr>
              <w:pStyle w:val="ListBullet3"/>
            </w:pPr>
            <w:r w:rsidRPr="000815C7">
              <w:t>By the age of 25, around 90% of children with very high parental welfare dependence will have interacted with the welfare system, compared to around 45% for those with no such dependence.</w:t>
            </w:r>
          </w:p>
          <w:p w14:paraId="096C6AA1" w14:textId="77777777" w:rsidR="00790D5A" w:rsidRPr="000815C7" w:rsidRDefault="00790D5A" w:rsidP="00790D5A">
            <w:pPr>
              <w:pStyle w:val="ListBullet"/>
            </w:pPr>
            <w:r w:rsidRPr="000815C7">
              <w:t xml:space="preserve">The new education sector variable captures a person’s current level of study: secondary school, higher education or VET. It is strongly related to a person’s age and past educational achievements. </w:t>
            </w:r>
            <w:r>
              <w:t>It shows:</w:t>
            </w:r>
          </w:p>
          <w:p w14:paraId="1F434BA0" w14:textId="56547611" w:rsidR="00790D5A" w:rsidRPr="000815C7" w:rsidRDefault="003229A7" w:rsidP="003229A7">
            <w:pPr>
              <w:pStyle w:val="ListBullet2"/>
            </w:pPr>
            <w:r w:rsidRPr="003229A7">
              <w:t xml:space="preserve">Due to eligibility criteria, young studying recipients (under age 18) are mostly either </w:t>
            </w:r>
            <w:r w:rsidR="00D10802">
              <w:t>I</w:t>
            </w:r>
            <w:r w:rsidRPr="003229A7">
              <w:t xml:space="preserve">ndigenous, independent or needing to live away from home. </w:t>
            </w:r>
            <w:r w:rsidR="008714CC">
              <w:t>In this age range</w:t>
            </w:r>
            <w:r w:rsidRPr="003229A7">
              <w:t xml:space="preserve">, VET students are projected to have </w:t>
            </w:r>
            <w:r>
              <w:t>lower</w:t>
            </w:r>
            <w:r w:rsidRPr="003229A7">
              <w:t xml:space="preserve"> future </w:t>
            </w:r>
            <w:r>
              <w:t xml:space="preserve">welfare dependency </w:t>
            </w:r>
            <w:r w:rsidRPr="003229A7">
              <w:t xml:space="preserve">than secondary school students and are expected to spend two and a half years less on income support payments. </w:t>
            </w:r>
          </w:p>
          <w:p w14:paraId="73B9083F" w14:textId="61F64C28" w:rsidR="00790D5A" w:rsidRPr="000815C7" w:rsidRDefault="00790D5A" w:rsidP="002B231E">
            <w:pPr>
              <w:pStyle w:val="ListBullet2"/>
            </w:pPr>
            <w:r w:rsidRPr="000815C7">
              <w:t xml:space="preserve">For older students (age 18 and above) on student payments, </w:t>
            </w:r>
            <w:r w:rsidR="00AA596F" w:rsidRPr="00AA596F">
              <w:t>Higher education students are expected to stay longer in the studying class than VET students</w:t>
            </w:r>
            <w:r w:rsidR="00AA596F">
              <w:t>. H</w:t>
            </w:r>
            <w:r w:rsidR="00AA596F" w:rsidRPr="00AA596F">
              <w:t>owever the impact of this on future welfare dependency is more than offset by them having a higher probability of exiting the system after finishing study when compared to VET students.</w:t>
            </w:r>
          </w:p>
          <w:p w14:paraId="1C7E51E6" w14:textId="77777777" w:rsidR="00790D5A" w:rsidRPr="000815C7" w:rsidRDefault="00790D5A" w:rsidP="00790D5A">
            <w:pPr>
              <w:pStyle w:val="ListBullet"/>
            </w:pPr>
            <w:r w:rsidRPr="000815C7">
              <w:t>The barriers to work variable provides information about an individual’s ability to work based upon the status of their exemption from mutual obligation requirements, reported psychological/psychiatric condition, and assessed work capacity. It shows:</w:t>
            </w:r>
          </w:p>
          <w:p w14:paraId="3518A585" w14:textId="34C88C6C" w:rsidR="00790D5A" w:rsidRPr="000815C7" w:rsidRDefault="00790D5A" w:rsidP="00790D5A">
            <w:pPr>
              <w:pStyle w:val="ListBullet2"/>
            </w:pPr>
            <w:r w:rsidRPr="000815C7">
              <w:t xml:space="preserve">People with an active exemption over the past year, a reported psychological/psychiatric condition, or reduced capacity to work have greater future dependence on welfare. They are less likely to leave the Working Age class, and when they do they are much more likely to transition to another form of income support (in particular the Disability Support Pension). As a result, we expect they will spend around </w:t>
            </w:r>
            <w:r w:rsidR="00722399">
              <w:t>four</w:t>
            </w:r>
            <w:r w:rsidRPr="000815C7">
              <w:t xml:space="preserve"> to </w:t>
            </w:r>
            <w:r w:rsidR="00722399">
              <w:t>six</w:t>
            </w:r>
            <w:r w:rsidRPr="000815C7">
              <w:t xml:space="preserve"> years longer on pre-retirement income support than other people in the Working Age class.</w:t>
            </w:r>
          </w:p>
          <w:p w14:paraId="0D92A54E" w14:textId="77777777" w:rsidR="00790D5A" w:rsidRPr="000815C7" w:rsidRDefault="00790D5A" w:rsidP="00790D5A">
            <w:pPr>
              <w:pStyle w:val="ListBullet2"/>
            </w:pPr>
            <w:r w:rsidRPr="000815C7">
              <w:t>Whether or not a Working Age recipient has had a work capacity assessment is more indicative of higher future lifetime cost than the level of assessment.</w:t>
            </w:r>
          </w:p>
          <w:p w14:paraId="4DDC4779" w14:textId="2BF7F406" w:rsidR="00790D5A" w:rsidRDefault="00790D5A" w:rsidP="00AA596F">
            <w:pPr>
              <w:pStyle w:val="ListBullet2"/>
            </w:pPr>
            <w:r w:rsidRPr="000815C7">
              <w:t xml:space="preserve">People who recently (in the past year) had an active exemption </w:t>
            </w:r>
            <w:r w:rsidR="000301FE">
              <w:t xml:space="preserve">but do not have a current active exemption, </w:t>
            </w:r>
            <w:r w:rsidRPr="000815C7">
              <w:t>are expected to spend a similar amount of future years in the Working Age class to those with a current active exemption.</w:t>
            </w:r>
            <w:r w:rsidR="00AA596F">
              <w:t xml:space="preserve"> </w:t>
            </w:r>
            <w:r w:rsidR="00AA596F" w:rsidRPr="00AA596F">
              <w:t>This suggests that while these people no longer qualify for an exemption, the circumstances of their exemption have longer lasting effects which increase the difficulty of them finding employment.</w:t>
            </w:r>
            <w:r w:rsidR="0035517F">
              <w:br/>
            </w:r>
          </w:p>
          <w:p w14:paraId="31F042EF" w14:textId="01425BFF" w:rsidR="00FC6359" w:rsidRPr="00247079" w:rsidRDefault="00790D5A" w:rsidP="00AC3251">
            <w:pPr>
              <w:pStyle w:val="ListBullet"/>
            </w:pPr>
            <w:r w:rsidRPr="00B5010E">
              <w:t xml:space="preserve">There has been a reduction in the average capacity to work and an increase in the number of exemptions and reported psychological or psychiatric conditions for people in the </w:t>
            </w:r>
            <w:r w:rsidR="003C32DF">
              <w:t>W</w:t>
            </w:r>
            <w:r w:rsidRPr="00B5010E">
              <w:t xml:space="preserve">orking </w:t>
            </w:r>
            <w:r w:rsidR="003C32DF">
              <w:t>A</w:t>
            </w:r>
            <w:r w:rsidRPr="00B5010E">
              <w:t xml:space="preserve">ge class over the last </w:t>
            </w:r>
            <w:r w:rsidR="00AC3251">
              <w:t>five</w:t>
            </w:r>
            <w:r w:rsidRPr="00B5010E">
              <w:t xml:space="preserve"> years. This has occurred over the same period as the tightening of DSP eligibility and introduction of DSP medical reviews</w:t>
            </w:r>
            <w:r>
              <w:t>.</w:t>
            </w:r>
          </w:p>
        </w:tc>
      </w:tr>
    </w:tbl>
    <w:p w14:paraId="05F5A765" w14:textId="77777777" w:rsidR="00B10720" w:rsidRPr="00C61C8F" w:rsidRDefault="00B10720" w:rsidP="00B10720">
      <w:pPr>
        <w:pStyle w:val="Heading3"/>
      </w:pPr>
      <w:bookmarkStart w:id="38" w:name="_Toc506388201"/>
      <w:r w:rsidRPr="00C61C8F">
        <w:lastRenderedPageBreak/>
        <w:t xml:space="preserve">Overview of model developments for </w:t>
      </w:r>
      <w:r>
        <w:t xml:space="preserve">the </w:t>
      </w:r>
      <w:r w:rsidRPr="00C61C8F">
        <w:t>2017 valuation</w:t>
      </w:r>
      <w:bookmarkEnd w:id="38"/>
    </w:p>
    <w:p w14:paraId="3C238823" w14:textId="77777777" w:rsidR="00B10720" w:rsidRDefault="00B10720" w:rsidP="00B10720">
      <w:pPr>
        <w:pStyle w:val="Heading4"/>
      </w:pPr>
      <w:r>
        <w:t>Major developments</w:t>
      </w:r>
    </w:p>
    <w:p w14:paraId="3A2A7444" w14:textId="6F2E5386" w:rsidR="00B10720" w:rsidRDefault="00B10720" w:rsidP="00B10720">
      <w:pPr>
        <w:pStyle w:val="PwCNormal-keepwithnext"/>
        <w:numPr>
          <w:ilvl w:val="0"/>
          <w:numId w:val="1"/>
        </w:numPr>
      </w:pPr>
      <w:r>
        <w:t>The model used in this work projects individuals</w:t>
      </w:r>
      <w:r w:rsidR="00352504">
        <w:t>’</w:t>
      </w:r>
      <w:r>
        <w:t xml:space="preserve"> trajectories through life and their interactions with the welfare system. As part of ongoing model development we have made a number of extensions and developments to the model for the June 2017 valuation. </w:t>
      </w:r>
      <w:r w:rsidRPr="00EF1AB9">
        <w:t>The most significant of these developments are</w:t>
      </w:r>
      <w:r>
        <w:t>:</w:t>
      </w:r>
    </w:p>
    <w:p w14:paraId="09BB2E79" w14:textId="57F0107D" w:rsidR="00B10720" w:rsidRDefault="00B10720" w:rsidP="00B10720">
      <w:pPr>
        <w:pStyle w:val="ListBullet"/>
      </w:pPr>
      <w:r w:rsidRPr="00EF1AB9">
        <w:t>model refinements to allow for changes in policy settings</w:t>
      </w:r>
      <w:r>
        <w:t xml:space="preserve"> (discussed in</w:t>
      </w:r>
      <w:r w:rsidR="00491DA0">
        <w:t xml:space="preserve"> s</w:t>
      </w:r>
      <w:r w:rsidR="009C0EBA">
        <w:t>ection</w:t>
      </w:r>
      <w:r>
        <w:t xml:space="preserve"> </w:t>
      </w:r>
      <w:r w:rsidR="009C0EBA">
        <w:fldChar w:fldCharType="begin"/>
      </w:r>
      <w:r w:rsidR="009C0EBA">
        <w:instrText xml:space="preserve"> REF _Ref465266660 \r \h </w:instrText>
      </w:r>
      <w:r w:rsidR="009C0EBA">
        <w:fldChar w:fldCharType="separate"/>
      </w:r>
      <w:r w:rsidR="00C93C1A">
        <w:t>3</w:t>
      </w:r>
      <w:r w:rsidR="009C0EBA">
        <w:fldChar w:fldCharType="end"/>
      </w:r>
      <w:r>
        <w:t>),</w:t>
      </w:r>
      <w:r w:rsidRPr="00EF1AB9">
        <w:t xml:space="preserve"> and </w:t>
      </w:r>
    </w:p>
    <w:p w14:paraId="6CF27C4B" w14:textId="553D97B7" w:rsidR="00B10720" w:rsidRDefault="00B10720" w:rsidP="00B10720">
      <w:pPr>
        <w:pStyle w:val="ListBullet"/>
      </w:pPr>
      <w:r>
        <w:t xml:space="preserve">the addition of </w:t>
      </w:r>
      <w:r w:rsidR="00352504">
        <w:t>four new variables into the model:</w:t>
      </w:r>
    </w:p>
    <w:p w14:paraId="2D974D1F" w14:textId="69CFF5BD" w:rsidR="00B10720" w:rsidRDefault="00B10720" w:rsidP="00B10720">
      <w:pPr>
        <w:pStyle w:val="ListBullet2"/>
      </w:pPr>
      <w:r>
        <w:t xml:space="preserve">an intergenerational variable to capture information on </w:t>
      </w:r>
      <w:r w:rsidR="00352504">
        <w:t>parental welfare dependency</w:t>
      </w:r>
      <w:r w:rsidR="001B27DC">
        <w:t>;</w:t>
      </w:r>
    </w:p>
    <w:p w14:paraId="20766C1D" w14:textId="6A134507" w:rsidR="00B10720" w:rsidRDefault="00B10720" w:rsidP="00B10720">
      <w:pPr>
        <w:pStyle w:val="ListBullet2"/>
      </w:pPr>
      <w:r>
        <w:t>education sector</w:t>
      </w:r>
      <w:r w:rsidR="001B27DC">
        <w:t>;</w:t>
      </w:r>
    </w:p>
    <w:p w14:paraId="7A1E63CE" w14:textId="004BFC08" w:rsidR="00B10720" w:rsidRDefault="00E41ED3" w:rsidP="00B10720">
      <w:pPr>
        <w:pStyle w:val="ListBullet2"/>
      </w:pPr>
      <w:r>
        <w:t>a variable to capture reported barriers to work</w:t>
      </w:r>
      <w:r w:rsidR="001B27DC">
        <w:t>;</w:t>
      </w:r>
      <w:r w:rsidR="00B10720">
        <w:t xml:space="preserve"> and</w:t>
      </w:r>
    </w:p>
    <w:p w14:paraId="7AE7DCC7" w14:textId="477924B4" w:rsidR="00B10720" w:rsidRDefault="00B10720" w:rsidP="00B10720">
      <w:pPr>
        <w:pStyle w:val="ListBullet2"/>
      </w:pPr>
      <w:r>
        <w:t>family composition (included in the model population but not the forward simulation</w:t>
      </w:r>
      <w:r w:rsidR="00E41ED3">
        <w:t>)</w:t>
      </w:r>
      <w:r>
        <w:t>.</w:t>
      </w:r>
    </w:p>
    <w:p w14:paraId="27244BFF" w14:textId="5636B898" w:rsidR="00247079" w:rsidRDefault="00247079" w:rsidP="00247079">
      <w:pPr>
        <w:pStyle w:val="PwCNormal"/>
      </w:pPr>
      <w:r>
        <w:t>The</w:t>
      </w:r>
      <w:r w:rsidR="00C90994">
        <w:t>se</w:t>
      </w:r>
      <w:r>
        <w:t xml:space="preserve"> variables added have helped to improve the model’s ability to differentiate between groups of people as well as facilitating further analysis which have provided helpful information and insights. The new variables and related insights are discussed </w:t>
      </w:r>
      <w:r w:rsidR="009C0EBA">
        <w:t>below</w:t>
      </w:r>
      <w:r>
        <w:t>.</w:t>
      </w:r>
    </w:p>
    <w:p w14:paraId="271B16D5" w14:textId="77777777" w:rsidR="00B10720" w:rsidRDefault="00B10720" w:rsidP="00B10720">
      <w:pPr>
        <w:pStyle w:val="Heading4"/>
      </w:pPr>
      <w:r>
        <w:t>Updates and refinements</w:t>
      </w:r>
    </w:p>
    <w:p w14:paraId="3B16842A" w14:textId="3C263AE3" w:rsidR="00B10720" w:rsidRPr="00C61C8F" w:rsidRDefault="00B10720" w:rsidP="00352504">
      <w:pPr>
        <w:pStyle w:val="PwCNormal-keepwithnext"/>
        <w:numPr>
          <w:ilvl w:val="0"/>
          <w:numId w:val="1"/>
        </w:numPr>
      </w:pPr>
      <w:r>
        <w:t xml:space="preserve">There have also been a number of </w:t>
      </w:r>
      <w:r w:rsidR="00247079">
        <w:t xml:space="preserve">other </w:t>
      </w:r>
      <w:r>
        <w:t xml:space="preserve">developments to the model and supporting assumptions to take account of updated information about the welfare system and model population. </w:t>
      </w:r>
      <w:r w:rsidRPr="00C61C8F">
        <w:t>The table below provides</w:t>
      </w:r>
      <w:r>
        <w:t xml:space="preserve"> a</w:t>
      </w:r>
      <w:r w:rsidRPr="00C61C8F">
        <w:t xml:space="preserve"> summary of these developments</w:t>
      </w:r>
      <w:r>
        <w:t>, together with the component of the modelling work which they relate to</w:t>
      </w:r>
      <w:r w:rsidRPr="00C61C8F">
        <w:t>.</w:t>
      </w:r>
    </w:p>
    <w:p w14:paraId="69D92169" w14:textId="77777777" w:rsidR="00B10720" w:rsidRPr="00EF1AB9" w:rsidRDefault="00B10720" w:rsidP="00B10720">
      <w:pPr>
        <w:pStyle w:val="Caption"/>
      </w:pPr>
      <w:r w:rsidRPr="00EF1AB9">
        <w:t xml:space="preserve">Table </w:t>
      </w:r>
      <w:fldSimple w:instr=" SEQ Table \* ARABIC ">
        <w:r w:rsidR="00C93C1A">
          <w:rPr>
            <w:noProof/>
          </w:rPr>
          <w:t>5</w:t>
        </w:r>
      </w:fldSimple>
      <w:r w:rsidRPr="00EF1AB9">
        <w:t xml:space="preserve">: Summary of </w:t>
      </w:r>
      <w:r>
        <w:t xml:space="preserve">other </w:t>
      </w:r>
      <w:r w:rsidRPr="00EF1AB9">
        <w:t>model developments for 2017 valuation</w:t>
      </w:r>
    </w:p>
    <w:tbl>
      <w:tblPr>
        <w:tblStyle w:val="LightList-Accent6"/>
        <w:tblW w:w="9498" w:type="dxa"/>
        <w:tblInd w:w="108" w:type="dxa"/>
        <w:tblLayout w:type="fixed"/>
        <w:tblLook w:val="04A0" w:firstRow="1" w:lastRow="0" w:firstColumn="1" w:lastColumn="0" w:noHBand="0" w:noVBand="1"/>
        <w:tblCaption w:val=" Summary of model developments for 2016 valuation"/>
        <w:tblDescription w:val="This table displays eight major model developments for the 2017 valuation. Each row shows a different model development, with the columns showing a summary of these developments, together with the component of the modelling work which they relate to.&#10;Further details can be found in the accompanying text within the report.&#10;"/>
      </w:tblPr>
      <w:tblGrid>
        <w:gridCol w:w="1701"/>
        <w:gridCol w:w="7797"/>
      </w:tblGrid>
      <w:tr w:rsidR="00B10720" w:rsidRPr="009210D0" w14:paraId="4CB80798" w14:textId="77777777" w:rsidTr="00816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1" w:type="dxa"/>
          </w:tcPr>
          <w:p w14:paraId="49E3B766" w14:textId="77777777" w:rsidR="00B10720" w:rsidRPr="00C61C8F" w:rsidRDefault="00B10720" w:rsidP="00816D81">
            <w:pPr>
              <w:pStyle w:val="TableColumnHeadingSmall"/>
            </w:pPr>
            <w:r w:rsidRPr="00C61C8F">
              <w:t xml:space="preserve">Item </w:t>
            </w:r>
          </w:p>
        </w:tc>
        <w:tc>
          <w:tcPr>
            <w:tcW w:w="7797" w:type="dxa"/>
          </w:tcPr>
          <w:p w14:paraId="3FFFA05E" w14:textId="77777777" w:rsidR="00B10720" w:rsidRPr="00C61C8F" w:rsidRDefault="00B10720" w:rsidP="00816D81">
            <w:pPr>
              <w:pStyle w:val="TableColumnHeadingSmall"/>
              <w:cnfStyle w:val="100000000000" w:firstRow="1" w:lastRow="0" w:firstColumn="0" w:lastColumn="0" w:oddVBand="0" w:evenVBand="0" w:oddHBand="0" w:evenHBand="0" w:firstRowFirstColumn="0" w:firstRowLastColumn="0" w:lastRowFirstColumn="0" w:lastRowLastColumn="0"/>
            </w:pPr>
            <w:r w:rsidRPr="00C61C8F">
              <w:t>Details</w:t>
            </w:r>
          </w:p>
        </w:tc>
      </w:tr>
      <w:tr w:rsidR="00B10720" w:rsidRPr="009210D0" w14:paraId="20C9EDEC" w14:textId="77777777" w:rsidTr="00816D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Pr>
          <w:p w14:paraId="4B083D11" w14:textId="77777777" w:rsidR="00B10720" w:rsidRPr="00C61C8F" w:rsidRDefault="00B10720" w:rsidP="00816D81">
            <w:pPr>
              <w:pStyle w:val="TableTextSmall"/>
            </w:pPr>
            <w:r w:rsidRPr="00C61C8F">
              <w:t>Policy settings</w:t>
            </w:r>
          </w:p>
        </w:tc>
        <w:tc>
          <w:tcPr>
            <w:tcW w:w="7797" w:type="dxa"/>
          </w:tcPr>
          <w:p w14:paraId="161B8FC4" w14:textId="77777777" w:rsidR="00B10720" w:rsidRDefault="00B10720" w:rsidP="00816D81">
            <w:pPr>
              <w:pStyle w:val="TableTextSmall"/>
              <w:cnfStyle w:val="000000100000" w:firstRow="0" w:lastRow="0" w:firstColumn="0" w:lastColumn="0" w:oddVBand="0" w:evenVBand="0" w:oddHBand="1" w:evenHBand="0" w:firstRowFirstColumn="0" w:firstRowLastColumn="0" w:lastRowFirstColumn="0" w:lastRowLastColumn="0"/>
            </w:pPr>
            <w:r>
              <w:t>The projected trajectories and payments in the model will vary if policy changes are made. A given set of policy settings must therefore be assumed in the model and adjustments made to reflect this.</w:t>
            </w:r>
          </w:p>
          <w:p w14:paraId="3A671CD5" w14:textId="3CF553E5" w:rsidR="00B10720" w:rsidRPr="00C61C8F" w:rsidRDefault="00B10720" w:rsidP="00816D81">
            <w:pPr>
              <w:pStyle w:val="TableTextSmall"/>
              <w:cnfStyle w:val="000000100000" w:firstRow="0" w:lastRow="0" w:firstColumn="0" w:lastColumn="0" w:oddVBand="0" w:evenVBand="0" w:oddHBand="1" w:evenHBand="0" w:firstRowFirstColumn="0" w:firstRowLastColumn="0" w:lastRowFirstColumn="0" w:lastRowLastColumn="0"/>
            </w:pPr>
            <w:r>
              <w:t xml:space="preserve">Whilst the adjustments for new policy changes (those occurring </w:t>
            </w:r>
            <w:r w:rsidRPr="00C61C8F">
              <w:t xml:space="preserve">between </w:t>
            </w:r>
            <w:r>
              <w:t>1</w:t>
            </w:r>
            <w:r w:rsidRPr="00C61C8F">
              <w:t> Ju</w:t>
            </w:r>
            <w:r>
              <w:t>ly</w:t>
            </w:r>
            <w:r w:rsidRPr="00C61C8F">
              <w:t> 2016 and 30 June 2017</w:t>
            </w:r>
            <w:r>
              <w:t>) are a major development to the model</w:t>
            </w:r>
            <w:r w:rsidR="005B2DBF">
              <w:t>,</w:t>
            </w:r>
            <w:r>
              <w:t xml:space="preserve"> the adjustments made for policy changes occurring up to 30 June 2016 have also been reviewed and updated.</w:t>
            </w:r>
          </w:p>
        </w:tc>
      </w:tr>
      <w:tr w:rsidR="00B10720" w:rsidRPr="009210D0" w14:paraId="1E9CE8D9" w14:textId="77777777" w:rsidTr="00816D81">
        <w:trPr>
          <w:cantSplit/>
        </w:trPr>
        <w:tc>
          <w:tcPr>
            <w:cnfStyle w:val="001000000000" w:firstRow="0" w:lastRow="0" w:firstColumn="1" w:lastColumn="0" w:oddVBand="0" w:evenVBand="0" w:oddHBand="0" w:evenHBand="0" w:firstRowFirstColumn="0" w:firstRowLastColumn="0" w:lastRowFirstColumn="0" w:lastRowLastColumn="0"/>
            <w:tcW w:w="1701" w:type="dxa"/>
          </w:tcPr>
          <w:p w14:paraId="7DB948B4" w14:textId="77777777" w:rsidR="00B10720" w:rsidRPr="00700A78" w:rsidRDefault="00B10720" w:rsidP="00816D81">
            <w:pPr>
              <w:pStyle w:val="TableTextSmall"/>
            </w:pPr>
            <w:r w:rsidRPr="00700A78">
              <w:t xml:space="preserve">Data </w:t>
            </w:r>
          </w:p>
        </w:tc>
        <w:tc>
          <w:tcPr>
            <w:tcW w:w="7797" w:type="dxa"/>
          </w:tcPr>
          <w:p w14:paraId="482716A7" w14:textId="77777777" w:rsidR="00B10720" w:rsidRPr="00700A78" w:rsidRDefault="00B10720" w:rsidP="00816D81">
            <w:pPr>
              <w:pStyle w:val="TableTextSmall"/>
              <w:cnfStyle w:val="000000000000" w:firstRow="0" w:lastRow="0" w:firstColumn="0" w:lastColumn="0" w:oddVBand="0" w:evenVBand="0" w:oddHBand="0" w:evenHBand="0" w:firstRowFirstColumn="0" w:firstRowLastColumn="0" w:lastRowFirstColumn="0" w:lastRowLastColumn="0"/>
            </w:pPr>
            <w:r>
              <w:t xml:space="preserve">The model is supported by a longitudinal dataset covering welfare use in Australia, as well as the census and other supplementary population level data. This dataset </w:t>
            </w:r>
            <w:r w:rsidRPr="00700A78">
              <w:t xml:space="preserve">has been extended to include a number of additional data variables </w:t>
            </w:r>
            <w:r>
              <w:t>to facilitate extensions to the model.</w:t>
            </w:r>
          </w:p>
        </w:tc>
      </w:tr>
      <w:tr w:rsidR="00B10720" w:rsidRPr="009210D0" w14:paraId="415C601F" w14:textId="77777777" w:rsidTr="00816D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Pr>
          <w:p w14:paraId="049DA10E" w14:textId="77777777" w:rsidR="00B10720" w:rsidRPr="00700A78" w:rsidRDefault="00B10720" w:rsidP="00816D81">
            <w:pPr>
              <w:pStyle w:val="TableTextSmall"/>
            </w:pPr>
            <w:r w:rsidRPr="00700A78">
              <w:t>Population module</w:t>
            </w:r>
          </w:p>
        </w:tc>
        <w:tc>
          <w:tcPr>
            <w:tcW w:w="7797" w:type="dxa"/>
          </w:tcPr>
          <w:p w14:paraId="2E384FDB" w14:textId="0E690A90" w:rsidR="00B10720" w:rsidRPr="00700A78" w:rsidRDefault="00B10720" w:rsidP="00352504">
            <w:pPr>
              <w:pStyle w:val="TableTextSmall"/>
              <w:cnfStyle w:val="000000100000" w:firstRow="0" w:lastRow="0" w:firstColumn="0" w:lastColumn="0" w:oddVBand="0" w:evenVBand="0" w:oddHBand="1" w:evenHBand="0" w:firstRowFirstColumn="0" w:firstRowLastColumn="0" w:lastRowFirstColumn="0" w:lastRowLastColumn="0"/>
            </w:pPr>
            <w:r>
              <w:t xml:space="preserve">The </w:t>
            </w:r>
            <w:r w:rsidRPr="00700A78">
              <w:t xml:space="preserve">2017 population module has been calibrated based on new information </w:t>
            </w:r>
            <w:r>
              <w:t xml:space="preserve">on the Australian resident population </w:t>
            </w:r>
            <w:r w:rsidRPr="00700A78">
              <w:t>available from the 2016 census</w:t>
            </w:r>
            <w:r>
              <w:t xml:space="preserve">. It has also been </w:t>
            </w:r>
            <w:r w:rsidRPr="00700A78">
              <w:t xml:space="preserve">extended to include information on </w:t>
            </w:r>
            <w:r w:rsidR="00352504">
              <w:t>parental welfare dependence</w:t>
            </w:r>
            <w:r w:rsidRPr="00700A78">
              <w:t xml:space="preserve"> </w:t>
            </w:r>
            <w:r>
              <w:t xml:space="preserve">and </w:t>
            </w:r>
            <w:r w:rsidRPr="00700A78">
              <w:t>people</w:t>
            </w:r>
            <w:r>
              <w:t>’</w:t>
            </w:r>
            <w:r w:rsidRPr="00700A78">
              <w:t>s family composition</w:t>
            </w:r>
            <w:r>
              <w:t>.</w:t>
            </w:r>
          </w:p>
        </w:tc>
      </w:tr>
      <w:tr w:rsidR="00B10720" w:rsidRPr="009210D0" w14:paraId="28A7F842" w14:textId="77777777" w:rsidTr="00816D81">
        <w:trPr>
          <w:cantSplit/>
        </w:trPr>
        <w:tc>
          <w:tcPr>
            <w:cnfStyle w:val="001000000000" w:firstRow="0" w:lastRow="0" w:firstColumn="1" w:lastColumn="0" w:oddVBand="0" w:evenVBand="0" w:oddHBand="0" w:evenHBand="0" w:firstRowFirstColumn="0" w:firstRowLastColumn="0" w:lastRowFirstColumn="0" w:lastRowLastColumn="0"/>
            <w:tcW w:w="1701" w:type="dxa"/>
          </w:tcPr>
          <w:p w14:paraId="0FE05DC1" w14:textId="77777777" w:rsidR="00B10720" w:rsidRPr="00700A78" w:rsidRDefault="00B10720" w:rsidP="00816D81">
            <w:pPr>
              <w:pStyle w:val="TableTextSmall"/>
            </w:pPr>
            <w:r w:rsidRPr="00700A78">
              <w:t>Demographic (flow) assumptions</w:t>
            </w:r>
          </w:p>
        </w:tc>
        <w:tc>
          <w:tcPr>
            <w:tcW w:w="7797" w:type="dxa"/>
          </w:tcPr>
          <w:p w14:paraId="2D797C72" w14:textId="77777777" w:rsidR="00B10720" w:rsidRPr="00700A78" w:rsidRDefault="00B10720" w:rsidP="00816D81">
            <w:pPr>
              <w:pStyle w:val="TableTextSmall"/>
              <w:cnfStyle w:val="000000000000" w:firstRow="0" w:lastRow="0" w:firstColumn="0" w:lastColumn="0" w:oddVBand="0" w:evenVBand="0" w:oddHBand="0" w:evenHBand="0" w:firstRowFirstColumn="0" w:firstRowLastColumn="0" w:lastRowFirstColumn="0" w:lastRowLastColumn="0"/>
            </w:pPr>
            <w:r w:rsidRPr="00700A78">
              <w:t>Further work has been undertaken to refine the assumptions for educational attainment and consider the interactions with the new education sector variable</w:t>
            </w:r>
            <w:r>
              <w:t xml:space="preserve"> (see below)</w:t>
            </w:r>
            <w:r w:rsidRPr="00700A78">
              <w:t>.</w:t>
            </w:r>
          </w:p>
        </w:tc>
      </w:tr>
      <w:tr w:rsidR="00B10720" w:rsidRPr="009210D0" w14:paraId="5496D7FF" w14:textId="77777777" w:rsidTr="00816D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Pr>
          <w:p w14:paraId="4EEBC375" w14:textId="77777777" w:rsidR="00B10720" w:rsidRPr="002F121C" w:rsidDel="00D424FB" w:rsidRDefault="00B10720" w:rsidP="00816D81">
            <w:pPr>
              <w:pStyle w:val="TableTextSmall"/>
            </w:pPr>
            <w:r w:rsidRPr="002F121C">
              <w:t>Assumptions for class characteristic data variables</w:t>
            </w:r>
          </w:p>
        </w:tc>
        <w:tc>
          <w:tcPr>
            <w:tcW w:w="7797" w:type="dxa"/>
          </w:tcPr>
          <w:p w14:paraId="45B64448" w14:textId="77777777" w:rsidR="00B10720" w:rsidRPr="00B03AB4" w:rsidRDefault="00B10720" w:rsidP="00816D81">
            <w:pPr>
              <w:pStyle w:val="TableTextSmall"/>
              <w:cnfStyle w:val="000000100000" w:firstRow="0" w:lastRow="0" w:firstColumn="0" w:lastColumn="0" w:oddVBand="0" w:evenVBand="0" w:oddHBand="1" w:evenHBand="0" w:firstRowFirstColumn="0" w:firstRowLastColumn="0" w:lastRowFirstColumn="0" w:lastRowLastColumn="0"/>
              <w:rPr>
                <w:b/>
              </w:rPr>
            </w:pPr>
            <w:r>
              <w:t>T</w:t>
            </w:r>
            <w:r w:rsidRPr="00B03AB4">
              <w:t xml:space="preserve">he assumptions </w:t>
            </w:r>
            <w:r>
              <w:t>have all been</w:t>
            </w:r>
            <w:r w:rsidRPr="00B03AB4">
              <w:t xml:space="preserve"> updated to reflect recent experience and current policy settings</w:t>
            </w:r>
            <w:r>
              <w:t>.</w:t>
            </w:r>
          </w:p>
          <w:p w14:paraId="7C6663C1" w14:textId="77777777" w:rsidR="00B10720" w:rsidRPr="002F121C" w:rsidRDefault="00B10720" w:rsidP="00816D81">
            <w:pPr>
              <w:pStyle w:val="TableTextSmall"/>
              <w:cnfStyle w:val="000000100000" w:firstRow="0" w:lastRow="0" w:firstColumn="0" w:lastColumn="0" w:oddVBand="0" w:evenVBand="0" w:oddHBand="1" w:evenHBand="0" w:firstRowFirstColumn="0" w:firstRowLastColumn="0" w:lastRowFirstColumn="0" w:lastRowLastColumn="0"/>
            </w:pPr>
            <w:r w:rsidRPr="002F121C">
              <w:t>Further work has been undertaken for class 1 to refine the class characteristic assumption models to allow for the interaction of the new education sector variable with the existing suite of modelling variables</w:t>
            </w:r>
          </w:p>
          <w:p w14:paraId="7F0DEF00" w14:textId="46A52DFB" w:rsidR="00B10720" w:rsidRPr="002F121C" w:rsidRDefault="00B10720" w:rsidP="00352504">
            <w:pPr>
              <w:pStyle w:val="TableTextSmall"/>
              <w:cnfStyle w:val="000000100000" w:firstRow="0" w:lastRow="0" w:firstColumn="0" w:lastColumn="0" w:oddVBand="0" w:evenVBand="0" w:oddHBand="1" w:evenHBand="0" w:firstRowFirstColumn="0" w:firstRowLastColumn="0" w:lastRowFirstColumn="0" w:lastRowLastColumn="0"/>
            </w:pPr>
            <w:r w:rsidRPr="002F121C">
              <w:t xml:space="preserve">Further work has been undertaken for class 2 to refine the class characteristic assumption models to allow for the interaction of the new </w:t>
            </w:r>
            <w:r w:rsidR="00352504">
              <w:t>barriers to work</w:t>
            </w:r>
            <w:r w:rsidRPr="002F121C">
              <w:t xml:space="preserve"> variable with the existing suite of modelling variables</w:t>
            </w:r>
          </w:p>
        </w:tc>
      </w:tr>
      <w:tr w:rsidR="00B10720" w:rsidRPr="009210D0" w14:paraId="1756727C" w14:textId="77777777" w:rsidTr="00816D81">
        <w:trPr>
          <w:cantSplit/>
        </w:trPr>
        <w:tc>
          <w:tcPr>
            <w:cnfStyle w:val="001000000000" w:firstRow="0" w:lastRow="0" w:firstColumn="1" w:lastColumn="0" w:oddVBand="0" w:evenVBand="0" w:oddHBand="0" w:evenHBand="0" w:firstRowFirstColumn="0" w:firstRowLastColumn="0" w:lastRowFirstColumn="0" w:lastRowLastColumn="0"/>
            <w:tcW w:w="1701" w:type="dxa"/>
          </w:tcPr>
          <w:p w14:paraId="39E93B5C" w14:textId="77777777" w:rsidR="00B10720" w:rsidRPr="00B03AB4" w:rsidDel="00D424FB" w:rsidRDefault="00B10720" w:rsidP="00816D81">
            <w:pPr>
              <w:pStyle w:val="TableTextSmall"/>
            </w:pPr>
            <w:r w:rsidRPr="00B03AB4">
              <w:t>Class movement assumptions</w:t>
            </w:r>
          </w:p>
        </w:tc>
        <w:tc>
          <w:tcPr>
            <w:tcW w:w="7797" w:type="dxa"/>
          </w:tcPr>
          <w:p w14:paraId="43971D93" w14:textId="0075FDD6" w:rsidR="00B10720" w:rsidRPr="00B03AB4" w:rsidRDefault="00B10720" w:rsidP="00816D81">
            <w:pPr>
              <w:pStyle w:val="TableTextSmall"/>
              <w:cnfStyle w:val="000000000000" w:firstRow="0" w:lastRow="0" w:firstColumn="0" w:lastColumn="0" w:oddVBand="0" w:evenVBand="0" w:oddHBand="0" w:evenHBand="0" w:firstRowFirstColumn="0" w:firstRowLastColumn="0" w:lastRowFirstColumn="0" w:lastRowLastColumn="0"/>
              <w:rPr>
                <w:b/>
              </w:rPr>
            </w:pPr>
            <w:r w:rsidRPr="005F7341">
              <w:t xml:space="preserve">These </w:t>
            </w:r>
            <w:r>
              <w:t>assumptions have all been</w:t>
            </w:r>
            <w:r w:rsidRPr="00B03AB4">
              <w:t xml:space="preserve"> updated to reflect recent experience and current policy settings</w:t>
            </w:r>
            <w:r>
              <w:t>. They have also been refined</w:t>
            </w:r>
            <w:r w:rsidRPr="00B03AB4">
              <w:t xml:space="preserve"> to consider the influence of the intergenerational variable and </w:t>
            </w:r>
            <w:r w:rsidR="00F63BF2">
              <w:t xml:space="preserve">the </w:t>
            </w:r>
            <w:r w:rsidRPr="00B03AB4">
              <w:t>two new class characteristic variables on class movements</w:t>
            </w:r>
          </w:p>
        </w:tc>
      </w:tr>
      <w:tr w:rsidR="00B10720" w:rsidRPr="009210D0" w14:paraId="31C2351E" w14:textId="77777777" w:rsidTr="00816D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tcPr>
          <w:p w14:paraId="6A72CFF8" w14:textId="77777777" w:rsidR="00B10720" w:rsidRPr="00C743C2" w:rsidRDefault="00B10720" w:rsidP="00816D81">
            <w:pPr>
              <w:pStyle w:val="TableTextSmall"/>
            </w:pPr>
            <w:r w:rsidRPr="00C743C2">
              <w:t>Payment utilisation and payment size assumptions</w:t>
            </w:r>
          </w:p>
        </w:tc>
        <w:tc>
          <w:tcPr>
            <w:tcW w:w="7797" w:type="dxa"/>
          </w:tcPr>
          <w:p w14:paraId="51A13D87" w14:textId="1CB8C995" w:rsidR="00B10720" w:rsidRPr="00C743C2" w:rsidRDefault="00B10720" w:rsidP="00816D81">
            <w:pPr>
              <w:pStyle w:val="TableTextSmall"/>
              <w:cnfStyle w:val="000000100000" w:firstRow="0" w:lastRow="0" w:firstColumn="0" w:lastColumn="0" w:oddVBand="0" w:evenVBand="0" w:oddHBand="1" w:evenHBand="0" w:firstRowFirstColumn="0" w:firstRowLastColumn="0" w:lastRowFirstColumn="0" w:lastRowLastColumn="0"/>
              <w:rPr>
                <w:b/>
              </w:rPr>
            </w:pPr>
            <w:r w:rsidRPr="005F7341">
              <w:t>These</w:t>
            </w:r>
            <w:r>
              <w:t xml:space="preserve"> assumptions have all been</w:t>
            </w:r>
            <w:r w:rsidRPr="00C743C2">
              <w:t xml:space="preserve"> updated to reflect recent experience and current policy settings</w:t>
            </w:r>
            <w:r>
              <w:t>. They have also been refined</w:t>
            </w:r>
            <w:r w:rsidRPr="00C743C2">
              <w:t xml:space="preserve"> to consider the influence of the intergenerational variable and</w:t>
            </w:r>
            <w:r w:rsidR="00F63BF2">
              <w:t xml:space="preserve"> the</w:t>
            </w:r>
            <w:r w:rsidRPr="00C743C2">
              <w:t xml:space="preserve"> two new class characteristic variables on payment utilisation and size. </w:t>
            </w:r>
          </w:p>
        </w:tc>
      </w:tr>
      <w:tr w:rsidR="00B10720" w:rsidRPr="009210D0" w14:paraId="3C8C6B09" w14:textId="77777777" w:rsidTr="00816D81">
        <w:trPr>
          <w:cantSplit/>
        </w:trPr>
        <w:tc>
          <w:tcPr>
            <w:cnfStyle w:val="001000000000" w:firstRow="0" w:lastRow="0" w:firstColumn="1" w:lastColumn="0" w:oddVBand="0" w:evenVBand="0" w:oddHBand="0" w:evenHBand="0" w:firstRowFirstColumn="0" w:firstRowLastColumn="0" w:lastRowFirstColumn="0" w:lastRowLastColumn="0"/>
            <w:tcW w:w="1701" w:type="dxa"/>
          </w:tcPr>
          <w:p w14:paraId="027C87E9" w14:textId="77777777" w:rsidR="00B10720" w:rsidRPr="00C743C2" w:rsidRDefault="00B10720" w:rsidP="00816D81">
            <w:pPr>
              <w:pStyle w:val="TableTextSmall"/>
            </w:pPr>
            <w:r w:rsidRPr="00C743C2">
              <w:lastRenderedPageBreak/>
              <w:t xml:space="preserve">Adjustments module </w:t>
            </w:r>
          </w:p>
        </w:tc>
        <w:tc>
          <w:tcPr>
            <w:tcW w:w="7797" w:type="dxa"/>
          </w:tcPr>
          <w:p w14:paraId="7E76981C" w14:textId="77777777" w:rsidR="00B10720" w:rsidRPr="002B2C01" w:rsidRDefault="00B10720" w:rsidP="00816D81">
            <w:pPr>
              <w:pStyle w:val="TableTextSmall"/>
              <w:cnfStyle w:val="000000000000" w:firstRow="0" w:lastRow="0" w:firstColumn="0" w:lastColumn="0" w:oddVBand="0" w:evenVBand="0" w:oddHBand="0" w:evenHBand="0" w:firstRowFirstColumn="0" w:firstRowLastColumn="0" w:lastRowFirstColumn="0" w:lastRowLastColumn="0"/>
            </w:pPr>
            <w:r w:rsidRPr="002B2C01">
              <w:t>The economic adjustments has been updated to reflect more recent macro-economic forecasts.</w:t>
            </w:r>
          </w:p>
          <w:p w14:paraId="26B6594B" w14:textId="77777777" w:rsidR="00B10720" w:rsidRPr="002B2C01" w:rsidRDefault="00B10720" w:rsidP="00816D81">
            <w:pPr>
              <w:pStyle w:val="TableTextSmall"/>
              <w:cnfStyle w:val="000000000000" w:firstRow="0" w:lastRow="0" w:firstColumn="0" w:lastColumn="0" w:oddVBand="0" w:evenVBand="0" w:oddHBand="0" w:evenHBand="0" w:firstRowFirstColumn="0" w:firstRowLastColumn="0" w:lastRowFirstColumn="0" w:lastRowLastColumn="0"/>
            </w:pPr>
            <w:r w:rsidRPr="002B2C01">
              <w:t>The adjustments module has also been recalibrated to reflect more recent experience and align with the updated class movement assumptions.</w:t>
            </w:r>
          </w:p>
        </w:tc>
      </w:tr>
    </w:tbl>
    <w:p w14:paraId="1671DDAE" w14:textId="77777777" w:rsidR="00B10720" w:rsidRPr="009E7C59" w:rsidRDefault="00B10720" w:rsidP="00B10720">
      <w:pPr>
        <w:pStyle w:val="Heading3"/>
      </w:pPr>
      <w:bookmarkStart w:id="39" w:name="_Ref500340034"/>
      <w:bookmarkStart w:id="40" w:name="_Ref500340040"/>
      <w:bookmarkStart w:id="41" w:name="_Ref500340047"/>
      <w:bookmarkStart w:id="42" w:name="_Toc506388202"/>
      <w:r w:rsidRPr="009E7C59">
        <w:t>Intergenerational welfare dependence</w:t>
      </w:r>
      <w:bookmarkEnd w:id="39"/>
      <w:bookmarkEnd w:id="40"/>
      <w:bookmarkEnd w:id="41"/>
      <w:bookmarkEnd w:id="42"/>
    </w:p>
    <w:p w14:paraId="29522545" w14:textId="013E726F" w:rsidR="00B10720" w:rsidRDefault="00B10720" w:rsidP="00B10720">
      <w:pPr>
        <w:pStyle w:val="PwCNormal"/>
        <w:numPr>
          <w:ilvl w:val="0"/>
          <w:numId w:val="0"/>
        </w:numPr>
      </w:pPr>
      <w:r w:rsidRPr="000F0829">
        <w:t>Persistent dependence on the welfare system not only impacts the welfare recipient, but also has the potential to influence the outcomes of children in their c</w:t>
      </w:r>
      <w:r w:rsidR="00F63BF2">
        <w:t>are. In order to understand the</w:t>
      </w:r>
      <w:r w:rsidRPr="000F0829">
        <w:t xml:space="preserve"> intergenerational effect</w:t>
      </w:r>
      <w:r>
        <w:t>s</w:t>
      </w:r>
      <w:r w:rsidRPr="000F0829">
        <w:t xml:space="preserve"> of welfare, we have </w:t>
      </w:r>
      <w:r>
        <w:t>worked with the Department to capture information on the welfare use of parents or guardians through a person’s childhood. This information has been incorporated into the valuation model as a</w:t>
      </w:r>
      <w:r w:rsidRPr="000F0829">
        <w:t xml:space="preserve"> variable </w:t>
      </w:r>
      <w:r>
        <w:t xml:space="preserve">that </w:t>
      </w:r>
      <w:r w:rsidRPr="000F0829">
        <w:t>measures the proportion of a</w:t>
      </w:r>
      <w:r>
        <w:t xml:space="preserve">n individual’s childhood </w:t>
      </w:r>
      <w:r w:rsidRPr="000F0829">
        <w:t xml:space="preserve">(up to the age of 15) </w:t>
      </w:r>
      <w:r>
        <w:t>during which</w:t>
      </w:r>
      <w:r w:rsidRPr="000F0829">
        <w:t xml:space="preserve"> the</w:t>
      </w:r>
      <w:r>
        <w:t xml:space="preserve">ir parents or </w:t>
      </w:r>
      <w:r w:rsidRPr="000F0829">
        <w:t>guardian</w:t>
      </w:r>
      <w:r>
        <w:t>s</w:t>
      </w:r>
      <w:r w:rsidRPr="000F0829">
        <w:t xml:space="preserve"> </w:t>
      </w:r>
      <w:r>
        <w:t>were reliant on income support payments, other than the age pension.</w:t>
      </w:r>
      <w:r w:rsidR="005D0D9B">
        <w:t xml:space="preserve"> The results presented below have banded this proportion into None (parents or guardians reliant on income support for 0% of childhood), Some (1% to 35%), High (36% to 80%) and Very High (81% and above).</w:t>
      </w:r>
    </w:p>
    <w:p w14:paraId="4F6C7F5D" w14:textId="12DD5873" w:rsidR="00B10720" w:rsidRDefault="00B10720" w:rsidP="00B10720">
      <w:pPr>
        <w:pStyle w:val="PwCNormal"/>
        <w:numPr>
          <w:ilvl w:val="0"/>
          <w:numId w:val="0"/>
        </w:numPr>
        <w:rPr>
          <w:snapToGrid/>
        </w:rPr>
      </w:pPr>
      <w:r w:rsidRPr="00C05535">
        <w:t xml:space="preserve">It should be noted that owing to the limited history of data available, parental welfare dependence information </w:t>
      </w:r>
      <w:r w:rsidRPr="00C05535">
        <w:rPr>
          <w:snapToGrid/>
        </w:rPr>
        <w:t>is not complete for people of all ages and, in particular, is not available at all for those currently age</w:t>
      </w:r>
      <w:r w:rsidR="00D704AA">
        <w:rPr>
          <w:snapToGrid/>
        </w:rPr>
        <w:t>d above</w:t>
      </w:r>
      <w:r w:rsidRPr="00C05535">
        <w:rPr>
          <w:snapToGrid/>
        </w:rPr>
        <w:t xml:space="preserve"> 30. As a result of these data limitations we have focussed on exploring the variable</w:t>
      </w:r>
      <w:r w:rsidR="00F63BF2">
        <w:rPr>
          <w:snapToGrid/>
        </w:rPr>
        <w:t>s</w:t>
      </w:r>
      <w:r w:rsidRPr="00C05535">
        <w:rPr>
          <w:snapToGrid/>
        </w:rPr>
        <w:t xml:space="preserve"> impact for those cohorts of people age</w:t>
      </w:r>
      <w:r w:rsidR="00F63BF2">
        <w:rPr>
          <w:snapToGrid/>
        </w:rPr>
        <w:t>d</w:t>
      </w:r>
      <w:r w:rsidRPr="00C05535">
        <w:rPr>
          <w:snapToGrid/>
        </w:rPr>
        <w:t xml:space="preserve"> 25 and under. Over time, the time span covered by the supporting dataset will gradually increase and allow </w:t>
      </w:r>
      <w:r>
        <w:rPr>
          <w:snapToGrid/>
        </w:rPr>
        <w:t xml:space="preserve">for </w:t>
      </w:r>
      <w:r w:rsidRPr="00C05535">
        <w:rPr>
          <w:snapToGrid/>
        </w:rPr>
        <w:t>the exploration of this information for cohorts</w:t>
      </w:r>
      <w:r w:rsidR="00247079">
        <w:rPr>
          <w:snapToGrid/>
        </w:rPr>
        <w:t xml:space="preserve"> as they age</w:t>
      </w:r>
      <w:r w:rsidRPr="00C05535">
        <w:rPr>
          <w:snapToGrid/>
        </w:rPr>
        <w:t>.</w:t>
      </w:r>
    </w:p>
    <w:p w14:paraId="105EEE93" w14:textId="77777777" w:rsidR="00B10720" w:rsidRPr="000F0829" w:rsidRDefault="00B10720" w:rsidP="00B10720">
      <w:pPr>
        <w:pStyle w:val="PwCNormal"/>
        <w:numPr>
          <w:ilvl w:val="0"/>
          <w:numId w:val="0"/>
        </w:numPr>
      </w:pPr>
      <w:r w:rsidRPr="000F0829">
        <w:t xml:space="preserve">The figure below shows the extent of this </w:t>
      </w:r>
      <w:r>
        <w:t>parental</w:t>
      </w:r>
      <w:r w:rsidRPr="000F0829">
        <w:t xml:space="preserve"> welfare dependence</w:t>
      </w:r>
      <w:r>
        <w:t xml:space="preserve"> in the full model population</w:t>
      </w:r>
      <w:r w:rsidRPr="000F0829">
        <w:t xml:space="preserve"> by age group</w:t>
      </w:r>
      <w:r>
        <w:t>,</w:t>
      </w:r>
      <w:r w:rsidRPr="000F0829">
        <w:t xml:space="preserve"> and highlights how this dependency is expected to change by the time children reach the age of 15.</w:t>
      </w:r>
    </w:p>
    <w:p w14:paraId="24F34470" w14:textId="65ADB124" w:rsidR="00B10720" w:rsidRPr="000F0829" w:rsidRDefault="00B10720" w:rsidP="00B10720">
      <w:pPr>
        <w:pStyle w:val="Caption"/>
      </w:pPr>
      <w:r w:rsidRPr="000F0829">
        <w:t xml:space="preserve">Figure </w:t>
      </w:r>
      <w:fldSimple w:instr=" SEQ Figure \* ARABIC ">
        <w:r w:rsidR="00C93C1A">
          <w:rPr>
            <w:noProof/>
          </w:rPr>
          <w:t>7</w:t>
        </w:r>
      </w:fldSimple>
      <w:r w:rsidRPr="000F0829">
        <w:t xml:space="preserve">: </w:t>
      </w:r>
      <w:r w:rsidR="00247079">
        <w:t>Parental</w:t>
      </w:r>
      <w:r w:rsidRPr="000F0829">
        <w:t xml:space="preserve"> welfare dependency by age band</w:t>
      </w:r>
      <w:r w:rsidR="005D512D">
        <w:t xml:space="preserve"> (colour bandings represent different levels of parental welfare dependence)</w:t>
      </w:r>
    </w:p>
    <w:p w14:paraId="239537A8" w14:textId="77777777" w:rsidR="00B10720" w:rsidRPr="000F0829" w:rsidRDefault="00B10720" w:rsidP="00B10720">
      <w:pPr>
        <w:pStyle w:val="PwCNormal"/>
        <w:numPr>
          <w:ilvl w:val="0"/>
          <w:numId w:val="0"/>
        </w:numPr>
      </w:pPr>
      <w:r w:rsidRPr="002269B8">
        <w:rPr>
          <w:noProof/>
          <w:lang w:eastAsia="en-AU"/>
        </w:rPr>
        <w:drawing>
          <wp:inline distT="0" distB="0" distL="0" distR="0" wp14:anchorId="5A50427D" wp14:editId="0DECEDE3">
            <wp:extent cx="3996610" cy="2160000"/>
            <wp:effectExtent l="0" t="0" r="4445" b="0"/>
            <wp:docPr id="1025" name="Picture 1025" descr="This figure is a stacked bar chart that shows the proportion of individuals with parental welfare dependency by age band. The vertical axis shows the proportion from 0% to 100%. The horizontal axis shows 5 year age bands from 0 to 15+. The columns in the chart are split by level of parental welfare dependency: Very High (81%+), High (36%-80%), Some (1%-35%) and None (0%).&#10;&#10;The charts shows that the proportion of children with very high and high parental welfare dependency remain relatively stable over the age bands. The proportion of children with some parental welfare dependency increase significantly from 10% at age band 0-4 to 28% at the expected distribution of 15+. On the other hand, the proportion of people with no parental welfare dependency falls slightly from 68% at age band 0-4 to 48% at the expected distribution of 15+. Proportion of high and very high parental welfare dependency remains relatively stable from 10% and 12% at age band 0-4 to 15% and 9% at expected distribution of 15+ respectively. &#10;&#10;The key features of this chart are discussed in the accompanying text within the report.&#10;" title="Parental welfare dependency by age band (colour bandings represent different levels of parental welfare 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6610" cy="2160000"/>
                    </a:xfrm>
                    <a:prstGeom prst="rect">
                      <a:avLst/>
                    </a:prstGeom>
                    <a:noFill/>
                    <a:ln>
                      <a:noFill/>
                    </a:ln>
                  </pic:spPr>
                </pic:pic>
              </a:graphicData>
            </a:graphic>
          </wp:inline>
        </w:drawing>
      </w:r>
    </w:p>
    <w:p w14:paraId="5096EE4C" w14:textId="16A00818" w:rsidR="00F63BF2" w:rsidRDefault="00F63BF2" w:rsidP="00F63BF2">
      <w:pPr>
        <w:pStyle w:val="Sources"/>
      </w:pPr>
      <w:r>
        <w:t>Note: The percentage represents the proportion of a person’s childhood (up to the age of 15) during which a parent or guardian received income support (excluding Age Pension payments).</w:t>
      </w:r>
    </w:p>
    <w:p w14:paraId="2E850000" w14:textId="2127D571" w:rsidR="00B10720" w:rsidRPr="000F0829" w:rsidRDefault="00B10720" w:rsidP="00B10720">
      <w:pPr>
        <w:pStyle w:val="PwCNormal"/>
        <w:numPr>
          <w:ilvl w:val="0"/>
          <w:numId w:val="0"/>
        </w:numPr>
      </w:pPr>
      <w:r w:rsidRPr="000F0829">
        <w:t xml:space="preserve">As can be seen above, there is less variation in the level of </w:t>
      </w:r>
      <w:r>
        <w:t>parental</w:t>
      </w:r>
      <w:r w:rsidRPr="000F0829">
        <w:t xml:space="preserve"> welfare dependence for younger children, with the majority having no dependence. As children grow older and the circumstances of their parents </w:t>
      </w:r>
      <w:r>
        <w:t xml:space="preserve">or guardians </w:t>
      </w:r>
      <w:r w:rsidRPr="000F0829">
        <w:t xml:space="preserve">change, we find that more children tend to fall into the middle categories of </w:t>
      </w:r>
      <w:r>
        <w:t>parental welfare</w:t>
      </w:r>
      <w:r w:rsidRPr="000F0829">
        <w:t xml:space="preserve"> dependence (‘Some’ or ‘High’). By the age of 15, </w:t>
      </w:r>
      <w:r>
        <w:t>the range of parental welfare dependence is such that around half the children have no parental welfare dependency, whilst just under a quarter of children ha</w:t>
      </w:r>
      <w:r w:rsidR="00F63BF2">
        <w:t>d</w:t>
      </w:r>
      <w:r>
        <w:t xml:space="preserve"> parents with high or very high income support dependency.</w:t>
      </w:r>
    </w:p>
    <w:p w14:paraId="3F5DBCEB" w14:textId="77777777" w:rsidR="00B10720" w:rsidRPr="000F0829" w:rsidRDefault="00B10720" w:rsidP="00B10720">
      <w:pPr>
        <w:pStyle w:val="Heading4"/>
      </w:pPr>
      <w:r>
        <w:t>What effect has this already had on the welfare use of young people</w:t>
      </w:r>
      <w:r w:rsidRPr="000F0829">
        <w:t>?</w:t>
      </w:r>
    </w:p>
    <w:p w14:paraId="0A2550B3" w14:textId="7E107440" w:rsidR="00B10720" w:rsidRDefault="00B10720" w:rsidP="00B10720">
      <w:pPr>
        <w:pStyle w:val="PwCNormal"/>
        <w:numPr>
          <w:ilvl w:val="0"/>
          <w:numId w:val="0"/>
        </w:numPr>
      </w:pPr>
      <w:r>
        <w:t xml:space="preserve">We have investigated the nature of the relationship between parental welfare dependence and the use of welfare by young people as at 2017. The chart below shows how this influences </w:t>
      </w:r>
      <w:r w:rsidR="00F63BF2">
        <w:t>welfare use</w:t>
      </w:r>
      <w:r>
        <w:t xml:space="preserve"> for current 16</w:t>
      </w:r>
      <w:r w:rsidR="00FE30F6">
        <w:t xml:space="preserve"> to </w:t>
      </w:r>
      <w:r>
        <w:t>20 year olds.</w:t>
      </w:r>
    </w:p>
    <w:p w14:paraId="5495A7E3" w14:textId="53D0DD16" w:rsidR="00B10720" w:rsidRPr="000F0829" w:rsidRDefault="00B10720" w:rsidP="00B10720">
      <w:pPr>
        <w:pStyle w:val="Caption"/>
      </w:pPr>
      <w:r w:rsidRPr="000F0829">
        <w:lastRenderedPageBreak/>
        <w:t xml:space="preserve">Figure </w:t>
      </w:r>
      <w:fldSimple w:instr=" SEQ Figure \* ARABIC ">
        <w:r w:rsidR="00C93C1A">
          <w:rPr>
            <w:noProof/>
          </w:rPr>
          <w:t>8</w:t>
        </w:r>
      </w:fldSimple>
      <w:r w:rsidRPr="000F0829">
        <w:t xml:space="preserve">: </w:t>
      </w:r>
      <w:r w:rsidR="00871B8B">
        <w:t>Actual u</w:t>
      </w:r>
      <w:r>
        <w:t>tilisation of the pre-retirement income support classes</w:t>
      </w:r>
      <w:r w:rsidR="00247079">
        <w:t xml:space="preserve"> in 2017 for 16</w:t>
      </w:r>
      <w:r w:rsidR="00FE30F6">
        <w:t xml:space="preserve"> to </w:t>
      </w:r>
      <w:r>
        <w:t>20 year olds</w:t>
      </w:r>
      <w:r w:rsidR="003A7B9F">
        <w:t>,</w:t>
      </w:r>
      <w:r>
        <w:t xml:space="preserve"> by level of parental welfare dependence</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Number of exits, by year of exit and previous class&#10;"/>
        <w:tblDescription w:val="This figure is a stacked column chart. The chart shows the number of exits by previous class over the past five financial years. The vertical axis shows the number of people ranging from 0 to 600,000. The horizontal axis shows the financial years from 2012 to 2016.&#10;&#10;The columns for each financial year are split by active class: 1 Studying, 2 Working Age, 3 Parents, 4 Carers, 5 Disability Support, 6 Pension Age, 7 Non-IS Family, 8 Non-IS Carer, and 9 Non-IS Other.&#10;&#10;The total number of exits in each of the last five financial years was: 508,000 in 2012, 490,000 in 2013, 470,000 in 2014, 554,000 in 2015 and 570,000 in 2016.&#10;&#10;The key features of this chart are described in the accompanying text within the report.&#10;"/>
      </w:tblPr>
      <w:tblGrid>
        <w:gridCol w:w="5898"/>
        <w:gridCol w:w="3849"/>
      </w:tblGrid>
      <w:tr w:rsidR="00B10720" w:rsidRPr="000F0829" w14:paraId="7029A329" w14:textId="77777777" w:rsidTr="00816D81">
        <w:trPr>
          <w:tblHeader/>
        </w:trPr>
        <w:tc>
          <w:tcPr>
            <w:tcW w:w="5898" w:type="dxa"/>
          </w:tcPr>
          <w:p w14:paraId="0C568689" w14:textId="60BEA84B" w:rsidR="00B10720" w:rsidRPr="000F0829" w:rsidRDefault="00D704AA" w:rsidP="00816D81">
            <w:pPr>
              <w:pStyle w:val="PwCNormal"/>
              <w:widowControl w:val="0"/>
              <w:numPr>
                <w:ilvl w:val="0"/>
                <w:numId w:val="0"/>
              </w:numPr>
            </w:pPr>
            <w:r w:rsidRPr="000040D2">
              <w:rPr>
                <w:noProof/>
                <w:lang w:eastAsia="en-AU"/>
              </w:rPr>
              <w:drawing>
                <wp:inline distT="0" distB="0" distL="0" distR="0" wp14:anchorId="0D4B2502" wp14:editId="0D6AF459">
                  <wp:extent cx="3361727" cy="2160000"/>
                  <wp:effectExtent l="0" t="0" r="0" b="0"/>
                  <wp:docPr id="3879" name="Picture 3879" descr="This figure is a stacked column chart. The vertical axis displays the utilisation of the pre-retirement income support classes by 16 to 20 year olds, ranging from 0% to 50%. The horizontal axis is split by level of parental welfare dependence: None (0%), Some (1%-30%), High (31%-80%) and Very High (81%+).&#10;&#10;In all four sections, each column is split into the following income support classes: studying, working age, parents, carers and disability support.&#10;&#10;5% of 16-20 year olds with no parental welfare dependency received studying payments, compared to 14% of 16-20 year olds with high and very high parental welfare dependence. &#10;&#10;A large portion of income support payments for 16-20 year olds with very high and high parental welfare dependency are from Working Age payments at 17% and 25% respectively.&#10;&#10;The key features of this chart are described in the accompanying text within the report.&#10;" title="Actual utilisation of the pre-retirement income support classes in 2017 for 16 to 20 year olds, by level of parental welfare 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1727" cy="2160000"/>
                          </a:xfrm>
                          <a:prstGeom prst="rect">
                            <a:avLst/>
                          </a:prstGeom>
                          <a:noFill/>
                          <a:ln>
                            <a:noFill/>
                          </a:ln>
                        </pic:spPr>
                      </pic:pic>
                    </a:graphicData>
                  </a:graphic>
                </wp:inline>
              </w:drawing>
            </w:r>
          </w:p>
        </w:tc>
        <w:tc>
          <w:tcPr>
            <w:tcW w:w="3849" w:type="dxa"/>
            <w:vAlign w:val="center"/>
          </w:tcPr>
          <w:p w14:paraId="6E73EBCA" w14:textId="77777777" w:rsidR="00B10720" w:rsidRPr="000F0829" w:rsidRDefault="00B10720" w:rsidP="00816D81">
            <w:pPr>
              <w:pStyle w:val="PwCNormal"/>
              <w:widowControl w:val="0"/>
              <w:numPr>
                <w:ilvl w:val="0"/>
                <w:numId w:val="0"/>
              </w:numPr>
            </w:pPr>
            <w:r w:rsidRPr="000F0829">
              <w:rPr>
                <w:noProof/>
                <w:lang w:eastAsia="en-AU"/>
              </w:rPr>
              <w:drawing>
                <wp:inline distT="0" distB="0" distL="0" distR="0" wp14:anchorId="42F00644" wp14:editId="53E5ABC5">
                  <wp:extent cx="1775214" cy="701040"/>
                  <wp:effectExtent l="0" t="0" r="0" b="3810"/>
                  <wp:docPr id="1039" name="Picture 1039" descr="This shows the legend to the previous chart."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69533"/>
                          <a:stretch/>
                        </pic:blipFill>
                        <pic:spPr bwMode="auto">
                          <a:xfrm>
                            <a:off x="0" y="0"/>
                            <a:ext cx="1790118" cy="7069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A805E3" w14:textId="7B2F1B8B" w:rsidR="00814201" w:rsidRDefault="00B10720" w:rsidP="00B10720">
      <w:pPr>
        <w:pStyle w:val="PwCNormal"/>
        <w:numPr>
          <w:ilvl w:val="0"/>
          <w:numId w:val="0"/>
        </w:numPr>
      </w:pPr>
      <w:r>
        <w:t>We can see that younger people whose parents or guardians had a very high level of welfare dependency are 5.8 times more likely to be on income support payments today compared to those with no parental welfare dependency. Furthermore, 2</w:t>
      </w:r>
      <w:r w:rsidR="00826DB4">
        <w:t>6</w:t>
      </w:r>
      <w:r>
        <w:t>% of 16</w:t>
      </w:r>
      <w:r w:rsidR="00FE30F6">
        <w:t xml:space="preserve"> to </w:t>
      </w:r>
      <w:r>
        <w:t xml:space="preserve">20 year olds with a very high level of parental welfare dependency are currently receiving </w:t>
      </w:r>
      <w:r w:rsidR="003C32DF">
        <w:t>W</w:t>
      </w:r>
      <w:r>
        <w:t xml:space="preserve">orking </w:t>
      </w:r>
      <w:r w:rsidR="003C32DF">
        <w:t>A</w:t>
      </w:r>
      <w:r>
        <w:t>ge payments, compared to just 2% for those individuals with no parental welfare dependency.</w:t>
      </w:r>
      <w:r w:rsidR="00814201">
        <w:t xml:space="preserve"> </w:t>
      </w:r>
    </w:p>
    <w:p w14:paraId="086542A0" w14:textId="40F6B66C" w:rsidR="00B10720" w:rsidRDefault="00814201" w:rsidP="00B10720">
      <w:pPr>
        <w:pStyle w:val="PwCNormal"/>
        <w:numPr>
          <w:ilvl w:val="0"/>
          <w:numId w:val="0"/>
        </w:numPr>
      </w:pPr>
      <w:r>
        <w:rPr>
          <w:snapToGrid/>
        </w:rPr>
        <w:t>We also note that the parental means test applies for some Youth Allowance and ABSTUDY recipients. As such, the insights in this chapter reflect both a direct intergenerational link whereby some younger welfare recipients are by definition children of people with low income (and therefore highly likely to be welfare recipients), as well as an indirect effect of children being more likely to utilise welfare if their parents or guardians were also welfare dependent.</w:t>
      </w:r>
    </w:p>
    <w:p w14:paraId="73F36E1F" w14:textId="77777777" w:rsidR="00247079" w:rsidRDefault="00247079" w:rsidP="00247079">
      <w:pPr>
        <w:pStyle w:val="PwCNormal"/>
        <w:numPr>
          <w:ilvl w:val="0"/>
          <w:numId w:val="0"/>
        </w:numPr>
      </w:pPr>
      <w:r>
        <w:t>We have also explored the relationship between parental welfare dependency and educational attainment for young people currently accessing welfare. This is shown in the chart below which looks at the educational attainment of 20 year olds currently in the welfare system by the welfare dependency level of their parents or guardians.</w:t>
      </w:r>
    </w:p>
    <w:p w14:paraId="008D8E8D" w14:textId="2F9FDFB8" w:rsidR="00B10720" w:rsidRPr="000F0829" w:rsidRDefault="00B10720" w:rsidP="00B10720">
      <w:pPr>
        <w:pStyle w:val="Caption"/>
      </w:pPr>
      <w:r w:rsidRPr="000F0829">
        <w:t xml:space="preserve">Figure </w:t>
      </w:r>
      <w:fldSimple w:instr=" SEQ Figure \* ARABIC ">
        <w:r w:rsidR="00C93C1A">
          <w:rPr>
            <w:noProof/>
          </w:rPr>
          <w:t>9</w:t>
        </w:r>
      </w:fldSimple>
      <w:r w:rsidRPr="000F0829">
        <w:t xml:space="preserve">: </w:t>
      </w:r>
      <w:r w:rsidR="00EE42CA">
        <w:t>Actual e</w:t>
      </w:r>
      <w:r>
        <w:t>ducatio</w:t>
      </w:r>
      <w:r w:rsidR="00D704AA">
        <w:t>n profile</w:t>
      </w:r>
      <w:r>
        <w:t xml:space="preserve"> of 20 year olds currently utilising welfare</w:t>
      </w:r>
      <w:r w:rsidR="00EE42CA">
        <w:t>,</w:t>
      </w:r>
      <w:r>
        <w:t xml:space="preserve"> by level of parental welfare dependence</w:t>
      </w:r>
    </w:p>
    <w:tbl>
      <w:tblPr>
        <w:tblStyle w:val="TableGrid"/>
        <w:tblW w:w="10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w:tblDescription w:val="This contains 2 charts&#10;"/>
      </w:tblPr>
      <w:tblGrid>
        <w:gridCol w:w="5070"/>
        <w:gridCol w:w="5011"/>
      </w:tblGrid>
      <w:tr w:rsidR="00D704AA" w:rsidRPr="006B48C7" w14:paraId="02113EBE" w14:textId="77777777" w:rsidTr="00D704AA">
        <w:trPr>
          <w:tblHeader/>
        </w:trPr>
        <w:tc>
          <w:tcPr>
            <w:tcW w:w="5070" w:type="dxa"/>
          </w:tcPr>
          <w:p w14:paraId="6B0C03C8" w14:textId="124BBDE2" w:rsidR="00D704AA" w:rsidRPr="006B48C7" w:rsidRDefault="00D704AA" w:rsidP="00D704AA">
            <w:pPr>
              <w:pStyle w:val="PwCNormal"/>
              <w:widowControl w:val="0"/>
              <w:numPr>
                <w:ilvl w:val="0"/>
                <w:numId w:val="0"/>
              </w:numPr>
              <w:spacing w:after="0"/>
              <w:jc w:val="center"/>
              <w:rPr>
                <w:b/>
                <w:i/>
                <w:noProof/>
                <w:lang w:eastAsia="en-AU"/>
              </w:rPr>
            </w:pPr>
            <w:r w:rsidRPr="006B48C7">
              <w:rPr>
                <w:b/>
                <w:i/>
                <w:noProof/>
                <w:lang w:eastAsia="en-AU"/>
              </w:rPr>
              <w:t>Educational attainment of 20 year olds currently util</w:t>
            </w:r>
            <w:r w:rsidR="00F63BF2" w:rsidRPr="006B48C7">
              <w:rPr>
                <w:b/>
                <w:i/>
                <w:noProof/>
                <w:lang w:eastAsia="en-AU"/>
              </w:rPr>
              <w:t>i</w:t>
            </w:r>
            <w:r w:rsidRPr="006B48C7">
              <w:rPr>
                <w:b/>
                <w:i/>
                <w:noProof/>
                <w:lang w:eastAsia="en-AU"/>
              </w:rPr>
              <w:t>sing welfare</w:t>
            </w:r>
          </w:p>
        </w:tc>
        <w:tc>
          <w:tcPr>
            <w:tcW w:w="5011" w:type="dxa"/>
          </w:tcPr>
          <w:p w14:paraId="46FA0EA9" w14:textId="113914DC" w:rsidR="00D704AA" w:rsidRPr="006B48C7" w:rsidRDefault="00D704AA" w:rsidP="003A7B9F">
            <w:pPr>
              <w:pStyle w:val="PwCNormal"/>
              <w:widowControl w:val="0"/>
              <w:numPr>
                <w:ilvl w:val="0"/>
                <w:numId w:val="0"/>
              </w:numPr>
              <w:spacing w:after="0"/>
              <w:jc w:val="center"/>
              <w:rPr>
                <w:b/>
                <w:i/>
                <w:noProof/>
                <w:lang w:eastAsia="en-AU"/>
              </w:rPr>
            </w:pPr>
            <w:r w:rsidRPr="006B48C7">
              <w:rPr>
                <w:b/>
                <w:i/>
                <w:noProof/>
                <w:lang w:eastAsia="en-AU"/>
              </w:rPr>
              <w:t>Proportion of 20 year old</w:t>
            </w:r>
            <w:r w:rsidR="003A7B9F">
              <w:rPr>
                <w:b/>
                <w:i/>
                <w:noProof/>
                <w:lang w:eastAsia="en-AU"/>
              </w:rPr>
              <w:t>s, who have completed</w:t>
            </w:r>
            <w:r w:rsidRPr="006B48C7">
              <w:rPr>
                <w:b/>
                <w:i/>
                <w:noProof/>
                <w:lang w:eastAsia="en-AU"/>
              </w:rPr>
              <w:t xml:space="preserve"> year 12</w:t>
            </w:r>
            <w:r w:rsidR="003A7B9F">
              <w:rPr>
                <w:b/>
                <w:i/>
                <w:noProof/>
                <w:lang w:eastAsia="en-AU"/>
              </w:rPr>
              <w:t>,</w:t>
            </w:r>
            <w:r w:rsidRPr="006B48C7">
              <w:rPr>
                <w:b/>
                <w:i/>
                <w:noProof/>
                <w:lang w:eastAsia="en-AU"/>
              </w:rPr>
              <w:t xml:space="preserve"> currently studying a VET course</w:t>
            </w:r>
          </w:p>
        </w:tc>
      </w:tr>
      <w:tr w:rsidR="00D704AA" w:rsidRPr="006B48C7" w14:paraId="519BB69C" w14:textId="77777777" w:rsidTr="006B48C7">
        <w:trPr>
          <w:tblHeader/>
        </w:trPr>
        <w:tc>
          <w:tcPr>
            <w:tcW w:w="5070" w:type="dxa"/>
            <w:shd w:val="clear" w:color="auto" w:fill="auto"/>
          </w:tcPr>
          <w:p w14:paraId="6AA0AE3A" w14:textId="23565AC8" w:rsidR="00D704AA" w:rsidRPr="006B48C7" w:rsidRDefault="006B48C7" w:rsidP="00D704AA">
            <w:pPr>
              <w:pStyle w:val="PwCNormal"/>
              <w:widowControl w:val="0"/>
              <w:numPr>
                <w:ilvl w:val="0"/>
                <w:numId w:val="0"/>
              </w:numPr>
              <w:spacing w:before="0" w:after="0"/>
            </w:pPr>
            <w:r w:rsidRPr="006B48C7">
              <w:rPr>
                <w:noProof/>
                <w:lang w:eastAsia="en-AU"/>
              </w:rPr>
              <w:drawing>
                <wp:inline distT="0" distB="0" distL="0" distR="0" wp14:anchorId="2CA16DC0" wp14:editId="7BFB3DC3">
                  <wp:extent cx="3184195" cy="2160000"/>
                  <wp:effectExtent l="0" t="0" r="0" b="0"/>
                  <wp:docPr id="1070" name="Picture 1070" descr="This figure includes a grouped column chart and a standard column chart. The grouped column chart shows the educational attainment of 20 year olds current utilising welfare. The vertical axis shows the proportion of people, ranging from 0% to 70%. The horizontal axis shows their highest level of education attainment split by: Yr 10, Yr 11, Yr 12, Certificate and Other higher education. &#10;&#10;For each of these, there are 4 columns grouped together, with each column representing the level of parental welfare dependency: None (0%), Some (1%-35%), High (36%-80%) and Very High (81%+). &#10;&#10;Majority of 20 year olds regardless of parental welfare dependence have their highest level of education attainment as year 12 completion; 71% for those with no parental welfare dependency, 62% for those with some parental welfare dependency, 52% for those with high parental welfare dependency and 43% for those with very high parental welfare dependency. &#10;" title="Actual education profile of 20 year olds currently utilising welfare, by level of parental welfare 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4195" cy="2160000"/>
                          </a:xfrm>
                          <a:prstGeom prst="rect">
                            <a:avLst/>
                          </a:prstGeom>
                          <a:noFill/>
                          <a:ln>
                            <a:noFill/>
                          </a:ln>
                        </pic:spPr>
                      </pic:pic>
                    </a:graphicData>
                  </a:graphic>
                </wp:inline>
              </w:drawing>
            </w:r>
          </w:p>
        </w:tc>
        <w:tc>
          <w:tcPr>
            <w:tcW w:w="5011" w:type="dxa"/>
            <w:shd w:val="clear" w:color="auto" w:fill="auto"/>
          </w:tcPr>
          <w:p w14:paraId="3148D18C" w14:textId="77777777" w:rsidR="00D704AA" w:rsidRPr="006B48C7" w:rsidRDefault="00D704AA" w:rsidP="00D704AA">
            <w:pPr>
              <w:pStyle w:val="PwCNormal"/>
              <w:widowControl w:val="0"/>
              <w:numPr>
                <w:ilvl w:val="0"/>
                <w:numId w:val="0"/>
              </w:numPr>
              <w:spacing w:before="0" w:after="0"/>
              <w:jc w:val="center"/>
            </w:pPr>
            <w:r w:rsidRPr="006B48C7">
              <w:rPr>
                <w:noProof/>
                <w:lang w:eastAsia="en-AU"/>
              </w:rPr>
              <w:drawing>
                <wp:inline distT="0" distB="0" distL="0" distR="0" wp14:anchorId="3BF31536" wp14:editId="0145CA19">
                  <wp:extent cx="2926775" cy="2160000"/>
                  <wp:effectExtent l="0" t="0" r="6985" b="0"/>
                  <wp:docPr id="3874" name="Picture 3874" descr="The standard column chart shows the proportion of 20 year old year 12 graduates currently studying a VET course. The vertical axis shows the proportion of people, ranging from 0% to 16%. The horizontal axis shows the level of parental welfare dependency split by: None (0%), Some (1%-35%), High (36%-80%) and Very High (81%+). &#10;&#10;The chart shows that the proportion of 20 year old year 12 graduates studying a VET course rises as level of parental welfare dependence rises as well: 8% of those with no parental welfare dependence, 11% of those with some parental welfare dependency, 13% of those with high parental welfare dependency and 14% of those with very high parental welfare dependency.&#10;&#10;The key features of this chart are described in the accompanying text within the report.&#10;" title="Actual education profile of 20 year olds currently utilising welfare, by level of parental welfare 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6775" cy="2160000"/>
                          </a:xfrm>
                          <a:prstGeom prst="rect">
                            <a:avLst/>
                          </a:prstGeom>
                          <a:noFill/>
                          <a:ln>
                            <a:noFill/>
                          </a:ln>
                        </pic:spPr>
                      </pic:pic>
                    </a:graphicData>
                  </a:graphic>
                </wp:inline>
              </w:drawing>
            </w:r>
          </w:p>
        </w:tc>
      </w:tr>
    </w:tbl>
    <w:p w14:paraId="6E4FF438" w14:textId="77777777" w:rsidR="00D704AA" w:rsidRDefault="00D704AA" w:rsidP="00D704AA">
      <w:pPr>
        <w:pStyle w:val="PwCNormal"/>
        <w:numPr>
          <w:ilvl w:val="0"/>
          <w:numId w:val="0"/>
        </w:numPr>
      </w:pPr>
      <w:r>
        <w:t>The figure on the left shows that 20 year old welfare recipients who have higher levels of parental welfare dependency are:</w:t>
      </w:r>
    </w:p>
    <w:p w14:paraId="2E76E49C" w14:textId="30CD6358" w:rsidR="00247079" w:rsidRDefault="00F63BF2" w:rsidP="00964D65">
      <w:pPr>
        <w:pStyle w:val="PwCNormal"/>
        <w:numPr>
          <w:ilvl w:val="0"/>
          <w:numId w:val="44"/>
        </w:numPr>
      </w:pPr>
      <w:r>
        <w:t>m</w:t>
      </w:r>
      <w:r w:rsidR="00247079">
        <w:t>ore likely to have left school before completing year 12; and</w:t>
      </w:r>
    </w:p>
    <w:p w14:paraId="222CFBEE" w14:textId="1D2F0677" w:rsidR="00247079" w:rsidRDefault="00F63BF2" w:rsidP="00964D65">
      <w:pPr>
        <w:pStyle w:val="PwCNormal"/>
        <w:numPr>
          <w:ilvl w:val="0"/>
          <w:numId w:val="44"/>
        </w:numPr>
      </w:pPr>
      <w:r>
        <w:t>m</w:t>
      </w:r>
      <w:r w:rsidR="00247079">
        <w:t>ore likely to have attained a Certificate level of training.</w:t>
      </w:r>
    </w:p>
    <w:p w14:paraId="07C43153" w14:textId="2DD5ABFE" w:rsidR="006B48C7" w:rsidRDefault="006B48C7" w:rsidP="00D22C7A">
      <w:pPr>
        <w:pStyle w:val="PwCNormal"/>
        <w:numPr>
          <w:ilvl w:val="0"/>
          <w:numId w:val="0"/>
        </w:numPr>
      </w:pPr>
      <w:r>
        <w:lastRenderedPageBreak/>
        <w:t>The results for people in other higher education are less relevant as you would only expect a small proportion of 20 year olds to have attained other higher education.</w:t>
      </w:r>
    </w:p>
    <w:p w14:paraId="62E2548E" w14:textId="77777777" w:rsidR="00D22C7A" w:rsidRDefault="00D22C7A" w:rsidP="00D22C7A">
      <w:pPr>
        <w:pStyle w:val="PwCNormal"/>
        <w:numPr>
          <w:ilvl w:val="0"/>
          <w:numId w:val="0"/>
        </w:numPr>
      </w:pPr>
      <w:r>
        <w:t>Of particular note is the fact that around 29% of 20 year olds with a very high level of parental welfare dependence have not yet reached an educational attainment of at least year 12. This compares to just 15% for 20 year olds who have no parental welfare dependency.</w:t>
      </w:r>
    </w:p>
    <w:p w14:paraId="1FD2C5B9" w14:textId="7A73139E" w:rsidR="00D22C7A" w:rsidRPr="000F0829" w:rsidRDefault="00D22C7A" w:rsidP="00D22C7A">
      <w:pPr>
        <w:pStyle w:val="PwCNormal"/>
        <w:numPr>
          <w:ilvl w:val="0"/>
          <w:numId w:val="0"/>
        </w:numPr>
      </w:pPr>
      <w:r>
        <w:t>Furthermore, the figure on t</w:t>
      </w:r>
      <w:r w:rsidR="00C5098B">
        <w:t>he right shows that 20 year old welfare recipients</w:t>
      </w:r>
      <w:r>
        <w:t xml:space="preserve"> with a highest educational attainment of year 12 are more likely to be studying a VET course if they have a higher level of parental welfare dependence.</w:t>
      </w:r>
    </w:p>
    <w:p w14:paraId="2F7A30FC" w14:textId="77777777" w:rsidR="00B10720" w:rsidRPr="000F0829" w:rsidRDefault="00B10720" w:rsidP="00B10720">
      <w:pPr>
        <w:pStyle w:val="Heading4"/>
      </w:pPr>
      <w:r w:rsidRPr="000F0829">
        <w:t xml:space="preserve">How does </w:t>
      </w:r>
      <w:r>
        <w:t>parental welfare dependence</w:t>
      </w:r>
      <w:r w:rsidRPr="000F0829">
        <w:t xml:space="preserve"> impact the entry of children into the welfare system?</w:t>
      </w:r>
    </w:p>
    <w:p w14:paraId="14B3C77D" w14:textId="277E3518" w:rsidR="00247079" w:rsidRDefault="00247079" w:rsidP="00247079">
      <w:pPr>
        <w:pStyle w:val="PwCNormal-keepwithnext"/>
        <w:keepLines/>
        <w:numPr>
          <w:ilvl w:val="0"/>
          <w:numId w:val="1"/>
        </w:numPr>
      </w:pPr>
      <w:r>
        <w:t>In addition to explaining how young people have already utilised the welfare system</w:t>
      </w:r>
      <w:r w:rsidR="00654967">
        <w:t xml:space="preserve"> (both income support and non income support)</w:t>
      </w:r>
      <w:r>
        <w:t xml:space="preserve">, the model has also provided insights into the expected interaction between </w:t>
      </w:r>
      <w:r w:rsidR="00C5098B">
        <w:t>a child’s</w:t>
      </w:r>
      <w:r>
        <w:t xml:space="preserve"> parental welfare information and their welfare utilisation going forward. The following sections </w:t>
      </w:r>
      <w:r w:rsidR="00C5098B">
        <w:t>explore</w:t>
      </w:r>
      <w:r>
        <w:t xml:space="preserve"> these insights in greater detail. Note that f</w:t>
      </w:r>
      <w:r w:rsidRPr="000F0829">
        <w:t>or simplicity</w:t>
      </w:r>
      <w:r>
        <w:t>,</w:t>
      </w:r>
      <w:r w:rsidRPr="000F0829">
        <w:t xml:space="preserve"> </w:t>
      </w:r>
      <w:r>
        <w:t>we have focussed the remaining analysis</w:t>
      </w:r>
      <w:r w:rsidRPr="000F0829">
        <w:t xml:space="preserve"> </w:t>
      </w:r>
      <w:r>
        <w:t>on</w:t>
      </w:r>
      <w:r w:rsidRPr="000F0829">
        <w:t xml:space="preserve"> the cohort of people aged 15 in 2017 and in class </w:t>
      </w:r>
      <w:r w:rsidR="00F43CCC">
        <w:t>‘</w:t>
      </w:r>
      <w:r w:rsidRPr="000F0829">
        <w:t>12 Rest of Australian Population</w:t>
      </w:r>
      <w:r w:rsidR="00F43CCC">
        <w:t>’</w:t>
      </w:r>
      <w:r>
        <w:t xml:space="preserve"> (noting that </w:t>
      </w:r>
      <w:r w:rsidRPr="00CD779C">
        <w:t>97</w:t>
      </w:r>
      <w:r>
        <w:t>% of 15 year olds are in this class)</w:t>
      </w:r>
      <w:r w:rsidRPr="000F0829">
        <w:t>. Similar results can be expected for individuals of other young ages.</w:t>
      </w:r>
    </w:p>
    <w:p w14:paraId="47CE32F2" w14:textId="17E546A1" w:rsidR="00B10720" w:rsidRPr="000F0829" w:rsidRDefault="00B10720" w:rsidP="00B10720">
      <w:pPr>
        <w:pStyle w:val="PwCNormal"/>
        <w:numPr>
          <w:ilvl w:val="0"/>
          <w:numId w:val="0"/>
        </w:numPr>
      </w:pPr>
      <w:r w:rsidRPr="000F0829">
        <w:t xml:space="preserve">The figure below shows the </w:t>
      </w:r>
      <w:r w:rsidR="00C5098B">
        <w:t xml:space="preserve">proportion of children who have interacted with the welfare system up to a certain age, </w:t>
      </w:r>
      <w:r>
        <w:t>and how this differs depending on the welfare dependence of their parents or guardians</w:t>
      </w:r>
      <w:r w:rsidRPr="000F0829">
        <w:t>.</w:t>
      </w:r>
    </w:p>
    <w:p w14:paraId="4C853F36" w14:textId="5FBF9F56" w:rsidR="00B10720" w:rsidRPr="000F0829" w:rsidRDefault="00B10720" w:rsidP="00B10720">
      <w:pPr>
        <w:pStyle w:val="Caption"/>
      </w:pPr>
      <w:r w:rsidRPr="000F0829">
        <w:t xml:space="preserve">Figure </w:t>
      </w:r>
      <w:fldSimple w:instr=" SEQ Figure \* ARABIC ">
        <w:r w:rsidR="00C93C1A">
          <w:rPr>
            <w:noProof/>
          </w:rPr>
          <w:t>10</w:t>
        </w:r>
      </w:fldSimple>
      <w:r w:rsidRPr="000F0829">
        <w:t xml:space="preserve">: </w:t>
      </w:r>
      <w:r w:rsidR="00015F14">
        <w:t xml:space="preserve">Proportion of people </w:t>
      </w:r>
      <w:r w:rsidR="003C7631">
        <w:t xml:space="preserve">who are projected to have entered the welfare system </w:t>
      </w:r>
      <w:r w:rsidR="00DF3E66">
        <w:t xml:space="preserve">by or before </w:t>
      </w:r>
      <w:r w:rsidR="003C7631">
        <w:t>the age</w:t>
      </w:r>
      <w:r w:rsidR="00015F14" w:rsidDel="00015F14">
        <w:t xml:space="preserve"> </w:t>
      </w:r>
      <w:r w:rsidR="003C7631">
        <w:t>shown</w:t>
      </w:r>
      <w:r w:rsidR="0000147F">
        <w:t>, by level of parental welfare dependence</w:t>
      </w:r>
      <w:r w:rsidR="003C7631">
        <w:t xml:space="preserve"> </w:t>
      </w:r>
      <w:r>
        <w:t>(</w:t>
      </w:r>
      <w:r w:rsidR="003C7631">
        <w:t xml:space="preserve">based on projection of </w:t>
      </w:r>
      <w:r>
        <w:t>current 15 year olds</w:t>
      </w:r>
      <w:r w:rsidR="003A7B9F">
        <w:t>)</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Number of exits, by year of exit and previous class&#10;"/>
        <w:tblDescription w:val="This figure is a stacked column chart. The chart shows the number of exits by previous class over the past five financial years. The vertical axis shows the number of people ranging from 0 to 600,000. The horizontal axis shows the financial years from 2012 to 2016.&#10;&#10;The columns for each financial year are split by active class: 1 Studying, 2 Working Age, 3 Parents, 4 Carers, 5 Disability Support, 6 Pension Age, 7 Non-IS Family, 8 Non-IS Carer, and 9 Non-IS Other.&#10;&#10;The total number of exits in each of the last five financial years was: 508,000 in 2012, 490,000 in 2013, 470,000 in 2014, 554,000 in 2015 and 570,000 in 2016.&#10;&#10;The key features of this chart are described in the accompanying text within the report.&#10;"/>
      </w:tblPr>
      <w:tblGrid>
        <w:gridCol w:w="6204"/>
        <w:gridCol w:w="3543"/>
      </w:tblGrid>
      <w:tr w:rsidR="00B10720" w:rsidRPr="000F0829" w14:paraId="2CEDB341" w14:textId="77777777" w:rsidTr="00816D81">
        <w:trPr>
          <w:tblHeader/>
        </w:trPr>
        <w:tc>
          <w:tcPr>
            <w:tcW w:w="6204" w:type="dxa"/>
          </w:tcPr>
          <w:p w14:paraId="2ED6D788" w14:textId="4A8AAB9D" w:rsidR="00B10720" w:rsidRPr="000F0829" w:rsidRDefault="009229DF" w:rsidP="00816D81">
            <w:pPr>
              <w:pStyle w:val="PwCNormal"/>
              <w:widowControl w:val="0"/>
              <w:numPr>
                <w:ilvl w:val="0"/>
                <w:numId w:val="0"/>
              </w:numPr>
            </w:pPr>
            <w:r w:rsidRPr="009C3622">
              <w:rPr>
                <w:noProof/>
                <w:lang w:eastAsia="en-AU"/>
              </w:rPr>
              <w:drawing>
                <wp:inline distT="0" distB="0" distL="0" distR="0" wp14:anchorId="44E684BF" wp14:editId="4AD522FF">
                  <wp:extent cx="3616983" cy="2160000"/>
                  <wp:effectExtent l="0" t="0" r="2540" b="0"/>
                  <wp:docPr id="199" name="Picture 199" descr="This figure is a line chart that shows the projected of proportion of people who will enter the welfare system by parental welfare dependency for current 15 year olds, by age. The vertical axis shows the proportion of people who are projected to have entered the welfare system by or before the age shown, ranging from 0% to 100%. The horizontal axis shows age, ranging from 16 to 25.&#10;&#10;The chart contains a line for each of the following 4 levels of parental welfare dependence: Very High (81%+), High(36%-80%), Some(1%-35%) and None(0%).&#10;&#10;The chart shows that by the age of 25, 91% of 15 year olds with very high parental welfare dependency will have interacted with the welfare system at some point compared to 45% for those with no such dependence. For children with some and high parental welfare dependency, the proportion of individuals who enter the welfare system increase from 8% and 14% at age 17 respectively, to 54% and 81% at age 25 respectively. &#10;&#10;The key features of the chart are discussed in the accompanying text within the report.&#10;" title="Proportion of people who are projected to have entered the welfare system by or before the age shown, by level of parental welfare dependence (based on projection of current 15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6983" cy="2160000"/>
                          </a:xfrm>
                          <a:prstGeom prst="rect">
                            <a:avLst/>
                          </a:prstGeom>
                          <a:noFill/>
                          <a:ln>
                            <a:noFill/>
                          </a:ln>
                        </pic:spPr>
                      </pic:pic>
                    </a:graphicData>
                  </a:graphic>
                </wp:inline>
              </w:drawing>
            </w:r>
          </w:p>
        </w:tc>
        <w:tc>
          <w:tcPr>
            <w:tcW w:w="3543" w:type="dxa"/>
            <w:vAlign w:val="center"/>
          </w:tcPr>
          <w:p w14:paraId="031738E1" w14:textId="77777777" w:rsidR="00B10720" w:rsidRPr="000F0829" w:rsidRDefault="00B10720" w:rsidP="00816D81">
            <w:pPr>
              <w:pStyle w:val="PwCNormal"/>
              <w:widowControl w:val="0"/>
              <w:numPr>
                <w:ilvl w:val="0"/>
                <w:numId w:val="0"/>
              </w:numPr>
            </w:pPr>
            <w:r w:rsidRPr="00F52B11">
              <w:rPr>
                <w:noProof/>
                <w:lang w:eastAsia="en-AU"/>
              </w:rPr>
              <w:drawing>
                <wp:inline distT="0" distB="0" distL="0" distR="0" wp14:anchorId="3343163D" wp14:editId="0ECD8664">
                  <wp:extent cx="745839" cy="1111250"/>
                  <wp:effectExtent l="0" t="0" r="0" b="0"/>
                  <wp:docPr id="3854" name="Picture 3854" descr="This shows the legend to the previous chart."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0665" t="35613" r="18698" b="12029"/>
                          <a:stretch/>
                        </pic:blipFill>
                        <pic:spPr bwMode="auto">
                          <a:xfrm>
                            <a:off x="0" y="0"/>
                            <a:ext cx="749386" cy="11165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02A234" w14:textId="77777777" w:rsidR="00B10720" w:rsidRDefault="00B10720" w:rsidP="00B10720"/>
    <w:p w14:paraId="499AAE9A" w14:textId="3010F406" w:rsidR="00247079" w:rsidRDefault="00247079" w:rsidP="00247079">
      <w:pPr>
        <w:pStyle w:val="PwCNormal"/>
        <w:numPr>
          <w:ilvl w:val="0"/>
          <w:numId w:val="0"/>
        </w:numPr>
      </w:pPr>
      <w:r w:rsidRPr="000F0829">
        <w:t xml:space="preserve">The model indicates that almost 60% of children with a very high level of </w:t>
      </w:r>
      <w:r w:rsidR="00C5098B">
        <w:t>parental</w:t>
      </w:r>
      <w:r w:rsidRPr="000F0829">
        <w:t xml:space="preserve"> welfare dependence will have interacted with the welfare system by the age of 18. This compares to 18% for children with no </w:t>
      </w:r>
      <w:r w:rsidR="00C5098B">
        <w:t>parental</w:t>
      </w:r>
      <w:r w:rsidRPr="000F0829">
        <w:t xml:space="preserve"> welfare dependence at the same age. By the age of 2</w:t>
      </w:r>
      <w:r>
        <w:t>5,</w:t>
      </w:r>
      <w:r w:rsidRPr="000F0829">
        <w:t xml:space="preserve"> </w:t>
      </w:r>
      <w:r>
        <w:t>around 90% of</w:t>
      </w:r>
      <w:r w:rsidRPr="000F0829">
        <w:t xml:space="preserve"> children with very high </w:t>
      </w:r>
      <w:r w:rsidR="00C5098B">
        <w:t>parental</w:t>
      </w:r>
      <w:r w:rsidR="00C5098B" w:rsidRPr="000F0829">
        <w:t xml:space="preserve"> </w:t>
      </w:r>
      <w:r w:rsidRPr="000F0829">
        <w:t xml:space="preserve">welfare dependence will have interacted with the welfare system, compared to </w:t>
      </w:r>
      <w:r>
        <w:t>around</w:t>
      </w:r>
      <w:r w:rsidRPr="000F0829">
        <w:t xml:space="preserve"> 45% for those with no such dependence. </w:t>
      </w:r>
      <w:r w:rsidR="006246C9">
        <w:t xml:space="preserve">It should be noted that </w:t>
      </w:r>
      <w:r w:rsidR="00AF24C9">
        <w:t xml:space="preserve">up until the age of 21, </w:t>
      </w:r>
      <w:r w:rsidR="006246C9">
        <w:t xml:space="preserve">there is a parental income test that applies to younger people </w:t>
      </w:r>
      <w:r w:rsidR="00AF24C9">
        <w:t>looking to receive certain welfare payments</w:t>
      </w:r>
      <w:r w:rsidR="00B2157F">
        <w:t xml:space="preserve">. This </w:t>
      </w:r>
      <w:r w:rsidR="00AF24C9">
        <w:t xml:space="preserve">means that children of parents who have not accessed welfare are less likely to be eligible for payments themselves. </w:t>
      </w:r>
      <w:r w:rsidR="00B2157F">
        <w:t>As such, some of the differences in welfare system utilisation seen in the figure above may be driven by this effect</w:t>
      </w:r>
      <w:r w:rsidR="00AF24C9">
        <w:t>.</w:t>
      </w:r>
    </w:p>
    <w:p w14:paraId="369DC0C8" w14:textId="77777777" w:rsidR="00B10720" w:rsidRPr="000F0829" w:rsidRDefault="00B10720" w:rsidP="00B10720">
      <w:pPr>
        <w:pStyle w:val="PwCNormal"/>
        <w:numPr>
          <w:ilvl w:val="0"/>
          <w:numId w:val="0"/>
        </w:numPr>
      </w:pPr>
      <w:r>
        <w:t>There are also differences in the nature of welfare assistance provided when these children do enter the welfare system. This is explored in the chart below which looks at the likelihood of a child entering the welfare system through a pre-retirement income support class</w:t>
      </w:r>
      <w:r w:rsidRPr="000F0829">
        <w:t>.</w:t>
      </w:r>
    </w:p>
    <w:p w14:paraId="5CF99A70" w14:textId="13DEEF22" w:rsidR="00B10720" w:rsidRPr="000F0829" w:rsidRDefault="00B10720" w:rsidP="00B10720">
      <w:pPr>
        <w:pStyle w:val="Caption"/>
      </w:pPr>
      <w:r w:rsidRPr="000F0829">
        <w:lastRenderedPageBreak/>
        <w:t xml:space="preserve">Figure </w:t>
      </w:r>
      <w:fldSimple w:instr=" SEQ Figure \* ARABIC ">
        <w:r w:rsidR="00C93C1A">
          <w:rPr>
            <w:noProof/>
          </w:rPr>
          <w:t>11</w:t>
        </w:r>
      </w:fldSimple>
      <w:r w:rsidRPr="000F0829">
        <w:t xml:space="preserve">: </w:t>
      </w:r>
      <w:r w:rsidR="00EE42CA">
        <w:t>Projected c</w:t>
      </w:r>
      <w:r w:rsidRPr="000F0829">
        <w:t>lass at first entry to the welfare system by level of intergenerational dependence</w:t>
      </w:r>
      <w:r>
        <w:t xml:space="preserve"> (current 15 year olds)</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Number of exits, by year of exit and previous class&#10;"/>
        <w:tblDescription w:val="This figure is a stacked column chart. The chart shows the number of exits by previous class over the past five financial years. The vertical axis shows the number of people ranging from 0 to 600,000. The horizontal axis shows the financial years from 2012 to 2016.&#10;&#10;The columns for each financial year are split by active class: 1 Studying, 2 Working Age, 3 Parents, 4 Carers, 5 Disability Support, 6 Pension Age, 7 Non-IS Family, 8 Non-IS Carer, and 9 Non-IS Other.&#10;&#10;The total number of exits in each of the last five financial years was: 508,000 in 2012, 490,000 in 2013, 470,000 in 2014, 554,000 in 2015 and 570,000 in 2016.&#10;&#10;The key features of this chart are described in the accompanying text within the report.&#10;"/>
      </w:tblPr>
      <w:tblGrid>
        <w:gridCol w:w="6036"/>
        <w:gridCol w:w="3711"/>
      </w:tblGrid>
      <w:tr w:rsidR="00B10720" w:rsidRPr="000F0829" w14:paraId="31C685A6" w14:textId="77777777" w:rsidTr="00816D81">
        <w:trPr>
          <w:tblHeader/>
        </w:trPr>
        <w:tc>
          <w:tcPr>
            <w:tcW w:w="5898" w:type="dxa"/>
          </w:tcPr>
          <w:p w14:paraId="6EA69619" w14:textId="6A889948" w:rsidR="00B10720" w:rsidRPr="000F0829" w:rsidRDefault="00670F5C" w:rsidP="00816D81">
            <w:pPr>
              <w:pStyle w:val="PwCNormal"/>
              <w:widowControl w:val="0"/>
              <w:numPr>
                <w:ilvl w:val="0"/>
                <w:numId w:val="0"/>
              </w:numPr>
            </w:pPr>
            <w:r w:rsidRPr="00670F5C">
              <w:rPr>
                <w:noProof/>
                <w:lang w:eastAsia="en-AU"/>
              </w:rPr>
              <w:drawing>
                <wp:inline distT="0" distB="0" distL="0" distR="0" wp14:anchorId="76FA68AB" wp14:editId="7C9826B8">
                  <wp:extent cx="3688375" cy="2160000"/>
                  <wp:effectExtent l="0" t="0" r="7620" b="0"/>
                  <wp:docPr id="12" name="Picture 12" descr="This figure is a stacked column chart. The vertical axis displays the proportion of people for each welfare class, ranging from 0% to 100%. The horizontal axis is split by level of parental welfare dependence: None (0%), Some (1%-30%), High (31%-80%) and Very High (81%+).&#10;&#10;In all four sections, each column is split into the following income support classes: Studying, Working Age, Parents, Carers, Disability Support and Other Classes.&#10;&#10;19% of current 15 year olds with no parental welfare dependency are expected to first enter the welfare system through the Working Age class, compared to 34% and 41% for those with high and very high parental welfare dependence respectively. &#10;&#10;The other major first entry welfare classes for current 15 year olds with high and very high parental welfare dependency are the Studying class (41% in both cases) and other classes (19% and 10% respectively). &#10;&#10;The key features of this chart are described in the accompanying text within the report.&#10;This figure is a stacked column chart. The vertical axis displays the projected future years in pre-retirement income support classes, ranging from 0 to 18 years. The horizontal axis is split by level of parental welfare dependence: None (0%), Some (1%-30%), High (31%-80%) and Very High (81%+).&#10;&#10;In all four sections, each column is split into the following income support classes: Studying, Working Age, Parents, Carers and Disability Support.&#10;&#10;Current 15 year olds with no parental welfare dependency are expected to be in the Disability Support income support class for 2 years, compared to 3 and 4 years for those with high and very high parental welfare dependence respectively. &#10;&#10;A large portion of future years in pre-retirement income support classes for current 15 year olds with high and very high parental welfare dependency are in the Working Age income support class, projected to receive these payments for 5 and 6 years respectively. &#10;&#10;The key features of this chart are described in the accompanying text within the report.&#10;" title="Projected class at first entry to the welfare system by level of intergenerational dependence (current 15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88375" cy="2160000"/>
                          </a:xfrm>
                          <a:prstGeom prst="rect">
                            <a:avLst/>
                          </a:prstGeom>
                          <a:noFill/>
                          <a:ln>
                            <a:noFill/>
                          </a:ln>
                        </pic:spPr>
                      </pic:pic>
                    </a:graphicData>
                  </a:graphic>
                </wp:inline>
              </w:drawing>
            </w:r>
          </w:p>
        </w:tc>
        <w:tc>
          <w:tcPr>
            <w:tcW w:w="3849" w:type="dxa"/>
            <w:vAlign w:val="center"/>
          </w:tcPr>
          <w:p w14:paraId="07D92E01" w14:textId="156D54A1" w:rsidR="00B10720" w:rsidRPr="000F0829" w:rsidRDefault="00670F5C" w:rsidP="00816D81">
            <w:pPr>
              <w:pStyle w:val="PwCNormal"/>
              <w:widowControl w:val="0"/>
              <w:numPr>
                <w:ilvl w:val="0"/>
                <w:numId w:val="0"/>
              </w:numPr>
            </w:pPr>
            <w:r w:rsidRPr="00670F5C">
              <w:rPr>
                <w:noProof/>
                <w:lang w:eastAsia="en-AU"/>
              </w:rPr>
              <w:drawing>
                <wp:inline distT="0" distB="0" distL="0" distR="0" wp14:anchorId="3670CE62" wp14:editId="52589DA0">
                  <wp:extent cx="1165250" cy="815340"/>
                  <wp:effectExtent l="0" t="0" r="0" b="3810"/>
                  <wp:docPr id="315" name="Picture 315" descr="This shows the legend to the previous graph."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a:extLst>
                              <a:ext uri="{28A0092B-C50C-407E-A947-70E740481C1C}">
                                <a14:useLocalDpi xmlns:a14="http://schemas.microsoft.com/office/drawing/2010/main" val="0"/>
                              </a:ext>
                            </a:extLst>
                          </a:blip>
                          <a:srcRect r="29002" b="5240"/>
                          <a:stretch/>
                        </pic:blipFill>
                        <pic:spPr bwMode="auto">
                          <a:xfrm>
                            <a:off x="0" y="0"/>
                            <a:ext cx="1184405" cy="8287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74915D" w14:textId="18A84480" w:rsidR="00247079" w:rsidRPr="000F0829" w:rsidRDefault="00247079" w:rsidP="00247079">
      <w:pPr>
        <w:pStyle w:val="PwCNormal"/>
        <w:numPr>
          <w:ilvl w:val="0"/>
          <w:numId w:val="0"/>
        </w:numPr>
      </w:pPr>
      <w:r w:rsidRPr="000F0829">
        <w:t xml:space="preserve">It reveals that when children with very high </w:t>
      </w:r>
      <w:r w:rsidR="00654967">
        <w:t xml:space="preserve">level of parental </w:t>
      </w:r>
      <w:r w:rsidRPr="000F0829">
        <w:t>welfare dependence do</w:t>
      </w:r>
      <w:r>
        <w:t xml:space="preserve"> enter the system, 90% enter directly onto </w:t>
      </w:r>
      <w:r w:rsidRPr="000F0829">
        <w:t>pre-retirement income support payments</w:t>
      </w:r>
      <w:r>
        <w:t xml:space="preserve">, including </w:t>
      </w:r>
      <w:r w:rsidRPr="000F0829">
        <w:t>4</w:t>
      </w:r>
      <w:r>
        <w:t>0</w:t>
      </w:r>
      <w:r w:rsidRPr="000F0829">
        <w:t xml:space="preserve">% that </w:t>
      </w:r>
      <w:r>
        <w:t xml:space="preserve">enter directly onto </w:t>
      </w:r>
      <w:r w:rsidR="003C32DF">
        <w:t>Working Age payments</w:t>
      </w:r>
      <w:r w:rsidRPr="000F0829">
        <w:t xml:space="preserve">. </w:t>
      </w:r>
      <w:r>
        <w:t xml:space="preserve">These figures are almost double of those for children with no </w:t>
      </w:r>
      <w:r w:rsidR="00C5098B">
        <w:t>parental</w:t>
      </w:r>
      <w:r>
        <w:t xml:space="preserve"> welfare dependence who are instead much more likely to enter the welfare system onto a </w:t>
      </w:r>
      <w:r w:rsidR="005B3E7D">
        <w:t>non income</w:t>
      </w:r>
      <w:r>
        <w:t xml:space="preserve"> support payment or the age pension when they retire.</w:t>
      </w:r>
    </w:p>
    <w:p w14:paraId="71EDF68D" w14:textId="77777777" w:rsidR="00B10720" w:rsidRPr="000F0829" w:rsidRDefault="00B10720" w:rsidP="00B10720">
      <w:pPr>
        <w:pStyle w:val="Heading4"/>
      </w:pPr>
      <w:r w:rsidRPr="000F0829">
        <w:t xml:space="preserve">How does this </w:t>
      </w:r>
      <w:r>
        <w:t>a</w:t>
      </w:r>
      <w:r w:rsidRPr="000F0829">
        <w:t>ffect the duration of a child’s interaction with the welfare system?</w:t>
      </w:r>
    </w:p>
    <w:p w14:paraId="51186739" w14:textId="3DDE71B9" w:rsidR="00B10720" w:rsidRPr="000F0829" w:rsidRDefault="00B10720" w:rsidP="00B10720">
      <w:pPr>
        <w:pStyle w:val="PwCNormal"/>
        <w:numPr>
          <w:ilvl w:val="0"/>
          <w:numId w:val="0"/>
        </w:numPr>
      </w:pPr>
      <w:r w:rsidRPr="000F0829">
        <w:t xml:space="preserve">The figure below shows the expected number of years that these children will stay in the </w:t>
      </w:r>
      <w:r w:rsidR="00C5098B">
        <w:t>pre-retirement income support</w:t>
      </w:r>
      <w:r w:rsidRPr="000F0829">
        <w:t xml:space="preserve"> system, and how this differs based on their level of </w:t>
      </w:r>
      <w:r w:rsidR="00C5098B">
        <w:t>parental</w:t>
      </w:r>
      <w:r w:rsidRPr="000F0829">
        <w:t xml:space="preserve"> welfare dependence.</w:t>
      </w:r>
    </w:p>
    <w:p w14:paraId="303CD40B" w14:textId="04CFBD41" w:rsidR="00B10720" w:rsidRPr="000F0829" w:rsidRDefault="00B10720" w:rsidP="00B10720">
      <w:pPr>
        <w:pStyle w:val="Caption"/>
      </w:pPr>
      <w:r w:rsidRPr="000F0829">
        <w:t xml:space="preserve">Figure </w:t>
      </w:r>
      <w:fldSimple w:instr=" SEQ Figure \* ARABIC ">
        <w:r w:rsidR="00C93C1A">
          <w:rPr>
            <w:noProof/>
          </w:rPr>
          <w:t>12</w:t>
        </w:r>
      </w:fldSimple>
      <w:r w:rsidRPr="000F0829">
        <w:t xml:space="preserve">: </w:t>
      </w:r>
      <w:r w:rsidR="00EE42CA">
        <w:t>Projected</w:t>
      </w:r>
      <w:r w:rsidR="00EE42CA" w:rsidRPr="000F0829">
        <w:t xml:space="preserve"> </w:t>
      </w:r>
      <w:r w:rsidRPr="000F0829">
        <w:t xml:space="preserve">future years in </w:t>
      </w:r>
      <w:r>
        <w:t>pre-retirement income support classes</w:t>
      </w:r>
      <w:r w:rsidRPr="000F0829">
        <w:t xml:space="preserve"> by level of </w:t>
      </w:r>
      <w:r>
        <w:t>parental welfare</w:t>
      </w:r>
      <w:r w:rsidRPr="000F0829">
        <w:t xml:space="preserve"> dependence</w:t>
      </w:r>
      <w:r>
        <w:t xml:space="preserve"> (current 15 year olds)</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 Number of exits, by year of exit and previous class&#10;"/>
        <w:tblDescription w:val="This figure is a stacked column chart. The chart shows the number of exits by previous class over the past five financial years. The vertical axis shows the number of people ranging from 0 to 600,000. The horizontal axis shows the financial years from 2012 to 2016.&#10;&#10;The columns for each financial year are split by active class: 1 Studying, 2 Working Age, 3 Parents, 4 Carers, 5 Disability Support, 6 Pension Age, 7 Non-IS Family, 8 Non-IS Carer, and 9 Non-IS Other.&#10;&#10;The total number of exits in each of the last five financial years was: 508,000 in 2012, 490,000 in 2013, 470,000 in 2014, 554,000 in 2015 and 570,000 in 2016.&#10;&#10;The key features of this chart are described in the accompanying text within the report.&#10;"/>
      </w:tblPr>
      <w:tblGrid>
        <w:gridCol w:w="6062"/>
        <w:gridCol w:w="3685"/>
      </w:tblGrid>
      <w:tr w:rsidR="00B10720" w:rsidRPr="000F0829" w14:paraId="2FC97580" w14:textId="77777777" w:rsidTr="00816D81">
        <w:trPr>
          <w:tblHeader/>
        </w:trPr>
        <w:tc>
          <w:tcPr>
            <w:tcW w:w="6062" w:type="dxa"/>
          </w:tcPr>
          <w:p w14:paraId="289F77C6" w14:textId="77777777" w:rsidR="00B10720" w:rsidRPr="000F0829" w:rsidRDefault="00B10720" w:rsidP="00816D81">
            <w:pPr>
              <w:pStyle w:val="PwCNormal"/>
              <w:widowControl w:val="0"/>
              <w:numPr>
                <w:ilvl w:val="0"/>
                <w:numId w:val="0"/>
              </w:numPr>
            </w:pPr>
            <w:r w:rsidRPr="00E42DC3">
              <w:rPr>
                <w:noProof/>
                <w:lang w:eastAsia="en-AU"/>
              </w:rPr>
              <w:drawing>
                <wp:inline distT="0" distB="0" distL="0" distR="0" wp14:anchorId="3CBDE44F" wp14:editId="53EA1A21">
                  <wp:extent cx="3600000" cy="2152030"/>
                  <wp:effectExtent l="0" t="0" r="635" b="635"/>
                  <wp:docPr id="3855" name="Picture 3855" descr="This figure is a stacked column chart. The vertical axis displays the projected future years in pre-retirement income support classes, ranging from 0 to 18 years. The horizontal axis is split by level of parental welfare dependence: None (0%), Some (1%-30%), High (31%-80%) and Very High (81%+).&#10;&#10;In all four sections, each column is split into the following income support classes: Studying, Working Age, Parents, Carers and Disability Support.&#10;&#10;Current 15 year olds with no parental welfare dependency are expected to be in the Disability Support income support class for 2 years, compared to 3 and 4 years for those with high and very high parental welfare dependence respectively. &#10;&#10;A large portion of future years in pre-retirement income support classes for current 15 year olds with high and very high parental welfare dependency are in the Working Age income support class, projected to receive these payments for 5 and 6 years respectively. &#10;&#10;The key features of this chart are described in the accompanying text within the report.&#10;" title="Projected future years in pre-retirement income support classes by level of parental welfare dependence (current 15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0" cy="2152030"/>
                          </a:xfrm>
                          <a:prstGeom prst="rect">
                            <a:avLst/>
                          </a:prstGeom>
                          <a:noFill/>
                          <a:ln>
                            <a:noFill/>
                          </a:ln>
                        </pic:spPr>
                      </pic:pic>
                    </a:graphicData>
                  </a:graphic>
                </wp:inline>
              </w:drawing>
            </w:r>
          </w:p>
        </w:tc>
        <w:tc>
          <w:tcPr>
            <w:tcW w:w="3685" w:type="dxa"/>
            <w:vAlign w:val="center"/>
          </w:tcPr>
          <w:p w14:paraId="08C2AF3D" w14:textId="309C12AC" w:rsidR="00B10720" w:rsidRPr="000F0829" w:rsidRDefault="00670F5C" w:rsidP="00816D81">
            <w:pPr>
              <w:pStyle w:val="PwCNormal"/>
              <w:widowControl w:val="0"/>
              <w:numPr>
                <w:ilvl w:val="0"/>
                <w:numId w:val="0"/>
              </w:numPr>
            </w:pPr>
            <w:r w:rsidRPr="00670F5C">
              <w:rPr>
                <w:noProof/>
                <w:lang w:eastAsia="en-AU"/>
              </w:rPr>
              <w:drawing>
                <wp:inline distT="0" distB="0" distL="0" distR="0" wp14:anchorId="231E8E4A" wp14:editId="4CB7246F">
                  <wp:extent cx="1164590" cy="660400"/>
                  <wp:effectExtent l="0" t="0" r="0" b="6350"/>
                  <wp:docPr id="316" name="Picture 316" descr="This shows the legend for the previous chart."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a:extLst>
                              <a:ext uri="{28A0092B-C50C-407E-A947-70E740481C1C}">
                                <a14:useLocalDpi xmlns:a14="http://schemas.microsoft.com/office/drawing/2010/main" val="0"/>
                              </a:ext>
                            </a:extLst>
                          </a:blip>
                          <a:srcRect r="29002" b="23203"/>
                          <a:stretch/>
                        </pic:blipFill>
                        <pic:spPr bwMode="auto">
                          <a:xfrm>
                            <a:off x="0" y="0"/>
                            <a:ext cx="1184405" cy="6716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001F24" w14:textId="55BC9144" w:rsidR="00247079" w:rsidRPr="000F0829" w:rsidRDefault="00247079" w:rsidP="00247079">
      <w:pPr>
        <w:pStyle w:val="PwCNormal"/>
        <w:numPr>
          <w:ilvl w:val="0"/>
          <w:numId w:val="0"/>
        </w:numPr>
      </w:pPr>
      <w:r w:rsidRPr="000F0829">
        <w:t xml:space="preserve">As can be seen above, children with very high welfare dependence are expected to be reliant on income support payments (excluding the age pension) for more than 15 years of their lives. For six of these years, this group will be receiving </w:t>
      </w:r>
      <w:r w:rsidR="0049533C">
        <w:t>W</w:t>
      </w:r>
      <w:r w:rsidRPr="000F0829">
        <w:t xml:space="preserve">orking </w:t>
      </w:r>
      <w:r w:rsidR="0049533C">
        <w:t>A</w:t>
      </w:r>
      <w:r w:rsidR="0049533C" w:rsidRPr="000F0829">
        <w:t xml:space="preserve">ge </w:t>
      </w:r>
      <w:r w:rsidRPr="000F0829">
        <w:t xml:space="preserve">related payments. Children with no </w:t>
      </w:r>
      <w:r w:rsidR="00C5098B">
        <w:t>parental welfare</w:t>
      </w:r>
      <w:r w:rsidRPr="000F0829">
        <w:t xml:space="preserve"> dependence </w:t>
      </w:r>
      <w:r>
        <w:t xml:space="preserve">who enter the welfare system </w:t>
      </w:r>
      <w:r w:rsidRPr="000F0829">
        <w:t xml:space="preserve">are expected to spend only half of this time (three years) receiving </w:t>
      </w:r>
      <w:r w:rsidR="003C32DF">
        <w:t>Working Age payments</w:t>
      </w:r>
      <w:r w:rsidRPr="000F0829">
        <w:t xml:space="preserve">, and a total of eight years receiving income support payments (excluding the age pension). </w:t>
      </w:r>
    </w:p>
    <w:p w14:paraId="43329800" w14:textId="77777777" w:rsidR="00B10720" w:rsidRPr="000F0829" w:rsidRDefault="00B10720" w:rsidP="00B10720">
      <w:pPr>
        <w:pStyle w:val="Heading4"/>
      </w:pPr>
      <w:r w:rsidRPr="000F0829">
        <w:t>What is the cost of this cycle of welfare dependence?</w:t>
      </w:r>
    </w:p>
    <w:p w14:paraId="50E7FFFA" w14:textId="0C0DB221" w:rsidR="00247079" w:rsidRPr="000F0829" w:rsidRDefault="00247079" w:rsidP="00247079">
      <w:pPr>
        <w:pStyle w:val="PwCNormal"/>
        <w:numPr>
          <w:ilvl w:val="0"/>
          <w:numId w:val="0"/>
        </w:numPr>
      </w:pPr>
      <w:r w:rsidRPr="000F0829">
        <w:t>Th</w:t>
      </w:r>
      <w:r>
        <w:t xml:space="preserve">e chart below shows </w:t>
      </w:r>
      <w:r w:rsidRPr="000F0829">
        <w:t xml:space="preserve">the average lifetime cost of income support payments (excluding the age pension) for children aged 15 in 2017 by their level of </w:t>
      </w:r>
      <w:r w:rsidR="00187C2A">
        <w:t>parental welfare dependence</w:t>
      </w:r>
      <w:r w:rsidRPr="000F0829">
        <w:t>.</w:t>
      </w:r>
      <w:r>
        <w:t xml:space="preserve"> </w:t>
      </w:r>
    </w:p>
    <w:p w14:paraId="6F53FC93" w14:textId="3C28041B" w:rsidR="00247079" w:rsidRPr="000F0829" w:rsidRDefault="00247079" w:rsidP="00247079">
      <w:pPr>
        <w:pStyle w:val="Caption"/>
      </w:pPr>
      <w:r w:rsidRPr="00EC3E59">
        <w:lastRenderedPageBreak/>
        <w:t xml:space="preserve">Figure </w:t>
      </w:r>
      <w:fldSimple w:instr=" SEQ Figure \* ARABIC ">
        <w:r w:rsidR="00C93C1A">
          <w:rPr>
            <w:noProof/>
          </w:rPr>
          <w:t>13</w:t>
        </w:r>
      </w:fldSimple>
      <w:r w:rsidRPr="00EC3E59">
        <w:t xml:space="preserve">: </w:t>
      </w:r>
      <w:r w:rsidR="00EE42CA">
        <w:t>Projected a</w:t>
      </w:r>
      <w:r w:rsidRPr="00EC3E59">
        <w:t xml:space="preserve">verage lifetime cost </w:t>
      </w:r>
      <w:r>
        <w:t xml:space="preserve">of pre-retirement income support payments </w:t>
      </w:r>
      <w:r w:rsidRPr="00EC3E59">
        <w:t xml:space="preserve">by level of intergenerational welfare dependency </w:t>
      </w:r>
      <w:r>
        <w:t>(current 15 year olds</w:t>
      </w:r>
      <w:r w:rsidR="007C5C8F">
        <w:t xml:space="preserve"> in class 12</w:t>
      </w:r>
      <w:r>
        <w:t>)</w:t>
      </w:r>
    </w:p>
    <w:tbl>
      <w:tblPr>
        <w:tblStyle w:val="TableGrid"/>
        <w:tblW w:w="10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 Number of exits, by year of exit and previous class&#10;"/>
        <w:tblDescription w:val="This figure is a stacked column chart. The chart shows the number of exits by previous class over the past five financial years. The vertical axis shows the number of people ranging from 0 to 600,000. The horizontal axis shows the financial years from 2012 to 2016.&#10;&#10;The columns for each financial year are split by active class: 1 Studying, 2 Working Age, 3 Parents, 4 Carers, 5 Disability Support, 6 Pension Age, 7 Non-IS Family, 8 Non-IS Carer, and 9 Non-IS Other.&#10;&#10;The total number of exits in each of the last five financial years was: 508,000 in 2012, 490,000 in 2013, 470,000 in 2014, 554,000 in 2015 and 570,000 in 2016.&#10;&#10;The key features of this chart are described in the accompanying text within the report.&#10;"/>
      </w:tblPr>
      <w:tblGrid>
        <w:gridCol w:w="5070"/>
        <w:gridCol w:w="5011"/>
      </w:tblGrid>
      <w:tr w:rsidR="00247079" w:rsidRPr="000F0829" w14:paraId="6F91C178" w14:textId="77777777" w:rsidTr="00D704AA">
        <w:trPr>
          <w:tblHeader/>
        </w:trPr>
        <w:tc>
          <w:tcPr>
            <w:tcW w:w="5070" w:type="dxa"/>
          </w:tcPr>
          <w:p w14:paraId="040D7CAE" w14:textId="0B53B244" w:rsidR="00247079" w:rsidRPr="000F0829" w:rsidRDefault="00247079" w:rsidP="00D704AA">
            <w:pPr>
              <w:pStyle w:val="PwCNormal"/>
              <w:widowControl w:val="0"/>
              <w:numPr>
                <w:ilvl w:val="0"/>
                <w:numId w:val="0"/>
              </w:numPr>
            </w:pPr>
            <w:r w:rsidRPr="00007FCA">
              <w:rPr>
                <w:noProof/>
                <w:lang w:eastAsia="en-AU"/>
              </w:rPr>
              <w:drawing>
                <wp:inline distT="0" distB="0" distL="0" distR="0" wp14:anchorId="019CD35C" wp14:editId="16CE8519">
                  <wp:extent cx="3101439" cy="1800000"/>
                  <wp:effectExtent l="0" t="0" r="3810" b="0"/>
                  <wp:docPr id="1067" name="Picture 1067" descr="This figure is a stacked column chart. The vertical axis displays the projected average lifetime cost of pre-retirement income support, ranging from $0 to $120,000. The horizontal axis is split by level of parental welfare dependence: None (0%), Some (1%-30%), High (31%-80%) and Very High (81%+).&#10;&#10;In all four sections, each column is split into the following income support classes: IS Studying, IS Working Age, IS Parents, IS Carers and IS Disability Support.&#10;&#10;Current 15 year olds with no parental welfare dependency are expected to receive $9700 in IS Working Age payments, compared to $23,500 for those with very high parental welfare dependence. &#10;&#10;A large portion of future income support payments for current 15 year olds with very high and high parental welfare dependency are from Working Age payments projected to be on average $26,000 and $34,000 respectively, corresponding to 32% and 35% of total lifetime pre-retirement income support payments.&#10;&#10;The key features of this chart are described in the accompanying text within the report.&#10;" title="Projected average lifetime cost of pre-retirement income support payments by level of intergenerational welfare dependency (current 15 year olds in clas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1439" cy="1800000"/>
                          </a:xfrm>
                          <a:prstGeom prst="rect">
                            <a:avLst/>
                          </a:prstGeom>
                          <a:noFill/>
                          <a:ln>
                            <a:noFill/>
                          </a:ln>
                        </pic:spPr>
                      </pic:pic>
                    </a:graphicData>
                  </a:graphic>
                </wp:inline>
              </w:drawing>
            </w:r>
          </w:p>
        </w:tc>
        <w:tc>
          <w:tcPr>
            <w:tcW w:w="5011" w:type="dxa"/>
            <w:vAlign w:val="center"/>
          </w:tcPr>
          <w:p w14:paraId="61F42DE6" w14:textId="35AE55E4" w:rsidR="00247079" w:rsidRPr="00247079" w:rsidRDefault="00D22C7A" w:rsidP="00D22C7A">
            <w:pPr>
              <w:pStyle w:val="PwCNormal"/>
              <w:widowControl w:val="0"/>
              <w:numPr>
                <w:ilvl w:val="0"/>
                <w:numId w:val="0"/>
              </w:numPr>
            </w:pPr>
            <w:r w:rsidRPr="00761737">
              <w:rPr>
                <w:noProof/>
                <w:lang w:eastAsia="en-AU"/>
              </w:rPr>
              <w:drawing>
                <wp:inline distT="0" distB="0" distL="0" distR="0" wp14:anchorId="2151FB74" wp14:editId="1644B1C0">
                  <wp:extent cx="1014709" cy="702000"/>
                  <wp:effectExtent l="0" t="0" r="0" b="0"/>
                  <wp:docPr id="3841" name="Picture 3841" descr="This shows the legend to the previous chart."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4709" cy="702000"/>
                          </a:xfrm>
                          <a:prstGeom prst="rect">
                            <a:avLst/>
                          </a:prstGeom>
                          <a:noFill/>
                          <a:ln>
                            <a:noFill/>
                          </a:ln>
                        </pic:spPr>
                      </pic:pic>
                    </a:graphicData>
                  </a:graphic>
                </wp:inline>
              </w:drawing>
            </w:r>
          </w:p>
        </w:tc>
      </w:tr>
    </w:tbl>
    <w:p w14:paraId="45B80E88" w14:textId="0A794B97" w:rsidR="00247079" w:rsidRDefault="00247079" w:rsidP="00247079">
      <w:pPr>
        <w:pStyle w:val="PwCNormal"/>
        <w:numPr>
          <w:ilvl w:val="0"/>
          <w:numId w:val="0"/>
        </w:numPr>
      </w:pPr>
      <w:r w:rsidRPr="000F0829">
        <w:t xml:space="preserve">For </w:t>
      </w:r>
      <w:r>
        <w:t xml:space="preserve">a 15 year old </w:t>
      </w:r>
      <w:r w:rsidRPr="000F0829">
        <w:t xml:space="preserve">with a very high level of </w:t>
      </w:r>
      <w:r w:rsidR="00C5098B">
        <w:t>parental</w:t>
      </w:r>
      <w:r w:rsidRPr="000F0829">
        <w:t xml:space="preserve"> welfare dependence, the model indicates </w:t>
      </w:r>
      <w:r>
        <w:t>an average lifetime cost of $240</w:t>
      </w:r>
      <w:r w:rsidRPr="000F0829">
        <w:t>,000 per child</w:t>
      </w:r>
      <w:r w:rsidR="007C5C8F">
        <w:t>, including the amounts shown above as well as all other in-scope payments</w:t>
      </w:r>
      <w:r w:rsidR="00D457D4">
        <w:t>.</w:t>
      </w:r>
      <w:r w:rsidRPr="000F0829">
        <w:t xml:space="preserve"> Thi</w:t>
      </w:r>
      <w:r>
        <w:t>s is $69</w:t>
      </w:r>
      <w:r w:rsidRPr="000F0829">
        <w:t xml:space="preserve">,000 more than children with no </w:t>
      </w:r>
      <w:r w:rsidR="00C5098B">
        <w:t>parental</w:t>
      </w:r>
      <w:r w:rsidR="00C5098B" w:rsidRPr="000F0829">
        <w:t xml:space="preserve"> </w:t>
      </w:r>
      <w:r w:rsidRPr="000F0829">
        <w:t>welfare dependence. The m</w:t>
      </w:r>
      <w:r w:rsidRPr="00D22C7A">
        <w:t xml:space="preserve">ajority (around $50,000) of the </w:t>
      </w:r>
      <w:r w:rsidRPr="000F0829">
        <w:t xml:space="preserve">difference in the costs </w:t>
      </w:r>
      <w:r>
        <w:t xml:space="preserve">for </w:t>
      </w:r>
      <w:r w:rsidRPr="000F0829">
        <w:t xml:space="preserve">these children relates to the receipt of </w:t>
      </w:r>
      <w:r>
        <w:t xml:space="preserve">pre-retirement income support payments; this is primarily driven by </w:t>
      </w:r>
      <w:r w:rsidR="0049533C">
        <w:t>h</w:t>
      </w:r>
      <w:r>
        <w:t xml:space="preserve">igher </w:t>
      </w:r>
      <w:r w:rsidR="0049533C">
        <w:t>W</w:t>
      </w:r>
      <w:r w:rsidR="0049533C" w:rsidRPr="000F0829">
        <w:t xml:space="preserve">orking </w:t>
      </w:r>
      <w:r w:rsidR="0049533C">
        <w:t>A</w:t>
      </w:r>
      <w:r w:rsidRPr="000F0829">
        <w:t xml:space="preserve">ge, </w:t>
      </w:r>
      <w:r w:rsidR="0070204F">
        <w:t>P</w:t>
      </w:r>
      <w:r w:rsidRPr="000F0829">
        <w:t xml:space="preserve">arenting and </w:t>
      </w:r>
      <w:r w:rsidR="00C5098B">
        <w:t>DSP</w:t>
      </w:r>
      <w:r w:rsidRPr="000F0829">
        <w:t xml:space="preserve"> payments.</w:t>
      </w:r>
    </w:p>
    <w:p w14:paraId="41124DA6" w14:textId="77777777" w:rsidR="00247079" w:rsidRPr="008A3DE3" w:rsidRDefault="00247079" w:rsidP="00247079">
      <w:pPr>
        <w:pStyle w:val="Minorheading"/>
      </w:pPr>
      <w:r>
        <w:t>Lifetime cost results by level of parental welfare dependence and age</w:t>
      </w:r>
    </w:p>
    <w:p w14:paraId="7639B5C3" w14:textId="4E5BABA0" w:rsidR="00247079" w:rsidRDefault="00247079" w:rsidP="00247079">
      <w:pPr>
        <w:pStyle w:val="PwCNormal"/>
        <w:numPr>
          <w:ilvl w:val="0"/>
          <w:numId w:val="0"/>
        </w:numPr>
      </w:pPr>
      <w:r>
        <w:t xml:space="preserve">While the analysis above focuses on the lifetime cost results for the cohort of children aged 15 in 2017 who are in </w:t>
      </w:r>
      <w:r w:rsidRPr="000F0829">
        <w:t xml:space="preserve">class </w:t>
      </w:r>
      <w:r w:rsidR="00F43CCC">
        <w:t>‘</w:t>
      </w:r>
      <w:r w:rsidRPr="000F0829">
        <w:t>12 Rest of Australian Population</w:t>
      </w:r>
      <w:r w:rsidR="00F43CCC">
        <w:t>’</w:t>
      </w:r>
      <w:r>
        <w:t xml:space="preserve">, below we have considered the lifetime cost results for all individuals currently aged </w:t>
      </w:r>
      <w:r w:rsidR="00C5098B">
        <w:t>up to</w:t>
      </w:r>
      <w:r>
        <w:t xml:space="preserve"> 20. </w:t>
      </w:r>
    </w:p>
    <w:p w14:paraId="1EFEFF97" w14:textId="1C88EC1C" w:rsidR="00247079" w:rsidRDefault="00247079" w:rsidP="00247079">
      <w:pPr>
        <w:pStyle w:val="PwCNormal"/>
        <w:numPr>
          <w:ilvl w:val="0"/>
          <w:numId w:val="0"/>
        </w:numPr>
      </w:pPr>
      <w:r>
        <w:t>T</w:t>
      </w:r>
      <w:r w:rsidRPr="000F0829">
        <w:t xml:space="preserve">he figure on the left shows the </w:t>
      </w:r>
      <w:r>
        <w:t xml:space="preserve">breakdown of the </w:t>
      </w:r>
      <w:r w:rsidRPr="000F0829">
        <w:t>total lifetime cost of income support payments (excluding the age pension) fo</w:t>
      </w:r>
      <w:r>
        <w:t xml:space="preserve">r children aged 0 </w:t>
      </w:r>
      <w:r w:rsidR="00C5098B">
        <w:t>to</w:t>
      </w:r>
      <w:r>
        <w:t xml:space="preserve"> 20</w:t>
      </w:r>
      <w:r w:rsidRPr="000F0829">
        <w:t xml:space="preserve"> at the valuation date. For comparison, the figure on the right shows the average lifetime cost per person by age and level of</w:t>
      </w:r>
      <w:r>
        <w:t xml:space="preserve"> </w:t>
      </w:r>
      <w:r w:rsidRPr="001A26C5">
        <w:t>intergenerational welfare dependenc</w:t>
      </w:r>
      <w:r>
        <w:t>y for this same group of people</w:t>
      </w:r>
      <w:r w:rsidRPr="001A26C5">
        <w:t>.</w:t>
      </w:r>
    </w:p>
    <w:p w14:paraId="37A0002C" w14:textId="66325201" w:rsidR="00247079" w:rsidRPr="00011DF9" w:rsidRDefault="00247079" w:rsidP="00247079">
      <w:pPr>
        <w:pStyle w:val="Caption"/>
      </w:pPr>
      <w:r w:rsidRPr="00011DF9">
        <w:t xml:space="preserve">Figure </w:t>
      </w:r>
      <w:fldSimple w:instr=" SEQ Figure \* ARABIC ">
        <w:r w:rsidR="00C93C1A">
          <w:rPr>
            <w:noProof/>
          </w:rPr>
          <w:t>14</w:t>
        </w:r>
      </w:fldSimple>
      <w:r w:rsidRPr="00011DF9">
        <w:t xml:space="preserve">: </w:t>
      </w:r>
      <w:r w:rsidR="00EE42CA">
        <w:t>Projected l</w:t>
      </w:r>
      <w:r>
        <w:t>ifetime cost for income support payment categories (excluding pension) by level of parental welfare dependency</w:t>
      </w:r>
      <w:r w:rsidR="007C5C8F">
        <w:t xml:space="preserve"> (all classes)</w:t>
      </w:r>
    </w:p>
    <w:tbl>
      <w:tblPr>
        <w:tblStyle w:val="TableGrid"/>
        <w:tblW w:w="10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w:tblDescription w:val="This table contains two charts"/>
      </w:tblPr>
      <w:tblGrid>
        <w:gridCol w:w="5070"/>
        <w:gridCol w:w="5011"/>
      </w:tblGrid>
      <w:tr w:rsidR="00247079" w:rsidRPr="009210D0" w14:paraId="41C37030" w14:textId="77777777" w:rsidTr="00D704AA">
        <w:trPr>
          <w:tblHeader/>
        </w:trPr>
        <w:tc>
          <w:tcPr>
            <w:tcW w:w="5070" w:type="dxa"/>
          </w:tcPr>
          <w:p w14:paraId="10337A4B" w14:textId="77777777" w:rsidR="00247079" w:rsidRPr="00174F9A" w:rsidRDefault="00247079" w:rsidP="00D704AA">
            <w:pPr>
              <w:pStyle w:val="PwCNormal"/>
              <w:widowControl w:val="0"/>
              <w:numPr>
                <w:ilvl w:val="0"/>
                <w:numId w:val="0"/>
              </w:numPr>
              <w:spacing w:after="0"/>
              <w:jc w:val="center"/>
              <w:rPr>
                <w:b/>
                <w:i/>
                <w:noProof/>
                <w:lang w:eastAsia="en-AU"/>
              </w:rPr>
            </w:pPr>
            <w:r w:rsidRPr="00174F9A">
              <w:rPr>
                <w:b/>
                <w:i/>
                <w:noProof/>
                <w:lang w:eastAsia="en-AU"/>
              </w:rPr>
              <w:t>Total lifetime cost</w:t>
            </w:r>
            <w:r>
              <w:rPr>
                <w:b/>
                <w:i/>
                <w:noProof/>
                <w:lang w:eastAsia="en-AU"/>
              </w:rPr>
              <w:t xml:space="preserve"> of income support</w:t>
            </w:r>
            <w:r>
              <w:rPr>
                <w:b/>
                <w:i/>
                <w:noProof/>
                <w:lang w:eastAsia="en-AU"/>
              </w:rPr>
              <w:br/>
              <w:t>(excluding age pension)</w:t>
            </w:r>
          </w:p>
        </w:tc>
        <w:tc>
          <w:tcPr>
            <w:tcW w:w="5011" w:type="dxa"/>
          </w:tcPr>
          <w:p w14:paraId="21E74EB6" w14:textId="77777777" w:rsidR="00247079" w:rsidRPr="00174F9A" w:rsidRDefault="00247079" w:rsidP="00D704AA">
            <w:pPr>
              <w:pStyle w:val="PwCNormal"/>
              <w:widowControl w:val="0"/>
              <w:numPr>
                <w:ilvl w:val="0"/>
                <w:numId w:val="0"/>
              </w:numPr>
              <w:spacing w:after="0"/>
              <w:jc w:val="center"/>
              <w:rPr>
                <w:b/>
                <w:i/>
                <w:noProof/>
                <w:lang w:eastAsia="en-AU"/>
              </w:rPr>
            </w:pPr>
            <w:r w:rsidRPr="00174F9A">
              <w:rPr>
                <w:b/>
                <w:i/>
                <w:noProof/>
                <w:lang w:eastAsia="en-AU"/>
              </w:rPr>
              <w:t xml:space="preserve">Average lifetime </w:t>
            </w:r>
            <w:r>
              <w:rPr>
                <w:b/>
                <w:i/>
                <w:noProof/>
                <w:lang w:eastAsia="en-AU"/>
              </w:rPr>
              <w:t xml:space="preserve">cost of </w:t>
            </w:r>
            <w:r w:rsidRPr="00174F9A">
              <w:rPr>
                <w:b/>
                <w:i/>
                <w:noProof/>
                <w:lang w:eastAsia="en-AU"/>
              </w:rPr>
              <w:t xml:space="preserve">income support </w:t>
            </w:r>
            <w:r>
              <w:rPr>
                <w:b/>
                <w:i/>
                <w:noProof/>
                <w:lang w:eastAsia="en-AU"/>
              </w:rPr>
              <w:t>(excluding age pension)</w:t>
            </w:r>
          </w:p>
        </w:tc>
      </w:tr>
      <w:tr w:rsidR="00247079" w:rsidRPr="009210D0" w14:paraId="0A20D1C7" w14:textId="77777777" w:rsidTr="00D704AA">
        <w:trPr>
          <w:tblHeader/>
        </w:trPr>
        <w:tc>
          <w:tcPr>
            <w:tcW w:w="5070" w:type="dxa"/>
          </w:tcPr>
          <w:p w14:paraId="01B3B3A3" w14:textId="77777777" w:rsidR="00247079" w:rsidRPr="009210D0" w:rsidRDefault="00247079" w:rsidP="00D704AA">
            <w:pPr>
              <w:pStyle w:val="PwCNormal"/>
              <w:widowControl w:val="0"/>
              <w:numPr>
                <w:ilvl w:val="0"/>
                <w:numId w:val="0"/>
              </w:numPr>
              <w:spacing w:before="0" w:after="0"/>
              <w:rPr>
                <w:highlight w:val="yellow"/>
              </w:rPr>
            </w:pPr>
            <w:r w:rsidRPr="00F66283">
              <w:rPr>
                <w:noProof/>
                <w:lang w:eastAsia="en-AU"/>
              </w:rPr>
              <w:drawing>
                <wp:inline distT="0" distB="0" distL="0" distR="0" wp14:anchorId="13E1F324" wp14:editId="3C434918">
                  <wp:extent cx="3079750" cy="1911350"/>
                  <wp:effectExtent l="0" t="0" r="6350" b="0"/>
                  <wp:docPr id="3857" name="Picture 3857" descr="This figure includes a stacked column chart and a line chart. The stacked column chart shows the total lifetime cost of income support payments. The vertical axis shows the total lifetime cost (in $Billions), ranging from 0 to 25. The horizontal axis shows age at valuation, ranging from 0 to 20. &#10;&#10;Each column is split into the level of parental welfare dependency by: None (0%), Some (1%-35%), High (36%-80%) and Very High (81%+).&#10;&#10;Total lifetime cost is shown to increase gradually over the ages: $13.8 million at age 0, $15.8 billion at age 5, $17.3 billion at age 10, $18.3 billion at age 15 and $20.6 billion at age 20. &#10;&#10;The spread of the level of parental welfare dependencies also increases as age at valuation rises, evident by the fall in those with no parental welfare dependency’s lifetime cost from $9 billion at age 0 to $7.8 billion at age 20 while those with some parental welfare dependency had their lifetime cost rise from $0.8 billion at age 0 to $4.6 billion at age 20.&#10;" title="Projected lifetime cost for income support payment categories (excluding pension) by level of parental welfare dependency (all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9750" cy="1911350"/>
                          </a:xfrm>
                          <a:prstGeom prst="rect">
                            <a:avLst/>
                          </a:prstGeom>
                          <a:noFill/>
                          <a:ln>
                            <a:noFill/>
                          </a:ln>
                        </pic:spPr>
                      </pic:pic>
                    </a:graphicData>
                  </a:graphic>
                </wp:inline>
              </w:drawing>
            </w:r>
          </w:p>
        </w:tc>
        <w:tc>
          <w:tcPr>
            <w:tcW w:w="5011" w:type="dxa"/>
          </w:tcPr>
          <w:p w14:paraId="65FF31A7" w14:textId="77777777" w:rsidR="00247079" w:rsidRPr="009210D0" w:rsidRDefault="00247079" w:rsidP="00D704AA">
            <w:pPr>
              <w:pStyle w:val="PwCNormal"/>
              <w:widowControl w:val="0"/>
              <w:numPr>
                <w:ilvl w:val="0"/>
                <w:numId w:val="0"/>
              </w:numPr>
              <w:spacing w:before="0" w:after="0"/>
              <w:jc w:val="center"/>
              <w:rPr>
                <w:highlight w:val="yellow"/>
              </w:rPr>
            </w:pPr>
            <w:r w:rsidRPr="00F66283">
              <w:rPr>
                <w:noProof/>
                <w:lang w:eastAsia="en-AU"/>
              </w:rPr>
              <w:drawing>
                <wp:inline distT="0" distB="0" distL="0" distR="0" wp14:anchorId="5D4F8E03" wp14:editId="2E2568AE">
                  <wp:extent cx="3190440" cy="1911600"/>
                  <wp:effectExtent l="0" t="0" r="0" b="0"/>
                  <wp:docPr id="3858" name="Picture 3858" descr="The line chart shows the average lifetime cost of income support (excluding the age pension) by age at valuation. The vertical axis shows the average lifetime cost ($), ranging from 0 to 140,000. The horizontal axis shows age at valuation, ranging from 0 to 20.&#10;&#10;The chart contains a line for each of the following 4 parental welfare dependencies: Very High (81%+), High(36%-80%), Some(1%-35%) and None(0%).&#10;&#10;The chart shows that by the valuation age of 20, the average lifetime cost of income support for those with very high parental welfare dependency ($129,000) will almost double those with some parental welfare dependency ($66,000). &#10;&#10;The key features of the chart are discussed in the accompanying text within the report.&#10;" title="Projected lifetime cost for income support payment categories (excluding pension) by level of parental welfare dependency (all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90440" cy="1911600"/>
                          </a:xfrm>
                          <a:prstGeom prst="rect">
                            <a:avLst/>
                          </a:prstGeom>
                          <a:noFill/>
                          <a:ln>
                            <a:noFill/>
                          </a:ln>
                        </pic:spPr>
                      </pic:pic>
                    </a:graphicData>
                  </a:graphic>
                </wp:inline>
              </w:drawing>
            </w:r>
          </w:p>
        </w:tc>
      </w:tr>
      <w:tr w:rsidR="00247079" w:rsidRPr="009210D0" w14:paraId="253CCDB7" w14:textId="77777777" w:rsidTr="00D704AA">
        <w:trPr>
          <w:tblHeader/>
        </w:trPr>
        <w:tc>
          <w:tcPr>
            <w:tcW w:w="5070" w:type="dxa"/>
          </w:tcPr>
          <w:p w14:paraId="281C7E4F" w14:textId="77777777" w:rsidR="00247079" w:rsidRPr="00C23750" w:rsidRDefault="00247079" w:rsidP="00D704AA">
            <w:pPr>
              <w:pStyle w:val="PwCNormal"/>
              <w:widowControl w:val="0"/>
              <w:numPr>
                <w:ilvl w:val="0"/>
                <w:numId w:val="0"/>
              </w:numPr>
              <w:spacing w:before="0" w:after="0"/>
              <w:jc w:val="center"/>
              <w:rPr>
                <w:noProof/>
                <w:highlight w:val="yellow"/>
                <w:lang w:eastAsia="en-AU"/>
              </w:rPr>
            </w:pPr>
            <w:r w:rsidRPr="00CD779C">
              <w:rPr>
                <w:noProof/>
                <w:lang w:eastAsia="en-AU"/>
              </w:rPr>
              <w:drawing>
                <wp:inline distT="0" distB="0" distL="0" distR="0" wp14:anchorId="5E484034" wp14:editId="3F0D99A9">
                  <wp:extent cx="2038350" cy="317500"/>
                  <wp:effectExtent l="0" t="0" r="0" b="6350"/>
                  <wp:docPr id="3859" name="Picture 3859"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7732" t="55390" r="16082" b="26022"/>
                          <a:stretch/>
                        </pic:blipFill>
                        <pic:spPr bwMode="auto">
                          <a:xfrm>
                            <a:off x="0" y="0"/>
                            <a:ext cx="2038350" cy="317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1" w:type="dxa"/>
            <w:vAlign w:val="center"/>
          </w:tcPr>
          <w:p w14:paraId="68266D52" w14:textId="77777777" w:rsidR="00247079" w:rsidRPr="00C23750" w:rsidRDefault="00247079" w:rsidP="00D704AA">
            <w:pPr>
              <w:pStyle w:val="PwCNormal"/>
              <w:widowControl w:val="0"/>
              <w:numPr>
                <w:ilvl w:val="0"/>
                <w:numId w:val="0"/>
              </w:numPr>
              <w:spacing w:before="0" w:after="0"/>
              <w:jc w:val="center"/>
              <w:rPr>
                <w:noProof/>
                <w:lang w:eastAsia="en-AU"/>
              </w:rPr>
            </w:pPr>
            <w:r w:rsidRPr="00CD779C">
              <w:rPr>
                <w:noProof/>
                <w:lang w:eastAsia="en-AU"/>
              </w:rPr>
              <w:drawing>
                <wp:inline distT="0" distB="0" distL="0" distR="0" wp14:anchorId="21173ECE" wp14:editId="06643C03">
                  <wp:extent cx="2038350" cy="317500"/>
                  <wp:effectExtent l="0" t="0" r="0" b="6350"/>
                  <wp:docPr id="3111" name="Picture 3111"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7732" t="55390" r="16082" b="26022"/>
                          <a:stretch/>
                        </pic:blipFill>
                        <pic:spPr bwMode="auto">
                          <a:xfrm>
                            <a:off x="0" y="0"/>
                            <a:ext cx="2038350" cy="3175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956D7C" w14:textId="77777777" w:rsidR="003379B4" w:rsidRDefault="003379B4" w:rsidP="00247079">
      <w:pPr>
        <w:pStyle w:val="PwCNormal"/>
        <w:numPr>
          <w:ilvl w:val="0"/>
          <w:numId w:val="0"/>
        </w:numPr>
      </w:pPr>
      <w:r>
        <w:t>We observe that:</w:t>
      </w:r>
    </w:p>
    <w:p w14:paraId="5C02DEAD" w14:textId="77777777" w:rsidR="003E4E38" w:rsidRDefault="003379B4" w:rsidP="003379B4">
      <w:pPr>
        <w:pStyle w:val="ListBullet"/>
      </w:pPr>
      <w:r>
        <w:t>I</w:t>
      </w:r>
      <w:r w:rsidRPr="00106EE6">
        <w:t xml:space="preserve">ndividuals with higher levels of </w:t>
      </w:r>
      <w:r>
        <w:t>parental</w:t>
      </w:r>
      <w:r w:rsidRPr="00106EE6">
        <w:t xml:space="preserve"> welfare dependency tend to have more than double the average lifetime cost (for income support payments excluding the age pension) across younger ages. </w:t>
      </w:r>
    </w:p>
    <w:p w14:paraId="1AC0FC5E" w14:textId="752589D5" w:rsidR="003379B4" w:rsidRPr="00106EE6" w:rsidRDefault="003379B4" w:rsidP="003379B4">
      <w:pPr>
        <w:pStyle w:val="ListBullet"/>
      </w:pPr>
      <w:r w:rsidRPr="00106EE6">
        <w:t xml:space="preserve">The </w:t>
      </w:r>
      <w:r w:rsidR="0055625C">
        <w:t>importance of parental</w:t>
      </w:r>
      <w:r w:rsidRPr="00106EE6">
        <w:t xml:space="preserve"> welfare </w:t>
      </w:r>
      <w:r w:rsidR="0055625C">
        <w:t>use</w:t>
      </w:r>
      <w:r w:rsidRPr="00106EE6">
        <w:t xml:space="preserve"> is eviden</w:t>
      </w:r>
      <w:r w:rsidR="0055625C">
        <w:t>t</w:t>
      </w:r>
      <w:r w:rsidRPr="00106EE6">
        <w:t xml:space="preserve"> when we consider that individuals with very high levels of </w:t>
      </w:r>
      <w:r>
        <w:t xml:space="preserve">parental </w:t>
      </w:r>
      <w:r w:rsidRPr="00106EE6">
        <w:t xml:space="preserve">welfare dependency account for more than </w:t>
      </w:r>
      <w:r>
        <w:t>19</w:t>
      </w:r>
      <w:r w:rsidRPr="00106EE6">
        <w:t xml:space="preserve">% of the total </w:t>
      </w:r>
      <w:r>
        <w:t xml:space="preserve">pre-retirement income support </w:t>
      </w:r>
      <w:r w:rsidRPr="00106EE6">
        <w:t>cost for 0</w:t>
      </w:r>
      <w:r w:rsidR="00961841">
        <w:t xml:space="preserve"> to </w:t>
      </w:r>
      <w:r w:rsidRPr="00106EE6">
        <w:t xml:space="preserve">20 year olds, despite making up only </w:t>
      </w:r>
      <w:r>
        <w:t>11</w:t>
      </w:r>
      <w:r w:rsidRPr="00106EE6">
        <w:t xml:space="preserve">% of the group. </w:t>
      </w:r>
    </w:p>
    <w:p w14:paraId="789E667B" w14:textId="77777777" w:rsidR="003379B4" w:rsidRDefault="003379B4" w:rsidP="003379B4">
      <w:pPr>
        <w:pStyle w:val="ListBullet"/>
      </w:pPr>
      <w:r>
        <w:lastRenderedPageBreak/>
        <w:t>The total and average lifetime cost generally increases with age (within this age range) due to discounting – future welfare payments for older people are expected to be paid sooner.</w:t>
      </w:r>
    </w:p>
    <w:p w14:paraId="69B4DD7A" w14:textId="602CAA37" w:rsidR="00B10720" w:rsidRPr="009E7C59" w:rsidRDefault="00B10720" w:rsidP="00B10720">
      <w:pPr>
        <w:pStyle w:val="Heading3"/>
      </w:pPr>
      <w:bookmarkStart w:id="43" w:name="_Toc506388203"/>
      <w:r w:rsidRPr="009E7C59">
        <w:t>Education sector</w:t>
      </w:r>
      <w:bookmarkEnd w:id="43"/>
    </w:p>
    <w:p w14:paraId="020EADAC" w14:textId="2EF9E98D" w:rsidR="001C315B" w:rsidRDefault="001C315B" w:rsidP="00B10720">
      <w:pPr>
        <w:pStyle w:val="PwCNormal"/>
        <w:numPr>
          <w:ilvl w:val="0"/>
          <w:numId w:val="0"/>
        </w:numPr>
      </w:pPr>
      <w:r>
        <w:t xml:space="preserve">Previously, the only education variable used in the model was the highest level of educational attainment. This variable has </w:t>
      </w:r>
      <w:r w:rsidR="00F27D3B">
        <w:t xml:space="preserve">some limitations in that (a) by definition </w:t>
      </w:r>
      <w:r>
        <w:t xml:space="preserve">it is only updated when people have completed their current studies, </w:t>
      </w:r>
      <w:r w:rsidR="00F27D3B">
        <w:t xml:space="preserve">and (b) the completion of studies often coincides with a transition into another part of the welfare system or out of the welfare system entirely, and therefore there may no longer be an obligation for the individual to report their </w:t>
      </w:r>
      <w:r w:rsidR="002F459B">
        <w:t xml:space="preserve">attained </w:t>
      </w:r>
      <w:r w:rsidR="00F27D3B">
        <w:t>education.</w:t>
      </w:r>
    </w:p>
    <w:p w14:paraId="5AA18FA6" w14:textId="27F51C5D" w:rsidR="00B10720" w:rsidRDefault="001C315B" w:rsidP="00B10720">
      <w:pPr>
        <w:pStyle w:val="PwCNormal"/>
        <w:numPr>
          <w:ilvl w:val="0"/>
          <w:numId w:val="0"/>
        </w:numPr>
      </w:pPr>
      <w:r>
        <w:t xml:space="preserve">This year, for people in the Studying class, we have also included the education sector in which they are </w:t>
      </w:r>
      <w:r w:rsidR="00F27D3B">
        <w:t xml:space="preserve">currently </w:t>
      </w:r>
      <w:r>
        <w:t xml:space="preserve">studying. </w:t>
      </w:r>
      <w:r w:rsidR="00F27D3B">
        <w:t xml:space="preserve">This helps to supplement the existing educational attainment variable by providing </w:t>
      </w:r>
      <w:r w:rsidR="00B10720" w:rsidRPr="002A1781">
        <w:t xml:space="preserve">more </w:t>
      </w:r>
      <w:r w:rsidR="00F27D3B">
        <w:t xml:space="preserve">up to date </w:t>
      </w:r>
      <w:r w:rsidR="00B10720" w:rsidRPr="002A1781">
        <w:t xml:space="preserve">information </w:t>
      </w:r>
      <w:r w:rsidR="00B10720">
        <w:t>about the education pathways being undertaken by</w:t>
      </w:r>
      <w:r w:rsidR="00B10720" w:rsidRPr="002A1781">
        <w:t xml:space="preserve"> current students</w:t>
      </w:r>
      <w:r w:rsidR="00B10720">
        <w:t xml:space="preserve">. This has </w:t>
      </w:r>
      <w:r w:rsidR="00B10720" w:rsidRPr="002A1781">
        <w:t xml:space="preserve">assisted modelling </w:t>
      </w:r>
      <w:r w:rsidR="00B10720">
        <w:t xml:space="preserve">of </w:t>
      </w:r>
      <w:r w:rsidR="00B10720" w:rsidRPr="002A1781">
        <w:t>their future educational and/or career pathway which influences welfare usage. Education sector is a new class characteristic variable, modelled only while individuals are in the Studying class.</w:t>
      </w:r>
    </w:p>
    <w:p w14:paraId="0310B697" w14:textId="357F761B" w:rsidR="00B10720" w:rsidRDefault="00B10720" w:rsidP="00B10720">
      <w:pPr>
        <w:pStyle w:val="PwCNormal"/>
        <w:numPr>
          <w:ilvl w:val="0"/>
          <w:numId w:val="0"/>
        </w:numPr>
      </w:pPr>
      <w:r>
        <w:t xml:space="preserve">The </w:t>
      </w:r>
      <w:r w:rsidR="00122CDE">
        <w:t>e</w:t>
      </w:r>
      <w:r>
        <w:t xml:space="preserve">ducation </w:t>
      </w:r>
      <w:r w:rsidR="00122CDE">
        <w:t>s</w:t>
      </w:r>
      <w:r>
        <w:t>ector variable represents a person’s current level of study. A person can either be completing secondary school, vocational education and training (VET), or higher education while studying.</w:t>
      </w:r>
    </w:p>
    <w:p w14:paraId="333965D2" w14:textId="44818AEF" w:rsidR="00B10720" w:rsidRDefault="00B10720" w:rsidP="00B10720">
      <w:pPr>
        <w:pStyle w:val="Heading4"/>
      </w:pPr>
      <w:r w:rsidRPr="00074B15">
        <w:t xml:space="preserve">What does the data tell us about </w:t>
      </w:r>
      <w:r>
        <w:t>peoples</w:t>
      </w:r>
      <w:r w:rsidR="002F459B">
        <w:t>’</w:t>
      </w:r>
      <w:r>
        <w:t xml:space="preserve"> education sector</w:t>
      </w:r>
      <w:r w:rsidRPr="00074B15">
        <w:t>?</w:t>
      </w:r>
    </w:p>
    <w:p w14:paraId="3C03EE27" w14:textId="7CE182BB" w:rsidR="00B10720" w:rsidRDefault="00B10720" w:rsidP="00B10720">
      <w:pPr>
        <w:pStyle w:val="PwCNormal"/>
        <w:numPr>
          <w:ilvl w:val="0"/>
          <w:numId w:val="1"/>
        </w:numPr>
      </w:pPr>
      <w:r>
        <w:t>Whether a person is completing secondary school, VET, or higher education is strongly linked to their age and educational attainment. The chart below show</w:t>
      </w:r>
      <w:r w:rsidR="002F459B">
        <w:t>s</w:t>
      </w:r>
      <w:r>
        <w:t xml:space="preserve"> the </w:t>
      </w:r>
      <w:r w:rsidR="002F459B">
        <w:t xml:space="preserve">number </w:t>
      </w:r>
      <w:r>
        <w:t>of those in the studying class in each education sector by age.</w:t>
      </w:r>
    </w:p>
    <w:p w14:paraId="7DD415DF" w14:textId="75E2CC69" w:rsidR="00B10720" w:rsidRPr="00074B15" w:rsidRDefault="00B10720" w:rsidP="00B10720">
      <w:pPr>
        <w:pStyle w:val="Caption"/>
      </w:pPr>
      <w:r w:rsidRPr="00074B15">
        <w:t xml:space="preserve">Figure </w:t>
      </w:r>
      <w:fldSimple w:instr=" SEQ Figure \* ARABIC ">
        <w:r w:rsidR="00C93C1A">
          <w:rPr>
            <w:noProof/>
          </w:rPr>
          <w:t>15</w:t>
        </w:r>
      </w:fldSimple>
      <w:r>
        <w:t>: Profile of students (age/education sector)</w:t>
      </w:r>
    </w:p>
    <w:tbl>
      <w:tblPr>
        <w:tblW w:w="4922" w:type="pct"/>
        <w:tblLayout w:type="fixed"/>
        <w:tblLook w:val="04A0" w:firstRow="1" w:lastRow="0" w:firstColumn="1" w:lastColumn="0" w:noHBand="0" w:noVBand="1"/>
        <w:tblCaption w:val=" Number of people entering Class 2 – Working Age (annual average over last 3 years)"/>
        <w:tblDescription w:val="This text box contains two charts and a legend."/>
      </w:tblPr>
      <w:tblGrid>
        <w:gridCol w:w="4962"/>
        <w:gridCol w:w="4962"/>
      </w:tblGrid>
      <w:tr w:rsidR="00B10720" w:rsidRPr="00896ACF" w14:paraId="5D7BCAEE" w14:textId="77777777" w:rsidTr="00816D81">
        <w:tc>
          <w:tcPr>
            <w:tcW w:w="4962" w:type="dxa"/>
          </w:tcPr>
          <w:p w14:paraId="23D62F09" w14:textId="2433FFBE" w:rsidR="00B10720" w:rsidRPr="00D87C51" w:rsidRDefault="0048050D" w:rsidP="00816D81">
            <w:pPr>
              <w:pStyle w:val="TableTextSmall"/>
              <w:keepNext/>
              <w:rPr>
                <w:lang w:eastAsia="en-AU"/>
              </w:rPr>
            </w:pPr>
            <w:r w:rsidRPr="0048050D">
              <w:rPr>
                <w:noProof/>
                <w:lang w:eastAsia="en-AU"/>
              </w:rPr>
              <w:drawing>
                <wp:inline distT="0" distB="0" distL="0" distR="0" wp14:anchorId="79E6DCFC" wp14:editId="3A1BB498">
                  <wp:extent cx="3009900" cy="1875155"/>
                  <wp:effectExtent l="0" t="0" r="0" b="0"/>
                  <wp:docPr id="19" name="Picture 19" descr="This figure is an area chart. The vertical axis displays the number of students, ranging from 0 to 50,000. The horizontal axis shows age, ranging from 12 to 35. &#10;&#10;The area chart shows the number of students split by education sector; School, VET and Higher Education. &#10;&#10;The chart shows that the majority of students between 15 and 18 years old are in School and the majority of those older than 18 are in Higher Education. At age 18, 4,000 students are in School, 6,000 are in VET and 23,000 are in Higher Education, compared to at age 22 where 0 students are in School, 4,000 are in VET and 37,000 are in Higher Education.   &#10;&#10;The key features of the chart are discussed in the accompanying text within the report.&#10;" title="Profile of students (age/education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9900" cy="1875155"/>
                          </a:xfrm>
                          <a:prstGeom prst="rect">
                            <a:avLst/>
                          </a:prstGeom>
                          <a:noFill/>
                          <a:ln>
                            <a:noFill/>
                          </a:ln>
                        </pic:spPr>
                      </pic:pic>
                    </a:graphicData>
                  </a:graphic>
                </wp:inline>
              </w:drawing>
            </w:r>
          </w:p>
        </w:tc>
        <w:tc>
          <w:tcPr>
            <w:tcW w:w="4962" w:type="dxa"/>
          </w:tcPr>
          <w:p w14:paraId="78E9FC84" w14:textId="552BEA4B" w:rsidR="00B10720" w:rsidRDefault="00B10720" w:rsidP="00816D81">
            <w:pPr>
              <w:pStyle w:val="TableTextSmall"/>
              <w:keepNext/>
              <w:rPr>
                <w:lang w:eastAsia="en-AU"/>
              </w:rPr>
            </w:pPr>
          </w:p>
          <w:p w14:paraId="43894EB0" w14:textId="77777777" w:rsidR="0048050D" w:rsidRDefault="0048050D" w:rsidP="00816D81">
            <w:pPr>
              <w:pStyle w:val="TableTextSmall"/>
              <w:keepNext/>
              <w:rPr>
                <w:lang w:eastAsia="en-AU"/>
              </w:rPr>
            </w:pPr>
          </w:p>
          <w:p w14:paraId="6AD73792" w14:textId="014DE093" w:rsidR="0048050D" w:rsidRPr="00D87C51" w:rsidRDefault="0048050D" w:rsidP="00816D81">
            <w:pPr>
              <w:pStyle w:val="TableTextSmall"/>
              <w:keepNext/>
              <w:rPr>
                <w:lang w:eastAsia="en-AU"/>
              </w:rPr>
            </w:pPr>
          </w:p>
        </w:tc>
      </w:tr>
    </w:tbl>
    <w:p w14:paraId="71250611" w14:textId="6C5A1D7D" w:rsidR="00B10720" w:rsidRDefault="00B10720" w:rsidP="00B10720">
      <w:pPr>
        <w:pStyle w:val="PwCNormal"/>
        <w:numPr>
          <w:ilvl w:val="0"/>
          <w:numId w:val="1"/>
        </w:numPr>
      </w:pPr>
      <w:r>
        <w:t xml:space="preserve">We can see at the younger ages, people </w:t>
      </w:r>
      <w:r w:rsidR="002F459B">
        <w:t xml:space="preserve">mostly </w:t>
      </w:r>
      <w:r>
        <w:t xml:space="preserve">attend secondary school, while at the older ages people attend VET or higher education. The timing of the major shift from secondary school to </w:t>
      </w:r>
      <w:r w:rsidR="00F27D3B">
        <w:t xml:space="preserve">VET or </w:t>
      </w:r>
      <w:r>
        <w:t xml:space="preserve">higher education likely reflects </w:t>
      </w:r>
      <w:r w:rsidR="002F459B">
        <w:t xml:space="preserve">the age mix within school grades, </w:t>
      </w:r>
      <w:r>
        <w:t>the different states</w:t>
      </w:r>
      <w:r w:rsidR="002C7354">
        <w:t>’</w:t>
      </w:r>
      <w:r>
        <w:t xml:space="preserve"> ages for graduating from secondary school</w:t>
      </w:r>
      <w:r w:rsidR="002F459B">
        <w:t>, and</w:t>
      </w:r>
      <w:r>
        <w:t xml:space="preserve"> people who may graduate slightly quicker or slower.  </w:t>
      </w:r>
    </w:p>
    <w:p w14:paraId="62E69A1F" w14:textId="77777777" w:rsidR="00B10720" w:rsidRPr="00786826" w:rsidRDefault="00B10720" w:rsidP="00B10720">
      <w:pPr>
        <w:pStyle w:val="Minorheading"/>
      </w:pPr>
      <w:r w:rsidRPr="00786826">
        <w:t>Lifetime costs</w:t>
      </w:r>
    </w:p>
    <w:p w14:paraId="43B378D2" w14:textId="147411A5" w:rsidR="00B10720" w:rsidRDefault="00B10720" w:rsidP="00B10720">
      <w:pPr>
        <w:pStyle w:val="PwCNormal"/>
        <w:numPr>
          <w:ilvl w:val="0"/>
          <w:numId w:val="1"/>
        </w:numPr>
      </w:pPr>
      <w:r w:rsidRPr="00786826">
        <w:t xml:space="preserve">We estimated the </w:t>
      </w:r>
      <w:r>
        <w:t>average lifetime cost</w:t>
      </w:r>
      <w:r w:rsidRPr="00786826">
        <w:t xml:space="preserve"> for </w:t>
      </w:r>
      <w:r>
        <w:t>higher education students to</w:t>
      </w:r>
      <w:r w:rsidRPr="00786826">
        <w:t xml:space="preserve"> be </w:t>
      </w:r>
      <w:r w:rsidRPr="00786826">
        <w:rPr>
          <w:b/>
        </w:rPr>
        <w:t>$</w:t>
      </w:r>
      <w:r>
        <w:rPr>
          <w:b/>
        </w:rPr>
        <w:t>203,000</w:t>
      </w:r>
      <w:r w:rsidRPr="00786826">
        <w:t xml:space="preserve">. </w:t>
      </w:r>
      <w:r>
        <w:t>This compares to t</w:t>
      </w:r>
      <w:r w:rsidRPr="00786826">
        <w:t xml:space="preserve">he </w:t>
      </w:r>
      <w:r w:rsidRPr="00165427">
        <w:rPr>
          <w:b/>
        </w:rPr>
        <w:t>$</w:t>
      </w:r>
      <w:r>
        <w:rPr>
          <w:b/>
        </w:rPr>
        <w:t>241</w:t>
      </w:r>
      <w:r w:rsidRPr="00165427">
        <w:rPr>
          <w:b/>
        </w:rPr>
        <w:t>,000</w:t>
      </w:r>
      <w:r>
        <w:rPr>
          <w:b/>
        </w:rPr>
        <w:t xml:space="preserve"> </w:t>
      </w:r>
      <w:r w:rsidRPr="00786826">
        <w:t>aver</w:t>
      </w:r>
      <w:r>
        <w:t xml:space="preserve">age lifetime cost for VET students and </w:t>
      </w:r>
      <w:r w:rsidRPr="00165427">
        <w:rPr>
          <w:b/>
        </w:rPr>
        <w:t>$</w:t>
      </w:r>
      <w:r>
        <w:rPr>
          <w:b/>
        </w:rPr>
        <w:t>273</w:t>
      </w:r>
      <w:r w:rsidRPr="00165427">
        <w:rPr>
          <w:b/>
        </w:rPr>
        <w:t>,000</w:t>
      </w:r>
      <w:r>
        <w:rPr>
          <w:b/>
        </w:rPr>
        <w:t xml:space="preserve"> </w:t>
      </w:r>
      <w:r w:rsidRPr="00786826">
        <w:t>aver</w:t>
      </w:r>
      <w:r>
        <w:t>age lifetime cost for secondary school students</w:t>
      </w:r>
      <w:r w:rsidRPr="00165427">
        <w:t>.</w:t>
      </w:r>
      <w:r w:rsidR="009B3461">
        <w:t xml:space="preserve"> Note however that these differences are somewhat exaggerated due to </w:t>
      </w:r>
      <w:r w:rsidR="009B3461" w:rsidRPr="009B3461">
        <w:t>the different profile of students at different ages within each education sector</w:t>
      </w:r>
      <w:r w:rsidR="009B3461">
        <w:t xml:space="preserve"> – this is explored in the charts below, which show t</w:t>
      </w:r>
      <w:r w:rsidRPr="00786826">
        <w:t xml:space="preserve">he variation in average lifetime cost by </w:t>
      </w:r>
      <w:r>
        <w:t>education sector for students of different ages</w:t>
      </w:r>
      <w:r w:rsidRPr="00786826">
        <w:t>.</w:t>
      </w:r>
    </w:p>
    <w:p w14:paraId="572ED6CC" w14:textId="582A456F" w:rsidR="00B10720" w:rsidRPr="00074B15" w:rsidRDefault="00B10720" w:rsidP="00B10720">
      <w:pPr>
        <w:pStyle w:val="Caption"/>
      </w:pPr>
      <w:r w:rsidRPr="00074B15">
        <w:lastRenderedPageBreak/>
        <w:t xml:space="preserve">Figure </w:t>
      </w:r>
      <w:fldSimple w:instr=" SEQ Figure \* ARABIC ">
        <w:r w:rsidR="00C93C1A">
          <w:rPr>
            <w:noProof/>
          </w:rPr>
          <w:t>16</w:t>
        </w:r>
      </w:fldSimple>
      <w:r>
        <w:t>: Average life time cost for individuals split by education sector</w:t>
      </w:r>
      <w:r>
        <w:rPr>
          <w:rStyle w:val="FootnoteReference"/>
        </w:rPr>
        <w:footnoteReference w:id="2"/>
      </w:r>
      <w:r w:rsidRPr="00074B15">
        <w:t xml:space="preserve"> </w:t>
      </w:r>
    </w:p>
    <w:tbl>
      <w:tblPr>
        <w:tblW w:w="4922" w:type="pct"/>
        <w:tblLayout w:type="fixed"/>
        <w:tblLook w:val="04A0" w:firstRow="1" w:lastRow="0" w:firstColumn="1" w:lastColumn="0" w:noHBand="0" w:noVBand="1"/>
        <w:tblCaption w:val="Table"/>
        <w:tblDescription w:val="This contains two charts"/>
      </w:tblPr>
      <w:tblGrid>
        <w:gridCol w:w="4962"/>
        <w:gridCol w:w="4962"/>
      </w:tblGrid>
      <w:tr w:rsidR="00B10720" w:rsidRPr="00896ACF" w14:paraId="634BC1EE" w14:textId="77777777" w:rsidTr="00816D81">
        <w:trPr>
          <w:tblHeader/>
        </w:trPr>
        <w:tc>
          <w:tcPr>
            <w:tcW w:w="4962" w:type="dxa"/>
          </w:tcPr>
          <w:p w14:paraId="3AF32707" w14:textId="77777777" w:rsidR="00B10720" w:rsidRPr="00D87C51" w:rsidRDefault="00B10720" w:rsidP="00816D81">
            <w:pPr>
              <w:pStyle w:val="TableTextSmall"/>
              <w:keepNext/>
              <w:jc w:val="center"/>
              <w:rPr>
                <w:b/>
                <w:i/>
              </w:rPr>
            </w:pPr>
            <w:r w:rsidRPr="00D87C51">
              <w:rPr>
                <w:b/>
                <w:i/>
              </w:rPr>
              <w:t>Female</w:t>
            </w:r>
          </w:p>
        </w:tc>
        <w:tc>
          <w:tcPr>
            <w:tcW w:w="4962" w:type="dxa"/>
          </w:tcPr>
          <w:p w14:paraId="1D2D05FF" w14:textId="77777777" w:rsidR="00B10720" w:rsidRPr="00D87C51" w:rsidRDefault="00B10720" w:rsidP="00816D81">
            <w:pPr>
              <w:pStyle w:val="TableTextSmall"/>
              <w:keepNext/>
              <w:jc w:val="center"/>
              <w:rPr>
                <w:b/>
                <w:i/>
              </w:rPr>
            </w:pPr>
            <w:r w:rsidRPr="00D87C51">
              <w:rPr>
                <w:b/>
                <w:i/>
              </w:rPr>
              <w:t>Male</w:t>
            </w:r>
          </w:p>
        </w:tc>
      </w:tr>
      <w:tr w:rsidR="00B10720" w:rsidRPr="00896ACF" w14:paraId="31DE0D9F" w14:textId="77777777" w:rsidTr="00816D81">
        <w:tc>
          <w:tcPr>
            <w:tcW w:w="4962" w:type="dxa"/>
          </w:tcPr>
          <w:p w14:paraId="6C5BAD70" w14:textId="77777777" w:rsidR="00B10720" w:rsidRPr="00D87C51" w:rsidRDefault="00B10720" w:rsidP="00816D81">
            <w:pPr>
              <w:pStyle w:val="TableTextSmall"/>
              <w:rPr>
                <w:lang w:eastAsia="en-AU"/>
              </w:rPr>
            </w:pPr>
            <w:r w:rsidRPr="00B86477">
              <w:rPr>
                <w:noProof/>
                <w:lang w:eastAsia="en-AU"/>
              </w:rPr>
              <w:drawing>
                <wp:inline distT="0" distB="0" distL="0" distR="0" wp14:anchorId="77311CE3" wp14:editId="309948D7">
                  <wp:extent cx="3016250" cy="2070100"/>
                  <wp:effectExtent l="0" t="0" r="0" b="0"/>
                  <wp:docPr id="1034" name="Picture 1034" descr="This figure contains two line charts one for females and one for males. The vertical axis on both charts displays the average lifetime cost for individuals, and ranges from $0 to $500,000. For both charts the horizontal axis shows age ranging from 12 to 35. &#10;&#10;Both charts contain a line for each of the following 3 education sectors: Secondary School, VET and Higher Education as well as the overall Studying Average. &#10;&#10;For both females and males, the expected average lifetime cost is highest for those currently in secondary school, peaking at $482,000 and $270,000 respectively at the age of 14 before falling to $251,000 and $178,000 respectively at the age of 25.&#10;&#10;The second highest average lifetime cost by education sector are those currently in VET followed by those in Higher Education in older ages. For females at age 18, the average lifetime cost is expected to be $322,000 for those in Secondary School, $290,000 for those in VET and $249,000 for those in Higher Education. For males at age 18, the average lifetime cost is expected to be $189,000 for those in Secondary School, $170,000 for those in VET and $155,000 for those in Higher Education. &#10;&#10;The key features of the chart are discussed in the accompanying text within the report.&#10;" title="Average lifetime cost for individuals split by education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16250" cy="2070100"/>
                          </a:xfrm>
                          <a:prstGeom prst="rect">
                            <a:avLst/>
                          </a:prstGeom>
                          <a:noFill/>
                          <a:ln>
                            <a:noFill/>
                          </a:ln>
                        </pic:spPr>
                      </pic:pic>
                    </a:graphicData>
                  </a:graphic>
                </wp:inline>
              </w:drawing>
            </w:r>
          </w:p>
        </w:tc>
        <w:tc>
          <w:tcPr>
            <w:tcW w:w="4962" w:type="dxa"/>
          </w:tcPr>
          <w:p w14:paraId="141983B2" w14:textId="77777777" w:rsidR="00B10720" w:rsidRPr="00D87C51" w:rsidRDefault="00B10720" w:rsidP="00816D81">
            <w:pPr>
              <w:pStyle w:val="TableTextSmall"/>
              <w:rPr>
                <w:lang w:eastAsia="en-AU"/>
              </w:rPr>
            </w:pPr>
            <w:r w:rsidRPr="00B86477">
              <w:rPr>
                <w:noProof/>
                <w:lang w:eastAsia="en-AU"/>
              </w:rPr>
              <w:drawing>
                <wp:inline distT="0" distB="0" distL="0" distR="0" wp14:anchorId="313BDFCD" wp14:editId="3E8FE5BF">
                  <wp:extent cx="3009900" cy="2070100"/>
                  <wp:effectExtent l="0" t="0" r="0" b="0"/>
                  <wp:docPr id="1035" name="Picture 1035" descr="This figure contains two line charts one for females and one for males. The vertical axis on both charts displays the average lifetime cost for individuals, and ranges from $0 to $500,000. For both charts the horizontal axis shows age ranging from 12 to 35. &#10;&#10;Both charts contain a line for each of the following 3 education sectors: Secondary School, VET and Higher Education as well as the overall Studying Average. &#10;&#10;For both females and males, the expected average lifetime cost is highest for those currently in secondary school, peaking at $482,000 and $270,000 respectively at the age of 14 before falling to $251,000 and $178,000 respectively at the age of 25.&#10;&#10;The second highest average lifetime cost by education sector are those currently in VET followed by those in Higher Education in older ages. For females at age 18, the average lifetime cost is expected to be $322,000 for those in Secondary School, $290,000 for those in VET and $249,000 for those in Higher Education. For males at age 18, the average lifetime cost is expected to be $189,000 for those in Secondary School, $170,000 for those in VET and $155,000 for those in Higher Education. &#10;&#10;The key features of the chart are discussed in the accompanying text within the report.&#10;" title="Average life time cost for individuals split by education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09900" cy="2070100"/>
                          </a:xfrm>
                          <a:prstGeom prst="rect">
                            <a:avLst/>
                          </a:prstGeom>
                          <a:noFill/>
                          <a:ln>
                            <a:noFill/>
                          </a:ln>
                        </pic:spPr>
                      </pic:pic>
                    </a:graphicData>
                  </a:graphic>
                </wp:inline>
              </w:drawing>
            </w:r>
          </w:p>
        </w:tc>
      </w:tr>
    </w:tbl>
    <w:p w14:paraId="2B28120C" w14:textId="77777777" w:rsidR="00F27D3B" w:rsidRDefault="00F27D3B" w:rsidP="00B10720">
      <w:pPr>
        <w:pStyle w:val="PwCNormal"/>
        <w:numPr>
          <w:ilvl w:val="0"/>
          <w:numId w:val="1"/>
        </w:numPr>
      </w:pPr>
      <w:r>
        <w:t>We observe the following:</w:t>
      </w:r>
    </w:p>
    <w:p w14:paraId="15F499FF" w14:textId="4C1111B0" w:rsidR="00F27D3B" w:rsidRDefault="002F459B" w:rsidP="00F27D3B">
      <w:pPr>
        <w:pStyle w:val="ListBullet"/>
      </w:pPr>
      <w:r>
        <w:t>T</w:t>
      </w:r>
      <w:r w:rsidR="00B10720">
        <w:t>he lifetime cost</w:t>
      </w:r>
      <w:r w:rsidR="002C7354">
        <w:t>s</w:t>
      </w:r>
      <w:r w:rsidR="00B10720">
        <w:t xml:space="preserve"> for school students are close to the class average at younger ages and similarly for higher education students at the older ages reflecting</w:t>
      </w:r>
      <w:r w:rsidR="00F27D3B">
        <w:t xml:space="preserve"> in each case</w:t>
      </w:r>
      <w:r w:rsidR="00B10720">
        <w:t xml:space="preserve"> that they form the majority of the class.</w:t>
      </w:r>
    </w:p>
    <w:p w14:paraId="512952C1" w14:textId="45E06B7F" w:rsidR="00F27D3B" w:rsidRDefault="00B10720" w:rsidP="00F27D3B">
      <w:pPr>
        <w:pStyle w:val="ListBullet"/>
      </w:pPr>
      <w:r>
        <w:t>There is higher future welfare use for younger users</w:t>
      </w:r>
      <w:r w:rsidR="00FF435E">
        <w:t xml:space="preserve"> </w:t>
      </w:r>
      <w:r>
        <w:t xml:space="preserve">which may reflect </w:t>
      </w:r>
      <w:r w:rsidR="00FF435E">
        <w:t xml:space="preserve">the </w:t>
      </w:r>
      <w:r>
        <w:t xml:space="preserve">tighter eligibility criteria for studying income support payments at </w:t>
      </w:r>
      <w:r w:rsidR="00FF435E">
        <w:t xml:space="preserve">these </w:t>
      </w:r>
      <w:r>
        <w:t>younger ages, potentially targeting a relatively more disadvantaged group.</w:t>
      </w:r>
      <w:r w:rsidR="00F27D3B">
        <w:t xml:space="preserve"> </w:t>
      </w:r>
      <w:r w:rsidR="00034E97">
        <w:t>In particular, there is a large difference before/after age 18, the age at which full time students are eligible for Youth Allowance.</w:t>
      </w:r>
    </w:p>
    <w:p w14:paraId="78B12C21" w14:textId="291FF721" w:rsidR="00B10720" w:rsidRDefault="00B10720" w:rsidP="00F27D3B">
      <w:pPr>
        <w:pStyle w:val="ListBullet"/>
      </w:pPr>
      <w:r>
        <w:t>For both men and women the expected average lifetime cost is highest for those in secondary school followed by those in VET and then those in Higher Education</w:t>
      </w:r>
      <w:r w:rsidR="00F27D3B">
        <w:t>, and this difference is generally consistent across all ages</w:t>
      </w:r>
      <w:r w:rsidR="00034E97">
        <w:t>.</w:t>
      </w:r>
    </w:p>
    <w:p w14:paraId="0A6B401E" w14:textId="502D377D" w:rsidR="00191712" w:rsidRDefault="00191712" w:rsidP="00F27D3B">
      <w:pPr>
        <w:pStyle w:val="ListBullet"/>
      </w:pPr>
      <w:r>
        <w:t xml:space="preserve">Almost all of the individuals in the Studying class aged 15 or under are Indigenous Australians receiving ABSTUDY payments. The higher lifetime cost for this cohort indicates </w:t>
      </w:r>
      <w:r w:rsidRPr="00434AE3">
        <w:t xml:space="preserve">that this group of Indigenous </w:t>
      </w:r>
      <w:r>
        <w:t>Australians</w:t>
      </w:r>
      <w:r w:rsidRPr="00434AE3">
        <w:t xml:space="preserve"> are more likely to stay within the welfare system in the future.</w:t>
      </w:r>
      <w:r>
        <w:t xml:space="preserve"> Furthermore, females in this cohort have a significantly higher lifetime cost than males as a result of their greater expected utilisation of parenting and family payments in the future.</w:t>
      </w:r>
    </w:p>
    <w:p w14:paraId="3FF6F1CA" w14:textId="77777777" w:rsidR="00B10720" w:rsidRPr="00761B90" w:rsidRDefault="00B10720" w:rsidP="00B10720">
      <w:pPr>
        <w:pStyle w:val="Minorheading"/>
      </w:pPr>
      <w:r w:rsidRPr="00761B90">
        <w:t>Future outcomes</w:t>
      </w:r>
    </w:p>
    <w:p w14:paraId="7FA69956" w14:textId="77777777" w:rsidR="00B10720" w:rsidRDefault="00B10720" w:rsidP="00B10720">
      <w:pPr>
        <w:pStyle w:val="PwCNormal"/>
        <w:numPr>
          <w:ilvl w:val="0"/>
          <w:numId w:val="1"/>
        </w:numPr>
      </w:pPr>
      <w:r>
        <w:t>The impact of education sector on future outcomes is explored further for two separate cohorts representing two important life stages:</w:t>
      </w:r>
    </w:p>
    <w:p w14:paraId="355578F8" w14:textId="0F707339" w:rsidR="00B10720" w:rsidRDefault="00B10720" w:rsidP="00B10720">
      <w:pPr>
        <w:pStyle w:val="ListBullet"/>
      </w:pPr>
      <w:r>
        <w:t>Students aged 16 to 1</w:t>
      </w:r>
      <w:r w:rsidR="00356508">
        <w:t>7</w:t>
      </w:r>
      <w:r>
        <w:t>, who are generally close to finishing school or in VET</w:t>
      </w:r>
      <w:r w:rsidR="00FF435E">
        <w:t xml:space="preserve"> – note that due to the eligibility criteria for Studying payments, this cohort mainly consists of </w:t>
      </w:r>
      <w:r w:rsidR="002F459B">
        <w:t>I</w:t>
      </w:r>
      <w:r w:rsidR="00FF435E">
        <w:t xml:space="preserve">ndigenous </w:t>
      </w:r>
      <w:r w:rsidR="0031733E">
        <w:t xml:space="preserve">Australians </w:t>
      </w:r>
      <w:r w:rsidR="00FF435E">
        <w:t>(supported by ABSTUDY) or non-</w:t>
      </w:r>
      <w:r w:rsidR="002F459B">
        <w:t>I</w:t>
      </w:r>
      <w:r w:rsidR="00FF435E">
        <w:t xml:space="preserve">ndigenous </w:t>
      </w:r>
      <w:r w:rsidR="0031733E">
        <w:t xml:space="preserve">Australians </w:t>
      </w:r>
      <w:r w:rsidR="00FF435E">
        <w:t xml:space="preserve">(supported by Youth Allowance) who are either </w:t>
      </w:r>
      <w:r w:rsidR="00AF74F4" w:rsidRPr="00AF74F4">
        <w:t>independent or needing to live away from home</w:t>
      </w:r>
      <w:r w:rsidR="00FF435E">
        <w:t xml:space="preserve">. In particular, this cohort excludes most full time students in secondary school who are </w:t>
      </w:r>
      <w:r w:rsidR="00AF74F4">
        <w:t>living at home with their parents or guardians</w:t>
      </w:r>
      <w:r w:rsidR="00FF435E">
        <w:t>.</w:t>
      </w:r>
    </w:p>
    <w:p w14:paraId="2B0E9E55" w14:textId="27D8E4C5" w:rsidR="00B10720" w:rsidRDefault="00B10720" w:rsidP="00B10720">
      <w:pPr>
        <w:pStyle w:val="ListBullet"/>
      </w:pPr>
      <w:r>
        <w:t>Students aged over 18, who have generally finished school and are therefore in VET or Higher Education</w:t>
      </w:r>
      <w:r w:rsidR="00FF435E">
        <w:t>.</w:t>
      </w:r>
    </w:p>
    <w:p w14:paraId="6ADCED5B" w14:textId="2DD3F3CA" w:rsidR="00B10720" w:rsidRPr="00761B90" w:rsidRDefault="00B10720" w:rsidP="00B10720">
      <w:pPr>
        <w:pStyle w:val="PwCNormal-keepwithnext"/>
        <w:numPr>
          <w:ilvl w:val="0"/>
          <w:numId w:val="0"/>
        </w:numPr>
      </w:pPr>
      <w:r>
        <w:lastRenderedPageBreak/>
        <w:t xml:space="preserve">The following charts show the variation by education sector for each of these cohorts of: (a) the proportion of people expected in each welfare class in </w:t>
      </w:r>
      <w:r w:rsidR="00AC3251">
        <w:t>five</w:t>
      </w:r>
      <w:r>
        <w:t xml:space="preserve"> years’ time, and (b) the expected future years on income support (excluding the age pension).</w:t>
      </w:r>
    </w:p>
    <w:p w14:paraId="388AAB07" w14:textId="7ED680AD" w:rsidR="00B10720" w:rsidRDefault="00B10720" w:rsidP="00B10720">
      <w:pPr>
        <w:pStyle w:val="Caption"/>
      </w:pPr>
      <w:r w:rsidRPr="00074B15">
        <w:t xml:space="preserve">Figure </w:t>
      </w:r>
      <w:fldSimple w:instr=" SEQ Figure \* ARABIC ">
        <w:r w:rsidR="00C93C1A">
          <w:rPr>
            <w:noProof/>
          </w:rPr>
          <w:t>17</w:t>
        </w:r>
      </w:fldSimple>
      <w:r>
        <w:t>: Expected future outcomes</w:t>
      </w:r>
      <w:r w:rsidRPr="00786826">
        <w:t xml:space="preserve"> for </w:t>
      </w:r>
      <w:r>
        <w:t>Studying recipients</w:t>
      </w:r>
    </w:p>
    <w:tbl>
      <w:tblPr>
        <w:tblW w:w="4922" w:type="pct"/>
        <w:tblLayout w:type="fixed"/>
        <w:tblLook w:val="04A0" w:firstRow="1" w:lastRow="0" w:firstColumn="1" w:lastColumn="0" w:noHBand="0" w:noVBand="1"/>
        <w:tblCaption w:val="Table"/>
        <w:tblDescription w:val="This table contains 4 charts"/>
      </w:tblPr>
      <w:tblGrid>
        <w:gridCol w:w="4962"/>
        <w:gridCol w:w="4962"/>
      </w:tblGrid>
      <w:tr w:rsidR="00C15562" w:rsidRPr="00896ACF" w14:paraId="1AE69C2A" w14:textId="77777777" w:rsidTr="00816D81">
        <w:trPr>
          <w:tblHeader/>
        </w:trPr>
        <w:tc>
          <w:tcPr>
            <w:tcW w:w="4962" w:type="dxa"/>
            <w:shd w:val="clear" w:color="auto" w:fill="E0301E" w:themeFill="accent6"/>
          </w:tcPr>
          <w:p w14:paraId="3AD005D5" w14:textId="37CE59CE" w:rsidR="00C15562" w:rsidRPr="00C15562" w:rsidRDefault="00C15562" w:rsidP="00C15562">
            <w:pPr>
              <w:pStyle w:val="TableTextSmall"/>
              <w:keepNext/>
              <w:jc w:val="center"/>
              <w:rPr>
                <w:b/>
                <w:color w:val="FFFFFF" w:themeColor="background1"/>
              </w:rPr>
            </w:pPr>
            <w:r w:rsidRPr="00C15562">
              <w:rPr>
                <w:b/>
                <w:color w:val="FFFFFF" w:themeColor="background1"/>
              </w:rPr>
              <w:t>Students aged 16 to 17</w:t>
            </w:r>
          </w:p>
        </w:tc>
        <w:tc>
          <w:tcPr>
            <w:tcW w:w="4962" w:type="dxa"/>
            <w:shd w:val="clear" w:color="auto" w:fill="E0301E" w:themeFill="accent6"/>
          </w:tcPr>
          <w:p w14:paraId="597C917F" w14:textId="77777777" w:rsidR="00C15562" w:rsidRPr="0039587D" w:rsidRDefault="00C15562" w:rsidP="00C15562">
            <w:pPr>
              <w:pStyle w:val="TableTextSmall"/>
              <w:keepNext/>
              <w:jc w:val="center"/>
              <w:rPr>
                <w:b/>
                <w:color w:val="FFFFFF" w:themeColor="background1"/>
              </w:rPr>
            </w:pPr>
            <w:r w:rsidRPr="0039587D">
              <w:rPr>
                <w:b/>
                <w:color w:val="FFFFFF" w:themeColor="background1"/>
              </w:rPr>
              <w:t xml:space="preserve">Students aged </w:t>
            </w:r>
            <w:r>
              <w:rPr>
                <w:b/>
                <w:color w:val="FFFFFF" w:themeColor="background1"/>
              </w:rPr>
              <w:t>19 and older</w:t>
            </w:r>
          </w:p>
        </w:tc>
      </w:tr>
      <w:tr w:rsidR="00C15562" w:rsidRPr="00896ACF" w14:paraId="50E67A2B" w14:textId="77777777" w:rsidTr="00816D81">
        <w:trPr>
          <w:tblHeader/>
        </w:trPr>
        <w:tc>
          <w:tcPr>
            <w:tcW w:w="4962" w:type="dxa"/>
          </w:tcPr>
          <w:p w14:paraId="1C01C7BC" w14:textId="03993F7C" w:rsidR="00C15562" w:rsidRPr="00C15562" w:rsidRDefault="00C15562" w:rsidP="00C15562">
            <w:pPr>
              <w:pStyle w:val="TableTextSmall"/>
              <w:keepNext/>
              <w:jc w:val="center"/>
              <w:rPr>
                <w:b/>
                <w:i/>
              </w:rPr>
            </w:pPr>
            <w:r w:rsidRPr="00C15562">
              <w:rPr>
                <w:b/>
                <w:i/>
              </w:rPr>
              <w:t>Expected class in 5 years</w:t>
            </w:r>
          </w:p>
        </w:tc>
        <w:tc>
          <w:tcPr>
            <w:tcW w:w="4962" w:type="dxa"/>
          </w:tcPr>
          <w:p w14:paraId="0B582DEC" w14:textId="77777777" w:rsidR="00C15562" w:rsidRDefault="00C15562" w:rsidP="00C15562">
            <w:pPr>
              <w:pStyle w:val="TableTextSmall"/>
              <w:keepNext/>
              <w:jc w:val="center"/>
              <w:rPr>
                <w:b/>
                <w:i/>
              </w:rPr>
            </w:pPr>
            <w:r>
              <w:rPr>
                <w:b/>
                <w:i/>
              </w:rPr>
              <w:t>Expected class in 5 years</w:t>
            </w:r>
          </w:p>
        </w:tc>
      </w:tr>
      <w:tr w:rsidR="00C15562" w:rsidRPr="00896ACF" w14:paraId="3EA839D8" w14:textId="77777777" w:rsidTr="00816D81">
        <w:tc>
          <w:tcPr>
            <w:tcW w:w="4962" w:type="dxa"/>
          </w:tcPr>
          <w:p w14:paraId="34E9AFBE" w14:textId="06135F58" w:rsidR="00C15562" w:rsidRPr="00C15562" w:rsidRDefault="005127A5" w:rsidP="00C15562">
            <w:pPr>
              <w:pStyle w:val="TableTextSmall"/>
              <w:keepNext/>
              <w:rPr>
                <w:lang w:eastAsia="en-AU"/>
              </w:rPr>
            </w:pPr>
            <w:r w:rsidRPr="005127A5">
              <w:rPr>
                <w:noProof/>
                <w:lang w:eastAsia="en-AU"/>
              </w:rPr>
              <w:drawing>
                <wp:inline distT="0" distB="0" distL="0" distR="0" wp14:anchorId="1AE4438C" wp14:editId="2F4E9045">
                  <wp:extent cx="3096435" cy="1512000"/>
                  <wp:effectExtent l="0" t="0" r="0" b="0"/>
                  <wp:docPr id="1031" name="Picture 1031" descr="This figure contains four stacked column charts that show expected future outcomes for studying recipients by education sector. The vertical axis of the two charts in the first row show the proportion of people, ranging from 0% to 100%. The vertical axis of the two charts in the second row show the projected future years on pre-retirement income support, ranging from 0 to 20. The horizontal axis of all four charts show the education sector split by School, VET and Higher Education.&#10;&#10;The columns for each education sector are split by welfare class: 1 Studying, 2 Working Age, 3 Parents, 4 Carers, 5 Disability Support, 6 Pension Age, 7 Non-IS Family, 8 Non-IS Carer, 9 Non-IS Other, 10 Previous Welfare Recipient, 11 Dead and 12 Rest of Aust. Population.&#10;&#10;The first row of charts show the majority of students in the Studying class regardless of education sector will move to the Previous Welfare Recipient class in 5 years. For students aged 16 to 17, 45% of those in School and 54% of those in VET will be in the Previous Welfare Recipient class in 5 years. For students aged 19 and older, 69% of those in Higher Education and 59% of those in VET will be in the Previous Welfare Recipient class in 5 years. &#10;&#10;The second row of charts show students aged 16 to 17 in School and VET are expected to spend 8 and 6 years in the Working Age class respectively. Students aged 19 and older in Higher Education and VET are expected to spend 4 and 5 years in the Working Age class respectively. &#10;&#10;The key features of this chart are described in the accompanying text within the report. &#10;" title="Expected future outcomes for studying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96435" cy="1512000"/>
                          </a:xfrm>
                          <a:prstGeom prst="rect">
                            <a:avLst/>
                          </a:prstGeom>
                          <a:noFill/>
                          <a:ln>
                            <a:noFill/>
                          </a:ln>
                        </pic:spPr>
                      </pic:pic>
                    </a:graphicData>
                  </a:graphic>
                </wp:inline>
              </w:drawing>
            </w:r>
          </w:p>
        </w:tc>
        <w:tc>
          <w:tcPr>
            <w:tcW w:w="4962" w:type="dxa"/>
          </w:tcPr>
          <w:p w14:paraId="0407E9FD" w14:textId="303D5510" w:rsidR="00C15562" w:rsidRPr="00896ACF" w:rsidRDefault="005127A5" w:rsidP="00C15562">
            <w:pPr>
              <w:pStyle w:val="TableTextSmall"/>
              <w:keepNext/>
              <w:rPr>
                <w:lang w:eastAsia="en-AU"/>
              </w:rPr>
            </w:pPr>
            <w:r w:rsidRPr="005127A5">
              <w:rPr>
                <w:noProof/>
                <w:lang w:eastAsia="en-AU"/>
              </w:rPr>
              <w:drawing>
                <wp:inline distT="0" distB="0" distL="0" distR="0" wp14:anchorId="3DC04CDD" wp14:editId="7957ABFE">
                  <wp:extent cx="3096435" cy="1512000"/>
                  <wp:effectExtent l="0" t="0" r="0" b="0"/>
                  <wp:docPr id="3861" name="Picture 3861" descr="This figure contains four stacked column charts that show expected future outcomes for studying recipients by education sector. The vertical axis of the two charts in the first row show the proportion of people, ranging from 0% to 100%. The vertical axis of the two charts in the second row show the projected future years on pre-retirement income support, ranging from 0 to 20. The horizontal axis of all four charts show the education sector split by School, VET and Higher Education.&#10;&#10;The columns for each education sector are split by welfare class: 1 Studying, 2 Working Age, 3 Parents, 4 Carers, 5 Disability Support, 6 Pension Age, 7 Non-IS Family, 8 Non-IS Carer, 9 Non-IS Other, 10 Previous Welfare Recipient, 11 Dead and 12 Rest of Aust. Population.&#10;&#10;The first row of charts show the majority of students in the Studying class regardless of education sector will move to the Previous Welfare Recipient class in 5 years. For students aged 16 to 17, 45% of those in School and 54% of those in VET will be in the Previous Welfare Recipient class in 5 years. For students aged 19 and older, 69% of those in Higher Education and 59% of those in VET will be in the Previous Welfare Recipient class in 5 years. &#10;&#10;The second row of charts show students aged 16 to 17 in School and VET are expected to spend 8 and 6 years in the Working Age class respectively. Students aged 19 and older in Higher Education and VET are expected to spend 4 and 5 years in the Working Age class respectively. &#10;&#10;The key features of this chart are described in the accompanying text within the report. &#10;" title="Expected future outcomes for studying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96435" cy="1512000"/>
                          </a:xfrm>
                          <a:prstGeom prst="rect">
                            <a:avLst/>
                          </a:prstGeom>
                          <a:noFill/>
                          <a:ln>
                            <a:noFill/>
                          </a:ln>
                        </pic:spPr>
                      </pic:pic>
                    </a:graphicData>
                  </a:graphic>
                </wp:inline>
              </w:drawing>
            </w:r>
          </w:p>
        </w:tc>
      </w:tr>
      <w:tr w:rsidR="00C15562" w:rsidRPr="00896ACF" w14:paraId="66F1286B" w14:textId="77777777" w:rsidTr="00816D81">
        <w:tc>
          <w:tcPr>
            <w:tcW w:w="4962" w:type="dxa"/>
            <w:vAlign w:val="center"/>
          </w:tcPr>
          <w:p w14:paraId="56BFF061" w14:textId="0B6F1BAF" w:rsidR="00C15562" w:rsidRPr="00C15562" w:rsidRDefault="00C15562" w:rsidP="00C15562">
            <w:pPr>
              <w:pStyle w:val="TableTextSmall"/>
              <w:keepNext/>
              <w:jc w:val="center"/>
              <w:rPr>
                <w:noProof/>
                <w:lang w:eastAsia="en-AU"/>
              </w:rPr>
            </w:pPr>
            <w:r w:rsidRPr="00C15562">
              <w:rPr>
                <w:b/>
                <w:i/>
              </w:rPr>
              <w:t>Expected future years on pre-retirement income support</w:t>
            </w:r>
          </w:p>
        </w:tc>
        <w:tc>
          <w:tcPr>
            <w:tcW w:w="4962" w:type="dxa"/>
            <w:vAlign w:val="center"/>
          </w:tcPr>
          <w:p w14:paraId="1C759C12" w14:textId="77777777" w:rsidR="00C15562" w:rsidRPr="005E576D" w:rsidRDefault="00C15562" w:rsidP="00C15562">
            <w:pPr>
              <w:pStyle w:val="TableTextSmall"/>
              <w:keepNext/>
              <w:jc w:val="center"/>
              <w:rPr>
                <w:noProof/>
                <w:lang w:eastAsia="en-AU"/>
              </w:rPr>
            </w:pPr>
            <w:r>
              <w:rPr>
                <w:b/>
                <w:i/>
              </w:rPr>
              <w:t>Expected future years on pre-retirement income support</w:t>
            </w:r>
          </w:p>
        </w:tc>
      </w:tr>
      <w:tr w:rsidR="00C15562" w:rsidRPr="00896ACF" w14:paraId="1263624F" w14:textId="77777777" w:rsidTr="00816D81">
        <w:tc>
          <w:tcPr>
            <w:tcW w:w="4962" w:type="dxa"/>
          </w:tcPr>
          <w:p w14:paraId="4CA86E75" w14:textId="654FB31C" w:rsidR="00C15562" w:rsidRPr="00C15562" w:rsidRDefault="00C15562" w:rsidP="00C15562">
            <w:pPr>
              <w:pStyle w:val="TableTextSmall"/>
              <w:keepNext/>
              <w:rPr>
                <w:noProof/>
                <w:lang w:eastAsia="en-AU"/>
              </w:rPr>
            </w:pPr>
            <w:r w:rsidRPr="00C15562">
              <w:rPr>
                <w:noProof/>
                <w:lang w:eastAsia="en-AU"/>
              </w:rPr>
              <w:drawing>
                <wp:inline distT="0" distB="0" distL="0" distR="0" wp14:anchorId="3D971C61" wp14:editId="630D5907">
                  <wp:extent cx="3047143" cy="1530000"/>
                  <wp:effectExtent l="0" t="0" r="0" b="0"/>
                  <wp:docPr id="3876" name="Picture 3876" descr="This figure contains four stacked column charts that show expected future outcomes for studying recipients by education sector. The vertical axis of the two charts in the first row show the proportion of people, ranging from 0% to 100%. The vertical axis of the two charts in the second row show the projected future years on pre-retirement income support, ranging from 0 to 20. The horizontal axis of all four charts show the education sector split by School, VET and Higher Education.&#10;&#10;The columns for each education sector are split by welfare class: 1 Studying, 2 Working Age, 3 Parents, 4 Carers, 5 Disability Support, 6 Pension Age, 7 Non-IS Family, 8 Non-IS Carer, 9 Non-IS Other, 10 Previous Welfare Recipient, 11 Dead and 12 Rest of Aust. Population.&#10;&#10;The first row of charts show the majority of students in the Studying class regardless of education sector will move to the Previous Welfare Recipient class in 5 years. For students aged 16 to 17, 45% of those in School and 54% of those in VET will be in the Previous Welfare Recipient class in 5 years. For students aged 19 and older, 69% of those in Higher Education and 59% of those in VET will be in the Previous Welfare Recipient class in 5 years. &#10;&#10;The second row of charts show students aged 16 to 17 in School and VET are expected to spend 8 and 6 years in the Working Age class respectively. Students aged 19 and older in Higher Education and VET are expected to spend 4 and 5 years in the Working Age class respectively. &#10;&#10;The key features of this chart are described in the accompanying text within the report. &#10;" title="Expected future outcomes for studying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7143" cy="1530000"/>
                          </a:xfrm>
                          <a:prstGeom prst="rect">
                            <a:avLst/>
                          </a:prstGeom>
                          <a:noFill/>
                          <a:ln>
                            <a:noFill/>
                          </a:ln>
                        </pic:spPr>
                      </pic:pic>
                    </a:graphicData>
                  </a:graphic>
                </wp:inline>
              </w:drawing>
            </w:r>
          </w:p>
        </w:tc>
        <w:tc>
          <w:tcPr>
            <w:tcW w:w="4962" w:type="dxa"/>
          </w:tcPr>
          <w:p w14:paraId="74A25352" w14:textId="77777777" w:rsidR="00C15562" w:rsidRPr="007733AA" w:rsidRDefault="00C15562" w:rsidP="00C15562">
            <w:pPr>
              <w:pStyle w:val="TableTextSmall"/>
              <w:keepNext/>
              <w:rPr>
                <w:noProof/>
                <w:lang w:eastAsia="en-AU"/>
              </w:rPr>
            </w:pPr>
            <w:r w:rsidRPr="005E576D">
              <w:rPr>
                <w:noProof/>
                <w:lang w:eastAsia="en-AU"/>
              </w:rPr>
              <w:drawing>
                <wp:inline distT="0" distB="0" distL="0" distR="0" wp14:anchorId="1C444D94" wp14:editId="3FABF3E5">
                  <wp:extent cx="3009900" cy="1530350"/>
                  <wp:effectExtent l="0" t="0" r="0" b="0"/>
                  <wp:docPr id="1037" name="Picture 1037" descr="This figure contains four stacked column charts that show expected future outcomes for studying recipients by education sector. The vertical axis of the two charts in the first row show the proportion of people, ranging from 0% to 100%. The vertical axis of the two charts in the second row show the projected future years on pre-retirement income support, ranging from 0 to 20. The horizontal axis of all four charts show the education sector split by School, VET and Higher Education.&#10;&#10;The columns for each education sector are split by welfare class: 1 Studying, 2 Working Age, 3 Parents, 4 Carers, 5 Disability Support, 6 Pension Age, 7 Non-IS Family, 8 Non-IS Carer, 9 Non-IS Other, 10 Previous Welfare Recipient, 11 Dead and 12 Rest of Aust. Population.&#10;&#10;The first row of charts show the majority of students in the Studying class regardless of education sector will move to the Previous Welfare Recipient class in 5 years. For students aged 16 to 17, 45% of those in School and 54% of those in VET will be in the Previous Welfare Recipient class in 5 years. For students aged 19 and older, 69% of those in Higher Education and 59% of those in VET will be in the Previous Welfare Recipient class in 5 years. &#10;&#10;The second row of charts show students aged 16 to 17 in School and VET are expected to spend 8 and 6 years in the Working Age class respectively. Students aged 19 and older in Higher Education and VET are expected to spend 4 and 5 years in the Working Age class respectively. &#10;&#10;The key features of this chart are described in the accompanying text within the report. &#10;" title="Expected future outcomes for studying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9900" cy="1530350"/>
                          </a:xfrm>
                          <a:prstGeom prst="rect">
                            <a:avLst/>
                          </a:prstGeom>
                          <a:noFill/>
                          <a:ln>
                            <a:noFill/>
                          </a:ln>
                        </pic:spPr>
                      </pic:pic>
                    </a:graphicData>
                  </a:graphic>
                </wp:inline>
              </w:drawing>
            </w:r>
          </w:p>
        </w:tc>
      </w:tr>
    </w:tbl>
    <w:p w14:paraId="04E12BF3" w14:textId="761B7CEE" w:rsidR="00B10720" w:rsidRPr="00896ACF" w:rsidRDefault="00B10720" w:rsidP="00B10720">
      <w:pPr>
        <w:pStyle w:val="PwCNormal"/>
        <w:keepNext/>
        <w:keepLines/>
        <w:numPr>
          <w:ilvl w:val="0"/>
          <w:numId w:val="0"/>
        </w:numPr>
        <w:ind w:left="360"/>
        <w:jc w:val="center"/>
      </w:pPr>
      <w:r w:rsidRPr="00896ACF">
        <w:rPr>
          <w:noProof/>
          <w:lang w:eastAsia="en-AU"/>
        </w:rPr>
        <w:drawing>
          <wp:inline distT="0" distB="0" distL="0" distR="0" wp14:anchorId="38AC4B26" wp14:editId="40029FA3">
            <wp:extent cx="5385600" cy="468000"/>
            <wp:effectExtent l="0" t="0" r="0" b="8255"/>
            <wp:docPr id="1053" name="Picture 1053" descr="Class key: studying, working age, parents, carers, disability support, pension age, non-income support family, non-income support carer, non-income support other, previous welfare recipient, rest of the Australian population and dead. &#10;" title="Class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34E03C91" w14:textId="0A369CCA" w:rsidR="00C15562" w:rsidRPr="00C15562" w:rsidRDefault="00C15562" w:rsidP="00C15562">
      <w:pPr>
        <w:pStyle w:val="PwCNormal"/>
        <w:numPr>
          <w:ilvl w:val="0"/>
          <w:numId w:val="0"/>
        </w:numPr>
      </w:pPr>
      <w:r w:rsidRPr="00C15562">
        <w:t xml:space="preserve">For the younger cohort of students aged 16 to 17 who are mostly either </w:t>
      </w:r>
      <w:r w:rsidR="00292047">
        <w:t>I</w:t>
      </w:r>
      <w:r w:rsidRPr="00C15562">
        <w:t xml:space="preserve">ndigenous, </w:t>
      </w:r>
      <w:r w:rsidR="00AF74F4">
        <w:t>independent or needing to live away from home</w:t>
      </w:r>
      <w:r w:rsidRPr="00C15562">
        <w:t xml:space="preserve">, we observe that: </w:t>
      </w:r>
    </w:p>
    <w:p w14:paraId="198065D7" w14:textId="77777777" w:rsidR="00C15562" w:rsidRPr="00C15562" w:rsidRDefault="00C15562" w:rsidP="00C15562">
      <w:pPr>
        <w:pStyle w:val="ListBullet"/>
      </w:pPr>
      <w:r w:rsidRPr="00C15562">
        <w:t xml:space="preserve">VET students are expected to have lower welfare dependency than secondary school students. VET students are expected to have a future lifetime cost of </w:t>
      </w:r>
      <w:r w:rsidRPr="00C15562">
        <w:rPr>
          <w:b/>
        </w:rPr>
        <w:t>$287,000</w:t>
      </w:r>
      <w:r w:rsidRPr="00C15562">
        <w:t xml:space="preserve"> compared to secondary school students with </w:t>
      </w:r>
      <w:r w:rsidRPr="00C15562">
        <w:rPr>
          <w:b/>
        </w:rPr>
        <w:t>$307,000</w:t>
      </w:r>
      <w:r w:rsidRPr="00C15562">
        <w:t>.</w:t>
      </w:r>
    </w:p>
    <w:p w14:paraId="3C0B2F78" w14:textId="6DCF9BF1" w:rsidR="00B10720" w:rsidRPr="00C15562" w:rsidRDefault="00C15562" w:rsidP="00C15562">
      <w:pPr>
        <w:pStyle w:val="ListBullet"/>
      </w:pPr>
      <w:r w:rsidRPr="00C15562">
        <w:t>VET students are expected to spend 2.5 less years on income support over their future lifetime compared to secondary school students.</w:t>
      </w:r>
    </w:p>
    <w:p w14:paraId="1428E0CB" w14:textId="77777777" w:rsidR="00B10720" w:rsidRPr="00A37DA1" w:rsidRDefault="00B10720" w:rsidP="00B10720">
      <w:pPr>
        <w:pStyle w:val="PwCNormal"/>
        <w:numPr>
          <w:ilvl w:val="0"/>
          <w:numId w:val="1"/>
        </w:numPr>
      </w:pPr>
      <w:r>
        <w:t>For the cohort of students aged 19 and over, we observe that</w:t>
      </w:r>
      <w:r w:rsidRPr="00A37DA1">
        <w:t xml:space="preserve">: </w:t>
      </w:r>
    </w:p>
    <w:p w14:paraId="7F44892F" w14:textId="36DFCC0F" w:rsidR="00B10720" w:rsidRPr="00A37DA1" w:rsidRDefault="00B10720" w:rsidP="00B10720">
      <w:pPr>
        <w:pStyle w:val="ListBullet"/>
      </w:pPr>
      <w:r w:rsidRPr="00A37DA1">
        <w:t xml:space="preserve">VET students </w:t>
      </w:r>
      <w:r w:rsidR="00034E97">
        <w:t xml:space="preserve">who are supported by student payments </w:t>
      </w:r>
      <w:r w:rsidRPr="00A37DA1">
        <w:t xml:space="preserve">are expected to have higher welfare dependency than higher education students. VET students are expected to have a future lifetime cost of </w:t>
      </w:r>
      <w:r w:rsidRPr="00A37DA1">
        <w:rPr>
          <w:b/>
        </w:rPr>
        <w:t>$238,000</w:t>
      </w:r>
      <w:r w:rsidRPr="00A37DA1">
        <w:t xml:space="preserve"> compared to higher education students with </w:t>
      </w:r>
      <w:r w:rsidRPr="00A37DA1">
        <w:rPr>
          <w:b/>
        </w:rPr>
        <w:t>$202,000</w:t>
      </w:r>
      <w:r w:rsidRPr="00A37DA1">
        <w:t>.</w:t>
      </w:r>
    </w:p>
    <w:p w14:paraId="034FCE2F" w14:textId="4C7E45BB" w:rsidR="00B10720" w:rsidRPr="00A37DA1" w:rsidRDefault="00B10720" w:rsidP="00B10720">
      <w:pPr>
        <w:pStyle w:val="ListBullet"/>
      </w:pPr>
      <w:r w:rsidRPr="00A37DA1">
        <w:t xml:space="preserve">Higher education students are expected to spend longer in the Studying class but are more likely to exit the system when they do so compared </w:t>
      </w:r>
      <w:r w:rsidR="00034E97">
        <w:t xml:space="preserve">to </w:t>
      </w:r>
      <w:r w:rsidRPr="00A37DA1">
        <w:t>VET students. VET students are expected to spend about 9.5 years on other forms of income support (excluding pension age payments) compared to 7.5 years for higher education students.</w:t>
      </w:r>
    </w:p>
    <w:p w14:paraId="27A5892A" w14:textId="232D24C4" w:rsidR="00B10720" w:rsidRDefault="00B446DE" w:rsidP="00B10720">
      <w:pPr>
        <w:pStyle w:val="Heading3"/>
      </w:pPr>
      <w:bookmarkStart w:id="44" w:name="_Toc506388204"/>
      <w:r>
        <w:lastRenderedPageBreak/>
        <w:t>Barriers to work</w:t>
      </w:r>
      <w:bookmarkEnd w:id="44"/>
    </w:p>
    <w:p w14:paraId="148BCA8F" w14:textId="6C29A229" w:rsidR="00B10720" w:rsidRPr="00A37DA1" w:rsidRDefault="00B446DE" w:rsidP="00B10720">
      <w:pPr>
        <w:pStyle w:val="PwCNormal-keepwithnext"/>
        <w:keepLines/>
        <w:numPr>
          <w:ilvl w:val="0"/>
          <w:numId w:val="1"/>
        </w:numPr>
        <w:rPr>
          <w:snapToGrid/>
        </w:rPr>
      </w:pPr>
      <w:r>
        <w:t xml:space="preserve">The barriers to work variable is </w:t>
      </w:r>
      <w:r w:rsidR="00B10720" w:rsidRPr="00A37DA1">
        <w:t xml:space="preserve">a new modelling variable added to the 2017 valuation </w:t>
      </w:r>
      <w:r w:rsidR="00B10720" w:rsidRPr="00A37DA1">
        <w:rPr>
          <w:snapToGrid/>
        </w:rPr>
        <w:t xml:space="preserve">for people receiving </w:t>
      </w:r>
      <w:r w:rsidR="003C32DF">
        <w:rPr>
          <w:snapToGrid/>
        </w:rPr>
        <w:t>Working Age payments</w:t>
      </w:r>
      <w:r>
        <w:rPr>
          <w:snapToGrid/>
        </w:rPr>
        <w:t xml:space="preserve">. The variable separates the people in the </w:t>
      </w:r>
      <w:r w:rsidR="00292047">
        <w:rPr>
          <w:snapToGrid/>
        </w:rPr>
        <w:t>W</w:t>
      </w:r>
      <w:r>
        <w:rPr>
          <w:snapToGrid/>
        </w:rPr>
        <w:t xml:space="preserve">orking </w:t>
      </w:r>
      <w:r w:rsidR="00292047">
        <w:rPr>
          <w:snapToGrid/>
        </w:rPr>
        <w:t>A</w:t>
      </w:r>
      <w:r>
        <w:rPr>
          <w:snapToGrid/>
        </w:rPr>
        <w:t xml:space="preserve">ge class based on </w:t>
      </w:r>
      <w:r w:rsidR="00B10720" w:rsidRPr="00A37DA1">
        <w:rPr>
          <w:snapToGrid/>
        </w:rPr>
        <w:t xml:space="preserve">whether </w:t>
      </w:r>
      <w:r>
        <w:rPr>
          <w:snapToGrid/>
        </w:rPr>
        <w:t>they</w:t>
      </w:r>
      <w:r w:rsidR="00B10720" w:rsidRPr="00A37DA1">
        <w:rPr>
          <w:snapToGrid/>
        </w:rPr>
        <w:t>: have an exemption from mutual obligation requirements; whether they have had a partial capacity to work assessment and its outcome; and</w:t>
      </w:r>
      <w:r w:rsidR="00C15562">
        <w:rPr>
          <w:snapToGrid/>
        </w:rPr>
        <w:t xml:space="preserve"> whether</w:t>
      </w:r>
      <w:r>
        <w:rPr>
          <w:snapToGrid/>
        </w:rPr>
        <w:t xml:space="preserve"> their primary medical condition</w:t>
      </w:r>
      <w:r w:rsidR="00C15562">
        <w:rPr>
          <w:snapToGrid/>
        </w:rPr>
        <w:t xml:space="preserve"> reports a psychological or psychiatric condition</w:t>
      </w:r>
      <w:r w:rsidR="00B10720" w:rsidRPr="00A37DA1">
        <w:rPr>
          <w:snapToGrid/>
        </w:rPr>
        <w:t>.</w:t>
      </w:r>
      <w:r w:rsidR="00B10720" w:rsidRPr="00A37DA1">
        <w:t xml:space="preserve"> </w:t>
      </w:r>
      <w:r>
        <w:t xml:space="preserve">Barriers to work </w:t>
      </w:r>
      <w:r w:rsidR="00B10720" w:rsidRPr="00A37DA1">
        <w:t>is a class characteristic variable</w:t>
      </w:r>
      <w:r>
        <w:t>, and</w:t>
      </w:r>
      <w:r w:rsidR="00B10720" w:rsidRPr="00A37DA1">
        <w:t xml:space="preserve"> it captures information which is only available for people while they are in the Working Age class.</w:t>
      </w:r>
    </w:p>
    <w:p w14:paraId="51E68034" w14:textId="21EE389B" w:rsidR="00B10720" w:rsidRPr="00A37DA1" w:rsidRDefault="00B10720" w:rsidP="00B10720">
      <w:pPr>
        <w:pStyle w:val="PwCNormal"/>
        <w:numPr>
          <w:ilvl w:val="0"/>
          <w:numId w:val="0"/>
        </w:numPr>
      </w:pPr>
      <w:r w:rsidRPr="00A37DA1">
        <w:t xml:space="preserve">The </w:t>
      </w:r>
      <w:r w:rsidR="00B446DE">
        <w:t>barriers to work</w:t>
      </w:r>
      <w:r w:rsidRPr="00A37DA1">
        <w:t xml:space="preserve"> variable was added to the model this year owing to its strong relationship with the likelihood of remaining on income support. </w:t>
      </w:r>
      <w:r w:rsidRPr="00A37DA1">
        <w:rPr>
          <w:snapToGrid/>
        </w:rPr>
        <w:t xml:space="preserve">The inclusion of this variable allows exploration of how these factors influence the outcomes of </w:t>
      </w:r>
      <w:r w:rsidR="00FE30F6">
        <w:rPr>
          <w:snapToGrid/>
        </w:rPr>
        <w:t>W</w:t>
      </w:r>
      <w:r w:rsidRPr="00A37DA1">
        <w:rPr>
          <w:snapToGrid/>
        </w:rPr>
        <w:t xml:space="preserve">orking </w:t>
      </w:r>
      <w:r w:rsidR="00FE30F6">
        <w:rPr>
          <w:snapToGrid/>
        </w:rPr>
        <w:t>A</w:t>
      </w:r>
      <w:r w:rsidR="00FE30F6" w:rsidRPr="00A37DA1">
        <w:rPr>
          <w:snapToGrid/>
        </w:rPr>
        <w:t xml:space="preserve">ge </w:t>
      </w:r>
      <w:r w:rsidRPr="00A37DA1">
        <w:rPr>
          <w:snapToGrid/>
        </w:rPr>
        <w:t xml:space="preserve">payment recipients. Together with the class characteristic variables which were introduced last year (payment type, employment earning flag), this variable allows us to undertake much more detailed analysis of the factors influencing outcomes for people receiving </w:t>
      </w:r>
      <w:r w:rsidR="003C32DF">
        <w:rPr>
          <w:snapToGrid/>
        </w:rPr>
        <w:t>Working Age payments</w:t>
      </w:r>
      <w:r w:rsidRPr="00A37DA1">
        <w:rPr>
          <w:snapToGrid/>
        </w:rPr>
        <w:t>.</w:t>
      </w:r>
    </w:p>
    <w:p w14:paraId="12D123D5" w14:textId="77777777" w:rsidR="00B10720" w:rsidRDefault="00B10720" w:rsidP="00B10720">
      <w:pPr>
        <w:pStyle w:val="PwCNormal"/>
        <w:numPr>
          <w:ilvl w:val="0"/>
          <w:numId w:val="1"/>
        </w:numPr>
        <w:kinsoku/>
        <w:overflowPunct/>
        <w:autoSpaceDE/>
        <w:autoSpaceDN/>
        <w:adjustRightInd/>
        <w:snapToGrid/>
      </w:pPr>
      <w:r w:rsidRPr="00BD05D8">
        <w:t>In 2017</w:t>
      </w:r>
      <w:r>
        <w:t>,</w:t>
      </w:r>
      <w:r w:rsidRPr="00BD05D8">
        <w:t xml:space="preserve"> </w:t>
      </w:r>
      <w:r>
        <w:t>around 45%</w:t>
      </w:r>
      <w:r w:rsidRPr="00BD05D8">
        <w:t xml:space="preserve"> </w:t>
      </w:r>
      <w:r>
        <w:t xml:space="preserve">of </w:t>
      </w:r>
      <w:r w:rsidRPr="00BD05D8">
        <w:t xml:space="preserve">individuals in the Working Age class either received an exemption, were assessed with little capacity to work, or had a reported psychological or psychiatric condition. </w:t>
      </w:r>
      <w:r>
        <w:t>People with an exemption status tend to have temporary circumstances which reduce their ability to work, while those with a reported psychological/psychiatric condition or reduced work capacity have longer term conditions which reduce their ability to work.</w:t>
      </w:r>
    </w:p>
    <w:p w14:paraId="7C586D27" w14:textId="77777777" w:rsidR="00B10720" w:rsidRDefault="00B10720" w:rsidP="00B10720">
      <w:pPr>
        <w:pStyle w:val="Heading4"/>
      </w:pPr>
      <w:r>
        <w:t>Exemption at year end</w:t>
      </w:r>
    </w:p>
    <w:p w14:paraId="67607C02" w14:textId="486834AF" w:rsidR="00B10720" w:rsidRDefault="00B10720" w:rsidP="00B10720">
      <w:pPr>
        <w:pStyle w:val="PwCNormal"/>
        <w:numPr>
          <w:ilvl w:val="0"/>
          <w:numId w:val="1"/>
        </w:numPr>
      </w:pPr>
      <w:r>
        <w:t xml:space="preserve">Exemptions from mutual obligation requirements may be provided to people who have circumstances which reduce their ability to find employment for a period of time. This could include crises like the death of an immediate family member, homelessness, a flood at home, or short term duties of care to a parent or child. The table below shows the breakdown of Working Age class recipients by their exemption status at the end of June 2017. </w:t>
      </w:r>
    </w:p>
    <w:p w14:paraId="7B8248E4" w14:textId="77777777" w:rsidR="00B10720" w:rsidRPr="00BD05D8" w:rsidRDefault="00B10720" w:rsidP="00B10720">
      <w:pPr>
        <w:pStyle w:val="Caption"/>
      </w:pPr>
      <w:r w:rsidRPr="00BD05D8">
        <w:t xml:space="preserve">Table </w:t>
      </w:r>
      <w:fldSimple w:instr=" SEQ Table \* ARABIC ">
        <w:r w:rsidR="00C93C1A">
          <w:rPr>
            <w:noProof/>
          </w:rPr>
          <w:t>6</w:t>
        </w:r>
      </w:fldSimple>
      <w:r w:rsidRPr="00BD05D8">
        <w:t>: Breakdown of 2017 Working Age class by exemption status</w:t>
      </w:r>
    </w:p>
    <w:tbl>
      <w:tblPr>
        <w:tblStyle w:val="ListTable3-Accent61"/>
        <w:tblW w:w="6805" w:type="dxa"/>
        <w:tblInd w:w="108" w:type="dxa"/>
        <w:tblLook w:val="04A0" w:firstRow="1" w:lastRow="0" w:firstColumn="1" w:lastColumn="0" w:noHBand="0" w:noVBand="1"/>
        <w:tblCaption w:val="Breakdown of 2017 Working Age class by exemption status"/>
        <w:tblDescription w:val="This table displays the number and proportion of people in the Working Age class by their exemption status. There are 1,301,346 people in total in the Working Age class, 68% of people in the class having no exemption over the year. "/>
      </w:tblPr>
      <w:tblGrid>
        <w:gridCol w:w="3261"/>
        <w:gridCol w:w="1772"/>
        <w:gridCol w:w="1772"/>
      </w:tblGrid>
      <w:tr w:rsidR="00B10720" w:rsidRPr="00FA144C" w14:paraId="41D2A20A" w14:textId="77777777" w:rsidTr="00EB6F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Borders>
              <w:bottom w:val="single" w:sz="4" w:space="0" w:color="E0301E" w:themeColor="accent6"/>
            </w:tcBorders>
          </w:tcPr>
          <w:p w14:paraId="50334FCF" w14:textId="77777777" w:rsidR="00B10720" w:rsidRPr="00FA144C" w:rsidRDefault="00B10720" w:rsidP="00816D81">
            <w:pPr>
              <w:pStyle w:val="TableTextSmall"/>
              <w:rPr>
                <w:rFonts w:asciiTheme="majorHAnsi" w:hAnsiTheme="majorHAnsi"/>
                <w:color w:val="FFFFFF" w:themeColor="background1"/>
              </w:rPr>
            </w:pPr>
            <w:r w:rsidRPr="00FA144C">
              <w:rPr>
                <w:rFonts w:asciiTheme="majorHAnsi" w:hAnsiTheme="majorHAnsi"/>
                <w:color w:val="FFFFFF" w:themeColor="background1"/>
              </w:rPr>
              <w:t>Exemption Status</w:t>
            </w:r>
          </w:p>
        </w:tc>
        <w:tc>
          <w:tcPr>
            <w:tcW w:w="1772" w:type="dxa"/>
            <w:tcBorders>
              <w:bottom w:val="single" w:sz="4" w:space="0" w:color="E0301E" w:themeColor="accent6"/>
            </w:tcBorders>
          </w:tcPr>
          <w:p w14:paraId="5B899123" w14:textId="77777777" w:rsidR="00B10720" w:rsidRPr="00FA144C" w:rsidRDefault="00B10720" w:rsidP="00816D8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FA144C">
              <w:rPr>
                <w:rFonts w:asciiTheme="majorHAnsi" w:hAnsiTheme="majorHAnsi"/>
                <w:color w:val="FFFFFF" w:themeColor="background1"/>
              </w:rPr>
              <w:t>Number of People</w:t>
            </w:r>
          </w:p>
        </w:tc>
        <w:tc>
          <w:tcPr>
            <w:tcW w:w="1772" w:type="dxa"/>
            <w:tcBorders>
              <w:bottom w:val="single" w:sz="4" w:space="0" w:color="E0301E" w:themeColor="accent6"/>
            </w:tcBorders>
          </w:tcPr>
          <w:p w14:paraId="4791DCDB" w14:textId="77777777" w:rsidR="00B10720" w:rsidRPr="00FA144C" w:rsidRDefault="00B10720" w:rsidP="00816D81">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FA144C">
              <w:rPr>
                <w:rFonts w:asciiTheme="majorHAnsi" w:hAnsiTheme="majorHAnsi"/>
                <w:color w:val="FFFFFF" w:themeColor="background1"/>
              </w:rPr>
              <w:t>Proportion of Working Age Class</w:t>
            </w:r>
          </w:p>
        </w:tc>
      </w:tr>
      <w:tr w:rsidR="00B10720" w:rsidRPr="00FA144C" w14:paraId="7523695E" w14:textId="77777777" w:rsidTr="00816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nil"/>
            </w:tcBorders>
            <w:hideMark/>
          </w:tcPr>
          <w:p w14:paraId="489F235D" w14:textId="77777777" w:rsidR="00B10720" w:rsidRPr="00FA144C" w:rsidRDefault="00B10720" w:rsidP="00816D81">
            <w:pPr>
              <w:pStyle w:val="TableTextSmall"/>
              <w:rPr>
                <w:b w:val="0"/>
              </w:rPr>
            </w:pPr>
            <w:r w:rsidRPr="00FA144C">
              <w:t>Active exemption at year end</w:t>
            </w:r>
          </w:p>
        </w:tc>
        <w:tc>
          <w:tcPr>
            <w:tcW w:w="1772" w:type="dxa"/>
            <w:tcBorders>
              <w:bottom w:val="nil"/>
            </w:tcBorders>
          </w:tcPr>
          <w:p w14:paraId="1C1C7670" w14:textId="77777777" w:rsidR="00B10720" w:rsidRPr="00FA144C" w:rsidRDefault="00B10720" w:rsidP="00816D81">
            <w:pPr>
              <w:pStyle w:val="TableTextSmall"/>
              <w:jc w:val="center"/>
              <w:cnfStyle w:val="000000100000" w:firstRow="0" w:lastRow="0" w:firstColumn="0" w:lastColumn="0" w:oddVBand="0" w:evenVBand="0" w:oddHBand="1" w:evenHBand="0" w:firstRowFirstColumn="0" w:firstRowLastColumn="0" w:lastRowFirstColumn="0" w:lastRowLastColumn="0"/>
            </w:pPr>
            <w:r w:rsidRPr="00FA144C">
              <w:t>108,373</w:t>
            </w:r>
          </w:p>
        </w:tc>
        <w:tc>
          <w:tcPr>
            <w:tcW w:w="1772" w:type="dxa"/>
            <w:tcBorders>
              <w:bottom w:val="nil"/>
            </w:tcBorders>
          </w:tcPr>
          <w:p w14:paraId="0AF85D64" w14:textId="77777777" w:rsidR="00B10720" w:rsidRPr="00FA144C" w:rsidRDefault="00B10720" w:rsidP="00816D81">
            <w:pPr>
              <w:pStyle w:val="TableTextSmall"/>
              <w:jc w:val="center"/>
              <w:cnfStyle w:val="000000100000" w:firstRow="0" w:lastRow="0" w:firstColumn="0" w:lastColumn="0" w:oddVBand="0" w:evenVBand="0" w:oddHBand="1" w:evenHBand="0" w:firstRowFirstColumn="0" w:firstRowLastColumn="0" w:lastRowFirstColumn="0" w:lastRowLastColumn="0"/>
            </w:pPr>
            <w:r w:rsidRPr="00FA144C">
              <w:t>8%</w:t>
            </w:r>
          </w:p>
        </w:tc>
      </w:tr>
      <w:tr w:rsidR="00B10720" w:rsidRPr="00FA144C" w14:paraId="033782DE" w14:textId="77777777" w:rsidTr="00816D81">
        <w:tc>
          <w:tcPr>
            <w:cnfStyle w:val="001000000000" w:firstRow="0" w:lastRow="0" w:firstColumn="1" w:lastColumn="0" w:oddVBand="0" w:evenVBand="0" w:oddHBand="0" w:evenHBand="0" w:firstRowFirstColumn="0" w:firstRowLastColumn="0" w:lastRowFirstColumn="0" w:lastRowLastColumn="0"/>
            <w:tcW w:w="3261" w:type="dxa"/>
            <w:tcBorders>
              <w:top w:val="nil"/>
              <w:bottom w:val="nil"/>
            </w:tcBorders>
            <w:hideMark/>
          </w:tcPr>
          <w:p w14:paraId="6A8E2326" w14:textId="77777777" w:rsidR="00B10720" w:rsidRPr="00FA144C" w:rsidRDefault="00B10720" w:rsidP="00816D81">
            <w:pPr>
              <w:pStyle w:val="TableTextSmall"/>
              <w:rPr>
                <w:b w:val="0"/>
              </w:rPr>
            </w:pPr>
            <w:r w:rsidRPr="00FA144C">
              <w:t>Past exemption in most recent year</w:t>
            </w:r>
          </w:p>
        </w:tc>
        <w:tc>
          <w:tcPr>
            <w:tcW w:w="1772" w:type="dxa"/>
            <w:tcBorders>
              <w:top w:val="nil"/>
              <w:bottom w:val="nil"/>
            </w:tcBorders>
          </w:tcPr>
          <w:p w14:paraId="69E74723" w14:textId="77777777" w:rsidR="00B10720" w:rsidRPr="00FA144C" w:rsidRDefault="00B10720" w:rsidP="00816D81">
            <w:pPr>
              <w:pStyle w:val="TableTextSmall"/>
              <w:jc w:val="center"/>
              <w:cnfStyle w:val="000000000000" w:firstRow="0" w:lastRow="0" w:firstColumn="0" w:lastColumn="0" w:oddVBand="0" w:evenVBand="0" w:oddHBand="0" w:evenHBand="0" w:firstRowFirstColumn="0" w:firstRowLastColumn="0" w:lastRowFirstColumn="0" w:lastRowLastColumn="0"/>
            </w:pPr>
            <w:r w:rsidRPr="00FA144C">
              <w:t>312,483</w:t>
            </w:r>
          </w:p>
        </w:tc>
        <w:tc>
          <w:tcPr>
            <w:tcW w:w="1772" w:type="dxa"/>
            <w:tcBorders>
              <w:top w:val="nil"/>
              <w:bottom w:val="nil"/>
            </w:tcBorders>
          </w:tcPr>
          <w:p w14:paraId="68A0FDDA" w14:textId="77777777" w:rsidR="00B10720" w:rsidRPr="00FA144C" w:rsidRDefault="00B10720" w:rsidP="00816D81">
            <w:pPr>
              <w:pStyle w:val="TableTextSmall"/>
              <w:jc w:val="center"/>
              <w:cnfStyle w:val="000000000000" w:firstRow="0" w:lastRow="0" w:firstColumn="0" w:lastColumn="0" w:oddVBand="0" w:evenVBand="0" w:oddHBand="0" w:evenHBand="0" w:firstRowFirstColumn="0" w:firstRowLastColumn="0" w:lastRowFirstColumn="0" w:lastRowLastColumn="0"/>
            </w:pPr>
            <w:r w:rsidRPr="00FA144C">
              <w:t>24%</w:t>
            </w:r>
          </w:p>
        </w:tc>
      </w:tr>
      <w:tr w:rsidR="00B10720" w:rsidRPr="00FA144C" w14:paraId="6196BFE9" w14:textId="77777777" w:rsidTr="00816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il"/>
            </w:tcBorders>
            <w:hideMark/>
          </w:tcPr>
          <w:p w14:paraId="03A43CFE" w14:textId="77777777" w:rsidR="00B10720" w:rsidRPr="00FA144C" w:rsidRDefault="00B10720" w:rsidP="00816D81">
            <w:pPr>
              <w:pStyle w:val="TableTextSmall"/>
              <w:rPr>
                <w:b w:val="0"/>
              </w:rPr>
            </w:pPr>
            <w:r w:rsidRPr="00FA144C">
              <w:t>No exemption over year</w:t>
            </w:r>
          </w:p>
        </w:tc>
        <w:tc>
          <w:tcPr>
            <w:tcW w:w="1772" w:type="dxa"/>
            <w:tcBorders>
              <w:top w:val="nil"/>
            </w:tcBorders>
          </w:tcPr>
          <w:p w14:paraId="4EC4948C" w14:textId="77777777" w:rsidR="00B10720" w:rsidRPr="00FA144C" w:rsidRDefault="00B10720" w:rsidP="00816D81">
            <w:pPr>
              <w:pStyle w:val="TableTextSmall"/>
              <w:jc w:val="center"/>
              <w:cnfStyle w:val="000000100000" w:firstRow="0" w:lastRow="0" w:firstColumn="0" w:lastColumn="0" w:oddVBand="0" w:evenVBand="0" w:oddHBand="1" w:evenHBand="0" w:firstRowFirstColumn="0" w:firstRowLastColumn="0" w:lastRowFirstColumn="0" w:lastRowLastColumn="0"/>
            </w:pPr>
            <w:r w:rsidRPr="00FA144C">
              <w:t>880,490</w:t>
            </w:r>
          </w:p>
        </w:tc>
        <w:tc>
          <w:tcPr>
            <w:tcW w:w="1772" w:type="dxa"/>
            <w:tcBorders>
              <w:top w:val="nil"/>
            </w:tcBorders>
          </w:tcPr>
          <w:p w14:paraId="66839923" w14:textId="77777777" w:rsidR="00B10720" w:rsidRPr="00FA144C" w:rsidRDefault="00B10720" w:rsidP="00816D81">
            <w:pPr>
              <w:pStyle w:val="TableTextSmall"/>
              <w:jc w:val="center"/>
              <w:cnfStyle w:val="000000100000" w:firstRow="0" w:lastRow="0" w:firstColumn="0" w:lastColumn="0" w:oddVBand="0" w:evenVBand="0" w:oddHBand="1" w:evenHBand="0" w:firstRowFirstColumn="0" w:firstRowLastColumn="0" w:lastRowFirstColumn="0" w:lastRowLastColumn="0"/>
            </w:pPr>
            <w:r w:rsidRPr="00FA144C">
              <w:t>68%</w:t>
            </w:r>
          </w:p>
        </w:tc>
      </w:tr>
      <w:tr w:rsidR="00B10720" w:rsidRPr="00FA144C" w14:paraId="0CDFFEDA" w14:textId="77777777" w:rsidTr="00816D81">
        <w:tc>
          <w:tcPr>
            <w:cnfStyle w:val="001000000000" w:firstRow="0" w:lastRow="0" w:firstColumn="1" w:lastColumn="0" w:oddVBand="0" w:evenVBand="0" w:oddHBand="0" w:evenHBand="0" w:firstRowFirstColumn="0" w:firstRowLastColumn="0" w:lastRowFirstColumn="0" w:lastRowLastColumn="0"/>
            <w:tcW w:w="3261" w:type="dxa"/>
          </w:tcPr>
          <w:p w14:paraId="6F4D3292" w14:textId="77777777" w:rsidR="00B10720" w:rsidRPr="00FA144C" w:rsidRDefault="00B10720" w:rsidP="00816D81">
            <w:pPr>
              <w:pStyle w:val="TableTextSmall"/>
            </w:pPr>
            <w:r w:rsidRPr="00FA144C">
              <w:t>Total</w:t>
            </w:r>
          </w:p>
        </w:tc>
        <w:tc>
          <w:tcPr>
            <w:tcW w:w="1772" w:type="dxa"/>
          </w:tcPr>
          <w:p w14:paraId="7F99FE93" w14:textId="77777777" w:rsidR="00B10720" w:rsidRPr="00FA144C" w:rsidRDefault="00B10720" w:rsidP="00816D81">
            <w:pPr>
              <w:pStyle w:val="TableTextSmall"/>
              <w:jc w:val="center"/>
              <w:cnfStyle w:val="000000000000" w:firstRow="0" w:lastRow="0" w:firstColumn="0" w:lastColumn="0" w:oddVBand="0" w:evenVBand="0" w:oddHBand="0" w:evenHBand="0" w:firstRowFirstColumn="0" w:firstRowLastColumn="0" w:lastRowFirstColumn="0" w:lastRowLastColumn="0"/>
              <w:rPr>
                <w:b/>
              </w:rPr>
            </w:pPr>
            <w:r w:rsidRPr="00FA144C">
              <w:rPr>
                <w:b/>
              </w:rPr>
              <w:t>1,301,346</w:t>
            </w:r>
          </w:p>
        </w:tc>
        <w:tc>
          <w:tcPr>
            <w:tcW w:w="1772" w:type="dxa"/>
          </w:tcPr>
          <w:p w14:paraId="51C85133" w14:textId="77777777" w:rsidR="00B10720" w:rsidRPr="00FA144C" w:rsidRDefault="00B10720" w:rsidP="00816D81">
            <w:pPr>
              <w:pStyle w:val="TableTextSmall"/>
              <w:jc w:val="center"/>
              <w:cnfStyle w:val="000000000000" w:firstRow="0" w:lastRow="0" w:firstColumn="0" w:lastColumn="0" w:oddVBand="0" w:evenVBand="0" w:oddHBand="0" w:evenHBand="0" w:firstRowFirstColumn="0" w:firstRowLastColumn="0" w:lastRowFirstColumn="0" w:lastRowLastColumn="0"/>
              <w:rPr>
                <w:b/>
              </w:rPr>
            </w:pPr>
            <w:r w:rsidRPr="00FA144C">
              <w:rPr>
                <w:b/>
              </w:rPr>
              <w:t>100%</w:t>
            </w:r>
          </w:p>
        </w:tc>
      </w:tr>
    </w:tbl>
    <w:p w14:paraId="0840A533" w14:textId="77777777" w:rsidR="00B10720" w:rsidRDefault="00B10720" w:rsidP="00B10720">
      <w:pPr>
        <w:pStyle w:val="PwCNormal"/>
        <w:numPr>
          <w:ilvl w:val="0"/>
          <w:numId w:val="1"/>
        </w:numPr>
      </w:pPr>
      <w:r>
        <w:t>A similar proportion of men and women have obtained an exemption at some point during the year, however women are about 1.3 times more likely to have an active exemption at the end of the year, indicating they may remain exempt for longer than males.</w:t>
      </w:r>
    </w:p>
    <w:p w14:paraId="330E4B41" w14:textId="77777777" w:rsidR="00B10720" w:rsidRDefault="00B10720" w:rsidP="00B10720">
      <w:pPr>
        <w:pStyle w:val="PwCNormal"/>
        <w:numPr>
          <w:ilvl w:val="0"/>
          <w:numId w:val="1"/>
        </w:numPr>
      </w:pPr>
      <w:r>
        <w:t>In the last few years, the proportion of Working Age recipients who have an exemption at some stage during the year has grown from 26% to 32%, as shown in the chart below.</w:t>
      </w:r>
    </w:p>
    <w:p w14:paraId="4669B928" w14:textId="4B7A85B2" w:rsidR="00B10720" w:rsidRPr="000D3FEB" w:rsidRDefault="00B10720" w:rsidP="00B10720">
      <w:pPr>
        <w:pStyle w:val="Caption"/>
      </w:pPr>
      <w:r w:rsidRPr="000D3FEB">
        <w:t xml:space="preserve">Figure </w:t>
      </w:r>
      <w:fldSimple w:instr=" SEQ Figure \* ARABIC ">
        <w:r w:rsidR="00C93C1A">
          <w:rPr>
            <w:noProof/>
          </w:rPr>
          <w:t>18</w:t>
        </w:r>
      </w:fldSimple>
      <w:r w:rsidRPr="000D3FEB">
        <w:t xml:space="preserve">: </w:t>
      </w:r>
      <w:r>
        <w:t>P</w:t>
      </w:r>
      <w:r w:rsidRPr="000D3FEB">
        <w:t xml:space="preserve">roportion of people </w:t>
      </w:r>
      <w:r>
        <w:t xml:space="preserve">in the Working Age class </w:t>
      </w:r>
      <w:r w:rsidRPr="000D3FEB">
        <w:t xml:space="preserve">with </w:t>
      </w:r>
      <w:r>
        <w:t xml:space="preserve">an </w:t>
      </w:r>
      <w:r w:rsidRPr="000D3FEB">
        <w:t>exemption</w:t>
      </w:r>
      <w:r>
        <w:t xml:space="preserve"> during the year</w:t>
      </w:r>
    </w:p>
    <w:p w14:paraId="60F10461" w14:textId="77777777" w:rsidR="00B10720" w:rsidRDefault="00B10720" w:rsidP="00B10720">
      <w:pPr>
        <w:pStyle w:val="PwCNormal"/>
        <w:numPr>
          <w:ilvl w:val="0"/>
          <w:numId w:val="0"/>
        </w:numPr>
      </w:pPr>
      <w:r w:rsidRPr="008F456E">
        <w:rPr>
          <w:noProof/>
          <w:lang w:eastAsia="en-AU"/>
        </w:rPr>
        <w:drawing>
          <wp:inline distT="0" distB="0" distL="0" distR="0" wp14:anchorId="5874D5C2" wp14:editId="318A7B03">
            <wp:extent cx="3252462" cy="2160000"/>
            <wp:effectExtent l="0" t="0" r="0" b="0"/>
            <wp:docPr id="1038" name="Picture 1038" descr="This figure is a stacked column chart. The chart shows the proportion of people in the Working Age class with an exemption during the year over the past 5 financial years. The vertical axis shows the proportion of people, ranging from 0% to 35%. The horizontal axis shows the financial years from 2013 to 2017.&#10;&#10;The columns for each financial year are split by active exemption at year end and exemption during the year. &#10;&#10;The total proportion of people in the Working Age class with an exemption during year in each of the last five financial years was approximately 26% in 2013, 27% in 2014, 27% in 2015, 30% in 2016 and 32% in 2017.&#10;&#10;The key features of this chart are described in the accompanying text within the report.&#10;" title="Proportion of people in the Working Age class with an exemption during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52462" cy="2160000"/>
                    </a:xfrm>
                    <a:prstGeom prst="rect">
                      <a:avLst/>
                    </a:prstGeom>
                    <a:noFill/>
                    <a:ln>
                      <a:noFill/>
                    </a:ln>
                  </pic:spPr>
                </pic:pic>
              </a:graphicData>
            </a:graphic>
          </wp:inline>
        </w:drawing>
      </w:r>
    </w:p>
    <w:p w14:paraId="1941D6B5" w14:textId="77777777" w:rsidR="00B10720" w:rsidRDefault="00B10720" w:rsidP="00B10720">
      <w:pPr>
        <w:pStyle w:val="PwCNormal"/>
        <w:numPr>
          <w:ilvl w:val="0"/>
          <w:numId w:val="0"/>
        </w:numPr>
      </w:pPr>
      <w:r w:rsidRPr="00566FB4">
        <w:lastRenderedPageBreak/>
        <w:t>We note that th</w:t>
      </w:r>
      <w:r>
        <w:t>is</w:t>
      </w:r>
      <w:r w:rsidRPr="00566FB4">
        <w:t xml:space="preserve"> increase in the proportion of people with exemptions has coincided with the tightening of eligibility criteria and introduction of medical reviews for the Disability Support Pension.</w:t>
      </w:r>
    </w:p>
    <w:p w14:paraId="0DD68C96" w14:textId="77777777" w:rsidR="00B10720" w:rsidRDefault="00B10720" w:rsidP="00B10720">
      <w:pPr>
        <w:pStyle w:val="PwCNormal"/>
        <w:numPr>
          <w:ilvl w:val="0"/>
          <w:numId w:val="0"/>
        </w:numPr>
      </w:pPr>
      <w:r>
        <w:t>Our analysis has shown that individuals are more likely to obtain an exemption in the future if they:</w:t>
      </w:r>
    </w:p>
    <w:p w14:paraId="7ADC1E1F" w14:textId="4AFE64A8" w:rsidR="00B10720" w:rsidRDefault="00292047" w:rsidP="00B10720">
      <w:pPr>
        <w:pStyle w:val="ListBullet"/>
      </w:pPr>
      <w:r>
        <w:t>h</w:t>
      </w:r>
      <w:r w:rsidR="00B10720">
        <w:t>ave a large number of children (</w:t>
      </w:r>
      <w:r w:rsidR="00722399">
        <w:t>four</w:t>
      </w:r>
      <w:r w:rsidR="00B10720">
        <w:t xml:space="preserve"> or more)</w:t>
      </w:r>
      <w:r w:rsidR="0033779C">
        <w:t>;</w:t>
      </w:r>
    </w:p>
    <w:p w14:paraId="697C7DFA" w14:textId="1C684C69" w:rsidR="00B10720" w:rsidRDefault="00292047" w:rsidP="00B10720">
      <w:pPr>
        <w:pStyle w:val="ListBullet"/>
      </w:pPr>
      <w:r>
        <w:t>h</w:t>
      </w:r>
      <w:r w:rsidR="00B10720">
        <w:t>ave a low level of highest attained education (year 10 or less)</w:t>
      </w:r>
      <w:r w:rsidR="0033779C">
        <w:t>;</w:t>
      </w:r>
    </w:p>
    <w:p w14:paraId="67F9BD41" w14:textId="684827A4" w:rsidR="00B10720" w:rsidRDefault="00292047" w:rsidP="00B10720">
      <w:pPr>
        <w:pStyle w:val="ListBullet"/>
      </w:pPr>
      <w:r>
        <w:t>a</w:t>
      </w:r>
      <w:r w:rsidR="00B10720">
        <w:t>re older</w:t>
      </w:r>
      <w:r w:rsidR="0033779C">
        <w:t>;</w:t>
      </w:r>
      <w:r>
        <w:t xml:space="preserve"> or</w:t>
      </w:r>
    </w:p>
    <w:p w14:paraId="72DE53DB" w14:textId="4716F4CE" w:rsidR="00B10720" w:rsidRDefault="00292047" w:rsidP="00B10720">
      <w:pPr>
        <w:pStyle w:val="ListBullet"/>
      </w:pPr>
      <w:r>
        <w:t>h</w:t>
      </w:r>
      <w:r w:rsidR="00B10720">
        <w:t xml:space="preserve">ave previously received the </w:t>
      </w:r>
      <w:r w:rsidR="006D014F">
        <w:t>Disability Support Pension</w:t>
      </w:r>
      <w:r>
        <w:t>.</w:t>
      </w:r>
    </w:p>
    <w:p w14:paraId="5643F251" w14:textId="77777777" w:rsidR="00B10720" w:rsidRPr="00786826" w:rsidRDefault="00B10720" w:rsidP="00B10720">
      <w:pPr>
        <w:pStyle w:val="Minorheading"/>
      </w:pPr>
      <w:r w:rsidRPr="00786826">
        <w:t>Lifetime costs</w:t>
      </w:r>
    </w:p>
    <w:p w14:paraId="07B3EDB6" w14:textId="75460151" w:rsidR="00B10720" w:rsidRPr="00786826" w:rsidRDefault="00B10720" w:rsidP="00964D65">
      <w:pPr>
        <w:pStyle w:val="PwCNormal"/>
        <w:numPr>
          <w:ilvl w:val="0"/>
          <w:numId w:val="33"/>
        </w:numPr>
      </w:pPr>
      <w:r w:rsidRPr="00786826">
        <w:t xml:space="preserve">We estimated the </w:t>
      </w:r>
      <w:r>
        <w:t>average lifetime cost</w:t>
      </w:r>
      <w:r w:rsidRPr="00786826">
        <w:t xml:space="preserve"> for the people </w:t>
      </w:r>
      <w:r>
        <w:t>with an active exemption</w:t>
      </w:r>
      <w:r w:rsidR="001D28C2" w:rsidRPr="001D28C2">
        <w:t xml:space="preserve"> from mutual obligations</w:t>
      </w:r>
      <w:r>
        <w:t xml:space="preserve"> to</w:t>
      </w:r>
      <w:r w:rsidRPr="00786826">
        <w:t xml:space="preserve"> be </w:t>
      </w:r>
      <w:r w:rsidRPr="00786826">
        <w:rPr>
          <w:b/>
        </w:rPr>
        <w:t>$</w:t>
      </w:r>
      <w:r>
        <w:rPr>
          <w:b/>
        </w:rPr>
        <w:t>376,000</w:t>
      </w:r>
      <w:r w:rsidRPr="00786826">
        <w:t xml:space="preserve">. </w:t>
      </w:r>
      <w:r>
        <w:t>This compares to t</w:t>
      </w:r>
      <w:r w:rsidRPr="00786826">
        <w:t xml:space="preserve">he average lifetime cost for people in </w:t>
      </w:r>
      <w:r>
        <w:t xml:space="preserve">the Working Age </w:t>
      </w:r>
      <w:r w:rsidRPr="00786826">
        <w:t xml:space="preserve">class </w:t>
      </w:r>
      <w:r>
        <w:t xml:space="preserve">of </w:t>
      </w:r>
      <w:r w:rsidRPr="00165427">
        <w:rPr>
          <w:b/>
        </w:rPr>
        <w:t>$315,000</w:t>
      </w:r>
      <w:r w:rsidRPr="00165427">
        <w:t>.</w:t>
      </w:r>
      <w:r>
        <w:rPr>
          <w:b/>
        </w:rPr>
        <w:t xml:space="preserve"> </w:t>
      </w:r>
      <w:r w:rsidRPr="00786826">
        <w:t xml:space="preserve">The variation in average lifetime cost by </w:t>
      </w:r>
      <w:r>
        <w:t xml:space="preserve">exemption status, </w:t>
      </w:r>
      <w:r w:rsidRPr="00786826">
        <w:t xml:space="preserve">age </w:t>
      </w:r>
      <w:r>
        <w:t>and gender is</w:t>
      </w:r>
      <w:r w:rsidRPr="00786826">
        <w:t xml:space="preserve"> illustrated in the figure below.</w:t>
      </w:r>
    </w:p>
    <w:p w14:paraId="1CB32241" w14:textId="56BA5C73" w:rsidR="00B10720" w:rsidRPr="00074B15" w:rsidRDefault="00B10720" w:rsidP="00B10720">
      <w:pPr>
        <w:pStyle w:val="Caption"/>
      </w:pPr>
      <w:r w:rsidRPr="00074B15">
        <w:t xml:space="preserve">Figure </w:t>
      </w:r>
      <w:fldSimple w:instr=" SEQ Figure \* ARABIC ">
        <w:r w:rsidR="00C93C1A">
          <w:rPr>
            <w:noProof/>
          </w:rPr>
          <w:t>19</w:t>
        </w:r>
      </w:fldSimple>
      <w:r>
        <w:t>: Average life time cost for individuals split by exemption</w:t>
      </w:r>
      <w:r w:rsidRPr="00074B15">
        <w:rPr>
          <w:b w:val="0"/>
          <w:bCs w:val="0"/>
        </w:rPr>
        <w:t xml:space="preserve"> </w:t>
      </w:r>
    </w:p>
    <w:tbl>
      <w:tblPr>
        <w:tblW w:w="4922" w:type="pct"/>
        <w:tblLayout w:type="fixed"/>
        <w:tblLook w:val="04A0" w:firstRow="1" w:lastRow="0" w:firstColumn="1" w:lastColumn="0" w:noHBand="0" w:noVBand="1"/>
        <w:tblCaption w:val="Table"/>
        <w:tblDescription w:val="This table contains two charts"/>
      </w:tblPr>
      <w:tblGrid>
        <w:gridCol w:w="4962"/>
        <w:gridCol w:w="4962"/>
      </w:tblGrid>
      <w:tr w:rsidR="00B10720" w:rsidRPr="00896ACF" w14:paraId="70C8D2F2" w14:textId="77777777" w:rsidTr="00816D81">
        <w:trPr>
          <w:tblHeader/>
        </w:trPr>
        <w:tc>
          <w:tcPr>
            <w:tcW w:w="4627" w:type="dxa"/>
          </w:tcPr>
          <w:p w14:paraId="1F35E7DD" w14:textId="77777777" w:rsidR="00B10720" w:rsidRPr="00896ACF" w:rsidRDefault="00B10720" w:rsidP="00816D81">
            <w:pPr>
              <w:pStyle w:val="TableTextSmall"/>
              <w:keepNext/>
              <w:jc w:val="center"/>
              <w:rPr>
                <w:b/>
                <w:i/>
              </w:rPr>
            </w:pPr>
            <w:r>
              <w:rPr>
                <w:b/>
                <w:i/>
              </w:rPr>
              <w:t>Female</w:t>
            </w:r>
          </w:p>
        </w:tc>
        <w:tc>
          <w:tcPr>
            <w:tcW w:w="4627" w:type="dxa"/>
          </w:tcPr>
          <w:p w14:paraId="720CD15D" w14:textId="77777777" w:rsidR="00B10720" w:rsidRPr="00896ACF" w:rsidRDefault="00B10720" w:rsidP="00816D81">
            <w:pPr>
              <w:pStyle w:val="TableTextSmall"/>
              <w:keepNext/>
              <w:jc w:val="center"/>
              <w:rPr>
                <w:b/>
                <w:i/>
              </w:rPr>
            </w:pPr>
            <w:r>
              <w:rPr>
                <w:b/>
                <w:i/>
              </w:rPr>
              <w:t>Male</w:t>
            </w:r>
          </w:p>
        </w:tc>
      </w:tr>
      <w:tr w:rsidR="00B10720" w:rsidRPr="00AA448C" w14:paraId="2B9D8322" w14:textId="77777777" w:rsidTr="00816D81">
        <w:tc>
          <w:tcPr>
            <w:tcW w:w="4627" w:type="dxa"/>
          </w:tcPr>
          <w:p w14:paraId="635178FC" w14:textId="77777777" w:rsidR="00B10720" w:rsidRPr="00AA448C" w:rsidRDefault="00B10720" w:rsidP="00816D81">
            <w:pPr>
              <w:pStyle w:val="TableTextSmall"/>
              <w:keepNext/>
              <w:rPr>
                <w:lang w:eastAsia="en-AU"/>
              </w:rPr>
            </w:pPr>
            <w:r w:rsidRPr="00AA448C">
              <w:rPr>
                <w:noProof/>
                <w:lang w:eastAsia="en-AU"/>
              </w:rPr>
              <w:drawing>
                <wp:inline distT="0" distB="0" distL="0" distR="0" wp14:anchorId="56B05C0C" wp14:editId="3D76779D">
                  <wp:extent cx="3288462" cy="2160000"/>
                  <wp:effectExtent l="0" t="0" r="0" b="0"/>
                  <wp:docPr id="3084" name="Picture 3084" descr="This figure contains two line charts, one for females and one for males. The vertical axis on both charts displays the average lifetime cost for individuals, and ranges from $0 to $500,000. For both charts the horizontal axis shows age ranging from 15 to 60. &#10;&#10;Both charts contain a line for each of the following 3 exemption categories: Active Exemption, No Exemption and Exemption During the Year as well as the overall Working Age Average. &#10;&#10;For females at age 35, the average lifetime cost is: $475,000 for individuals with an active exemption, $435,000 for individuals with an exemption during the year and $360,000 for individuals with no exemption. Between the ages of 25 and 40, the average difference between the lifetime cost of individuals with an exemption and without an exemption is $109,000. &#10; &#10;For males at age 35, the average lifetime cost is: $347,000 for individuals with an active exemption, $319,000 for individuals with an exemption during the year and $277,000 for individuals with no exemption. Between the ages of 25 and 40, the average difference between the lifetime cost of individuals with an exemption and without an exemption is $67,000. &#10;&#10;The key features of the chart are discussed in the accompanying text within the report.&#10;" title="Average life time cost for individuals split by exem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88462" cy="2160000"/>
                          </a:xfrm>
                          <a:prstGeom prst="rect">
                            <a:avLst/>
                          </a:prstGeom>
                          <a:noFill/>
                          <a:ln>
                            <a:noFill/>
                          </a:ln>
                        </pic:spPr>
                      </pic:pic>
                    </a:graphicData>
                  </a:graphic>
                </wp:inline>
              </w:drawing>
            </w:r>
          </w:p>
        </w:tc>
        <w:tc>
          <w:tcPr>
            <w:tcW w:w="4627" w:type="dxa"/>
          </w:tcPr>
          <w:p w14:paraId="479B4B1D" w14:textId="77777777" w:rsidR="00B10720" w:rsidRPr="00AA448C" w:rsidRDefault="00B10720" w:rsidP="00816D81">
            <w:pPr>
              <w:pStyle w:val="TableTextSmall"/>
              <w:keepNext/>
              <w:rPr>
                <w:lang w:eastAsia="en-AU"/>
              </w:rPr>
            </w:pPr>
            <w:r w:rsidRPr="00AA448C">
              <w:rPr>
                <w:noProof/>
                <w:lang w:eastAsia="en-AU"/>
              </w:rPr>
              <w:drawing>
                <wp:inline distT="0" distB="0" distL="0" distR="0" wp14:anchorId="06D344A8" wp14:editId="378E8357">
                  <wp:extent cx="3271054" cy="2160000"/>
                  <wp:effectExtent l="0" t="0" r="0" b="0"/>
                  <wp:docPr id="3137" name="Picture 3137" descr="This figure contains two line charts, one for females and one for males. The vertical axis on both charts displays the average lifetime cost for individuals, and ranges from $0 to $500,000. For both charts the horizontal axis shows age ranging from 15 to 60. &#10;&#10;Both charts contain a line for each of the following 3 exemption categories: Active Exemption, No Exemption and Exemption During the Year as well as the overall Working Age Average. &#10;&#10;For females at age 35, the average lifetime cost is: $475,000 for individuals with an active exemption, $435,000 for individuals with an exemption during the year and $360,000 for individuals with no exemption. Between the ages of 25 and 40, the average difference between the lifetime cost of individuals with an exemption and without an exemption is $109,000. &#10; &#10;For males at age 35, the average lifetime cost is: $347,000 for individuals with an active exemption, $319,000 for individuals with an exemption during the year and $277,000 for individuals with no exemption. Between the ages of 25 and 40, the average difference between the lifetime cost of individuals with an exemption and without an exemption is $67,000. &#10;&#10;The key features of the chart are discussed in the accompanying text within the report.&#10;" title="Average life time cost for individuals split by exem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71054" cy="2160000"/>
                          </a:xfrm>
                          <a:prstGeom prst="rect">
                            <a:avLst/>
                          </a:prstGeom>
                          <a:noFill/>
                          <a:ln>
                            <a:noFill/>
                          </a:ln>
                        </pic:spPr>
                      </pic:pic>
                    </a:graphicData>
                  </a:graphic>
                </wp:inline>
              </w:drawing>
            </w:r>
          </w:p>
        </w:tc>
      </w:tr>
    </w:tbl>
    <w:p w14:paraId="54BC82E5" w14:textId="1D6EC8C0" w:rsidR="00B10720" w:rsidRDefault="00B10720" w:rsidP="00B10720">
      <w:pPr>
        <w:pStyle w:val="PwCNormal"/>
        <w:numPr>
          <w:ilvl w:val="0"/>
          <w:numId w:val="0"/>
        </w:numPr>
      </w:pPr>
      <w:r>
        <w:t>Those with an active exemption at year end have a higher lifetime cost and longer expected duration in the Working Age class than those who do not across nearly all ages. This difference is largest for Working Age recipients age</w:t>
      </w:r>
      <w:r w:rsidR="00292047">
        <w:t>d</w:t>
      </w:r>
      <w:r>
        <w:t xml:space="preserve"> 25 to 40 and is greater for women than for men. </w:t>
      </w:r>
    </w:p>
    <w:p w14:paraId="5EF67956" w14:textId="41B65D9A" w:rsidR="00B10720" w:rsidRDefault="00B10720" w:rsidP="00B10720">
      <w:pPr>
        <w:pStyle w:val="PwCNormal"/>
        <w:numPr>
          <w:ilvl w:val="0"/>
          <w:numId w:val="0"/>
        </w:numPr>
      </w:pPr>
      <w:r>
        <w:t>People that have had an exemption over the last year (but do not have an active exemption</w:t>
      </w:r>
      <w:r w:rsidR="00292047">
        <w:t xml:space="preserve"> at year end</w:t>
      </w:r>
      <w:r>
        <w:t xml:space="preserve">) still have </w:t>
      </w:r>
      <w:r w:rsidR="00292047">
        <w:t xml:space="preserve">substantially </w:t>
      </w:r>
      <w:r>
        <w:t>higher average lifetime costs and a longer expected duration in the Working Age class compared to people without an exemption across most ages.</w:t>
      </w:r>
      <w:r w:rsidR="00B446DE">
        <w:t xml:space="preserve"> This suggests that despite exemptions generally being granted for short term crises, the people in these situations are still likely to face longer term barriers to employment.</w:t>
      </w:r>
    </w:p>
    <w:p w14:paraId="3099B288" w14:textId="77777777" w:rsidR="00B10720" w:rsidRPr="00761B90" w:rsidRDefault="00B10720" w:rsidP="00B10720">
      <w:pPr>
        <w:pStyle w:val="Minorheading"/>
      </w:pPr>
      <w:r w:rsidRPr="00761B90">
        <w:t>Future outcomes</w:t>
      </w:r>
    </w:p>
    <w:p w14:paraId="1362E087" w14:textId="2BDCA3E6" w:rsidR="00B10720" w:rsidRDefault="00B10720" w:rsidP="00B10720">
      <w:pPr>
        <w:pStyle w:val="PwCNormal"/>
        <w:numPr>
          <w:ilvl w:val="0"/>
          <w:numId w:val="1"/>
        </w:numPr>
      </w:pPr>
      <w:r>
        <w:t xml:space="preserve">The difference in lifetime cost is driven by future pathways through the welfare system. Individuals with an active exemption </w:t>
      </w:r>
      <w:r w:rsidR="001D28C2" w:rsidRPr="001D28C2">
        <w:t>from mutual obligations</w:t>
      </w:r>
      <w:r w:rsidR="001D28C2">
        <w:t xml:space="preserve"> </w:t>
      </w:r>
      <w:r>
        <w:t xml:space="preserve">take longer to transition out of the Working Age class and are more likely to transition to an income support class when they do, compared to those without an active exemption. </w:t>
      </w:r>
    </w:p>
    <w:p w14:paraId="534C5BB5" w14:textId="5B0F3A37" w:rsidR="00B10720" w:rsidRPr="00761B90" w:rsidRDefault="00B10720" w:rsidP="00B10720">
      <w:pPr>
        <w:pStyle w:val="PwCNormal"/>
        <w:numPr>
          <w:ilvl w:val="0"/>
          <w:numId w:val="1"/>
        </w:numPr>
      </w:pPr>
      <w:r>
        <w:t xml:space="preserve">The following charts show the variation by current exemption status for the cohort of </w:t>
      </w:r>
      <w:r w:rsidR="0033779C">
        <w:t>Working A</w:t>
      </w:r>
      <w:r>
        <w:t>ge</w:t>
      </w:r>
      <w:r w:rsidR="00292047">
        <w:t xml:space="preserve"> payment</w:t>
      </w:r>
      <w:r>
        <w:t xml:space="preserve"> recipients currently aged 30 to 34 of (a) the proportion of people expected in each welfare class in </w:t>
      </w:r>
      <w:r w:rsidR="0033779C">
        <w:t>five</w:t>
      </w:r>
      <w:r>
        <w:t xml:space="preserve"> years’ time, and (b) the expected future years on income support (excluding the age pension).</w:t>
      </w:r>
    </w:p>
    <w:p w14:paraId="3366FF3A" w14:textId="3FD2CC09" w:rsidR="00B10720" w:rsidRDefault="00B10720" w:rsidP="00B10720">
      <w:pPr>
        <w:pStyle w:val="Caption"/>
      </w:pPr>
      <w:r w:rsidRPr="00074B15">
        <w:lastRenderedPageBreak/>
        <w:t xml:space="preserve">Figure </w:t>
      </w:r>
      <w:fldSimple w:instr=" SEQ Figure \* ARABIC ">
        <w:r w:rsidR="00C93C1A">
          <w:rPr>
            <w:noProof/>
          </w:rPr>
          <w:t>20</w:t>
        </w:r>
      </w:fldSimple>
      <w:r>
        <w:t>: Future outcomes</w:t>
      </w:r>
      <w:r w:rsidRPr="00786826">
        <w:t xml:space="preserve"> for </w:t>
      </w:r>
      <w:r>
        <w:t>Working Age recipients</w:t>
      </w:r>
      <w:r w:rsidRPr="00786826">
        <w:t xml:space="preserve"> aged </w:t>
      </w:r>
      <w:r>
        <w:t>3</w:t>
      </w:r>
      <w:r w:rsidRPr="00786826">
        <w:t>0</w:t>
      </w:r>
      <w:r w:rsidR="00961841">
        <w:t xml:space="preserve"> to </w:t>
      </w:r>
      <w:r>
        <w:t>34 by exemption category</w:t>
      </w:r>
    </w:p>
    <w:tbl>
      <w:tblPr>
        <w:tblW w:w="4922" w:type="pct"/>
        <w:tblLayout w:type="fixed"/>
        <w:tblLook w:val="04A0" w:firstRow="1" w:lastRow="0" w:firstColumn="1" w:lastColumn="0" w:noHBand="0" w:noVBand="1"/>
        <w:tblCaption w:val="Table"/>
        <w:tblDescription w:val="This table contains two charts"/>
      </w:tblPr>
      <w:tblGrid>
        <w:gridCol w:w="4962"/>
        <w:gridCol w:w="4962"/>
      </w:tblGrid>
      <w:tr w:rsidR="00B10720" w:rsidRPr="000A678F" w14:paraId="6EEBFD38" w14:textId="77777777" w:rsidTr="00816D81">
        <w:trPr>
          <w:tblHeader/>
        </w:trPr>
        <w:tc>
          <w:tcPr>
            <w:tcW w:w="4627" w:type="dxa"/>
          </w:tcPr>
          <w:p w14:paraId="115A310F" w14:textId="77777777" w:rsidR="00B10720" w:rsidRPr="000A678F" w:rsidRDefault="00B10720" w:rsidP="00816D81">
            <w:pPr>
              <w:pStyle w:val="TableTextSmall"/>
              <w:keepNext/>
              <w:jc w:val="center"/>
              <w:rPr>
                <w:b/>
                <w:i/>
              </w:rPr>
            </w:pPr>
            <w:r>
              <w:rPr>
                <w:b/>
                <w:i/>
              </w:rPr>
              <w:t>Expected class in 5 years</w:t>
            </w:r>
          </w:p>
        </w:tc>
        <w:tc>
          <w:tcPr>
            <w:tcW w:w="4627" w:type="dxa"/>
          </w:tcPr>
          <w:p w14:paraId="4C18CFE2" w14:textId="77777777" w:rsidR="00B10720" w:rsidRPr="000A678F" w:rsidRDefault="00B10720" w:rsidP="00816D81">
            <w:pPr>
              <w:pStyle w:val="TableTextSmall"/>
              <w:keepNext/>
              <w:jc w:val="center"/>
              <w:rPr>
                <w:b/>
                <w:i/>
              </w:rPr>
            </w:pPr>
            <w:r>
              <w:rPr>
                <w:b/>
                <w:i/>
              </w:rPr>
              <w:t>Expected future years on pre-retirement income support</w:t>
            </w:r>
          </w:p>
        </w:tc>
      </w:tr>
      <w:tr w:rsidR="00B10720" w:rsidRPr="000A678F" w14:paraId="65BA4B99" w14:textId="77777777" w:rsidTr="00816D81">
        <w:tc>
          <w:tcPr>
            <w:tcW w:w="4627" w:type="dxa"/>
          </w:tcPr>
          <w:p w14:paraId="6E5E51AA" w14:textId="7031A8ED" w:rsidR="00B10720" w:rsidRPr="000A678F" w:rsidRDefault="00E50AED" w:rsidP="00816D81">
            <w:pPr>
              <w:pStyle w:val="TableTextSmall"/>
              <w:keepNext/>
              <w:rPr>
                <w:lang w:eastAsia="en-AU"/>
              </w:rPr>
            </w:pPr>
            <w:r w:rsidRPr="00E50AED">
              <w:rPr>
                <w:noProof/>
                <w:lang w:eastAsia="en-AU"/>
              </w:rPr>
              <w:drawing>
                <wp:inline distT="0" distB="0" distL="0" distR="0" wp14:anchorId="5C69DF9B" wp14:editId="20302C11">
                  <wp:extent cx="2905477" cy="1854000"/>
                  <wp:effectExtent l="0" t="0" r="0" b="0"/>
                  <wp:docPr id="309" name="Picture 309" descr="This figure includes two stacked column charts. The left chart shows the expected class of Working Age recipients aged 30 to 34 in 5 years. The vertical axis shows the proportion of people, ranging from 0% to 100%. The horizontal axis shows their exemption category split by: Active Exemption, Exemption During the Year and No Exemption. &#10;&#10;The columns for each exemption category are split by welfare class: 1 Studying, 2 Working Age, 3 Parents, 4 Carers, 5 Disability Support, 6 Pension Age, 7 Non-IS Family, 8 Non-IS Carer, 9 Non-IS Other, 10 Previous Welfare Recipient, 11 Dead and 12 Rest of Aust. Population.&#10;&#10;The majority of people in all three exemption categories are expected to be in   Class 2 Working Age or Class 10 Previous Welfare Recipient in 5 years. The proportion of people expected to be in Class 2 Working Age are: 49% of those of those with an active exemption, 46% of those with an exemption during the year and 37% of those with no exemption. &#10;" title="Future outcomes for Working Age recipients aged 30 to 34 by exemption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05477" cy="1854000"/>
                          </a:xfrm>
                          <a:prstGeom prst="rect">
                            <a:avLst/>
                          </a:prstGeom>
                          <a:noFill/>
                          <a:ln>
                            <a:noFill/>
                          </a:ln>
                        </pic:spPr>
                      </pic:pic>
                    </a:graphicData>
                  </a:graphic>
                </wp:inline>
              </w:drawing>
            </w:r>
          </w:p>
        </w:tc>
        <w:tc>
          <w:tcPr>
            <w:tcW w:w="4627" w:type="dxa"/>
          </w:tcPr>
          <w:p w14:paraId="336FDE92" w14:textId="77777777" w:rsidR="00B10720" w:rsidRPr="000A678F" w:rsidRDefault="00B10720" w:rsidP="00816D81">
            <w:pPr>
              <w:pStyle w:val="TableTextSmall"/>
              <w:keepNext/>
              <w:rPr>
                <w:lang w:eastAsia="en-AU"/>
              </w:rPr>
            </w:pPr>
            <w:r w:rsidRPr="000A678F">
              <w:rPr>
                <w:noProof/>
                <w:lang w:eastAsia="en-AU"/>
              </w:rPr>
              <w:drawing>
                <wp:inline distT="0" distB="0" distL="0" distR="0" wp14:anchorId="60B4CD29" wp14:editId="2453BCB6">
                  <wp:extent cx="3009900" cy="1854200"/>
                  <wp:effectExtent l="0" t="0" r="0" b="0"/>
                  <wp:docPr id="411" name="Picture 411" descr="The right chart shows the expected future years on pre-retirement income support for Working Age recipients aged 30 to 34. The vertical axis shows the number of years, ranging from 0 to 25. The horizontal axis shows their exemption category split by: Active Exemption, Exemption During the Year and No Exemption. &#10;&#10;The columns for each exemption category are split by income support welfare class: 1 Studying, 2 Working Age, 3 Parents, 4 Carers and 5 Disability Support.&#10;&#10;The chart shows the majority of individuals’ future years on pre-retirement income support will be in Class 2 Working Age: 11.1 years for those with an active exemption, 10.7 years for those with an exemption during the year and 8.9 years for those with no exemption. &#10;&#10;The key features of this chart are described in the accompanying text within the report.&#10;" title="Future outcomes for Working Age recipients aged 30 to 34 by exemption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09900" cy="1854200"/>
                          </a:xfrm>
                          <a:prstGeom prst="rect">
                            <a:avLst/>
                          </a:prstGeom>
                          <a:noFill/>
                          <a:ln>
                            <a:noFill/>
                          </a:ln>
                        </pic:spPr>
                      </pic:pic>
                    </a:graphicData>
                  </a:graphic>
                </wp:inline>
              </w:drawing>
            </w:r>
          </w:p>
        </w:tc>
      </w:tr>
    </w:tbl>
    <w:p w14:paraId="36F30E24" w14:textId="77777777" w:rsidR="00B10720" w:rsidRPr="000A678F" w:rsidRDefault="00B10720" w:rsidP="00B10720">
      <w:pPr>
        <w:pStyle w:val="PwCNormal"/>
        <w:keepLines/>
        <w:numPr>
          <w:ilvl w:val="0"/>
          <w:numId w:val="1"/>
        </w:numPr>
        <w:jc w:val="center"/>
      </w:pPr>
      <w:r w:rsidRPr="000A678F">
        <w:rPr>
          <w:noProof/>
          <w:lang w:eastAsia="en-AU"/>
        </w:rPr>
        <w:drawing>
          <wp:inline distT="0" distB="0" distL="0" distR="0" wp14:anchorId="21CE996A" wp14:editId="6ED12611">
            <wp:extent cx="5385600" cy="468000"/>
            <wp:effectExtent l="0" t="0" r="0" b="8255"/>
            <wp:docPr id="388" name="Picture 388" descr="Class key: studying, working age, parents, carers, disability support, pension age, non-income support family, non-income support carer, non-income support other, previous welfare recipient, rest of the Australian population and dead. &#10;" title="Class Key for 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25724196" w14:textId="77777777" w:rsidR="00B10720" w:rsidRPr="00761B90" w:rsidRDefault="00B10720" w:rsidP="00B10720">
      <w:pPr>
        <w:pStyle w:val="PwCNormal"/>
        <w:numPr>
          <w:ilvl w:val="0"/>
          <w:numId w:val="0"/>
        </w:numPr>
      </w:pPr>
      <w:r>
        <w:t>We observe the following</w:t>
      </w:r>
      <w:r w:rsidRPr="00761B90">
        <w:t xml:space="preserve">: </w:t>
      </w:r>
    </w:p>
    <w:p w14:paraId="2B4AEE69" w14:textId="6F8FA2C5" w:rsidR="00B10720" w:rsidRPr="00495173" w:rsidRDefault="00B10720" w:rsidP="00B10720">
      <w:pPr>
        <w:pStyle w:val="ListBullet"/>
      </w:pPr>
      <w:r>
        <w:t>Only a</w:t>
      </w:r>
      <w:r w:rsidRPr="00495173">
        <w:t>bout 30% of people aged 30</w:t>
      </w:r>
      <w:r w:rsidR="00292047">
        <w:t xml:space="preserve"> to </w:t>
      </w:r>
      <w:r w:rsidRPr="00495173">
        <w:t xml:space="preserve">34 with an active exemption </w:t>
      </w:r>
      <w:r w:rsidR="001D28C2" w:rsidRPr="001D28C2">
        <w:t>from mutual obligations</w:t>
      </w:r>
      <w:r w:rsidR="001D28C2" w:rsidRPr="00495173">
        <w:t xml:space="preserve"> </w:t>
      </w:r>
      <w:r w:rsidRPr="00495173">
        <w:t>and currently in the Working Age class</w:t>
      </w:r>
      <w:r>
        <w:t xml:space="preserve"> are expected to </w:t>
      </w:r>
      <w:r w:rsidRPr="00495173">
        <w:t xml:space="preserve">be independent of income support over the next </w:t>
      </w:r>
      <w:r w:rsidR="00292047">
        <w:t>five</w:t>
      </w:r>
      <w:r w:rsidRPr="00495173">
        <w:t xml:space="preserve"> years. This compares to </w:t>
      </w:r>
      <w:r>
        <w:t xml:space="preserve">around </w:t>
      </w:r>
      <w:r w:rsidRPr="00495173">
        <w:t xml:space="preserve">50% for people with no exemption and currently in the Working Age class. </w:t>
      </w:r>
    </w:p>
    <w:p w14:paraId="74A90097" w14:textId="55EB313C" w:rsidR="00B10720" w:rsidRDefault="00B10720" w:rsidP="00B10720">
      <w:pPr>
        <w:pStyle w:val="ListBullet"/>
      </w:pPr>
      <w:r>
        <w:t xml:space="preserve">A </w:t>
      </w:r>
      <w:r w:rsidR="00FE30F6">
        <w:t xml:space="preserve">Working Age </w:t>
      </w:r>
      <w:r w:rsidR="00292047">
        <w:t xml:space="preserve">payment </w:t>
      </w:r>
      <w:r>
        <w:t xml:space="preserve">recipient aged 30 to 34 with an exemption is expected to spend 21 more years on pre-retirement income support (including 11 years on </w:t>
      </w:r>
      <w:r w:rsidR="003C32DF">
        <w:t>Working Age payments</w:t>
      </w:r>
      <w:r>
        <w:t xml:space="preserve"> and </w:t>
      </w:r>
      <w:r w:rsidR="00292047">
        <w:t>five</w:t>
      </w:r>
      <w:r>
        <w:t xml:space="preserve"> years on the Disability Support Pension). This is </w:t>
      </w:r>
      <w:r w:rsidR="00292047">
        <w:t>six</w:t>
      </w:r>
      <w:r>
        <w:t xml:space="preserve"> years more than those without an exemption.</w:t>
      </w:r>
    </w:p>
    <w:p w14:paraId="1288A7E1" w14:textId="7AC6D27D" w:rsidR="00B10720" w:rsidRPr="00495173" w:rsidRDefault="00B10720" w:rsidP="00B10720">
      <w:pPr>
        <w:pStyle w:val="ListBullet"/>
      </w:pPr>
      <w:r w:rsidRPr="00495173">
        <w:t xml:space="preserve">People that have had an exemption in the past year but do not currently have an exemption have life trajectories </w:t>
      </w:r>
      <w:r>
        <w:t>closer</w:t>
      </w:r>
      <w:r w:rsidRPr="00495173">
        <w:t xml:space="preserve"> to those with an active exemption. </w:t>
      </w:r>
      <w:r>
        <w:t xml:space="preserve">They are expected to spend a similar amount of time on Working Age payments and slightly </w:t>
      </w:r>
      <w:r w:rsidR="00F251DF">
        <w:t xml:space="preserve">less </w:t>
      </w:r>
      <w:r>
        <w:t xml:space="preserve">time on the other income support classes compared to those with an active exemption. This suggests that while these people no longer qualify for an exemption, the circumstances of their exemption have longer lasting effects which increase the difficulty of them finding employment. </w:t>
      </w:r>
    </w:p>
    <w:p w14:paraId="1F9D2281" w14:textId="77777777" w:rsidR="00B10720" w:rsidRDefault="00B10720" w:rsidP="00B10720">
      <w:pPr>
        <w:pStyle w:val="Heading4"/>
      </w:pPr>
      <w:r>
        <w:t>Reported psychological condition and work capacity assessment</w:t>
      </w:r>
    </w:p>
    <w:p w14:paraId="6A417871" w14:textId="77777777" w:rsidR="00B10720" w:rsidRDefault="00B10720" w:rsidP="00B10720">
      <w:pPr>
        <w:pStyle w:val="PwCNormal"/>
        <w:numPr>
          <w:ilvl w:val="0"/>
          <w:numId w:val="1"/>
        </w:numPr>
      </w:pPr>
      <w:r>
        <w:t xml:space="preserve">People may report a medical condition or reduced work capacity when sick or injured, which may in turn reduce their mutual obligations while in the Working Age class. Those assessed with less than 15 hours work capacity a week have different obligations to those assessed with at least 15 hours work capacity a week. We expect these people to be more likely to remain on income support given their lower work capacity, while anecdotal evidence suggested that individuals with psychological or psychiatric medical conditions are also more likely to remain on welfare. </w:t>
      </w:r>
    </w:p>
    <w:p w14:paraId="6CB66F20" w14:textId="491CC15A" w:rsidR="00B10720" w:rsidRDefault="00B10720" w:rsidP="00B10720">
      <w:pPr>
        <w:pStyle w:val="PwCNormal"/>
        <w:numPr>
          <w:ilvl w:val="0"/>
          <w:numId w:val="1"/>
        </w:numPr>
      </w:pPr>
      <w:r>
        <w:t xml:space="preserve">To separate out the impact of those with temporary circumstances from those with longer term conditions reducing their ability to work, the analysis conducted in this section focuses only on those without an active exemption </w:t>
      </w:r>
      <w:r w:rsidR="001D28C2" w:rsidRPr="001D28C2">
        <w:t>from mutual obligations</w:t>
      </w:r>
      <w:r w:rsidR="001D28C2">
        <w:t xml:space="preserve"> </w:t>
      </w:r>
      <w:r>
        <w:t>at 30 June 2017.</w:t>
      </w:r>
    </w:p>
    <w:p w14:paraId="2DD203EE" w14:textId="77777777" w:rsidR="00B10720" w:rsidRPr="0057506F" w:rsidRDefault="00B10720" w:rsidP="00B10720">
      <w:pPr>
        <w:pStyle w:val="PwCNormal"/>
        <w:numPr>
          <w:ilvl w:val="0"/>
          <w:numId w:val="1"/>
        </w:numPr>
      </w:pPr>
      <w:r>
        <w:t xml:space="preserve">The table below shows the breakdown of Working Age class recipients by their work capacity assessment and reported psychological/psychiatric assessment at the end of June 2017. </w:t>
      </w:r>
    </w:p>
    <w:p w14:paraId="6CED8B1D" w14:textId="77777777" w:rsidR="00B10720" w:rsidRPr="00DF6599" w:rsidRDefault="00B10720" w:rsidP="00B10720">
      <w:pPr>
        <w:pStyle w:val="Caption"/>
      </w:pPr>
      <w:r w:rsidRPr="00DF6599">
        <w:lastRenderedPageBreak/>
        <w:t xml:space="preserve">Table </w:t>
      </w:r>
      <w:fldSimple w:instr=" SEQ Table \* ARABIC ">
        <w:r w:rsidR="00C93C1A">
          <w:rPr>
            <w:noProof/>
          </w:rPr>
          <w:t>7</w:t>
        </w:r>
      </w:fldSimple>
      <w:r w:rsidRPr="00DF6599">
        <w:t xml:space="preserve">: </w:t>
      </w:r>
      <w:r>
        <w:t>Breakdown of 2017 Working Age class by medical condition and assessed work capacity</w:t>
      </w:r>
    </w:p>
    <w:tbl>
      <w:tblPr>
        <w:tblStyle w:val="ListTable3-Accent61"/>
        <w:tblW w:w="9818" w:type="dxa"/>
        <w:tblInd w:w="108" w:type="dxa"/>
        <w:tblLook w:val="04A0" w:firstRow="1" w:lastRow="0" w:firstColumn="1" w:lastColumn="0" w:noHBand="0" w:noVBand="1"/>
        <w:tblCaption w:val="Breakdown of 2017 Working Age class by medical condition and assessed work capacity"/>
        <w:tblDescription w:val="This table displays the number and proportion of people in the Working Age class by exemption status, medical condition and assessed work capacity. &#10;&#10;Further features of the data in this table are discussed in the accompanying text within the report.&#10;"/>
      </w:tblPr>
      <w:tblGrid>
        <w:gridCol w:w="2410"/>
        <w:gridCol w:w="2862"/>
        <w:gridCol w:w="1768"/>
        <w:gridCol w:w="1371"/>
        <w:gridCol w:w="1407"/>
      </w:tblGrid>
      <w:tr w:rsidR="00B10720" w:rsidRPr="00F440BC" w14:paraId="1F486016" w14:textId="77777777" w:rsidTr="00E42AC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E0301E" w:themeColor="accent6"/>
            </w:tcBorders>
          </w:tcPr>
          <w:p w14:paraId="6FFEC694" w14:textId="77777777" w:rsidR="00B10720" w:rsidRPr="00F440BC" w:rsidRDefault="00B10720" w:rsidP="00816D81">
            <w:pPr>
              <w:pStyle w:val="TableTextSmall"/>
              <w:keepNext/>
              <w:rPr>
                <w:rFonts w:asciiTheme="majorHAnsi" w:hAnsiTheme="majorHAnsi"/>
                <w:color w:val="FFFFFF" w:themeColor="background1"/>
              </w:rPr>
            </w:pPr>
            <w:r w:rsidRPr="00F440BC">
              <w:rPr>
                <w:rFonts w:asciiTheme="majorHAnsi" w:hAnsiTheme="majorHAnsi"/>
                <w:color w:val="FFFFFF" w:themeColor="background1"/>
              </w:rPr>
              <w:t>Exemption Status</w:t>
            </w:r>
          </w:p>
        </w:tc>
        <w:tc>
          <w:tcPr>
            <w:tcW w:w="2862" w:type="dxa"/>
            <w:tcBorders>
              <w:bottom w:val="single" w:sz="4" w:space="0" w:color="E0301E" w:themeColor="accent6"/>
            </w:tcBorders>
          </w:tcPr>
          <w:p w14:paraId="1C14FD1A" w14:textId="77777777" w:rsidR="00B10720" w:rsidRPr="00F440BC" w:rsidRDefault="00B10720" w:rsidP="00816D81">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rPr>
              <w:t xml:space="preserve">Reported </w:t>
            </w:r>
            <w:r w:rsidRPr="00F440BC">
              <w:rPr>
                <w:rFonts w:asciiTheme="majorHAnsi" w:hAnsiTheme="majorHAnsi"/>
                <w:color w:val="FFFFFF" w:themeColor="background1"/>
              </w:rPr>
              <w:t>Medical Condition</w:t>
            </w:r>
          </w:p>
        </w:tc>
        <w:tc>
          <w:tcPr>
            <w:tcW w:w="1768" w:type="dxa"/>
            <w:tcBorders>
              <w:bottom w:val="single" w:sz="4" w:space="0" w:color="E0301E" w:themeColor="accent6"/>
            </w:tcBorders>
          </w:tcPr>
          <w:p w14:paraId="6C3E801F" w14:textId="77777777" w:rsidR="00B10720" w:rsidRPr="00F440BC" w:rsidRDefault="00B10720" w:rsidP="00816D81">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F440BC">
              <w:rPr>
                <w:rFonts w:asciiTheme="majorHAnsi" w:hAnsiTheme="majorHAnsi"/>
                <w:color w:val="FFFFFF" w:themeColor="background1"/>
              </w:rPr>
              <w:t>Assessed Work Capacity</w:t>
            </w:r>
          </w:p>
        </w:tc>
        <w:tc>
          <w:tcPr>
            <w:tcW w:w="1371" w:type="dxa"/>
            <w:tcBorders>
              <w:bottom w:val="single" w:sz="4" w:space="0" w:color="E0301E" w:themeColor="accent6"/>
            </w:tcBorders>
          </w:tcPr>
          <w:p w14:paraId="34C60F83" w14:textId="77777777" w:rsidR="00B10720" w:rsidRPr="00F440BC" w:rsidRDefault="00B10720" w:rsidP="00816D81">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F440BC">
              <w:rPr>
                <w:rFonts w:asciiTheme="majorHAnsi" w:hAnsiTheme="majorHAnsi"/>
                <w:color w:val="FFFFFF" w:themeColor="background1"/>
              </w:rPr>
              <w:t>Number of People</w:t>
            </w:r>
          </w:p>
        </w:tc>
        <w:tc>
          <w:tcPr>
            <w:tcW w:w="1407" w:type="dxa"/>
            <w:tcBorders>
              <w:bottom w:val="single" w:sz="4" w:space="0" w:color="E0301E" w:themeColor="accent6"/>
            </w:tcBorders>
          </w:tcPr>
          <w:p w14:paraId="2D4DDDF2" w14:textId="77777777" w:rsidR="00B10720" w:rsidRPr="00F440BC" w:rsidRDefault="00B10720" w:rsidP="00816D81">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F440BC">
              <w:rPr>
                <w:rFonts w:asciiTheme="majorHAnsi" w:hAnsiTheme="majorHAnsi"/>
                <w:color w:val="FFFFFF" w:themeColor="background1"/>
              </w:rPr>
              <w:t>Proportion of Working Age Class</w:t>
            </w:r>
          </w:p>
        </w:tc>
      </w:tr>
      <w:tr w:rsidR="00B10720" w:rsidRPr="00DF6599" w14:paraId="5FB67D3C" w14:textId="77777777" w:rsidTr="00816D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369AF74C" w14:textId="77777777" w:rsidR="00B10720" w:rsidRPr="00440EE5" w:rsidRDefault="00B10720" w:rsidP="00816D81">
            <w:pPr>
              <w:pStyle w:val="TableTextSmall"/>
              <w:keepNext/>
              <w:rPr>
                <w:snapToGrid/>
                <w:lang w:eastAsia="en-AU"/>
              </w:rPr>
            </w:pPr>
            <w:r>
              <w:rPr>
                <w:snapToGrid/>
                <w:lang w:eastAsia="en-AU"/>
              </w:rPr>
              <w:t>Exemption at year end</w:t>
            </w:r>
          </w:p>
        </w:tc>
        <w:tc>
          <w:tcPr>
            <w:tcW w:w="2862" w:type="dxa"/>
            <w:shd w:val="clear" w:color="auto" w:fill="auto"/>
          </w:tcPr>
          <w:p w14:paraId="720DE723" w14:textId="77777777" w:rsidR="00B10720" w:rsidRPr="00215EC9" w:rsidRDefault="00B10720" w:rsidP="00816D81">
            <w:pPr>
              <w:pStyle w:val="TableTextSmall"/>
              <w:keepNext/>
              <w:cnfStyle w:val="000000100000" w:firstRow="0" w:lastRow="0" w:firstColumn="0" w:lastColumn="0" w:oddVBand="0" w:evenVBand="0" w:oddHBand="1" w:evenHBand="0" w:firstRowFirstColumn="0" w:firstRowLastColumn="0" w:lastRowFirstColumn="0" w:lastRowLastColumn="0"/>
              <w:rPr>
                <w:bCs/>
                <w:snapToGrid/>
                <w:lang w:eastAsia="en-AU"/>
              </w:rPr>
            </w:pPr>
            <w:r w:rsidRPr="00215EC9">
              <w:rPr>
                <w:bCs/>
                <w:snapToGrid/>
                <w:lang w:eastAsia="en-AU"/>
              </w:rPr>
              <w:t>All</w:t>
            </w:r>
          </w:p>
        </w:tc>
        <w:tc>
          <w:tcPr>
            <w:tcW w:w="1768" w:type="dxa"/>
          </w:tcPr>
          <w:p w14:paraId="1A692353" w14:textId="77777777" w:rsidR="00B10720" w:rsidRPr="00440EE5" w:rsidRDefault="00B10720" w:rsidP="00816D81">
            <w:pPr>
              <w:pStyle w:val="TableTextSmall"/>
              <w:keepNext/>
              <w:cnfStyle w:val="000000100000" w:firstRow="0" w:lastRow="0" w:firstColumn="0" w:lastColumn="0" w:oddVBand="0" w:evenVBand="0" w:oddHBand="1" w:evenHBand="0" w:firstRowFirstColumn="0" w:firstRowLastColumn="0" w:lastRowFirstColumn="0" w:lastRowLastColumn="0"/>
              <w:rPr>
                <w:snapToGrid/>
                <w:lang w:eastAsia="en-AU"/>
              </w:rPr>
            </w:pPr>
            <w:r>
              <w:rPr>
                <w:snapToGrid/>
                <w:lang w:eastAsia="en-AU"/>
              </w:rPr>
              <w:t>All</w:t>
            </w:r>
          </w:p>
        </w:tc>
        <w:tc>
          <w:tcPr>
            <w:tcW w:w="1371" w:type="dxa"/>
          </w:tcPr>
          <w:p w14:paraId="4E7CF97F" w14:textId="77777777" w:rsidR="00B10720" w:rsidRPr="00440EE5" w:rsidRDefault="00B10720" w:rsidP="00816D81">
            <w:pPr>
              <w:pStyle w:val="TableTextSmall"/>
              <w:keepNext/>
              <w:jc w:val="center"/>
              <w:cnfStyle w:val="000000100000" w:firstRow="0" w:lastRow="0" w:firstColumn="0" w:lastColumn="0" w:oddVBand="0" w:evenVBand="0" w:oddHBand="1" w:evenHBand="0" w:firstRowFirstColumn="0" w:firstRowLastColumn="0" w:lastRowFirstColumn="0" w:lastRowLastColumn="0"/>
              <w:rPr>
                <w:snapToGrid/>
                <w:lang w:eastAsia="en-AU"/>
              </w:rPr>
            </w:pPr>
            <w:r>
              <w:rPr>
                <w:snapToGrid/>
                <w:lang w:eastAsia="en-AU"/>
              </w:rPr>
              <w:t>108,373</w:t>
            </w:r>
          </w:p>
        </w:tc>
        <w:tc>
          <w:tcPr>
            <w:tcW w:w="1407" w:type="dxa"/>
          </w:tcPr>
          <w:p w14:paraId="2B7C6EE1" w14:textId="77777777" w:rsidR="00B10720" w:rsidRPr="00440EE5" w:rsidRDefault="00B10720" w:rsidP="00816D81">
            <w:pPr>
              <w:pStyle w:val="TableTextSmall"/>
              <w:keepNext/>
              <w:jc w:val="center"/>
              <w:cnfStyle w:val="000000100000" w:firstRow="0" w:lastRow="0" w:firstColumn="0" w:lastColumn="0" w:oddVBand="0" w:evenVBand="0" w:oddHBand="1" w:evenHBand="0" w:firstRowFirstColumn="0" w:firstRowLastColumn="0" w:lastRowFirstColumn="0" w:lastRowLastColumn="0"/>
              <w:rPr>
                <w:snapToGrid/>
                <w:lang w:eastAsia="en-AU"/>
              </w:rPr>
            </w:pPr>
            <w:r>
              <w:rPr>
                <w:snapToGrid/>
                <w:lang w:eastAsia="en-AU"/>
              </w:rPr>
              <w:t>8%</w:t>
            </w:r>
          </w:p>
        </w:tc>
      </w:tr>
      <w:tr w:rsidR="00B10720" w:rsidRPr="00DF6599" w14:paraId="5CCF4096" w14:textId="77777777" w:rsidTr="00816D81">
        <w:trPr>
          <w:cantSplit/>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E0301E" w:themeColor="accent6"/>
              <w:bottom w:val="nil"/>
            </w:tcBorders>
            <w:shd w:val="clear" w:color="auto" w:fill="auto"/>
          </w:tcPr>
          <w:p w14:paraId="76EF5C48" w14:textId="77777777" w:rsidR="00B10720" w:rsidRPr="00440EE5" w:rsidRDefault="00B10720" w:rsidP="00816D81">
            <w:pPr>
              <w:pStyle w:val="TableTextSmall"/>
              <w:keepNext/>
              <w:rPr>
                <w:snapToGrid/>
                <w:lang w:eastAsia="en-AU"/>
              </w:rPr>
            </w:pPr>
            <w:r>
              <w:rPr>
                <w:snapToGrid/>
                <w:lang w:eastAsia="en-AU"/>
              </w:rPr>
              <w:t>No exemption at year end</w:t>
            </w:r>
          </w:p>
        </w:tc>
        <w:tc>
          <w:tcPr>
            <w:tcW w:w="2862" w:type="dxa"/>
            <w:tcBorders>
              <w:top w:val="single" w:sz="4" w:space="0" w:color="E0301E" w:themeColor="accent6"/>
              <w:bottom w:val="nil"/>
            </w:tcBorders>
            <w:shd w:val="clear" w:color="auto" w:fill="auto"/>
          </w:tcPr>
          <w:p w14:paraId="57B42F2A" w14:textId="77777777" w:rsidR="00B10720" w:rsidRPr="00440EE5" w:rsidRDefault="00B10720" w:rsidP="00816D81">
            <w:pPr>
              <w:pStyle w:val="TableTextSmall"/>
              <w:keepNext/>
              <w:cnfStyle w:val="000000000000" w:firstRow="0" w:lastRow="0" w:firstColumn="0" w:lastColumn="0" w:oddVBand="0" w:evenVBand="0" w:oddHBand="0" w:evenHBand="0" w:firstRowFirstColumn="0" w:firstRowLastColumn="0" w:lastRowFirstColumn="0" w:lastRowLastColumn="0"/>
              <w:rPr>
                <w:bCs/>
                <w:snapToGrid/>
                <w:lang w:eastAsia="en-AU"/>
              </w:rPr>
            </w:pPr>
            <w:r w:rsidRPr="00440EE5">
              <w:rPr>
                <w:bCs/>
                <w:snapToGrid/>
                <w:lang w:eastAsia="en-AU"/>
              </w:rPr>
              <w:t>Psychological or psychiatric</w:t>
            </w:r>
          </w:p>
        </w:tc>
        <w:tc>
          <w:tcPr>
            <w:tcW w:w="1768" w:type="dxa"/>
            <w:tcBorders>
              <w:top w:val="single" w:sz="4" w:space="0" w:color="E0301E" w:themeColor="accent6"/>
              <w:bottom w:val="nil"/>
            </w:tcBorders>
          </w:tcPr>
          <w:p w14:paraId="36824596" w14:textId="77777777" w:rsidR="00B10720" w:rsidRPr="00440EE5" w:rsidRDefault="00B10720" w:rsidP="00816D81">
            <w:pPr>
              <w:pStyle w:val="TableTextSmall"/>
              <w:keepNext/>
              <w:cnfStyle w:val="000000000000" w:firstRow="0" w:lastRow="0" w:firstColumn="0" w:lastColumn="0" w:oddVBand="0" w:evenVBand="0" w:oddHBand="0" w:evenHBand="0" w:firstRowFirstColumn="0" w:firstRowLastColumn="0" w:lastRowFirstColumn="0" w:lastRowLastColumn="0"/>
              <w:rPr>
                <w:snapToGrid/>
                <w:lang w:eastAsia="en-AU"/>
              </w:rPr>
            </w:pPr>
            <w:r w:rsidRPr="00440EE5">
              <w:rPr>
                <w:snapToGrid/>
                <w:lang w:eastAsia="en-AU"/>
              </w:rPr>
              <w:t>Less than 15 hours</w:t>
            </w:r>
          </w:p>
        </w:tc>
        <w:tc>
          <w:tcPr>
            <w:tcW w:w="1371" w:type="dxa"/>
            <w:tcBorders>
              <w:top w:val="single" w:sz="4" w:space="0" w:color="E0301E" w:themeColor="accent6"/>
              <w:bottom w:val="nil"/>
            </w:tcBorders>
          </w:tcPr>
          <w:p w14:paraId="3EB4517A" w14:textId="77777777" w:rsidR="00B10720" w:rsidRPr="00440EE5" w:rsidRDefault="00B10720" w:rsidP="00816D81">
            <w:pPr>
              <w:pStyle w:val="TableTextSmall"/>
              <w:keepNext/>
              <w:jc w:val="center"/>
              <w:cnfStyle w:val="000000000000" w:firstRow="0" w:lastRow="0" w:firstColumn="0" w:lastColumn="0" w:oddVBand="0" w:evenVBand="0" w:oddHBand="0" w:evenHBand="0" w:firstRowFirstColumn="0" w:firstRowLastColumn="0" w:lastRowFirstColumn="0" w:lastRowLastColumn="0"/>
              <w:rPr>
                <w:snapToGrid/>
                <w:lang w:eastAsia="en-AU"/>
              </w:rPr>
            </w:pPr>
            <w:r w:rsidRPr="00440EE5">
              <w:rPr>
                <w:snapToGrid/>
                <w:lang w:eastAsia="en-AU"/>
              </w:rPr>
              <w:t>41,144</w:t>
            </w:r>
          </w:p>
        </w:tc>
        <w:tc>
          <w:tcPr>
            <w:tcW w:w="1407" w:type="dxa"/>
            <w:tcBorders>
              <w:top w:val="single" w:sz="4" w:space="0" w:color="E0301E" w:themeColor="accent6"/>
              <w:bottom w:val="nil"/>
            </w:tcBorders>
          </w:tcPr>
          <w:p w14:paraId="26A681D3" w14:textId="77777777" w:rsidR="00B10720" w:rsidRPr="00440EE5" w:rsidRDefault="00B10720" w:rsidP="00816D81">
            <w:pPr>
              <w:pStyle w:val="TableTextSmall"/>
              <w:keepNext/>
              <w:jc w:val="center"/>
              <w:cnfStyle w:val="000000000000" w:firstRow="0" w:lastRow="0" w:firstColumn="0" w:lastColumn="0" w:oddVBand="0" w:evenVBand="0" w:oddHBand="0" w:evenHBand="0" w:firstRowFirstColumn="0" w:firstRowLastColumn="0" w:lastRowFirstColumn="0" w:lastRowLastColumn="0"/>
              <w:rPr>
                <w:snapToGrid/>
                <w:lang w:eastAsia="en-AU"/>
              </w:rPr>
            </w:pPr>
            <w:r w:rsidRPr="00440EE5">
              <w:rPr>
                <w:snapToGrid/>
                <w:lang w:eastAsia="en-AU"/>
              </w:rPr>
              <w:t>3%</w:t>
            </w:r>
          </w:p>
        </w:tc>
      </w:tr>
      <w:tr w:rsidR="00B10720" w:rsidRPr="00DF6599" w14:paraId="60615674" w14:textId="77777777" w:rsidTr="00816D81">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shd w:val="clear" w:color="auto" w:fill="auto"/>
          </w:tcPr>
          <w:p w14:paraId="15ED9888" w14:textId="77777777" w:rsidR="00B10720" w:rsidRPr="00440EE5" w:rsidRDefault="00B10720" w:rsidP="00816D81">
            <w:pPr>
              <w:pStyle w:val="TableTextSmall"/>
              <w:keepNext/>
              <w:rPr>
                <w:snapToGrid/>
                <w:lang w:eastAsia="en-AU"/>
              </w:rPr>
            </w:pPr>
          </w:p>
        </w:tc>
        <w:tc>
          <w:tcPr>
            <w:tcW w:w="2862" w:type="dxa"/>
            <w:tcBorders>
              <w:top w:val="nil"/>
              <w:bottom w:val="nil"/>
            </w:tcBorders>
            <w:shd w:val="clear" w:color="auto" w:fill="auto"/>
          </w:tcPr>
          <w:p w14:paraId="57014B4F" w14:textId="77777777" w:rsidR="00B10720" w:rsidRPr="00440EE5" w:rsidRDefault="00B10720" w:rsidP="00816D81">
            <w:pPr>
              <w:pStyle w:val="TableTextSmall"/>
              <w:keepNext/>
              <w:cnfStyle w:val="000000100000" w:firstRow="0" w:lastRow="0" w:firstColumn="0" w:lastColumn="0" w:oddVBand="0" w:evenVBand="0" w:oddHBand="1" w:evenHBand="0" w:firstRowFirstColumn="0" w:firstRowLastColumn="0" w:lastRowFirstColumn="0" w:lastRowLastColumn="0"/>
              <w:rPr>
                <w:bCs/>
                <w:snapToGrid/>
                <w:lang w:eastAsia="en-AU"/>
              </w:rPr>
            </w:pPr>
          </w:p>
        </w:tc>
        <w:tc>
          <w:tcPr>
            <w:tcW w:w="1768" w:type="dxa"/>
            <w:tcBorders>
              <w:top w:val="nil"/>
              <w:bottom w:val="nil"/>
            </w:tcBorders>
          </w:tcPr>
          <w:p w14:paraId="67B2EE7D" w14:textId="77777777" w:rsidR="00B10720" w:rsidRPr="00440EE5" w:rsidRDefault="00B10720" w:rsidP="00816D81">
            <w:pPr>
              <w:pStyle w:val="TableTextSmall"/>
              <w:keepNext/>
              <w:cnfStyle w:val="000000100000" w:firstRow="0" w:lastRow="0" w:firstColumn="0" w:lastColumn="0" w:oddVBand="0" w:evenVBand="0" w:oddHBand="1" w:evenHBand="0" w:firstRowFirstColumn="0" w:firstRowLastColumn="0" w:lastRowFirstColumn="0" w:lastRowLastColumn="0"/>
              <w:rPr>
                <w:snapToGrid/>
                <w:lang w:eastAsia="en-AU"/>
              </w:rPr>
            </w:pPr>
            <w:r w:rsidRPr="00440EE5">
              <w:rPr>
                <w:snapToGrid/>
                <w:lang w:eastAsia="en-AU"/>
              </w:rPr>
              <w:t>At least 15 hours</w:t>
            </w:r>
          </w:p>
        </w:tc>
        <w:tc>
          <w:tcPr>
            <w:tcW w:w="1371" w:type="dxa"/>
            <w:tcBorders>
              <w:top w:val="nil"/>
              <w:bottom w:val="nil"/>
            </w:tcBorders>
          </w:tcPr>
          <w:p w14:paraId="5674149D" w14:textId="77777777" w:rsidR="00B10720" w:rsidRPr="00440EE5" w:rsidRDefault="00B10720" w:rsidP="00816D81">
            <w:pPr>
              <w:pStyle w:val="TableTextSmall"/>
              <w:keepNext/>
              <w:jc w:val="center"/>
              <w:cnfStyle w:val="000000100000" w:firstRow="0" w:lastRow="0" w:firstColumn="0" w:lastColumn="0" w:oddVBand="0" w:evenVBand="0" w:oddHBand="1" w:evenHBand="0" w:firstRowFirstColumn="0" w:firstRowLastColumn="0" w:lastRowFirstColumn="0" w:lastRowLastColumn="0"/>
              <w:rPr>
                <w:snapToGrid/>
                <w:lang w:eastAsia="en-AU"/>
              </w:rPr>
            </w:pPr>
            <w:r w:rsidRPr="00440EE5">
              <w:rPr>
                <w:snapToGrid/>
                <w:lang w:eastAsia="en-AU"/>
              </w:rPr>
              <w:t>143,477</w:t>
            </w:r>
          </w:p>
        </w:tc>
        <w:tc>
          <w:tcPr>
            <w:tcW w:w="1407" w:type="dxa"/>
            <w:tcBorders>
              <w:top w:val="nil"/>
              <w:bottom w:val="nil"/>
            </w:tcBorders>
          </w:tcPr>
          <w:p w14:paraId="3E47B7C2" w14:textId="77777777" w:rsidR="00B10720" w:rsidRPr="00440EE5" w:rsidRDefault="00B10720" w:rsidP="00816D81">
            <w:pPr>
              <w:pStyle w:val="TableTextSmall"/>
              <w:keepNext/>
              <w:jc w:val="center"/>
              <w:cnfStyle w:val="000000100000" w:firstRow="0" w:lastRow="0" w:firstColumn="0" w:lastColumn="0" w:oddVBand="0" w:evenVBand="0" w:oddHBand="1" w:evenHBand="0" w:firstRowFirstColumn="0" w:firstRowLastColumn="0" w:lastRowFirstColumn="0" w:lastRowLastColumn="0"/>
              <w:rPr>
                <w:snapToGrid/>
                <w:lang w:eastAsia="en-AU"/>
              </w:rPr>
            </w:pPr>
            <w:r w:rsidRPr="00440EE5">
              <w:rPr>
                <w:snapToGrid/>
                <w:lang w:eastAsia="en-AU"/>
              </w:rPr>
              <w:t>11%</w:t>
            </w:r>
          </w:p>
        </w:tc>
      </w:tr>
      <w:tr w:rsidR="00B10720" w:rsidRPr="00CB34D8" w14:paraId="45200C67" w14:textId="77777777" w:rsidTr="00816D81">
        <w:trPr>
          <w:cantSplit/>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E0301E" w:themeColor="accent6"/>
              <w:bottom w:val="nil"/>
            </w:tcBorders>
            <w:shd w:val="clear" w:color="auto" w:fill="auto"/>
          </w:tcPr>
          <w:p w14:paraId="113E9D33" w14:textId="77777777" w:rsidR="00B10720" w:rsidRPr="00440EE5" w:rsidRDefault="00B10720" w:rsidP="00816D81">
            <w:pPr>
              <w:pStyle w:val="TableTextSmall"/>
              <w:keepNext/>
              <w:rPr>
                <w:snapToGrid/>
                <w:lang w:eastAsia="en-AU"/>
              </w:rPr>
            </w:pPr>
          </w:p>
        </w:tc>
        <w:tc>
          <w:tcPr>
            <w:tcW w:w="2862" w:type="dxa"/>
            <w:tcBorders>
              <w:top w:val="nil"/>
            </w:tcBorders>
            <w:shd w:val="clear" w:color="auto" w:fill="auto"/>
          </w:tcPr>
          <w:p w14:paraId="2A216713" w14:textId="77777777" w:rsidR="00B10720" w:rsidRPr="00440EE5" w:rsidRDefault="00B10720" w:rsidP="00816D81">
            <w:pPr>
              <w:pStyle w:val="TableTextSmall"/>
              <w:keepNext/>
              <w:cnfStyle w:val="000000000000" w:firstRow="0" w:lastRow="0" w:firstColumn="0" w:lastColumn="0" w:oddVBand="0" w:evenVBand="0" w:oddHBand="0" w:evenHBand="0" w:firstRowFirstColumn="0" w:firstRowLastColumn="0" w:lastRowFirstColumn="0" w:lastRowLastColumn="0"/>
              <w:rPr>
                <w:bCs/>
                <w:snapToGrid/>
                <w:lang w:eastAsia="en-AU"/>
              </w:rPr>
            </w:pPr>
          </w:p>
        </w:tc>
        <w:tc>
          <w:tcPr>
            <w:tcW w:w="1768" w:type="dxa"/>
            <w:tcBorders>
              <w:top w:val="nil"/>
            </w:tcBorders>
          </w:tcPr>
          <w:p w14:paraId="5E7C0A8F" w14:textId="77777777" w:rsidR="00B10720" w:rsidRPr="00440EE5" w:rsidRDefault="00B10720" w:rsidP="00816D81">
            <w:pPr>
              <w:pStyle w:val="TableTextSmall"/>
              <w:keepNext/>
              <w:cnfStyle w:val="000000000000" w:firstRow="0" w:lastRow="0" w:firstColumn="0" w:lastColumn="0" w:oddVBand="0" w:evenVBand="0" w:oddHBand="0" w:evenHBand="0" w:firstRowFirstColumn="0" w:firstRowLastColumn="0" w:lastRowFirstColumn="0" w:lastRowLastColumn="0"/>
              <w:rPr>
                <w:snapToGrid/>
                <w:lang w:eastAsia="en-AU"/>
              </w:rPr>
            </w:pPr>
            <w:r w:rsidRPr="00440EE5">
              <w:rPr>
                <w:snapToGrid/>
                <w:lang w:eastAsia="en-AU"/>
              </w:rPr>
              <w:t>No assessment</w:t>
            </w:r>
          </w:p>
        </w:tc>
        <w:tc>
          <w:tcPr>
            <w:tcW w:w="1371" w:type="dxa"/>
            <w:tcBorders>
              <w:top w:val="nil"/>
            </w:tcBorders>
          </w:tcPr>
          <w:p w14:paraId="57ADF4CD" w14:textId="77777777" w:rsidR="00B10720" w:rsidRPr="00440EE5" w:rsidRDefault="00B10720" w:rsidP="00816D81">
            <w:pPr>
              <w:pStyle w:val="TableTextSmall"/>
              <w:keepNext/>
              <w:jc w:val="center"/>
              <w:cnfStyle w:val="000000000000" w:firstRow="0" w:lastRow="0" w:firstColumn="0" w:lastColumn="0" w:oddVBand="0" w:evenVBand="0" w:oddHBand="0" w:evenHBand="0" w:firstRowFirstColumn="0" w:firstRowLastColumn="0" w:lastRowFirstColumn="0" w:lastRowLastColumn="0"/>
              <w:rPr>
                <w:snapToGrid/>
                <w:lang w:eastAsia="en-AU"/>
              </w:rPr>
            </w:pPr>
            <w:r w:rsidRPr="00440EE5">
              <w:rPr>
                <w:snapToGrid/>
                <w:lang w:eastAsia="en-AU"/>
              </w:rPr>
              <w:t>59,678</w:t>
            </w:r>
          </w:p>
        </w:tc>
        <w:tc>
          <w:tcPr>
            <w:tcW w:w="1407" w:type="dxa"/>
            <w:tcBorders>
              <w:top w:val="nil"/>
            </w:tcBorders>
          </w:tcPr>
          <w:p w14:paraId="4795490B" w14:textId="77777777" w:rsidR="00B10720" w:rsidRPr="00440EE5" w:rsidRDefault="00B10720" w:rsidP="00816D81">
            <w:pPr>
              <w:pStyle w:val="TableTextSmall"/>
              <w:keepNext/>
              <w:jc w:val="center"/>
              <w:cnfStyle w:val="000000000000" w:firstRow="0" w:lastRow="0" w:firstColumn="0" w:lastColumn="0" w:oddVBand="0" w:evenVBand="0" w:oddHBand="0" w:evenHBand="0" w:firstRowFirstColumn="0" w:firstRowLastColumn="0" w:lastRowFirstColumn="0" w:lastRowLastColumn="0"/>
              <w:rPr>
                <w:snapToGrid/>
                <w:lang w:eastAsia="en-AU"/>
              </w:rPr>
            </w:pPr>
            <w:r w:rsidRPr="00440EE5">
              <w:rPr>
                <w:snapToGrid/>
                <w:lang w:eastAsia="en-AU"/>
              </w:rPr>
              <w:t>5%</w:t>
            </w:r>
          </w:p>
        </w:tc>
      </w:tr>
      <w:tr w:rsidR="00B10720" w:rsidRPr="00CB34D8" w14:paraId="10D7D127" w14:textId="77777777" w:rsidTr="00816D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shd w:val="clear" w:color="auto" w:fill="auto"/>
          </w:tcPr>
          <w:p w14:paraId="7988AA59" w14:textId="77777777" w:rsidR="00B10720" w:rsidRPr="00440EE5" w:rsidRDefault="00B10720" w:rsidP="00816D81">
            <w:pPr>
              <w:pStyle w:val="TableTextSmall"/>
              <w:keepNext/>
              <w:rPr>
                <w:snapToGrid/>
                <w:lang w:eastAsia="en-AU"/>
              </w:rPr>
            </w:pPr>
          </w:p>
        </w:tc>
        <w:tc>
          <w:tcPr>
            <w:tcW w:w="2862" w:type="dxa"/>
            <w:tcBorders>
              <w:bottom w:val="nil"/>
            </w:tcBorders>
            <w:shd w:val="clear" w:color="auto" w:fill="auto"/>
          </w:tcPr>
          <w:p w14:paraId="0AFC1DDC" w14:textId="77777777" w:rsidR="00B10720" w:rsidRPr="00440EE5" w:rsidRDefault="00B10720" w:rsidP="00816D81">
            <w:pPr>
              <w:pStyle w:val="TableTextSmall"/>
              <w:keepNext/>
              <w:cnfStyle w:val="000000100000" w:firstRow="0" w:lastRow="0" w:firstColumn="0" w:lastColumn="0" w:oddVBand="0" w:evenVBand="0" w:oddHBand="1" w:evenHBand="0" w:firstRowFirstColumn="0" w:firstRowLastColumn="0" w:lastRowFirstColumn="0" w:lastRowLastColumn="0"/>
              <w:rPr>
                <w:bCs/>
                <w:snapToGrid/>
                <w:lang w:eastAsia="en-AU"/>
              </w:rPr>
            </w:pPr>
            <w:r>
              <w:rPr>
                <w:bCs/>
                <w:snapToGrid/>
                <w:lang w:eastAsia="en-AU"/>
              </w:rPr>
              <w:t>Other or none</w:t>
            </w:r>
          </w:p>
        </w:tc>
        <w:tc>
          <w:tcPr>
            <w:tcW w:w="1768" w:type="dxa"/>
            <w:tcBorders>
              <w:bottom w:val="nil"/>
            </w:tcBorders>
          </w:tcPr>
          <w:p w14:paraId="0512286A" w14:textId="77777777" w:rsidR="00B10720" w:rsidRPr="00440EE5" w:rsidRDefault="00B10720" w:rsidP="00816D81">
            <w:pPr>
              <w:pStyle w:val="TableTextSmall"/>
              <w:keepNext/>
              <w:cnfStyle w:val="000000100000" w:firstRow="0" w:lastRow="0" w:firstColumn="0" w:lastColumn="0" w:oddVBand="0" w:evenVBand="0" w:oddHBand="1" w:evenHBand="0" w:firstRowFirstColumn="0" w:firstRowLastColumn="0" w:lastRowFirstColumn="0" w:lastRowLastColumn="0"/>
              <w:rPr>
                <w:snapToGrid/>
                <w:lang w:eastAsia="en-AU"/>
              </w:rPr>
            </w:pPr>
            <w:r w:rsidRPr="00440EE5">
              <w:rPr>
                <w:snapToGrid/>
                <w:lang w:eastAsia="en-AU"/>
              </w:rPr>
              <w:t>Less than 15 hours</w:t>
            </w:r>
          </w:p>
        </w:tc>
        <w:tc>
          <w:tcPr>
            <w:tcW w:w="1371" w:type="dxa"/>
            <w:tcBorders>
              <w:bottom w:val="nil"/>
            </w:tcBorders>
          </w:tcPr>
          <w:p w14:paraId="24A5136C" w14:textId="77777777" w:rsidR="00B10720" w:rsidRPr="00440EE5" w:rsidRDefault="00B10720" w:rsidP="00816D81">
            <w:pPr>
              <w:pStyle w:val="TableTextSmall"/>
              <w:keepNext/>
              <w:jc w:val="center"/>
              <w:cnfStyle w:val="000000100000" w:firstRow="0" w:lastRow="0" w:firstColumn="0" w:lastColumn="0" w:oddVBand="0" w:evenVBand="0" w:oddHBand="1" w:evenHBand="0" w:firstRowFirstColumn="0" w:firstRowLastColumn="0" w:lastRowFirstColumn="0" w:lastRowLastColumn="0"/>
              <w:rPr>
                <w:snapToGrid/>
                <w:lang w:eastAsia="en-AU"/>
              </w:rPr>
            </w:pPr>
            <w:r w:rsidRPr="00440EE5">
              <w:rPr>
                <w:snapToGrid/>
                <w:lang w:eastAsia="en-AU"/>
              </w:rPr>
              <w:t>65,327</w:t>
            </w:r>
          </w:p>
        </w:tc>
        <w:tc>
          <w:tcPr>
            <w:tcW w:w="1407" w:type="dxa"/>
            <w:tcBorders>
              <w:bottom w:val="nil"/>
            </w:tcBorders>
          </w:tcPr>
          <w:p w14:paraId="6BE6D074" w14:textId="77777777" w:rsidR="00B10720" w:rsidRPr="00440EE5" w:rsidRDefault="00B10720" w:rsidP="00816D81">
            <w:pPr>
              <w:pStyle w:val="TableTextSmall"/>
              <w:keepNext/>
              <w:jc w:val="center"/>
              <w:cnfStyle w:val="000000100000" w:firstRow="0" w:lastRow="0" w:firstColumn="0" w:lastColumn="0" w:oddVBand="0" w:evenVBand="0" w:oddHBand="1" w:evenHBand="0" w:firstRowFirstColumn="0" w:firstRowLastColumn="0" w:lastRowFirstColumn="0" w:lastRowLastColumn="0"/>
              <w:rPr>
                <w:snapToGrid/>
                <w:lang w:eastAsia="en-AU"/>
              </w:rPr>
            </w:pPr>
            <w:r w:rsidRPr="00440EE5">
              <w:rPr>
                <w:snapToGrid/>
                <w:lang w:eastAsia="en-AU"/>
              </w:rPr>
              <w:t>5%</w:t>
            </w:r>
          </w:p>
        </w:tc>
      </w:tr>
      <w:tr w:rsidR="00B10720" w:rsidRPr="00CB34D8" w14:paraId="50A0AE6B" w14:textId="77777777" w:rsidTr="00816D81">
        <w:trPr>
          <w:cantSplit/>
        </w:trPr>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shd w:val="clear" w:color="auto" w:fill="auto"/>
          </w:tcPr>
          <w:p w14:paraId="427F84EF" w14:textId="77777777" w:rsidR="00B10720" w:rsidRPr="00440EE5" w:rsidRDefault="00B10720" w:rsidP="00816D81">
            <w:pPr>
              <w:pStyle w:val="TableTextSmall"/>
              <w:keepNext/>
              <w:rPr>
                <w:snapToGrid/>
                <w:lang w:eastAsia="en-AU"/>
              </w:rPr>
            </w:pPr>
          </w:p>
        </w:tc>
        <w:tc>
          <w:tcPr>
            <w:tcW w:w="2862" w:type="dxa"/>
            <w:tcBorders>
              <w:top w:val="nil"/>
              <w:bottom w:val="nil"/>
            </w:tcBorders>
            <w:shd w:val="clear" w:color="auto" w:fill="auto"/>
          </w:tcPr>
          <w:p w14:paraId="311B8E68" w14:textId="77777777" w:rsidR="00B10720" w:rsidRPr="00440EE5" w:rsidRDefault="00B10720" w:rsidP="00816D81">
            <w:pPr>
              <w:pStyle w:val="TableTextSmall"/>
              <w:keepNext/>
              <w:cnfStyle w:val="000000000000" w:firstRow="0" w:lastRow="0" w:firstColumn="0" w:lastColumn="0" w:oddVBand="0" w:evenVBand="0" w:oddHBand="0" w:evenHBand="0" w:firstRowFirstColumn="0" w:firstRowLastColumn="0" w:lastRowFirstColumn="0" w:lastRowLastColumn="0"/>
              <w:rPr>
                <w:b/>
                <w:bCs/>
                <w:snapToGrid/>
                <w:lang w:eastAsia="en-AU"/>
              </w:rPr>
            </w:pPr>
          </w:p>
        </w:tc>
        <w:tc>
          <w:tcPr>
            <w:tcW w:w="1768" w:type="dxa"/>
            <w:tcBorders>
              <w:top w:val="nil"/>
              <w:bottom w:val="nil"/>
            </w:tcBorders>
          </w:tcPr>
          <w:p w14:paraId="0932ED7F" w14:textId="77777777" w:rsidR="00B10720" w:rsidRPr="00440EE5" w:rsidRDefault="00B10720" w:rsidP="00816D81">
            <w:pPr>
              <w:pStyle w:val="TableTextSmall"/>
              <w:keepNext/>
              <w:cnfStyle w:val="000000000000" w:firstRow="0" w:lastRow="0" w:firstColumn="0" w:lastColumn="0" w:oddVBand="0" w:evenVBand="0" w:oddHBand="0" w:evenHBand="0" w:firstRowFirstColumn="0" w:firstRowLastColumn="0" w:lastRowFirstColumn="0" w:lastRowLastColumn="0"/>
              <w:rPr>
                <w:snapToGrid/>
                <w:lang w:eastAsia="en-AU"/>
              </w:rPr>
            </w:pPr>
            <w:r w:rsidRPr="00440EE5">
              <w:rPr>
                <w:snapToGrid/>
                <w:lang w:eastAsia="en-AU"/>
              </w:rPr>
              <w:t>At least 15 hours</w:t>
            </w:r>
          </w:p>
        </w:tc>
        <w:tc>
          <w:tcPr>
            <w:tcW w:w="1371" w:type="dxa"/>
            <w:tcBorders>
              <w:top w:val="nil"/>
              <w:bottom w:val="nil"/>
            </w:tcBorders>
          </w:tcPr>
          <w:p w14:paraId="01CDE015" w14:textId="77777777" w:rsidR="00B10720" w:rsidRPr="00440EE5" w:rsidRDefault="00B10720" w:rsidP="00816D81">
            <w:pPr>
              <w:pStyle w:val="TableTextSmall"/>
              <w:keepNext/>
              <w:jc w:val="center"/>
              <w:cnfStyle w:val="000000000000" w:firstRow="0" w:lastRow="0" w:firstColumn="0" w:lastColumn="0" w:oddVBand="0" w:evenVBand="0" w:oddHBand="0" w:evenHBand="0" w:firstRowFirstColumn="0" w:firstRowLastColumn="0" w:lastRowFirstColumn="0" w:lastRowLastColumn="0"/>
              <w:rPr>
                <w:snapToGrid/>
                <w:lang w:eastAsia="en-AU"/>
              </w:rPr>
            </w:pPr>
            <w:r w:rsidRPr="00440EE5">
              <w:rPr>
                <w:snapToGrid/>
                <w:lang w:eastAsia="en-AU"/>
              </w:rPr>
              <w:t>269,473</w:t>
            </w:r>
          </w:p>
        </w:tc>
        <w:tc>
          <w:tcPr>
            <w:tcW w:w="1407" w:type="dxa"/>
            <w:tcBorders>
              <w:top w:val="nil"/>
              <w:bottom w:val="nil"/>
            </w:tcBorders>
          </w:tcPr>
          <w:p w14:paraId="521A28EB" w14:textId="77777777" w:rsidR="00B10720" w:rsidRPr="00440EE5" w:rsidRDefault="00B10720" w:rsidP="00816D81">
            <w:pPr>
              <w:pStyle w:val="TableTextSmall"/>
              <w:keepNext/>
              <w:jc w:val="center"/>
              <w:cnfStyle w:val="000000000000" w:firstRow="0" w:lastRow="0" w:firstColumn="0" w:lastColumn="0" w:oddVBand="0" w:evenVBand="0" w:oddHBand="0" w:evenHBand="0" w:firstRowFirstColumn="0" w:firstRowLastColumn="0" w:lastRowFirstColumn="0" w:lastRowLastColumn="0"/>
              <w:rPr>
                <w:snapToGrid/>
                <w:lang w:eastAsia="en-AU"/>
              </w:rPr>
            </w:pPr>
            <w:r w:rsidRPr="00440EE5">
              <w:rPr>
                <w:snapToGrid/>
                <w:lang w:eastAsia="en-AU"/>
              </w:rPr>
              <w:t>21%</w:t>
            </w:r>
          </w:p>
        </w:tc>
      </w:tr>
      <w:tr w:rsidR="00B10720" w:rsidRPr="00CB34D8" w14:paraId="682B5A49" w14:textId="77777777" w:rsidTr="00816D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il"/>
            </w:tcBorders>
            <w:shd w:val="clear" w:color="auto" w:fill="auto"/>
          </w:tcPr>
          <w:p w14:paraId="3F5010B1" w14:textId="77777777" w:rsidR="00B10720" w:rsidRPr="00440EE5" w:rsidRDefault="00B10720" w:rsidP="00816D81">
            <w:pPr>
              <w:pStyle w:val="TableTextSmall"/>
              <w:keepNext/>
              <w:rPr>
                <w:snapToGrid/>
                <w:lang w:eastAsia="en-AU"/>
              </w:rPr>
            </w:pPr>
          </w:p>
        </w:tc>
        <w:tc>
          <w:tcPr>
            <w:tcW w:w="2862" w:type="dxa"/>
            <w:tcBorders>
              <w:top w:val="nil"/>
            </w:tcBorders>
            <w:shd w:val="clear" w:color="auto" w:fill="auto"/>
          </w:tcPr>
          <w:p w14:paraId="7D9D3DA0" w14:textId="77777777" w:rsidR="00B10720" w:rsidRPr="00440EE5" w:rsidRDefault="00B10720" w:rsidP="00816D81">
            <w:pPr>
              <w:pStyle w:val="TableTextSmall"/>
              <w:keepNext/>
              <w:cnfStyle w:val="000000100000" w:firstRow="0" w:lastRow="0" w:firstColumn="0" w:lastColumn="0" w:oddVBand="0" w:evenVBand="0" w:oddHBand="1" w:evenHBand="0" w:firstRowFirstColumn="0" w:firstRowLastColumn="0" w:lastRowFirstColumn="0" w:lastRowLastColumn="0"/>
              <w:rPr>
                <w:b/>
                <w:bCs/>
                <w:snapToGrid/>
                <w:lang w:eastAsia="en-AU"/>
              </w:rPr>
            </w:pPr>
          </w:p>
        </w:tc>
        <w:tc>
          <w:tcPr>
            <w:tcW w:w="1768" w:type="dxa"/>
            <w:tcBorders>
              <w:top w:val="nil"/>
            </w:tcBorders>
          </w:tcPr>
          <w:p w14:paraId="14520F79" w14:textId="77777777" w:rsidR="00B10720" w:rsidRPr="00440EE5" w:rsidRDefault="00B10720" w:rsidP="00816D81">
            <w:pPr>
              <w:pStyle w:val="TableTextSmall"/>
              <w:keepNext/>
              <w:cnfStyle w:val="000000100000" w:firstRow="0" w:lastRow="0" w:firstColumn="0" w:lastColumn="0" w:oddVBand="0" w:evenVBand="0" w:oddHBand="1" w:evenHBand="0" w:firstRowFirstColumn="0" w:firstRowLastColumn="0" w:lastRowFirstColumn="0" w:lastRowLastColumn="0"/>
              <w:rPr>
                <w:snapToGrid/>
                <w:lang w:eastAsia="en-AU"/>
              </w:rPr>
            </w:pPr>
            <w:r w:rsidRPr="00440EE5">
              <w:rPr>
                <w:snapToGrid/>
                <w:lang w:eastAsia="en-AU"/>
              </w:rPr>
              <w:t>No assessment</w:t>
            </w:r>
          </w:p>
        </w:tc>
        <w:tc>
          <w:tcPr>
            <w:tcW w:w="1371" w:type="dxa"/>
            <w:tcBorders>
              <w:top w:val="nil"/>
            </w:tcBorders>
          </w:tcPr>
          <w:p w14:paraId="2B28619C" w14:textId="77777777" w:rsidR="00B10720" w:rsidRPr="00440EE5" w:rsidRDefault="00B10720" w:rsidP="00816D81">
            <w:pPr>
              <w:pStyle w:val="TableTextSmall"/>
              <w:keepNext/>
              <w:jc w:val="center"/>
              <w:cnfStyle w:val="000000100000" w:firstRow="0" w:lastRow="0" w:firstColumn="0" w:lastColumn="0" w:oddVBand="0" w:evenVBand="0" w:oddHBand="1" w:evenHBand="0" w:firstRowFirstColumn="0" w:firstRowLastColumn="0" w:lastRowFirstColumn="0" w:lastRowLastColumn="0"/>
              <w:rPr>
                <w:snapToGrid/>
                <w:lang w:eastAsia="en-AU"/>
              </w:rPr>
            </w:pPr>
            <w:r w:rsidRPr="00440EE5">
              <w:rPr>
                <w:snapToGrid/>
                <w:lang w:eastAsia="en-AU"/>
              </w:rPr>
              <w:t>613,874</w:t>
            </w:r>
          </w:p>
        </w:tc>
        <w:tc>
          <w:tcPr>
            <w:tcW w:w="1407" w:type="dxa"/>
            <w:tcBorders>
              <w:top w:val="nil"/>
            </w:tcBorders>
          </w:tcPr>
          <w:p w14:paraId="4735708B" w14:textId="77777777" w:rsidR="00B10720" w:rsidRPr="00440EE5" w:rsidRDefault="00B10720" w:rsidP="00816D81">
            <w:pPr>
              <w:pStyle w:val="TableTextSmall"/>
              <w:keepNext/>
              <w:jc w:val="center"/>
              <w:cnfStyle w:val="000000100000" w:firstRow="0" w:lastRow="0" w:firstColumn="0" w:lastColumn="0" w:oddVBand="0" w:evenVBand="0" w:oddHBand="1" w:evenHBand="0" w:firstRowFirstColumn="0" w:firstRowLastColumn="0" w:lastRowFirstColumn="0" w:lastRowLastColumn="0"/>
              <w:rPr>
                <w:snapToGrid/>
                <w:lang w:eastAsia="en-AU"/>
              </w:rPr>
            </w:pPr>
            <w:r w:rsidRPr="00440EE5">
              <w:rPr>
                <w:snapToGrid/>
                <w:lang w:eastAsia="en-AU"/>
              </w:rPr>
              <w:t>47%</w:t>
            </w:r>
          </w:p>
        </w:tc>
      </w:tr>
      <w:tr w:rsidR="00B10720" w:rsidRPr="00BD05D8" w14:paraId="058F6A17" w14:textId="77777777" w:rsidTr="00816D81">
        <w:trPr>
          <w:cantSplit/>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6233A1E5" w14:textId="77777777" w:rsidR="00B10720" w:rsidRPr="00440EE5" w:rsidRDefault="00B10720" w:rsidP="00816D81">
            <w:pPr>
              <w:pStyle w:val="TableTextSmall"/>
              <w:rPr>
                <w:snapToGrid/>
                <w:lang w:eastAsia="en-AU"/>
              </w:rPr>
            </w:pPr>
            <w:r w:rsidRPr="00440EE5">
              <w:rPr>
                <w:snapToGrid/>
                <w:lang w:eastAsia="en-AU"/>
              </w:rPr>
              <w:t>Total</w:t>
            </w:r>
          </w:p>
        </w:tc>
        <w:tc>
          <w:tcPr>
            <w:tcW w:w="2862" w:type="dxa"/>
            <w:shd w:val="clear" w:color="auto" w:fill="auto"/>
          </w:tcPr>
          <w:p w14:paraId="71D6C64C" w14:textId="77777777" w:rsidR="00B10720" w:rsidRPr="00440EE5" w:rsidRDefault="00B10720" w:rsidP="00816D81">
            <w:pPr>
              <w:pStyle w:val="TableTextSmall"/>
              <w:cnfStyle w:val="000000000000" w:firstRow="0" w:lastRow="0" w:firstColumn="0" w:lastColumn="0" w:oddVBand="0" w:evenVBand="0" w:oddHBand="0" w:evenHBand="0" w:firstRowFirstColumn="0" w:firstRowLastColumn="0" w:lastRowFirstColumn="0" w:lastRowLastColumn="0"/>
              <w:rPr>
                <w:b/>
                <w:bCs/>
                <w:snapToGrid/>
                <w:lang w:eastAsia="en-AU"/>
              </w:rPr>
            </w:pPr>
          </w:p>
        </w:tc>
        <w:tc>
          <w:tcPr>
            <w:tcW w:w="1768" w:type="dxa"/>
          </w:tcPr>
          <w:p w14:paraId="57825854" w14:textId="77777777" w:rsidR="00B10720" w:rsidRPr="00440EE5" w:rsidRDefault="00B10720" w:rsidP="00816D81">
            <w:pPr>
              <w:pStyle w:val="TableTextSmall"/>
              <w:cnfStyle w:val="000000000000" w:firstRow="0" w:lastRow="0" w:firstColumn="0" w:lastColumn="0" w:oddVBand="0" w:evenVBand="0" w:oddHBand="0" w:evenHBand="0" w:firstRowFirstColumn="0" w:firstRowLastColumn="0" w:lastRowFirstColumn="0" w:lastRowLastColumn="0"/>
              <w:rPr>
                <w:b/>
                <w:bCs/>
                <w:snapToGrid/>
                <w:lang w:eastAsia="en-AU"/>
              </w:rPr>
            </w:pPr>
          </w:p>
        </w:tc>
        <w:tc>
          <w:tcPr>
            <w:tcW w:w="1371" w:type="dxa"/>
          </w:tcPr>
          <w:p w14:paraId="3E837F22" w14:textId="77777777" w:rsidR="00B10720" w:rsidRPr="00440EE5" w:rsidRDefault="00B10720" w:rsidP="00816D81">
            <w:pPr>
              <w:pStyle w:val="TableTextSmall"/>
              <w:jc w:val="center"/>
              <w:cnfStyle w:val="000000000000" w:firstRow="0" w:lastRow="0" w:firstColumn="0" w:lastColumn="0" w:oddVBand="0" w:evenVBand="0" w:oddHBand="0" w:evenHBand="0" w:firstRowFirstColumn="0" w:firstRowLastColumn="0" w:lastRowFirstColumn="0" w:lastRowLastColumn="0"/>
              <w:rPr>
                <w:b/>
                <w:bCs/>
                <w:snapToGrid/>
                <w:lang w:eastAsia="en-AU"/>
              </w:rPr>
            </w:pPr>
            <w:r w:rsidRPr="00440EE5">
              <w:rPr>
                <w:b/>
                <w:bCs/>
                <w:snapToGrid/>
                <w:lang w:eastAsia="en-AU"/>
              </w:rPr>
              <w:t>1,</w:t>
            </w:r>
            <w:r>
              <w:rPr>
                <w:b/>
                <w:bCs/>
                <w:snapToGrid/>
                <w:lang w:eastAsia="en-AU"/>
              </w:rPr>
              <w:t>301,346</w:t>
            </w:r>
          </w:p>
        </w:tc>
        <w:tc>
          <w:tcPr>
            <w:tcW w:w="1407" w:type="dxa"/>
          </w:tcPr>
          <w:p w14:paraId="55B1156A" w14:textId="77777777" w:rsidR="00B10720" w:rsidRPr="00440EE5" w:rsidRDefault="00B10720" w:rsidP="00816D81">
            <w:pPr>
              <w:pStyle w:val="TableTextSmall"/>
              <w:jc w:val="center"/>
              <w:cnfStyle w:val="000000000000" w:firstRow="0" w:lastRow="0" w:firstColumn="0" w:lastColumn="0" w:oddVBand="0" w:evenVBand="0" w:oddHBand="0" w:evenHBand="0" w:firstRowFirstColumn="0" w:firstRowLastColumn="0" w:lastRowFirstColumn="0" w:lastRowLastColumn="0"/>
              <w:rPr>
                <w:b/>
                <w:bCs/>
                <w:snapToGrid/>
                <w:lang w:eastAsia="en-AU"/>
              </w:rPr>
            </w:pPr>
            <w:r>
              <w:rPr>
                <w:b/>
                <w:bCs/>
                <w:snapToGrid/>
                <w:lang w:eastAsia="en-AU"/>
              </w:rPr>
              <w:t>100</w:t>
            </w:r>
            <w:r w:rsidRPr="00440EE5">
              <w:rPr>
                <w:b/>
                <w:bCs/>
                <w:snapToGrid/>
                <w:lang w:eastAsia="en-AU"/>
              </w:rPr>
              <w:t>%</w:t>
            </w:r>
          </w:p>
        </w:tc>
      </w:tr>
    </w:tbl>
    <w:p w14:paraId="69E59B04" w14:textId="6F51155C" w:rsidR="00B10720" w:rsidRPr="00690EF4" w:rsidRDefault="00690EF4" w:rsidP="00690EF4">
      <w:pPr>
        <w:pStyle w:val="PwCNormal"/>
      </w:pPr>
      <w:r>
        <w:t xml:space="preserve">Most people (around 75%) with a psychological or psychiatric condition have had a work capacity assessment. For those without a psychological or psychiatric condition, there is a larger proportion of people without a work capacity assessment – these </w:t>
      </w:r>
      <w:r w:rsidRPr="00871B8B">
        <w:t xml:space="preserve">are predominantly those without any </w:t>
      </w:r>
      <w:r w:rsidR="006267AF" w:rsidRPr="00871B8B">
        <w:t xml:space="preserve">reported </w:t>
      </w:r>
      <w:r w:rsidRPr="00871B8B">
        <w:t>medical condition.</w:t>
      </w:r>
      <w:r>
        <w:t xml:space="preserve"> Of the people who have a work capacity assessment, approximately 20% are assessed as having less than 15 hours of work capacity – this is similar for people irrespective of whether they have a psychological or psychiatric condition.</w:t>
      </w:r>
      <w:r w:rsidR="00B10720" w:rsidRPr="00690EF4">
        <w:t xml:space="preserve"> </w:t>
      </w:r>
    </w:p>
    <w:p w14:paraId="2878DE2B" w14:textId="77777777" w:rsidR="00B10720" w:rsidRDefault="00B10720" w:rsidP="00B10720">
      <w:pPr>
        <w:pStyle w:val="PwCNormal"/>
        <w:numPr>
          <w:ilvl w:val="0"/>
          <w:numId w:val="1"/>
        </w:numPr>
      </w:pPr>
      <w:r>
        <w:t>The chart below shows the proportion of people in the Working Age class over the last five years based on whether they have had a reported psychological/psychiatric condition and/or a work capacity assessment.</w:t>
      </w:r>
    </w:p>
    <w:p w14:paraId="3FEFD8CF" w14:textId="242703B3" w:rsidR="00B10720" w:rsidRPr="00891712" w:rsidRDefault="00B10720" w:rsidP="00B10720">
      <w:pPr>
        <w:pStyle w:val="Caption"/>
      </w:pPr>
      <w:r w:rsidRPr="00891712">
        <w:t xml:space="preserve">Figure </w:t>
      </w:r>
      <w:fldSimple w:instr=" SEQ Figure \* ARABIC ">
        <w:r w:rsidR="00C93C1A">
          <w:rPr>
            <w:noProof/>
          </w:rPr>
          <w:t>21</w:t>
        </w:r>
      </w:fldSimple>
      <w:r w:rsidRPr="00891712">
        <w:t>: Historic proportion of people with a reported psychological/psychiatric condition or work capacity assessment</w:t>
      </w:r>
    </w:p>
    <w:p w14:paraId="6F5D5816" w14:textId="77777777" w:rsidR="00B10720" w:rsidRPr="009F3811" w:rsidRDefault="00B10720" w:rsidP="00B10720">
      <w:pPr>
        <w:pStyle w:val="PwCNormal"/>
        <w:numPr>
          <w:ilvl w:val="0"/>
          <w:numId w:val="1"/>
        </w:numPr>
      </w:pPr>
      <w:r w:rsidRPr="009F3811">
        <w:rPr>
          <w:noProof/>
          <w:lang w:eastAsia="en-AU"/>
        </w:rPr>
        <w:drawing>
          <wp:inline distT="0" distB="0" distL="0" distR="0" wp14:anchorId="7055E3BF" wp14:editId="1EF19A64">
            <wp:extent cx="5622400" cy="2160000"/>
            <wp:effectExtent l="0" t="0" r="0" b="0"/>
            <wp:docPr id="3860" name="Picture 3860" descr="This figure is a stacked column chart with ten columns. The vertical axis displays the proportion of people ranging from 0% to 90%. &#10;&#10;The horizontal axis is split into two sections; the first five columns show the work capacity of those with no reported psychological/psychiatric condition and the second five columns show the work capacity of those with a reported psychological/psychiatric condition. In each section, the set of five columns represent the last five financial years; 2013, 2014, 2015, 2016 and 2017. &#10;&#10;For both sections, the columns are split into 3 work capacity levels; work capacity &lt;15 hours, work capacity &gt;= 15 hours or no assessment done. &#10;&#10;The chart shows that the proportion of people with a reported psychological/psychiatric condition were; 17.5% in 2013, 18.0% in 2014, 19.0% in 2015, 20.5% in 2016 and 22.0% in 2017.&#10;&#10;The chart also shows that majority of those with no reported psychological/ psychiatric condition have had no work capacity assessments done; 52.9% in 2013, 53.1% in 2014, 52.0% in 2015, 50.8% in 2016 and 49.2% in 2017.&#10;&#10;Further discussion of the key features shown in the chart can be found in the accompanying text within the report. &#10;" title="Historic proportion of people with a reported psychological/psychiatric condition or work capacity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22400" cy="2160000"/>
                    </a:xfrm>
                    <a:prstGeom prst="rect">
                      <a:avLst/>
                    </a:prstGeom>
                    <a:noFill/>
                    <a:ln>
                      <a:noFill/>
                    </a:ln>
                  </pic:spPr>
                </pic:pic>
              </a:graphicData>
            </a:graphic>
          </wp:inline>
        </w:drawing>
      </w:r>
    </w:p>
    <w:p w14:paraId="6B092A7E" w14:textId="3C259B4D" w:rsidR="00B10720" w:rsidRPr="0046278B" w:rsidRDefault="00B10720" w:rsidP="00B10720">
      <w:pPr>
        <w:pStyle w:val="PwCNormal"/>
        <w:numPr>
          <w:ilvl w:val="0"/>
          <w:numId w:val="1"/>
        </w:numPr>
      </w:pPr>
      <w:r w:rsidRPr="0046278B">
        <w:t xml:space="preserve">The number of </w:t>
      </w:r>
      <w:r w:rsidR="003E4E38">
        <w:t xml:space="preserve">people with </w:t>
      </w:r>
      <w:r w:rsidRPr="0046278B">
        <w:t xml:space="preserve">reported psychological/psychiatric conditions has grown steadily over the last </w:t>
      </w:r>
      <w:r w:rsidR="00292047">
        <w:t>five</w:t>
      </w:r>
      <w:r w:rsidRPr="0046278B">
        <w:t xml:space="preserve"> years</w:t>
      </w:r>
      <w:r w:rsidR="00292047">
        <w:t>.</w:t>
      </w:r>
      <w:r w:rsidRPr="0046278B">
        <w:t xml:space="preserve"> </w:t>
      </w:r>
      <w:r w:rsidR="00292047">
        <w:t>T</w:t>
      </w:r>
      <w:r w:rsidRPr="0046278B">
        <w:t>his is potentially due to increased awareness of mental health over the past decade</w:t>
      </w:r>
      <w:r>
        <w:t xml:space="preserve"> and may also reflect the recent tightening of the DSP eligibility criteria, with more people with these conditions staying in the </w:t>
      </w:r>
      <w:r w:rsidR="00292047">
        <w:t>W</w:t>
      </w:r>
      <w:r>
        <w:t xml:space="preserve">orking </w:t>
      </w:r>
      <w:r w:rsidR="00292047">
        <w:t>A</w:t>
      </w:r>
      <w:r>
        <w:t>ge class rather than transitioning into DSP</w:t>
      </w:r>
      <w:r w:rsidRPr="0046278B">
        <w:t>. The split between men and women with</w:t>
      </w:r>
      <w:r>
        <w:t xml:space="preserve"> a</w:t>
      </w:r>
      <w:r w:rsidRPr="0046278B">
        <w:t xml:space="preserve"> reported psychological</w:t>
      </w:r>
      <w:r>
        <w:t xml:space="preserve"> or </w:t>
      </w:r>
      <w:r w:rsidRPr="0046278B">
        <w:t>psychiatric condition is similar.</w:t>
      </w:r>
    </w:p>
    <w:p w14:paraId="59B01032" w14:textId="07C5BDBA" w:rsidR="00B10720" w:rsidRDefault="00B10720" w:rsidP="00B10720">
      <w:pPr>
        <w:pStyle w:val="PwCNormal"/>
        <w:numPr>
          <w:ilvl w:val="0"/>
          <w:numId w:val="1"/>
        </w:numPr>
      </w:pPr>
      <w:r w:rsidRPr="0046278B">
        <w:t xml:space="preserve">We can </w:t>
      </w:r>
      <w:r>
        <w:t xml:space="preserve">also </w:t>
      </w:r>
      <w:r w:rsidRPr="0046278B">
        <w:t xml:space="preserve">see that the number of individuals assessed with less than 15 hours of work capacity a week has increased over the last </w:t>
      </w:r>
      <w:r w:rsidR="00292047">
        <w:t>five</w:t>
      </w:r>
      <w:r w:rsidRPr="0046278B">
        <w:t xml:space="preserve"> years</w:t>
      </w:r>
      <w:r>
        <w:t xml:space="preserve"> and that this is across both the medical condition groupings</w:t>
      </w:r>
      <w:r w:rsidRPr="0046278B">
        <w:t xml:space="preserve">. This may </w:t>
      </w:r>
      <w:r>
        <w:t>also reflect</w:t>
      </w:r>
      <w:r w:rsidRPr="0046278B">
        <w:t xml:space="preserve"> people who would have previously entered DSP. </w:t>
      </w:r>
    </w:p>
    <w:p w14:paraId="526A21B5" w14:textId="1A51A4B9" w:rsidR="00B10720" w:rsidRPr="0046278B" w:rsidRDefault="00B10720" w:rsidP="00B10720">
      <w:pPr>
        <w:pStyle w:val="PwCNormal"/>
        <w:numPr>
          <w:ilvl w:val="0"/>
          <w:numId w:val="1"/>
        </w:numPr>
      </w:pPr>
      <w:r w:rsidRPr="0046278B">
        <w:t>Interestingly although the proportion of men and women assessed with less than 15 hours of work capacity is similar, a slightly greater proportion of men (39% compared to 31% for women</w:t>
      </w:r>
      <w:r w:rsidR="006E2864">
        <w:t xml:space="preserve">; </w:t>
      </w:r>
      <w:r>
        <w:t>not shown</w:t>
      </w:r>
      <w:r w:rsidR="006E2864">
        <w:t xml:space="preserve"> in chart</w:t>
      </w:r>
      <w:r w:rsidRPr="0046278B">
        <w:t xml:space="preserve">) </w:t>
      </w:r>
      <w:r w:rsidR="00F251DF">
        <w:t xml:space="preserve">who </w:t>
      </w:r>
      <w:r w:rsidRPr="0046278B">
        <w:t>have applied for a work capacity assessment have been assessed with 15 or more hours work capacity.</w:t>
      </w:r>
    </w:p>
    <w:p w14:paraId="4C9C0AE6" w14:textId="77777777" w:rsidR="00B10720" w:rsidRPr="00786826" w:rsidRDefault="00B10720" w:rsidP="00B10720">
      <w:pPr>
        <w:pStyle w:val="Minorheading"/>
      </w:pPr>
      <w:r w:rsidRPr="00786826">
        <w:t>Lifetime costs</w:t>
      </w:r>
    </w:p>
    <w:p w14:paraId="195AF3D9" w14:textId="77777777" w:rsidR="00B10720" w:rsidRPr="00786826" w:rsidRDefault="00B10720" w:rsidP="00B10720">
      <w:pPr>
        <w:pStyle w:val="PwCNormal"/>
        <w:numPr>
          <w:ilvl w:val="0"/>
          <w:numId w:val="1"/>
        </w:numPr>
      </w:pPr>
      <w:r w:rsidRPr="00786826">
        <w:t xml:space="preserve">We estimated the </w:t>
      </w:r>
      <w:r>
        <w:t>average lifetime cost</w:t>
      </w:r>
      <w:r w:rsidRPr="00786826">
        <w:t xml:space="preserve"> for the people </w:t>
      </w:r>
      <w:r>
        <w:t>with either a recorded psychological/psychiatric condition or work capacity of less than 15 hours a week to be to</w:t>
      </w:r>
      <w:r w:rsidRPr="00786826">
        <w:t xml:space="preserve"> be</w:t>
      </w:r>
      <w:r>
        <w:t xml:space="preserve"> close to</w:t>
      </w:r>
      <w:r w:rsidRPr="00786826">
        <w:t xml:space="preserve"> </w:t>
      </w:r>
      <w:r w:rsidRPr="007F472B">
        <w:rPr>
          <w:b/>
        </w:rPr>
        <w:t>$3</w:t>
      </w:r>
      <w:r>
        <w:rPr>
          <w:b/>
        </w:rPr>
        <w:t>50</w:t>
      </w:r>
      <w:r w:rsidRPr="007F472B">
        <w:rPr>
          <w:b/>
        </w:rPr>
        <w:t>,000</w:t>
      </w:r>
      <w:r w:rsidRPr="00786826">
        <w:t>.</w:t>
      </w:r>
      <w:r>
        <w:t xml:space="preserve"> Those who have not had a work capacity assessment and do not have a recorded psychiatric/psychological condition have an average lifetime cost of </w:t>
      </w:r>
      <w:r w:rsidRPr="001E78A0">
        <w:rPr>
          <w:b/>
        </w:rPr>
        <w:t>$27</w:t>
      </w:r>
      <w:r>
        <w:rPr>
          <w:b/>
        </w:rPr>
        <w:t>7</w:t>
      </w:r>
      <w:r w:rsidRPr="001E78A0">
        <w:rPr>
          <w:b/>
        </w:rPr>
        <w:t>,000</w:t>
      </w:r>
      <w:r>
        <w:t>.</w:t>
      </w:r>
      <w:r w:rsidRPr="00786826">
        <w:t xml:space="preserve"> </w:t>
      </w:r>
      <w:r>
        <w:t>These compare to t</w:t>
      </w:r>
      <w:r w:rsidRPr="00786826">
        <w:t xml:space="preserve">he average lifetime cost for people in </w:t>
      </w:r>
      <w:r>
        <w:t xml:space="preserve">the Working Age </w:t>
      </w:r>
      <w:r w:rsidRPr="00786826">
        <w:t xml:space="preserve">class </w:t>
      </w:r>
      <w:r>
        <w:t>of</w:t>
      </w:r>
      <w:r w:rsidRPr="00786826">
        <w:t xml:space="preserve"> </w:t>
      </w:r>
      <w:r w:rsidRPr="00EC049E">
        <w:rPr>
          <w:b/>
        </w:rPr>
        <w:t>$315,000</w:t>
      </w:r>
      <w:r w:rsidRPr="00786826">
        <w:t xml:space="preserve">. </w:t>
      </w:r>
      <w:r w:rsidRPr="00786826">
        <w:lastRenderedPageBreak/>
        <w:t>The variation in average lifetime cost by age</w:t>
      </w:r>
      <w:r>
        <w:t>,</w:t>
      </w:r>
      <w:r w:rsidRPr="00786826">
        <w:t xml:space="preserve"> </w:t>
      </w:r>
      <w:r>
        <w:t>reported psychological condition and assessed work capacity is</w:t>
      </w:r>
      <w:r w:rsidRPr="00786826">
        <w:t xml:space="preserve"> illustrated in the figure below.</w:t>
      </w:r>
    </w:p>
    <w:p w14:paraId="51497A96" w14:textId="480C37ED" w:rsidR="00B10720" w:rsidRPr="00074B15" w:rsidRDefault="00B10720" w:rsidP="00B10720">
      <w:pPr>
        <w:pStyle w:val="Caption"/>
      </w:pPr>
      <w:r w:rsidRPr="00074B15">
        <w:t xml:space="preserve">Figure </w:t>
      </w:r>
      <w:fldSimple w:instr=" SEQ Figure \* ARABIC ">
        <w:r w:rsidR="00C93C1A">
          <w:rPr>
            <w:noProof/>
          </w:rPr>
          <w:t>22</w:t>
        </w:r>
      </w:fldSimple>
      <w:r>
        <w:t>: Average lifetime cost for individuals split by recorded psychological condition and assessed work capacity.</w:t>
      </w:r>
      <w:r w:rsidRPr="00074B15">
        <w:rPr>
          <w:b w:val="0"/>
          <w:bCs w:val="0"/>
        </w:rPr>
        <w:t xml:space="preserve"> </w:t>
      </w:r>
    </w:p>
    <w:tbl>
      <w:tblPr>
        <w:tblW w:w="4922" w:type="pct"/>
        <w:tblLayout w:type="fixed"/>
        <w:tblLook w:val="04A0" w:firstRow="1" w:lastRow="0" w:firstColumn="1" w:lastColumn="0" w:noHBand="0" w:noVBand="1"/>
        <w:tblCaption w:val="Tablw"/>
        <w:tblDescription w:val="This table contains two charts"/>
      </w:tblPr>
      <w:tblGrid>
        <w:gridCol w:w="4962"/>
        <w:gridCol w:w="4962"/>
      </w:tblGrid>
      <w:tr w:rsidR="00B10720" w:rsidRPr="00896ACF" w14:paraId="2A67B35F" w14:textId="77777777" w:rsidTr="00816D81">
        <w:trPr>
          <w:tblHeader/>
        </w:trPr>
        <w:tc>
          <w:tcPr>
            <w:tcW w:w="4627" w:type="dxa"/>
          </w:tcPr>
          <w:p w14:paraId="0AF0B386" w14:textId="77777777" w:rsidR="00B10720" w:rsidRPr="00896ACF" w:rsidRDefault="00B10720" w:rsidP="00816D81">
            <w:pPr>
              <w:pStyle w:val="TableTextSmall"/>
              <w:keepNext/>
              <w:jc w:val="center"/>
              <w:rPr>
                <w:b/>
                <w:i/>
              </w:rPr>
            </w:pPr>
            <w:r>
              <w:rPr>
                <w:b/>
                <w:i/>
              </w:rPr>
              <w:t>No reported psychological/psychiatric condition</w:t>
            </w:r>
          </w:p>
        </w:tc>
        <w:tc>
          <w:tcPr>
            <w:tcW w:w="4627" w:type="dxa"/>
          </w:tcPr>
          <w:p w14:paraId="4F23C5CA" w14:textId="77777777" w:rsidR="00B10720" w:rsidRPr="00896ACF" w:rsidRDefault="00B10720" w:rsidP="00816D81">
            <w:pPr>
              <w:pStyle w:val="TableTextSmall"/>
              <w:keepNext/>
              <w:jc w:val="center"/>
              <w:rPr>
                <w:b/>
                <w:i/>
              </w:rPr>
            </w:pPr>
            <w:r>
              <w:rPr>
                <w:b/>
                <w:i/>
              </w:rPr>
              <w:t>Reported psychological/psychiatric condition</w:t>
            </w:r>
          </w:p>
        </w:tc>
      </w:tr>
      <w:tr w:rsidR="00B10720" w:rsidRPr="00896ACF" w14:paraId="21605D3B" w14:textId="77777777" w:rsidTr="00816D81">
        <w:tc>
          <w:tcPr>
            <w:tcW w:w="4627" w:type="dxa"/>
          </w:tcPr>
          <w:p w14:paraId="675906F2" w14:textId="77777777" w:rsidR="00B10720" w:rsidRPr="00896ACF" w:rsidRDefault="00B10720" w:rsidP="00816D81">
            <w:pPr>
              <w:pStyle w:val="TableTextSmall"/>
              <w:keepNext/>
              <w:rPr>
                <w:lang w:eastAsia="en-AU"/>
              </w:rPr>
            </w:pPr>
            <w:r w:rsidRPr="000C7BAD">
              <w:rPr>
                <w:noProof/>
                <w:lang w:eastAsia="en-AU"/>
              </w:rPr>
              <w:drawing>
                <wp:inline distT="0" distB="0" distL="0" distR="0" wp14:anchorId="1B7BA34D" wp14:editId="510E1384">
                  <wp:extent cx="3009900" cy="2070100"/>
                  <wp:effectExtent l="0" t="0" r="0" b="0"/>
                  <wp:docPr id="2069" name="Picture 2069" descr="This figure contains two line charts. The vertical axis on both charts displays the average lifetime cost for individuals, and ranges from $0 to $400,000. For both charts the horizontal axis shows age ranging from 15 to 60. &#10;&#10;Both charts contain a line for each of the following 3 work capacity types: No Assessment, at least 15 hours Work Capacity and &lt;15 hours Work Capacity as well as the overall non reported psych and reported psych Working Age Average respectively. &#10;&#10;For individuals with no reported psychological/psychiatric condition at age 35, the average lifetime cost is: $365,000 for those with &lt;15 hours work capacity, $341,000 for those with at least 15 hours work capacity and $293,000 for those with no assessment. Between the ages of 25 and 40, the average difference between the lifetime cost of individuals with at least 15 hours work capacity and &lt;15 hours work capacity is $22,000. &#10; &#10;For individuals with a reported psychological/psychiatric condition at age 35, the average lifetime cost is: $383,000 for those with &lt;15 hours work capacity, $367,000 for those with at least 15 hours work capacity and $344,000 for those with no assessment. Between the ages of 25 and 40, the average difference between the lifetime cost of individuals with at least 15 hours work capacity and &lt;15 hours work capacity is $11,000. &#10; &#10;The key features of the chart are discussed in the accompanying text within the report.&#10;" title="Average lifetime cost for individuals split by recorded psychological condition and assessed work capa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9900" cy="2070100"/>
                          </a:xfrm>
                          <a:prstGeom prst="rect">
                            <a:avLst/>
                          </a:prstGeom>
                          <a:noFill/>
                          <a:ln>
                            <a:noFill/>
                          </a:ln>
                        </pic:spPr>
                      </pic:pic>
                    </a:graphicData>
                  </a:graphic>
                </wp:inline>
              </w:drawing>
            </w:r>
          </w:p>
        </w:tc>
        <w:tc>
          <w:tcPr>
            <w:tcW w:w="4627" w:type="dxa"/>
          </w:tcPr>
          <w:p w14:paraId="5D6C5E09" w14:textId="77777777" w:rsidR="00B10720" w:rsidRPr="00896ACF" w:rsidRDefault="00B10720" w:rsidP="00816D81">
            <w:pPr>
              <w:pStyle w:val="TableTextSmall"/>
              <w:keepNext/>
              <w:rPr>
                <w:lang w:eastAsia="en-AU"/>
              </w:rPr>
            </w:pPr>
            <w:r w:rsidRPr="000C7BAD">
              <w:rPr>
                <w:noProof/>
                <w:lang w:eastAsia="en-AU"/>
              </w:rPr>
              <w:drawing>
                <wp:inline distT="0" distB="0" distL="0" distR="0" wp14:anchorId="05FF3EF6" wp14:editId="1FB67DF9">
                  <wp:extent cx="3009900" cy="2070100"/>
                  <wp:effectExtent l="0" t="0" r="0" b="0"/>
                  <wp:docPr id="1040" name="Picture 1040" descr="This figure contains two line charts. The vertical axis on both charts displays the average lifetime cost for individuals, and ranges from $0 to $400,000. For both charts the horizontal axis shows age ranging from 15 to 60. &#10;&#10;Both charts contain a line for each of the following 3 work capacity types: No Assessment, at least 15 hours Work Capacity and &lt;15 hours Work Capacity as well as the overall non reported psych and reported psych Working Age Average respectively. &#10;&#10;For individuals with no reported psychological/psychiatric condition at age 35, the average lifetime cost is: $365,000 for those with &lt;15 hours work capacity, $341,000 for those with at least 15 hours work capacity and $293,000 for those with no assessment. Between the ages of 25 and 40, the average difference between the lifetime cost of individuals with at least 15 hours work capacity and &lt;15 hours work capacity is $22,000. &#10; &#10;For individuals with a reported psychological/psychiatric condition at age 35, the average lifetime cost is: $383,000 for those with &lt;15 hours work capacity, $367,000 for those with at least 15 hours work capacity and $344,000 for those with no assessment. Between the ages of 25 and 40, the average difference between the lifetime cost of individuals with at least 15 hours work capacity and &lt;15 hours work capacity is $11,000. &#10; &#10;The key features of the chart are discussed in the accompanying text within the report.&#10;" title="Average lifetime cost for individuals split by recorded psychological condition and assessed work capa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09900" cy="2070100"/>
                          </a:xfrm>
                          <a:prstGeom prst="rect">
                            <a:avLst/>
                          </a:prstGeom>
                          <a:noFill/>
                          <a:ln>
                            <a:noFill/>
                          </a:ln>
                        </pic:spPr>
                      </pic:pic>
                    </a:graphicData>
                  </a:graphic>
                </wp:inline>
              </w:drawing>
            </w:r>
          </w:p>
        </w:tc>
      </w:tr>
    </w:tbl>
    <w:p w14:paraId="08E571BC" w14:textId="77777777" w:rsidR="00B10720" w:rsidRDefault="00B10720" w:rsidP="00B10720">
      <w:pPr>
        <w:pStyle w:val="PwCNormal"/>
        <w:numPr>
          <w:ilvl w:val="0"/>
          <w:numId w:val="0"/>
        </w:numPr>
      </w:pPr>
      <w:r>
        <w:t>There is moderate variation in average lifetime costs by age, work capacity and recorded psychological or psychiatric condition:</w:t>
      </w:r>
    </w:p>
    <w:p w14:paraId="1FB1C871" w14:textId="07DE71F2" w:rsidR="006E2864" w:rsidRDefault="006E2864" w:rsidP="00B10720">
      <w:pPr>
        <w:pStyle w:val="ListBullet"/>
      </w:pPr>
      <w:r>
        <w:t xml:space="preserve">The following observations are consistent across most </w:t>
      </w:r>
      <w:r w:rsidR="00B10720">
        <w:t>ages</w:t>
      </w:r>
      <w:r>
        <w:t>:</w:t>
      </w:r>
    </w:p>
    <w:p w14:paraId="013030B0" w14:textId="2C393F9D" w:rsidR="006E2864" w:rsidRDefault="00292047" w:rsidP="006E2864">
      <w:pPr>
        <w:pStyle w:val="ListBullet2"/>
      </w:pPr>
      <w:r>
        <w:t>p</w:t>
      </w:r>
      <w:r w:rsidR="006E2864">
        <w:t>eople with less work capacity have a higher expected future lifetime cost;</w:t>
      </w:r>
      <w:r>
        <w:t xml:space="preserve"> and</w:t>
      </w:r>
    </w:p>
    <w:p w14:paraId="6548EFD8" w14:textId="2B4A3A82" w:rsidR="00B10720" w:rsidRDefault="00292047" w:rsidP="006E2864">
      <w:pPr>
        <w:pStyle w:val="ListBullet2"/>
      </w:pPr>
      <w:r>
        <w:t>p</w:t>
      </w:r>
      <w:r w:rsidR="00B10720">
        <w:t>eople with a recorded psychological/psychiatric condition have a higher expected future</w:t>
      </w:r>
      <w:r w:rsidR="006E2864">
        <w:t xml:space="preserve"> lifetime cost.</w:t>
      </w:r>
    </w:p>
    <w:p w14:paraId="3A26144D" w14:textId="3D0824A6" w:rsidR="00B10720" w:rsidRDefault="00B10720" w:rsidP="00B10720">
      <w:pPr>
        <w:pStyle w:val="ListBullet"/>
      </w:pPr>
      <w:r>
        <w:t>There is a greater difference between those that have had no assessment and those with an assessment, irrespective of the outcomes of the assessment. This is especially the case for people with no reported psychological or psychiatric condition.</w:t>
      </w:r>
    </w:p>
    <w:p w14:paraId="3FFF63C8" w14:textId="77777777" w:rsidR="00B10720" w:rsidRDefault="00B10720" w:rsidP="00B10720">
      <w:pPr>
        <w:pStyle w:val="ListBullet"/>
      </w:pPr>
      <w:r>
        <w:t xml:space="preserve">The impact of a work capacity assessment on expected lifetime cost is influenced by age. We can see that for those less than 30, having a work capacity assessment is indicative of much higher average lifetime costs regardless of whether they have been assessed as having less than 15 hours of capacity or not. </w:t>
      </w:r>
    </w:p>
    <w:p w14:paraId="43A3C47A" w14:textId="77777777" w:rsidR="00B10720" w:rsidRDefault="00B10720" w:rsidP="00B10720">
      <w:pPr>
        <w:pStyle w:val="ListBullet"/>
      </w:pPr>
      <w:r>
        <w:t xml:space="preserve">As individuals approach retirement, the differences in average lifetime cost diminish as lifetime pathways become more fixed. </w:t>
      </w:r>
    </w:p>
    <w:p w14:paraId="7CB54778" w14:textId="77777777" w:rsidR="00B10720" w:rsidRPr="00BE1122" w:rsidRDefault="00B10720" w:rsidP="00B10720">
      <w:pPr>
        <w:pStyle w:val="Minorheading"/>
      </w:pPr>
      <w:r w:rsidRPr="00BE1122">
        <w:lastRenderedPageBreak/>
        <w:t>Future outcomes</w:t>
      </w:r>
    </w:p>
    <w:p w14:paraId="5183CDEA" w14:textId="52FE836A" w:rsidR="00B10720" w:rsidRDefault="00B10720" w:rsidP="00B10720">
      <w:pPr>
        <w:pStyle w:val="PwCNormal-keepwithnext"/>
        <w:numPr>
          <w:ilvl w:val="0"/>
          <w:numId w:val="1"/>
        </w:numPr>
      </w:pPr>
      <w:r w:rsidRPr="00BE1122">
        <w:t xml:space="preserve">The difference in lifetime cost is driven by future pathways through the welfare system. </w:t>
      </w:r>
      <w:r>
        <w:t>The following chart shows the expected proportion of Working Age recipients currently aged 30</w:t>
      </w:r>
      <w:r w:rsidR="00292047">
        <w:t xml:space="preserve"> to </w:t>
      </w:r>
      <w:r>
        <w:t xml:space="preserve">34 in each welfare class in </w:t>
      </w:r>
      <w:r w:rsidR="00292047">
        <w:t>five</w:t>
      </w:r>
      <w:r>
        <w:t xml:space="preserve"> years’ time for different assessed work capacities and reported medical conditions.</w:t>
      </w:r>
    </w:p>
    <w:p w14:paraId="487F65A5" w14:textId="4797CE4F" w:rsidR="00B10720" w:rsidRDefault="00B10720" w:rsidP="00B10720">
      <w:pPr>
        <w:pStyle w:val="Caption"/>
      </w:pPr>
      <w:r w:rsidRPr="00074B15">
        <w:t xml:space="preserve">Figure </w:t>
      </w:r>
      <w:fldSimple w:instr=" SEQ Figure \* ARABIC ">
        <w:r w:rsidR="00C93C1A">
          <w:rPr>
            <w:noProof/>
          </w:rPr>
          <w:t>23</w:t>
        </w:r>
      </w:fldSimple>
      <w:r>
        <w:t>: Future outcomes</w:t>
      </w:r>
      <w:r w:rsidRPr="00786826">
        <w:t xml:space="preserve"> for </w:t>
      </w:r>
      <w:r>
        <w:t>Working Age recipients</w:t>
      </w:r>
      <w:r w:rsidRPr="00786826">
        <w:t xml:space="preserve"> aged </w:t>
      </w:r>
      <w:r>
        <w:t>3</w:t>
      </w:r>
      <w:r w:rsidRPr="00786826">
        <w:t>0</w:t>
      </w:r>
      <w:r w:rsidR="00961841">
        <w:t xml:space="preserve"> to </w:t>
      </w:r>
      <w:r>
        <w:t>34 by work capacity/</w:t>
      </w:r>
      <w:r w:rsidR="00F251DF">
        <w:t>psych</w:t>
      </w:r>
      <w:r w:rsidR="00292047">
        <w:t>ological</w:t>
      </w:r>
      <w:r>
        <w:t xml:space="preserve"> condition</w:t>
      </w:r>
    </w:p>
    <w:p w14:paraId="5A6B4A66" w14:textId="09A7148E" w:rsidR="00B10720" w:rsidRDefault="00F251DF" w:rsidP="00B10720">
      <w:pPr>
        <w:pStyle w:val="PwCNormal"/>
        <w:keepNext/>
        <w:numPr>
          <w:ilvl w:val="0"/>
          <w:numId w:val="0"/>
        </w:numPr>
      </w:pPr>
      <w:r w:rsidRPr="00F251DF">
        <w:rPr>
          <w:noProof/>
          <w:lang w:eastAsia="en-AU"/>
        </w:rPr>
        <w:drawing>
          <wp:inline distT="0" distB="0" distL="0" distR="0" wp14:anchorId="59086C09" wp14:editId="31C9283C">
            <wp:extent cx="3111998" cy="1980000"/>
            <wp:effectExtent l="0" t="0" r="0" b="0"/>
            <wp:docPr id="1061" name="Picture 1061" descr="This figure includes two stacked column charts. The left chart shows the expected class of Working Age recipients aged 30 to 34 in 5 years. The vertical axis shows the proportion of people, ranging from 0% to 100%. The horizontal axis is split into two sections; the first three columns for individuals with a psychological condition and the second three columns for individuals with no psychological condition. Each set of three columns represent work capacity; &lt;15 hour week, &gt;=15 hour week and not assessed.  &#10;&#10;The columns for each work capacity category are split by welfare class: 1 Studying, 2 Working Age, 3 Parents, 4 Carers, 5 Disability Support, 6 Pension Age, 7 Non-IS Family, 8 Non-IS Carer, 9 Non-IS Other, 10 Previous Welfare Recipient, 11 Dead and 12 Rest of Aust. Population.&#10;&#10;The majority of people in all three work capacity categories are expected to be in   Class 2 Working Age or Class 10 Previous Welfare Recipient in 5 years. The proportion of people with a psychological condition expected to be in Class 2 Working Age is: 50% of those with &lt;15 hours work capacity, 50% of those with &gt;=15 hours work capacity and 41% of those who have not been assessed. &#10;" title="Future outcomes for Working Age recipients aged 30 to 34 by work capacity/psychological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11998" cy="1980000"/>
                    </a:xfrm>
                    <a:prstGeom prst="rect">
                      <a:avLst/>
                    </a:prstGeom>
                    <a:noFill/>
                    <a:ln>
                      <a:noFill/>
                    </a:ln>
                  </pic:spPr>
                </pic:pic>
              </a:graphicData>
            </a:graphic>
          </wp:inline>
        </w:drawing>
      </w:r>
      <w:r w:rsidR="00B10720" w:rsidRPr="00E04864">
        <w:t xml:space="preserve"> </w:t>
      </w:r>
      <w:r w:rsidRPr="00F251DF">
        <w:rPr>
          <w:noProof/>
          <w:lang w:eastAsia="en-AU"/>
        </w:rPr>
        <w:drawing>
          <wp:inline distT="0" distB="0" distL="0" distR="0" wp14:anchorId="13C3AD62" wp14:editId="7D8B2604">
            <wp:extent cx="3111999" cy="1980000"/>
            <wp:effectExtent l="0" t="0" r="0" b="0"/>
            <wp:docPr id="1071" name="Picture 1071" descr="The right chart shows the expected future years on pre-retirement income support for Working Age recipients aged 30 to 34. The vertical axis shows the number of years, ranging from 0 to 20. The horizontal axis is split into two sections; the first three columns for individuals with a psychological condition and the second three columns for individuals with no psychological condition. Each set of three columns represent work capacity; &lt;15 hour week, &gt;=15 hour week and not assessed.  &#10;&#10;The columns for each exemption category are split by income support welfare class: 1 Studying, 2 Working Age, 3 Parents, 4 Carers and 5 Disability Support.&#10;&#10;The chart shows the majority of individuals’ future years on pre-retirement income support will be in Class 2 Working Age. Individuals with a psychological condition and a work capacity of &lt;15 hours, &gt;=15 hours and not assessed are expected to spend 11.0 years, 11.2 years and 9.7 years in Class 2 Working Age respectively.&#10;&#10;The key features of this chart are described in the accompanying text within the report.&#10;" title="Future outcomes for Working Age recipients aged 30 to 34 by work capacity/psychological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11999" cy="1980000"/>
                    </a:xfrm>
                    <a:prstGeom prst="rect">
                      <a:avLst/>
                    </a:prstGeom>
                    <a:noFill/>
                    <a:ln>
                      <a:noFill/>
                    </a:ln>
                  </pic:spPr>
                </pic:pic>
              </a:graphicData>
            </a:graphic>
          </wp:inline>
        </w:drawing>
      </w:r>
    </w:p>
    <w:p w14:paraId="611214A1" w14:textId="77777777" w:rsidR="00B10720" w:rsidRPr="000A678F" w:rsidRDefault="00B10720" w:rsidP="00B10720">
      <w:pPr>
        <w:pStyle w:val="PwCNormal"/>
        <w:keepNext/>
        <w:keepLines/>
        <w:numPr>
          <w:ilvl w:val="0"/>
          <w:numId w:val="1"/>
        </w:numPr>
        <w:jc w:val="center"/>
      </w:pPr>
      <w:r w:rsidRPr="000A678F">
        <w:rPr>
          <w:noProof/>
          <w:lang w:eastAsia="en-AU"/>
        </w:rPr>
        <w:drawing>
          <wp:inline distT="0" distB="0" distL="0" distR="0" wp14:anchorId="2DD512D3" wp14:editId="470D52F0">
            <wp:extent cx="5385600" cy="468000"/>
            <wp:effectExtent l="0" t="0" r="0" b="8255"/>
            <wp:docPr id="3865" name="Picture 3865" descr="Class key: studying, working age, parents, carers, disability support, pension age, non-income support family, non-income support carer, non-income support other, previous welfare recipient, rest of the Australian population and dead. &#10;" title="Class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0DAE3BB5" w14:textId="77777777" w:rsidR="00B10720" w:rsidRPr="00BE1122" w:rsidRDefault="00B10720" w:rsidP="00B10720">
      <w:pPr>
        <w:pStyle w:val="PwCNormal"/>
        <w:numPr>
          <w:ilvl w:val="0"/>
          <w:numId w:val="0"/>
        </w:numPr>
      </w:pPr>
      <w:r w:rsidRPr="00BE1122">
        <w:t xml:space="preserve">Some observations we can make based on our analysis are that: </w:t>
      </w:r>
    </w:p>
    <w:p w14:paraId="703552B6" w14:textId="3ACCB485" w:rsidR="00B10720" w:rsidRDefault="00B10720" w:rsidP="00B10720">
      <w:pPr>
        <w:pStyle w:val="ListBullet"/>
      </w:pPr>
      <w:r>
        <w:t xml:space="preserve">Again, there is only a small difference in future outcomes between those assessed as having 15 or more hours work capacity from those assessed with less than 15 hours work capacity, with the larger difference being between those that have applied for a work capacity assessment and those who have not. People with a work capacity assessment are expected to spend around </w:t>
      </w:r>
      <w:r w:rsidR="00292047">
        <w:t>three</w:t>
      </w:r>
      <w:r>
        <w:t xml:space="preserve"> to </w:t>
      </w:r>
      <w:r w:rsidR="00292047">
        <w:t>five</w:t>
      </w:r>
      <w:r>
        <w:t xml:space="preserve"> years longer on income support, and are approximately 30</w:t>
      </w:r>
      <w:r w:rsidR="0049533C">
        <w:t xml:space="preserve"> to </w:t>
      </w:r>
      <w:r>
        <w:t xml:space="preserve">40% more likely to be on </w:t>
      </w:r>
      <w:r w:rsidR="003C32DF">
        <w:t>Working Age payments</w:t>
      </w:r>
      <w:r>
        <w:t xml:space="preserve"> in </w:t>
      </w:r>
      <w:r w:rsidR="00292047">
        <w:t>five</w:t>
      </w:r>
      <w:r>
        <w:t xml:space="preserve"> years’ time.</w:t>
      </w:r>
    </w:p>
    <w:p w14:paraId="48B306A7" w14:textId="24883F93" w:rsidR="00B10720" w:rsidRDefault="00B10720" w:rsidP="00B10720">
      <w:pPr>
        <w:pStyle w:val="ListBullet"/>
      </w:pPr>
      <w:r>
        <w:t xml:space="preserve">People assessed with work capacity of less than 15 hours per week are more likely to enter the Disability Support </w:t>
      </w:r>
      <w:r w:rsidR="00292047">
        <w:t xml:space="preserve">class </w:t>
      </w:r>
      <w:r>
        <w:t>compared to those with higher work capacity.</w:t>
      </w:r>
    </w:p>
    <w:p w14:paraId="17131C4C" w14:textId="657A0BAF" w:rsidR="00B10720" w:rsidRDefault="00B10720" w:rsidP="00B10720">
      <w:pPr>
        <w:pStyle w:val="ListBullet"/>
      </w:pPr>
      <w:r>
        <w:t xml:space="preserve">Those with a reported psychological/psychiatric condition are expected to spend slightly more time (around </w:t>
      </w:r>
      <w:r w:rsidR="00292047">
        <w:t>one</w:t>
      </w:r>
      <w:r>
        <w:t xml:space="preserve"> to </w:t>
      </w:r>
      <w:r w:rsidR="00292047">
        <w:t>two</w:t>
      </w:r>
      <w:r>
        <w:t xml:space="preserve"> years longer) on income support.</w:t>
      </w:r>
    </w:p>
    <w:p w14:paraId="53314B1A" w14:textId="44059A50" w:rsidR="00B10720" w:rsidRDefault="00B10720" w:rsidP="00B10720">
      <w:pPr>
        <w:pStyle w:val="ListBullet"/>
      </w:pPr>
      <w:r>
        <w:t xml:space="preserve">The expected future duration on either studying, </w:t>
      </w:r>
      <w:r w:rsidR="003C32DF">
        <w:t>I</w:t>
      </w:r>
      <w:r>
        <w:t xml:space="preserve">ncome </w:t>
      </w:r>
      <w:r w:rsidR="003C32DF">
        <w:t>S</w:t>
      </w:r>
      <w:r>
        <w:t xml:space="preserve">upport </w:t>
      </w:r>
      <w:r w:rsidR="003C32DF">
        <w:t>C</w:t>
      </w:r>
      <w:r>
        <w:t xml:space="preserve">arer or </w:t>
      </w:r>
      <w:r w:rsidR="0070204F">
        <w:t>P</w:t>
      </w:r>
      <w:r>
        <w:t>arenting payments is relatively unaffected by a persons reported psychological/psychiatric condition and work capacity assessment.</w:t>
      </w:r>
    </w:p>
    <w:p w14:paraId="251B06D4" w14:textId="77777777" w:rsidR="00B10720" w:rsidRPr="003A5FD6" w:rsidRDefault="00B10720" w:rsidP="00B10720">
      <w:pPr>
        <w:pStyle w:val="Heading3"/>
      </w:pPr>
      <w:bookmarkStart w:id="45" w:name="_Toc506388205"/>
      <w:r w:rsidRPr="003A5FD6">
        <w:t>Family units</w:t>
      </w:r>
      <w:bookmarkEnd w:id="45"/>
    </w:p>
    <w:p w14:paraId="77B816C8" w14:textId="57F1F170" w:rsidR="00247079" w:rsidRDefault="00247079" w:rsidP="00247079">
      <w:pPr>
        <w:pStyle w:val="PwCNormal"/>
        <w:numPr>
          <w:ilvl w:val="0"/>
          <w:numId w:val="0"/>
        </w:numPr>
      </w:pPr>
      <w:r>
        <w:t xml:space="preserve">As welfare eligibility and the quantum of many benefits are typically tied </w:t>
      </w:r>
      <w:r w:rsidR="00E6783D">
        <w:t xml:space="preserve">not only to the individual’s circumstances but also </w:t>
      </w:r>
      <w:r>
        <w:t>to the family situation, it was considered that a better understanding of household structures would be of value in supporting policy development.</w:t>
      </w:r>
    </w:p>
    <w:p w14:paraId="6C4EEC11" w14:textId="77777777" w:rsidR="00247079" w:rsidRDefault="00247079" w:rsidP="00247079">
      <w:pPr>
        <w:pStyle w:val="PwCNormal"/>
        <w:numPr>
          <w:ilvl w:val="0"/>
          <w:numId w:val="0"/>
        </w:numPr>
      </w:pPr>
      <w:r>
        <w:t>The 2016 model captured information about family circumstances by projecting a person’s partner status and their associated children. For the 2017 valuation, a</w:t>
      </w:r>
      <w:r w:rsidRPr="00DE2AD6">
        <w:t xml:space="preserve">s a </w:t>
      </w:r>
      <w:r>
        <w:t>step towards</w:t>
      </w:r>
      <w:r w:rsidRPr="00DE2AD6">
        <w:t xml:space="preserve"> understanding how family units </w:t>
      </w:r>
      <w:r>
        <w:t xml:space="preserve">as a whole interact and </w:t>
      </w:r>
      <w:r w:rsidRPr="00DE2AD6">
        <w:t xml:space="preserve">evolve over time, we have used the historic welfare payments data to analyse the composition of family units that currently exist </w:t>
      </w:r>
      <w:r>
        <w:t>and combined this with information available from the census for the rest of the model population. T</w:t>
      </w:r>
      <w:r w:rsidRPr="00DE2AD6">
        <w:t xml:space="preserve">he analysis has </w:t>
      </w:r>
      <w:r w:rsidRPr="00FD2CE9">
        <w:t xml:space="preserve">revealed the considerably complex and dynamic nature of family units, which is further complicated by </w:t>
      </w:r>
      <w:r w:rsidRPr="00FD2CE9">
        <w:rPr>
          <w:snapToGrid/>
        </w:rPr>
        <w:t>a number of gaps and inconsistencies in the information collated across the various data sources.</w:t>
      </w:r>
      <w:r w:rsidRPr="00FD2CE9">
        <w:t xml:space="preserve"> </w:t>
      </w:r>
      <w:r>
        <w:t>While the work done is a valuable first step, better data would be needed to undertake a more comprehensive analysis of households and family units.</w:t>
      </w:r>
    </w:p>
    <w:p w14:paraId="2AC33A4B" w14:textId="77777777" w:rsidR="00247079" w:rsidRPr="00FD2CE9" w:rsidRDefault="00247079" w:rsidP="00247079">
      <w:pPr>
        <w:pStyle w:val="PwCNormal"/>
        <w:numPr>
          <w:ilvl w:val="0"/>
          <w:numId w:val="0"/>
        </w:numPr>
      </w:pPr>
      <w:r w:rsidRPr="00FD2CE9">
        <w:rPr>
          <w:snapToGrid/>
        </w:rPr>
        <w:lastRenderedPageBreak/>
        <w:t>Based on exploration of this data as well as considering the information available for both the welfare recipient population and the wider population, we have adopted a relatively simple definition which was used to assign</w:t>
      </w:r>
      <w:r w:rsidRPr="00FD2CE9">
        <w:rPr>
          <w:rStyle w:val="FootnoteReference"/>
          <w:snapToGrid/>
        </w:rPr>
        <w:footnoteReference w:id="3"/>
      </w:r>
      <w:r w:rsidRPr="00FD2CE9">
        <w:rPr>
          <w:snapToGrid/>
        </w:rPr>
        <w:t xml:space="preserve"> all </w:t>
      </w:r>
      <w:r w:rsidRPr="00FD2CE9">
        <w:t>individuals in the population to one of four different types of family units:</w:t>
      </w:r>
    </w:p>
    <w:p w14:paraId="1EA01B4D" w14:textId="77777777" w:rsidR="00247079" w:rsidRPr="00FD2CE9" w:rsidRDefault="00247079" w:rsidP="00247079">
      <w:pPr>
        <w:pStyle w:val="ListBullet"/>
      </w:pPr>
      <w:r w:rsidRPr="00FD2CE9">
        <w:t>Single person, with no children under the age of 15</w:t>
      </w:r>
    </w:p>
    <w:p w14:paraId="7F441A75" w14:textId="77777777" w:rsidR="00247079" w:rsidRPr="00BF1A10" w:rsidRDefault="00247079" w:rsidP="00247079">
      <w:pPr>
        <w:pStyle w:val="ListBullet"/>
      </w:pPr>
      <w:r w:rsidRPr="00BF1A10">
        <w:t>Couple, with no children under the age of 15</w:t>
      </w:r>
    </w:p>
    <w:p w14:paraId="72B7F143" w14:textId="25FDBCD7" w:rsidR="00247079" w:rsidRPr="00BF1A10" w:rsidRDefault="00247079" w:rsidP="00247079">
      <w:pPr>
        <w:pStyle w:val="ListBullet"/>
      </w:pPr>
      <w:r w:rsidRPr="00BF1A10">
        <w:t xml:space="preserve">Single person, with at least </w:t>
      </w:r>
      <w:r w:rsidR="0075685F">
        <w:t>one</w:t>
      </w:r>
      <w:r w:rsidRPr="00BF1A10">
        <w:t xml:space="preserve"> child under the age of 15</w:t>
      </w:r>
    </w:p>
    <w:p w14:paraId="15AF93CC" w14:textId="12424C6A" w:rsidR="00247079" w:rsidRPr="00BF1A10" w:rsidRDefault="00247079" w:rsidP="00247079">
      <w:pPr>
        <w:pStyle w:val="ListBullet"/>
      </w:pPr>
      <w:r w:rsidRPr="00BF1A10">
        <w:t xml:space="preserve">Couple, with at least </w:t>
      </w:r>
      <w:r w:rsidR="0075685F">
        <w:t>one</w:t>
      </w:r>
      <w:r w:rsidRPr="00BF1A10">
        <w:t xml:space="preserve"> child under the age of 15</w:t>
      </w:r>
    </w:p>
    <w:p w14:paraId="0BC5C7B6" w14:textId="147A3CDA" w:rsidR="00247079" w:rsidRDefault="00247079" w:rsidP="00247079">
      <w:pPr>
        <w:pStyle w:val="PwCNormal"/>
        <w:numPr>
          <w:ilvl w:val="0"/>
          <w:numId w:val="0"/>
        </w:numPr>
      </w:pPr>
      <w:r w:rsidRPr="001A5076">
        <w:rPr>
          <w:snapToGrid/>
        </w:rPr>
        <w:t>The real world is more complex than this – for example, people can be both a child in one family unit and a parent in another</w:t>
      </w:r>
      <w:r>
        <w:rPr>
          <w:snapToGrid/>
        </w:rPr>
        <w:t>; most 15</w:t>
      </w:r>
      <w:r w:rsidR="00961841">
        <w:rPr>
          <w:snapToGrid/>
        </w:rPr>
        <w:t xml:space="preserve"> to </w:t>
      </w:r>
      <w:r>
        <w:rPr>
          <w:snapToGrid/>
        </w:rPr>
        <w:t>18 year olds will still be part of their parents’ household</w:t>
      </w:r>
      <w:r w:rsidRPr="001A5076">
        <w:rPr>
          <w:snapToGrid/>
        </w:rPr>
        <w:t>.</w:t>
      </w:r>
      <w:r>
        <w:rPr>
          <w:snapToGrid/>
        </w:rPr>
        <w:t xml:space="preserve"> After considering the value of different definitions, </w:t>
      </w:r>
      <w:r w:rsidRPr="001A5076">
        <w:rPr>
          <w:snapToGrid/>
        </w:rPr>
        <w:t xml:space="preserve">we have adopted the convention that people under the age of 15 are considered to be children and are therefore part of either a couple or single family with children. Conversely, those aged 15 and over are </w:t>
      </w:r>
      <w:r>
        <w:rPr>
          <w:snapToGrid/>
        </w:rPr>
        <w:t xml:space="preserve">defined as </w:t>
      </w:r>
      <w:r w:rsidR="00E6783D">
        <w:rPr>
          <w:snapToGrid/>
        </w:rPr>
        <w:t>adults</w:t>
      </w:r>
      <w:r>
        <w:rPr>
          <w:snapToGrid/>
        </w:rPr>
        <w:t xml:space="preserve"> in their own right,</w:t>
      </w:r>
      <w:r w:rsidR="00E6783D">
        <w:rPr>
          <w:snapToGrid/>
        </w:rPr>
        <w:t xml:space="preserve"> capable of being their own family unit</w:t>
      </w:r>
      <w:r>
        <w:rPr>
          <w:snapToGrid/>
        </w:rPr>
        <w:t xml:space="preserve"> and mostly start</w:t>
      </w:r>
      <w:r w:rsidR="00E6783D">
        <w:rPr>
          <w:snapToGrid/>
        </w:rPr>
        <w:t>ing</w:t>
      </w:r>
      <w:r>
        <w:rPr>
          <w:snapToGrid/>
        </w:rPr>
        <w:t xml:space="preserve"> as single people </w:t>
      </w:r>
      <w:r w:rsidRPr="001A5076">
        <w:rPr>
          <w:snapToGrid/>
        </w:rPr>
        <w:t>without children</w:t>
      </w:r>
      <w:r w:rsidR="00E6783D">
        <w:rPr>
          <w:snapToGrid/>
        </w:rPr>
        <w:t>.</w:t>
      </w:r>
      <w:r w:rsidRPr="001A5076">
        <w:rPr>
          <w:snapToGrid/>
        </w:rPr>
        <w:t xml:space="preserve"> </w:t>
      </w:r>
      <w:r w:rsidR="00E6783D">
        <w:rPr>
          <w:snapToGrid/>
        </w:rPr>
        <w:t>A</w:t>
      </w:r>
      <w:r w:rsidRPr="001A5076">
        <w:rPr>
          <w:snapToGrid/>
        </w:rPr>
        <w:t>s they age, form partnerships and have children</w:t>
      </w:r>
      <w:r w:rsidR="00E6783D">
        <w:rPr>
          <w:snapToGrid/>
        </w:rPr>
        <w:t xml:space="preserve"> their </w:t>
      </w:r>
      <w:r w:rsidR="00E6783D" w:rsidRPr="001A5076">
        <w:rPr>
          <w:snapToGrid/>
        </w:rPr>
        <w:t>family composition type</w:t>
      </w:r>
      <w:r w:rsidR="00E6783D">
        <w:rPr>
          <w:snapToGrid/>
        </w:rPr>
        <w:t xml:space="preserve"> changes</w:t>
      </w:r>
      <w:r w:rsidRPr="001A5076">
        <w:rPr>
          <w:snapToGrid/>
        </w:rPr>
        <w:t>.</w:t>
      </w:r>
      <w:r w:rsidRPr="001A5076">
        <w:t xml:space="preserve"> This was necessary as the data does not allow us to reliably identify which teenagers or young adults may be living with parents.</w:t>
      </w:r>
      <w:r w:rsidRPr="001A5076">
        <w:rPr>
          <w:snapToGrid/>
        </w:rPr>
        <w:t xml:space="preserve"> </w:t>
      </w:r>
      <w:r w:rsidRPr="001A5076">
        <w:t>This definition also aligned to family compositions used in ABS Census outputs which were used to infer the family compositions for people where welfare data was unavailable or outdated.</w:t>
      </w:r>
    </w:p>
    <w:p w14:paraId="3D8B5959" w14:textId="2796946B" w:rsidR="00247079" w:rsidRPr="00FD2CE9" w:rsidRDefault="00247079" w:rsidP="00247079">
      <w:pPr>
        <w:pStyle w:val="PwCNormal"/>
        <w:numPr>
          <w:ilvl w:val="0"/>
          <w:numId w:val="0"/>
        </w:numPr>
        <w:rPr>
          <w:snapToGrid/>
        </w:rPr>
      </w:pPr>
      <w:r w:rsidRPr="00C05535">
        <w:rPr>
          <w:snapToGrid/>
        </w:rPr>
        <w:t>Th</w:t>
      </w:r>
      <w:r>
        <w:rPr>
          <w:snapToGrid/>
        </w:rPr>
        <w:t>is</w:t>
      </w:r>
      <w:r w:rsidRPr="00C05535">
        <w:rPr>
          <w:snapToGrid/>
        </w:rPr>
        <w:t xml:space="preserve"> variable has been developed for reporting purposes only</w:t>
      </w:r>
      <w:r>
        <w:rPr>
          <w:snapToGrid/>
        </w:rPr>
        <w:t>, that is, information in the family composition variable is not directly taken into account when projecting each person’s future pathway or welfare utilisation.</w:t>
      </w:r>
    </w:p>
    <w:p w14:paraId="25EF8912" w14:textId="77777777" w:rsidR="00247079" w:rsidRPr="00DE2AD6" w:rsidRDefault="00247079" w:rsidP="00247079">
      <w:pPr>
        <w:pStyle w:val="Heading4"/>
      </w:pPr>
      <w:r w:rsidRPr="00DE2AD6">
        <w:t>Family composition</w:t>
      </w:r>
      <w:r>
        <w:t>s in the population</w:t>
      </w:r>
    </w:p>
    <w:p w14:paraId="716A33EE" w14:textId="77777777" w:rsidR="00247079" w:rsidRPr="003A5FD6" w:rsidRDefault="00247079" w:rsidP="00247079">
      <w:pPr>
        <w:pStyle w:val="PwCNormal"/>
        <w:numPr>
          <w:ilvl w:val="0"/>
          <w:numId w:val="0"/>
        </w:numPr>
      </w:pPr>
      <w:r w:rsidRPr="003A5FD6">
        <w:t xml:space="preserve">The population pyramid below shows how family compositions in the </w:t>
      </w:r>
      <w:r>
        <w:t>model</w:t>
      </w:r>
      <w:r w:rsidRPr="003A5FD6">
        <w:t xml:space="preserve"> population vary by age and gender.</w:t>
      </w:r>
    </w:p>
    <w:p w14:paraId="12571ABD" w14:textId="307D2F78" w:rsidR="00247079" w:rsidRPr="003A5FD6" w:rsidRDefault="00247079" w:rsidP="00247079">
      <w:pPr>
        <w:pStyle w:val="Caption"/>
      </w:pPr>
      <w:r w:rsidRPr="003A5FD6">
        <w:t xml:space="preserve">Figure </w:t>
      </w:r>
      <w:fldSimple w:instr=" SEQ Figure \* ARABIC ">
        <w:r w:rsidR="00C93C1A">
          <w:rPr>
            <w:noProof/>
          </w:rPr>
          <w:t>24</w:t>
        </w:r>
      </w:fldSimple>
      <w:r w:rsidRPr="003A5FD6">
        <w:t xml:space="preserve">: Model population by family unit composition </w:t>
      </w:r>
    </w:p>
    <w:p w14:paraId="32A98014" w14:textId="680105DB" w:rsidR="00247079" w:rsidRPr="003A5FD6" w:rsidRDefault="00263C8E" w:rsidP="00247079">
      <w:pPr>
        <w:pStyle w:val="PwCNormal"/>
        <w:numPr>
          <w:ilvl w:val="0"/>
          <w:numId w:val="0"/>
        </w:numPr>
      </w:pPr>
      <w:r w:rsidRPr="00263C8E">
        <w:t xml:space="preserve"> </w:t>
      </w:r>
      <w:r w:rsidR="00E4291C" w:rsidRPr="00E4291C">
        <w:rPr>
          <w:noProof/>
          <w:lang w:eastAsia="en-AU"/>
        </w:rPr>
        <w:drawing>
          <wp:inline distT="0" distB="0" distL="0" distR="0" wp14:anchorId="5862C186" wp14:editId="001554F3">
            <wp:extent cx="5238602" cy="2520000"/>
            <wp:effectExtent l="0" t="0" r="635" b="0"/>
            <wp:docPr id="3870" name="Picture 3870" descr="This figure is a horizontal bar chart showing the number of people in the Australian population by age for males and females separately. The vertical axis shows age ranging from 0 to 115. The horizontal axis shows the number of people within each age group (by year of age) ranging from 0 to 200,000. The number of males at each age is shown by the horizontal bars to the left of the vertical axis and the number of females at each age is shown by horizontal bars to the right.&#10;&#10;The bars for each given age and gender are split into family unit compositions; single person with no children under the age of 15, couple with no children under the age of 15, single person with at least 1 child under the age of 15 and couple with at least 1 child under the age of 15. &#10;&#10;All 24.7 million people in the model population are represented in the chart. Across both genders, there are on average approximately 307,000 Australians at each age for ages 0 to 18, 340,000 at each age for ages 19 to 50, and a steadily decreasing number by age above age 50 which decreases to around 1,400 people at age 100. &#10;&#10;Up to age 65, the number of males and females by age in the Australian population are broadly similar. After age 65 and up to age 100 there are approximately 15% more females than males.&#10;&#10;Further discussion of the key features shown in the chart can be found in the accompanying text within the report.&#10;" title="Model population by family unit com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38602" cy="2520000"/>
                    </a:xfrm>
                    <a:prstGeom prst="rect">
                      <a:avLst/>
                    </a:prstGeom>
                    <a:noFill/>
                    <a:ln>
                      <a:noFill/>
                    </a:ln>
                  </pic:spPr>
                </pic:pic>
              </a:graphicData>
            </a:graphic>
          </wp:inline>
        </w:drawing>
      </w:r>
    </w:p>
    <w:p w14:paraId="2BA35AAE" w14:textId="77777777" w:rsidR="00247079" w:rsidRPr="003A5FD6" w:rsidRDefault="00247079" w:rsidP="00247079">
      <w:pPr>
        <w:pStyle w:val="PwCNormal"/>
        <w:numPr>
          <w:ilvl w:val="0"/>
          <w:numId w:val="0"/>
        </w:numPr>
      </w:pPr>
      <w:r>
        <w:t>We observe the following:</w:t>
      </w:r>
    </w:p>
    <w:p w14:paraId="34DA8FC4" w14:textId="77777777" w:rsidR="00247079" w:rsidRPr="003A5FD6" w:rsidRDefault="00247079" w:rsidP="00247079">
      <w:pPr>
        <w:pStyle w:val="ListBullet"/>
      </w:pPr>
      <w:r w:rsidRPr="003A5FD6">
        <w:t>Children living in single parent family units account for 24% of all children under the age of 15.</w:t>
      </w:r>
    </w:p>
    <w:p w14:paraId="3FCA21C7" w14:textId="66B9B370" w:rsidR="00247079" w:rsidRPr="003A5FD6" w:rsidRDefault="00247079" w:rsidP="00247079">
      <w:pPr>
        <w:pStyle w:val="ListBullet"/>
      </w:pPr>
      <w:r w:rsidRPr="003A5FD6">
        <w:t xml:space="preserve">7% of individuals between the ages of 18 and 45 are in single </w:t>
      </w:r>
      <w:r>
        <w:t>person</w:t>
      </w:r>
      <w:r w:rsidRPr="003A5FD6">
        <w:t xml:space="preserve"> </w:t>
      </w:r>
      <w:r w:rsidR="00A40B9B">
        <w:t xml:space="preserve">with children </w:t>
      </w:r>
      <w:r w:rsidRPr="003A5FD6">
        <w:t>family units</w:t>
      </w:r>
      <w:r>
        <w:t xml:space="preserve"> </w:t>
      </w:r>
      <w:r w:rsidR="00A40B9B">
        <w:t>under the age of 15</w:t>
      </w:r>
      <w:r w:rsidRPr="003A5FD6">
        <w:t xml:space="preserve">, and 34% are part of couple </w:t>
      </w:r>
      <w:r w:rsidR="00A40B9B" w:rsidRPr="003A5FD6">
        <w:t xml:space="preserve">with children </w:t>
      </w:r>
      <w:r w:rsidRPr="003A5FD6">
        <w:t>family units.</w:t>
      </w:r>
    </w:p>
    <w:p w14:paraId="487EA563" w14:textId="77777777" w:rsidR="00247079" w:rsidRDefault="00247079" w:rsidP="00247079">
      <w:pPr>
        <w:pStyle w:val="ListBullet"/>
      </w:pPr>
      <w:r w:rsidRPr="003A5FD6">
        <w:lastRenderedPageBreak/>
        <w:t xml:space="preserve">As expected, </w:t>
      </w:r>
      <w:r>
        <w:t>the “single person with children” family unit is much more prevalent for females than males, with 82% of single parent families having a female parent and 18% having a male parent.</w:t>
      </w:r>
    </w:p>
    <w:p w14:paraId="3D9B957D" w14:textId="77777777" w:rsidR="00247079" w:rsidRPr="003A5FD6" w:rsidRDefault="00247079" w:rsidP="00247079">
      <w:pPr>
        <w:pStyle w:val="ListBullet"/>
      </w:pPr>
      <w:r>
        <w:t xml:space="preserve">There is a step change at age 15 due to the family unit definition considering </w:t>
      </w:r>
      <w:r w:rsidRPr="001A5076">
        <w:rPr>
          <w:snapToGrid/>
        </w:rPr>
        <w:t xml:space="preserve">those aged 15 and over to be </w:t>
      </w:r>
      <w:r>
        <w:rPr>
          <w:snapToGrid/>
        </w:rPr>
        <w:t>persons in their own right, as discussed</w:t>
      </w:r>
      <w:r w:rsidRPr="001A5076">
        <w:rPr>
          <w:snapToGrid/>
        </w:rPr>
        <w:t xml:space="preserve"> </w:t>
      </w:r>
      <w:r>
        <w:rPr>
          <w:snapToGrid/>
        </w:rPr>
        <w:t>previously.</w:t>
      </w:r>
    </w:p>
    <w:p w14:paraId="14C2C40A" w14:textId="77777777" w:rsidR="00247079" w:rsidRPr="00DE2AD6" w:rsidRDefault="00247079" w:rsidP="00247079">
      <w:pPr>
        <w:pStyle w:val="Heading4"/>
      </w:pPr>
      <w:r w:rsidRPr="00DE2AD6">
        <w:t>Family composition and welfare utilisation</w:t>
      </w:r>
    </w:p>
    <w:p w14:paraId="0EE76F21" w14:textId="6D219344" w:rsidR="00247079" w:rsidRPr="003A5FD6" w:rsidRDefault="00247079" w:rsidP="00247079">
      <w:pPr>
        <w:pStyle w:val="PwCNormal"/>
        <w:numPr>
          <w:ilvl w:val="0"/>
          <w:numId w:val="0"/>
        </w:numPr>
      </w:pPr>
      <w:r>
        <w:t>Our</w:t>
      </w:r>
      <w:r w:rsidRPr="003A5FD6">
        <w:t xml:space="preserve"> analysis has highlighted the difference in welfare utilisation between different family units. The results of this </w:t>
      </w:r>
      <w:r>
        <w:t xml:space="preserve">for people aged 18 and over </w:t>
      </w:r>
      <w:r w:rsidRPr="003A5FD6">
        <w:t>are shown in the table below:</w:t>
      </w:r>
    </w:p>
    <w:p w14:paraId="5F9F0101" w14:textId="77777777" w:rsidR="00247079" w:rsidRPr="003A5FD6" w:rsidRDefault="00247079" w:rsidP="00247079">
      <w:pPr>
        <w:pStyle w:val="Caption"/>
      </w:pPr>
      <w:r w:rsidRPr="003A5FD6">
        <w:t xml:space="preserve">Table </w:t>
      </w:r>
      <w:fldSimple w:instr=" SEQ Table \* ARABIC ">
        <w:r w:rsidR="00C93C1A">
          <w:rPr>
            <w:noProof/>
          </w:rPr>
          <w:t>8</w:t>
        </w:r>
      </w:fldSimple>
      <w:r w:rsidRPr="003A5FD6">
        <w:t>: Family unit composition welfare utilisation</w:t>
      </w:r>
      <w:r>
        <w:t xml:space="preserve"> (population aged 18+)</w:t>
      </w:r>
    </w:p>
    <w:tbl>
      <w:tblPr>
        <w:tblStyle w:val="ListTable3-Accent61"/>
        <w:tblW w:w="9781" w:type="dxa"/>
        <w:tblInd w:w="108" w:type="dxa"/>
        <w:tblLayout w:type="fixed"/>
        <w:tblLook w:val="04A0" w:firstRow="1" w:lastRow="0" w:firstColumn="1" w:lastColumn="0" w:noHBand="0" w:noVBand="1"/>
        <w:tblCaption w:val="Family unit composition welfare utilisation (population aged 18+)"/>
        <w:tblDescription w:val="This table displays the utilization of welfare payments by family unit composition. The columns show the number of adults, proportion of adults on income support, proportion of adults on non income support, and proportion of adults not welfare dependent. The rows show data for four different family unit compositions divided by different age groups, and a grand total. &#10;&#10;Further features of the data in this table are discussed in the accompanying text within the report.&#10;"/>
      </w:tblPr>
      <w:tblGrid>
        <w:gridCol w:w="3828"/>
        <w:gridCol w:w="1134"/>
        <w:gridCol w:w="1606"/>
        <w:gridCol w:w="1606"/>
        <w:gridCol w:w="1607"/>
      </w:tblGrid>
      <w:tr w:rsidR="00247079" w:rsidRPr="003A5FD6" w14:paraId="6896DDAD" w14:textId="77777777" w:rsidTr="00E42ACF">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100" w:firstRow="0" w:lastRow="0" w:firstColumn="1" w:lastColumn="0" w:oddVBand="0" w:evenVBand="0" w:oddHBand="0" w:evenHBand="0" w:firstRowFirstColumn="1" w:firstRowLastColumn="0" w:lastRowFirstColumn="0" w:lastRowLastColumn="0"/>
            <w:tcW w:w="3828" w:type="dxa"/>
            <w:tcBorders>
              <w:bottom w:val="single" w:sz="4" w:space="0" w:color="E0301E" w:themeColor="accent6"/>
            </w:tcBorders>
            <w:noWrap/>
            <w:hideMark/>
          </w:tcPr>
          <w:p w14:paraId="71F67028" w14:textId="77777777" w:rsidR="00247079" w:rsidRPr="00660D81" w:rsidRDefault="00247079" w:rsidP="00D704AA">
            <w:pPr>
              <w:pStyle w:val="TableTextSmall"/>
              <w:keepNext/>
              <w:rPr>
                <w:rFonts w:asciiTheme="majorHAnsi" w:hAnsiTheme="majorHAnsi"/>
                <w:bCs w:val="0"/>
                <w:color w:val="FFFFFF" w:themeColor="background1"/>
                <w:lang w:eastAsia="en-AU"/>
              </w:rPr>
            </w:pPr>
            <w:r w:rsidRPr="00660D81">
              <w:rPr>
                <w:rFonts w:asciiTheme="majorHAnsi" w:hAnsiTheme="majorHAnsi"/>
                <w:color w:val="FFFFFF" w:themeColor="background1"/>
              </w:rPr>
              <w:t>Family unit composition</w:t>
            </w:r>
          </w:p>
        </w:tc>
        <w:tc>
          <w:tcPr>
            <w:tcW w:w="1134" w:type="dxa"/>
            <w:tcBorders>
              <w:bottom w:val="single" w:sz="4" w:space="0" w:color="E0301E" w:themeColor="accent6"/>
            </w:tcBorders>
            <w:noWrap/>
            <w:hideMark/>
          </w:tcPr>
          <w:p w14:paraId="1639A4D9" w14:textId="77777777" w:rsidR="00247079" w:rsidRPr="00660D81" w:rsidRDefault="00247079" w:rsidP="00D704A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60D81">
              <w:rPr>
                <w:rFonts w:asciiTheme="majorHAnsi" w:hAnsiTheme="majorHAnsi"/>
                <w:color w:val="FFFFFF" w:themeColor="background1"/>
              </w:rPr>
              <w:t>Number of adults</w:t>
            </w:r>
          </w:p>
        </w:tc>
        <w:tc>
          <w:tcPr>
            <w:tcW w:w="1606" w:type="dxa"/>
            <w:tcBorders>
              <w:bottom w:val="single" w:sz="4" w:space="0" w:color="E0301E" w:themeColor="accent6"/>
            </w:tcBorders>
            <w:hideMark/>
          </w:tcPr>
          <w:p w14:paraId="3C75C51D" w14:textId="77777777" w:rsidR="00247079" w:rsidRPr="00660D81" w:rsidRDefault="00247079" w:rsidP="00D704A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60D81">
              <w:rPr>
                <w:rFonts w:asciiTheme="majorHAnsi" w:hAnsiTheme="majorHAnsi"/>
                <w:color w:val="FFFFFF" w:themeColor="background1"/>
              </w:rPr>
              <w:t>% of adults on income support</w:t>
            </w:r>
          </w:p>
        </w:tc>
        <w:tc>
          <w:tcPr>
            <w:tcW w:w="1606" w:type="dxa"/>
            <w:tcBorders>
              <w:bottom w:val="single" w:sz="4" w:space="0" w:color="E0301E" w:themeColor="accent6"/>
            </w:tcBorders>
            <w:hideMark/>
          </w:tcPr>
          <w:p w14:paraId="0D17D0CA" w14:textId="7D25CC5D" w:rsidR="00247079" w:rsidRPr="00660D81" w:rsidRDefault="00247079" w:rsidP="00D704A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60D81">
              <w:rPr>
                <w:rFonts w:asciiTheme="majorHAnsi" w:hAnsiTheme="majorHAnsi"/>
                <w:color w:val="FFFFFF" w:themeColor="background1"/>
              </w:rPr>
              <w:t xml:space="preserve">% of adults on </w:t>
            </w:r>
            <w:r w:rsidR="005B3E7D">
              <w:rPr>
                <w:rFonts w:asciiTheme="majorHAnsi" w:hAnsiTheme="majorHAnsi"/>
                <w:color w:val="FFFFFF" w:themeColor="background1"/>
              </w:rPr>
              <w:t>non income</w:t>
            </w:r>
            <w:r w:rsidRPr="00660D81">
              <w:rPr>
                <w:rFonts w:asciiTheme="majorHAnsi" w:hAnsiTheme="majorHAnsi"/>
                <w:color w:val="FFFFFF" w:themeColor="background1"/>
              </w:rPr>
              <w:t xml:space="preserve"> support</w:t>
            </w:r>
          </w:p>
        </w:tc>
        <w:tc>
          <w:tcPr>
            <w:tcW w:w="1607" w:type="dxa"/>
            <w:tcBorders>
              <w:bottom w:val="single" w:sz="4" w:space="0" w:color="E0301E" w:themeColor="accent6"/>
            </w:tcBorders>
          </w:tcPr>
          <w:p w14:paraId="65B19465" w14:textId="77777777" w:rsidR="00247079" w:rsidRPr="00660D81" w:rsidRDefault="00247079" w:rsidP="00D704A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60D81">
              <w:rPr>
                <w:rFonts w:asciiTheme="majorHAnsi" w:hAnsiTheme="majorHAnsi"/>
                <w:color w:val="FFFFFF" w:themeColor="background1"/>
              </w:rPr>
              <w:t>% Not welfare dependent</w:t>
            </w:r>
          </w:p>
        </w:tc>
      </w:tr>
      <w:tr w:rsidR="004C0EE7" w:rsidRPr="003A5FD6" w14:paraId="52C2F204" w14:textId="77777777" w:rsidTr="00790D5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hideMark/>
          </w:tcPr>
          <w:p w14:paraId="7EC320C4" w14:textId="77777777" w:rsidR="004C0EE7" w:rsidRPr="00660D81" w:rsidRDefault="004C0EE7" w:rsidP="004C0EE7">
            <w:pPr>
              <w:pStyle w:val="TableTextSmall"/>
              <w:keepNext/>
              <w:rPr>
                <w:rFonts w:asciiTheme="majorHAnsi" w:hAnsiTheme="majorHAnsi"/>
                <w:bCs w:val="0"/>
                <w:color w:val="595959" w:themeColor="text1" w:themeTint="A6"/>
                <w:lang w:eastAsia="en-AU"/>
              </w:rPr>
            </w:pPr>
            <w:r w:rsidRPr="00660D81">
              <w:rPr>
                <w:rFonts w:asciiTheme="majorHAnsi" w:hAnsiTheme="majorHAnsi"/>
                <w:color w:val="595959" w:themeColor="text1" w:themeTint="A6"/>
              </w:rPr>
              <w:t>Single person with no children aged &lt;15</w:t>
            </w:r>
          </w:p>
        </w:tc>
        <w:tc>
          <w:tcPr>
            <w:tcW w:w="1134" w:type="dxa"/>
            <w:tcBorders>
              <w:bottom w:val="nil"/>
            </w:tcBorders>
            <w:shd w:val="clear" w:color="auto" w:fill="F9D5D1" w:themeFill="accent6" w:themeFillTint="33"/>
            <w:noWrap/>
            <w:vAlign w:val="center"/>
            <w:hideMark/>
          </w:tcPr>
          <w:p w14:paraId="1ECD0720" w14:textId="551544E7"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7,147,000</w:t>
            </w:r>
          </w:p>
        </w:tc>
        <w:tc>
          <w:tcPr>
            <w:tcW w:w="1606" w:type="dxa"/>
            <w:tcBorders>
              <w:bottom w:val="nil"/>
            </w:tcBorders>
            <w:noWrap/>
            <w:vAlign w:val="center"/>
            <w:hideMark/>
          </w:tcPr>
          <w:p w14:paraId="3A971D48" w14:textId="46FAE07D"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41%</w:t>
            </w:r>
          </w:p>
        </w:tc>
        <w:tc>
          <w:tcPr>
            <w:tcW w:w="1606" w:type="dxa"/>
            <w:tcBorders>
              <w:bottom w:val="nil"/>
            </w:tcBorders>
            <w:noWrap/>
            <w:vAlign w:val="center"/>
            <w:hideMark/>
          </w:tcPr>
          <w:p w14:paraId="524B3802" w14:textId="392C9CBB"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3%</w:t>
            </w:r>
          </w:p>
        </w:tc>
        <w:tc>
          <w:tcPr>
            <w:tcW w:w="1607" w:type="dxa"/>
            <w:tcBorders>
              <w:bottom w:val="nil"/>
            </w:tcBorders>
            <w:vAlign w:val="center"/>
          </w:tcPr>
          <w:p w14:paraId="2AB0914D" w14:textId="417DFA88"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56%</w:t>
            </w:r>
          </w:p>
        </w:tc>
      </w:tr>
      <w:tr w:rsidR="004C0EE7" w:rsidRPr="003A5FD6" w14:paraId="20482D14" w14:textId="77777777" w:rsidTr="00790D5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hideMark/>
          </w:tcPr>
          <w:p w14:paraId="1BCB6264" w14:textId="77777777" w:rsidR="004C0EE7" w:rsidRPr="00660D81" w:rsidRDefault="004C0EE7" w:rsidP="004C0EE7">
            <w:pPr>
              <w:pStyle w:val="TableTextSmall"/>
              <w:keepNext/>
              <w:rPr>
                <w:rFonts w:asciiTheme="majorHAnsi" w:hAnsiTheme="majorHAnsi"/>
                <w:b w:val="0"/>
                <w:bCs w:val="0"/>
                <w:i/>
                <w:color w:val="595959" w:themeColor="text1" w:themeTint="A6"/>
                <w:lang w:eastAsia="en-AU"/>
              </w:rPr>
            </w:pPr>
            <w:r w:rsidRPr="00660D81">
              <w:rPr>
                <w:rFonts w:asciiTheme="majorHAnsi" w:hAnsiTheme="majorHAnsi"/>
                <w:i/>
                <w:color w:val="595959" w:themeColor="text1" w:themeTint="A6"/>
              </w:rPr>
              <w:t xml:space="preserve">    - Aged 18-35</w:t>
            </w:r>
          </w:p>
        </w:tc>
        <w:tc>
          <w:tcPr>
            <w:tcW w:w="1134" w:type="dxa"/>
            <w:tcBorders>
              <w:top w:val="nil"/>
              <w:bottom w:val="nil"/>
            </w:tcBorders>
            <w:shd w:val="clear" w:color="auto" w:fill="F9D5D1" w:themeFill="accent6" w:themeFillTint="33"/>
            <w:noWrap/>
            <w:vAlign w:val="center"/>
            <w:hideMark/>
          </w:tcPr>
          <w:p w14:paraId="648A4F1F" w14:textId="59F86974"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r>
              <w:rPr>
                <w:rFonts w:ascii="Arial" w:hAnsi="Arial"/>
                <w:i/>
                <w:iCs/>
                <w:color w:val="595959"/>
                <w:szCs w:val="16"/>
              </w:rPr>
              <w:t>3,236,000</w:t>
            </w:r>
          </w:p>
        </w:tc>
        <w:tc>
          <w:tcPr>
            <w:tcW w:w="1606" w:type="dxa"/>
            <w:tcBorders>
              <w:top w:val="nil"/>
              <w:bottom w:val="nil"/>
            </w:tcBorders>
            <w:noWrap/>
            <w:vAlign w:val="center"/>
            <w:hideMark/>
          </w:tcPr>
          <w:p w14:paraId="290A4C54" w14:textId="52349238"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27%</w:t>
            </w:r>
          </w:p>
        </w:tc>
        <w:tc>
          <w:tcPr>
            <w:tcW w:w="1606" w:type="dxa"/>
            <w:tcBorders>
              <w:top w:val="nil"/>
              <w:bottom w:val="nil"/>
            </w:tcBorders>
            <w:noWrap/>
            <w:vAlign w:val="center"/>
            <w:hideMark/>
          </w:tcPr>
          <w:p w14:paraId="0B1EF3DB" w14:textId="60CE133B"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0%</w:t>
            </w:r>
          </w:p>
        </w:tc>
        <w:tc>
          <w:tcPr>
            <w:tcW w:w="1607" w:type="dxa"/>
            <w:tcBorders>
              <w:top w:val="nil"/>
              <w:bottom w:val="nil"/>
            </w:tcBorders>
            <w:vAlign w:val="center"/>
          </w:tcPr>
          <w:p w14:paraId="3D7DDB05" w14:textId="7D2F45CE"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73%</w:t>
            </w:r>
          </w:p>
        </w:tc>
      </w:tr>
      <w:tr w:rsidR="004C0EE7" w:rsidRPr="003A5FD6" w14:paraId="3F411387" w14:textId="77777777" w:rsidTr="00790D5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hideMark/>
          </w:tcPr>
          <w:p w14:paraId="0BF61F14" w14:textId="35FE56A7" w:rsidR="004C0EE7" w:rsidRPr="00660D81" w:rsidRDefault="004C0EE7" w:rsidP="004C0EE7">
            <w:pPr>
              <w:pStyle w:val="TableTextSmall"/>
              <w:keepNext/>
              <w:rPr>
                <w:rFonts w:asciiTheme="majorHAnsi" w:hAnsiTheme="majorHAnsi"/>
                <w:b w:val="0"/>
                <w:bCs w:val="0"/>
                <w:i/>
                <w:color w:val="595959" w:themeColor="text1" w:themeTint="A6"/>
                <w:lang w:eastAsia="en-AU"/>
              </w:rPr>
            </w:pPr>
            <w:r w:rsidRPr="00660D81">
              <w:rPr>
                <w:rFonts w:asciiTheme="majorHAnsi" w:hAnsiTheme="majorHAnsi"/>
                <w:i/>
                <w:color w:val="595959" w:themeColor="text1" w:themeTint="A6"/>
              </w:rPr>
              <w:t xml:space="preserve">    - Aged 36-64</w:t>
            </w:r>
          </w:p>
        </w:tc>
        <w:tc>
          <w:tcPr>
            <w:tcW w:w="1134" w:type="dxa"/>
            <w:tcBorders>
              <w:top w:val="nil"/>
              <w:bottom w:val="nil"/>
            </w:tcBorders>
            <w:shd w:val="clear" w:color="auto" w:fill="F9D5D1" w:themeFill="accent6" w:themeFillTint="33"/>
            <w:noWrap/>
            <w:vAlign w:val="center"/>
            <w:hideMark/>
          </w:tcPr>
          <w:p w14:paraId="7C12E853" w14:textId="27A80712"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lang w:eastAsia="en-AU"/>
              </w:rPr>
            </w:pPr>
            <w:r>
              <w:rPr>
                <w:rFonts w:ascii="Arial" w:hAnsi="Arial"/>
                <w:i/>
                <w:iCs/>
                <w:color w:val="595959"/>
                <w:szCs w:val="16"/>
              </w:rPr>
              <w:t>2,345,000</w:t>
            </w:r>
          </w:p>
        </w:tc>
        <w:tc>
          <w:tcPr>
            <w:tcW w:w="1606" w:type="dxa"/>
            <w:tcBorders>
              <w:top w:val="nil"/>
              <w:bottom w:val="nil"/>
            </w:tcBorders>
            <w:noWrap/>
            <w:vAlign w:val="center"/>
            <w:hideMark/>
          </w:tcPr>
          <w:p w14:paraId="7C67C2D7" w14:textId="27095CC4"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i/>
                <w:iCs/>
                <w:color w:val="595959"/>
                <w:szCs w:val="16"/>
              </w:rPr>
              <w:t>38%</w:t>
            </w:r>
          </w:p>
        </w:tc>
        <w:tc>
          <w:tcPr>
            <w:tcW w:w="1606" w:type="dxa"/>
            <w:tcBorders>
              <w:top w:val="nil"/>
              <w:bottom w:val="nil"/>
            </w:tcBorders>
            <w:noWrap/>
            <w:vAlign w:val="center"/>
            <w:hideMark/>
          </w:tcPr>
          <w:p w14:paraId="33AABAB3" w14:textId="6F4EBD9E"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i/>
                <w:iCs/>
                <w:color w:val="595959"/>
                <w:szCs w:val="16"/>
              </w:rPr>
              <w:t>5%</w:t>
            </w:r>
          </w:p>
        </w:tc>
        <w:tc>
          <w:tcPr>
            <w:tcW w:w="1607" w:type="dxa"/>
            <w:tcBorders>
              <w:top w:val="nil"/>
              <w:bottom w:val="nil"/>
            </w:tcBorders>
            <w:vAlign w:val="center"/>
          </w:tcPr>
          <w:p w14:paraId="37C943F6" w14:textId="6EFF4C0A"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i/>
                <w:iCs/>
                <w:color w:val="595959"/>
                <w:szCs w:val="16"/>
              </w:rPr>
              <w:t>57%</w:t>
            </w:r>
          </w:p>
        </w:tc>
      </w:tr>
      <w:tr w:rsidR="004C0EE7" w:rsidRPr="003A5FD6" w14:paraId="7502D1E3" w14:textId="77777777" w:rsidTr="00790D5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single" w:sz="4" w:space="0" w:color="E0301E" w:themeColor="accent6"/>
            </w:tcBorders>
            <w:noWrap/>
            <w:hideMark/>
          </w:tcPr>
          <w:p w14:paraId="3E96EFBE" w14:textId="77777777" w:rsidR="004C0EE7" w:rsidRPr="00660D81" w:rsidRDefault="004C0EE7" w:rsidP="004C0EE7">
            <w:pPr>
              <w:pStyle w:val="TableTextSmall"/>
              <w:keepNext/>
              <w:rPr>
                <w:rFonts w:asciiTheme="majorHAnsi" w:hAnsiTheme="majorHAnsi"/>
                <w:b w:val="0"/>
                <w:bCs w:val="0"/>
                <w:i/>
                <w:color w:val="595959" w:themeColor="text1" w:themeTint="A6"/>
                <w:lang w:eastAsia="en-AU"/>
              </w:rPr>
            </w:pPr>
            <w:r w:rsidRPr="00660D81">
              <w:rPr>
                <w:rFonts w:asciiTheme="majorHAnsi" w:hAnsiTheme="majorHAnsi"/>
                <w:i/>
                <w:color w:val="595959" w:themeColor="text1" w:themeTint="A6"/>
              </w:rPr>
              <w:t xml:space="preserve">    - Aged 65+</w:t>
            </w:r>
          </w:p>
        </w:tc>
        <w:tc>
          <w:tcPr>
            <w:tcW w:w="1134" w:type="dxa"/>
            <w:tcBorders>
              <w:top w:val="nil"/>
              <w:bottom w:val="single" w:sz="4" w:space="0" w:color="E0301E" w:themeColor="accent6"/>
            </w:tcBorders>
            <w:shd w:val="clear" w:color="auto" w:fill="F9D5D1" w:themeFill="accent6" w:themeFillTint="33"/>
            <w:noWrap/>
            <w:vAlign w:val="center"/>
            <w:hideMark/>
          </w:tcPr>
          <w:p w14:paraId="3F7833B9" w14:textId="6A0AE762"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r>
              <w:rPr>
                <w:rFonts w:ascii="Arial" w:hAnsi="Arial"/>
                <w:i/>
                <w:iCs/>
                <w:color w:val="595959"/>
                <w:szCs w:val="16"/>
              </w:rPr>
              <w:t>1,566,000</w:t>
            </w:r>
          </w:p>
        </w:tc>
        <w:tc>
          <w:tcPr>
            <w:tcW w:w="1606" w:type="dxa"/>
            <w:tcBorders>
              <w:top w:val="nil"/>
              <w:bottom w:val="single" w:sz="4" w:space="0" w:color="E0301E" w:themeColor="accent6"/>
            </w:tcBorders>
            <w:noWrap/>
            <w:vAlign w:val="center"/>
            <w:hideMark/>
          </w:tcPr>
          <w:p w14:paraId="01652909" w14:textId="364659EB"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76%</w:t>
            </w:r>
          </w:p>
        </w:tc>
        <w:tc>
          <w:tcPr>
            <w:tcW w:w="1606" w:type="dxa"/>
            <w:tcBorders>
              <w:top w:val="nil"/>
              <w:bottom w:val="single" w:sz="4" w:space="0" w:color="E0301E" w:themeColor="accent6"/>
            </w:tcBorders>
            <w:noWrap/>
            <w:vAlign w:val="center"/>
            <w:hideMark/>
          </w:tcPr>
          <w:p w14:paraId="20E3F62B" w14:textId="0EBD7CED"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5%</w:t>
            </w:r>
          </w:p>
        </w:tc>
        <w:tc>
          <w:tcPr>
            <w:tcW w:w="1607" w:type="dxa"/>
            <w:tcBorders>
              <w:top w:val="nil"/>
              <w:bottom w:val="single" w:sz="4" w:space="0" w:color="E0301E" w:themeColor="accent6"/>
            </w:tcBorders>
            <w:vAlign w:val="center"/>
          </w:tcPr>
          <w:p w14:paraId="6467966D" w14:textId="20903FA7"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19%</w:t>
            </w:r>
          </w:p>
        </w:tc>
      </w:tr>
      <w:tr w:rsidR="004C0EE7" w:rsidRPr="003A5FD6" w14:paraId="712EB09C" w14:textId="77777777" w:rsidTr="00790D5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hideMark/>
          </w:tcPr>
          <w:p w14:paraId="083AE469" w14:textId="77777777" w:rsidR="004C0EE7" w:rsidRPr="00660D81" w:rsidRDefault="004C0EE7" w:rsidP="004C0EE7">
            <w:pPr>
              <w:pStyle w:val="TableTextSmall"/>
              <w:keepNext/>
              <w:rPr>
                <w:rFonts w:asciiTheme="majorHAnsi" w:hAnsiTheme="majorHAnsi"/>
                <w:bCs w:val="0"/>
                <w:color w:val="595959" w:themeColor="text1" w:themeTint="A6"/>
                <w:lang w:eastAsia="en-AU"/>
              </w:rPr>
            </w:pPr>
            <w:r w:rsidRPr="00660D81">
              <w:rPr>
                <w:rFonts w:asciiTheme="majorHAnsi" w:hAnsiTheme="majorHAnsi"/>
                <w:color w:val="595959" w:themeColor="text1" w:themeTint="A6"/>
              </w:rPr>
              <w:t>Couple, with no children aged &lt;15</w:t>
            </w:r>
            <w:r>
              <w:rPr>
                <w:rFonts w:asciiTheme="majorHAnsi" w:hAnsiTheme="majorHAnsi"/>
                <w:color w:val="595959" w:themeColor="text1" w:themeTint="A6"/>
              </w:rPr>
              <w:t xml:space="preserve"> </w:t>
            </w:r>
            <w:bookmarkStart w:id="46" w:name="_Ref498346800"/>
            <w:r>
              <w:rPr>
                <w:rStyle w:val="FootnoteReference"/>
                <w:rFonts w:asciiTheme="majorHAnsi" w:hAnsiTheme="majorHAnsi"/>
                <w:color w:val="595959" w:themeColor="text1" w:themeTint="A6"/>
                <w:lang w:eastAsia="en-AU"/>
              </w:rPr>
              <w:footnoteReference w:id="4"/>
            </w:r>
            <w:bookmarkEnd w:id="46"/>
          </w:p>
        </w:tc>
        <w:tc>
          <w:tcPr>
            <w:tcW w:w="1134" w:type="dxa"/>
            <w:tcBorders>
              <w:bottom w:val="nil"/>
            </w:tcBorders>
            <w:shd w:val="clear" w:color="auto" w:fill="F9D5D1" w:themeFill="accent6" w:themeFillTint="33"/>
            <w:noWrap/>
            <w:vAlign w:val="center"/>
            <w:hideMark/>
          </w:tcPr>
          <w:p w14:paraId="565935D5" w14:textId="7E0274A2"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7,026,000</w:t>
            </w:r>
          </w:p>
        </w:tc>
        <w:tc>
          <w:tcPr>
            <w:tcW w:w="1606" w:type="dxa"/>
            <w:tcBorders>
              <w:bottom w:val="nil"/>
            </w:tcBorders>
            <w:noWrap/>
            <w:vAlign w:val="center"/>
            <w:hideMark/>
          </w:tcPr>
          <w:p w14:paraId="3773143B" w14:textId="4CD43CE6"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26%</w:t>
            </w:r>
          </w:p>
        </w:tc>
        <w:tc>
          <w:tcPr>
            <w:tcW w:w="1606" w:type="dxa"/>
            <w:tcBorders>
              <w:bottom w:val="nil"/>
            </w:tcBorders>
            <w:noWrap/>
            <w:vAlign w:val="center"/>
            <w:hideMark/>
          </w:tcPr>
          <w:p w14:paraId="54DBEBD5" w14:textId="4AB7010A"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6%</w:t>
            </w:r>
          </w:p>
        </w:tc>
        <w:tc>
          <w:tcPr>
            <w:tcW w:w="1607" w:type="dxa"/>
            <w:tcBorders>
              <w:bottom w:val="nil"/>
            </w:tcBorders>
            <w:vAlign w:val="center"/>
          </w:tcPr>
          <w:p w14:paraId="13F32066" w14:textId="17A152FB"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68%</w:t>
            </w:r>
          </w:p>
        </w:tc>
      </w:tr>
      <w:tr w:rsidR="004C0EE7" w:rsidRPr="003A5FD6" w14:paraId="345990D4" w14:textId="77777777" w:rsidTr="00790D5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hideMark/>
          </w:tcPr>
          <w:p w14:paraId="273A3C6C" w14:textId="77777777" w:rsidR="004C0EE7" w:rsidRPr="00660D81" w:rsidRDefault="004C0EE7" w:rsidP="004C0EE7">
            <w:pPr>
              <w:pStyle w:val="TableTextSmall"/>
              <w:keepNext/>
              <w:rPr>
                <w:rFonts w:asciiTheme="majorHAnsi" w:hAnsiTheme="majorHAnsi"/>
                <w:b w:val="0"/>
                <w:bCs w:val="0"/>
                <w:i/>
                <w:color w:val="595959" w:themeColor="text1" w:themeTint="A6"/>
                <w:lang w:eastAsia="en-AU"/>
              </w:rPr>
            </w:pPr>
            <w:r w:rsidRPr="00660D81">
              <w:rPr>
                <w:rFonts w:asciiTheme="majorHAnsi" w:hAnsiTheme="majorHAnsi"/>
                <w:i/>
                <w:color w:val="595959" w:themeColor="text1" w:themeTint="A6"/>
              </w:rPr>
              <w:t xml:space="preserve">    - Both adults aged 18-</w:t>
            </w:r>
            <w:r>
              <w:rPr>
                <w:rFonts w:asciiTheme="majorHAnsi" w:hAnsiTheme="majorHAnsi"/>
                <w:i/>
                <w:color w:val="595959" w:themeColor="text1" w:themeTint="A6"/>
              </w:rPr>
              <w:t>35</w:t>
            </w:r>
          </w:p>
        </w:tc>
        <w:tc>
          <w:tcPr>
            <w:tcW w:w="1134" w:type="dxa"/>
            <w:tcBorders>
              <w:top w:val="nil"/>
              <w:bottom w:val="nil"/>
            </w:tcBorders>
            <w:shd w:val="clear" w:color="auto" w:fill="F9D5D1" w:themeFill="accent6" w:themeFillTint="33"/>
            <w:noWrap/>
            <w:vAlign w:val="center"/>
            <w:hideMark/>
          </w:tcPr>
          <w:p w14:paraId="002CB682" w14:textId="4C8B9405" w:rsidR="004C0EE7" w:rsidRPr="00AC507E"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highlight w:val="yellow"/>
                <w:lang w:eastAsia="en-AU"/>
              </w:rPr>
            </w:pPr>
            <w:r>
              <w:rPr>
                <w:rFonts w:ascii="Arial" w:hAnsi="Arial"/>
                <w:i/>
                <w:iCs/>
                <w:color w:val="595959"/>
                <w:szCs w:val="16"/>
              </w:rPr>
              <w:t>1,170,000</w:t>
            </w:r>
          </w:p>
        </w:tc>
        <w:tc>
          <w:tcPr>
            <w:tcW w:w="1606" w:type="dxa"/>
            <w:tcBorders>
              <w:top w:val="nil"/>
              <w:bottom w:val="nil"/>
            </w:tcBorders>
            <w:noWrap/>
            <w:vAlign w:val="center"/>
            <w:hideMark/>
          </w:tcPr>
          <w:p w14:paraId="4E624057" w14:textId="04F2AFDB"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3%</w:t>
            </w:r>
          </w:p>
        </w:tc>
        <w:tc>
          <w:tcPr>
            <w:tcW w:w="1606" w:type="dxa"/>
            <w:tcBorders>
              <w:top w:val="nil"/>
              <w:bottom w:val="nil"/>
            </w:tcBorders>
            <w:noWrap/>
            <w:vAlign w:val="center"/>
            <w:hideMark/>
          </w:tcPr>
          <w:p w14:paraId="2A4B1C68" w14:textId="59AC931B"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2%</w:t>
            </w:r>
          </w:p>
        </w:tc>
        <w:tc>
          <w:tcPr>
            <w:tcW w:w="1607" w:type="dxa"/>
            <w:tcBorders>
              <w:top w:val="nil"/>
              <w:bottom w:val="nil"/>
            </w:tcBorders>
            <w:vAlign w:val="center"/>
          </w:tcPr>
          <w:p w14:paraId="1E8D78A2" w14:textId="72B4724C"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94%</w:t>
            </w:r>
          </w:p>
        </w:tc>
      </w:tr>
      <w:tr w:rsidR="004C0EE7" w:rsidRPr="003A5FD6" w14:paraId="6AC7DF8F" w14:textId="77777777" w:rsidTr="00790D5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hideMark/>
          </w:tcPr>
          <w:p w14:paraId="6B15F4C6" w14:textId="77777777" w:rsidR="004C0EE7" w:rsidRPr="00660D81" w:rsidRDefault="004C0EE7" w:rsidP="004C0EE7">
            <w:pPr>
              <w:pStyle w:val="TableTextSmall"/>
              <w:keepNext/>
              <w:rPr>
                <w:rFonts w:asciiTheme="majorHAnsi" w:hAnsiTheme="majorHAnsi"/>
                <w:b w:val="0"/>
                <w:bCs w:val="0"/>
                <w:i/>
                <w:color w:val="595959" w:themeColor="text1" w:themeTint="A6"/>
                <w:lang w:eastAsia="en-AU"/>
              </w:rPr>
            </w:pPr>
            <w:r w:rsidRPr="00660D81">
              <w:rPr>
                <w:rFonts w:asciiTheme="majorHAnsi" w:hAnsiTheme="majorHAnsi"/>
                <w:i/>
                <w:color w:val="595959" w:themeColor="text1" w:themeTint="A6"/>
              </w:rPr>
              <w:t xml:space="preserve">    - At least one adult aged </w:t>
            </w:r>
            <w:r>
              <w:rPr>
                <w:rFonts w:asciiTheme="majorHAnsi" w:hAnsiTheme="majorHAnsi"/>
                <w:i/>
                <w:color w:val="595959" w:themeColor="text1" w:themeTint="A6"/>
              </w:rPr>
              <w:t>36-64 (but none older)</w:t>
            </w:r>
          </w:p>
        </w:tc>
        <w:tc>
          <w:tcPr>
            <w:tcW w:w="1134" w:type="dxa"/>
            <w:tcBorders>
              <w:top w:val="nil"/>
              <w:bottom w:val="nil"/>
            </w:tcBorders>
            <w:shd w:val="clear" w:color="auto" w:fill="F9D5D1" w:themeFill="accent6" w:themeFillTint="33"/>
            <w:noWrap/>
            <w:vAlign w:val="center"/>
            <w:hideMark/>
          </w:tcPr>
          <w:p w14:paraId="445C2F04" w14:textId="6791764F" w:rsidR="004C0EE7" w:rsidRPr="00AC507E"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highlight w:val="yellow"/>
                <w:lang w:eastAsia="en-AU"/>
              </w:rPr>
            </w:pPr>
            <w:r>
              <w:rPr>
                <w:rFonts w:ascii="Arial" w:hAnsi="Arial"/>
                <w:i/>
                <w:iCs/>
                <w:color w:val="595959"/>
                <w:szCs w:val="16"/>
              </w:rPr>
              <w:t>3,774,000</w:t>
            </w:r>
          </w:p>
        </w:tc>
        <w:tc>
          <w:tcPr>
            <w:tcW w:w="1606" w:type="dxa"/>
            <w:tcBorders>
              <w:top w:val="nil"/>
              <w:bottom w:val="nil"/>
            </w:tcBorders>
            <w:noWrap/>
            <w:vAlign w:val="center"/>
            <w:hideMark/>
          </w:tcPr>
          <w:p w14:paraId="1F847343" w14:textId="5D872A8D" w:rsidR="004C0EE7" w:rsidRPr="00AC507E"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highlight w:val="yellow"/>
                <w:lang w:eastAsia="en-AU"/>
              </w:rPr>
            </w:pPr>
            <w:r>
              <w:rPr>
                <w:rFonts w:ascii="Arial" w:hAnsi="Arial"/>
                <w:i/>
                <w:iCs/>
                <w:color w:val="595959"/>
                <w:szCs w:val="16"/>
              </w:rPr>
              <w:t>13%</w:t>
            </w:r>
          </w:p>
        </w:tc>
        <w:tc>
          <w:tcPr>
            <w:tcW w:w="1606" w:type="dxa"/>
            <w:tcBorders>
              <w:top w:val="nil"/>
              <w:bottom w:val="nil"/>
            </w:tcBorders>
            <w:noWrap/>
            <w:vAlign w:val="center"/>
            <w:hideMark/>
          </w:tcPr>
          <w:p w14:paraId="37469DC4" w14:textId="147D15F0" w:rsidR="004C0EE7" w:rsidRPr="00AC507E"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highlight w:val="yellow"/>
                <w:lang w:eastAsia="en-AU"/>
              </w:rPr>
            </w:pPr>
            <w:r>
              <w:rPr>
                <w:rFonts w:ascii="Arial" w:hAnsi="Arial"/>
                <w:i/>
                <w:iCs/>
                <w:color w:val="595959"/>
                <w:szCs w:val="16"/>
              </w:rPr>
              <w:t>5%</w:t>
            </w:r>
          </w:p>
        </w:tc>
        <w:tc>
          <w:tcPr>
            <w:tcW w:w="1607" w:type="dxa"/>
            <w:tcBorders>
              <w:top w:val="nil"/>
              <w:bottom w:val="nil"/>
            </w:tcBorders>
            <w:vAlign w:val="center"/>
          </w:tcPr>
          <w:p w14:paraId="2B1F4C89" w14:textId="527DFF9F" w:rsidR="004C0EE7" w:rsidRPr="00AC507E"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highlight w:val="yellow"/>
                <w:lang w:eastAsia="en-AU"/>
              </w:rPr>
            </w:pPr>
            <w:r>
              <w:rPr>
                <w:rFonts w:ascii="Arial" w:hAnsi="Arial"/>
                <w:i/>
                <w:iCs/>
                <w:color w:val="595959"/>
                <w:szCs w:val="16"/>
              </w:rPr>
              <w:t>83%</w:t>
            </w:r>
          </w:p>
        </w:tc>
      </w:tr>
      <w:tr w:rsidR="004C0EE7" w:rsidRPr="003A5FD6" w14:paraId="6495660F" w14:textId="77777777" w:rsidTr="00790D5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single" w:sz="4" w:space="0" w:color="E0301E" w:themeColor="accent6"/>
            </w:tcBorders>
            <w:noWrap/>
            <w:hideMark/>
          </w:tcPr>
          <w:p w14:paraId="10D86F35" w14:textId="77777777" w:rsidR="004C0EE7" w:rsidRPr="00660D81" w:rsidRDefault="004C0EE7" w:rsidP="004C0EE7">
            <w:pPr>
              <w:pStyle w:val="TableTextSmall"/>
              <w:keepNext/>
              <w:rPr>
                <w:rFonts w:asciiTheme="majorHAnsi" w:hAnsiTheme="majorHAnsi"/>
                <w:b w:val="0"/>
                <w:bCs w:val="0"/>
                <w:i/>
                <w:color w:val="595959" w:themeColor="text1" w:themeTint="A6"/>
                <w:lang w:eastAsia="en-AU"/>
              </w:rPr>
            </w:pPr>
            <w:r w:rsidRPr="00660D81">
              <w:rPr>
                <w:rFonts w:asciiTheme="majorHAnsi" w:hAnsiTheme="majorHAnsi"/>
                <w:i/>
                <w:color w:val="595959" w:themeColor="text1" w:themeTint="A6"/>
              </w:rPr>
              <w:t xml:space="preserve">    - At least one adult aged 65+</w:t>
            </w:r>
          </w:p>
        </w:tc>
        <w:tc>
          <w:tcPr>
            <w:tcW w:w="1134" w:type="dxa"/>
            <w:tcBorders>
              <w:top w:val="nil"/>
              <w:bottom w:val="single" w:sz="4" w:space="0" w:color="E0301E" w:themeColor="accent6"/>
            </w:tcBorders>
            <w:shd w:val="clear" w:color="auto" w:fill="F9D5D1" w:themeFill="accent6" w:themeFillTint="33"/>
            <w:noWrap/>
            <w:vAlign w:val="center"/>
            <w:hideMark/>
          </w:tcPr>
          <w:p w14:paraId="5A2EFA47" w14:textId="76D03908" w:rsidR="004C0EE7" w:rsidRPr="00AC507E"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highlight w:val="yellow"/>
                <w:lang w:eastAsia="en-AU"/>
              </w:rPr>
            </w:pPr>
            <w:r>
              <w:rPr>
                <w:rFonts w:ascii="Arial" w:hAnsi="Arial"/>
                <w:i/>
                <w:iCs/>
                <w:color w:val="595959"/>
                <w:szCs w:val="16"/>
              </w:rPr>
              <w:t>2,082,000</w:t>
            </w:r>
          </w:p>
        </w:tc>
        <w:tc>
          <w:tcPr>
            <w:tcW w:w="1606" w:type="dxa"/>
            <w:tcBorders>
              <w:top w:val="nil"/>
              <w:bottom w:val="single" w:sz="4" w:space="0" w:color="E0301E" w:themeColor="accent6"/>
            </w:tcBorders>
            <w:noWrap/>
            <w:vAlign w:val="center"/>
            <w:hideMark/>
          </w:tcPr>
          <w:p w14:paraId="57444E35" w14:textId="16CA5B92" w:rsidR="004C0EE7" w:rsidRPr="00AC507E"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highlight w:val="yellow"/>
                <w:lang w:eastAsia="en-AU"/>
              </w:rPr>
            </w:pPr>
            <w:r>
              <w:rPr>
                <w:rFonts w:ascii="Arial" w:hAnsi="Arial"/>
                <w:i/>
                <w:iCs/>
                <w:color w:val="595959"/>
                <w:szCs w:val="16"/>
              </w:rPr>
              <w:t>64%</w:t>
            </w:r>
          </w:p>
        </w:tc>
        <w:tc>
          <w:tcPr>
            <w:tcW w:w="1606" w:type="dxa"/>
            <w:tcBorders>
              <w:top w:val="nil"/>
              <w:bottom w:val="single" w:sz="4" w:space="0" w:color="E0301E" w:themeColor="accent6"/>
            </w:tcBorders>
            <w:noWrap/>
            <w:vAlign w:val="center"/>
            <w:hideMark/>
          </w:tcPr>
          <w:p w14:paraId="72792DFA" w14:textId="4BCC41AE" w:rsidR="004C0EE7" w:rsidRPr="00AC507E"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highlight w:val="yellow"/>
                <w:lang w:eastAsia="en-AU"/>
              </w:rPr>
            </w:pPr>
            <w:r>
              <w:rPr>
                <w:rFonts w:ascii="Arial" w:hAnsi="Arial"/>
                <w:i/>
                <w:iCs/>
                <w:color w:val="595959"/>
                <w:szCs w:val="16"/>
              </w:rPr>
              <w:t>10%</w:t>
            </w:r>
          </w:p>
        </w:tc>
        <w:tc>
          <w:tcPr>
            <w:tcW w:w="1607" w:type="dxa"/>
            <w:tcBorders>
              <w:top w:val="nil"/>
              <w:bottom w:val="single" w:sz="4" w:space="0" w:color="E0301E" w:themeColor="accent6"/>
            </w:tcBorders>
            <w:vAlign w:val="center"/>
          </w:tcPr>
          <w:p w14:paraId="2DE5D126" w14:textId="0DB726A8" w:rsidR="004C0EE7" w:rsidRPr="00AC507E"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highlight w:val="yellow"/>
                <w:lang w:eastAsia="en-AU"/>
              </w:rPr>
            </w:pPr>
            <w:r>
              <w:rPr>
                <w:rFonts w:ascii="Arial" w:hAnsi="Arial"/>
                <w:i/>
                <w:iCs/>
                <w:color w:val="595959"/>
                <w:szCs w:val="16"/>
              </w:rPr>
              <w:t>26%</w:t>
            </w:r>
          </w:p>
        </w:tc>
      </w:tr>
      <w:tr w:rsidR="004C0EE7" w:rsidRPr="003A5FD6" w14:paraId="5E10BA0D" w14:textId="77777777" w:rsidTr="00790D5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hideMark/>
          </w:tcPr>
          <w:p w14:paraId="527943AF" w14:textId="77777777" w:rsidR="004C0EE7" w:rsidRPr="00660D81" w:rsidRDefault="004C0EE7" w:rsidP="004C0EE7">
            <w:pPr>
              <w:pStyle w:val="TableTextSmall"/>
              <w:keepNext/>
              <w:rPr>
                <w:rFonts w:asciiTheme="majorHAnsi" w:hAnsiTheme="majorHAnsi"/>
                <w:bCs w:val="0"/>
                <w:color w:val="595959" w:themeColor="text1" w:themeTint="A6"/>
                <w:lang w:eastAsia="en-AU"/>
              </w:rPr>
            </w:pPr>
            <w:r w:rsidRPr="00660D81">
              <w:rPr>
                <w:rFonts w:asciiTheme="majorHAnsi" w:hAnsiTheme="majorHAnsi"/>
                <w:color w:val="595959" w:themeColor="text1" w:themeTint="A6"/>
              </w:rPr>
              <w:t>Single person with children aged &lt;15</w:t>
            </w:r>
          </w:p>
        </w:tc>
        <w:tc>
          <w:tcPr>
            <w:tcW w:w="1134" w:type="dxa"/>
            <w:tcBorders>
              <w:bottom w:val="nil"/>
            </w:tcBorders>
            <w:shd w:val="clear" w:color="auto" w:fill="F9D5D1" w:themeFill="accent6" w:themeFillTint="33"/>
            <w:noWrap/>
            <w:vAlign w:val="center"/>
            <w:hideMark/>
          </w:tcPr>
          <w:p w14:paraId="1126828B" w14:textId="75D6C31E"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867,000</w:t>
            </w:r>
          </w:p>
        </w:tc>
        <w:tc>
          <w:tcPr>
            <w:tcW w:w="1606" w:type="dxa"/>
            <w:tcBorders>
              <w:bottom w:val="nil"/>
            </w:tcBorders>
            <w:noWrap/>
            <w:vAlign w:val="center"/>
            <w:hideMark/>
          </w:tcPr>
          <w:p w14:paraId="0D6ACC8A" w14:textId="15B1851A"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63%</w:t>
            </w:r>
          </w:p>
        </w:tc>
        <w:tc>
          <w:tcPr>
            <w:tcW w:w="1606" w:type="dxa"/>
            <w:tcBorders>
              <w:bottom w:val="nil"/>
            </w:tcBorders>
            <w:noWrap/>
            <w:vAlign w:val="center"/>
            <w:hideMark/>
          </w:tcPr>
          <w:p w14:paraId="55358CE5" w14:textId="3870FEE2"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21%</w:t>
            </w:r>
          </w:p>
        </w:tc>
        <w:tc>
          <w:tcPr>
            <w:tcW w:w="1607" w:type="dxa"/>
            <w:tcBorders>
              <w:bottom w:val="nil"/>
            </w:tcBorders>
            <w:vAlign w:val="center"/>
          </w:tcPr>
          <w:p w14:paraId="026B00F7" w14:textId="26C7CCCA"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16%</w:t>
            </w:r>
          </w:p>
        </w:tc>
      </w:tr>
      <w:tr w:rsidR="004C0EE7" w:rsidRPr="003A5FD6" w14:paraId="12CFC893" w14:textId="77777777" w:rsidTr="00790D5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hideMark/>
          </w:tcPr>
          <w:p w14:paraId="42BE7904" w14:textId="77777777" w:rsidR="004C0EE7" w:rsidRPr="00660D81" w:rsidRDefault="004C0EE7" w:rsidP="004C0EE7">
            <w:pPr>
              <w:pStyle w:val="TableTextSmall"/>
              <w:keepNext/>
              <w:rPr>
                <w:rFonts w:asciiTheme="majorHAnsi" w:hAnsiTheme="majorHAnsi"/>
                <w:b w:val="0"/>
                <w:bCs w:val="0"/>
                <w:i/>
                <w:color w:val="595959" w:themeColor="text1" w:themeTint="A6"/>
                <w:lang w:eastAsia="en-AU"/>
              </w:rPr>
            </w:pPr>
            <w:r w:rsidRPr="00660D81">
              <w:rPr>
                <w:rFonts w:asciiTheme="majorHAnsi" w:hAnsiTheme="majorHAnsi"/>
                <w:i/>
                <w:color w:val="595959" w:themeColor="text1" w:themeTint="A6"/>
              </w:rPr>
              <w:t xml:space="preserve">    - Adult aged 18-35</w:t>
            </w:r>
          </w:p>
        </w:tc>
        <w:tc>
          <w:tcPr>
            <w:tcW w:w="1134" w:type="dxa"/>
            <w:tcBorders>
              <w:top w:val="nil"/>
              <w:bottom w:val="nil"/>
            </w:tcBorders>
            <w:shd w:val="clear" w:color="auto" w:fill="F9D5D1" w:themeFill="accent6" w:themeFillTint="33"/>
            <w:noWrap/>
            <w:vAlign w:val="center"/>
            <w:hideMark/>
          </w:tcPr>
          <w:p w14:paraId="20355556" w14:textId="0379A912"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r>
              <w:rPr>
                <w:rFonts w:ascii="Arial" w:hAnsi="Arial"/>
                <w:i/>
                <w:iCs/>
                <w:color w:val="595959"/>
                <w:szCs w:val="16"/>
              </w:rPr>
              <w:t>337,000</w:t>
            </w:r>
          </w:p>
        </w:tc>
        <w:tc>
          <w:tcPr>
            <w:tcW w:w="1606" w:type="dxa"/>
            <w:tcBorders>
              <w:top w:val="nil"/>
              <w:bottom w:val="nil"/>
            </w:tcBorders>
            <w:noWrap/>
            <w:vAlign w:val="center"/>
            <w:hideMark/>
          </w:tcPr>
          <w:p w14:paraId="391797A3" w14:textId="5D647AFE"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72%</w:t>
            </w:r>
          </w:p>
        </w:tc>
        <w:tc>
          <w:tcPr>
            <w:tcW w:w="1606" w:type="dxa"/>
            <w:tcBorders>
              <w:top w:val="nil"/>
              <w:bottom w:val="nil"/>
            </w:tcBorders>
            <w:noWrap/>
            <w:vAlign w:val="center"/>
            <w:hideMark/>
          </w:tcPr>
          <w:p w14:paraId="5921286C" w14:textId="15AEDA47"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10%</w:t>
            </w:r>
          </w:p>
        </w:tc>
        <w:tc>
          <w:tcPr>
            <w:tcW w:w="1607" w:type="dxa"/>
            <w:tcBorders>
              <w:top w:val="nil"/>
              <w:bottom w:val="nil"/>
            </w:tcBorders>
            <w:vAlign w:val="center"/>
          </w:tcPr>
          <w:p w14:paraId="681899C3" w14:textId="2B807BB5"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18%</w:t>
            </w:r>
          </w:p>
        </w:tc>
      </w:tr>
      <w:tr w:rsidR="004C0EE7" w:rsidRPr="003A5FD6" w14:paraId="10590BCB" w14:textId="77777777" w:rsidTr="00790D5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hideMark/>
          </w:tcPr>
          <w:p w14:paraId="484E771C" w14:textId="77777777" w:rsidR="004C0EE7" w:rsidRPr="00660D81" w:rsidRDefault="004C0EE7" w:rsidP="004C0EE7">
            <w:pPr>
              <w:pStyle w:val="TableTextSmall"/>
              <w:keepNext/>
              <w:rPr>
                <w:rFonts w:asciiTheme="majorHAnsi" w:hAnsiTheme="majorHAnsi"/>
                <w:b w:val="0"/>
                <w:bCs w:val="0"/>
                <w:i/>
                <w:color w:val="595959" w:themeColor="text1" w:themeTint="A6"/>
                <w:lang w:eastAsia="en-AU"/>
              </w:rPr>
            </w:pPr>
            <w:r w:rsidRPr="00660D81">
              <w:rPr>
                <w:rFonts w:asciiTheme="majorHAnsi" w:hAnsiTheme="majorHAnsi"/>
                <w:i/>
                <w:color w:val="595959" w:themeColor="text1" w:themeTint="A6"/>
              </w:rPr>
              <w:t xml:space="preserve">    - Adult aged 36-64</w:t>
            </w:r>
          </w:p>
        </w:tc>
        <w:tc>
          <w:tcPr>
            <w:tcW w:w="1134" w:type="dxa"/>
            <w:tcBorders>
              <w:top w:val="nil"/>
              <w:bottom w:val="nil"/>
            </w:tcBorders>
            <w:shd w:val="clear" w:color="auto" w:fill="F9D5D1" w:themeFill="accent6" w:themeFillTint="33"/>
            <w:noWrap/>
            <w:vAlign w:val="center"/>
            <w:hideMark/>
          </w:tcPr>
          <w:p w14:paraId="053C407F" w14:textId="2CF8BBCB"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lang w:eastAsia="en-AU"/>
              </w:rPr>
            </w:pPr>
            <w:r>
              <w:rPr>
                <w:rFonts w:ascii="Arial" w:hAnsi="Arial"/>
                <w:i/>
                <w:iCs/>
                <w:color w:val="595959"/>
                <w:szCs w:val="16"/>
              </w:rPr>
              <w:t>519,000</w:t>
            </w:r>
          </w:p>
        </w:tc>
        <w:tc>
          <w:tcPr>
            <w:tcW w:w="1606" w:type="dxa"/>
            <w:tcBorders>
              <w:top w:val="nil"/>
              <w:bottom w:val="nil"/>
            </w:tcBorders>
            <w:noWrap/>
            <w:vAlign w:val="center"/>
            <w:hideMark/>
          </w:tcPr>
          <w:p w14:paraId="7382FB03" w14:textId="58A1DC22"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i/>
                <w:iCs/>
                <w:color w:val="595959"/>
                <w:szCs w:val="16"/>
              </w:rPr>
              <w:t>57%</w:t>
            </w:r>
          </w:p>
        </w:tc>
        <w:tc>
          <w:tcPr>
            <w:tcW w:w="1606" w:type="dxa"/>
            <w:tcBorders>
              <w:top w:val="nil"/>
              <w:bottom w:val="nil"/>
            </w:tcBorders>
            <w:noWrap/>
            <w:vAlign w:val="center"/>
            <w:hideMark/>
          </w:tcPr>
          <w:p w14:paraId="02E488BF" w14:textId="57F7ED97"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i/>
                <w:iCs/>
                <w:color w:val="595959"/>
                <w:szCs w:val="16"/>
              </w:rPr>
              <w:t>28%</w:t>
            </w:r>
          </w:p>
        </w:tc>
        <w:tc>
          <w:tcPr>
            <w:tcW w:w="1607" w:type="dxa"/>
            <w:tcBorders>
              <w:top w:val="nil"/>
              <w:bottom w:val="nil"/>
            </w:tcBorders>
            <w:vAlign w:val="center"/>
          </w:tcPr>
          <w:p w14:paraId="145EB52C" w14:textId="28E2EFAF"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i/>
                <w:iCs/>
                <w:color w:val="595959"/>
                <w:szCs w:val="16"/>
              </w:rPr>
              <w:t>15%</w:t>
            </w:r>
          </w:p>
        </w:tc>
      </w:tr>
      <w:tr w:rsidR="004C0EE7" w:rsidRPr="003A5FD6" w14:paraId="1EDA9AA9" w14:textId="77777777" w:rsidTr="00790D5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hideMark/>
          </w:tcPr>
          <w:p w14:paraId="432614B5" w14:textId="77777777" w:rsidR="004C0EE7" w:rsidRPr="00660D81" w:rsidRDefault="004C0EE7" w:rsidP="004C0EE7">
            <w:pPr>
              <w:pStyle w:val="TableTextSmall"/>
              <w:keepNext/>
              <w:rPr>
                <w:rFonts w:asciiTheme="majorHAnsi" w:hAnsiTheme="majorHAnsi"/>
                <w:b w:val="0"/>
                <w:bCs w:val="0"/>
                <w:i/>
                <w:color w:val="595959" w:themeColor="text1" w:themeTint="A6"/>
                <w:lang w:eastAsia="en-AU"/>
              </w:rPr>
            </w:pPr>
            <w:r w:rsidRPr="00660D81">
              <w:rPr>
                <w:rFonts w:asciiTheme="majorHAnsi" w:hAnsiTheme="majorHAnsi"/>
                <w:i/>
                <w:color w:val="595959" w:themeColor="text1" w:themeTint="A6"/>
              </w:rPr>
              <w:t xml:space="preserve">    - Adult aged 65+</w:t>
            </w:r>
          </w:p>
        </w:tc>
        <w:tc>
          <w:tcPr>
            <w:tcW w:w="1134" w:type="dxa"/>
            <w:tcBorders>
              <w:top w:val="nil"/>
            </w:tcBorders>
            <w:shd w:val="clear" w:color="auto" w:fill="F9D5D1" w:themeFill="accent6" w:themeFillTint="33"/>
            <w:noWrap/>
            <w:vAlign w:val="center"/>
            <w:hideMark/>
          </w:tcPr>
          <w:p w14:paraId="26F532CE" w14:textId="385A1DDB"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r>
              <w:rPr>
                <w:rFonts w:ascii="Arial" w:hAnsi="Arial"/>
                <w:i/>
                <w:iCs/>
                <w:color w:val="595959"/>
                <w:szCs w:val="16"/>
              </w:rPr>
              <w:t>11,000</w:t>
            </w:r>
          </w:p>
        </w:tc>
        <w:tc>
          <w:tcPr>
            <w:tcW w:w="1606" w:type="dxa"/>
            <w:tcBorders>
              <w:top w:val="nil"/>
            </w:tcBorders>
            <w:noWrap/>
            <w:vAlign w:val="center"/>
            <w:hideMark/>
          </w:tcPr>
          <w:p w14:paraId="27AAD484" w14:textId="2B1C8048"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79%</w:t>
            </w:r>
          </w:p>
        </w:tc>
        <w:tc>
          <w:tcPr>
            <w:tcW w:w="1606" w:type="dxa"/>
            <w:tcBorders>
              <w:top w:val="nil"/>
            </w:tcBorders>
            <w:noWrap/>
            <w:vAlign w:val="center"/>
            <w:hideMark/>
          </w:tcPr>
          <w:p w14:paraId="5FA790F6" w14:textId="54B9EEE6"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5%</w:t>
            </w:r>
          </w:p>
        </w:tc>
        <w:tc>
          <w:tcPr>
            <w:tcW w:w="1607" w:type="dxa"/>
            <w:tcBorders>
              <w:top w:val="nil"/>
            </w:tcBorders>
            <w:vAlign w:val="center"/>
          </w:tcPr>
          <w:p w14:paraId="3A71125F" w14:textId="61069CB4"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17%</w:t>
            </w:r>
          </w:p>
        </w:tc>
      </w:tr>
      <w:tr w:rsidR="004C0EE7" w:rsidRPr="003A5FD6" w14:paraId="4E0EC572" w14:textId="77777777" w:rsidTr="00790D5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hideMark/>
          </w:tcPr>
          <w:p w14:paraId="436BF832" w14:textId="77777777" w:rsidR="004C0EE7" w:rsidRPr="00660D81" w:rsidRDefault="004C0EE7" w:rsidP="004C0EE7">
            <w:pPr>
              <w:pStyle w:val="TableTextSmall"/>
              <w:keepNext/>
              <w:rPr>
                <w:rFonts w:asciiTheme="majorHAnsi" w:hAnsiTheme="majorHAnsi"/>
                <w:bCs w:val="0"/>
                <w:color w:val="595959" w:themeColor="text1" w:themeTint="A6"/>
                <w:lang w:eastAsia="en-AU"/>
              </w:rPr>
            </w:pPr>
            <w:r w:rsidRPr="00660D81">
              <w:rPr>
                <w:rFonts w:asciiTheme="majorHAnsi" w:hAnsiTheme="majorHAnsi"/>
                <w:color w:val="595959" w:themeColor="text1" w:themeTint="A6"/>
              </w:rPr>
              <w:t>Couple with children aged &lt;15</w:t>
            </w:r>
            <w:r>
              <w:rPr>
                <w:rFonts w:asciiTheme="majorHAnsi" w:hAnsiTheme="majorHAnsi"/>
                <w:color w:val="595959" w:themeColor="text1" w:themeTint="A6"/>
              </w:rPr>
              <w:t xml:space="preserve"> </w:t>
            </w:r>
            <w:r w:rsidRPr="00DC3C22">
              <w:rPr>
                <w:rStyle w:val="FootnoteReference"/>
                <w:rFonts w:asciiTheme="majorHAnsi" w:hAnsiTheme="majorHAnsi"/>
                <w:color w:val="595959" w:themeColor="text1" w:themeTint="A6"/>
              </w:rPr>
              <w:fldChar w:fldCharType="begin"/>
            </w:r>
            <w:r w:rsidRPr="00DC3C22">
              <w:rPr>
                <w:rStyle w:val="FootnoteReference"/>
                <w:rFonts w:asciiTheme="majorHAnsi" w:hAnsiTheme="majorHAnsi"/>
                <w:color w:val="595959" w:themeColor="text1" w:themeTint="A6"/>
              </w:rPr>
              <w:instrText xml:space="preserve"> NOTEREF _Ref498346800 \h </w:instrText>
            </w:r>
            <w:r>
              <w:rPr>
                <w:rStyle w:val="FootnoteReference"/>
                <w:rFonts w:asciiTheme="majorHAnsi" w:hAnsiTheme="majorHAnsi"/>
                <w:color w:val="595959" w:themeColor="text1" w:themeTint="A6"/>
              </w:rPr>
              <w:instrText xml:space="preserve"> \* MERGEFORMAT </w:instrText>
            </w:r>
            <w:r w:rsidRPr="00DC3C22">
              <w:rPr>
                <w:rStyle w:val="FootnoteReference"/>
                <w:rFonts w:asciiTheme="majorHAnsi" w:hAnsiTheme="majorHAnsi"/>
                <w:color w:val="595959" w:themeColor="text1" w:themeTint="A6"/>
              </w:rPr>
            </w:r>
            <w:r w:rsidRPr="00DC3C22">
              <w:rPr>
                <w:rStyle w:val="FootnoteReference"/>
                <w:rFonts w:asciiTheme="majorHAnsi" w:hAnsiTheme="majorHAnsi"/>
                <w:color w:val="595959" w:themeColor="text1" w:themeTint="A6"/>
              </w:rPr>
              <w:fldChar w:fldCharType="separate"/>
            </w:r>
            <w:r w:rsidR="00C93C1A">
              <w:rPr>
                <w:rStyle w:val="FootnoteReference"/>
                <w:rFonts w:asciiTheme="majorHAnsi" w:hAnsiTheme="majorHAnsi"/>
                <w:color w:val="595959" w:themeColor="text1" w:themeTint="A6"/>
              </w:rPr>
              <w:t>3</w:t>
            </w:r>
            <w:r w:rsidRPr="00DC3C22">
              <w:rPr>
                <w:rStyle w:val="FootnoteReference"/>
                <w:rFonts w:asciiTheme="majorHAnsi" w:hAnsiTheme="majorHAnsi"/>
                <w:color w:val="595959" w:themeColor="text1" w:themeTint="A6"/>
              </w:rPr>
              <w:fldChar w:fldCharType="end"/>
            </w:r>
          </w:p>
        </w:tc>
        <w:tc>
          <w:tcPr>
            <w:tcW w:w="1134" w:type="dxa"/>
            <w:tcBorders>
              <w:bottom w:val="nil"/>
            </w:tcBorders>
            <w:shd w:val="clear" w:color="auto" w:fill="F9D5D1" w:themeFill="accent6" w:themeFillTint="33"/>
            <w:noWrap/>
            <w:vAlign w:val="center"/>
            <w:hideMark/>
          </w:tcPr>
          <w:p w14:paraId="201D75DA" w14:textId="0675810B"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4,095,000</w:t>
            </w:r>
          </w:p>
        </w:tc>
        <w:tc>
          <w:tcPr>
            <w:tcW w:w="1606" w:type="dxa"/>
            <w:tcBorders>
              <w:bottom w:val="nil"/>
            </w:tcBorders>
            <w:noWrap/>
            <w:vAlign w:val="center"/>
            <w:hideMark/>
          </w:tcPr>
          <w:p w14:paraId="253EDDF3" w14:textId="21B5C572"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9%</w:t>
            </w:r>
          </w:p>
        </w:tc>
        <w:tc>
          <w:tcPr>
            <w:tcW w:w="1606" w:type="dxa"/>
            <w:tcBorders>
              <w:bottom w:val="nil"/>
            </w:tcBorders>
            <w:noWrap/>
            <w:vAlign w:val="center"/>
            <w:hideMark/>
          </w:tcPr>
          <w:p w14:paraId="77D57E21" w14:textId="09A205EC"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36%</w:t>
            </w:r>
          </w:p>
        </w:tc>
        <w:tc>
          <w:tcPr>
            <w:tcW w:w="1607" w:type="dxa"/>
            <w:tcBorders>
              <w:bottom w:val="nil"/>
            </w:tcBorders>
            <w:vAlign w:val="center"/>
          </w:tcPr>
          <w:p w14:paraId="5454A36F" w14:textId="05BEB164" w:rsidR="004C0EE7" w:rsidRPr="00660D81"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szCs w:val="16"/>
              </w:rPr>
              <w:t>55%</w:t>
            </w:r>
          </w:p>
        </w:tc>
      </w:tr>
      <w:tr w:rsidR="004C0EE7" w:rsidRPr="003A5FD6" w14:paraId="196DCD30" w14:textId="77777777" w:rsidTr="00790D5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hideMark/>
          </w:tcPr>
          <w:p w14:paraId="27B98460" w14:textId="3C2A70A7" w:rsidR="004C0EE7" w:rsidRPr="00660D81" w:rsidRDefault="004C0EE7" w:rsidP="003E4E38">
            <w:pPr>
              <w:pStyle w:val="TableTextSmall"/>
              <w:keepNext/>
              <w:rPr>
                <w:rFonts w:asciiTheme="majorHAnsi" w:hAnsiTheme="majorHAnsi"/>
                <w:b w:val="0"/>
                <w:bCs w:val="0"/>
                <w:i/>
                <w:color w:val="595959" w:themeColor="text1" w:themeTint="A6"/>
                <w:lang w:eastAsia="en-AU"/>
              </w:rPr>
            </w:pPr>
            <w:r w:rsidRPr="00660D81">
              <w:rPr>
                <w:rFonts w:asciiTheme="majorHAnsi" w:hAnsiTheme="majorHAnsi"/>
                <w:i/>
                <w:color w:val="595959" w:themeColor="text1" w:themeTint="A6"/>
              </w:rPr>
              <w:t xml:space="preserve">    - Both adults aged 18-</w:t>
            </w:r>
            <w:r w:rsidR="003E4E38">
              <w:rPr>
                <w:rFonts w:asciiTheme="majorHAnsi" w:hAnsiTheme="majorHAnsi"/>
                <w:i/>
                <w:color w:val="595959" w:themeColor="text1" w:themeTint="A6"/>
              </w:rPr>
              <w:t>35</w:t>
            </w:r>
          </w:p>
        </w:tc>
        <w:tc>
          <w:tcPr>
            <w:tcW w:w="1134" w:type="dxa"/>
            <w:tcBorders>
              <w:top w:val="nil"/>
              <w:bottom w:val="nil"/>
            </w:tcBorders>
            <w:shd w:val="clear" w:color="auto" w:fill="F9D5D1" w:themeFill="accent6" w:themeFillTint="33"/>
            <w:noWrap/>
            <w:vAlign w:val="center"/>
            <w:hideMark/>
          </w:tcPr>
          <w:p w14:paraId="1318282D" w14:textId="68DCB08D"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r>
              <w:rPr>
                <w:rFonts w:ascii="Arial" w:hAnsi="Arial"/>
                <w:i/>
                <w:iCs/>
                <w:color w:val="595959"/>
                <w:szCs w:val="16"/>
              </w:rPr>
              <w:t>1,159,000</w:t>
            </w:r>
          </w:p>
        </w:tc>
        <w:tc>
          <w:tcPr>
            <w:tcW w:w="1606" w:type="dxa"/>
            <w:tcBorders>
              <w:top w:val="nil"/>
              <w:bottom w:val="nil"/>
            </w:tcBorders>
            <w:noWrap/>
            <w:vAlign w:val="center"/>
            <w:hideMark/>
          </w:tcPr>
          <w:p w14:paraId="20C9FCE6" w14:textId="188E6C11"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11%</w:t>
            </w:r>
          </w:p>
        </w:tc>
        <w:tc>
          <w:tcPr>
            <w:tcW w:w="1606" w:type="dxa"/>
            <w:tcBorders>
              <w:top w:val="nil"/>
              <w:bottom w:val="nil"/>
            </w:tcBorders>
            <w:noWrap/>
            <w:vAlign w:val="center"/>
            <w:hideMark/>
          </w:tcPr>
          <w:p w14:paraId="7FF7C005" w14:textId="38F3D52A"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37%</w:t>
            </w:r>
          </w:p>
        </w:tc>
        <w:tc>
          <w:tcPr>
            <w:tcW w:w="1607" w:type="dxa"/>
            <w:tcBorders>
              <w:top w:val="nil"/>
              <w:bottom w:val="nil"/>
            </w:tcBorders>
            <w:vAlign w:val="center"/>
          </w:tcPr>
          <w:p w14:paraId="5E8E700F" w14:textId="6B3CAC88" w:rsidR="004C0EE7" w:rsidRPr="00660D81"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i/>
                <w:iCs/>
                <w:color w:val="595959"/>
                <w:szCs w:val="16"/>
              </w:rPr>
              <w:t>53%</w:t>
            </w:r>
          </w:p>
        </w:tc>
      </w:tr>
      <w:tr w:rsidR="004C0EE7" w:rsidRPr="003A5FD6" w14:paraId="66C0D880" w14:textId="77777777" w:rsidTr="00790D5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tcPr>
          <w:p w14:paraId="246566D5" w14:textId="77777777" w:rsidR="004C0EE7" w:rsidRPr="00660D81" w:rsidRDefault="004C0EE7" w:rsidP="004C0EE7">
            <w:pPr>
              <w:pStyle w:val="TableTextSmall"/>
              <w:keepNext/>
              <w:rPr>
                <w:rFonts w:asciiTheme="majorHAnsi" w:hAnsiTheme="majorHAnsi"/>
                <w:b w:val="0"/>
                <w:bCs w:val="0"/>
                <w:i/>
                <w:color w:val="595959" w:themeColor="text1" w:themeTint="A6"/>
              </w:rPr>
            </w:pPr>
            <w:r w:rsidRPr="00660D81">
              <w:rPr>
                <w:rFonts w:asciiTheme="majorHAnsi" w:hAnsiTheme="majorHAnsi"/>
                <w:i/>
                <w:color w:val="595959" w:themeColor="text1" w:themeTint="A6"/>
              </w:rPr>
              <w:t xml:space="preserve">    - At least one adult aged </w:t>
            </w:r>
            <w:r>
              <w:rPr>
                <w:rFonts w:asciiTheme="majorHAnsi" w:hAnsiTheme="majorHAnsi"/>
                <w:i/>
                <w:color w:val="595959" w:themeColor="text1" w:themeTint="A6"/>
              </w:rPr>
              <w:t>36-64 (but none older)</w:t>
            </w:r>
          </w:p>
        </w:tc>
        <w:tc>
          <w:tcPr>
            <w:tcW w:w="1134" w:type="dxa"/>
            <w:tcBorders>
              <w:top w:val="nil"/>
              <w:bottom w:val="nil"/>
            </w:tcBorders>
            <w:shd w:val="clear" w:color="auto" w:fill="F9D5D1" w:themeFill="accent6" w:themeFillTint="33"/>
            <w:noWrap/>
            <w:vAlign w:val="center"/>
          </w:tcPr>
          <w:p w14:paraId="6126BC4A" w14:textId="3C607A62" w:rsidR="004C0EE7" w:rsidRPr="00C34B5C"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highlight w:val="yellow"/>
              </w:rPr>
            </w:pPr>
            <w:r>
              <w:rPr>
                <w:rFonts w:ascii="Arial" w:hAnsi="Arial"/>
                <w:i/>
                <w:iCs/>
                <w:color w:val="595959"/>
                <w:szCs w:val="16"/>
              </w:rPr>
              <w:t>2,918,000</w:t>
            </w:r>
          </w:p>
        </w:tc>
        <w:tc>
          <w:tcPr>
            <w:tcW w:w="1606" w:type="dxa"/>
            <w:tcBorders>
              <w:top w:val="nil"/>
              <w:bottom w:val="nil"/>
            </w:tcBorders>
            <w:noWrap/>
            <w:vAlign w:val="center"/>
          </w:tcPr>
          <w:p w14:paraId="26124497" w14:textId="340F5B29" w:rsidR="004C0EE7" w:rsidRPr="00C34B5C"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highlight w:val="yellow"/>
              </w:rPr>
            </w:pPr>
            <w:r>
              <w:rPr>
                <w:rFonts w:ascii="Arial" w:hAnsi="Arial"/>
                <w:i/>
                <w:iCs/>
                <w:color w:val="595959"/>
                <w:szCs w:val="16"/>
              </w:rPr>
              <w:t>9%</w:t>
            </w:r>
          </w:p>
        </w:tc>
        <w:tc>
          <w:tcPr>
            <w:tcW w:w="1606" w:type="dxa"/>
            <w:tcBorders>
              <w:top w:val="nil"/>
              <w:bottom w:val="nil"/>
            </w:tcBorders>
            <w:noWrap/>
            <w:vAlign w:val="center"/>
          </w:tcPr>
          <w:p w14:paraId="25DE294D" w14:textId="5D799D0C" w:rsidR="004C0EE7" w:rsidRPr="00C34B5C"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highlight w:val="yellow"/>
              </w:rPr>
            </w:pPr>
            <w:r>
              <w:rPr>
                <w:rFonts w:ascii="Arial" w:hAnsi="Arial"/>
                <w:i/>
                <w:iCs/>
                <w:color w:val="595959"/>
                <w:szCs w:val="16"/>
              </w:rPr>
              <w:t>35%</w:t>
            </w:r>
          </w:p>
        </w:tc>
        <w:tc>
          <w:tcPr>
            <w:tcW w:w="1607" w:type="dxa"/>
            <w:tcBorders>
              <w:top w:val="nil"/>
              <w:bottom w:val="nil"/>
            </w:tcBorders>
            <w:vAlign w:val="center"/>
          </w:tcPr>
          <w:p w14:paraId="56E33DA5" w14:textId="6CA6A6BD" w:rsidR="004C0EE7" w:rsidRPr="00C34B5C" w:rsidRDefault="004C0EE7" w:rsidP="004C0EE7">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highlight w:val="yellow"/>
              </w:rPr>
            </w:pPr>
            <w:r>
              <w:rPr>
                <w:rFonts w:ascii="Arial" w:hAnsi="Arial"/>
                <w:i/>
                <w:iCs/>
                <w:color w:val="595959"/>
                <w:szCs w:val="16"/>
              </w:rPr>
              <w:t>56%</w:t>
            </w:r>
          </w:p>
        </w:tc>
      </w:tr>
      <w:tr w:rsidR="004C0EE7" w:rsidRPr="003A5FD6" w14:paraId="027A84B6" w14:textId="77777777" w:rsidTr="00790D5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hideMark/>
          </w:tcPr>
          <w:p w14:paraId="0F3EA67B" w14:textId="77777777" w:rsidR="004C0EE7" w:rsidRPr="00660D81" w:rsidRDefault="004C0EE7" w:rsidP="004C0EE7">
            <w:pPr>
              <w:pStyle w:val="TableTextSmall"/>
              <w:keepNext/>
              <w:rPr>
                <w:rFonts w:asciiTheme="majorHAnsi" w:hAnsiTheme="majorHAnsi"/>
                <w:b w:val="0"/>
                <w:bCs w:val="0"/>
                <w:i/>
                <w:color w:val="595959" w:themeColor="text1" w:themeTint="A6"/>
                <w:lang w:eastAsia="en-AU"/>
              </w:rPr>
            </w:pPr>
            <w:r w:rsidRPr="00660D81">
              <w:rPr>
                <w:rFonts w:asciiTheme="majorHAnsi" w:hAnsiTheme="majorHAnsi"/>
                <w:i/>
                <w:color w:val="595959" w:themeColor="text1" w:themeTint="A6"/>
              </w:rPr>
              <w:t xml:space="preserve">    - At least one adult aged 65+</w:t>
            </w:r>
          </w:p>
        </w:tc>
        <w:tc>
          <w:tcPr>
            <w:tcW w:w="1134" w:type="dxa"/>
            <w:tcBorders>
              <w:top w:val="nil"/>
            </w:tcBorders>
            <w:shd w:val="clear" w:color="auto" w:fill="F9D5D1" w:themeFill="accent6" w:themeFillTint="33"/>
            <w:noWrap/>
            <w:vAlign w:val="center"/>
            <w:hideMark/>
          </w:tcPr>
          <w:p w14:paraId="71857973" w14:textId="4C757373" w:rsidR="004C0EE7" w:rsidRPr="00C34B5C"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highlight w:val="yellow"/>
                <w:lang w:eastAsia="en-AU"/>
              </w:rPr>
            </w:pPr>
            <w:r>
              <w:rPr>
                <w:rFonts w:ascii="Arial" w:hAnsi="Arial"/>
                <w:i/>
                <w:iCs/>
                <w:color w:val="595959"/>
                <w:szCs w:val="16"/>
              </w:rPr>
              <w:t>18,000</w:t>
            </w:r>
          </w:p>
        </w:tc>
        <w:tc>
          <w:tcPr>
            <w:tcW w:w="1606" w:type="dxa"/>
            <w:tcBorders>
              <w:top w:val="nil"/>
            </w:tcBorders>
            <w:noWrap/>
            <w:vAlign w:val="center"/>
            <w:hideMark/>
          </w:tcPr>
          <w:p w14:paraId="28911688" w14:textId="76AA9270" w:rsidR="004C0EE7" w:rsidRPr="00C34B5C"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highlight w:val="yellow"/>
                <w:lang w:eastAsia="en-AU"/>
              </w:rPr>
            </w:pPr>
            <w:r>
              <w:rPr>
                <w:rFonts w:ascii="Arial" w:hAnsi="Arial"/>
                <w:i/>
                <w:iCs/>
                <w:color w:val="595959"/>
                <w:szCs w:val="16"/>
              </w:rPr>
              <w:t>49%</w:t>
            </w:r>
          </w:p>
        </w:tc>
        <w:tc>
          <w:tcPr>
            <w:tcW w:w="1606" w:type="dxa"/>
            <w:tcBorders>
              <w:top w:val="nil"/>
            </w:tcBorders>
            <w:noWrap/>
            <w:vAlign w:val="center"/>
            <w:hideMark/>
          </w:tcPr>
          <w:p w14:paraId="611A2CA8" w14:textId="690B1F20" w:rsidR="004C0EE7" w:rsidRPr="00C34B5C"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highlight w:val="yellow"/>
                <w:lang w:eastAsia="en-AU"/>
              </w:rPr>
            </w:pPr>
            <w:r>
              <w:rPr>
                <w:rFonts w:ascii="Arial" w:hAnsi="Arial"/>
                <w:i/>
                <w:iCs/>
                <w:color w:val="595959"/>
                <w:szCs w:val="16"/>
              </w:rPr>
              <w:t>5%</w:t>
            </w:r>
          </w:p>
        </w:tc>
        <w:tc>
          <w:tcPr>
            <w:tcW w:w="1607" w:type="dxa"/>
            <w:tcBorders>
              <w:top w:val="nil"/>
            </w:tcBorders>
            <w:vAlign w:val="center"/>
          </w:tcPr>
          <w:p w14:paraId="44300D49" w14:textId="649D559C" w:rsidR="004C0EE7" w:rsidRPr="00C34B5C" w:rsidRDefault="004C0EE7" w:rsidP="004C0EE7">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highlight w:val="yellow"/>
                <w:lang w:eastAsia="en-AU"/>
              </w:rPr>
            </w:pPr>
            <w:r>
              <w:rPr>
                <w:rFonts w:ascii="Arial" w:hAnsi="Arial"/>
                <w:i/>
                <w:iCs/>
                <w:color w:val="595959"/>
                <w:szCs w:val="16"/>
              </w:rPr>
              <w:t>46%</w:t>
            </w:r>
          </w:p>
        </w:tc>
      </w:tr>
      <w:tr w:rsidR="00247079" w:rsidRPr="003A5FD6" w14:paraId="1F4A4D43" w14:textId="77777777" w:rsidTr="00D704A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141EFC4" w14:textId="77777777" w:rsidR="00247079" w:rsidRPr="00660D81" w:rsidRDefault="00247079" w:rsidP="00D704AA">
            <w:pPr>
              <w:pStyle w:val="TableTextSmall"/>
              <w:rPr>
                <w:rFonts w:asciiTheme="majorHAnsi" w:hAnsiTheme="majorHAnsi"/>
                <w:bCs w:val="0"/>
                <w:color w:val="595959" w:themeColor="text1" w:themeTint="A6"/>
                <w:lang w:eastAsia="en-AU"/>
              </w:rPr>
            </w:pPr>
            <w:r w:rsidRPr="00660D81">
              <w:rPr>
                <w:rFonts w:asciiTheme="majorHAnsi" w:hAnsiTheme="majorHAnsi"/>
                <w:color w:val="595959" w:themeColor="text1" w:themeTint="A6"/>
              </w:rPr>
              <w:t>Total</w:t>
            </w:r>
          </w:p>
        </w:tc>
        <w:tc>
          <w:tcPr>
            <w:tcW w:w="1134" w:type="dxa"/>
            <w:shd w:val="clear" w:color="auto" w:fill="F9D5D1" w:themeFill="accent6" w:themeFillTint="33"/>
            <w:noWrap/>
            <w:hideMark/>
          </w:tcPr>
          <w:p w14:paraId="49980E24" w14:textId="77777777" w:rsidR="00247079" w:rsidRPr="00660D81"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60D81">
              <w:rPr>
                <w:b/>
                <w:color w:val="auto"/>
              </w:rPr>
              <w:t>19,134,000</w:t>
            </w:r>
          </w:p>
        </w:tc>
        <w:tc>
          <w:tcPr>
            <w:tcW w:w="1606" w:type="dxa"/>
            <w:noWrap/>
            <w:hideMark/>
          </w:tcPr>
          <w:p w14:paraId="6963670C" w14:textId="77777777" w:rsidR="00247079" w:rsidRPr="00660D81"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60D81">
              <w:rPr>
                <w:b/>
                <w:color w:val="auto"/>
              </w:rPr>
              <w:t>30%</w:t>
            </w:r>
          </w:p>
        </w:tc>
        <w:tc>
          <w:tcPr>
            <w:tcW w:w="1606" w:type="dxa"/>
            <w:noWrap/>
            <w:hideMark/>
          </w:tcPr>
          <w:p w14:paraId="25752DBF" w14:textId="77777777" w:rsidR="00247079" w:rsidRPr="00660D81"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60D81">
              <w:rPr>
                <w:b/>
                <w:color w:val="auto"/>
              </w:rPr>
              <w:t>12%</w:t>
            </w:r>
          </w:p>
        </w:tc>
        <w:tc>
          <w:tcPr>
            <w:tcW w:w="1607" w:type="dxa"/>
          </w:tcPr>
          <w:p w14:paraId="1B68D1EE" w14:textId="77777777" w:rsidR="00247079" w:rsidRPr="00660D81"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60D81">
              <w:rPr>
                <w:b/>
                <w:color w:val="auto"/>
              </w:rPr>
              <w:t>58%</w:t>
            </w:r>
          </w:p>
        </w:tc>
      </w:tr>
    </w:tbl>
    <w:p w14:paraId="1F54CEF2" w14:textId="77777777" w:rsidR="004C0EE7" w:rsidRDefault="004C0EE7" w:rsidP="004C0EE7">
      <w:pPr>
        <w:pStyle w:val="PwCNormal"/>
        <w:numPr>
          <w:ilvl w:val="0"/>
          <w:numId w:val="0"/>
        </w:numPr>
      </w:pPr>
      <w:r>
        <w:t>Key takeaways from this analysis are:</w:t>
      </w:r>
    </w:p>
    <w:p w14:paraId="1393D350" w14:textId="77777777" w:rsidR="004C0EE7" w:rsidRDefault="004C0EE7" w:rsidP="004C0EE7">
      <w:pPr>
        <w:pStyle w:val="ListBullet"/>
      </w:pPr>
      <w:r>
        <w:t>The majority of adults (more than 14 million people) are in family units that do not have any children younger than 15.</w:t>
      </w:r>
    </w:p>
    <w:p w14:paraId="291E5CC9" w14:textId="148A82ED" w:rsidR="004C0EE7" w:rsidRDefault="004C0EE7" w:rsidP="004C0EE7">
      <w:pPr>
        <w:pStyle w:val="ListBullet"/>
      </w:pPr>
      <w:r>
        <w:t xml:space="preserve">Single person </w:t>
      </w:r>
      <w:r w:rsidR="00A40B9B">
        <w:t xml:space="preserve">with children </w:t>
      </w:r>
      <w:r>
        <w:t xml:space="preserve">family units have the highest level of welfare dependency. In particular, </w:t>
      </w:r>
      <w:r w:rsidR="00315A6F">
        <w:t>63</w:t>
      </w:r>
      <w:r>
        <w:t>% of adults in these family units currently receive income support</w:t>
      </w:r>
      <w:r w:rsidR="00315A6F">
        <w:t>, and a further 21% receive non income support</w:t>
      </w:r>
      <w:r>
        <w:t>.</w:t>
      </w:r>
    </w:p>
    <w:p w14:paraId="0CDA51C1" w14:textId="20CD7DF0" w:rsidR="004C0EE7" w:rsidRDefault="004C0EE7" w:rsidP="004C0EE7">
      <w:pPr>
        <w:pStyle w:val="ListBullet"/>
      </w:pPr>
      <w:r>
        <w:t>Of the 18</w:t>
      </w:r>
      <w:r w:rsidR="00A40B9B">
        <w:t xml:space="preserve"> to </w:t>
      </w:r>
      <w:r>
        <w:t xml:space="preserve">35 year olds in single person </w:t>
      </w:r>
      <w:r w:rsidR="00A40B9B">
        <w:t xml:space="preserve">with children </w:t>
      </w:r>
      <w:r>
        <w:t>family units, 7</w:t>
      </w:r>
      <w:r w:rsidR="00315A6F">
        <w:t>2</w:t>
      </w:r>
      <w:r>
        <w:t>% receive income support payments, compared to just 27% of 18</w:t>
      </w:r>
      <w:r w:rsidR="00A40B9B">
        <w:t xml:space="preserve"> to </w:t>
      </w:r>
      <w:r>
        <w:t>35 year old single people without children.</w:t>
      </w:r>
    </w:p>
    <w:p w14:paraId="2E7F1E93" w14:textId="730B8040" w:rsidR="004C0EE7" w:rsidRDefault="004C0EE7" w:rsidP="004C0EE7">
      <w:pPr>
        <w:pStyle w:val="ListBullet"/>
      </w:pPr>
      <w:r>
        <w:t>Young couples aged 18</w:t>
      </w:r>
      <w:r w:rsidR="00A40B9B">
        <w:t xml:space="preserve"> to </w:t>
      </w:r>
      <w:r>
        <w:t>35 with no children have the lowest rate of welfare dependency amongst the groups shown in the table</w:t>
      </w:r>
      <w:r w:rsidR="00315A6F">
        <w:t>, with</w:t>
      </w:r>
      <w:r>
        <w:t xml:space="preserve"> only 6% of adults in these family units are currently receiving benefits. In contrast, 47% of partnered 18</w:t>
      </w:r>
      <w:r w:rsidR="00A40B9B">
        <w:t xml:space="preserve"> to </w:t>
      </w:r>
      <w:r>
        <w:t>35 year old adults with children are currently receiving benefits. The majority of these individuals are receiving non income support payments.</w:t>
      </w:r>
    </w:p>
    <w:p w14:paraId="5DC4AF7D" w14:textId="1B43FCEE" w:rsidR="004C0EE7" w:rsidRDefault="004C0EE7" w:rsidP="004C0EE7">
      <w:pPr>
        <w:pStyle w:val="ListBullet"/>
      </w:pPr>
      <w:r>
        <w:lastRenderedPageBreak/>
        <w:t>Couples with no children and at least one adult aged 36</w:t>
      </w:r>
      <w:r w:rsidR="00C76822">
        <w:t xml:space="preserve"> to </w:t>
      </w:r>
      <w:r>
        <w:t xml:space="preserve">64 (but none older) have a higher level of income support dependence compared to younger couples with no children. </w:t>
      </w:r>
    </w:p>
    <w:p w14:paraId="4C61ACC1" w14:textId="5D8D3031" w:rsidR="00247079" w:rsidRDefault="004C0EE7" w:rsidP="004C0EE7">
      <w:pPr>
        <w:pStyle w:val="ListBullet"/>
      </w:pPr>
      <w:r>
        <w:t>As would be expected, income support dependence is considerably higher for individuals aged 65 or over due to the high proportion of people receiving the age pension.</w:t>
      </w:r>
    </w:p>
    <w:p w14:paraId="5A2D35E3" w14:textId="77777777" w:rsidR="00247079" w:rsidRPr="003A5FD6" w:rsidRDefault="00247079" w:rsidP="00247079">
      <w:pPr>
        <w:pStyle w:val="Heading4"/>
      </w:pPr>
      <w:r w:rsidRPr="003A5FD6">
        <w:t>Common patterns of welfare utilisation amongst couples</w:t>
      </w:r>
    </w:p>
    <w:p w14:paraId="13793423" w14:textId="77777777" w:rsidR="00247079" w:rsidRDefault="00247079" w:rsidP="00247079">
      <w:pPr>
        <w:pStyle w:val="PwCNormal-keepwithnext"/>
        <w:numPr>
          <w:ilvl w:val="0"/>
          <w:numId w:val="1"/>
        </w:numPr>
      </w:pPr>
      <w:r>
        <w:t>The table below shows the proportions of men and women that are partnered in each of the income support classes.</w:t>
      </w:r>
    </w:p>
    <w:p w14:paraId="2BD1E10F" w14:textId="77777777" w:rsidR="00247079" w:rsidRDefault="00247079" w:rsidP="00247079">
      <w:pPr>
        <w:pStyle w:val="Caption"/>
      </w:pPr>
      <w:r w:rsidRPr="003A5FD6">
        <w:t xml:space="preserve">Table </w:t>
      </w:r>
      <w:fldSimple w:instr=" SEQ Table \* ARABIC ">
        <w:r w:rsidR="00C93C1A">
          <w:rPr>
            <w:noProof/>
          </w:rPr>
          <w:t>9</w:t>
        </w:r>
      </w:fldSimple>
      <w:r w:rsidRPr="003A5FD6">
        <w:t xml:space="preserve">: </w:t>
      </w:r>
      <w:r>
        <w:t>Proportion of people partnered by gender and class</w:t>
      </w:r>
    </w:p>
    <w:tbl>
      <w:tblPr>
        <w:tblStyle w:val="ListTable3-Accent61"/>
        <w:tblW w:w="6838" w:type="dxa"/>
        <w:tblInd w:w="108" w:type="dxa"/>
        <w:tblLayout w:type="fixed"/>
        <w:tblLook w:val="04A0" w:firstRow="1" w:lastRow="0" w:firstColumn="1" w:lastColumn="0" w:noHBand="0" w:noVBand="1"/>
        <w:tblCaption w:val="Proportion of people partnered by gender and class"/>
        <w:tblDescription w:val="This table displays the proportion of people partnered split by income support class. The columns show the proportion of females partnered, the proportion of males partnered, and the total proportion of people partnered. The rows show the six income support classes.&#10;&#10;Further features of the data in this table are discussed in the accompanying text within the report.&#10;"/>
      </w:tblPr>
      <w:tblGrid>
        <w:gridCol w:w="1877"/>
        <w:gridCol w:w="1653"/>
        <w:gridCol w:w="1654"/>
        <w:gridCol w:w="1654"/>
      </w:tblGrid>
      <w:tr w:rsidR="00247079" w:rsidRPr="003C6B7D" w14:paraId="102521CE" w14:textId="77777777" w:rsidTr="00E42A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7" w:type="dxa"/>
          </w:tcPr>
          <w:p w14:paraId="2DB3B4B9" w14:textId="77777777" w:rsidR="00247079" w:rsidRPr="00D92A5F" w:rsidRDefault="00247079" w:rsidP="00D704AA">
            <w:pPr>
              <w:pStyle w:val="TableTextSmall"/>
              <w:keepNext/>
              <w:rPr>
                <w:b w:val="0"/>
              </w:rPr>
            </w:pPr>
          </w:p>
        </w:tc>
        <w:tc>
          <w:tcPr>
            <w:tcW w:w="1653" w:type="dxa"/>
          </w:tcPr>
          <w:p w14:paraId="6228E07E" w14:textId="77777777" w:rsidR="00247079" w:rsidRPr="00D92A5F" w:rsidRDefault="00247079" w:rsidP="00D704A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sz w:val="18"/>
              </w:rPr>
            </w:pPr>
            <w:r w:rsidRPr="00D92A5F">
              <w:rPr>
                <w:rFonts w:asciiTheme="majorHAnsi" w:hAnsiTheme="majorHAnsi" w:cstheme="majorHAnsi"/>
                <w:color w:val="FFFFFF" w:themeColor="background1"/>
                <w:sz w:val="18"/>
              </w:rPr>
              <w:t>% of females partnered</w:t>
            </w:r>
          </w:p>
        </w:tc>
        <w:tc>
          <w:tcPr>
            <w:tcW w:w="1654" w:type="dxa"/>
          </w:tcPr>
          <w:p w14:paraId="55391FF5" w14:textId="77777777" w:rsidR="00247079" w:rsidRPr="00D92A5F" w:rsidRDefault="00247079" w:rsidP="00D704A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sz w:val="18"/>
              </w:rPr>
            </w:pPr>
            <w:r w:rsidRPr="00D92A5F">
              <w:rPr>
                <w:rFonts w:asciiTheme="majorHAnsi" w:hAnsiTheme="majorHAnsi" w:cstheme="majorHAnsi"/>
                <w:color w:val="FFFFFF" w:themeColor="background1"/>
                <w:sz w:val="18"/>
              </w:rPr>
              <w:t>% of males partnered</w:t>
            </w:r>
          </w:p>
        </w:tc>
        <w:tc>
          <w:tcPr>
            <w:tcW w:w="1654" w:type="dxa"/>
          </w:tcPr>
          <w:p w14:paraId="0B8BE036" w14:textId="77777777" w:rsidR="00247079" w:rsidRPr="00D92A5F" w:rsidRDefault="00247079" w:rsidP="00D704A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sz w:val="18"/>
              </w:rPr>
            </w:pPr>
            <w:r w:rsidRPr="00D92A5F">
              <w:rPr>
                <w:rFonts w:asciiTheme="majorHAnsi" w:hAnsiTheme="majorHAnsi" w:cstheme="majorHAnsi"/>
                <w:color w:val="FFFFFF" w:themeColor="background1"/>
                <w:sz w:val="18"/>
              </w:rPr>
              <w:t>Total % partnered</w:t>
            </w:r>
          </w:p>
        </w:tc>
      </w:tr>
      <w:tr w:rsidR="00247079" w:rsidRPr="008726B4" w14:paraId="5A787BB7" w14:textId="77777777" w:rsidTr="00D704A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77" w:type="dxa"/>
          </w:tcPr>
          <w:p w14:paraId="7B8E996C" w14:textId="77777777" w:rsidR="00247079" w:rsidRPr="00D92A5F" w:rsidRDefault="00247079" w:rsidP="00D704AA">
            <w:pPr>
              <w:pStyle w:val="TableTextSmall"/>
              <w:keepNext/>
            </w:pPr>
            <w:r w:rsidRPr="00D92A5F">
              <w:t>1 Studying</w:t>
            </w:r>
          </w:p>
        </w:tc>
        <w:tc>
          <w:tcPr>
            <w:tcW w:w="1653" w:type="dxa"/>
          </w:tcPr>
          <w:p w14:paraId="28A0D047" w14:textId="77777777" w:rsidR="00247079" w:rsidRPr="00D92A5F" w:rsidRDefault="00247079" w:rsidP="00D704AA">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D92A5F">
              <w:rPr>
                <w:rFonts w:ascii="Arial" w:hAnsi="Arial"/>
                <w:color w:val="000000"/>
              </w:rPr>
              <w:t>7%</w:t>
            </w:r>
          </w:p>
        </w:tc>
        <w:tc>
          <w:tcPr>
            <w:tcW w:w="1654" w:type="dxa"/>
          </w:tcPr>
          <w:p w14:paraId="3C62FA00" w14:textId="77777777" w:rsidR="00247079" w:rsidRPr="00D92A5F" w:rsidRDefault="00247079" w:rsidP="00D704AA">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D92A5F">
              <w:rPr>
                <w:rFonts w:ascii="Arial" w:hAnsi="Arial"/>
                <w:color w:val="000000"/>
              </w:rPr>
              <w:t>7%</w:t>
            </w:r>
          </w:p>
        </w:tc>
        <w:tc>
          <w:tcPr>
            <w:tcW w:w="1654" w:type="dxa"/>
          </w:tcPr>
          <w:p w14:paraId="3C1DB368" w14:textId="77777777" w:rsidR="00247079" w:rsidRPr="00D92A5F" w:rsidRDefault="00247079" w:rsidP="00D704AA">
            <w:pPr>
              <w:pStyle w:val="TableTextSmall"/>
              <w:keepNext/>
              <w:jc w:val="center"/>
              <w:cnfStyle w:val="000000100000" w:firstRow="0" w:lastRow="0" w:firstColumn="0" w:lastColumn="0" w:oddVBand="0" w:evenVBand="0" w:oddHBand="1" w:evenHBand="0" w:firstRowFirstColumn="0" w:firstRowLastColumn="0" w:lastRowFirstColumn="0" w:lastRowLastColumn="0"/>
              <w:rPr>
                <w:color w:val="auto"/>
              </w:rPr>
            </w:pPr>
            <w:r w:rsidRPr="00D92A5F">
              <w:rPr>
                <w:rFonts w:ascii="Arial" w:hAnsi="Arial"/>
                <w:color w:val="000000"/>
              </w:rPr>
              <w:t>7%</w:t>
            </w:r>
          </w:p>
        </w:tc>
      </w:tr>
      <w:tr w:rsidR="00247079" w:rsidRPr="008726B4" w14:paraId="503A4FD7" w14:textId="77777777" w:rsidTr="00D704AA">
        <w:trPr>
          <w:trHeight w:val="312"/>
        </w:trPr>
        <w:tc>
          <w:tcPr>
            <w:cnfStyle w:val="001000000000" w:firstRow="0" w:lastRow="0" w:firstColumn="1" w:lastColumn="0" w:oddVBand="0" w:evenVBand="0" w:oddHBand="0" w:evenHBand="0" w:firstRowFirstColumn="0" w:firstRowLastColumn="0" w:lastRowFirstColumn="0" w:lastRowLastColumn="0"/>
            <w:tcW w:w="1877" w:type="dxa"/>
          </w:tcPr>
          <w:p w14:paraId="5B2EFAA3" w14:textId="77777777" w:rsidR="00247079" w:rsidRPr="00D92A5F" w:rsidRDefault="00247079" w:rsidP="00D704AA">
            <w:pPr>
              <w:pStyle w:val="TableTextSmall"/>
              <w:keepNext/>
            </w:pPr>
            <w:r w:rsidRPr="00D92A5F">
              <w:t>2 Working Age</w:t>
            </w:r>
          </w:p>
        </w:tc>
        <w:tc>
          <w:tcPr>
            <w:tcW w:w="1653" w:type="dxa"/>
          </w:tcPr>
          <w:p w14:paraId="34523348" w14:textId="77777777" w:rsidR="00247079" w:rsidRPr="00D92A5F" w:rsidRDefault="00247079" w:rsidP="00D704AA">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D92A5F">
              <w:rPr>
                <w:rFonts w:ascii="Arial" w:hAnsi="Arial"/>
                <w:color w:val="000000"/>
              </w:rPr>
              <w:t>21%</w:t>
            </w:r>
          </w:p>
        </w:tc>
        <w:tc>
          <w:tcPr>
            <w:tcW w:w="1654" w:type="dxa"/>
          </w:tcPr>
          <w:p w14:paraId="5086127E" w14:textId="77777777" w:rsidR="00247079" w:rsidRPr="00D92A5F" w:rsidRDefault="00247079" w:rsidP="00D704AA">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D92A5F">
              <w:rPr>
                <w:rFonts w:ascii="Arial" w:hAnsi="Arial"/>
                <w:color w:val="000000"/>
              </w:rPr>
              <w:t>21%</w:t>
            </w:r>
          </w:p>
        </w:tc>
        <w:tc>
          <w:tcPr>
            <w:tcW w:w="1654" w:type="dxa"/>
          </w:tcPr>
          <w:p w14:paraId="42805499" w14:textId="77777777" w:rsidR="00247079" w:rsidRPr="00D92A5F" w:rsidRDefault="00247079" w:rsidP="00D704AA">
            <w:pPr>
              <w:pStyle w:val="TableTextSmall"/>
              <w:keepNext/>
              <w:jc w:val="center"/>
              <w:cnfStyle w:val="000000000000" w:firstRow="0" w:lastRow="0" w:firstColumn="0" w:lastColumn="0" w:oddVBand="0" w:evenVBand="0" w:oddHBand="0" w:evenHBand="0" w:firstRowFirstColumn="0" w:firstRowLastColumn="0" w:lastRowFirstColumn="0" w:lastRowLastColumn="0"/>
              <w:rPr>
                <w:color w:val="auto"/>
              </w:rPr>
            </w:pPr>
            <w:r w:rsidRPr="00D92A5F">
              <w:rPr>
                <w:rFonts w:ascii="Arial" w:hAnsi="Arial"/>
                <w:color w:val="000000"/>
              </w:rPr>
              <w:t>21%</w:t>
            </w:r>
          </w:p>
        </w:tc>
      </w:tr>
      <w:tr w:rsidR="00247079" w:rsidRPr="008726B4" w14:paraId="51B0839E" w14:textId="77777777" w:rsidTr="00D704A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77" w:type="dxa"/>
          </w:tcPr>
          <w:p w14:paraId="6815D846" w14:textId="77777777" w:rsidR="00247079" w:rsidRPr="00D92A5F" w:rsidRDefault="00247079" w:rsidP="00D704AA">
            <w:pPr>
              <w:pStyle w:val="TableTextSmall"/>
              <w:keepNext/>
            </w:pPr>
            <w:r w:rsidRPr="00D92A5F">
              <w:t>3 Parents</w:t>
            </w:r>
          </w:p>
        </w:tc>
        <w:tc>
          <w:tcPr>
            <w:tcW w:w="1653" w:type="dxa"/>
          </w:tcPr>
          <w:p w14:paraId="2916E839" w14:textId="77777777" w:rsidR="00247079" w:rsidRPr="00D92A5F" w:rsidRDefault="00247079" w:rsidP="00D704AA">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D92A5F">
              <w:rPr>
                <w:rFonts w:ascii="Arial" w:hAnsi="Arial"/>
                <w:color w:val="000000"/>
              </w:rPr>
              <w:t>33%</w:t>
            </w:r>
          </w:p>
        </w:tc>
        <w:tc>
          <w:tcPr>
            <w:tcW w:w="1654" w:type="dxa"/>
          </w:tcPr>
          <w:p w14:paraId="6ED790AC" w14:textId="77777777" w:rsidR="00247079" w:rsidRPr="00D92A5F" w:rsidRDefault="00247079" w:rsidP="00D704AA">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D92A5F">
              <w:rPr>
                <w:rFonts w:ascii="Arial" w:hAnsi="Arial"/>
                <w:color w:val="000000"/>
              </w:rPr>
              <w:t>53%</w:t>
            </w:r>
          </w:p>
        </w:tc>
        <w:tc>
          <w:tcPr>
            <w:tcW w:w="1654" w:type="dxa"/>
          </w:tcPr>
          <w:p w14:paraId="5ED5F8A4" w14:textId="77777777" w:rsidR="00247079" w:rsidRPr="00D92A5F" w:rsidRDefault="00247079" w:rsidP="00D704AA">
            <w:pPr>
              <w:pStyle w:val="TableTextSmall"/>
              <w:keepNext/>
              <w:jc w:val="center"/>
              <w:cnfStyle w:val="000000100000" w:firstRow="0" w:lastRow="0" w:firstColumn="0" w:lastColumn="0" w:oddVBand="0" w:evenVBand="0" w:oddHBand="1" w:evenHBand="0" w:firstRowFirstColumn="0" w:firstRowLastColumn="0" w:lastRowFirstColumn="0" w:lastRowLastColumn="0"/>
              <w:rPr>
                <w:color w:val="auto"/>
              </w:rPr>
            </w:pPr>
            <w:r w:rsidRPr="00D92A5F">
              <w:rPr>
                <w:rFonts w:ascii="Arial" w:hAnsi="Arial"/>
                <w:color w:val="000000"/>
              </w:rPr>
              <w:t>35%</w:t>
            </w:r>
          </w:p>
        </w:tc>
      </w:tr>
      <w:tr w:rsidR="00247079" w:rsidRPr="008726B4" w14:paraId="1E2C3134" w14:textId="77777777" w:rsidTr="00D704AA">
        <w:trPr>
          <w:trHeight w:val="312"/>
        </w:trPr>
        <w:tc>
          <w:tcPr>
            <w:cnfStyle w:val="001000000000" w:firstRow="0" w:lastRow="0" w:firstColumn="1" w:lastColumn="0" w:oddVBand="0" w:evenVBand="0" w:oddHBand="0" w:evenHBand="0" w:firstRowFirstColumn="0" w:firstRowLastColumn="0" w:lastRowFirstColumn="0" w:lastRowLastColumn="0"/>
            <w:tcW w:w="1877" w:type="dxa"/>
          </w:tcPr>
          <w:p w14:paraId="7BB62EA5" w14:textId="77777777" w:rsidR="00247079" w:rsidRPr="00D92A5F" w:rsidRDefault="00247079" w:rsidP="00D704AA">
            <w:pPr>
              <w:pStyle w:val="TableTextSmall"/>
              <w:keepNext/>
            </w:pPr>
            <w:r w:rsidRPr="00D92A5F">
              <w:t>4 Carers</w:t>
            </w:r>
          </w:p>
        </w:tc>
        <w:tc>
          <w:tcPr>
            <w:tcW w:w="1653" w:type="dxa"/>
          </w:tcPr>
          <w:p w14:paraId="17285F83" w14:textId="77777777" w:rsidR="00247079" w:rsidRPr="00D92A5F" w:rsidRDefault="00247079" w:rsidP="00D704AA">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D92A5F">
              <w:rPr>
                <w:rFonts w:ascii="Arial" w:hAnsi="Arial"/>
                <w:color w:val="000000"/>
              </w:rPr>
              <w:t>56%</w:t>
            </w:r>
          </w:p>
        </w:tc>
        <w:tc>
          <w:tcPr>
            <w:tcW w:w="1654" w:type="dxa"/>
          </w:tcPr>
          <w:p w14:paraId="02E4E9E7" w14:textId="77777777" w:rsidR="00247079" w:rsidRPr="00D92A5F" w:rsidRDefault="00247079" w:rsidP="00D704AA">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D92A5F">
              <w:rPr>
                <w:rFonts w:ascii="Arial" w:hAnsi="Arial"/>
                <w:color w:val="000000"/>
              </w:rPr>
              <w:t>54%</w:t>
            </w:r>
          </w:p>
        </w:tc>
        <w:tc>
          <w:tcPr>
            <w:tcW w:w="1654" w:type="dxa"/>
          </w:tcPr>
          <w:p w14:paraId="22EDF712" w14:textId="77777777" w:rsidR="00247079" w:rsidRPr="00D92A5F" w:rsidRDefault="00247079" w:rsidP="00D704AA">
            <w:pPr>
              <w:pStyle w:val="TableTextSmall"/>
              <w:keepNext/>
              <w:jc w:val="center"/>
              <w:cnfStyle w:val="000000000000" w:firstRow="0" w:lastRow="0" w:firstColumn="0" w:lastColumn="0" w:oddVBand="0" w:evenVBand="0" w:oddHBand="0" w:evenHBand="0" w:firstRowFirstColumn="0" w:firstRowLastColumn="0" w:lastRowFirstColumn="0" w:lastRowLastColumn="0"/>
              <w:rPr>
                <w:color w:val="auto"/>
              </w:rPr>
            </w:pPr>
            <w:r w:rsidRPr="00D92A5F">
              <w:rPr>
                <w:rFonts w:ascii="Arial" w:hAnsi="Arial"/>
                <w:color w:val="000000"/>
              </w:rPr>
              <w:t>55%</w:t>
            </w:r>
          </w:p>
        </w:tc>
      </w:tr>
      <w:tr w:rsidR="00247079" w:rsidRPr="008726B4" w14:paraId="32582FC8" w14:textId="77777777" w:rsidTr="00D704A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77" w:type="dxa"/>
          </w:tcPr>
          <w:p w14:paraId="20686332" w14:textId="77777777" w:rsidR="00247079" w:rsidRPr="00D92A5F" w:rsidRDefault="00247079" w:rsidP="00D704AA">
            <w:pPr>
              <w:pStyle w:val="TableTextSmall"/>
              <w:keepNext/>
            </w:pPr>
            <w:r w:rsidRPr="00D92A5F">
              <w:t>5 Disability Support</w:t>
            </w:r>
          </w:p>
        </w:tc>
        <w:tc>
          <w:tcPr>
            <w:tcW w:w="1653" w:type="dxa"/>
          </w:tcPr>
          <w:p w14:paraId="5FB23DB1" w14:textId="77777777" w:rsidR="00247079" w:rsidRPr="00D92A5F" w:rsidRDefault="00247079" w:rsidP="00D704AA">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D92A5F">
              <w:rPr>
                <w:rFonts w:ascii="Arial" w:hAnsi="Arial"/>
                <w:color w:val="000000"/>
              </w:rPr>
              <w:t>25%</w:t>
            </w:r>
          </w:p>
        </w:tc>
        <w:tc>
          <w:tcPr>
            <w:tcW w:w="1654" w:type="dxa"/>
          </w:tcPr>
          <w:p w14:paraId="53F5A8E9" w14:textId="77777777" w:rsidR="00247079" w:rsidRPr="00D92A5F" w:rsidRDefault="00247079" w:rsidP="00D704AA">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D92A5F">
              <w:rPr>
                <w:rFonts w:ascii="Arial" w:hAnsi="Arial"/>
                <w:color w:val="000000"/>
              </w:rPr>
              <w:t>23%</w:t>
            </w:r>
          </w:p>
        </w:tc>
        <w:tc>
          <w:tcPr>
            <w:tcW w:w="1654" w:type="dxa"/>
          </w:tcPr>
          <w:p w14:paraId="125DC4EB" w14:textId="77777777" w:rsidR="00247079" w:rsidRPr="00D92A5F" w:rsidRDefault="00247079" w:rsidP="00D704AA">
            <w:pPr>
              <w:pStyle w:val="TableTextSmall"/>
              <w:keepNext/>
              <w:jc w:val="center"/>
              <w:cnfStyle w:val="000000100000" w:firstRow="0" w:lastRow="0" w:firstColumn="0" w:lastColumn="0" w:oddVBand="0" w:evenVBand="0" w:oddHBand="1" w:evenHBand="0" w:firstRowFirstColumn="0" w:firstRowLastColumn="0" w:lastRowFirstColumn="0" w:lastRowLastColumn="0"/>
              <w:rPr>
                <w:color w:val="auto"/>
              </w:rPr>
            </w:pPr>
            <w:r w:rsidRPr="00D92A5F">
              <w:rPr>
                <w:rFonts w:ascii="Arial" w:hAnsi="Arial"/>
                <w:color w:val="000000"/>
              </w:rPr>
              <w:t>24%</w:t>
            </w:r>
          </w:p>
        </w:tc>
      </w:tr>
      <w:tr w:rsidR="00247079" w:rsidRPr="008726B4" w14:paraId="18A35AA6" w14:textId="77777777" w:rsidTr="00D704AA">
        <w:trPr>
          <w:trHeight w:val="312"/>
        </w:trPr>
        <w:tc>
          <w:tcPr>
            <w:cnfStyle w:val="001000000000" w:firstRow="0" w:lastRow="0" w:firstColumn="1" w:lastColumn="0" w:oddVBand="0" w:evenVBand="0" w:oddHBand="0" w:evenHBand="0" w:firstRowFirstColumn="0" w:firstRowLastColumn="0" w:lastRowFirstColumn="0" w:lastRowLastColumn="0"/>
            <w:tcW w:w="1877" w:type="dxa"/>
          </w:tcPr>
          <w:p w14:paraId="7C2DDF46" w14:textId="77777777" w:rsidR="00247079" w:rsidRPr="00D92A5F" w:rsidRDefault="00247079" w:rsidP="00D704AA">
            <w:pPr>
              <w:pStyle w:val="TableTextSmall"/>
            </w:pPr>
            <w:r w:rsidRPr="00D92A5F">
              <w:t>6 Pension Age</w:t>
            </w:r>
          </w:p>
        </w:tc>
        <w:tc>
          <w:tcPr>
            <w:tcW w:w="1653" w:type="dxa"/>
          </w:tcPr>
          <w:p w14:paraId="06DB758C" w14:textId="77777777" w:rsidR="00247079" w:rsidRPr="00D92A5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D92A5F">
              <w:rPr>
                <w:rFonts w:ascii="Arial" w:hAnsi="Arial"/>
                <w:color w:val="000000"/>
              </w:rPr>
              <w:t>45%</w:t>
            </w:r>
          </w:p>
        </w:tc>
        <w:tc>
          <w:tcPr>
            <w:tcW w:w="1654" w:type="dxa"/>
          </w:tcPr>
          <w:p w14:paraId="2C392BBD" w14:textId="77777777" w:rsidR="00247079" w:rsidRPr="00D92A5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D92A5F">
              <w:rPr>
                <w:rFonts w:ascii="Arial" w:hAnsi="Arial"/>
                <w:color w:val="000000"/>
              </w:rPr>
              <w:t>67%</w:t>
            </w:r>
          </w:p>
        </w:tc>
        <w:tc>
          <w:tcPr>
            <w:tcW w:w="1654" w:type="dxa"/>
          </w:tcPr>
          <w:p w14:paraId="284FCE20" w14:textId="77777777" w:rsidR="00247079" w:rsidRPr="00D92A5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rPr>
                <w:color w:val="auto"/>
              </w:rPr>
            </w:pPr>
            <w:r w:rsidRPr="00D92A5F">
              <w:rPr>
                <w:rFonts w:ascii="Arial" w:hAnsi="Arial"/>
                <w:color w:val="000000"/>
              </w:rPr>
              <w:t>55%</w:t>
            </w:r>
          </w:p>
        </w:tc>
      </w:tr>
    </w:tbl>
    <w:p w14:paraId="4DD94E8C" w14:textId="77777777" w:rsidR="00247079" w:rsidRDefault="00247079" w:rsidP="00247079">
      <w:pPr>
        <w:pStyle w:val="PwCNormal"/>
        <w:numPr>
          <w:ilvl w:val="0"/>
          <w:numId w:val="0"/>
        </w:numPr>
      </w:pPr>
      <w:r>
        <w:t>We note that:</w:t>
      </w:r>
    </w:p>
    <w:p w14:paraId="24A72C33" w14:textId="3DDC8789" w:rsidR="00247079" w:rsidRDefault="00247079" w:rsidP="00247079">
      <w:pPr>
        <w:pStyle w:val="ListBullet"/>
      </w:pPr>
      <w:r>
        <w:t xml:space="preserve">Singles tend to make up the majority of both the </w:t>
      </w:r>
      <w:r w:rsidR="00483DA6">
        <w:t>S</w:t>
      </w:r>
      <w:r>
        <w:t xml:space="preserve">tudying and </w:t>
      </w:r>
      <w:r w:rsidR="00483DA6">
        <w:t>W</w:t>
      </w:r>
      <w:r>
        <w:t xml:space="preserve">orking </w:t>
      </w:r>
      <w:r w:rsidR="00483DA6">
        <w:t>A</w:t>
      </w:r>
      <w:r>
        <w:t xml:space="preserve">ge classes. Only 7% of people in the </w:t>
      </w:r>
      <w:r w:rsidR="00483DA6">
        <w:t>S</w:t>
      </w:r>
      <w:r>
        <w:t xml:space="preserve">tudying class and 21% of people in the </w:t>
      </w:r>
      <w:r w:rsidR="00483DA6">
        <w:t>W</w:t>
      </w:r>
      <w:r>
        <w:t xml:space="preserve">orking </w:t>
      </w:r>
      <w:r w:rsidR="00483DA6">
        <w:t>A</w:t>
      </w:r>
      <w:r>
        <w:t>ge class are partnered.</w:t>
      </w:r>
    </w:p>
    <w:p w14:paraId="3C57641D" w14:textId="0328801F" w:rsidR="00247079" w:rsidRDefault="00247079" w:rsidP="00247079">
      <w:pPr>
        <w:pStyle w:val="ListBullet"/>
      </w:pPr>
      <w:r>
        <w:t xml:space="preserve">The majority of females in the </w:t>
      </w:r>
      <w:r w:rsidR="00483DA6">
        <w:t>P</w:t>
      </w:r>
      <w:r>
        <w:t xml:space="preserve">arenting class are single (67%). In contrast, only 47% of males in the </w:t>
      </w:r>
      <w:r w:rsidR="001D3F73">
        <w:t>P</w:t>
      </w:r>
      <w:r>
        <w:t>arenting class are single.</w:t>
      </w:r>
    </w:p>
    <w:p w14:paraId="7FA8803A" w14:textId="43C7D84A" w:rsidR="00247079" w:rsidRDefault="00247079" w:rsidP="00247079">
      <w:pPr>
        <w:pStyle w:val="ListBullet"/>
      </w:pPr>
      <w:r>
        <w:t xml:space="preserve">Slightly more than half of people in the </w:t>
      </w:r>
      <w:r w:rsidR="001D3F73">
        <w:t>C</w:t>
      </w:r>
      <w:r>
        <w:t>arer</w:t>
      </w:r>
      <w:r w:rsidR="001D3F73">
        <w:t>s</w:t>
      </w:r>
      <w:r>
        <w:t xml:space="preserve"> class are partnered, and this proportion is reasonably similar for males and females.</w:t>
      </w:r>
    </w:p>
    <w:p w14:paraId="7E4C2D26" w14:textId="77777777" w:rsidR="00247079" w:rsidRDefault="00247079" w:rsidP="00247079">
      <w:pPr>
        <w:pStyle w:val="ListBullet"/>
      </w:pPr>
      <w:r>
        <w:t>More than 75% of all DSP recipients are single, and this proportion is reasonable similar for males and females.</w:t>
      </w:r>
    </w:p>
    <w:p w14:paraId="4B6D0337" w14:textId="691DDDED" w:rsidR="00247079" w:rsidRDefault="00247079" w:rsidP="00247079">
      <w:pPr>
        <w:pStyle w:val="ListBullet"/>
      </w:pPr>
      <w:r>
        <w:t xml:space="preserve">67% of male age pensioners are partnered. In contrast, less than half of the women in the </w:t>
      </w:r>
      <w:r w:rsidR="001D3F73">
        <w:t>A</w:t>
      </w:r>
      <w:r>
        <w:t xml:space="preserve">ge </w:t>
      </w:r>
      <w:r w:rsidR="001D3F73">
        <w:t>P</w:t>
      </w:r>
      <w:r>
        <w:t>ension class have a partner. This is likely due to differences in longevity between men and women.</w:t>
      </w:r>
    </w:p>
    <w:p w14:paraId="30212AED" w14:textId="77777777" w:rsidR="00247079" w:rsidRPr="003A5FD6" w:rsidRDefault="00247079" w:rsidP="00247079">
      <w:pPr>
        <w:pStyle w:val="PwCNormal"/>
        <w:numPr>
          <w:ilvl w:val="0"/>
          <w:numId w:val="0"/>
        </w:numPr>
      </w:pPr>
      <w:r>
        <w:t>We have performed analysis to explore patterns of welfare utilisation by couples, where at least one partner is in receipt of an income support payment. The first table below looks at men in a couple and shows the welfare class of their partner, while the second table shows similar information for women. Both tables are restricted to look at income support recipients only for the first person in the couple being considered.</w:t>
      </w:r>
    </w:p>
    <w:p w14:paraId="037886B1" w14:textId="0A4A8C96" w:rsidR="00247079" w:rsidRDefault="00247079" w:rsidP="00247079">
      <w:pPr>
        <w:pStyle w:val="Caption"/>
      </w:pPr>
      <w:r w:rsidRPr="003A5FD6">
        <w:t xml:space="preserve">Table </w:t>
      </w:r>
      <w:fldSimple w:instr=" SEQ Table \* ARABIC ">
        <w:r w:rsidR="00C93C1A">
          <w:rPr>
            <w:noProof/>
          </w:rPr>
          <w:t>10</w:t>
        </w:r>
      </w:fldSimple>
      <w:r w:rsidRPr="003A5FD6">
        <w:t xml:space="preserve">: </w:t>
      </w:r>
      <w:r>
        <w:t>Partner class proportions for men receiving income support</w:t>
      </w:r>
      <w:r w:rsidR="006B6E54">
        <w:t>, with rows showing the individual’s class and columns showing their partner’s class</w:t>
      </w:r>
    </w:p>
    <w:tbl>
      <w:tblPr>
        <w:tblStyle w:val="ListTable3-Accent61"/>
        <w:tblW w:w="9923" w:type="dxa"/>
        <w:tblInd w:w="108" w:type="dxa"/>
        <w:tblLayout w:type="fixed"/>
        <w:tblLook w:val="04A0" w:firstRow="1" w:lastRow="0" w:firstColumn="1" w:lastColumn="0" w:noHBand="0" w:noVBand="1"/>
        <w:tblCaption w:val="Partner class proportions for men receiving income support, with rows showing the individual’s class and columns showing their partner’s class"/>
        <w:tblDescription w:val="This table displays information for men currently receiving income support payments. The rows show the individual’s welfare class: studying, working age, parenting, carer, disability support and age pension. The columns show their partner’s class studying, working age, parenting, carer, disability support, age pensioners, non income support classes and non-welfare recipients.&#10;&#10;Each row shows the count of individuals in that class, as well as the proportion of their partners in each of the other income support, non-income support, and non-welfare class.&#10;&#10;Further features of the data in this table are discussed in the accompanying text within the report.&#10;"/>
      </w:tblPr>
      <w:tblGrid>
        <w:gridCol w:w="1877"/>
        <w:gridCol w:w="894"/>
        <w:gridCol w:w="894"/>
        <w:gridCol w:w="894"/>
        <w:gridCol w:w="894"/>
        <w:gridCol w:w="894"/>
        <w:gridCol w:w="894"/>
        <w:gridCol w:w="894"/>
        <w:gridCol w:w="894"/>
        <w:gridCol w:w="894"/>
      </w:tblGrid>
      <w:tr w:rsidR="006B6E54" w:rsidRPr="000F610A" w14:paraId="2C332E8F" w14:textId="77777777" w:rsidTr="00E42A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7" w:type="dxa"/>
            <w:tcBorders>
              <w:bottom w:val="single" w:sz="4" w:space="0" w:color="E0301E" w:themeColor="accent6"/>
            </w:tcBorders>
          </w:tcPr>
          <w:p w14:paraId="41D3D771" w14:textId="77777777" w:rsidR="00247079" w:rsidRPr="0059076F" w:rsidRDefault="00247079" w:rsidP="00D704AA">
            <w:pPr>
              <w:pStyle w:val="TableTextSmall"/>
              <w:jc w:val="center"/>
              <w:rPr>
                <w:rFonts w:asciiTheme="majorHAnsi" w:hAnsiTheme="majorHAnsi"/>
                <w:color w:val="FFFFFF" w:themeColor="background1"/>
              </w:rPr>
            </w:pPr>
            <w:r w:rsidRPr="0059076F">
              <w:rPr>
                <w:rFonts w:asciiTheme="majorHAnsi" w:hAnsiTheme="majorHAnsi"/>
                <w:color w:val="FFFFFF" w:themeColor="background1"/>
              </w:rPr>
              <w:t>Partnered men (by their welfare class)</w:t>
            </w:r>
          </w:p>
        </w:tc>
        <w:tc>
          <w:tcPr>
            <w:tcW w:w="894" w:type="dxa"/>
            <w:tcBorders>
              <w:bottom w:val="single" w:sz="4" w:space="0" w:color="E0301E" w:themeColor="accent6"/>
            </w:tcBorders>
          </w:tcPr>
          <w:p w14:paraId="76FCEB28" w14:textId="77777777" w:rsidR="00247079" w:rsidRPr="0059076F" w:rsidRDefault="00247079" w:rsidP="00D704AA">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59076F">
              <w:rPr>
                <w:rFonts w:asciiTheme="majorHAnsi" w:hAnsiTheme="majorHAnsi"/>
                <w:color w:val="FFFFFF" w:themeColor="background1"/>
              </w:rPr>
              <w:t>Count</w:t>
            </w:r>
          </w:p>
        </w:tc>
        <w:tc>
          <w:tcPr>
            <w:tcW w:w="894" w:type="dxa"/>
            <w:tcBorders>
              <w:bottom w:val="single" w:sz="4" w:space="0" w:color="E0301E" w:themeColor="accent6"/>
            </w:tcBorders>
          </w:tcPr>
          <w:p w14:paraId="5FD646F4" w14:textId="77777777" w:rsidR="00247079" w:rsidRPr="000F610A" w:rsidRDefault="00247079" w:rsidP="00D704AA">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1 Studying</w:t>
            </w:r>
          </w:p>
        </w:tc>
        <w:tc>
          <w:tcPr>
            <w:tcW w:w="894" w:type="dxa"/>
            <w:tcBorders>
              <w:bottom w:val="single" w:sz="4" w:space="0" w:color="E0301E" w:themeColor="accent6"/>
            </w:tcBorders>
          </w:tcPr>
          <w:p w14:paraId="3A6CEE5C" w14:textId="77777777" w:rsidR="00247079" w:rsidRPr="000F610A" w:rsidRDefault="00247079" w:rsidP="00D704AA">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2 Working Age</w:t>
            </w:r>
          </w:p>
        </w:tc>
        <w:tc>
          <w:tcPr>
            <w:tcW w:w="894" w:type="dxa"/>
            <w:tcBorders>
              <w:bottom w:val="single" w:sz="4" w:space="0" w:color="E0301E" w:themeColor="accent6"/>
            </w:tcBorders>
          </w:tcPr>
          <w:p w14:paraId="00011299" w14:textId="77777777" w:rsidR="00247079" w:rsidRPr="000F610A" w:rsidRDefault="00247079" w:rsidP="00D704AA">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3 Parents</w:t>
            </w:r>
          </w:p>
        </w:tc>
        <w:tc>
          <w:tcPr>
            <w:tcW w:w="894" w:type="dxa"/>
            <w:tcBorders>
              <w:bottom w:val="single" w:sz="4" w:space="0" w:color="E0301E" w:themeColor="accent6"/>
            </w:tcBorders>
          </w:tcPr>
          <w:p w14:paraId="44331C86" w14:textId="77777777" w:rsidR="00247079" w:rsidRPr="000F610A" w:rsidRDefault="00247079" w:rsidP="00D704AA">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4 Carers</w:t>
            </w:r>
          </w:p>
        </w:tc>
        <w:tc>
          <w:tcPr>
            <w:tcW w:w="894" w:type="dxa"/>
            <w:tcBorders>
              <w:bottom w:val="single" w:sz="4" w:space="0" w:color="E0301E" w:themeColor="accent6"/>
            </w:tcBorders>
          </w:tcPr>
          <w:p w14:paraId="77DA0935" w14:textId="77777777" w:rsidR="00247079" w:rsidRPr="000F610A" w:rsidRDefault="00247079" w:rsidP="00D704AA">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5 Disability Support</w:t>
            </w:r>
          </w:p>
        </w:tc>
        <w:tc>
          <w:tcPr>
            <w:tcW w:w="894" w:type="dxa"/>
            <w:tcBorders>
              <w:bottom w:val="single" w:sz="4" w:space="0" w:color="E0301E" w:themeColor="accent6"/>
            </w:tcBorders>
          </w:tcPr>
          <w:p w14:paraId="02A03DBA" w14:textId="77777777" w:rsidR="00247079" w:rsidRPr="000F610A" w:rsidRDefault="00247079" w:rsidP="00D704AA">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6 Pension Age</w:t>
            </w:r>
          </w:p>
        </w:tc>
        <w:tc>
          <w:tcPr>
            <w:tcW w:w="894" w:type="dxa"/>
            <w:tcBorders>
              <w:bottom w:val="single" w:sz="4" w:space="0" w:color="E0301E" w:themeColor="accent6"/>
            </w:tcBorders>
          </w:tcPr>
          <w:p w14:paraId="586CCBA1" w14:textId="39D7B65F" w:rsidR="00247079" w:rsidRPr="000F610A" w:rsidRDefault="005B3E7D" w:rsidP="00D704AA">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Pr>
                <w:rFonts w:asciiTheme="majorHAnsi" w:hAnsiTheme="majorHAnsi"/>
                <w:color w:val="FFFFFF" w:themeColor="background1"/>
                <w:sz w:val="14"/>
              </w:rPr>
              <w:t>Non IS</w:t>
            </w:r>
            <w:r w:rsidR="00247079" w:rsidRPr="000F610A">
              <w:rPr>
                <w:rFonts w:asciiTheme="majorHAnsi" w:hAnsiTheme="majorHAnsi"/>
                <w:color w:val="FFFFFF" w:themeColor="background1"/>
                <w:sz w:val="14"/>
              </w:rPr>
              <w:t xml:space="preserve"> classes</w:t>
            </w:r>
          </w:p>
        </w:tc>
        <w:tc>
          <w:tcPr>
            <w:tcW w:w="894" w:type="dxa"/>
            <w:tcBorders>
              <w:bottom w:val="single" w:sz="4" w:space="0" w:color="E0301E" w:themeColor="accent6"/>
            </w:tcBorders>
          </w:tcPr>
          <w:p w14:paraId="60CCCF22" w14:textId="77777777" w:rsidR="00247079" w:rsidRPr="000F610A" w:rsidRDefault="00247079" w:rsidP="00D704AA">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Non-welfare recipients</w:t>
            </w:r>
          </w:p>
        </w:tc>
      </w:tr>
      <w:tr w:rsidR="00247079" w:rsidRPr="000F610A" w14:paraId="7501B786" w14:textId="77777777" w:rsidTr="00D704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77" w:type="dxa"/>
            <w:tcBorders>
              <w:bottom w:val="dashed" w:sz="4" w:space="0" w:color="E0301E" w:themeColor="accent6"/>
            </w:tcBorders>
          </w:tcPr>
          <w:p w14:paraId="428DEA4F" w14:textId="77777777" w:rsidR="00247079" w:rsidRPr="0059076F" w:rsidRDefault="00247079" w:rsidP="00D704AA">
            <w:pPr>
              <w:pStyle w:val="TableTextSmall"/>
              <w:rPr>
                <w:bCs w:val="0"/>
              </w:rPr>
            </w:pPr>
            <w:r w:rsidRPr="0059076F">
              <w:t>1 Studying</w:t>
            </w:r>
          </w:p>
        </w:tc>
        <w:tc>
          <w:tcPr>
            <w:tcW w:w="894" w:type="dxa"/>
            <w:tcBorders>
              <w:bottom w:val="dashed" w:sz="4" w:space="0" w:color="E0301E" w:themeColor="accent6"/>
            </w:tcBorders>
            <w:shd w:val="clear" w:color="auto" w:fill="F9D5D1" w:themeFill="accent6" w:themeFillTint="33"/>
          </w:tcPr>
          <w:p w14:paraId="5962A1AE"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12,000</w:t>
            </w:r>
          </w:p>
        </w:tc>
        <w:tc>
          <w:tcPr>
            <w:tcW w:w="894" w:type="dxa"/>
            <w:tcBorders>
              <w:bottom w:val="dashed" w:sz="4" w:space="0" w:color="E0301E" w:themeColor="accent6"/>
            </w:tcBorders>
            <w:shd w:val="clear" w:color="auto" w:fill="D9D9D9" w:themeFill="background1" w:themeFillShade="D9"/>
          </w:tcPr>
          <w:p w14:paraId="37E166E7"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24%</w:t>
            </w:r>
          </w:p>
        </w:tc>
        <w:tc>
          <w:tcPr>
            <w:tcW w:w="894" w:type="dxa"/>
            <w:tcBorders>
              <w:bottom w:val="dashed" w:sz="4" w:space="0" w:color="E0301E" w:themeColor="accent6"/>
            </w:tcBorders>
          </w:tcPr>
          <w:p w14:paraId="5D358BD3"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12%</w:t>
            </w:r>
          </w:p>
        </w:tc>
        <w:tc>
          <w:tcPr>
            <w:tcW w:w="894" w:type="dxa"/>
            <w:tcBorders>
              <w:bottom w:val="dashed" w:sz="4" w:space="0" w:color="E0301E" w:themeColor="accent6"/>
            </w:tcBorders>
          </w:tcPr>
          <w:p w14:paraId="6A420AAC"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27%</w:t>
            </w:r>
          </w:p>
        </w:tc>
        <w:tc>
          <w:tcPr>
            <w:tcW w:w="894" w:type="dxa"/>
            <w:tcBorders>
              <w:bottom w:val="dashed" w:sz="4" w:space="0" w:color="E0301E" w:themeColor="accent6"/>
            </w:tcBorders>
          </w:tcPr>
          <w:p w14:paraId="02A04D58"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2%</w:t>
            </w:r>
          </w:p>
        </w:tc>
        <w:tc>
          <w:tcPr>
            <w:tcW w:w="894" w:type="dxa"/>
            <w:tcBorders>
              <w:bottom w:val="dashed" w:sz="4" w:space="0" w:color="E0301E" w:themeColor="accent6"/>
            </w:tcBorders>
          </w:tcPr>
          <w:p w14:paraId="5AC3C8D0"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2%</w:t>
            </w:r>
          </w:p>
        </w:tc>
        <w:tc>
          <w:tcPr>
            <w:tcW w:w="894" w:type="dxa"/>
            <w:tcBorders>
              <w:bottom w:val="dashed" w:sz="4" w:space="0" w:color="E0301E" w:themeColor="accent6"/>
            </w:tcBorders>
          </w:tcPr>
          <w:p w14:paraId="23FBB4F9"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0%</w:t>
            </w:r>
          </w:p>
        </w:tc>
        <w:tc>
          <w:tcPr>
            <w:tcW w:w="894" w:type="dxa"/>
            <w:tcBorders>
              <w:bottom w:val="dashed" w:sz="4" w:space="0" w:color="E0301E" w:themeColor="accent6"/>
            </w:tcBorders>
          </w:tcPr>
          <w:p w14:paraId="0A5A8409" w14:textId="77777777" w:rsidR="00247079" w:rsidRPr="00AC507E"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AC507E">
              <w:rPr>
                <w:color w:val="808080" w:themeColor="background1" w:themeShade="80"/>
              </w:rPr>
              <w:t>9%</w:t>
            </w:r>
          </w:p>
        </w:tc>
        <w:tc>
          <w:tcPr>
            <w:tcW w:w="894" w:type="dxa"/>
            <w:tcBorders>
              <w:bottom w:val="dashed" w:sz="4" w:space="0" w:color="E0301E" w:themeColor="accent6"/>
            </w:tcBorders>
          </w:tcPr>
          <w:p w14:paraId="4D87FD00" w14:textId="77777777" w:rsidR="00247079" w:rsidRPr="00AC507E"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AC507E">
              <w:rPr>
                <w:color w:val="808080" w:themeColor="background1" w:themeShade="80"/>
              </w:rPr>
              <w:t>25%</w:t>
            </w:r>
          </w:p>
        </w:tc>
      </w:tr>
      <w:tr w:rsidR="00247079" w:rsidRPr="000F610A" w14:paraId="2D1E936E" w14:textId="77777777" w:rsidTr="00D704AA">
        <w:trPr>
          <w:trHeight w:val="56"/>
        </w:trPr>
        <w:tc>
          <w:tcPr>
            <w:cnfStyle w:val="001000000000" w:firstRow="0" w:lastRow="0" w:firstColumn="1" w:lastColumn="0" w:oddVBand="0" w:evenVBand="0" w:oddHBand="0" w:evenHBand="0" w:firstRowFirstColumn="0" w:firstRowLastColumn="0" w:lastRowFirstColumn="0" w:lastRowLastColumn="0"/>
            <w:tcW w:w="1877" w:type="dxa"/>
            <w:tcBorders>
              <w:top w:val="dashed" w:sz="4" w:space="0" w:color="E0301E" w:themeColor="accent6"/>
              <w:bottom w:val="dashed" w:sz="4" w:space="0" w:color="E0301E" w:themeColor="accent6"/>
            </w:tcBorders>
          </w:tcPr>
          <w:p w14:paraId="5DEA774E" w14:textId="77777777" w:rsidR="00247079" w:rsidRPr="0059076F" w:rsidRDefault="00247079" w:rsidP="00D704AA">
            <w:pPr>
              <w:pStyle w:val="TableTextSmall"/>
              <w:rPr>
                <w:bCs w:val="0"/>
              </w:rPr>
            </w:pPr>
            <w:r w:rsidRPr="0059076F">
              <w:t>2 Working Age</w:t>
            </w:r>
          </w:p>
        </w:tc>
        <w:tc>
          <w:tcPr>
            <w:tcW w:w="894" w:type="dxa"/>
            <w:tcBorders>
              <w:top w:val="dashed" w:sz="4" w:space="0" w:color="E0301E" w:themeColor="accent6"/>
              <w:bottom w:val="dashed" w:sz="4" w:space="0" w:color="E0301E" w:themeColor="accent6"/>
            </w:tcBorders>
            <w:shd w:val="clear" w:color="auto" w:fill="F9D5D1" w:themeFill="accent6" w:themeFillTint="33"/>
          </w:tcPr>
          <w:p w14:paraId="06EFCD45"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146,000</w:t>
            </w:r>
          </w:p>
        </w:tc>
        <w:tc>
          <w:tcPr>
            <w:tcW w:w="894" w:type="dxa"/>
            <w:tcBorders>
              <w:top w:val="dashed" w:sz="4" w:space="0" w:color="E0301E" w:themeColor="accent6"/>
              <w:bottom w:val="dashed" w:sz="4" w:space="0" w:color="E0301E" w:themeColor="accent6"/>
            </w:tcBorders>
          </w:tcPr>
          <w:p w14:paraId="38A2930E"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2%</w:t>
            </w:r>
          </w:p>
        </w:tc>
        <w:tc>
          <w:tcPr>
            <w:tcW w:w="894" w:type="dxa"/>
            <w:tcBorders>
              <w:top w:val="dashed" w:sz="4" w:space="0" w:color="E0301E" w:themeColor="accent6"/>
              <w:bottom w:val="dashed" w:sz="4" w:space="0" w:color="E0301E" w:themeColor="accent6"/>
            </w:tcBorders>
            <w:shd w:val="clear" w:color="auto" w:fill="D9D9D9" w:themeFill="background1" w:themeFillShade="D9"/>
          </w:tcPr>
          <w:p w14:paraId="4FF04266"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34%</w:t>
            </w:r>
          </w:p>
        </w:tc>
        <w:tc>
          <w:tcPr>
            <w:tcW w:w="894" w:type="dxa"/>
            <w:tcBorders>
              <w:top w:val="dashed" w:sz="4" w:space="0" w:color="E0301E" w:themeColor="accent6"/>
              <w:bottom w:val="dashed" w:sz="4" w:space="0" w:color="E0301E" w:themeColor="accent6"/>
            </w:tcBorders>
          </w:tcPr>
          <w:p w14:paraId="4F301361"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27%</w:t>
            </w:r>
          </w:p>
        </w:tc>
        <w:tc>
          <w:tcPr>
            <w:tcW w:w="894" w:type="dxa"/>
            <w:tcBorders>
              <w:top w:val="dashed" w:sz="4" w:space="0" w:color="E0301E" w:themeColor="accent6"/>
              <w:bottom w:val="dashed" w:sz="4" w:space="0" w:color="E0301E" w:themeColor="accent6"/>
            </w:tcBorders>
          </w:tcPr>
          <w:p w14:paraId="02643F4B"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7%</w:t>
            </w:r>
          </w:p>
        </w:tc>
        <w:tc>
          <w:tcPr>
            <w:tcW w:w="894" w:type="dxa"/>
            <w:tcBorders>
              <w:top w:val="dashed" w:sz="4" w:space="0" w:color="E0301E" w:themeColor="accent6"/>
              <w:bottom w:val="dashed" w:sz="4" w:space="0" w:color="E0301E" w:themeColor="accent6"/>
            </w:tcBorders>
          </w:tcPr>
          <w:p w14:paraId="5ADCC58F"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5%</w:t>
            </w:r>
          </w:p>
        </w:tc>
        <w:tc>
          <w:tcPr>
            <w:tcW w:w="894" w:type="dxa"/>
            <w:tcBorders>
              <w:top w:val="dashed" w:sz="4" w:space="0" w:color="E0301E" w:themeColor="accent6"/>
              <w:bottom w:val="dashed" w:sz="4" w:space="0" w:color="E0301E" w:themeColor="accent6"/>
            </w:tcBorders>
          </w:tcPr>
          <w:p w14:paraId="6293EA52"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3%</w:t>
            </w:r>
          </w:p>
        </w:tc>
        <w:tc>
          <w:tcPr>
            <w:tcW w:w="894" w:type="dxa"/>
            <w:tcBorders>
              <w:top w:val="dashed" w:sz="4" w:space="0" w:color="E0301E" w:themeColor="accent6"/>
              <w:bottom w:val="dashed" w:sz="4" w:space="0" w:color="E0301E" w:themeColor="accent6"/>
            </w:tcBorders>
          </w:tcPr>
          <w:p w14:paraId="5F9147CB" w14:textId="77777777" w:rsidR="00247079" w:rsidRPr="00AC507E"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C507E">
              <w:rPr>
                <w:color w:val="808080" w:themeColor="background1" w:themeShade="80"/>
              </w:rPr>
              <w:t>9%</w:t>
            </w:r>
          </w:p>
        </w:tc>
        <w:tc>
          <w:tcPr>
            <w:tcW w:w="894" w:type="dxa"/>
            <w:tcBorders>
              <w:top w:val="dashed" w:sz="4" w:space="0" w:color="E0301E" w:themeColor="accent6"/>
              <w:bottom w:val="dashed" w:sz="4" w:space="0" w:color="E0301E" w:themeColor="accent6"/>
            </w:tcBorders>
          </w:tcPr>
          <w:p w14:paraId="637C2830" w14:textId="77777777" w:rsidR="00247079" w:rsidRPr="00AC507E"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C507E">
              <w:rPr>
                <w:color w:val="808080" w:themeColor="background1" w:themeShade="80"/>
              </w:rPr>
              <w:t>15%</w:t>
            </w:r>
          </w:p>
        </w:tc>
      </w:tr>
      <w:tr w:rsidR="00247079" w:rsidRPr="000F610A" w14:paraId="61D86E17" w14:textId="77777777" w:rsidTr="00D704A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877" w:type="dxa"/>
            <w:tcBorders>
              <w:top w:val="dashed" w:sz="4" w:space="0" w:color="E0301E" w:themeColor="accent6"/>
              <w:bottom w:val="dashed" w:sz="4" w:space="0" w:color="E0301E" w:themeColor="accent6"/>
            </w:tcBorders>
          </w:tcPr>
          <w:p w14:paraId="090A9C36" w14:textId="77777777" w:rsidR="00247079" w:rsidRPr="0059076F" w:rsidRDefault="00247079" w:rsidP="00D704AA">
            <w:pPr>
              <w:pStyle w:val="TableTextSmall"/>
              <w:rPr>
                <w:bCs w:val="0"/>
              </w:rPr>
            </w:pPr>
            <w:r w:rsidRPr="0059076F">
              <w:t>3 Parents</w:t>
            </w:r>
          </w:p>
        </w:tc>
        <w:tc>
          <w:tcPr>
            <w:tcW w:w="894" w:type="dxa"/>
            <w:tcBorders>
              <w:top w:val="dashed" w:sz="4" w:space="0" w:color="E0301E" w:themeColor="accent6"/>
              <w:bottom w:val="dashed" w:sz="4" w:space="0" w:color="E0301E" w:themeColor="accent6"/>
            </w:tcBorders>
            <w:shd w:val="clear" w:color="auto" w:fill="F9D5D1" w:themeFill="accent6" w:themeFillTint="33"/>
          </w:tcPr>
          <w:p w14:paraId="77176E66"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19,000</w:t>
            </w:r>
          </w:p>
        </w:tc>
        <w:tc>
          <w:tcPr>
            <w:tcW w:w="894" w:type="dxa"/>
            <w:tcBorders>
              <w:top w:val="dashed" w:sz="4" w:space="0" w:color="E0301E" w:themeColor="accent6"/>
              <w:bottom w:val="dashed" w:sz="4" w:space="0" w:color="E0301E" w:themeColor="accent6"/>
            </w:tcBorders>
          </w:tcPr>
          <w:p w14:paraId="58F33464"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4%</w:t>
            </w:r>
          </w:p>
        </w:tc>
        <w:tc>
          <w:tcPr>
            <w:tcW w:w="894" w:type="dxa"/>
            <w:tcBorders>
              <w:top w:val="dashed" w:sz="4" w:space="0" w:color="E0301E" w:themeColor="accent6"/>
              <w:bottom w:val="dashed" w:sz="4" w:space="0" w:color="E0301E" w:themeColor="accent6"/>
            </w:tcBorders>
          </w:tcPr>
          <w:p w14:paraId="052DCB8E"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12%</w:t>
            </w:r>
          </w:p>
        </w:tc>
        <w:tc>
          <w:tcPr>
            <w:tcW w:w="894" w:type="dxa"/>
            <w:tcBorders>
              <w:top w:val="dashed" w:sz="4" w:space="0" w:color="E0301E" w:themeColor="accent6"/>
              <w:bottom w:val="dashed" w:sz="4" w:space="0" w:color="E0301E" w:themeColor="accent6"/>
            </w:tcBorders>
            <w:shd w:val="clear" w:color="auto" w:fill="D9D9D9" w:themeFill="background1" w:themeFillShade="D9"/>
          </w:tcPr>
          <w:p w14:paraId="48E6B74A"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9%</w:t>
            </w:r>
          </w:p>
        </w:tc>
        <w:tc>
          <w:tcPr>
            <w:tcW w:w="894" w:type="dxa"/>
            <w:tcBorders>
              <w:top w:val="dashed" w:sz="4" w:space="0" w:color="E0301E" w:themeColor="accent6"/>
              <w:bottom w:val="dashed" w:sz="4" w:space="0" w:color="E0301E" w:themeColor="accent6"/>
            </w:tcBorders>
          </w:tcPr>
          <w:p w14:paraId="56126E45"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6%</w:t>
            </w:r>
          </w:p>
        </w:tc>
        <w:tc>
          <w:tcPr>
            <w:tcW w:w="894" w:type="dxa"/>
            <w:tcBorders>
              <w:top w:val="dashed" w:sz="4" w:space="0" w:color="E0301E" w:themeColor="accent6"/>
              <w:bottom w:val="dashed" w:sz="4" w:space="0" w:color="E0301E" w:themeColor="accent6"/>
            </w:tcBorders>
          </w:tcPr>
          <w:p w14:paraId="1C1D257C"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4%</w:t>
            </w:r>
          </w:p>
        </w:tc>
        <w:tc>
          <w:tcPr>
            <w:tcW w:w="894" w:type="dxa"/>
            <w:tcBorders>
              <w:top w:val="dashed" w:sz="4" w:space="0" w:color="E0301E" w:themeColor="accent6"/>
              <w:bottom w:val="dashed" w:sz="4" w:space="0" w:color="E0301E" w:themeColor="accent6"/>
            </w:tcBorders>
          </w:tcPr>
          <w:p w14:paraId="2533C66A"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0%</w:t>
            </w:r>
          </w:p>
        </w:tc>
        <w:tc>
          <w:tcPr>
            <w:tcW w:w="894" w:type="dxa"/>
            <w:tcBorders>
              <w:top w:val="dashed" w:sz="4" w:space="0" w:color="E0301E" w:themeColor="accent6"/>
              <w:bottom w:val="dashed" w:sz="4" w:space="0" w:color="E0301E" w:themeColor="accent6"/>
            </w:tcBorders>
          </w:tcPr>
          <w:p w14:paraId="4E4F851B" w14:textId="77777777" w:rsidR="00247079" w:rsidRPr="00AC507E"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AC507E">
              <w:rPr>
                <w:color w:val="808080" w:themeColor="background1" w:themeShade="80"/>
              </w:rPr>
              <w:t>33%</w:t>
            </w:r>
          </w:p>
        </w:tc>
        <w:tc>
          <w:tcPr>
            <w:tcW w:w="894" w:type="dxa"/>
            <w:tcBorders>
              <w:top w:val="dashed" w:sz="4" w:space="0" w:color="E0301E" w:themeColor="accent6"/>
              <w:bottom w:val="dashed" w:sz="4" w:space="0" w:color="E0301E" w:themeColor="accent6"/>
            </w:tcBorders>
          </w:tcPr>
          <w:p w14:paraId="5BB24A47" w14:textId="77777777" w:rsidR="00247079" w:rsidRPr="00AC507E"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AC507E">
              <w:rPr>
                <w:color w:val="808080" w:themeColor="background1" w:themeShade="80"/>
              </w:rPr>
              <w:t>32%</w:t>
            </w:r>
          </w:p>
        </w:tc>
      </w:tr>
      <w:tr w:rsidR="00247079" w:rsidRPr="000F610A" w14:paraId="3CA1E213" w14:textId="77777777" w:rsidTr="00D704AA">
        <w:trPr>
          <w:trHeight w:val="56"/>
        </w:trPr>
        <w:tc>
          <w:tcPr>
            <w:cnfStyle w:val="001000000000" w:firstRow="0" w:lastRow="0" w:firstColumn="1" w:lastColumn="0" w:oddVBand="0" w:evenVBand="0" w:oddHBand="0" w:evenHBand="0" w:firstRowFirstColumn="0" w:firstRowLastColumn="0" w:lastRowFirstColumn="0" w:lastRowLastColumn="0"/>
            <w:tcW w:w="1877" w:type="dxa"/>
            <w:tcBorders>
              <w:top w:val="dashed" w:sz="4" w:space="0" w:color="E0301E" w:themeColor="accent6"/>
              <w:bottom w:val="dashed" w:sz="4" w:space="0" w:color="E0301E" w:themeColor="accent6"/>
            </w:tcBorders>
          </w:tcPr>
          <w:p w14:paraId="47046290" w14:textId="77777777" w:rsidR="00247079" w:rsidRPr="0059076F" w:rsidRDefault="00247079" w:rsidP="00D704AA">
            <w:pPr>
              <w:pStyle w:val="TableTextSmall"/>
              <w:rPr>
                <w:bCs w:val="0"/>
              </w:rPr>
            </w:pPr>
            <w:r w:rsidRPr="0059076F">
              <w:t>4 Carers</w:t>
            </w:r>
          </w:p>
        </w:tc>
        <w:tc>
          <w:tcPr>
            <w:tcW w:w="894" w:type="dxa"/>
            <w:tcBorders>
              <w:top w:val="dashed" w:sz="4" w:space="0" w:color="E0301E" w:themeColor="accent6"/>
              <w:bottom w:val="dashed" w:sz="4" w:space="0" w:color="E0301E" w:themeColor="accent6"/>
            </w:tcBorders>
            <w:shd w:val="clear" w:color="auto" w:fill="F9D5D1" w:themeFill="accent6" w:themeFillTint="33"/>
          </w:tcPr>
          <w:p w14:paraId="0E4611F8"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46,000</w:t>
            </w:r>
          </w:p>
        </w:tc>
        <w:tc>
          <w:tcPr>
            <w:tcW w:w="894" w:type="dxa"/>
            <w:tcBorders>
              <w:top w:val="dashed" w:sz="4" w:space="0" w:color="E0301E" w:themeColor="accent6"/>
              <w:bottom w:val="dashed" w:sz="4" w:space="0" w:color="E0301E" w:themeColor="accent6"/>
            </w:tcBorders>
          </w:tcPr>
          <w:p w14:paraId="312C20E6"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0%</w:t>
            </w:r>
          </w:p>
        </w:tc>
        <w:tc>
          <w:tcPr>
            <w:tcW w:w="894" w:type="dxa"/>
            <w:tcBorders>
              <w:top w:val="dashed" w:sz="4" w:space="0" w:color="E0301E" w:themeColor="accent6"/>
              <w:bottom w:val="dashed" w:sz="4" w:space="0" w:color="E0301E" w:themeColor="accent6"/>
            </w:tcBorders>
          </w:tcPr>
          <w:p w14:paraId="04F6EE2D"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9%</w:t>
            </w:r>
          </w:p>
        </w:tc>
        <w:tc>
          <w:tcPr>
            <w:tcW w:w="894" w:type="dxa"/>
            <w:tcBorders>
              <w:top w:val="dashed" w:sz="4" w:space="0" w:color="E0301E" w:themeColor="accent6"/>
              <w:bottom w:val="dashed" w:sz="4" w:space="0" w:color="E0301E" w:themeColor="accent6"/>
            </w:tcBorders>
          </w:tcPr>
          <w:p w14:paraId="101BE6ED"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7%</w:t>
            </w:r>
          </w:p>
        </w:tc>
        <w:tc>
          <w:tcPr>
            <w:tcW w:w="894" w:type="dxa"/>
            <w:tcBorders>
              <w:top w:val="dashed" w:sz="4" w:space="0" w:color="E0301E" w:themeColor="accent6"/>
              <w:bottom w:val="dashed" w:sz="4" w:space="0" w:color="E0301E" w:themeColor="accent6"/>
            </w:tcBorders>
            <w:shd w:val="clear" w:color="auto" w:fill="D9D9D9" w:themeFill="background1" w:themeFillShade="D9"/>
          </w:tcPr>
          <w:p w14:paraId="1976DCE1"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6%</w:t>
            </w:r>
          </w:p>
        </w:tc>
        <w:tc>
          <w:tcPr>
            <w:tcW w:w="894" w:type="dxa"/>
            <w:tcBorders>
              <w:top w:val="dashed" w:sz="4" w:space="0" w:color="E0301E" w:themeColor="accent6"/>
              <w:bottom w:val="dashed" w:sz="4" w:space="0" w:color="E0301E" w:themeColor="accent6"/>
            </w:tcBorders>
          </w:tcPr>
          <w:p w14:paraId="000461DC"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52%</w:t>
            </w:r>
          </w:p>
        </w:tc>
        <w:tc>
          <w:tcPr>
            <w:tcW w:w="894" w:type="dxa"/>
            <w:tcBorders>
              <w:top w:val="dashed" w:sz="4" w:space="0" w:color="E0301E" w:themeColor="accent6"/>
              <w:bottom w:val="dashed" w:sz="4" w:space="0" w:color="E0301E" w:themeColor="accent6"/>
            </w:tcBorders>
          </w:tcPr>
          <w:p w14:paraId="432AD84A"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18%</w:t>
            </w:r>
          </w:p>
        </w:tc>
        <w:tc>
          <w:tcPr>
            <w:tcW w:w="894" w:type="dxa"/>
            <w:tcBorders>
              <w:top w:val="dashed" w:sz="4" w:space="0" w:color="E0301E" w:themeColor="accent6"/>
              <w:bottom w:val="dashed" w:sz="4" w:space="0" w:color="E0301E" w:themeColor="accent6"/>
            </w:tcBorders>
          </w:tcPr>
          <w:p w14:paraId="5DB85E88" w14:textId="77777777" w:rsidR="00247079" w:rsidRPr="00AC507E"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C507E">
              <w:rPr>
                <w:color w:val="808080" w:themeColor="background1" w:themeShade="80"/>
              </w:rPr>
              <w:t>3%</w:t>
            </w:r>
          </w:p>
        </w:tc>
        <w:tc>
          <w:tcPr>
            <w:tcW w:w="894" w:type="dxa"/>
            <w:tcBorders>
              <w:top w:val="dashed" w:sz="4" w:space="0" w:color="E0301E" w:themeColor="accent6"/>
              <w:bottom w:val="dashed" w:sz="4" w:space="0" w:color="E0301E" w:themeColor="accent6"/>
            </w:tcBorders>
          </w:tcPr>
          <w:p w14:paraId="050F7255" w14:textId="77777777" w:rsidR="00247079" w:rsidRPr="00AC507E"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C507E">
              <w:rPr>
                <w:color w:val="808080" w:themeColor="background1" w:themeShade="80"/>
              </w:rPr>
              <w:t>5%</w:t>
            </w:r>
          </w:p>
        </w:tc>
      </w:tr>
      <w:tr w:rsidR="00247079" w:rsidRPr="000F610A" w14:paraId="29AA6D8E" w14:textId="77777777" w:rsidTr="00D704A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877" w:type="dxa"/>
            <w:tcBorders>
              <w:top w:val="dashed" w:sz="4" w:space="0" w:color="E0301E" w:themeColor="accent6"/>
              <w:bottom w:val="dashed" w:sz="4" w:space="0" w:color="E0301E" w:themeColor="accent6"/>
            </w:tcBorders>
          </w:tcPr>
          <w:p w14:paraId="296AB969" w14:textId="77777777" w:rsidR="00247079" w:rsidRPr="0059076F" w:rsidRDefault="00247079" w:rsidP="00D704AA">
            <w:pPr>
              <w:pStyle w:val="TableTextSmall"/>
              <w:rPr>
                <w:bCs w:val="0"/>
              </w:rPr>
            </w:pPr>
            <w:r w:rsidRPr="0059076F">
              <w:t>5 Disability Support</w:t>
            </w:r>
          </w:p>
        </w:tc>
        <w:tc>
          <w:tcPr>
            <w:tcW w:w="894" w:type="dxa"/>
            <w:tcBorders>
              <w:top w:val="dashed" w:sz="4" w:space="0" w:color="E0301E" w:themeColor="accent6"/>
              <w:bottom w:val="dashed" w:sz="4" w:space="0" w:color="E0301E" w:themeColor="accent6"/>
            </w:tcBorders>
            <w:shd w:val="clear" w:color="auto" w:fill="F9D5D1" w:themeFill="accent6" w:themeFillTint="33"/>
          </w:tcPr>
          <w:p w14:paraId="7E57C80F"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92,000</w:t>
            </w:r>
          </w:p>
        </w:tc>
        <w:tc>
          <w:tcPr>
            <w:tcW w:w="894" w:type="dxa"/>
            <w:tcBorders>
              <w:top w:val="dashed" w:sz="4" w:space="0" w:color="E0301E" w:themeColor="accent6"/>
              <w:bottom w:val="dashed" w:sz="4" w:space="0" w:color="E0301E" w:themeColor="accent6"/>
            </w:tcBorders>
          </w:tcPr>
          <w:p w14:paraId="08A2DC44"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0%</w:t>
            </w:r>
          </w:p>
        </w:tc>
        <w:tc>
          <w:tcPr>
            <w:tcW w:w="894" w:type="dxa"/>
            <w:tcBorders>
              <w:top w:val="dashed" w:sz="4" w:space="0" w:color="E0301E" w:themeColor="accent6"/>
              <w:bottom w:val="dashed" w:sz="4" w:space="0" w:color="E0301E" w:themeColor="accent6"/>
            </w:tcBorders>
          </w:tcPr>
          <w:p w14:paraId="6AE8D712"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11%</w:t>
            </w:r>
          </w:p>
        </w:tc>
        <w:tc>
          <w:tcPr>
            <w:tcW w:w="894" w:type="dxa"/>
            <w:tcBorders>
              <w:top w:val="dashed" w:sz="4" w:space="0" w:color="E0301E" w:themeColor="accent6"/>
              <w:bottom w:val="dashed" w:sz="4" w:space="0" w:color="E0301E" w:themeColor="accent6"/>
            </w:tcBorders>
          </w:tcPr>
          <w:p w14:paraId="018FBA7D"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4%</w:t>
            </w:r>
          </w:p>
        </w:tc>
        <w:tc>
          <w:tcPr>
            <w:tcW w:w="894" w:type="dxa"/>
            <w:tcBorders>
              <w:top w:val="dashed" w:sz="4" w:space="0" w:color="E0301E" w:themeColor="accent6"/>
              <w:bottom w:val="dashed" w:sz="4" w:space="0" w:color="E0301E" w:themeColor="accent6"/>
            </w:tcBorders>
          </w:tcPr>
          <w:p w14:paraId="01F20516"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39%</w:t>
            </w:r>
          </w:p>
        </w:tc>
        <w:tc>
          <w:tcPr>
            <w:tcW w:w="894" w:type="dxa"/>
            <w:tcBorders>
              <w:top w:val="dashed" w:sz="4" w:space="0" w:color="E0301E" w:themeColor="accent6"/>
              <w:bottom w:val="dashed" w:sz="4" w:space="0" w:color="E0301E" w:themeColor="accent6"/>
            </w:tcBorders>
            <w:shd w:val="clear" w:color="auto" w:fill="D9D9D9" w:themeFill="background1" w:themeFillShade="D9"/>
          </w:tcPr>
          <w:p w14:paraId="3CB9CEE5"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18%</w:t>
            </w:r>
          </w:p>
        </w:tc>
        <w:tc>
          <w:tcPr>
            <w:tcW w:w="894" w:type="dxa"/>
            <w:tcBorders>
              <w:top w:val="dashed" w:sz="4" w:space="0" w:color="E0301E" w:themeColor="accent6"/>
              <w:bottom w:val="dashed" w:sz="4" w:space="0" w:color="E0301E" w:themeColor="accent6"/>
            </w:tcBorders>
          </w:tcPr>
          <w:p w14:paraId="3F430B7B" w14:textId="77777777" w:rsidR="00247079" w:rsidRPr="0059076F"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pPr>
            <w:r w:rsidRPr="0059076F">
              <w:t>12%</w:t>
            </w:r>
          </w:p>
        </w:tc>
        <w:tc>
          <w:tcPr>
            <w:tcW w:w="894" w:type="dxa"/>
            <w:tcBorders>
              <w:top w:val="dashed" w:sz="4" w:space="0" w:color="E0301E" w:themeColor="accent6"/>
              <w:bottom w:val="dashed" w:sz="4" w:space="0" w:color="E0301E" w:themeColor="accent6"/>
            </w:tcBorders>
          </w:tcPr>
          <w:p w14:paraId="0A1C4893" w14:textId="77777777" w:rsidR="00247079" w:rsidRPr="00AC507E"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AC507E">
              <w:rPr>
                <w:color w:val="808080" w:themeColor="background1" w:themeShade="80"/>
              </w:rPr>
              <w:t>6%</w:t>
            </w:r>
          </w:p>
        </w:tc>
        <w:tc>
          <w:tcPr>
            <w:tcW w:w="894" w:type="dxa"/>
            <w:tcBorders>
              <w:top w:val="dashed" w:sz="4" w:space="0" w:color="E0301E" w:themeColor="accent6"/>
              <w:bottom w:val="dashed" w:sz="4" w:space="0" w:color="E0301E" w:themeColor="accent6"/>
            </w:tcBorders>
          </w:tcPr>
          <w:p w14:paraId="7A18EF8A" w14:textId="77777777" w:rsidR="00247079" w:rsidRPr="00AC507E" w:rsidRDefault="00247079" w:rsidP="00D704AA">
            <w:pPr>
              <w:pStyle w:val="TableTextSmall"/>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AC507E">
              <w:rPr>
                <w:color w:val="808080" w:themeColor="background1" w:themeShade="80"/>
              </w:rPr>
              <w:t>10%</w:t>
            </w:r>
          </w:p>
        </w:tc>
      </w:tr>
      <w:tr w:rsidR="00247079" w:rsidRPr="000F610A" w14:paraId="19250408" w14:textId="77777777" w:rsidTr="00D704AA">
        <w:trPr>
          <w:trHeight w:val="56"/>
        </w:trPr>
        <w:tc>
          <w:tcPr>
            <w:cnfStyle w:val="001000000000" w:firstRow="0" w:lastRow="0" w:firstColumn="1" w:lastColumn="0" w:oddVBand="0" w:evenVBand="0" w:oddHBand="0" w:evenHBand="0" w:firstRowFirstColumn="0" w:firstRowLastColumn="0" w:lastRowFirstColumn="0" w:lastRowLastColumn="0"/>
            <w:tcW w:w="1877" w:type="dxa"/>
            <w:tcBorders>
              <w:top w:val="dashed" w:sz="4" w:space="0" w:color="E0301E" w:themeColor="accent6"/>
            </w:tcBorders>
          </w:tcPr>
          <w:p w14:paraId="0A39B422" w14:textId="77777777" w:rsidR="00247079" w:rsidRPr="0059076F" w:rsidRDefault="00247079" w:rsidP="00D704AA">
            <w:pPr>
              <w:pStyle w:val="TableTextSmall"/>
              <w:rPr>
                <w:bCs w:val="0"/>
              </w:rPr>
            </w:pPr>
            <w:r w:rsidRPr="0059076F">
              <w:t>6 Pension Age</w:t>
            </w:r>
          </w:p>
        </w:tc>
        <w:tc>
          <w:tcPr>
            <w:tcW w:w="894" w:type="dxa"/>
            <w:tcBorders>
              <w:top w:val="dashed" w:sz="4" w:space="0" w:color="E0301E" w:themeColor="accent6"/>
            </w:tcBorders>
            <w:shd w:val="clear" w:color="auto" w:fill="F9D5D1" w:themeFill="accent6" w:themeFillTint="33"/>
          </w:tcPr>
          <w:p w14:paraId="62C04422"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717,000</w:t>
            </w:r>
          </w:p>
        </w:tc>
        <w:tc>
          <w:tcPr>
            <w:tcW w:w="894" w:type="dxa"/>
            <w:tcBorders>
              <w:top w:val="dashed" w:sz="4" w:space="0" w:color="E0301E" w:themeColor="accent6"/>
            </w:tcBorders>
          </w:tcPr>
          <w:p w14:paraId="0502A6A5"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0%</w:t>
            </w:r>
          </w:p>
        </w:tc>
        <w:tc>
          <w:tcPr>
            <w:tcW w:w="894" w:type="dxa"/>
            <w:tcBorders>
              <w:top w:val="dashed" w:sz="4" w:space="0" w:color="E0301E" w:themeColor="accent6"/>
            </w:tcBorders>
          </w:tcPr>
          <w:p w14:paraId="51BFB6B2"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3%</w:t>
            </w:r>
          </w:p>
        </w:tc>
        <w:tc>
          <w:tcPr>
            <w:tcW w:w="894" w:type="dxa"/>
            <w:tcBorders>
              <w:top w:val="dashed" w:sz="4" w:space="0" w:color="E0301E" w:themeColor="accent6"/>
            </w:tcBorders>
          </w:tcPr>
          <w:p w14:paraId="42D0B1B1"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0%</w:t>
            </w:r>
          </w:p>
        </w:tc>
        <w:tc>
          <w:tcPr>
            <w:tcW w:w="894" w:type="dxa"/>
            <w:tcBorders>
              <w:top w:val="dashed" w:sz="4" w:space="0" w:color="E0301E" w:themeColor="accent6"/>
            </w:tcBorders>
          </w:tcPr>
          <w:p w14:paraId="5B3DA3C6"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5%</w:t>
            </w:r>
          </w:p>
        </w:tc>
        <w:tc>
          <w:tcPr>
            <w:tcW w:w="894" w:type="dxa"/>
            <w:tcBorders>
              <w:top w:val="dashed" w:sz="4" w:space="0" w:color="E0301E" w:themeColor="accent6"/>
            </w:tcBorders>
          </w:tcPr>
          <w:p w14:paraId="66C0BFEA"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3%</w:t>
            </w:r>
          </w:p>
        </w:tc>
        <w:tc>
          <w:tcPr>
            <w:tcW w:w="894" w:type="dxa"/>
            <w:tcBorders>
              <w:top w:val="dashed" w:sz="4" w:space="0" w:color="E0301E" w:themeColor="accent6"/>
            </w:tcBorders>
            <w:shd w:val="clear" w:color="auto" w:fill="D9D9D9" w:themeFill="background1" w:themeFillShade="D9"/>
          </w:tcPr>
          <w:p w14:paraId="0B8F5DCF"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79%</w:t>
            </w:r>
          </w:p>
        </w:tc>
        <w:tc>
          <w:tcPr>
            <w:tcW w:w="894" w:type="dxa"/>
            <w:tcBorders>
              <w:top w:val="dashed" w:sz="4" w:space="0" w:color="E0301E" w:themeColor="accent6"/>
            </w:tcBorders>
          </w:tcPr>
          <w:p w14:paraId="160E93F6" w14:textId="77777777" w:rsidR="00247079" w:rsidRPr="00AC507E"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C507E">
              <w:rPr>
                <w:color w:val="808080" w:themeColor="background1" w:themeShade="80"/>
              </w:rPr>
              <w:t>1%</w:t>
            </w:r>
          </w:p>
        </w:tc>
        <w:tc>
          <w:tcPr>
            <w:tcW w:w="894" w:type="dxa"/>
            <w:tcBorders>
              <w:top w:val="dashed" w:sz="4" w:space="0" w:color="E0301E" w:themeColor="accent6"/>
            </w:tcBorders>
          </w:tcPr>
          <w:p w14:paraId="484EFBF7" w14:textId="77777777" w:rsidR="00247079" w:rsidRPr="00AC507E"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C507E">
              <w:rPr>
                <w:color w:val="808080" w:themeColor="background1" w:themeShade="80"/>
              </w:rPr>
              <w:t>10%</w:t>
            </w:r>
          </w:p>
        </w:tc>
      </w:tr>
    </w:tbl>
    <w:p w14:paraId="3C185D74" w14:textId="69000ACA" w:rsidR="00247079" w:rsidRDefault="00247079" w:rsidP="00247079">
      <w:pPr>
        <w:pStyle w:val="Caption"/>
      </w:pPr>
      <w:r w:rsidRPr="003A5FD6">
        <w:lastRenderedPageBreak/>
        <w:t xml:space="preserve">Table </w:t>
      </w:r>
      <w:fldSimple w:instr=" SEQ Table \* ARABIC ">
        <w:r w:rsidR="00C93C1A">
          <w:rPr>
            <w:noProof/>
          </w:rPr>
          <w:t>11</w:t>
        </w:r>
      </w:fldSimple>
      <w:r w:rsidRPr="003A5FD6">
        <w:t xml:space="preserve">: </w:t>
      </w:r>
      <w:r>
        <w:t>Partner class proportions for women receiving income support</w:t>
      </w:r>
      <w:r w:rsidR="006B6E54">
        <w:t>, with rows showing the individual’s class and columns showing their partner’s class</w:t>
      </w:r>
    </w:p>
    <w:tbl>
      <w:tblPr>
        <w:tblStyle w:val="ListTable3-Accent61"/>
        <w:tblW w:w="9923" w:type="dxa"/>
        <w:tblInd w:w="108" w:type="dxa"/>
        <w:tblLayout w:type="fixed"/>
        <w:tblLook w:val="04A0" w:firstRow="1" w:lastRow="0" w:firstColumn="1" w:lastColumn="0" w:noHBand="0" w:noVBand="1"/>
        <w:tblCaption w:val="individual’s class and columns showing their partner’s class"/>
        <w:tblDescription w:val="This table displays information for women currently receiving income support payments. The rows show the individual’s welfare class: studying, working age, parenting, carer, disability support and age pension. The columns show their partner’s class studying, working age, parenting, carer, disability support, age pensioners, non income support classes and non-welfare recipients.&#10;&#10;Each row shows the count of individuals in that class, as well as the proportion of their partners in each of the other income support, non-income support, and non-welfare class.&#10;&#10;Further features of the data in this table are discussed in the accompanying text within the report.&#10;"/>
      </w:tblPr>
      <w:tblGrid>
        <w:gridCol w:w="1877"/>
        <w:gridCol w:w="894"/>
        <w:gridCol w:w="894"/>
        <w:gridCol w:w="894"/>
        <w:gridCol w:w="894"/>
        <w:gridCol w:w="894"/>
        <w:gridCol w:w="894"/>
        <w:gridCol w:w="894"/>
        <w:gridCol w:w="894"/>
        <w:gridCol w:w="894"/>
      </w:tblGrid>
      <w:tr w:rsidR="00247079" w:rsidRPr="000F610A" w14:paraId="43DB08B4" w14:textId="77777777" w:rsidTr="00D7498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7" w:type="dxa"/>
            <w:tcBorders>
              <w:bottom w:val="single" w:sz="4" w:space="0" w:color="E0301E" w:themeColor="accent6"/>
            </w:tcBorders>
          </w:tcPr>
          <w:p w14:paraId="0DC60DF9" w14:textId="41AADF58" w:rsidR="00247079" w:rsidRPr="0059076F" w:rsidRDefault="00247079" w:rsidP="006B6E54">
            <w:pPr>
              <w:pStyle w:val="TableTextSmall"/>
              <w:keepNext/>
              <w:jc w:val="center"/>
              <w:rPr>
                <w:rFonts w:asciiTheme="majorHAnsi" w:hAnsiTheme="majorHAnsi"/>
                <w:color w:val="FFFFFF" w:themeColor="background1"/>
              </w:rPr>
            </w:pPr>
            <w:r w:rsidRPr="0059076F">
              <w:rPr>
                <w:rFonts w:asciiTheme="majorHAnsi" w:hAnsiTheme="majorHAnsi"/>
                <w:color w:val="FFFFFF" w:themeColor="background1"/>
              </w:rPr>
              <w:t xml:space="preserve">Partnered women (by </w:t>
            </w:r>
            <w:r w:rsidR="00C35D20">
              <w:rPr>
                <w:rFonts w:asciiTheme="majorHAnsi" w:hAnsiTheme="majorHAnsi"/>
                <w:color w:val="FFFFFF" w:themeColor="background1"/>
              </w:rPr>
              <w:t xml:space="preserve">their welfare </w:t>
            </w:r>
            <w:r w:rsidRPr="0059076F">
              <w:rPr>
                <w:rFonts w:asciiTheme="majorHAnsi" w:hAnsiTheme="majorHAnsi"/>
                <w:color w:val="FFFFFF" w:themeColor="background1"/>
              </w:rPr>
              <w:t>class)</w:t>
            </w:r>
          </w:p>
        </w:tc>
        <w:tc>
          <w:tcPr>
            <w:tcW w:w="894" w:type="dxa"/>
            <w:tcBorders>
              <w:bottom w:val="single" w:sz="4" w:space="0" w:color="E0301E" w:themeColor="accent6"/>
            </w:tcBorders>
          </w:tcPr>
          <w:p w14:paraId="0212D357" w14:textId="77777777" w:rsidR="00247079" w:rsidRPr="0059076F" w:rsidRDefault="00247079" w:rsidP="006B6E5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59076F">
              <w:rPr>
                <w:rFonts w:asciiTheme="majorHAnsi" w:hAnsiTheme="majorHAnsi"/>
                <w:color w:val="FFFFFF" w:themeColor="background1"/>
              </w:rPr>
              <w:t>Count</w:t>
            </w:r>
          </w:p>
        </w:tc>
        <w:tc>
          <w:tcPr>
            <w:tcW w:w="894" w:type="dxa"/>
            <w:tcBorders>
              <w:bottom w:val="single" w:sz="4" w:space="0" w:color="E0301E" w:themeColor="accent6"/>
            </w:tcBorders>
          </w:tcPr>
          <w:p w14:paraId="274267D4" w14:textId="77777777" w:rsidR="00247079" w:rsidRPr="000F610A" w:rsidRDefault="00247079" w:rsidP="006B6E5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1 Studying</w:t>
            </w:r>
          </w:p>
        </w:tc>
        <w:tc>
          <w:tcPr>
            <w:tcW w:w="894" w:type="dxa"/>
            <w:tcBorders>
              <w:bottom w:val="single" w:sz="4" w:space="0" w:color="E0301E" w:themeColor="accent6"/>
            </w:tcBorders>
          </w:tcPr>
          <w:p w14:paraId="399604D6" w14:textId="77777777" w:rsidR="00247079" w:rsidRPr="000F610A" w:rsidRDefault="00247079" w:rsidP="006B6E5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2 Working Age</w:t>
            </w:r>
          </w:p>
        </w:tc>
        <w:tc>
          <w:tcPr>
            <w:tcW w:w="894" w:type="dxa"/>
            <w:tcBorders>
              <w:bottom w:val="single" w:sz="4" w:space="0" w:color="E0301E" w:themeColor="accent6"/>
            </w:tcBorders>
          </w:tcPr>
          <w:p w14:paraId="4B4467E6" w14:textId="77777777" w:rsidR="00247079" w:rsidRPr="000F610A" w:rsidRDefault="00247079" w:rsidP="006B6E5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3 Parents</w:t>
            </w:r>
          </w:p>
        </w:tc>
        <w:tc>
          <w:tcPr>
            <w:tcW w:w="894" w:type="dxa"/>
            <w:tcBorders>
              <w:bottom w:val="single" w:sz="4" w:space="0" w:color="E0301E" w:themeColor="accent6"/>
            </w:tcBorders>
          </w:tcPr>
          <w:p w14:paraId="1A52BA73" w14:textId="77777777" w:rsidR="00247079" w:rsidRPr="000F610A" w:rsidRDefault="00247079" w:rsidP="006B6E5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4 Carers</w:t>
            </w:r>
          </w:p>
        </w:tc>
        <w:tc>
          <w:tcPr>
            <w:tcW w:w="894" w:type="dxa"/>
            <w:tcBorders>
              <w:bottom w:val="single" w:sz="4" w:space="0" w:color="E0301E" w:themeColor="accent6"/>
            </w:tcBorders>
          </w:tcPr>
          <w:p w14:paraId="72C783B9" w14:textId="77777777" w:rsidR="00247079" w:rsidRPr="000F610A" w:rsidRDefault="00247079" w:rsidP="006B6E5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5 Disability Support</w:t>
            </w:r>
          </w:p>
        </w:tc>
        <w:tc>
          <w:tcPr>
            <w:tcW w:w="894" w:type="dxa"/>
            <w:tcBorders>
              <w:bottom w:val="single" w:sz="4" w:space="0" w:color="E0301E" w:themeColor="accent6"/>
            </w:tcBorders>
          </w:tcPr>
          <w:p w14:paraId="6B154804" w14:textId="77777777" w:rsidR="00247079" w:rsidRPr="000F610A" w:rsidRDefault="00247079" w:rsidP="006B6E5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6 Pension Age</w:t>
            </w:r>
          </w:p>
        </w:tc>
        <w:tc>
          <w:tcPr>
            <w:tcW w:w="894" w:type="dxa"/>
            <w:tcBorders>
              <w:bottom w:val="single" w:sz="4" w:space="0" w:color="E0301E" w:themeColor="accent6"/>
            </w:tcBorders>
          </w:tcPr>
          <w:p w14:paraId="2A78AC61" w14:textId="237C3C38" w:rsidR="00247079" w:rsidRPr="000F610A" w:rsidRDefault="005B3E7D" w:rsidP="006B6E5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Pr>
                <w:rFonts w:asciiTheme="majorHAnsi" w:hAnsiTheme="majorHAnsi"/>
                <w:color w:val="FFFFFF" w:themeColor="background1"/>
                <w:sz w:val="14"/>
              </w:rPr>
              <w:t>Non IS</w:t>
            </w:r>
            <w:r w:rsidR="00247079" w:rsidRPr="000F610A">
              <w:rPr>
                <w:rFonts w:asciiTheme="majorHAnsi" w:hAnsiTheme="majorHAnsi"/>
                <w:color w:val="FFFFFF" w:themeColor="background1"/>
                <w:sz w:val="14"/>
              </w:rPr>
              <w:t xml:space="preserve"> classes</w:t>
            </w:r>
          </w:p>
        </w:tc>
        <w:tc>
          <w:tcPr>
            <w:tcW w:w="894" w:type="dxa"/>
            <w:tcBorders>
              <w:bottom w:val="single" w:sz="4" w:space="0" w:color="E0301E" w:themeColor="accent6"/>
            </w:tcBorders>
          </w:tcPr>
          <w:p w14:paraId="7279C081" w14:textId="77777777" w:rsidR="00247079" w:rsidRPr="000F610A" w:rsidRDefault="00247079" w:rsidP="006B6E5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rPr>
            </w:pPr>
            <w:r w:rsidRPr="000F610A">
              <w:rPr>
                <w:rFonts w:asciiTheme="majorHAnsi" w:hAnsiTheme="majorHAnsi"/>
                <w:color w:val="FFFFFF" w:themeColor="background1"/>
                <w:sz w:val="14"/>
              </w:rPr>
              <w:t>Non-welfare recipients</w:t>
            </w:r>
          </w:p>
        </w:tc>
      </w:tr>
      <w:tr w:rsidR="00247079" w:rsidRPr="000F610A" w14:paraId="3ECE1A9F" w14:textId="77777777" w:rsidTr="00D704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77" w:type="dxa"/>
            <w:tcBorders>
              <w:bottom w:val="dashed" w:sz="4" w:space="0" w:color="E0301E" w:themeColor="accent6"/>
            </w:tcBorders>
          </w:tcPr>
          <w:p w14:paraId="44E9B456" w14:textId="77777777" w:rsidR="00247079" w:rsidRPr="0059076F" w:rsidRDefault="00247079" w:rsidP="006B6E54">
            <w:pPr>
              <w:pStyle w:val="TableTextSmall"/>
              <w:keepNext/>
              <w:rPr>
                <w:bCs w:val="0"/>
              </w:rPr>
            </w:pPr>
            <w:r w:rsidRPr="0059076F">
              <w:t>1 Studying</w:t>
            </w:r>
          </w:p>
        </w:tc>
        <w:tc>
          <w:tcPr>
            <w:tcW w:w="894" w:type="dxa"/>
            <w:tcBorders>
              <w:bottom w:val="dashed" w:sz="4" w:space="0" w:color="E0301E" w:themeColor="accent6"/>
            </w:tcBorders>
            <w:shd w:val="clear" w:color="auto" w:fill="F9D5D1" w:themeFill="accent6" w:themeFillTint="33"/>
          </w:tcPr>
          <w:p w14:paraId="54B82401"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14,000</w:t>
            </w:r>
          </w:p>
        </w:tc>
        <w:tc>
          <w:tcPr>
            <w:tcW w:w="894" w:type="dxa"/>
            <w:tcBorders>
              <w:bottom w:val="dashed" w:sz="4" w:space="0" w:color="E0301E" w:themeColor="accent6"/>
            </w:tcBorders>
            <w:shd w:val="clear" w:color="auto" w:fill="D9D9D9" w:themeFill="background1" w:themeFillShade="D9"/>
          </w:tcPr>
          <w:p w14:paraId="374A0F42"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21%</w:t>
            </w:r>
          </w:p>
        </w:tc>
        <w:tc>
          <w:tcPr>
            <w:tcW w:w="894" w:type="dxa"/>
            <w:tcBorders>
              <w:bottom w:val="dashed" w:sz="4" w:space="0" w:color="E0301E" w:themeColor="accent6"/>
            </w:tcBorders>
          </w:tcPr>
          <w:p w14:paraId="2F382919"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18%</w:t>
            </w:r>
          </w:p>
        </w:tc>
        <w:tc>
          <w:tcPr>
            <w:tcW w:w="894" w:type="dxa"/>
            <w:tcBorders>
              <w:bottom w:val="dashed" w:sz="4" w:space="0" w:color="E0301E" w:themeColor="accent6"/>
            </w:tcBorders>
          </w:tcPr>
          <w:p w14:paraId="188D80EC"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5%</w:t>
            </w:r>
          </w:p>
        </w:tc>
        <w:tc>
          <w:tcPr>
            <w:tcW w:w="894" w:type="dxa"/>
            <w:tcBorders>
              <w:bottom w:val="dashed" w:sz="4" w:space="0" w:color="E0301E" w:themeColor="accent6"/>
            </w:tcBorders>
          </w:tcPr>
          <w:p w14:paraId="0797933D"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1%</w:t>
            </w:r>
          </w:p>
        </w:tc>
        <w:tc>
          <w:tcPr>
            <w:tcW w:w="894" w:type="dxa"/>
            <w:tcBorders>
              <w:bottom w:val="dashed" w:sz="4" w:space="0" w:color="E0301E" w:themeColor="accent6"/>
            </w:tcBorders>
          </w:tcPr>
          <w:p w14:paraId="5CF832CC"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2%</w:t>
            </w:r>
          </w:p>
        </w:tc>
        <w:tc>
          <w:tcPr>
            <w:tcW w:w="894" w:type="dxa"/>
            <w:tcBorders>
              <w:bottom w:val="dashed" w:sz="4" w:space="0" w:color="E0301E" w:themeColor="accent6"/>
            </w:tcBorders>
          </w:tcPr>
          <w:p w14:paraId="38C19952"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2%</w:t>
            </w:r>
          </w:p>
        </w:tc>
        <w:tc>
          <w:tcPr>
            <w:tcW w:w="894" w:type="dxa"/>
            <w:tcBorders>
              <w:bottom w:val="dashed" w:sz="4" w:space="0" w:color="E0301E" w:themeColor="accent6"/>
            </w:tcBorders>
          </w:tcPr>
          <w:p w14:paraId="7623B720" w14:textId="77777777" w:rsidR="00247079" w:rsidRPr="00AC507E"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AC507E">
              <w:rPr>
                <w:color w:val="808080" w:themeColor="background1" w:themeShade="80"/>
              </w:rPr>
              <w:t>5%</w:t>
            </w:r>
          </w:p>
        </w:tc>
        <w:tc>
          <w:tcPr>
            <w:tcW w:w="894" w:type="dxa"/>
            <w:tcBorders>
              <w:bottom w:val="dashed" w:sz="4" w:space="0" w:color="E0301E" w:themeColor="accent6"/>
            </w:tcBorders>
          </w:tcPr>
          <w:p w14:paraId="53354CBF" w14:textId="77777777" w:rsidR="00247079" w:rsidRPr="00AC507E"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AC507E">
              <w:rPr>
                <w:color w:val="808080" w:themeColor="background1" w:themeShade="80"/>
              </w:rPr>
              <w:t>46%</w:t>
            </w:r>
          </w:p>
        </w:tc>
      </w:tr>
      <w:tr w:rsidR="00247079" w:rsidRPr="000F610A" w14:paraId="7A287193" w14:textId="77777777" w:rsidTr="00D704AA">
        <w:trPr>
          <w:trHeight w:val="56"/>
        </w:trPr>
        <w:tc>
          <w:tcPr>
            <w:cnfStyle w:val="001000000000" w:firstRow="0" w:lastRow="0" w:firstColumn="1" w:lastColumn="0" w:oddVBand="0" w:evenVBand="0" w:oddHBand="0" w:evenHBand="0" w:firstRowFirstColumn="0" w:firstRowLastColumn="0" w:lastRowFirstColumn="0" w:lastRowLastColumn="0"/>
            <w:tcW w:w="1877" w:type="dxa"/>
            <w:tcBorders>
              <w:top w:val="dashed" w:sz="4" w:space="0" w:color="E0301E" w:themeColor="accent6"/>
              <w:bottom w:val="dashed" w:sz="4" w:space="0" w:color="E0301E" w:themeColor="accent6"/>
            </w:tcBorders>
          </w:tcPr>
          <w:p w14:paraId="03E01A6F" w14:textId="77777777" w:rsidR="00247079" w:rsidRPr="0059076F" w:rsidRDefault="00247079" w:rsidP="006B6E54">
            <w:pPr>
              <w:pStyle w:val="TableTextSmall"/>
              <w:keepNext/>
              <w:rPr>
                <w:bCs w:val="0"/>
              </w:rPr>
            </w:pPr>
            <w:r w:rsidRPr="0059076F">
              <w:t>2 Working Age</w:t>
            </w:r>
          </w:p>
        </w:tc>
        <w:tc>
          <w:tcPr>
            <w:tcW w:w="894" w:type="dxa"/>
            <w:tcBorders>
              <w:top w:val="dashed" w:sz="4" w:space="0" w:color="E0301E" w:themeColor="accent6"/>
              <w:bottom w:val="dashed" w:sz="4" w:space="0" w:color="E0301E" w:themeColor="accent6"/>
            </w:tcBorders>
            <w:shd w:val="clear" w:color="auto" w:fill="F9D5D1" w:themeFill="accent6" w:themeFillTint="33"/>
          </w:tcPr>
          <w:p w14:paraId="4762D18A"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122,000</w:t>
            </w:r>
          </w:p>
        </w:tc>
        <w:tc>
          <w:tcPr>
            <w:tcW w:w="894" w:type="dxa"/>
            <w:tcBorders>
              <w:top w:val="dashed" w:sz="4" w:space="0" w:color="E0301E" w:themeColor="accent6"/>
              <w:bottom w:val="dashed" w:sz="4" w:space="0" w:color="E0301E" w:themeColor="accent6"/>
            </w:tcBorders>
          </w:tcPr>
          <w:p w14:paraId="350D8455"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1%</w:t>
            </w:r>
          </w:p>
        </w:tc>
        <w:tc>
          <w:tcPr>
            <w:tcW w:w="894" w:type="dxa"/>
            <w:tcBorders>
              <w:top w:val="dashed" w:sz="4" w:space="0" w:color="E0301E" w:themeColor="accent6"/>
              <w:bottom w:val="dashed" w:sz="4" w:space="0" w:color="E0301E" w:themeColor="accent6"/>
            </w:tcBorders>
            <w:shd w:val="clear" w:color="auto" w:fill="D9D9D9" w:themeFill="background1" w:themeFillShade="D9"/>
          </w:tcPr>
          <w:p w14:paraId="629A8B9E"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40%</w:t>
            </w:r>
          </w:p>
        </w:tc>
        <w:tc>
          <w:tcPr>
            <w:tcW w:w="894" w:type="dxa"/>
            <w:tcBorders>
              <w:top w:val="dashed" w:sz="4" w:space="0" w:color="E0301E" w:themeColor="accent6"/>
              <w:bottom w:val="dashed" w:sz="4" w:space="0" w:color="E0301E" w:themeColor="accent6"/>
            </w:tcBorders>
          </w:tcPr>
          <w:p w14:paraId="5DEB04F6"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2%</w:t>
            </w:r>
          </w:p>
        </w:tc>
        <w:tc>
          <w:tcPr>
            <w:tcW w:w="894" w:type="dxa"/>
            <w:tcBorders>
              <w:top w:val="dashed" w:sz="4" w:space="0" w:color="E0301E" w:themeColor="accent6"/>
              <w:bottom w:val="dashed" w:sz="4" w:space="0" w:color="E0301E" w:themeColor="accent6"/>
            </w:tcBorders>
          </w:tcPr>
          <w:p w14:paraId="1C2A4608"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3%</w:t>
            </w:r>
          </w:p>
        </w:tc>
        <w:tc>
          <w:tcPr>
            <w:tcW w:w="894" w:type="dxa"/>
            <w:tcBorders>
              <w:top w:val="dashed" w:sz="4" w:space="0" w:color="E0301E" w:themeColor="accent6"/>
              <w:bottom w:val="dashed" w:sz="4" w:space="0" w:color="E0301E" w:themeColor="accent6"/>
            </w:tcBorders>
          </w:tcPr>
          <w:p w14:paraId="1CCD73A1"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8%</w:t>
            </w:r>
          </w:p>
        </w:tc>
        <w:tc>
          <w:tcPr>
            <w:tcW w:w="894" w:type="dxa"/>
            <w:tcBorders>
              <w:top w:val="dashed" w:sz="4" w:space="0" w:color="E0301E" w:themeColor="accent6"/>
              <w:bottom w:val="dashed" w:sz="4" w:space="0" w:color="E0301E" w:themeColor="accent6"/>
            </w:tcBorders>
          </w:tcPr>
          <w:p w14:paraId="10D9AF59"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19%</w:t>
            </w:r>
          </w:p>
        </w:tc>
        <w:tc>
          <w:tcPr>
            <w:tcW w:w="894" w:type="dxa"/>
            <w:tcBorders>
              <w:top w:val="dashed" w:sz="4" w:space="0" w:color="E0301E" w:themeColor="accent6"/>
              <w:bottom w:val="dashed" w:sz="4" w:space="0" w:color="E0301E" w:themeColor="accent6"/>
            </w:tcBorders>
          </w:tcPr>
          <w:p w14:paraId="0A28A43B" w14:textId="77777777" w:rsidR="00247079" w:rsidRPr="00AC507E"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C507E">
              <w:rPr>
                <w:color w:val="808080" w:themeColor="background1" w:themeShade="80"/>
              </w:rPr>
              <w:t>3%</w:t>
            </w:r>
          </w:p>
        </w:tc>
        <w:tc>
          <w:tcPr>
            <w:tcW w:w="894" w:type="dxa"/>
            <w:tcBorders>
              <w:top w:val="dashed" w:sz="4" w:space="0" w:color="E0301E" w:themeColor="accent6"/>
              <w:bottom w:val="dashed" w:sz="4" w:space="0" w:color="E0301E" w:themeColor="accent6"/>
            </w:tcBorders>
          </w:tcPr>
          <w:p w14:paraId="54311611" w14:textId="77777777" w:rsidR="00247079" w:rsidRPr="00AC507E"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C507E">
              <w:rPr>
                <w:color w:val="808080" w:themeColor="background1" w:themeShade="80"/>
              </w:rPr>
              <w:t>24%</w:t>
            </w:r>
          </w:p>
        </w:tc>
      </w:tr>
      <w:tr w:rsidR="00247079" w:rsidRPr="000F610A" w14:paraId="2825C4A1" w14:textId="77777777" w:rsidTr="00D704A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877" w:type="dxa"/>
            <w:tcBorders>
              <w:top w:val="dashed" w:sz="4" w:space="0" w:color="E0301E" w:themeColor="accent6"/>
              <w:bottom w:val="dashed" w:sz="4" w:space="0" w:color="E0301E" w:themeColor="accent6"/>
            </w:tcBorders>
          </w:tcPr>
          <w:p w14:paraId="7C9A07B7" w14:textId="77777777" w:rsidR="00247079" w:rsidRPr="0059076F" w:rsidRDefault="00247079" w:rsidP="006B6E54">
            <w:pPr>
              <w:pStyle w:val="TableTextSmall"/>
              <w:keepNext/>
              <w:rPr>
                <w:bCs w:val="0"/>
              </w:rPr>
            </w:pPr>
            <w:r w:rsidRPr="0059076F">
              <w:t>3 Parents</w:t>
            </w:r>
          </w:p>
        </w:tc>
        <w:tc>
          <w:tcPr>
            <w:tcW w:w="894" w:type="dxa"/>
            <w:tcBorders>
              <w:top w:val="dashed" w:sz="4" w:space="0" w:color="E0301E" w:themeColor="accent6"/>
              <w:bottom w:val="dashed" w:sz="4" w:space="0" w:color="E0301E" w:themeColor="accent6"/>
            </w:tcBorders>
            <w:shd w:val="clear" w:color="auto" w:fill="F9D5D1" w:themeFill="accent6" w:themeFillTint="33"/>
          </w:tcPr>
          <w:p w14:paraId="3C26E64D"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131,000</w:t>
            </w:r>
          </w:p>
        </w:tc>
        <w:tc>
          <w:tcPr>
            <w:tcW w:w="894" w:type="dxa"/>
            <w:tcBorders>
              <w:top w:val="dashed" w:sz="4" w:space="0" w:color="E0301E" w:themeColor="accent6"/>
              <w:bottom w:val="dashed" w:sz="4" w:space="0" w:color="E0301E" w:themeColor="accent6"/>
            </w:tcBorders>
          </w:tcPr>
          <w:p w14:paraId="3B5DE453"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2%</w:t>
            </w:r>
          </w:p>
        </w:tc>
        <w:tc>
          <w:tcPr>
            <w:tcW w:w="894" w:type="dxa"/>
            <w:tcBorders>
              <w:top w:val="dashed" w:sz="4" w:space="0" w:color="E0301E" w:themeColor="accent6"/>
              <w:bottom w:val="dashed" w:sz="4" w:space="0" w:color="E0301E" w:themeColor="accent6"/>
            </w:tcBorders>
          </w:tcPr>
          <w:p w14:paraId="1C0D2184"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30%</w:t>
            </w:r>
          </w:p>
        </w:tc>
        <w:tc>
          <w:tcPr>
            <w:tcW w:w="894" w:type="dxa"/>
            <w:tcBorders>
              <w:top w:val="dashed" w:sz="4" w:space="0" w:color="E0301E" w:themeColor="accent6"/>
              <w:bottom w:val="dashed" w:sz="4" w:space="0" w:color="E0301E" w:themeColor="accent6"/>
            </w:tcBorders>
            <w:shd w:val="clear" w:color="auto" w:fill="D9D9D9" w:themeFill="background1" w:themeFillShade="D9"/>
          </w:tcPr>
          <w:p w14:paraId="3ECB84DE"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1%</w:t>
            </w:r>
          </w:p>
        </w:tc>
        <w:tc>
          <w:tcPr>
            <w:tcW w:w="894" w:type="dxa"/>
            <w:tcBorders>
              <w:top w:val="dashed" w:sz="4" w:space="0" w:color="E0301E" w:themeColor="accent6"/>
              <w:bottom w:val="dashed" w:sz="4" w:space="0" w:color="E0301E" w:themeColor="accent6"/>
            </w:tcBorders>
          </w:tcPr>
          <w:p w14:paraId="20B5102B"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3%</w:t>
            </w:r>
          </w:p>
        </w:tc>
        <w:tc>
          <w:tcPr>
            <w:tcW w:w="894" w:type="dxa"/>
            <w:tcBorders>
              <w:top w:val="dashed" w:sz="4" w:space="0" w:color="E0301E" w:themeColor="accent6"/>
              <w:bottom w:val="dashed" w:sz="4" w:space="0" w:color="E0301E" w:themeColor="accent6"/>
            </w:tcBorders>
          </w:tcPr>
          <w:p w14:paraId="5D39FB17"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3%</w:t>
            </w:r>
          </w:p>
        </w:tc>
        <w:tc>
          <w:tcPr>
            <w:tcW w:w="894" w:type="dxa"/>
            <w:tcBorders>
              <w:top w:val="dashed" w:sz="4" w:space="0" w:color="E0301E" w:themeColor="accent6"/>
              <w:bottom w:val="dashed" w:sz="4" w:space="0" w:color="E0301E" w:themeColor="accent6"/>
            </w:tcBorders>
          </w:tcPr>
          <w:p w14:paraId="14628769"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0%</w:t>
            </w:r>
          </w:p>
        </w:tc>
        <w:tc>
          <w:tcPr>
            <w:tcW w:w="894" w:type="dxa"/>
            <w:tcBorders>
              <w:top w:val="dashed" w:sz="4" w:space="0" w:color="E0301E" w:themeColor="accent6"/>
              <w:bottom w:val="dashed" w:sz="4" w:space="0" w:color="E0301E" w:themeColor="accent6"/>
            </w:tcBorders>
          </w:tcPr>
          <w:p w14:paraId="22F189C2" w14:textId="77777777" w:rsidR="00247079" w:rsidRPr="00AC507E"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AC507E">
              <w:rPr>
                <w:color w:val="808080" w:themeColor="background1" w:themeShade="80"/>
              </w:rPr>
              <w:t>13%</w:t>
            </w:r>
          </w:p>
        </w:tc>
        <w:tc>
          <w:tcPr>
            <w:tcW w:w="894" w:type="dxa"/>
            <w:tcBorders>
              <w:top w:val="dashed" w:sz="4" w:space="0" w:color="E0301E" w:themeColor="accent6"/>
              <w:bottom w:val="dashed" w:sz="4" w:space="0" w:color="E0301E" w:themeColor="accent6"/>
            </w:tcBorders>
          </w:tcPr>
          <w:p w14:paraId="273E9D50" w14:textId="77777777" w:rsidR="00247079" w:rsidRPr="00AC507E"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AC507E">
              <w:rPr>
                <w:color w:val="808080" w:themeColor="background1" w:themeShade="80"/>
              </w:rPr>
              <w:t>47%</w:t>
            </w:r>
          </w:p>
        </w:tc>
      </w:tr>
      <w:tr w:rsidR="00247079" w:rsidRPr="000F610A" w14:paraId="6C274540" w14:textId="77777777" w:rsidTr="00D704AA">
        <w:trPr>
          <w:trHeight w:val="56"/>
        </w:trPr>
        <w:tc>
          <w:tcPr>
            <w:cnfStyle w:val="001000000000" w:firstRow="0" w:lastRow="0" w:firstColumn="1" w:lastColumn="0" w:oddVBand="0" w:evenVBand="0" w:oddHBand="0" w:evenHBand="0" w:firstRowFirstColumn="0" w:firstRowLastColumn="0" w:lastRowFirstColumn="0" w:lastRowLastColumn="0"/>
            <w:tcW w:w="1877" w:type="dxa"/>
            <w:tcBorders>
              <w:top w:val="dashed" w:sz="4" w:space="0" w:color="E0301E" w:themeColor="accent6"/>
              <w:bottom w:val="dashed" w:sz="4" w:space="0" w:color="E0301E" w:themeColor="accent6"/>
            </w:tcBorders>
          </w:tcPr>
          <w:p w14:paraId="4BF521AA" w14:textId="77777777" w:rsidR="00247079" w:rsidRPr="0059076F" w:rsidRDefault="00247079" w:rsidP="006B6E54">
            <w:pPr>
              <w:pStyle w:val="TableTextSmall"/>
              <w:keepNext/>
              <w:rPr>
                <w:bCs w:val="0"/>
              </w:rPr>
            </w:pPr>
            <w:r w:rsidRPr="0059076F">
              <w:t>4 Carers</w:t>
            </w:r>
          </w:p>
        </w:tc>
        <w:tc>
          <w:tcPr>
            <w:tcW w:w="894" w:type="dxa"/>
            <w:tcBorders>
              <w:top w:val="dashed" w:sz="4" w:space="0" w:color="E0301E" w:themeColor="accent6"/>
              <w:bottom w:val="dashed" w:sz="4" w:space="0" w:color="E0301E" w:themeColor="accent6"/>
            </w:tcBorders>
            <w:shd w:val="clear" w:color="auto" w:fill="F9D5D1" w:themeFill="accent6" w:themeFillTint="33"/>
          </w:tcPr>
          <w:p w14:paraId="1619540C"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106,000</w:t>
            </w:r>
          </w:p>
        </w:tc>
        <w:tc>
          <w:tcPr>
            <w:tcW w:w="894" w:type="dxa"/>
            <w:tcBorders>
              <w:top w:val="dashed" w:sz="4" w:space="0" w:color="E0301E" w:themeColor="accent6"/>
              <w:bottom w:val="dashed" w:sz="4" w:space="0" w:color="E0301E" w:themeColor="accent6"/>
            </w:tcBorders>
          </w:tcPr>
          <w:p w14:paraId="64BA094E"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0%</w:t>
            </w:r>
          </w:p>
        </w:tc>
        <w:tc>
          <w:tcPr>
            <w:tcW w:w="894" w:type="dxa"/>
            <w:tcBorders>
              <w:top w:val="dashed" w:sz="4" w:space="0" w:color="E0301E" w:themeColor="accent6"/>
              <w:bottom w:val="dashed" w:sz="4" w:space="0" w:color="E0301E" w:themeColor="accent6"/>
            </w:tcBorders>
          </w:tcPr>
          <w:p w14:paraId="5003D0F9"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10%</w:t>
            </w:r>
          </w:p>
        </w:tc>
        <w:tc>
          <w:tcPr>
            <w:tcW w:w="894" w:type="dxa"/>
            <w:tcBorders>
              <w:top w:val="dashed" w:sz="4" w:space="0" w:color="E0301E" w:themeColor="accent6"/>
              <w:bottom w:val="dashed" w:sz="4" w:space="0" w:color="E0301E" w:themeColor="accent6"/>
            </w:tcBorders>
          </w:tcPr>
          <w:p w14:paraId="3D74BFEB"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1%</w:t>
            </w:r>
          </w:p>
        </w:tc>
        <w:tc>
          <w:tcPr>
            <w:tcW w:w="894" w:type="dxa"/>
            <w:tcBorders>
              <w:top w:val="dashed" w:sz="4" w:space="0" w:color="E0301E" w:themeColor="accent6"/>
              <w:bottom w:val="dashed" w:sz="4" w:space="0" w:color="E0301E" w:themeColor="accent6"/>
            </w:tcBorders>
            <w:shd w:val="clear" w:color="auto" w:fill="D9D9D9" w:themeFill="background1" w:themeFillShade="D9"/>
          </w:tcPr>
          <w:p w14:paraId="42F35D95"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3%</w:t>
            </w:r>
          </w:p>
        </w:tc>
        <w:tc>
          <w:tcPr>
            <w:tcW w:w="894" w:type="dxa"/>
            <w:tcBorders>
              <w:top w:val="dashed" w:sz="4" w:space="0" w:color="E0301E" w:themeColor="accent6"/>
              <w:bottom w:val="dashed" w:sz="4" w:space="0" w:color="E0301E" w:themeColor="accent6"/>
            </w:tcBorders>
          </w:tcPr>
          <w:p w14:paraId="0D59F459"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34%</w:t>
            </w:r>
          </w:p>
        </w:tc>
        <w:tc>
          <w:tcPr>
            <w:tcW w:w="894" w:type="dxa"/>
            <w:tcBorders>
              <w:top w:val="dashed" w:sz="4" w:space="0" w:color="E0301E" w:themeColor="accent6"/>
              <w:bottom w:val="dashed" w:sz="4" w:space="0" w:color="E0301E" w:themeColor="accent6"/>
            </w:tcBorders>
          </w:tcPr>
          <w:p w14:paraId="4EFFBE4B" w14:textId="77777777" w:rsidR="00247079" w:rsidRPr="0059076F"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59076F">
              <w:t>32%</w:t>
            </w:r>
          </w:p>
        </w:tc>
        <w:tc>
          <w:tcPr>
            <w:tcW w:w="894" w:type="dxa"/>
            <w:tcBorders>
              <w:top w:val="dashed" w:sz="4" w:space="0" w:color="E0301E" w:themeColor="accent6"/>
              <w:bottom w:val="dashed" w:sz="4" w:space="0" w:color="E0301E" w:themeColor="accent6"/>
            </w:tcBorders>
          </w:tcPr>
          <w:p w14:paraId="4434136B" w14:textId="77777777" w:rsidR="00247079" w:rsidRPr="00AC507E"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C507E">
              <w:rPr>
                <w:color w:val="808080" w:themeColor="background1" w:themeShade="80"/>
              </w:rPr>
              <w:t>2%</w:t>
            </w:r>
          </w:p>
        </w:tc>
        <w:tc>
          <w:tcPr>
            <w:tcW w:w="894" w:type="dxa"/>
            <w:tcBorders>
              <w:top w:val="dashed" w:sz="4" w:space="0" w:color="E0301E" w:themeColor="accent6"/>
              <w:bottom w:val="dashed" w:sz="4" w:space="0" w:color="E0301E" w:themeColor="accent6"/>
            </w:tcBorders>
          </w:tcPr>
          <w:p w14:paraId="1CD9D759" w14:textId="77777777" w:rsidR="00247079" w:rsidRPr="00AC507E" w:rsidRDefault="00247079" w:rsidP="006B6E54">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C507E">
              <w:rPr>
                <w:color w:val="808080" w:themeColor="background1" w:themeShade="80"/>
              </w:rPr>
              <w:t>18%</w:t>
            </w:r>
          </w:p>
        </w:tc>
      </w:tr>
      <w:tr w:rsidR="00247079" w:rsidRPr="000F610A" w14:paraId="5F1E2932" w14:textId="77777777" w:rsidTr="00D704A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877" w:type="dxa"/>
            <w:tcBorders>
              <w:top w:val="dashed" w:sz="4" w:space="0" w:color="E0301E" w:themeColor="accent6"/>
              <w:bottom w:val="dashed" w:sz="4" w:space="0" w:color="E0301E" w:themeColor="accent6"/>
            </w:tcBorders>
          </w:tcPr>
          <w:p w14:paraId="399892E0" w14:textId="77777777" w:rsidR="00247079" w:rsidRPr="0059076F" w:rsidRDefault="00247079" w:rsidP="006B6E54">
            <w:pPr>
              <w:pStyle w:val="TableTextSmall"/>
              <w:keepNext/>
              <w:rPr>
                <w:bCs w:val="0"/>
              </w:rPr>
            </w:pPr>
            <w:r w:rsidRPr="0059076F">
              <w:t>5 Disability Support</w:t>
            </w:r>
          </w:p>
        </w:tc>
        <w:tc>
          <w:tcPr>
            <w:tcW w:w="894" w:type="dxa"/>
            <w:tcBorders>
              <w:top w:val="dashed" w:sz="4" w:space="0" w:color="E0301E" w:themeColor="accent6"/>
              <w:bottom w:val="dashed" w:sz="4" w:space="0" w:color="E0301E" w:themeColor="accent6"/>
            </w:tcBorders>
            <w:shd w:val="clear" w:color="auto" w:fill="F9D5D1" w:themeFill="accent6" w:themeFillTint="33"/>
          </w:tcPr>
          <w:p w14:paraId="2D476122"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88,000</w:t>
            </w:r>
          </w:p>
        </w:tc>
        <w:tc>
          <w:tcPr>
            <w:tcW w:w="894" w:type="dxa"/>
            <w:tcBorders>
              <w:top w:val="dashed" w:sz="4" w:space="0" w:color="E0301E" w:themeColor="accent6"/>
              <w:bottom w:val="dashed" w:sz="4" w:space="0" w:color="E0301E" w:themeColor="accent6"/>
            </w:tcBorders>
          </w:tcPr>
          <w:p w14:paraId="26663350"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0%</w:t>
            </w:r>
          </w:p>
        </w:tc>
        <w:tc>
          <w:tcPr>
            <w:tcW w:w="894" w:type="dxa"/>
            <w:tcBorders>
              <w:top w:val="dashed" w:sz="4" w:space="0" w:color="E0301E" w:themeColor="accent6"/>
              <w:bottom w:val="dashed" w:sz="4" w:space="0" w:color="E0301E" w:themeColor="accent6"/>
            </w:tcBorders>
          </w:tcPr>
          <w:p w14:paraId="39CB555C"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8%</w:t>
            </w:r>
          </w:p>
        </w:tc>
        <w:tc>
          <w:tcPr>
            <w:tcW w:w="894" w:type="dxa"/>
            <w:tcBorders>
              <w:top w:val="dashed" w:sz="4" w:space="0" w:color="E0301E" w:themeColor="accent6"/>
              <w:bottom w:val="dashed" w:sz="4" w:space="0" w:color="E0301E" w:themeColor="accent6"/>
            </w:tcBorders>
          </w:tcPr>
          <w:p w14:paraId="48968755"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1%</w:t>
            </w:r>
          </w:p>
        </w:tc>
        <w:tc>
          <w:tcPr>
            <w:tcW w:w="894" w:type="dxa"/>
            <w:tcBorders>
              <w:top w:val="dashed" w:sz="4" w:space="0" w:color="E0301E" w:themeColor="accent6"/>
              <w:bottom w:val="dashed" w:sz="4" w:space="0" w:color="E0301E" w:themeColor="accent6"/>
            </w:tcBorders>
          </w:tcPr>
          <w:p w14:paraId="51D2AAB5"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27%</w:t>
            </w:r>
          </w:p>
        </w:tc>
        <w:tc>
          <w:tcPr>
            <w:tcW w:w="894" w:type="dxa"/>
            <w:tcBorders>
              <w:top w:val="dashed" w:sz="4" w:space="0" w:color="E0301E" w:themeColor="accent6"/>
              <w:bottom w:val="dashed" w:sz="4" w:space="0" w:color="E0301E" w:themeColor="accent6"/>
            </w:tcBorders>
            <w:shd w:val="clear" w:color="auto" w:fill="D9D9D9" w:themeFill="background1" w:themeFillShade="D9"/>
          </w:tcPr>
          <w:p w14:paraId="19EBD200"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18%</w:t>
            </w:r>
          </w:p>
        </w:tc>
        <w:tc>
          <w:tcPr>
            <w:tcW w:w="894" w:type="dxa"/>
            <w:tcBorders>
              <w:top w:val="dashed" w:sz="4" w:space="0" w:color="E0301E" w:themeColor="accent6"/>
              <w:bottom w:val="dashed" w:sz="4" w:space="0" w:color="E0301E" w:themeColor="accent6"/>
            </w:tcBorders>
          </w:tcPr>
          <w:p w14:paraId="06E4013A" w14:textId="77777777" w:rsidR="00247079" w:rsidRPr="0059076F"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59076F">
              <w:t>24%</w:t>
            </w:r>
          </w:p>
        </w:tc>
        <w:tc>
          <w:tcPr>
            <w:tcW w:w="894" w:type="dxa"/>
            <w:tcBorders>
              <w:top w:val="dashed" w:sz="4" w:space="0" w:color="E0301E" w:themeColor="accent6"/>
              <w:bottom w:val="dashed" w:sz="4" w:space="0" w:color="E0301E" w:themeColor="accent6"/>
            </w:tcBorders>
          </w:tcPr>
          <w:p w14:paraId="740FBC86" w14:textId="77777777" w:rsidR="00247079" w:rsidRPr="00AC507E"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AC507E">
              <w:rPr>
                <w:color w:val="808080" w:themeColor="background1" w:themeShade="80"/>
              </w:rPr>
              <w:t>4%</w:t>
            </w:r>
          </w:p>
        </w:tc>
        <w:tc>
          <w:tcPr>
            <w:tcW w:w="894" w:type="dxa"/>
            <w:tcBorders>
              <w:top w:val="dashed" w:sz="4" w:space="0" w:color="E0301E" w:themeColor="accent6"/>
              <w:bottom w:val="dashed" w:sz="4" w:space="0" w:color="E0301E" w:themeColor="accent6"/>
            </w:tcBorders>
          </w:tcPr>
          <w:p w14:paraId="1AC05233" w14:textId="77777777" w:rsidR="00247079" w:rsidRPr="00AC507E" w:rsidRDefault="00247079" w:rsidP="006B6E54">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AC507E">
              <w:rPr>
                <w:color w:val="808080" w:themeColor="background1" w:themeShade="80"/>
              </w:rPr>
              <w:t>17%</w:t>
            </w:r>
          </w:p>
        </w:tc>
      </w:tr>
      <w:tr w:rsidR="00247079" w:rsidRPr="000F610A" w14:paraId="22EA910C" w14:textId="77777777" w:rsidTr="00D704AA">
        <w:trPr>
          <w:trHeight w:val="56"/>
        </w:trPr>
        <w:tc>
          <w:tcPr>
            <w:cnfStyle w:val="001000000000" w:firstRow="0" w:lastRow="0" w:firstColumn="1" w:lastColumn="0" w:oddVBand="0" w:evenVBand="0" w:oddHBand="0" w:evenHBand="0" w:firstRowFirstColumn="0" w:firstRowLastColumn="0" w:lastRowFirstColumn="0" w:lastRowLastColumn="0"/>
            <w:tcW w:w="1877" w:type="dxa"/>
            <w:tcBorders>
              <w:top w:val="dashed" w:sz="4" w:space="0" w:color="E0301E" w:themeColor="accent6"/>
            </w:tcBorders>
          </w:tcPr>
          <w:p w14:paraId="231F459F" w14:textId="77777777" w:rsidR="00247079" w:rsidRPr="0059076F" w:rsidRDefault="00247079" w:rsidP="00D704AA">
            <w:pPr>
              <w:pStyle w:val="TableTextSmall"/>
              <w:rPr>
                <w:bCs w:val="0"/>
              </w:rPr>
            </w:pPr>
            <w:r w:rsidRPr="0059076F">
              <w:t>6 Pension Age</w:t>
            </w:r>
          </w:p>
        </w:tc>
        <w:tc>
          <w:tcPr>
            <w:tcW w:w="894" w:type="dxa"/>
            <w:tcBorders>
              <w:top w:val="dashed" w:sz="4" w:space="0" w:color="E0301E" w:themeColor="accent6"/>
            </w:tcBorders>
            <w:shd w:val="clear" w:color="auto" w:fill="F9D5D1" w:themeFill="accent6" w:themeFillTint="33"/>
          </w:tcPr>
          <w:p w14:paraId="01BEB22B"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602,000</w:t>
            </w:r>
          </w:p>
        </w:tc>
        <w:tc>
          <w:tcPr>
            <w:tcW w:w="894" w:type="dxa"/>
            <w:tcBorders>
              <w:top w:val="dashed" w:sz="4" w:space="0" w:color="E0301E" w:themeColor="accent6"/>
            </w:tcBorders>
          </w:tcPr>
          <w:p w14:paraId="0BC5C117"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0%</w:t>
            </w:r>
          </w:p>
        </w:tc>
        <w:tc>
          <w:tcPr>
            <w:tcW w:w="894" w:type="dxa"/>
            <w:tcBorders>
              <w:top w:val="dashed" w:sz="4" w:space="0" w:color="E0301E" w:themeColor="accent6"/>
            </w:tcBorders>
          </w:tcPr>
          <w:p w14:paraId="3C8D3BF1"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1%</w:t>
            </w:r>
          </w:p>
        </w:tc>
        <w:tc>
          <w:tcPr>
            <w:tcW w:w="894" w:type="dxa"/>
            <w:tcBorders>
              <w:top w:val="dashed" w:sz="4" w:space="0" w:color="E0301E" w:themeColor="accent6"/>
            </w:tcBorders>
          </w:tcPr>
          <w:p w14:paraId="114159F2"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0%</w:t>
            </w:r>
          </w:p>
        </w:tc>
        <w:tc>
          <w:tcPr>
            <w:tcW w:w="894" w:type="dxa"/>
            <w:tcBorders>
              <w:top w:val="dashed" w:sz="4" w:space="0" w:color="E0301E" w:themeColor="accent6"/>
            </w:tcBorders>
          </w:tcPr>
          <w:p w14:paraId="13245576"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1%</w:t>
            </w:r>
          </w:p>
        </w:tc>
        <w:tc>
          <w:tcPr>
            <w:tcW w:w="894" w:type="dxa"/>
            <w:tcBorders>
              <w:top w:val="dashed" w:sz="4" w:space="0" w:color="E0301E" w:themeColor="accent6"/>
            </w:tcBorders>
          </w:tcPr>
          <w:p w14:paraId="73EF3A59"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2%</w:t>
            </w:r>
          </w:p>
        </w:tc>
        <w:tc>
          <w:tcPr>
            <w:tcW w:w="894" w:type="dxa"/>
            <w:tcBorders>
              <w:top w:val="dashed" w:sz="4" w:space="0" w:color="E0301E" w:themeColor="accent6"/>
            </w:tcBorders>
            <w:shd w:val="clear" w:color="auto" w:fill="D9D9D9" w:themeFill="background1" w:themeFillShade="D9"/>
          </w:tcPr>
          <w:p w14:paraId="3B9E6829" w14:textId="77777777" w:rsidR="00247079" w:rsidRPr="0059076F"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pPr>
            <w:r w:rsidRPr="0059076F">
              <w:t>94%</w:t>
            </w:r>
          </w:p>
        </w:tc>
        <w:tc>
          <w:tcPr>
            <w:tcW w:w="894" w:type="dxa"/>
            <w:tcBorders>
              <w:top w:val="dashed" w:sz="4" w:space="0" w:color="E0301E" w:themeColor="accent6"/>
            </w:tcBorders>
          </w:tcPr>
          <w:p w14:paraId="470EC23D" w14:textId="77777777" w:rsidR="00247079" w:rsidRPr="00AC507E"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C507E">
              <w:rPr>
                <w:color w:val="808080" w:themeColor="background1" w:themeShade="80"/>
              </w:rPr>
              <w:t>0%</w:t>
            </w:r>
          </w:p>
        </w:tc>
        <w:tc>
          <w:tcPr>
            <w:tcW w:w="894" w:type="dxa"/>
            <w:tcBorders>
              <w:top w:val="dashed" w:sz="4" w:space="0" w:color="E0301E" w:themeColor="accent6"/>
            </w:tcBorders>
          </w:tcPr>
          <w:p w14:paraId="1C3E73BB" w14:textId="77777777" w:rsidR="00247079" w:rsidRPr="00AC507E" w:rsidRDefault="00247079" w:rsidP="00D704AA">
            <w:pPr>
              <w:pStyle w:val="TableTextSmall"/>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AC507E">
              <w:rPr>
                <w:color w:val="808080" w:themeColor="background1" w:themeShade="80"/>
              </w:rPr>
              <w:t>2%</w:t>
            </w:r>
          </w:p>
        </w:tc>
      </w:tr>
    </w:tbl>
    <w:p w14:paraId="1BCB311C" w14:textId="77777777" w:rsidR="00247079" w:rsidRPr="003A5FD6" w:rsidRDefault="00247079" w:rsidP="00247079">
      <w:pPr>
        <w:pStyle w:val="PwCNormal"/>
        <w:numPr>
          <w:ilvl w:val="0"/>
          <w:numId w:val="0"/>
        </w:numPr>
      </w:pPr>
      <w:r w:rsidRPr="003A5FD6">
        <w:t>The following insights can be drawn from this analysis:</w:t>
      </w:r>
    </w:p>
    <w:p w14:paraId="5D27B80A" w14:textId="0849EA7A" w:rsidR="00247079" w:rsidRPr="003A5FD6" w:rsidRDefault="00247079" w:rsidP="00247079">
      <w:pPr>
        <w:pStyle w:val="ListBullet"/>
      </w:pPr>
      <w:r>
        <w:t>Partnered men</w:t>
      </w:r>
      <w:r w:rsidRPr="003A5FD6">
        <w:t xml:space="preserve"> in the </w:t>
      </w:r>
      <w:r w:rsidR="000C6659">
        <w:t>S</w:t>
      </w:r>
      <w:r w:rsidRPr="003A5FD6">
        <w:t xml:space="preserve">tudying class tend to have partners in the </w:t>
      </w:r>
      <w:r w:rsidR="000C6659">
        <w:t>S</w:t>
      </w:r>
      <w:r>
        <w:t xml:space="preserve">tudying or </w:t>
      </w:r>
      <w:r w:rsidR="000C6659">
        <w:t>P</w:t>
      </w:r>
      <w:r w:rsidRPr="003A5FD6">
        <w:t>arenting class</w:t>
      </w:r>
      <w:r>
        <w:t>es</w:t>
      </w:r>
      <w:r w:rsidRPr="003A5FD6">
        <w:t xml:space="preserve">, while </w:t>
      </w:r>
      <w:r>
        <w:t>partnered women</w:t>
      </w:r>
      <w:r w:rsidRPr="003A5FD6">
        <w:t xml:space="preserve"> in the </w:t>
      </w:r>
      <w:r w:rsidR="000C6659">
        <w:t>S</w:t>
      </w:r>
      <w:r w:rsidRPr="003A5FD6">
        <w:t xml:space="preserve">tudying class tend to have partners in the </w:t>
      </w:r>
      <w:r w:rsidR="000C6659">
        <w:t>S</w:t>
      </w:r>
      <w:r w:rsidRPr="003A5FD6">
        <w:t xml:space="preserve">tudying or </w:t>
      </w:r>
      <w:r w:rsidR="000C6659">
        <w:t>W</w:t>
      </w:r>
      <w:r w:rsidRPr="003A5FD6">
        <w:t xml:space="preserve">orking </w:t>
      </w:r>
      <w:r w:rsidR="000C6659">
        <w:t>A</w:t>
      </w:r>
      <w:r w:rsidRPr="003A5FD6">
        <w:t>ge class</w:t>
      </w:r>
      <w:r>
        <w:t>es</w:t>
      </w:r>
      <w:r w:rsidRPr="003A5FD6">
        <w:t>.</w:t>
      </w:r>
    </w:p>
    <w:p w14:paraId="57CC52AA" w14:textId="54317C25" w:rsidR="00247079" w:rsidRPr="00C15562" w:rsidRDefault="00C15562" w:rsidP="00247079">
      <w:pPr>
        <w:pStyle w:val="ListBullet"/>
      </w:pPr>
      <w:r w:rsidRPr="00C15562">
        <w:t>A significant portion (30</w:t>
      </w:r>
      <w:r w:rsidR="0049533C">
        <w:t xml:space="preserve"> to </w:t>
      </w:r>
      <w:r w:rsidRPr="00C15562">
        <w:t xml:space="preserve">40%) of partnered people in the </w:t>
      </w:r>
      <w:r w:rsidR="000C6659">
        <w:t>W</w:t>
      </w:r>
      <w:r w:rsidRPr="00C15562">
        <w:t xml:space="preserve">orking </w:t>
      </w:r>
      <w:r w:rsidR="000C6659">
        <w:t>A</w:t>
      </w:r>
      <w:r w:rsidRPr="00C15562">
        <w:t xml:space="preserve">ge class tend to have partners who are also receiving </w:t>
      </w:r>
      <w:r w:rsidR="003C32DF">
        <w:t>Working Age payments</w:t>
      </w:r>
      <w:r w:rsidRPr="00C15562">
        <w:t xml:space="preserve">. This suggests partners of </w:t>
      </w:r>
      <w:r w:rsidR="0033779C">
        <w:t>W</w:t>
      </w:r>
      <w:r w:rsidRPr="00C15562">
        <w:t xml:space="preserve">orking </w:t>
      </w:r>
      <w:r w:rsidR="0033779C">
        <w:t>A</w:t>
      </w:r>
      <w:r w:rsidR="0033779C" w:rsidRPr="00C15562">
        <w:t xml:space="preserve">ge </w:t>
      </w:r>
      <w:r w:rsidRPr="00C15562">
        <w:t xml:space="preserve">recipients are </w:t>
      </w:r>
      <w:r w:rsidR="00D52134">
        <w:t>seven</w:t>
      </w:r>
      <w:r w:rsidRPr="00C15562">
        <w:t xml:space="preserve"> times more likely to be in the Working Age class themselves. There is also a large proportion of men (27%) who have partners in the </w:t>
      </w:r>
      <w:r w:rsidR="000C6659">
        <w:t>P</w:t>
      </w:r>
      <w:r w:rsidRPr="00C15562">
        <w:t>arenting class.</w:t>
      </w:r>
    </w:p>
    <w:p w14:paraId="548C2756" w14:textId="49CC0D87" w:rsidR="00247079" w:rsidRPr="003A5FD6" w:rsidRDefault="00247079" w:rsidP="00247079">
      <w:pPr>
        <w:pStyle w:val="ListBullet"/>
      </w:pPr>
      <w:r>
        <w:t>Of the partnered women</w:t>
      </w:r>
      <w:r w:rsidRPr="003A5FD6">
        <w:t xml:space="preserve"> in the </w:t>
      </w:r>
      <w:r w:rsidR="000C6659">
        <w:t>P</w:t>
      </w:r>
      <w:r w:rsidRPr="003A5FD6">
        <w:t>arenting class</w:t>
      </w:r>
      <w:r>
        <w:t xml:space="preserve">, </w:t>
      </w:r>
      <w:r w:rsidRPr="003A5FD6">
        <w:t>30% of</w:t>
      </w:r>
      <w:r>
        <w:t xml:space="preserve"> their</w:t>
      </w:r>
      <w:r w:rsidRPr="003A5FD6">
        <w:t xml:space="preserve"> partner</w:t>
      </w:r>
      <w:r>
        <w:t>s</w:t>
      </w:r>
      <w:r w:rsidRPr="003A5FD6">
        <w:t xml:space="preserve"> receiv</w:t>
      </w:r>
      <w:r>
        <w:t>e</w:t>
      </w:r>
      <w:r w:rsidRPr="003A5FD6">
        <w:t xml:space="preserve"> </w:t>
      </w:r>
      <w:r w:rsidR="003C32DF">
        <w:t>Working Age payments</w:t>
      </w:r>
      <w:r w:rsidRPr="003A5FD6">
        <w:t>.</w:t>
      </w:r>
    </w:p>
    <w:p w14:paraId="1FCDF772" w14:textId="45EFCFC1" w:rsidR="00247079" w:rsidRPr="003A5FD6" w:rsidRDefault="00247079" w:rsidP="00247079">
      <w:pPr>
        <w:pStyle w:val="ListBullet"/>
      </w:pPr>
      <w:r>
        <w:t xml:space="preserve">Of the partnered </w:t>
      </w:r>
      <w:r w:rsidRPr="003A5FD6">
        <w:t>female carers</w:t>
      </w:r>
      <w:r>
        <w:t xml:space="preserve">, </w:t>
      </w:r>
      <w:r w:rsidRPr="003A5FD6">
        <w:t>34% of</w:t>
      </w:r>
      <w:r>
        <w:t xml:space="preserve"> their</w:t>
      </w:r>
      <w:r w:rsidRPr="003A5FD6">
        <w:t xml:space="preserve"> partner</w:t>
      </w:r>
      <w:r>
        <w:t>s</w:t>
      </w:r>
      <w:r w:rsidRPr="003A5FD6">
        <w:t xml:space="preserve"> receiv</w:t>
      </w:r>
      <w:r>
        <w:t>e</w:t>
      </w:r>
      <w:r w:rsidRPr="003A5FD6">
        <w:t xml:space="preserve"> </w:t>
      </w:r>
      <w:r w:rsidR="000C6659">
        <w:t>DSP</w:t>
      </w:r>
      <w:r w:rsidRPr="003A5FD6">
        <w:t xml:space="preserve">, whilst 32% </w:t>
      </w:r>
      <w:r>
        <w:t>of their</w:t>
      </w:r>
      <w:r w:rsidRPr="003A5FD6">
        <w:t xml:space="preserve"> partner</w:t>
      </w:r>
      <w:r>
        <w:t>s</w:t>
      </w:r>
      <w:r w:rsidRPr="003A5FD6">
        <w:t xml:space="preserve"> receiv</w:t>
      </w:r>
      <w:r>
        <w:t>e</w:t>
      </w:r>
      <w:r w:rsidRPr="003A5FD6">
        <w:t xml:space="preserve"> the </w:t>
      </w:r>
      <w:r w:rsidR="000C6659">
        <w:t>A</w:t>
      </w:r>
      <w:r w:rsidRPr="003A5FD6">
        <w:t xml:space="preserve">ge </w:t>
      </w:r>
      <w:r w:rsidR="000C6659">
        <w:t>P</w:t>
      </w:r>
      <w:r w:rsidRPr="003A5FD6">
        <w:t xml:space="preserve">ension. </w:t>
      </w:r>
      <w:r>
        <w:t xml:space="preserve">Of the partnered </w:t>
      </w:r>
      <w:r w:rsidRPr="003A5FD6">
        <w:t xml:space="preserve">male carers 52% of </w:t>
      </w:r>
      <w:r>
        <w:t xml:space="preserve">their </w:t>
      </w:r>
      <w:r w:rsidRPr="003A5FD6">
        <w:t>partners receiv</w:t>
      </w:r>
      <w:r>
        <w:t>e</w:t>
      </w:r>
      <w:r w:rsidRPr="003A5FD6">
        <w:t xml:space="preserve"> </w:t>
      </w:r>
      <w:r w:rsidR="000C6659">
        <w:t>DSP</w:t>
      </w:r>
      <w:r w:rsidRPr="003A5FD6">
        <w:t>.</w:t>
      </w:r>
    </w:p>
    <w:p w14:paraId="3B9A84CA" w14:textId="5D801ECD" w:rsidR="00247079" w:rsidRPr="00C15562" w:rsidRDefault="00C15562" w:rsidP="00247079">
      <w:pPr>
        <w:pStyle w:val="ListBullet"/>
      </w:pPr>
      <w:r w:rsidRPr="00C15562">
        <w:t xml:space="preserve">Of the partnered </w:t>
      </w:r>
      <w:r w:rsidR="006D014F">
        <w:t>Disability Support Pension</w:t>
      </w:r>
      <w:r w:rsidRPr="00C15562">
        <w:t xml:space="preserve">ers, more than 18% of their partners also receive </w:t>
      </w:r>
      <w:r w:rsidR="000C6659">
        <w:t>DSP</w:t>
      </w:r>
      <w:r w:rsidRPr="00C15562">
        <w:t xml:space="preserve">. Furthermore, for partnered female </w:t>
      </w:r>
      <w:r w:rsidR="006D014F">
        <w:t>Disability Support Pension</w:t>
      </w:r>
      <w:r w:rsidRPr="00C15562">
        <w:t xml:space="preserve">ers, more than 24% of their partners receive the </w:t>
      </w:r>
      <w:r w:rsidR="000C6659">
        <w:t>A</w:t>
      </w:r>
      <w:r w:rsidRPr="00C15562">
        <w:t xml:space="preserve">ge </w:t>
      </w:r>
      <w:r w:rsidR="000C6659">
        <w:t>P</w:t>
      </w:r>
      <w:r w:rsidRPr="00C15562">
        <w:t xml:space="preserve">ension. This suggests partners of </w:t>
      </w:r>
      <w:r w:rsidR="000C6659">
        <w:t>DSP</w:t>
      </w:r>
      <w:r w:rsidRPr="00C15562">
        <w:t xml:space="preserve"> recipients are </w:t>
      </w:r>
      <w:r w:rsidR="00722399">
        <w:t>six</w:t>
      </w:r>
      <w:r w:rsidRPr="00C15562">
        <w:t xml:space="preserve"> times more likely to be in the Disability Support class themselves.</w:t>
      </w:r>
    </w:p>
    <w:p w14:paraId="3AA891A6" w14:textId="35DFB9B9" w:rsidR="00B10720" w:rsidRDefault="00B10720" w:rsidP="00B10720">
      <w:pPr>
        <w:pStyle w:val="Heading3"/>
      </w:pPr>
      <w:bookmarkStart w:id="47" w:name="_Ref500714121"/>
      <w:bookmarkStart w:id="48" w:name="_Toc506388206"/>
      <w:r w:rsidRPr="00151916">
        <w:t>Drivers of lifetime cost</w:t>
      </w:r>
      <w:bookmarkEnd w:id="47"/>
      <w:bookmarkEnd w:id="48"/>
    </w:p>
    <w:p w14:paraId="0EEEF42A" w14:textId="53470564" w:rsidR="00490368" w:rsidRDefault="00490368" w:rsidP="00490368">
      <w:pPr>
        <w:pStyle w:val="PwCNormal"/>
        <w:numPr>
          <w:ilvl w:val="0"/>
          <w:numId w:val="33"/>
        </w:numPr>
        <w:rPr>
          <w:snapToGrid/>
        </w:rPr>
      </w:pPr>
      <w:r>
        <w:t xml:space="preserve">Lifetime cost </w:t>
      </w:r>
      <w:r w:rsidR="00F602A0">
        <w:t xml:space="preserve">is predicted to </w:t>
      </w:r>
      <w:r>
        <w:t xml:space="preserve">vary significantly for people, </w:t>
      </w:r>
      <w:r w:rsidR="00F602A0">
        <w:t xml:space="preserve">based on their </w:t>
      </w:r>
      <w:r w:rsidR="0093592C">
        <w:t xml:space="preserve">circumstances or characteristics </w:t>
      </w:r>
      <w:r w:rsidR="00F602A0">
        <w:t>and the extent to which these are shown to by the analysis to be important differentiators of welfare utilisation or payment size. Although the underlying model is complex and takes into account many interactions, it is</w:t>
      </w:r>
      <w:r>
        <w:t xml:space="preserve"> useful to </w:t>
      </w:r>
      <w:r w:rsidR="00F602A0">
        <w:t xml:space="preserve">identify and </w:t>
      </w:r>
      <w:r>
        <w:t xml:space="preserve">understand </w:t>
      </w:r>
      <w:r w:rsidR="0093592C">
        <w:t xml:space="preserve">in more simple terms </w:t>
      </w:r>
      <w:r>
        <w:t xml:space="preserve">the key drivers which differentiate the lifetime cost of an individual. These </w:t>
      </w:r>
      <w:r w:rsidR="0093592C">
        <w:t>drivers</w:t>
      </w:r>
      <w:r>
        <w:t xml:space="preserve"> vary for the different segments of the population. </w:t>
      </w:r>
    </w:p>
    <w:p w14:paraId="31A06CCB" w14:textId="66A69FAC" w:rsidR="004E4CB7" w:rsidRDefault="00490368" w:rsidP="003218C8">
      <w:pPr>
        <w:pStyle w:val="PwCNormal"/>
        <w:numPr>
          <w:ilvl w:val="0"/>
          <w:numId w:val="33"/>
        </w:numPr>
      </w:pPr>
      <w:r>
        <w:t>The following charts present a summary of the key drivers of the lifetime cost for each pre-retirement income support class (classes 1 to 5). The bars represent the importance of each variable (in terms of predicting the lifetime cost), relative to the most significant variable for that class. Variables are shown below a dotted line if they do not feature in the top ten most predictive variables but are of specific interest.</w:t>
      </w:r>
    </w:p>
    <w:p w14:paraId="1B2CAA37" w14:textId="21487B3A" w:rsidR="003218C8" w:rsidRDefault="004E4CB7" w:rsidP="003218C8">
      <w:pPr>
        <w:pStyle w:val="PwCNormal"/>
        <w:numPr>
          <w:ilvl w:val="0"/>
          <w:numId w:val="33"/>
        </w:numPr>
      </w:pPr>
      <w:r>
        <w:t xml:space="preserve">For example, for the Studying class, the most significant driver of lifetime cost is gender (with the lifetime cost for females being significantly higher than males). The second most important factor is payment type, and this has </w:t>
      </w:r>
      <w:r w:rsidR="006E5ACB">
        <w:t>just below</w:t>
      </w:r>
      <w:r>
        <w:t xml:space="preserve"> half the predictive power in determining the lifetime cost. </w:t>
      </w:r>
    </w:p>
    <w:p w14:paraId="0019B339" w14:textId="74AC2F91" w:rsidR="00490368" w:rsidRDefault="003218C8" w:rsidP="003218C8">
      <w:pPr>
        <w:pStyle w:val="PwCNormal"/>
        <w:numPr>
          <w:ilvl w:val="0"/>
          <w:numId w:val="33"/>
        </w:numPr>
      </w:pPr>
      <w:r>
        <w:t>We have also shown a table next to each chart which provides details of the specific characteristics within each variable that are associated with higher (or lower) lifetime costs.</w:t>
      </w:r>
    </w:p>
    <w:p w14:paraId="74FD3B84" w14:textId="77777777" w:rsidR="00490368" w:rsidRDefault="00490368" w:rsidP="009200F4">
      <w:pPr>
        <w:pStyle w:val="Caption"/>
        <w:pageBreakBefore/>
      </w:pPr>
      <w:r>
        <w:lastRenderedPageBreak/>
        <w:t xml:space="preserve">Figure </w:t>
      </w:r>
      <w:fldSimple w:instr=" SEQ Figure \* ARABIC ">
        <w:r w:rsidR="00C93C1A">
          <w:rPr>
            <w:noProof/>
          </w:rPr>
          <w:t>25</w:t>
        </w:r>
      </w:fldSimple>
      <w:r>
        <w:t>: Key drivers of lifetime cost by welfare class</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Description w:val="This table contains 5 charts"/>
      </w:tblPr>
      <w:tblGrid>
        <w:gridCol w:w="10817"/>
      </w:tblGrid>
      <w:tr w:rsidR="003218C8" w14:paraId="6AB16A34" w14:textId="77777777" w:rsidTr="00BA7F0E">
        <w:trPr>
          <w:cantSplit/>
          <w:trHeight w:val="680"/>
          <w:tblHeader/>
        </w:trPr>
        <w:tc>
          <w:tcPr>
            <w:tcW w:w="10598" w:type="dxa"/>
            <w:shd w:val="clear" w:color="auto" w:fill="auto"/>
          </w:tcPr>
          <w:p w14:paraId="7A2B5038" w14:textId="77777777" w:rsidR="003218C8" w:rsidRDefault="003218C8" w:rsidP="006E5ACB">
            <w:pPr>
              <w:pStyle w:val="PwCNormal"/>
              <w:numPr>
                <w:ilvl w:val="0"/>
                <w:numId w:val="0"/>
              </w:numPr>
              <w:spacing w:before="0" w:after="0"/>
              <w:jc w:val="center"/>
            </w:pPr>
            <w:r>
              <w:rPr>
                <w:b/>
                <w:i/>
                <w:noProof/>
                <w:lang w:eastAsia="en-AU"/>
              </w:rPr>
              <w:drawing>
                <wp:inline distT="0" distB="0" distL="0" distR="0" wp14:anchorId="7C7B61D3" wp14:editId="67413B14">
                  <wp:extent cx="5670000" cy="392400"/>
                  <wp:effectExtent l="0" t="0" r="0" b="8255"/>
                  <wp:docPr id="1057" name="Picture 1057"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71" cstate="print">
                            <a:extLst>
                              <a:ext uri="{28A0092B-C50C-407E-A947-70E740481C1C}">
                                <a14:useLocalDpi xmlns:a14="http://schemas.microsoft.com/office/drawing/2010/main" val="0"/>
                              </a:ext>
                            </a:extLst>
                          </a:blip>
                          <a:srcRect t="4533" b="68266"/>
                          <a:stretch>
                            <a:fillRect/>
                          </a:stretch>
                        </pic:blipFill>
                        <pic:spPr bwMode="auto">
                          <a:xfrm>
                            <a:off x="0" y="0"/>
                            <a:ext cx="5670000" cy="392400"/>
                          </a:xfrm>
                          <a:prstGeom prst="rect">
                            <a:avLst/>
                          </a:prstGeom>
                          <a:noFill/>
                          <a:ln>
                            <a:noFill/>
                          </a:ln>
                        </pic:spPr>
                      </pic:pic>
                    </a:graphicData>
                  </a:graphic>
                </wp:inline>
              </w:drawing>
            </w:r>
          </w:p>
        </w:tc>
      </w:tr>
      <w:tr w:rsidR="003218C8" w14:paraId="5539103E" w14:textId="77777777" w:rsidTr="00BA7F0E">
        <w:trPr>
          <w:cantSplit/>
        </w:trPr>
        <w:tc>
          <w:tcPr>
            <w:tcW w:w="10598" w:type="dxa"/>
          </w:tcPr>
          <w:p w14:paraId="33444274" w14:textId="77777777" w:rsidR="003218C8" w:rsidRPr="006E5ACB" w:rsidRDefault="003218C8" w:rsidP="006E5ACB">
            <w:pPr>
              <w:pStyle w:val="PwCNormal"/>
              <w:spacing w:before="180" w:after="0"/>
              <w:jc w:val="center"/>
              <w:rPr>
                <w:b/>
                <w:i/>
                <w:noProof/>
                <w:lang w:eastAsia="en-AU"/>
              </w:rPr>
            </w:pPr>
            <w:r>
              <w:rPr>
                <w:b/>
                <w:i/>
                <w:noProof/>
                <w:lang w:eastAsia="en-AU"/>
              </w:rPr>
              <w:t>Class 1 Studying</w:t>
            </w:r>
          </w:p>
          <w:p w14:paraId="5CB635C1" w14:textId="62B20BF1" w:rsidR="003218C8" w:rsidRDefault="00253686" w:rsidP="00BA7F0E">
            <w:pPr>
              <w:pStyle w:val="PwCNormal"/>
              <w:numPr>
                <w:ilvl w:val="0"/>
                <w:numId w:val="0"/>
              </w:numPr>
              <w:spacing w:before="0" w:after="0"/>
              <w:jc w:val="center"/>
            </w:pPr>
            <w:r w:rsidRPr="00253686">
              <w:rPr>
                <w:noProof/>
                <w:lang w:eastAsia="en-AU"/>
              </w:rPr>
              <w:drawing>
                <wp:inline distT="0" distB="0" distL="0" distR="0" wp14:anchorId="371396CB" wp14:editId="0537C15A">
                  <wp:extent cx="6732000" cy="2384606"/>
                  <wp:effectExtent l="0" t="0" r="0" b="0"/>
                  <wp:docPr id="3919" name="Picture 3919" descr="This figure contains 5 graphs, one for each of the welfare classes; Class 1 Studying, Class 2 Working Age, Class 3 Parents, Class 4 Carers, Class 5 Disability Support.&#10;&#10;Each graph is a bar chart showing the key drivers of lifetime cost for each welfare class, and their level of variable importance in descending order.&#10;The key drivers are also listed in the corresponding table next to the bar chart.&#10;&#10;For Class 1 Studying, gender is by far the biggest driver, followed by payment type, indigenous status, age first entered into the welfare system, and age at valuation date. &#10;&#10;For Cass 2 Working Age, previous welfare class and duration on income support are the main drivers of lifetime cost.&#10;&#10;For Class 3 Parents, partnering status and history, payment type, age of youngest child, age at valuation date are the main drivers of lifetime cost.&#10;&#10;For Class 4 Carers, age at valuation date and age first entered the welfare system were the main drivers of lifetime cost.&#10;&#10;For class 5 Disability Support, age at valuation date, age first entered the welfare system, and medical condition were the main drivers of lifetime cost.&#10;&#10;The key features of this chart are described in the accompanying text within the report.&#10;" title="Key drivers of lifetime cost by welfar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32000" cy="2384606"/>
                          </a:xfrm>
                          <a:prstGeom prst="rect">
                            <a:avLst/>
                          </a:prstGeom>
                          <a:noFill/>
                          <a:ln>
                            <a:noFill/>
                          </a:ln>
                        </pic:spPr>
                      </pic:pic>
                    </a:graphicData>
                  </a:graphic>
                </wp:inline>
              </w:drawing>
            </w:r>
          </w:p>
        </w:tc>
      </w:tr>
      <w:tr w:rsidR="003218C8" w14:paraId="51CBD782" w14:textId="77777777" w:rsidTr="00BA7F0E">
        <w:trPr>
          <w:cantSplit/>
        </w:trPr>
        <w:tc>
          <w:tcPr>
            <w:tcW w:w="10598" w:type="dxa"/>
          </w:tcPr>
          <w:p w14:paraId="09310048" w14:textId="77777777" w:rsidR="003218C8" w:rsidRDefault="003218C8" w:rsidP="006E5ACB">
            <w:pPr>
              <w:pStyle w:val="PwCNormal"/>
              <w:spacing w:before="180" w:after="0"/>
              <w:jc w:val="center"/>
              <w:rPr>
                <w:b/>
                <w:i/>
                <w:noProof/>
                <w:lang w:eastAsia="en-AU"/>
              </w:rPr>
            </w:pPr>
            <w:r>
              <w:rPr>
                <w:b/>
                <w:i/>
                <w:noProof/>
                <w:lang w:eastAsia="en-AU"/>
              </w:rPr>
              <w:t>Class 2 Working Age</w:t>
            </w:r>
          </w:p>
          <w:p w14:paraId="37E470E5" w14:textId="7671E4E0" w:rsidR="003218C8" w:rsidRDefault="00BA7F0E" w:rsidP="006E5ACB">
            <w:pPr>
              <w:pStyle w:val="PwCNormal"/>
              <w:numPr>
                <w:ilvl w:val="0"/>
                <w:numId w:val="0"/>
              </w:numPr>
              <w:spacing w:before="0" w:after="0"/>
            </w:pPr>
            <w:r w:rsidRPr="00BA7F0E">
              <w:rPr>
                <w:noProof/>
                <w:lang w:eastAsia="en-AU"/>
              </w:rPr>
              <w:drawing>
                <wp:inline distT="0" distB="0" distL="0" distR="0" wp14:anchorId="379A6AB1" wp14:editId="2247FAAE">
                  <wp:extent cx="6732000" cy="2679947"/>
                  <wp:effectExtent l="0" t="0" r="0" b="0"/>
                  <wp:docPr id="3915" name="Picture 3915" descr="This figure contains 5 graphs, one for each of the welfare classes; Class 1 Studying, Class 2 Working Age, Class 3 Parents, Class 4 Carers, Class 5 Disability Support.&#10;&#10;Each graph is a bar chart showing the key drivers of lifetime cost for each welfare class, and their level of variable importance in descending order.&#10;The key drivers are also listed in the corresponding table next to the bar chart.&#10;&#10;For Class 1 Studying, gender is by far the biggest driver, followed by payment type, indigenous status, age first entered into the welfare system, and age at valuation date. &#10;&#10;For Cass 2 Working Age, previous welfare class and duration on income support are the main drivers of lifetime cost.&#10;&#10;For Class 3 Parents, partnering status and history, payment type, age of youngest child, age at valuation date are the main drivers of lifetime cost.&#10;&#10;For Class 4 Carers, age at valuation date and age first entered the welfare system were the main drivers of lifetime cost.&#10;&#10;For class 5 Disability Support, age at valuation date, age first entered the welfare system, and medical condition were the main drivers of lifetime cost.&#10;&#10;The key features of this chart are described in the accompanying text within the report.&#10;" title="Key drivers of lifetime cost by welfar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32000" cy="2679947"/>
                          </a:xfrm>
                          <a:prstGeom prst="rect">
                            <a:avLst/>
                          </a:prstGeom>
                          <a:noFill/>
                          <a:ln>
                            <a:noFill/>
                          </a:ln>
                        </pic:spPr>
                      </pic:pic>
                    </a:graphicData>
                  </a:graphic>
                </wp:inline>
              </w:drawing>
            </w:r>
          </w:p>
        </w:tc>
      </w:tr>
      <w:tr w:rsidR="003218C8" w14:paraId="7EDC0939" w14:textId="77777777" w:rsidTr="00BA7F0E">
        <w:trPr>
          <w:cantSplit/>
        </w:trPr>
        <w:tc>
          <w:tcPr>
            <w:tcW w:w="10598" w:type="dxa"/>
          </w:tcPr>
          <w:p w14:paraId="141779A9" w14:textId="77777777" w:rsidR="003218C8" w:rsidRPr="003218C8" w:rsidRDefault="003218C8" w:rsidP="006E5ACB">
            <w:pPr>
              <w:pStyle w:val="PwCNormal"/>
              <w:spacing w:before="180" w:after="0"/>
              <w:jc w:val="center"/>
              <w:rPr>
                <w:b/>
                <w:i/>
                <w:noProof/>
                <w:lang w:eastAsia="en-AU"/>
              </w:rPr>
            </w:pPr>
            <w:r>
              <w:rPr>
                <w:b/>
                <w:i/>
                <w:noProof/>
                <w:lang w:eastAsia="en-AU"/>
              </w:rPr>
              <w:lastRenderedPageBreak/>
              <w:t>Class 3 Parents</w:t>
            </w:r>
          </w:p>
          <w:p w14:paraId="63A2FD4B" w14:textId="507F7735" w:rsidR="003218C8" w:rsidRDefault="00BA7F0E" w:rsidP="006E5ACB">
            <w:pPr>
              <w:pStyle w:val="PwCNormal"/>
              <w:numPr>
                <w:ilvl w:val="0"/>
                <w:numId w:val="0"/>
              </w:numPr>
              <w:spacing w:before="0" w:after="0"/>
            </w:pPr>
            <w:r w:rsidRPr="00BA7F0E">
              <w:rPr>
                <w:noProof/>
                <w:lang w:eastAsia="en-AU"/>
              </w:rPr>
              <w:drawing>
                <wp:inline distT="0" distB="0" distL="0" distR="0" wp14:anchorId="37364D4E" wp14:editId="246E3ED4">
                  <wp:extent cx="6732000" cy="2532277"/>
                  <wp:effectExtent l="0" t="0" r="0" b="0"/>
                  <wp:docPr id="3916" name="Picture 3916" descr="This figure contains 5 graphs, one for each of the welfare classes; Class 1 Studying, Class 2 Working Age, Class 3 Parents, Class 4 Carers, Class 5 Disability Support.&#10;&#10;Each graph is a bar chart showing the key drivers of lifetime cost for each welfare class, and their level of variable importance in descending order.&#10;The key drivers are also listed in the corresponding table next to the bar chart.&#10;&#10;For Class 1 Studying, gender is by far the biggest driver, followed by payment type, indigenous status, age first entered into the welfare system, and age at valuation date. &#10;&#10;For Cass 2 Working Age, previous welfare class and duration on income support are the main drivers of lifetime cost.&#10;&#10;For Class 3 Parents, partnering status and history, payment type, age of youngest child, age at valuation date are the main drivers of lifetime cost.&#10;&#10;For Class 4 Carers, age at valuation date and age first entered the welfare system were the main drivers of lifetime cost.&#10;&#10;For class 5 Disability Support, age at valuation date, age first entered the welfare system, and medical condition were the main drivers of lifetime cost.&#10;&#10;The key features of this chart are described in the accompanying text within the report.&#10;" title="Key drivers of lifetime cost by welfar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32000" cy="2532277"/>
                          </a:xfrm>
                          <a:prstGeom prst="rect">
                            <a:avLst/>
                          </a:prstGeom>
                          <a:noFill/>
                          <a:ln>
                            <a:noFill/>
                          </a:ln>
                        </pic:spPr>
                      </pic:pic>
                    </a:graphicData>
                  </a:graphic>
                </wp:inline>
              </w:drawing>
            </w:r>
          </w:p>
        </w:tc>
      </w:tr>
      <w:tr w:rsidR="003218C8" w14:paraId="5D0AA4C4" w14:textId="77777777" w:rsidTr="00BA7F0E">
        <w:trPr>
          <w:cantSplit/>
        </w:trPr>
        <w:tc>
          <w:tcPr>
            <w:tcW w:w="10598" w:type="dxa"/>
          </w:tcPr>
          <w:p w14:paraId="5A5ACDE3" w14:textId="77777777" w:rsidR="003218C8" w:rsidRPr="003218C8" w:rsidRDefault="003218C8" w:rsidP="006E5ACB">
            <w:pPr>
              <w:pStyle w:val="PwCNormal"/>
              <w:spacing w:before="180" w:after="0"/>
              <w:jc w:val="center"/>
              <w:rPr>
                <w:b/>
                <w:i/>
                <w:noProof/>
                <w:lang w:eastAsia="en-AU"/>
              </w:rPr>
            </w:pPr>
            <w:r>
              <w:rPr>
                <w:b/>
                <w:i/>
                <w:noProof/>
                <w:lang w:eastAsia="en-AU"/>
              </w:rPr>
              <w:t>Class 4 Carers</w:t>
            </w:r>
          </w:p>
          <w:p w14:paraId="689952CE" w14:textId="0594908E" w:rsidR="003218C8" w:rsidRDefault="00BA7F0E" w:rsidP="006E5ACB">
            <w:pPr>
              <w:pStyle w:val="PwCNormal"/>
              <w:numPr>
                <w:ilvl w:val="0"/>
                <w:numId w:val="0"/>
              </w:numPr>
              <w:spacing w:before="0" w:after="0"/>
            </w:pPr>
            <w:r w:rsidRPr="00BA7F0E">
              <w:rPr>
                <w:noProof/>
                <w:lang w:eastAsia="en-AU"/>
              </w:rPr>
              <w:drawing>
                <wp:inline distT="0" distB="0" distL="0" distR="0" wp14:anchorId="4DF33549" wp14:editId="4D38E3C1">
                  <wp:extent cx="6732000" cy="2384606"/>
                  <wp:effectExtent l="0" t="0" r="0" b="0"/>
                  <wp:docPr id="3917" name="Picture 3917" descr="This figure contains 5 graphs, one for each of the welfare classes; Class 1 Studying, Class 2 Working Age, Class 3 Parents, Class 4 Carers, Class 5 Disability Support.&#10;&#10;Each graph is a bar chart showing the key drivers of lifetime cost for each welfare class, and their level of variable importance in descending order.&#10;The key drivers are also listed in the corresponding table next to the bar chart.&#10;&#10;For Class 1 Studying, gender is by far the biggest driver, followed by payment type, indigenous status, age first entered into the welfare system, and age at valuation date. &#10;&#10;For Cass 2 Working Age, previous welfare class and duration on income support are the main drivers of lifetime cost.&#10;&#10;For Class 3 Parents, partnering status and history, payment type, age of youngest child, age at valuation date are the main drivers of lifetime cost.&#10;&#10;For Class 4 Carers, age at valuation date and age first entered the welfare system were the main drivers of lifetime cost.&#10;&#10;For class 5 Disability Support, age at valuation date, age first entered the welfare system, and medical condition were the main drivers of lifetime cost.&#10;&#10;The key features of this chart are described in the accompanying text within the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732000" cy="2384606"/>
                          </a:xfrm>
                          <a:prstGeom prst="rect">
                            <a:avLst/>
                          </a:prstGeom>
                          <a:noFill/>
                          <a:ln>
                            <a:noFill/>
                          </a:ln>
                        </pic:spPr>
                      </pic:pic>
                    </a:graphicData>
                  </a:graphic>
                </wp:inline>
              </w:drawing>
            </w:r>
          </w:p>
        </w:tc>
      </w:tr>
      <w:tr w:rsidR="003218C8" w14:paraId="0AB27D3E" w14:textId="77777777" w:rsidTr="00BA7F0E">
        <w:trPr>
          <w:cantSplit/>
        </w:trPr>
        <w:tc>
          <w:tcPr>
            <w:tcW w:w="10598" w:type="dxa"/>
          </w:tcPr>
          <w:p w14:paraId="7C5FDDAC" w14:textId="77777777" w:rsidR="003218C8" w:rsidRPr="003218C8" w:rsidRDefault="003218C8" w:rsidP="006E5ACB">
            <w:pPr>
              <w:pStyle w:val="PwCNormal"/>
              <w:spacing w:before="180" w:after="0"/>
              <w:jc w:val="center"/>
              <w:rPr>
                <w:b/>
                <w:i/>
                <w:noProof/>
                <w:lang w:eastAsia="en-AU"/>
              </w:rPr>
            </w:pPr>
            <w:r>
              <w:rPr>
                <w:b/>
                <w:i/>
                <w:noProof/>
                <w:lang w:eastAsia="en-AU"/>
              </w:rPr>
              <w:t>Class 5 Disability Support</w:t>
            </w:r>
          </w:p>
          <w:p w14:paraId="04C813F6" w14:textId="395635F1" w:rsidR="003218C8" w:rsidRDefault="00BA7F0E" w:rsidP="006E5ACB">
            <w:pPr>
              <w:pStyle w:val="PwCNormal"/>
              <w:numPr>
                <w:ilvl w:val="0"/>
                <w:numId w:val="0"/>
              </w:numPr>
              <w:spacing w:before="0" w:after="0"/>
            </w:pPr>
            <w:r w:rsidRPr="00BA7F0E">
              <w:rPr>
                <w:noProof/>
                <w:lang w:eastAsia="en-AU"/>
              </w:rPr>
              <w:drawing>
                <wp:inline distT="0" distB="0" distL="0" distR="0" wp14:anchorId="7CB2F9FF" wp14:editId="6C855335">
                  <wp:extent cx="6732000" cy="2162417"/>
                  <wp:effectExtent l="0" t="0" r="0" b="0"/>
                  <wp:docPr id="3918" name="Picture 3918" descr="This figure contains 5 graphs, one for each of the welfare classes; Class 1 Studying, Class 2 Working Age, Class 3 Parents, Class 4 Carers, Class 5 Disability Support.&#10;&#10;Each graph is a bar chart showing the key drivers of lifetime cost for each welfare class, and their level of variable importance in descending order.&#10;The key drivers are also listed in the corresponding table next to the bar chart.&#10;&#10;For Class 1 Studying, gender is by far the biggest driver, followed by payment type, indigenous status, age first entered into the welfare system, and age at valuation date. &#10;&#10;For Cass 2 Working Age, previous welfare class and duration on income support are the main drivers of lifetime cost.&#10;&#10;For Class 3 Parents, partnering status and history, payment type, age of youngest child, age at valuation date are the main drivers of lifetime cost.&#10;&#10;For Class 4 Carers, age at valuation date and age first entered the welfare system were the main drivers of lifetime cost.&#10;&#10;For class 5 Disability Support, age at valuation date, age first entered the welfare system, and medical condition were the main drivers of lifetime cost.&#10;&#10;The key features of this chart are described in the accompanying text within the report.&#10;" title="Key drivers of lifetime cost by welfar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732000" cy="2162417"/>
                          </a:xfrm>
                          <a:prstGeom prst="rect">
                            <a:avLst/>
                          </a:prstGeom>
                          <a:noFill/>
                          <a:ln>
                            <a:noFill/>
                          </a:ln>
                        </pic:spPr>
                      </pic:pic>
                    </a:graphicData>
                  </a:graphic>
                </wp:inline>
              </w:drawing>
            </w:r>
          </w:p>
        </w:tc>
      </w:tr>
    </w:tbl>
    <w:p w14:paraId="777D484E" w14:textId="6169D0B4" w:rsidR="00490368" w:rsidRDefault="00490368" w:rsidP="00490368">
      <w:pPr>
        <w:pStyle w:val="Sources"/>
      </w:pPr>
      <w:r>
        <w:t>Note: Princip</w:t>
      </w:r>
      <w:r w:rsidR="0093592C">
        <w:t>al</w:t>
      </w:r>
      <w:r>
        <w:t xml:space="preserve"> carer payment </w:t>
      </w:r>
      <w:r w:rsidR="00427AF0">
        <w:t xml:space="preserve">is denoted with a (*) as this has </w:t>
      </w:r>
      <w:r>
        <w:t>not been modelled directly and has likely featured due to its correlation with directly modelled variables. As such, caution should be exercised when drawing conclusions based on this variable.</w:t>
      </w:r>
    </w:p>
    <w:p w14:paraId="1C4BCDFA" w14:textId="77777777" w:rsidR="00490368" w:rsidRDefault="00490368" w:rsidP="00490368">
      <w:pPr>
        <w:pStyle w:val="PwCNormal"/>
        <w:numPr>
          <w:ilvl w:val="0"/>
          <w:numId w:val="0"/>
        </w:numPr>
      </w:pPr>
      <w:r>
        <w:lastRenderedPageBreak/>
        <w:t>We observe:</w:t>
      </w:r>
    </w:p>
    <w:p w14:paraId="15C1D608" w14:textId="40B0360C" w:rsidR="00EA4F9A" w:rsidRDefault="00490368" w:rsidP="00490368">
      <w:pPr>
        <w:pStyle w:val="ListBullet"/>
      </w:pPr>
      <w:r>
        <w:t>Across all the classes</w:t>
      </w:r>
      <w:r w:rsidR="00EA4F9A">
        <w:t>,</w:t>
      </w:r>
      <w:r>
        <w:t xml:space="preserve"> the attributes which have been identified as significant </w:t>
      </w:r>
      <w:r w:rsidR="007D13FB">
        <w:t>are</w:t>
      </w:r>
      <w:r>
        <w:t xml:space="preserve"> the factors which</w:t>
      </w:r>
      <w:r w:rsidR="007D13FB">
        <w:t xml:space="preserve"> either</w:t>
      </w:r>
      <w:r w:rsidR="00EA4F9A">
        <w:t>:</w:t>
      </w:r>
    </w:p>
    <w:p w14:paraId="70585632" w14:textId="589B7809" w:rsidR="00EA4F9A" w:rsidRDefault="00EA4F9A" w:rsidP="00EA4F9A">
      <w:pPr>
        <w:pStyle w:val="ListBullet2"/>
      </w:pPr>
      <w:r>
        <w:t>Reflect the structure of the benefit system and how long people are eligible to receive benefits (e.g. age, age of youngest child)</w:t>
      </w:r>
    </w:p>
    <w:p w14:paraId="6E6BCC36" w14:textId="3287CF15" w:rsidR="00EA4F9A" w:rsidRDefault="00EA4F9A" w:rsidP="00EA4F9A">
      <w:pPr>
        <w:pStyle w:val="ListBullet2"/>
      </w:pPr>
      <w:r>
        <w:t>Capture other information which</w:t>
      </w:r>
      <w:r w:rsidR="00490368">
        <w:t xml:space="preserve"> is important in determining </w:t>
      </w:r>
      <w:r>
        <w:t>people</w:t>
      </w:r>
      <w:r w:rsidR="006019B5">
        <w:t>’</w:t>
      </w:r>
      <w:r>
        <w:t>s expected persistency</w:t>
      </w:r>
      <w:r w:rsidR="007D13FB">
        <w:t xml:space="preserve"> on payment</w:t>
      </w:r>
      <w:r>
        <w:t xml:space="preserve"> (e.g. age first entered welfare system, duration on income support) </w:t>
      </w:r>
    </w:p>
    <w:p w14:paraId="2329AA31" w14:textId="46919E0D" w:rsidR="00490368" w:rsidRDefault="00EA4F9A" w:rsidP="00EA4F9A">
      <w:pPr>
        <w:pStyle w:val="ListBullet2"/>
      </w:pPr>
      <w:r>
        <w:t>Reflect the different levels of payment</w:t>
      </w:r>
      <w:r w:rsidR="007D13FB">
        <w:t>s</w:t>
      </w:r>
      <w:r>
        <w:t xml:space="preserve"> </w:t>
      </w:r>
      <w:r w:rsidR="007D13FB">
        <w:t>made</w:t>
      </w:r>
      <w:r>
        <w:t xml:space="preserve"> to people in the class (e.g</w:t>
      </w:r>
      <w:r w:rsidR="00490368">
        <w:t xml:space="preserve">. </w:t>
      </w:r>
      <w:r w:rsidR="007D13FB">
        <w:t xml:space="preserve">gender, </w:t>
      </w:r>
      <w:r>
        <w:t>partnering status)</w:t>
      </w:r>
    </w:p>
    <w:p w14:paraId="5F8C761B" w14:textId="6CE97820" w:rsidR="00EA4F9A" w:rsidRDefault="007D13FB" w:rsidP="007D13FB">
      <w:pPr>
        <w:pStyle w:val="ListContinue"/>
        <w:ind w:left="284"/>
      </w:pPr>
      <w:r>
        <w:t>Some of the drivers are significant for more than one of these reasons. Further commentary for each class is provided below.</w:t>
      </w:r>
    </w:p>
    <w:p w14:paraId="53B25704" w14:textId="39907756" w:rsidR="007D13FB" w:rsidRDefault="007D13FB" w:rsidP="007D13FB">
      <w:pPr>
        <w:pStyle w:val="ListBullet"/>
      </w:pPr>
      <w:r>
        <w:t>For class 1:</w:t>
      </w:r>
    </w:p>
    <w:p w14:paraId="3E435E96" w14:textId="322E6C67" w:rsidR="007D13FB" w:rsidRDefault="007D13FB" w:rsidP="007D13FB">
      <w:pPr>
        <w:pStyle w:val="ListBullet2"/>
      </w:pPr>
      <w:r>
        <w:t xml:space="preserve">Gender is the most significant variable and reflects the higher level of family payments that are </w:t>
      </w:r>
      <w:r w:rsidR="001E650A">
        <w:t xml:space="preserve">generally </w:t>
      </w:r>
      <w:r>
        <w:t xml:space="preserve">expected to be made to women over their future lifetimes. This is relatively more important in this studying class because </w:t>
      </w:r>
      <w:r w:rsidR="001E650A">
        <w:t>although many men and women exit income support from this class, many more women than men then go on to receive family payments during their lives.</w:t>
      </w:r>
      <w:r w:rsidR="001E650A" w:rsidDel="001E650A">
        <w:t xml:space="preserve"> </w:t>
      </w:r>
    </w:p>
    <w:p w14:paraId="0D907F6D" w14:textId="67B0F4E7" w:rsidR="00CF2DED" w:rsidRDefault="00CF2DED" w:rsidP="007D13FB">
      <w:pPr>
        <w:pStyle w:val="ListBullet2"/>
      </w:pPr>
      <w:r w:rsidRPr="00CF2DED">
        <w:t xml:space="preserve">The drivers which have the next significance are payment type, indigenous status and age first entered the welfare system. These all reflect eligibility of </w:t>
      </w:r>
      <w:r w:rsidR="00FA4F6F">
        <w:t>I</w:t>
      </w:r>
      <w:r w:rsidRPr="00CF2DED">
        <w:t xml:space="preserve">ndigenous </w:t>
      </w:r>
      <w:r w:rsidR="0031733E">
        <w:t>Australians</w:t>
      </w:r>
      <w:r w:rsidR="0031733E" w:rsidRPr="00CF2DED">
        <w:t xml:space="preserve"> </w:t>
      </w:r>
      <w:r w:rsidRPr="00CF2DED">
        <w:t>to receive ABSTUDY and the structure of this payment type whereby eligib</w:t>
      </w:r>
      <w:r w:rsidR="00A5012F">
        <w:t>ility is at younger ages</w:t>
      </w:r>
      <w:r w:rsidRPr="00CF2DED">
        <w:t xml:space="preserve"> than for the other studying payment types.</w:t>
      </w:r>
    </w:p>
    <w:p w14:paraId="68EFBE03" w14:textId="6646596B" w:rsidR="00263C8E" w:rsidRDefault="00CF2DED" w:rsidP="00FA4F6F">
      <w:pPr>
        <w:pStyle w:val="ListBullet2"/>
      </w:pPr>
      <w:r>
        <w:t xml:space="preserve">Age is important as it acts as a proxy for </w:t>
      </w:r>
      <w:r w:rsidR="00104E3B">
        <w:t>people’s</w:t>
      </w:r>
      <w:r>
        <w:t xml:space="preserve"> progress through their studies.</w:t>
      </w:r>
    </w:p>
    <w:p w14:paraId="13920DCA" w14:textId="02B9C282" w:rsidR="00104E3B" w:rsidRDefault="00CF2DED" w:rsidP="007D13FB">
      <w:pPr>
        <w:pStyle w:val="ListBullet2"/>
      </w:pPr>
      <w:r>
        <w:t>Whilst relatively less significant, the remaining variables shown in the chart are factors which are helpful in differentiating which people have a higher expected lifetime cost, all other things being equal.</w:t>
      </w:r>
      <w:r w:rsidR="00104E3B">
        <w:t xml:space="preserve"> For instance people with lower levels of educational attainment have higher lifetime costs. </w:t>
      </w:r>
    </w:p>
    <w:p w14:paraId="36BBB706" w14:textId="5E36E7CD" w:rsidR="007D13FB" w:rsidRDefault="007D13FB" w:rsidP="007D13FB">
      <w:pPr>
        <w:pStyle w:val="ListBullet"/>
      </w:pPr>
      <w:r>
        <w:t>For class 2</w:t>
      </w:r>
      <w:r w:rsidR="00104E3B">
        <w:t>:</w:t>
      </w:r>
    </w:p>
    <w:p w14:paraId="0AC2A87C" w14:textId="12EDF781" w:rsidR="00C55060" w:rsidRPr="00066677" w:rsidRDefault="00C55060" w:rsidP="00104E3B">
      <w:pPr>
        <w:pStyle w:val="ListBullet2"/>
      </w:pPr>
      <w:r w:rsidRPr="00066677">
        <w:t>Previous welfare class and duration on income support are the most significant variables and reflect the observation that people who have been on income support for longer, are also more likely to continue using income support.</w:t>
      </w:r>
    </w:p>
    <w:p w14:paraId="27CF7E8E" w14:textId="1A9FFCB2" w:rsidR="00104E3B" w:rsidRDefault="00104E3B" w:rsidP="00C55060">
      <w:pPr>
        <w:pStyle w:val="ListBullet2"/>
      </w:pPr>
      <w:r w:rsidRPr="00066677">
        <w:t xml:space="preserve">The age of a recipient’s youngest child is a highly ranked driver for class 2 and this is reflective of the expected duration of people’s </w:t>
      </w:r>
      <w:r w:rsidR="00C55060" w:rsidRPr="00066677">
        <w:t xml:space="preserve">future </w:t>
      </w:r>
      <w:r w:rsidRPr="00066677">
        <w:t>caring responsibilities</w:t>
      </w:r>
      <w:r w:rsidR="00A5012F">
        <w:t>, which impacts their chance of becoming independent of working age payments</w:t>
      </w:r>
      <w:r w:rsidRPr="00066677">
        <w:t xml:space="preserve">. </w:t>
      </w:r>
    </w:p>
    <w:p w14:paraId="1237FE6C" w14:textId="77777777" w:rsidR="007D13FB" w:rsidRDefault="007D13FB" w:rsidP="007D13FB">
      <w:pPr>
        <w:pStyle w:val="ListBullet"/>
      </w:pPr>
      <w:r>
        <w:t>For class 3</w:t>
      </w:r>
    </w:p>
    <w:p w14:paraId="717C442B" w14:textId="6F52D564" w:rsidR="00104E3B" w:rsidRPr="00066677" w:rsidRDefault="00104E3B" w:rsidP="00104E3B">
      <w:pPr>
        <w:pStyle w:val="ListBullet2"/>
      </w:pPr>
      <w:r w:rsidRPr="00066677">
        <w:t xml:space="preserve">A person’s partner status and partnering history (‘partnering status and history’) is the most important driver of lifetime cost for class 3. </w:t>
      </w:r>
      <w:r w:rsidR="00C55060" w:rsidRPr="00066677">
        <w:t xml:space="preserve">This is because single </w:t>
      </w:r>
      <w:r w:rsidR="007C0753">
        <w:t xml:space="preserve">people </w:t>
      </w:r>
      <w:r w:rsidR="00C55060" w:rsidRPr="00066677">
        <w:t xml:space="preserve">have a longer </w:t>
      </w:r>
      <w:r w:rsidR="007C0753">
        <w:t xml:space="preserve">eligibility </w:t>
      </w:r>
      <w:r w:rsidR="00A5012F">
        <w:t>for</w:t>
      </w:r>
      <w:r w:rsidR="007C0753">
        <w:t xml:space="preserve"> P</w:t>
      </w:r>
      <w:r w:rsidR="00C55060" w:rsidRPr="00066677">
        <w:t xml:space="preserve">arenting </w:t>
      </w:r>
      <w:r w:rsidR="007C0753">
        <w:t>P</w:t>
      </w:r>
      <w:r w:rsidR="00C55060" w:rsidRPr="00066677">
        <w:t>ayments</w:t>
      </w:r>
      <w:r w:rsidR="007C0753">
        <w:t xml:space="preserve">, </w:t>
      </w:r>
      <w:r w:rsidR="00C55060" w:rsidRPr="00066677">
        <w:t xml:space="preserve">and also </w:t>
      </w:r>
      <w:r w:rsidR="007C0753">
        <w:t>because single people receive a higher rate of payment</w:t>
      </w:r>
      <w:r w:rsidRPr="00066677">
        <w:t>.</w:t>
      </w:r>
      <w:r w:rsidR="00C55060" w:rsidRPr="00066677">
        <w:t xml:space="preserve"> </w:t>
      </w:r>
      <w:r w:rsidR="007C0753">
        <w:t>P</w:t>
      </w:r>
      <w:r w:rsidR="00C55060" w:rsidRPr="00066677">
        <w:t xml:space="preserve">ayment type </w:t>
      </w:r>
      <w:r w:rsidR="007C0753">
        <w:t>distinguishes whether a recipient is receiving P</w:t>
      </w:r>
      <w:r w:rsidR="00C55060" w:rsidRPr="00066677">
        <w:t>arenting Payment Single or Parenting Payment Partnered</w:t>
      </w:r>
      <w:r w:rsidR="00F52967">
        <w:t xml:space="preserve">. As such this </w:t>
      </w:r>
      <w:r w:rsidR="007C0753">
        <w:t>is picking up similar information to partnering status and history</w:t>
      </w:r>
      <w:r w:rsidR="00F52967">
        <w:t>,</w:t>
      </w:r>
      <w:r w:rsidR="007C0753">
        <w:t xml:space="preserve"> and </w:t>
      </w:r>
      <w:r w:rsidR="00F52967">
        <w:t xml:space="preserve">so </w:t>
      </w:r>
      <w:r w:rsidR="007C0753">
        <w:t xml:space="preserve">is </w:t>
      </w:r>
      <w:r w:rsidR="00F52967">
        <w:t xml:space="preserve">also </w:t>
      </w:r>
      <w:r w:rsidR="007C0753">
        <w:t>coming through as an important driver</w:t>
      </w:r>
      <w:r w:rsidR="00C55060" w:rsidRPr="00066677">
        <w:t>.</w:t>
      </w:r>
    </w:p>
    <w:p w14:paraId="56650375" w14:textId="0D34EA14" w:rsidR="00104E3B" w:rsidRPr="00066677" w:rsidRDefault="00104E3B" w:rsidP="00104E3B">
      <w:pPr>
        <w:pStyle w:val="ListBullet2"/>
      </w:pPr>
      <w:r w:rsidRPr="00066677">
        <w:t xml:space="preserve">The age of a recipient’s youngest child is a highly ranked driver this is reflective of the payment eligibility criteria which are linked to this information and recognise the expected duration of people’s </w:t>
      </w:r>
      <w:r w:rsidR="00C55060" w:rsidRPr="00066677">
        <w:t xml:space="preserve">future </w:t>
      </w:r>
      <w:r w:rsidRPr="00066677">
        <w:t xml:space="preserve">caring responsibilities. </w:t>
      </w:r>
    </w:p>
    <w:p w14:paraId="663B4DF1" w14:textId="0A70FBF6" w:rsidR="007D13FB" w:rsidRDefault="007D13FB" w:rsidP="007D13FB">
      <w:pPr>
        <w:pStyle w:val="ListBullet"/>
      </w:pPr>
      <w:r>
        <w:t>For class 4</w:t>
      </w:r>
      <w:r w:rsidR="00104E3B">
        <w:t>:</w:t>
      </w:r>
    </w:p>
    <w:p w14:paraId="2B7ED5E0" w14:textId="57D15969" w:rsidR="00104E3B" w:rsidRDefault="00104E3B" w:rsidP="00104E3B">
      <w:pPr>
        <w:pStyle w:val="ListBullet2"/>
      </w:pPr>
      <w:r w:rsidRPr="00066677">
        <w:t xml:space="preserve">Age is the most important driver, reflecting the high persistency of most people in this class. </w:t>
      </w:r>
      <w:r w:rsidR="002F603B" w:rsidRPr="00066677">
        <w:t xml:space="preserve">This high persistency results in younger people generally having a higher lifetime cost as they have a longer expected future lifetime </w:t>
      </w:r>
      <w:r w:rsidR="001B1D8E">
        <w:t xml:space="preserve">during </w:t>
      </w:r>
      <w:r w:rsidR="002F603B" w:rsidRPr="00066677">
        <w:t>which they can receive payment.</w:t>
      </w:r>
    </w:p>
    <w:p w14:paraId="611E3E45" w14:textId="155FE332" w:rsidR="00F52967" w:rsidRPr="00066677" w:rsidRDefault="00F52967" w:rsidP="00104E3B">
      <w:pPr>
        <w:pStyle w:val="ListBullet2"/>
      </w:pPr>
      <w:r>
        <w:t>Age o</w:t>
      </w:r>
      <w:r w:rsidR="001B1D8E">
        <w:t>f</w:t>
      </w:r>
      <w:r>
        <w:t xml:space="preserve"> youngest child as well as the payment categories used in the latest year are also important drivers. Both of these variables incorporate information about whether the recipient has children and therefore is likely to receive family payments.</w:t>
      </w:r>
    </w:p>
    <w:p w14:paraId="40E97323" w14:textId="70EDF8A7" w:rsidR="007D13FB" w:rsidRDefault="007D13FB" w:rsidP="00253686">
      <w:pPr>
        <w:pStyle w:val="ListBullet"/>
        <w:keepNext/>
      </w:pPr>
      <w:r>
        <w:lastRenderedPageBreak/>
        <w:t>For class 5</w:t>
      </w:r>
      <w:r w:rsidR="00104E3B">
        <w:t>:</w:t>
      </w:r>
    </w:p>
    <w:p w14:paraId="7469076A" w14:textId="3A9F9802" w:rsidR="00104E3B" w:rsidRPr="00976674" w:rsidRDefault="00104E3B" w:rsidP="00104E3B">
      <w:pPr>
        <w:pStyle w:val="ListBullet2"/>
      </w:pPr>
      <w:r w:rsidRPr="00976674">
        <w:t>Age is the most important driver, again reflecting the high persistency of most people in this class</w:t>
      </w:r>
      <w:r w:rsidR="00066677">
        <w:t xml:space="preserve"> with younger people</w:t>
      </w:r>
      <w:r w:rsidR="00F52967">
        <w:t xml:space="preserve"> in this class </w:t>
      </w:r>
      <w:r w:rsidR="00066677">
        <w:t>generally having a higher lifetime cos</w:t>
      </w:r>
      <w:r w:rsidR="00F52967">
        <w:t>t</w:t>
      </w:r>
      <w:r w:rsidRPr="00976674">
        <w:t xml:space="preserve">. </w:t>
      </w:r>
    </w:p>
    <w:p w14:paraId="4D05D9F2" w14:textId="1A9BA4AC" w:rsidR="00104E3B" w:rsidRDefault="00104E3B" w:rsidP="00C55060">
      <w:pPr>
        <w:pStyle w:val="ListBullet2"/>
      </w:pPr>
      <w:r w:rsidRPr="00976674">
        <w:t xml:space="preserve">Age first entered system and disability medical condition are the next most important drivers. </w:t>
      </w:r>
      <w:r w:rsidR="00976674" w:rsidRPr="00976674">
        <w:t xml:space="preserve">Both these variables reflect the different expected outcomes for people with different conditions and the different ages at which types of conditions typically </w:t>
      </w:r>
      <w:r w:rsidR="001B1D8E">
        <w:t>emerge</w:t>
      </w:r>
      <w:r w:rsidR="00976674" w:rsidRPr="00976674">
        <w:t xml:space="preserve">. </w:t>
      </w:r>
      <w:r w:rsidRPr="00976674">
        <w:t>For example</w:t>
      </w:r>
      <w:r w:rsidR="00976674" w:rsidRPr="00976674">
        <w:t>, people with congenital conditions typically enter the system at young ages and remain on benefit for some time, whereas cancers may trigger disability later in life and be shorter term conditions.</w:t>
      </w:r>
      <w:r w:rsidRPr="00976674">
        <w:t xml:space="preserve"> </w:t>
      </w:r>
    </w:p>
    <w:p w14:paraId="7AEFE726" w14:textId="0AF0ADD2" w:rsidR="00FA4F6F" w:rsidRPr="00976674" w:rsidRDefault="00FA4F6F" w:rsidP="00FA4F6F">
      <w:pPr>
        <w:pStyle w:val="PwCNormal"/>
        <w:numPr>
          <w:ilvl w:val="0"/>
          <w:numId w:val="33"/>
        </w:numPr>
      </w:pPr>
      <w:r w:rsidRPr="00FA4F6F">
        <w:t>It should be noted that while parental welfare dependence does not appear be to be as significant a driver of lifetime costs as some other variables, its impact is likely understated. This is because parental welfare information was only available for a subset of the population, and as such it was only able to be used in the model to project future welfare dependency up to the age of 25.</w:t>
      </w:r>
    </w:p>
    <w:p w14:paraId="24800177" w14:textId="77777777" w:rsidR="00B33867" w:rsidRPr="007C43FF" w:rsidRDefault="00B33867" w:rsidP="00B33867">
      <w:pPr>
        <w:pStyle w:val="Heading3"/>
      </w:pPr>
      <w:bookmarkStart w:id="49" w:name="_Toc506388207"/>
      <w:r w:rsidRPr="007C43FF">
        <w:t xml:space="preserve">Distribution of </w:t>
      </w:r>
      <w:r>
        <w:t xml:space="preserve">average </w:t>
      </w:r>
      <w:r w:rsidRPr="007C43FF">
        <w:t>lifetime cost</w:t>
      </w:r>
      <w:bookmarkEnd w:id="49"/>
    </w:p>
    <w:p w14:paraId="621724DF" w14:textId="65811A3A" w:rsidR="00490368" w:rsidRDefault="00490368" w:rsidP="00490368">
      <w:pPr>
        <w:pStyle w:val="PwCNormal"/>
        <w:numPr>
          <w:ilvl w:val="0"/>
          <w:numId w:val="33"/>
        </w:numPr>
        <w:rPr>
          <w:snapToGrid/>
        </w:rPr>
      </w:pPr>
      <w:r>
        <w:t xml:space="preserve">The valuation model </w:t>
      </w:r>
      <w:r w:rsidR="001C71B6">
        <w:t xml:space="preserve">is designed to differentiate between people based on their </w:t>
      </w:r>
      <w:r>
        <w:t>individual characteristics. In the previous section we discussed the characteristics or drivers which have the highest impact on determining which people have higher and lower lifetime costs within each of the pre-retirement income support classes. This section takes this analysis a step further and discusses the extent of the variation in lifetime costs for individuals within each welfare class.</w:t>
      </w:r>
    </w:p>
    <w:p w14:paraId="2CEE64B1" w14:textId="77777777" w:rsidR="00490368" w:rsidRDefault="00490368" w:rsidP="00490368">
      <w:pPr>
        <w:pStyle w:val="PwCNormal"/>
        <w:numPr>
          <w:ilvl w:val="0"/>
          <w:numId w:val="33"/>
        </w:numPr>
      </w:pPr>
      <w:r>
        <w:t xml:space="preserve">The first chart below provides an example of the distribution of the lifetime costs for the 1,301,000 people in the Working Age class. Almost all of the lifetime costs for these individuals are between $100,000 and $600,000, with an average of $316,000. </w:t>
      </w:r>
    </w:p>
    <w:p w14:paraId="30AC9CC4" w14:textId="77777777" w:rsidR="00490368" w:rsidRDefault="00490368" w:rsidP="00490368">
      <w:pPr>
        <w:pStyle w:val="Caption"/>
      </w:pPr>
      <w:r>
        <w:t xml:space="preserve">Figure </w:t>
      </w:r>
      <w:r>
        <w:fldChar w:fldCharType="begin"/>
      </w:r>
      <w:r>
        <w:rPr>
          <w:bCs w:val="0"/>
        </w:rPr>
        <w:instrText xml:space="preserve"> SEQ Figure \* ARABIC </w:instrText>
      </w:r>
      <w:r>
        <w:fldChar w:fldCharType="separate"/>
      </w:r>
      <w:r w:rsidR="00C93C1A">
        <w:rPr>
          <w:bCs w:val="0"/>
          <w:noProof/>
        </w:rPr>
        <w:t>26</w:t>
      </w:r>
      <w:r>
        <w:fldChar w:fldCharType="end"/>
      </w:r>
      <w:r>
        <w:t>: Distribution of lifetime cost for individuals in the working age class</w:t>
      </w:r>
    </w:p>
    <w:p w14:paraId="6906C7E5" w14:textId="29FD23E8" w:rsidR="00490368" w:rsidRDefault="00490368" w:rsidP="00647934">
      <w:pPr>
        <w:pStyle w:val="PwCNormal"/>
        <w:numPr>
          <w:ilvl w:val="0"/>
          <w:numId w:val="33"/>
        </w:numPr>
      </w:pPr>
      <w:r>
        <w:t xml:space="preserve"> </w:t>
      </w:r>
      <w:r w:rsidR="00647934" w:rsidRPr="00647934">
        <w:rPr>
          <w:noProof/>
          <w:lang w:eastAsia="en-AU"/>
        </w:rPr>
        <w:drawing>
          <wp:inline distT="0" distB="0" distL="0" distR="0" wp14:anchorId="406AB488" wp14:editId="3E9FC11D">
            <wp:extent cx="5424285" cy="2251075"/>
            <wp:effectExtent l="0" t="0" r="5080" b="0"/>
            <wp:docPr id="1042" name="Picture 1042" descr="This figure is a line graph showing the distribution of lifetime cost for all individuals in the working age class.&#10;&#10;The overall average lifetime cost for individuals in the working age class is $316,000. The 10% percentile is $193,000, the 25% percentile is $248,000, the 75% percentile is $375,000, and the 90% percentile is $431,000.&#10;&#10;Further discussion of the key features shown in the chart can be found in the accompanying text within the report.&#10;" title="Distribution of lifetime cost for individuals in the working ag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5549"/>
                    <a:stretch/>
                  </pic:blipFill>
                  <pic:spPr bwMode="auto">
                    <a:xfrm>
                      <a:off x="0" y="0"/>
                      <a:ext cx="5424285" cy="2251075"/>
                    </a:xfrm>
                    <a:prstGeom prst="rect">
                      <a:avLst/>
                    </a:prstGeom>
                    <a:noFill/>
                    <a:ln>
                      <a:noFill/>
                    </a:ln>
                    <a:extLst>
                      <a:ext uri="{53640926-AAD7-44D8-BBD7-CCE9431645EC}">
                        <a14:shadowObscured xmlns:a14="http://schemas.microsoft.com/office/drawing/2010/main"/>
                      </a:ext>
                    </a:extLst>
                  </pic:spPr>
                </pic:pic>
              </a:graphicData>
            </a:graphic>
          </wp:inline>
        </w:drawing>
      </w:r>
    </w:p>
    <w:p w14:paraId="4BB46AF2" w14:textId="77777777" w:rsidR="00427AF0" w:rsidRDefault="00427AF0" w:rsidP="00427AF0">
      <w:pPr>
        <w:pStyle w:val="PwCNormal"/>
        <w:numPr>
          <w:ilvl w:val="0"/>
          <w:numId w:val="33"/>
        </w:numPr>
      </w:pPr>
      <w:r>
        <w:t>In this chart the black dotted lines represent the average and percentiles which are also expressed as a “box-and-whisker” where the coloured box represents the interquartile range (i.e. the range from the 25</w:t>
      </w:r>
      <w:r>
        <w:rPr>
          <w:vertAlign w:val="superscript"/>
        </w:rPr>
        <w:t>th</w:t>
      </w:r>
      <w:r>
        <w:t xml:space="preserve"> percentile to the 75</w:t>
      </w:r>
      <w:r>
        <w:rPr>
          <w:vertAlign w:val="superscript"/>
        </w:rPr>
        <w:t>th</w:t>
      </w:r>
      <w:r>
        <w:t xml:space="preserve"> percentile), the black ends (dashes) represent the 10</w:t>
      </w:r>
      <w:r>
        <w:rPr>
          <w:vertAlign w:val="superscript"/>
        </w:rPr>
        <w:t>th</w:t>
      </w:r>
      <w:r>
        <w:t xml:space="preserve"> and 90</w:t>
      </w:r>
      <w:r>
        <w:rPr>
          <w:vertAlign w:val="superscript"/>
        </w:rPr>
        <w:t>th</w:t>
      </w:r>
      <w:r>
        <w:t xml:space="preserve"> percentiles, and the white line represents the average lifetime cost. </w:t>
      </w:r>
    </w:p>
    <w:p w14:paraId="442F7AFA" w14:textId="77777777" w:rsidR="00490368" w:rsidRDefault="00490368" w:rsidP="00490368">
      <w:pPr>
        <w:pStyle w:val="PwCNormal"/>
        <w:numPr>
          <w:ilvl w:val="0"/>
          <w:numId w:val="33"/>
        </w:numPr>
      </w:pPr>
      <w:r>
        <w:t xml:space="preserve">The next chart summarises the percentiles of the lifetime cost distribution for all classes, showing the equivalent “box-and-whisker” for each class. </w:t>
      </w:r>
    </w:p>
    <w:p w14:paraId="6C8D9A0A" w14:textId="77777777" w:rsidR="00490368" w:rsidRDefault="00490368" w:rsidP="00490368">
      <w:pPr>
        <w:pStyle w:val="Caption"/>
      </w:pPr>
      <w:r>
        <w:lastRenderedPageBreak/>
        <w:t xml:space="preserve">Figure </w:t>
      </w:r>
      <w:fldSimple w:instr=" SEQ Figure \* ARABIC ">
        <w:r w:rsidR="00C93C1A">
          <w:rPr>
            <w:noProof/>
          </w:rPr>
          <w:t>27</w:t>
        </w:r>
      </w:fldSimple>
      <w:r>
        <w:t>: Distribution of lifetime cost for individuals in each welfare class</w:t>
      </w:r>
    </w:p>
    <w:p w14:paraId="0F5B6DF1" w14:textId="0BEC98BF" w:rsidR="00490368" w:rsidRDefault="00490368" w:rsidP="00490368">
      <w:pPr>
        <w:pStyle w:val="Caption"/>
      </w:pPr>
      <w:r>
        <w:rPr>
          <w:noProof/>
          <w:lang w:eastAsia="en-AU"/>
        </w:rPr>
        <w:drawing>
          <wp:inline distT="0" distB="0" distL="0" distR="0" wp14:anchorId="733C0EF8" wp14:editId="08CA4AF5">
            <wp:extent cx="5801995" cy="2590800"/>
            <wp:effectExtent l="0" t="0" r="8255" b="0"/>
            <wp:docPr id="1087" name="Picture 1087" descr="This figure is a box and whiskers plot that shows the distribution of lifetime cost in each welfare class. The chart shows the overall average lifetime cost, 10%, 25%, 75%, and 90% percentiles.&#10;&#10;For Class 1 Studying, the 10%, 25%, mean, 75% and 90% percentiles are approximately 143000, 161000, 212000, 242000, and 281000 respectively.&#10;&#10;For Class 2 Working Age, the 10%, 25%, mean, 75% and 90% percentiles are approximately 193000, 248000, 315000, 375000, and 431000 respectively.&#10;&#10;For Class 3 Parents, the 10%, 25%, mean, 75% and 90% percentiles are approximately 306000, 388000, 486000, 585000, and 663000 respectively.&#10;&#10;For Class 4 Carers, the 10%, 25%, mean, 75% and 90% percentiles are approximately 297000, 358000, 449000, 527000, and 635000 respectively.&#10;&#10;For Class 5 Disability Support, the 10%, 25%, mean, 75% and 90% percentiles are approximately 292000, 363000, 462000, 562000, and 645000 respectively.&#10;&#10;For Class 6 Pension Age, the 10%, 25%, mean, 75% and 90% percentiles are approximately 99000, 149000, 209000, 266000, and 317000 respectively.&#10;&#10;For Class 7 Non IS Family, the 10%, 25%, mean, 75% and 90% percentiles are approximately 140000, 158000, 196000, 223000, and 264000 respectively.&#10;&#10;For Class 8 Non IS Carer, the 10%, 25%, mean, 75% and 90% percentiles are approximately 65000, 177000, 207000, 254000, and 302000 respectively.&#10;&#10;For Class 9 Non IS Other, the 10%, 25%, mean, 75% and 90% percentiles are approximately 18000, 36000, 129000, 198000, and 266000 respectively.&#10;&#10;For Class 10 Previous Recipient, the 10%, 25%, mean, 75% and 90% percentiles are approximately 119000, 134000, 164000, 192000, and 227000 respectively.&#10;&#10;For Class 12 Rest of Aust., the 10%, 25%, mean, 75% and 90% percentiles are approximately 100000, 115000, 149000, 183000, and 214000 respectively.&#10;&#10;" title="Distribution of lifetime cost for individuals in each welfar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78">
                      <a:extLst>
                        <a:ext uri="{28A0092B-C50C-407E-A947-70E740481C1C}">
                          <a14:useLocalDpi xmlns:a14="http://schemas.microsoft.com/office/drawing/2010/main" val="0"/>
                        </a:ext>
                      </a:extLst>
                    </a:blip>
                    <a:srcRect t="49918"/>
                    <a:stretch>
                      <a:fillRect/>
                    </a:stretch>
                  </pic:blipFill>
                  <pic:spPr bwMode="auto">
                    <a:xfrm>
                      <a:off x="0" y="0"/>
                      <a:ext cx="5801995" cy="2590800"/>
                    </a:xfrm>
                    <a:prstGeom prst="rect">
                      <a:avLst/>
                    </a:prstGeom>
                    <a:noFill/>
                    <a:ln>
                      <a:noFill/>
                    </a:ln>
                  </pic:spPr>
                </pic:pic>
              </a:graphicData>
            </a:graphic>
          </wp:inline>
        </w:drawing>
      </w:r>
    </w:p>
    <w:p w14:paraId="41957737" w14:textId="77777777" w:rsidR="00490368" w:rsidRDefault="00490368" w:rsidP="00490368">
      <w:pPr>
        <w:pStyle w:val="PwCNormal"/>
        <w:numPr>
          <w:ilvl w:val="0"/>
          <w:numId w:val="33"/>
        </w:numPr>
      </w:pPr>
      <w:r>
        <w:t>We observe the following:</w:t>
      </w:r>
    </w:p>
    <w:p w14:paraId="1E0B4975" w14:textId="77777777" w:rsidR="00490368" w:rsidRDefault="00490368" w:rsidP="00E34065">
      <w:pPr>
        <w:pStyle w:val="Bullet1"/>
        <w:numPr>
          <w:ilvl w:val="0"/>
          <w:numId w:val="52"/>
        </w:numPr>
      </w:pPr>
      <w:r>
        <w:t xml:space="preserve">There is a wide range of variability around the average lifetime cost for each class. This shows that outcomes can vary significantly depending on the characteristics of individuals which influence their future pathway – these drivers of lifetime cost were explored previously in section </w:t>
      </w:r>
      <w:r>
        <w:fldChar w:fldCharType="begin"/>
      </w:r>
      <w:r>
        <w:instrText xml:space="preserve"> REF _Ref500714121 \r \h </w:instrText>
      </w:r>
      <w:r>
        <w:fldChar w:fldCharType="separate"/>
      </w:r>
      <w:r w:rsidR="00C93C1A">
        <w:t>2.6</w:t>
      </w:r>
      <w:r>
        <w:fldChar w:fldCharType="end"/>
      </w:r>
      <w:r>
        <w:t>.</w:t>
      </w:r>
    </w:p>
    <w:p w14:paraId="320DC421" w14:textId="77777777" w:rsidR="00490368" w:rsidRDefault="00490368" w:rsidP="00E34065">
      <w:pPr>
        <w:pStyle w:val="Bullet1"/>
        <w:numPr>
          <w:ilvl w:val="0"/>
          <w:numId w:val="52"/>
        </w:numPr>
      </w:pPr>
      <w:r>
        <w:t>Classes 3 to 5 (Parents, Carers and DSP), which have the highest average lifetime costs, also have higher dollar variation in lifetime costs for individuals in the class. However, despite the higher variation, the 10</w:t>
      </w:r>
      <w:r>
        <w:rPr>
          <w:vertAlign w:val="superscript"/>
        </w:rPr>
        <w:t>th</w:t>
      </w:r>
      <w:r>
        <w:t xml:space="preserve"> percentile for these classes remain higher than the 75</w:t>
      </w:r>
      <w:r>
        <w:rPr>
          <w:vertAlign w:val="superscript"/>
        </w:rPr>
        <w:t>th</w:t>
      </w:r>
      <w:r>
        <w:t xml:space="preserve"> percentile of most other classes. This suggests that even the people less dependent on welfare within these classes are still likely to require considerable support from the welfare system. </w:t>
      </w:r>
    </w:p>
    <w:p w14:paraId="5529E96C" w14:textId="77777777" w:rsidR="00490368" w:rsidRDefault="00490368" w:rsidP="00E34065">
      <w:pPr>
        <w:pStyle w:val="Bullet1"/>
        <w:numPr>
          <w:ilvl w:val="0"/>
          <w:numId w:val="52"/>
        </w:numPr>
      </w:pPr>
      <w:r>
        <w:t>Although not shown in the chart, lifetime costs for individuals also differ by age and gender (this is shown in the sections for each class later in the report):</w:t>
      </w:r>
    </w:p>
    <w:p w14:paraId="43ECC05B" w14:textId="77777777" w:rsidR="00490368" w:rsidRDefault="00490368" w:rsidP="00E34065">
      <w:pPr>
        <w:pStyle w:val="Bullet1"/>
        <w:numPr>
          <w:ilvl w:val="1"/>
          <w:numId w:val="52"/>
        </w:numPr>
      </w:pPr>
      <w:r>
        <w:t>A significant proportion of the variation within the lifetime cost for individuals in classes 4 to 6 (Carers, DSP and Pension Age) is driven by age, and this is consistent with the analysis shown in the previous drivers of lifetime cost section. Other variables which capture class specific characteristics were seen to be amongst the other key drivers for classes 4 and 5 (e.g. caree age for class 4 and disability medical condition for class 5).</w:t>
      </w:r>
    </w:p>
    <w:p w14:paraId="6C9C4104" w14:textId="77777777" w:rsidR="00490368" w:rsidRDefault="00490368" w:rsidP="00E34065">
      <w:pPr>
        <w:pStyle w:val="Bullet1"/>
        <w:numPr>
          <w:ilvl w:val="1"/>
          <w:numId w:val="52"/>
        </w:numPr>
      </w:pPr>
      <w:r>
        <w:t xml:space="preserve">After allowing for the effect of age and gender on people’s lifetime costs, there still remains a significant variation in  lifetime costs for individuals in Classes 2 and 3 (Working Age and Parents) owing to other characteristics which influence their future pathway. The analysis in the previous drivers of lifetime cost section showed that family characteristics and welfare history were amongst the other key drivers for these classes. </w:t>
      </w:r>
    </w:p>
    <w:p w14:paraId="41772E1D" w14:textId="77777777" w:rsidR="00490368" w:rsidRDefault="00490368" w:rsidP="00E34065">
      <w:pPr>
        <w:pStyle w:val="Bullet1"/>
        <w:numPr>
          <w:ilvl w:val="0"/>
          <w:numId w:val="51"/>
        </w:numPr>
      </w:pPr>
      <w:r>
        <w:t xml:space="preserve">There is a large spread of lifetime costs for people in class 9 (‘Non IS Other’). This is owing to this class containing three distinct groups of people at rather different life stages (see section </w:t>
      </w:r>
      <w:r>
        <w:fldChar w:fldCharType="begin"/>
      </w:r>
      <w:r>
        <w:instrText xml:space="preserve"> REF _Ref500344436 \r \h  \* MERGEFORMAT </w:instrText>
      </w:r>
      <w:r>
        <w:fldChar w:fldCharType="separate"/>
      </w:r>
      <w:r w:rsidR="00C93C1A">
        <w:t>7.3</w:t>
      </w:r>
      <w:r>
        <w:fldChar w:fldCharType="end"/>
      </w:r>
      <w:r>
        <w:t xml:space="preserve"> for further detail).</w:t>
      </w:r>
    </w:p>
    <w:p w14:paraId="1430EB86" w14:textId="77777777" w:rsidR="00490368" w:rsidRDefault="00490368" w:rsidP="00490368">
      <w:pPr>
        <w:kinsoku/>
        <w:overflowPunct/>
        <w:autoSpaceDE/>
        <w:autoSpaceDN/>
        <w:adjustRightInd/>
        <w:snapToGrid/>
        <w:sectPr w:rsidR="00490368">
          <w:pgSz w:w="11907" w:h="16840"/>
          <w:pgMar w:top="1588" w:right="1021" w:bottom="1418" w:left="1021" w:header="567" w:footer="567" w:gutter="0"/>
          <w:cols w:space="720"/>
        </w:sectPr>
      </w:pPr>
    </w:p>
    <w:p w14:paraId="054EFA76" w14:textId="77777777" w:rsidR="00131663" w:rsidRPr="00CA1013" w:rsidRDefault="00131663" w:rsidP="00131663">
      <w:pPr>
        <w:pStyle w:val="Heading2"/>
      </w:pPr>
      <w:bookmarkStart w:id="50" w:name="_Ref465266660"/>
      <w:bookmarkStart w:id="51" w:name="_Ref465929980"/>
      <w:bookmarkStart w:id="52" w:name="_Toc506388208"/>
      <w:bookmarkStart w:id="53" w:name="_Ref466491097"/>
      <w:r w:rsidRPr="00CA1013">
        <w:lastRenderedPageBreak/>
        <w:t xml:space="preserve">Changes </w:t>
      </w:r>
      <w:r>
        <w:t>to the welfare system</w:t>
      </w:r>
      <w:bookmarkEnd w:id="50"/>
      <w:bookmarkEnd w:id="51"/>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outlines key points from this report section."/>
      </w:tblPr>
      <w:tblGrid>
        <w:gridCol w:w="10081"/>
      </w:tblGrid>
      <w:tr w:rsidR="00131663" w:rsidRPr="009210D0" w14:paraId="37BB72CC" w14:textId="77777777" w:rsidTr="0011298C">
        <w:trPr>
          <w:tblHeader/>
        </w:trPr>
        <w:tc>
          <w:tcPr>
            <w:tcW w:w="10081" w:type="dxa"/>
            <w:shd w:val="clear" w:color="auto" w:fill="F3ABA4" w:themeFill="accent6" w:themeFillTint="66"/>
          </w:tcPr>
          <w:p w14:paraId="41EB2EF3" w14:textId="4F47937D" w:rsidR="00131663" w:rsidRPr="00CE183F" w:rsidRDefault="00131663" w:rsidP="0011298C">
            <w:pPr>
              <w:pStyle w:val="PwCNormal"/>
              <w:numPr>
                <w:ilvl w:val="0"/>
                <w:numId w:val="0"/>
              </w:numPr>
              <w:rPr>
                <w:b/>
              </w:rPr>
            </w:pPr>
            <w:r w:rsidRPr="00CE183F">
              <w:rPr>
                <w:b/>
              </w:rPr>
              <w:t>Key points</w:t>
            </w:r>
          </w:p>
          <w:p w14:paraId="7674EEF3" w14:textId="77777777" w:rsidR="00131663" w:rsidRPr="00CE183F" w:rsidRDefault="00131663" w:rsidP="002757B8">
            <w:pPr>
              <w:pStyle w:val="ListBullet"/>
            </w:pPr>
            <w:r w:rsidRPr="00CE183F">
              <w:t>The actuarial valuation reflects policy as legislated at the valuation date and the model has been updated to reflect new policy changes over the year.</w:t>
            </w:r>
          </w:p>
          <w:p w14:paraId="7EFFD5D6" w14:textId="33E14AD1" w:rsidR="00131663" w:rsidRPr="00CE183F" w:rsidRDefault="00131663" w:rsidP="002559D4">
            <w:pPr>
              <w:pStyle w:val="ListBullet"/>
            </w:pPr>
            <w:r w:rsidRPr="00CE183F">
              <w:t>The most substantial policy changes were the introduction of the Child Care Subsidy from July 201</w:t>
            </w:r>
            <w:r w:rsidR="002559D4">
              <w:t>8</w:t>
            </w:r>
            <w:r w:rsidRPr="00CE183F">
              <w:t>, replacing the current Child Care Benefit and Child Care Rebate</w:t>
            </w:r>
            <w:r w:rsidR="00626854">
              <w:t>;</w:t>
            </w:r>
            <w:r w:rsidRPr="00CE183F">
              <w:t xml:space="preserve"> the introduction of an income limit of $80,000 on the payment of the Family Tax Benefit Part A Supplement from July 2017</w:t>
            </w:r>
            <w:r w:rsidR="00626854">
              <w:t xml:space="preserve">; and the two year freeze of </w:t>
            </w:r>
            <w:r w:rsidR="00626854" w:rsidRPr="00626854">
              <w:t xml:space="preserve">current </w:t>
            </w:r>
            <w:r w:rsidR="00961841">
              <w:t>F</w:t>
            </w:r>
            <w:r w:rsidR="00626854" w:rsidRPr="00626854">
              <w:t xml:space="preserve">amily </w:t>
            </w:r>
            <w:r w:rsidR="00961841">
              <w:t>T</w:t>
            </w:r>
            <w:r w:rsidR="00626854" w:rsidRPr="00626854">
              <w:t xml:space="preserve">ax </w:t>
            </w:r>
            <w:r w:rsidR="00961841">
              <w:t>B</w:t>
            </w:r>
            <w:r w:rsidR="00626854" w:rsidRPr="00626854">
              <w:t>enefit rates for two years from July 2017</w:t>
            </w:r>
            <w:r w:rsidRPr="00CE183F">
              <w:t>.</w:t>
            </w:r>
          </w:p>
        </w:tc>
      </w:tr>
    </w:tbl>
    <w:p w14:paraId="2D2FBFEC" w14:textId="77777777" w:rsidR="00131663" w:rsidRPr="00C03895" w:rsidRDefault="00131663" w:rsidP="00131663">
      <w:pPr>
        <w:pStyle w:val="Heading3"/>
      </w:pPr>
      <w:bookmarkStart w:id="54" w:name="_Toc506388209"/>
      <w:r w:rsidRPr="00C03895">
        <w:t>Introduction</w:t>
      </w:r>
      <w:bookmarkEnd w:id="54"/>
    </w:p>
    <w:p w14:paraId="1BE282F9" w14:textId="77777777" w:rsidR="00131663" w:rsidRPr="00C03895" w:rsidRDefault="00131663" w:rsidP="00131663">
      <w:pPr>
        <w:pStyle w:val="PwCNormal"/>
        <w:numPr>
          <w:ilvl w:val="0"/>
          <w:numId w:val="0"/>
        </w:numPr>
      </w:pPr>
      <w:r w:rsidRPr="00C03895">
        <w:t>The June 2017 valuation provides an updated assessment of the expected future use of the</w:t>
      </w:r>
      <w:r>
        <w:t xml:space="preserve"> Australian welfare system. This </w:t>
      </w:r>
      <w:r w:rsidRPr="00C03895">
        <w:t>assessment recognise</w:t>
      </w:r>
      <w:r>
        <w:t>s</w:t>
      </w:r>
      <w:r w:rsidRPr="00C03895">
        <w:t xml:space="preserve"> a number of different sources of change</w:t>
      </w:r>
      <w:r>
        <w:t xml:space="preserve">s </w:t>
      </w:r>
      <w:r w:rsidRPr="00C03895">
        <w:t>since the previous</w:t>
      </w:r>
      <w:r>
        <w:t xml:space="preserve"> valuation</w:t>
      </w:r>
      <w:r w:rsidRPr="00C03895">
        <w:t xml:space="preserve"> (June 2016):</w:t>
      </w:r>
    </w:p>
    <w:p w14:paraId="5BC753CF" w14:textId="77777777" w:rsidR="00131663" w:rsidRPr="00C03895" w:rsidRDefault="00131663" w:rsidP="002757B8">
      <w:pPr>
        <w:pStyle w:val="ListBullet"/>
      </w:pPr>
      <w:r w:rsidRPr="00C03895">
        <w:t>Change to the welfare system itself. This include</w:t>
      </w:r>
      <w:r>
        <w:t>s</w:t>
      </w:r>
      <w:r w:rsidRPr="00C03895">
        <w:t xml:space="preserve"> changes to the types of payments available, the eligibility criteria and payment levels</w:t>
      </w:r>
    </w:p>
    <w:p w14:paraId="08E725BD" w14:textId="77777777" w:rsidR="00131663" w:rsidRPr="00C03895" w:rsidRDefault="00131663" w:rsidP="002757B8">
      <w:pPr>
        <w:pStyle w:val="ListBullet"/>
      </w:pPr>
      <w:r w:rsidRPr="00C03895">
        <w:t xml:space="preserve">Changes to how the population is utilising the system. For instance how the number of people accessing each payment type has been changing over time </w:t>
      </w:r>
      <w:r>
        <w:t>or how</w:t>
      </w:r>
      <w:r w:rsidRPr="00C03895">
        <w:t xml:space="preserve"> the level of payments received by each</w:t>
      </w:r>
      <w:r>
        <w:t xml:space="preserve"> group of people is changing</w:t>
      </w:r>
      <w:r w:rsidRPr="00C03895">
        <w:t>. We refer to this as changes in the experience.</w:t>
      </w:r>
    </w:p>
    <w:p w14:paraId="269F689A" w14:textId="0F8FAB27" w:rsidR="00131663" w:rsidRPr="002F2340" w:rsidRDefault="00131663" w:rsidP="002757B8">
      <w:pPr>
        <w:pStyle w:val="ListBullet"/>
      </w:pPr>
      <w:r w:rsidRPr="00C03895">
        <w:t>Changes to external drivers of the experience</w:t>
      </w:r>
      <w:r w:rsidR="00626854">
        <w:t xml:space="preserve">. This includes changes to </w:t>
      </w:r>
      <w:r w:rsidRPr="00C03895">
        <w:t xml:space="preserve">the size and profile of the </w:t>
      </w:r>
      <w:r>
        <w:t xml:space="preserve">Australian </w:t>
      </w:r>
      <w:r w:rsidRPr="00C03895">
        <w:t>population or the economic environment.</w:t>
      </w:r>
    </w:p>
    <w:p w14:paraId="2FE59136" w14:textId="5C78BFBD" w:rsidR="00C62854" w:rsidRPr="009C0EBA" w:rsidRDefault="00C62854" w:rsidP="00C62854">
      <w:pPr>
        <w:pStyle w:val="PwCNormal"/>
      </w:pPr>
      <w:r>
        <w:t xml:space="preserve">The first of these points on changes to the welfare system itself is discussed below. We go on to discuss changes to how the population is utilising the system, as well as changes in the size and profile of the population </w:t>
      </w:r>
      <w:r w:rsidR="00491DA0">
        <w:t>in s</w:t>
      </w:r>
      <w:r w:rsidRPr="009C0EBA">
        <w:t>ection</w:t>
      </w:r>
      <w:r w:rsidR="009C0EBA" w:rsidRPr="009C0EBA">
        <w:t xml:space="preserve"> </w:t>
      </w:r>
      <w:r w:rsidR="009C0EBA" w:rsidRPr="009C0EBA">
        <w:fldChar w:fldCharType="begin"/>
      </w:r>
      <w:r w:rsidR="009C0EBA" w:rsidRPr="009C0EBA">
        <w:instrText xml:space="preserve"> REF _Ref498422874 \r \h </w:instrText>
      </w:r>
      <w:r w:rsidR="009C0EBA">
        <w:instrText xml:space="preserve"> \* MERGEFORMAT </w:instrText>
      </w:r>
      <w:r w:rsidR="009C0EBA" w:rsidRPr="009C0EBA">
        <w:fldChar w:fldCharType="separate"/>
      </w:r>
      <w:r w:rsidR="00C93C1A">
        <w:t>4</w:t>
      </w:r>
      <w:r w:rsidR="009C0EBA" w:rsidRPr="009C0EBA">
        <w:fldChar w:fldCharType="end"/>
      </w:r>
      <w:r w:rsidRPr="009C0EBA">
        <w:t>.</w:t>
      </w:r>
    </w:p>
    <w:p w14:paraId="4C7CA47A" w14:textId="5B281CB9" w:rsidR="00131663" w:rsidRDefault="00C62854" w:rsidP="00C62854">
      <w:pPr>
        <w:pStyle w:val="PwCNormal"/>
      </w:pPr>
      <w:r>
        <w:t xml:space="preserve">Note that the valuation can also be impacted to some extent by changes in the valuation process itself and these model developments and refinements were discussed in </w:t>
      </w:r>
      <w:r w:rsidR="00491DA0">
        <w:t>s</w:t>
      </w:r>
      <w:r w:rsidR="009C0EBA">
        <w:t xml:space="preserve">ection </w:t>
      </w:r>
      <w:r w:rsidR="009C0EBA">
        <w:fldChar w:fldCharType="begin"/>
      </w:r>
      <w:r w:rsidR="009C0EBA">
        <w:instrText xml:space="preserve"> REF _Ref498422945 \r \h </w:instrText>
      </w:r>
      <w:r w:rsidR="009C0EBA">
        <w:fldChar w:fldCharType="separate"/>
      </w:r>
      <w:r w:rsidR="00C93C1A">
        <w:t>2</w:t>
      </w:r>
      <w:r w:rsidR="009C0EBA">
        <w:fldChar w:fldCharType="end"/>
      </w:r>
      <w:r>
        <w:t>.</w:t>
      </w:r>
    </w:p>
    <w:p w14:paraId="64BEAF90" w14:textId="0D0B836D" w:rsidR="00131663" w:rsidRPr="00CA1013" w:rsidRDefault="00131663" w:rsidP="00131663">
      <w:pPr>
        <w:pStyle w:val="Heading3"/>
      </w:pPr>
      <w:bookmarkStart w:id="55" w:name="_Ref498433213"/>
      <w:bookmarkStart w:id="56" w:name="_Toc506388210"/>
      <w:r>
        <w:t>Changes to the welfare system</w:t>
      </w:r>
      <w:bookmarkEnd w:id="55"/>
      <w:bookmarkEnd w:id="56"/>
    </w:p>
    <w:p w14:paraId="02621FF3" w14:textId="77777777" w:rsidR="00131663" w:rsidRPr="00D71343" w:rsidRDefault="00131663" w:rsidP="00131663">
      <w:pPr>
        <w:pStyle w:val="PwCNormal"/>
        <w:numPr>
          <w:ilvl w:val="0"/>
          <w:numId w:val="0"/>
        </w:numPr>
      </w:pPr>
      <w:r w:rsidRPr="00D71343">
        <w:t>The actuarial valuation reflects the policy as legislated at the valuation date. It assumes that these policy settings will persist in perpetuity.</w:t>
      </w:r>
    </w:p>
    <w:p w14:paraId="097071B1" w14:textId="77777777" w:rsidR="00131663" w:rsidRDefault="00131663" w:rsidP="00131663">
      <w:pPr>
        <w:pStyle w:val="PwCNormal"/>
        <w:numPr>
          <w:ilvl w:val="0"/>
          <w:numId w:val="0"/>
        </w:numPr>
      </w:pPr>
      <w:r w:rsidRPr="00D71343">
        <w:t>This means that future changes in payment design or eligibility have been allowed for in the valuation if the related legislation is in place; however changes that are still being debated are not included. By way of example, we have allowed for the increase in retirement age from 65 to 67 which will occur over the period f</w:t>
      </w:r>
      <w:r>
        <w:t>rom 1 July 2017 to 30 June 2023.</w:t>
      </w:r>
      <w:r w:rsidRPr="00D71343">
        <w:t xml:space="preserve"> </w:t>
      </w:r>
      <w:r>
        <w:t>H</w:t>
      </w:r>
      <w:r w:rsidRPr="00D71343">
        <w:t>owever we have not allowed for the further increase in the Age Pension qualification age to 70 as this measure is subject to the passage of legislation.</w:t>
      </w:r>
    </w:p>
    <w:p w14:paraId="033B9FA7" w14:textId="1441CE5B" w:rsidR="00C62854" w:rsidRDefault="00C62854" w:rsidP="00C62854">
      <w:pPr>
        <w:pStyle w:val="PwCNormal"/>
        <w:numPr>
          <w:ilvl w:val="0"/>
          <w:numId w:val="0"/>
        </w:numPr>
      </w:pPr>
      <w:r>
        <w:t xml:space="preserve">Each year there are many new changes to policy settings which have varied expected impacts. We have captured these in </w:t>
      </w:r>
      <w:r w:rsidR="009C0EBA">
        <w:fldChar w:fldCharType="begin"/>
      </w:r>
      <w:r w:rsidR="009C0EBA">
        <w:instrText xml:space="preserve"> REF _Ref498423002 \r \h </w:instrText>
      </w:r>
      <w:r w:rsidR="009C0EBA">
        <w:fldChar w:fldCharType="separate"/>
      </w:r>
      <w:r w:rsidR="00C93C1A">
        <w:t>Appendix B</w:t>
      </w:r>
      <w:r w:rsidR="009C0EBA">
        <w:fldChar w:fldCharType="end"/>
      </w:r>
      <w:r>
        <w:t xml:space="preserve">. In the valuation we make explicit allowances for only the more material changes to policy. </w:t>
      </w:r>
      <w:r w:rsidRPr="00D71343">
        <w:t xml:space="preserve">The </w:t>
      </w:r>
      <w:r>
        <w:t>allowances</w:t>
      </w:r>
      <w:r w:rsidRPr="00D71343">
        <w:t xml:space="preserve"> reflect the estimated direct impact of the change</w:t>
      </w:r>
      <w:r>
        <w:t>s; n</w:t>
      </w:r>
      <w:r w:rsidRPr="00D71343">
        <w:t xml:space="preserve">o </w:t>
      </w:r>
      <w:r>
        <w:t xml:space="preserve">second order </w:t>
      </w:r>
      <w:r w:rsidRPr="00D71343">
        <w:t xml:space="preserve">allowance has been made </w:t>
      </w:r>
      <w:r>
        <w:t xml:space="preserve">to account </w:t>
      </w:r>
      <w:r w:rsidRPr="00D71343">
        <w:t xml:space="preserve">for any </w:t>
      </w:r>
      <w:r>
        <w:t xml:space="preserve">flow on impacts or </w:t>
      </w:r>
      <w:r w:rsidRPr="00D71343">
        <w:t>behavioural responses to the changes.</w:t>
      </w:r>
      <w:r>
        <w:t xml:space="preserve"> These will be reflected in the emerging experience as they take effect.</w:t>
      </w:r>
    </w:p>
    <w:p w14:paraId="05A793B2" w14:textId="216880F8" w:rsidR="00131663" w:rsidRDefault="00C62854" w:rsidP="00C62854">
      <w:pPr>
        <w:pStyle w:val="PwCNormal-keepwithnext"/>
        <w:numPr>
          <w:ilvl w:val="0"/>
          <w:numId w:val="1"/>
        </w:numPr>
      </w:pPr>
      <w:r>
        <w:lastRenderedPageBreak/>
        <w:t>Since the 2016 valuation, there have been seven new changes to policy which we have made allowances for in the 2017 valuation. These are outlined in the table below along with their expected influence on the welfare system.</w:t>
      </w:r>
    </w:p>
    <w:p w14:paraId="0B6685EC" w14:textId="31F79DD1" w:rsidR="00131663" w:rsidRDefault="005B7404" w:rsidP="007F5E44">
      <w:pPr>
        <w:pStyle w:val="Caption"/>
      </w:pPr>
      <w:r w:rsidRPr="00663ACD">
        <w:t xml:space="preserve">Table </w:t>
      </w:r>
      <w:fldSimple w:instr=" SEQ Table \* ARABIC ">
        <w:r w:rsidR="00C93C1A">
          <w:rPr>
            <w:noProof/>
          </w:rPr>
          <w:t>12</w:t>
        </w:r>
      </w:fldSimple>
      <w:r w:rsidRPr="00663ACD">
        <w:t xml:space="preserve">: Summary of </w:t>
      </w:r>
      <w:r>
        <w:t xml:space="preserve">main material policy </w:t>
      </w:r>
      <w:r w:rsidRPr="00663ACD">
        <w:t xml:space="preserve">changes </w:t>
      </w:r>
      <w:r>
        <w:t>(legislated 1 July 2016 to 30 June 2017)</w:t>
      </w:r>
    </w:p>
    <w:tbl>
      <w:tblPr>
        <w:tblStyle w:val="ListTable3-Accent61"/>
        <w:tblW w:w="9973" w:type="dxa"/>
        <w:tblInd w:w="108" w:type="dxa"/>
        <w:tblLook w:val="04A0" w:firstRow="1" w:lastRow="0" w:firstColumn="1" w:lastColumn="0" w:noHBand="0" w:noVBand="1"/>
        <w:tblCaption w:val=" Summary of changes in welfare recipient population"/>
        <w:tblDescription w:val="This table summarises seven policy changes legislated 1 July 2016 to 30 June 2017, and deemed to have a material impact. It provides a description of the policy change, along with the expected influence on the welfare system.&#10;&#10;Further details on the content in this table are discussed in the accompanying text within the report.&#10;&#10;"/>
      </w:tblPr>
      <w:tblGrid>
        <w:gridCol w:w="2714"/>
        <w:gridCol w:w="3058"/>
        <w:gridCol w:w="4201"/>
      </w:tblGrid>
      <w:tr w:rsidR="005B7404" w:rsidRPr="00C66E06" w14:paraId="26426F34" w14:textId="77777777" w:rsidTr="003E46E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714" w:type="dxa"/>
            <w:tcBorders>
              <w:top w:val="single" w:sz="4" w:space="0" w:color="E0301E" w:themeColor="accent6"/>
              <w:left w:val="single" w:sz="4" w:space="0" w:color="E0301E" w:themeColor="accent6"/>
              <w:bottom w:val="single" w:sz="4" w:space="0" w:color="E0301E" w:themeColor="accent6"/>
            </w:tcBorders>
          </w:tcPr>
          <w:p w14:paraId="204B5356" w14:textId="77777777" w:rsidR="005B7404" w:rsidRPr="00C66E06" w:rsidRDefault="005B7404" w:rsidP="007F5E44">
            <w:pPr>
              <w:pStyle w:val="TableColumnHeadingSmall"/>
            </w:pPr>
            <w:r>
              <w:t>Policy change</w:t>
            </w:r>
          </w:p>
        </w:tc>
        <w:tc>
          <w:tcPr>
            <w:tcW w:w="3058" w:type="dxa"/>
            <w:tcBorders>
              <w:top w:val="single" w:sz="4" w:space="0" w:color="E0301E" w:themeColor="accent6"/>
              <w:left w:val="single" w:sz="4" w:space="0" w:color="E0301E" w:themeColor="accent6"/>
            </w:tcBorders>
            <w:hideMark/>
          </w:tcPr>
          <w:p w14:paraId="04C8D88C" w14:textId="77777777" w:rsidR="005B7404" w:rsidRPr="00C66E06" w:rsidRDefault="005B7404" w:rsidP="007F5E44">
            <w:pPr>
              <w:pStyle w:val="TableColumnHeadingSmall"/>
              <w:cnfStyle w:val="100000000000" w:firstRow="1" w:lastRow="0" w:firstColumn="0" w:lastColumn="0" w:oddVBand="0" w:evenVBand="0" w:oddHBand="0" w:evenHBand="0" w:firstRowFirstColumn="0" w:firstRowLastColumn="0" w:lastRowFirstColumn="0" w:lastRowLastColumn="0"/>
            </w:pPr>
            <w:r>
              <w:t>Description</w:t>
            </w:r>
            <w:r w:rsidRPr="00C66E06">
              <w:t xml:space="preserve"> of policy change</w:t>
            </w:r>
          </w:p>
        </w:tc>
        <w:tc>
          <w:tcPr>
            <w:tcW w:w="4201" w:type="dxa"/>
            <w:tcBorders>
              <w:top w:val="single" w:sz="4" w:space="0" w:color="E0301E" w:themeColor="accent6"/>
              <w:left w:val="nil"/>
              <w:bottom w:val="nil"/>
              <w:right w:val="single" w:sz="4" w:space="0" w:color="E0301E" w:themeColor="accent6"/>
            </w:tcBorders>
            <w:hideMark/>
          </w:tcPr>
          <w:p w14:paraId="28281F38" w14:textId="77777777" w:rsidR="005B7404" w:rsidRPr="00C66E06" w:rsidRDefault="005B7404" w:rsidP="007F5E44">
            <w:pPr>
              <w:pStyle w:val="TableColumnHeadingSmall"/>
              <w:cnfStyle w:val="100000000000" w:firstRow="1" w:lastRow="0" w:firstColumn="0" w:lastColumn="0" w:oddVBand="0" w:evenVBand="0" w:oddHBand="0" w:evenHBand="0" w:firstRowFirstColumn="0" w:firstRowLastColumn="0" w:lastRowFirstColumn="0" w:lastRowLastColumn="0"/>
            </w:pPr>
            <w:r w:rsidRPr="00C66E06">
              <w:t>Expected influence on the welfare system</w:t>
            </w:r>
          </w:p>
        </w:tc>
      </w:tr>
      <w:tr w:rsidR="005B7404" w:rsidRPr="00C66E06" w14:paraId="0D2FC683" w14:textId="77777777" w:rsidTr="003E46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4" w:type="dxa"/>
            <w:tcBorders>
              <w:left w:val="single" w:sz="4" w:space="0" w:color="E0301E" w:themeColor="accent6"/>
            </w:tcBorders>
            <w:shd w:val="clear" w:color="auto" w:fill="auto"/>
          </w:tcPr>
          <w:p w14:paraId="5DB0D8C8" w14:textId="77777777" w:rsidR="005B7404" w:rsidRPr="00C66E06" w:rsidRDefault="005B7404" w:rsidP="007F5E44">
            <w:pPr>
              <w:pStyle w:val="TableTextSmall"/>
              <w:keepNext/>
            </w:pPr>
            <w:r>
              <w:t>Child Care Subsidy</w:t>
            </w:r>
          </w:p>
        </w:tc>
        <w:tc>
          <w:tcPr>
            <w:tcW w:w="3058" w:type="dxa"/>
            <w:tcBorders>
              <w:left w:val="nil"/>
            </w:tcBorders>
            <w:hideMark/>
          </w:tcPr>
          <w:p w14:paraId="64796804" w14:textId="77777777" w:rsidR="005B7404" w:rsidRPr="00C66E06" w:rsidRDefault="005B7404" w:rsidP="007F5E44">
            <w:pPr>
              <w:pStyle w:val="TableTextSmall"/>
              <w:keepNext/>
              <w:cnfStyle w:val="000000100000" w:firstRow="0" w:lastRow="0" w:firstColumn="0" w:lastColumn="0" w:oddVBand="0" w:evenVBand="0" w:oddHBand="1" w:evenHBand="0" w:firstRowFirstColumn="0" w:firstRowLastColumn="0" w:lastRowFirstColumn="0" w:lastRowLastColumn="0"/>
              <w:rPr>
                <w:b/>
              </w:rPr>
            </w:pPr>
            <w:r w:rsidRPr="00C66E06">
              <w:t xml:space="preserve">Introduction of </w:t>
            </w:r>
            <w:r>
              <w:t xml:space="preserve">the </w:t>
            </w:r>
            <w:r w:rsidRPr="00C66E06">
              <w:t xml:space="preserve">Child Care Subsidy, and cessation of </w:t>
            </w:r>
            <w:r>
              <w:t xml:space="preserve">the </w:t>
            </w:r>
            <w:r w:rsidRPr="00C66E06">
              <w:t xml:space="preserve">Child Care Benefit and Child Care Rebate </w:t>
            </w:r>
            <w:r>
              <w:t>from July 2018.</w:t>
            </w:r>
          </w:p>
        </w:tc>
        <w:tc>
          <w:tcPr>
            <w:tcW w:w="4201" w:type="dxa"/>
            <w:tcBorders>
              <w:left w:val="nil"/>
              <w:right w:val="single" w:sz="4" w:space="0" w:color="E0301E" w:themeColor="accent6"/>
            </w:tcBorders>
            <w:hideMark/>
          </w:tcPr>
          <w:p w14:paraId="209848DB" w14:textId="77777777" w:rsidR="005B7404" w:rsidRPr="00C66E06" w:rsidRDefault="005B7404" w:rsidP="007F5E44">
            <w:pPr>
              <w:pStyle w:val="TableTextSmall"/>
              <w:keepNext/>
              <w:cnfStyle w:val="000000100000" w:firstRow="0" w:lastRow="0" w:firstColumn="0" w:lastColumn="0" w:oddVBand="0" w:evenVBand="0" w:oddHBand="1" w:evenHBand="0" w:firstRowFirstColumn="0" w:firstRowLastColumn="0" w:lastRowFirstColumn="0" w:lastRowLastColumn="0"/>
            </w:pPr>
            <w:r>
              <w:t xml:space="preserve">Those parents currently receiving Child Care Benefit and Rebate payments will receive a different rate of payment based on their individual circumstances. On average, it is expected that child care payments will increase. </w:t>
            </w:r>
          </w:p>
        </w:tc>
      </w:tr>
      <w:tr w:rsidR="005B7404" w:rsidRPr="00C66E06" w14:paraId="5E201B60" w14:textId="77777777" w:rsidTr="003E46E9">
        <w:trPr>
          <w:cantSplit/>
        </w:trPr>
        <w:tc>
          <w:tcPr>
            <w:cnfStyle w:val="001000000000" w:firstRow="0" w:lastRow="0" w:firstColumn="1" w:lastColumn="0" w:oddVBand="0" w:evenVBand="0" w:oddHBand="0" w:evenHBand="0" w:firstRowFirstColumn="0" w:firstRowLastColumn="0" w:lastRowFirstColumn="0" w:lastRowLastColumn="0"/>
            <w:tcW w:w="2714" w:type="dxa"/>
            <w:tcBorders>
              <w:top w:val="single" w:sz="4" w:space="0" w:color="E0301E" w:themeColor="accent6"/>
              <w:left w:val="single" w:sz="4" w:space="0" w:color="E0301E" w:themeColor="accent6"/>
              <w:bottom w:val="single" w:sz="4" w:space="0" w:color="E0301E" w:themeColor="accent6"/>
            </w:tcBorders>
            <w:shd w:val="clear" w:color="auto" w:fill="auto"/>
          </w:tcPr>
          <w:p w14:paraId="7CDF57F8" w14:textId="77777777" w:rsidR="005B7404" w:rsidRDefault="005B7404" w:rsidP="007F5E44">
            <w:pPr>
              <w:pStyle w:val="TableTextSmall"/>
              <w:keepNext/>
            </w:pPr>
            <w:r>
              <w:t>Income Limit of $80,000 for FTB Part A supplement</w:t>
            </w:r>
          </w:p>
        </w:tc>
        <w:tc>
          <w:tcPr>
            <w:tcW w:w="3058" w:type="dxa"/>
            <w:tcBorders>
              <w:top w:val="nil"/>
              <w:left w:val="nil"/>
              <w:bottom w:val="nil"/>
            </w:tcBorders>
          </w:tcPr>
          <w:p w14:paraId="1F3EB0C5" w14:textId="77777777" w:rsidR="005B7404" w:rsidRPr="00C66E06" w:rsidRDefault="005B7404" w:rsidP="007F5E44">
            <w:pPr>
              <w:pStyle w:val="TableTextSmall"/>
              <w:keepNext/>
              <w:cnfStyle w:val="000000000000" w:firstRow="0" w:lastRow="0" w:firstColumn="0" w:lastColumn="0" w:oddVBand="0" w:evenVBand="0" w:oddHBand="0" w:evenHBand="0" w:firstRowFirstColumn="0" w:firstRowLastColumn="0" w:lastRowFirstColumn="0" w:lastRowLastColumn="0"/>
              <w:rPr>
                <w:b/>
              </w:rPr>
            </w:pPr>
            <w:r>
              <w:t xml:space="preserve">Introduction of an income limit of $80,000 on the </w:t>
            </w:r>
            <w:r w:rsidRPr="00C9798C">
              <w:t xml:space="preserve">payment of the Family Tax Benefit </w:t>
            </w:r>
            <w:r>
              <w:t>Part A S</w:t>
            </w:r>
            <w:r w:rsidRPr="00C9798C">
              <w:t xml:space="preserve">upplement, </w:t>
            </w:r>
            <w:r>
              <w:t>from July 2017.</w:t>
            </w:r>
          </w:p>
        </w:tc>
        <w:tc>
          <w:tcPr>
            <w:tcW w:w="4201" w:type="dxa"/>
            <w:tcBorders>
              <w:top w:val="nil"/>
              <w:left w:val="nil"/>
              <w:bottom w:val="nil"/>
              <w:right w:val="single" w:sz="4" w:space="0" w:color="E0301E" w:themeColor="accent6"/>
            </w:tcBorders>
          </w:tcPr>
          <w:p w14:paraId="431029CB" w14:textId="77777777" w:rsidR="005B7404" w:rsidRPr="00C66E06" w:rsidRDefault="005B7404" w:rsidP="007F5E44">
            <w:pPr>
              <w:pStyle w:val="TableTextSmall"/>
              <w:keepNext/>
              <w:cnfStyle w:val="000000000000" w:firstRow="0" w:lastRow="0" w:firstColumn="0" w:lastColumn="0" w:oddVBand="0" w:evenVBand="0" w:oddHBand="0" w:evenHBand="0" w:firstRowFirstColumn="0" w:firstRowLastColumn="0" w:lastRowFirstColumn="0" w:lastRowLastColumn="0"/>
            </w:pPr>
            <w:r>
              <w:t xml:space="preserve">Those people who earn </w:t>
            </w:r>
            <w:r w:rsidRPr="00977F60">
              <w:t xml:space="preserve">more than $80,000 </w:t>
            </w:r>
            <w:r>
              <w:t xml:space="preserve">will not be entitled to the </w:t>
            </w:r>
            <w:r w:rsidRPr="00977F60">
              <w:t xml:space="preserve">FTB Part A </w:t>
            </w:r>
            <w:r>
              <w:t>S</w:t>
            </w:r>
            <w:r w:rsidRPr="00977F60">
              <w:t>upplement.</w:t>
            </w:r>
            <w:r>
              <w:t xml:space="preserve"> On average this will reduce the amount of FTB paid per person.</w:t>
            </w:r>
          </w:p>
        </w:tc>
      </w:tr>
      <w:tr w:rsidR="005B7404" w:rsidRPr="00C66E06" w14:paraId="55EEA540" w14:textId="77777777" w:rsidTr="003E46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4" w:type="dxa"/>
            <w:tcBorders>
              <w:left w:val="single" w:sz="4" w:space="0" w:color="E0301E" w:themeColor="accent6"/>
            </w:tcBorders>
            <w:shd w:val="clear" w:color="auto" w:fill="auto"/>
          </w:tcPr>
          <w:p w14:paraId="10C7086C" w14:textId="77777777" w:rsidR="005B7404" w:rsidRDefault="005B7404" w:rsidP="007F5E44">
            <w:pPr>
              <w:pStyle w:val="TableTextSmall"/>
              <w:keepNext/>
            </w:pPr>
            <w:r>
              <w:t>Freeze of current Family Tax Benefit rates</w:t>
            </w:r>
          </w:p>
        </w:tc>
        <w:tc>
          <w:tcPr>
            <w:tcW w:w="3058" w:type="dxa"/>
            <w:tcBorders>
              <w:left w:val="nil"/>
            </w:tcBorders>
          </w:tcPr>
          <w:p w14:paraId="3E9AC2D8" w14:textId="77777777" w:rsidR="005B7404" w:rsidRPr="00C66E06" w:rsidRDefault="005B7404" w:rsidP="007F5E44">
            <w:pPr>
              <w:pStyle w:val="TableTextSmall"/>
              <w:keepNext/>
              <w:cnfStyle w:val="000000100000" w:firstRow="0" w:lastRow="0" w:firstColumn="0" w:lastColumn="0" w:oddVBand="0" w:evenVBand="0" w:oddHBand="1" w:evenHBand="0" w:firstRowFirstColumn="0" w:firstRowLastColumn="0" w:lastRowFirstColumn="0" w:lastRowLastColumn="0"/>
              <w:rPr>
                <w:b/>
              </w:rPr>
            </w:pPr>
            <w:r>
              <w:t>Freeze of the current F</w:t>
            </w:r>
            <w:r w:rsidRPr="00C66E06">
              <w:t xml:space="preserve">amily </w:t>
            </w:r>
            <w:r>
              <w:t>T</w:t>
            </w:r>
            <w:r w:rsidRPr="00C66E06">
              <w:t xml:space="preserve">ax </w:t>
            </w:r>
            <w:r>
              <w:t>B</w:t>
            </w:r>
            <w:r w:rsidRPr="00C66E06">
              <w:t xml:space="preserve">enefit </w:t>
            </w:r>
            <w:r>
              <w:t xml:space="preserve">(Part A and B) </w:t>
            </w:r>
            <w:r w:rsidRPr="00C66E06">
              <w:t>rates for two years, from 1 July 2017</w:t>
            </w:r>
            <w:r>
              <w:t>.</w:t>
            </w:r>
          </w:p>
        </w:tc>
        <w:tc>
          <w:tcPr>
            <w:tcW w:w="4201" w:type="dxa"/>
            <w:tcBorders>
              <w:left w:val="nil"/>
              <w:right w:val="single" w:sz="4" w:space="0" w:color="E0301E" w:themeColor="accent6"/>
            </w:tcBorders>
          </w:tcPr>
          <w:p w14:paraId="5231A75E" w14:textId="77777777" w:rsidR="005B7404" w:rsidRPr="00C66E06" w:rsidRDefault="005B7404" w:rsidP="007F5E44">
            <w:pPr>
              <w:pStyle w:val="TableTextSmall"/>
              <w:keepNext/>
              <w:cnfStyle w:val="000000100000" w:firstRow="0" w:lastRow="0" w:firstColumn="0" w:lastColumn="0" w:oddVBand="0" w:evenVBand="0" w:oddHBand="1" w:evenHBand="0" w:firstRowFirstColumn="0" w:firstRowLastColumn="0" w:lastRowFirstColumn="0" w:lastRowLastColumn="0"/>
            </w:pPr>
            <w:r>
              <w:t>Future payment rates for FTB will be lower as a result of two years without indexation.</w:t>
            </w:r>
          </w:p>
        </w:tc>
      </w:tr>
      <w:tr w:rsidR="005B7404" w:rsidRPr="00C66E06" w14:paraId="6AAFE3CC" w14:textId="77777777" w:rsidTr="003E46E9">
        <w:trPr>
          <w:cantSplit/>
        </w:trPr>
        <w:tc>
          <w:tcPr>
            <w:cnfStyle w:val="001000000000" w:firstRow="0" w:lastRow="0" w:firstColumn="1" w:lastColumn="0" w:oddVBand="0" w:evenVBand="0" w:oddHBand="0" w:evenHBand="0" w:firstRowFirstColumn="0" w:firstRowLastColumn="0" w:lastRowFirstColumn="0" w:lastRowLastColumn="0"/>
            <w:tcW w:w="2714" w:type="dxa"/>
            <w:tcBorders>
              <w:top w:val="single" w:sz="4" w:space="0" w:color="E0301E" w:themeColor="accent6"/>
              <w:left w:val="single" w:sz="4" w:space="0" w:color="E0301E" w:themeColor="accent6"/>
              <w:bottom w:val="single" w:sz="4" w:space="0" w:color="E0301E" w:themeColor="accent6"/>
            </w:tcBorders>
            <w:shd w:val="clear" w:color="auto" w:fill="auto"/>
          </w:tcPr>
          <w:p w14:paraId="3F467BDD" w14:textId="77777777" w:rsidR="005B7404" w:rsidRDefault="005B7404" w:rsidP="007F5E44">
            <w:pPr>
              <w:pStyle w:val="TableTextSmall"/>
              <w:keepNext/>
            </w:pPr>
            <w:r>
              <w:t>Student Start-Up Scholarship</w:t>
            </w:r>
          </w:p>
        </w:tc>
        <w:tc>
          <w:tcPr>
            <w:tcW w:w="3058" w:type="dxa"/>
            <w:tcBorders>
              <w:top w:val="nil"/>
              <w:left w:val="nil"/>
              <w:bottom w:val="nil"/>
            </w:tcBorders>
          </w:tcPr>
          <w:p w14:paraId="0E0AB18B" w14:textId="77777777" w:rsidR="005B7404" w:rsidRPr="00C66E06" w:rsidRDefault="005B7404" w:rsidP="007F5E44">
            <w:pPr>
              <w:pStyle w:val="TableTextSmall"/>
              <w:keepNext/>
              <w:cnfStyle w:val="000000000000" w:firstRow="0" w:lastRow="0" w:firstColumn="0" w:lastColumn="0" w:oddVBand="0" w:evenVBand="0" w:oddHBand="0" w:evenHBand="0" w:firstRowFirstColumn="0" w:firstRowLastColumn="0" w:lastRowFirstColumn="0" w:lastRowLastColumn="0"/>
              <w:rPr>
                <w:b/>
              </w:rPr>
            </w:pPr>
            <w:r>
              <w:t>Removal of the grandfathering for the Student Start-Up Scholarship from July 2017.</w:t>
            </w:r>
          </w:p>
        </w:tc>
        <w:tc>
          <w:tcPr>
            <w:tcW w:w="4201" w:type="dxa"/>
            <w:tcBorders>
              <w:top w:val="nil"/>
              <w:left w:val="nil"/>
              <w:bottom w:val="nil"/>
              <w:right w:val="single" w:sz="4" w:space="0" w:color="E0301E" w:themeColor="accent6"/>
            </w:tcBorders>
          </w:tcPr>
          <w:p w14:paraId="4B49D652" w14:textId="77777777" w:rsidR="005B7404" w:rsidRPr="00C66E06" w:rsidRDefault="005B7404" w:rsidP="007F5E44">
            <w:pPr>
              <w:pStyle w:val="TableTextSmall"/>
              <w:keepNext/>
              <w:cnfStyle w:val="000000000000" w:firstRow="0" w:lastRow="0" w:firstColumn="0" w:lastColumn="0" w:oddVBand="0" w:evenVBand="0" w:oddHBand="0" w:evenHBand="0" w:firstRowFirstColumn="0" w:firstRowLastColumn="0" w:lastRowFirstColumn="0" w:lastRowLastColumn="0"/>
            </w:pPr>
            <w:r>
              <w:t>Those students who have not yet finished their studies will no longer be entitled to Student Start-Up Scholarship. Some of these students may elect to receive the Student Start-Up Loan.</w:t>
            </w:r>
          </w:p>
        </w:tc>
      </w:tr>
      <w:tr w:rsidR="005B7404" w:rsidRPr="00C66E06" w14:paraId="5A916FA8" w14:textId="77777777" w:rsidTr="003E46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4" w:type="dxa"/>
            <w:tcBorders>
              <w:left w:val="single" w:sz="4" w:space="0" w:color="E0301E" w:themeColor="accent6"/>
            </w:tcBorders>
            <w:shd w:val="clear" w:color="auto" w:fill="auto"/>
          </w:tcPr>
          <w:p w14:paraId="78C30B68" w14:textId="77777777" w:rsidR="005B7404" w:rsidRDefault="005B7404" w:rsidP="007F5E44">
            <w:pPr>
              <w:pStyle w:val="TableTextSmall"/>
              <w:keepNext/>
            </w:pPr>
            <w:r>
              <w:t>Closure of Carbon Tax Compensation</w:t>
            </w:r>
          </w:p>
        </w:tc>
        <w:tc>
          <w:tcPr>
            <w:tcW w:w="3058" w:type="dxa"/>
            <w:tcBorders>
              <w:left w:val="nil"/>
            </w:tcBorders>
          </w:tcPr>
          <w:p w14:paraId="6D99901C" w14:textId="77777777" w:rsidR="005B7404" w:rsidRPr="00C66E06" w:rsidRDefault="005B7404" w:rsidP="007F5E44">
            <w:pPr>
              <w:pStyle w:val="TableTextSmall"/>
              <w:keepNext/>
              <w:cnfStyle w:val="000000100000" w:firstRow="0" w:lastRow="0" w:firstColumn="0" w:lastColumn="0" w:oddVBand="0" w:evenVBand="0" w:oddHBand="1" w:evenHBand="0" w:firstRowFirstColumn="0" w:firstRowLastColumn="0" w:lastRowFirstColumn="0" w:lastRowLastColumn="0"/>
              <w:rPr>
                <w:b/>
              </w:rPr>
            </w:pPr>
            <w:r>
              <w:t>Closure of Carbon Tax compensation (the Energy Supplement) to new recipients of Family Tax Benefit and concession cards (including the Seniors Health Card) from March 2017.</w:t>
            </w:r>
          </w:p>
        </w:tc>
        <w:tc>
          <w:tcPr>
            <w:tcW w:w="4201" w:type="dxa"/>
            <w:tcBorders>
              <w:left w:val="nil"/>
              <w:right w:val="single" w:sz="4" w:space="0" w:color="E0301E" w:themeColor="accent6"/>
            </w:tcBorders>
          </w:tcPr>
          <w:p w14:paraId="373A81C7" w14:textId="77777777" w:rsidR="005B7404" w:rsidRPr="00C66E06" w:rsidRDefault="005B7404" w:rsidP="007F5E44">
            <w:pPr>
              <w:pStyle w:val="TableTextSmall"/>
              <w:keepNext/>
              <w:cnfStyle w:val="000000100000" w:firstRow="0" w:lastRow="0" w:firstColumn="0" w:lastColumn="0" w:oddVBand="0" w:evenVBand="0" w:oddHBand="1" w:evenHBand="0" w:firstRowFirstColumn="0" w:firstRowLastColumn="0" w:lastRowFirstColumn="0" w:lastRowLastColumn="0"/>
            </w:pPr>
            <w:r>
              <w:t>New recipients of FTB and new holders of the Seniors Health Card will not receive the Energy Supplement, as they have done historically.</w:t>
            </w:r>
          </w:p>
        </w:tc>
      </w:tr>
      <w:tr w:rsidR="005B7404" w:rsidRPr="00C66E06" w14:paraId="36F3E7FF" w14:textId="77777777" w:rsidTr="003E46E9">
        <w:trPr>
          <w:cantSplit/>
        </w:trPr>
        <w:tc>
          <w:tcPr>
            <w:cnfStyle w:val="001000000000" w:firstRow="0" w:lastRow="0" w:firstColumn="1" w:lastColumn="0" w:oddVBand="0" w:evenVBand="0" w:oddHBand="0" w:evenHBand="0" w:firstRowFirstColumn="0" w:firstRowLastColumn="0" w:lastRowFirstColumn="0" w:lastRowLastColumn="0"/>
            <w:tcW w:w="2714" w:type="dxa"/>
            <w:tcBorders>
              <w:top w:val="single" w:sz="4" w:space="0" w:color="E0301E" w:themeColor="accent6"/>
              <w:left w:val="single" w:sz="4" w:space="0" w:color="E0301E" w:themeColor="accent6"/>
              <w:bottom w:val="single" w:sz="4" w:space="0" w:color="E0301E" w:themeColor="accent6"/>
            </w:tcBorders>
            <w:shd w:val="clear" w:color="auto" w:fill="auto"/>
          </w:tcPr>
          <w:p w14:paraId="18755AFF" w14:textId="6ACAC31F" w:rsidR="005B7404" w:rsidRDefault="005B7404" w:rsidP="007F5E44">
            <w:pPr>
              <w:pStyle w:val="TableTextSmall"/>
              <w:keepNext/>
            </w:pPr>
            <w:r>
              <w:t xml:space="preserve">Freeze of </w:t>
            </w:r>
            <w:r w:rsidR="006A17CD">
              <w:t xml:space="preserve">FTB </w:t>
            </w:r>
            <w:r>
              <w:t>higher income free area</w:t>
            </w:r>
            <w:r w:rsidR="006A17CD">
              <w:t xml:space="preserve"> and primary earner income limit</w:t>
            </w:r>
          </w:p>
        </w:tc>
        <w:tc>
          <w:tcPr>
            <w:tcW w:w="3058" w:type="dxa"/>
            <w:tcBorders>
              <w:top w:val="single" w:sz="4" w:space="0" w:color="E0301E" w:themeColor="accent6"/>
              <w:left w:val="nil"/>
              <w:bottom w:val="single" w:sz="4" w:space="0" w:color="E0301E" w:themeColor="accent6"/>
            </w:tcBorders>
          </w:tcPr>
          <w:p w14:paraId="6930AFBE" w14:textId="58246681" w:rsidR="005B7404" w:rsidRPr="00C66E06" w:rsidRDefault="006A17CD" w:rsidP="007F5E44">
            <w:pPr>
              <w:pStyle w:val="TableTextSmall"/>
              <w:keepNext/>
              <w:cnfStyle w:val="000000000000" w:firstRow="0" w:lastRow="0" w:firstColumn="0" w:lastColumn="0" w:oddVBand="0" w:evenVBand="0" w:oddHBand="0" w:evenHBand="0" w:firstRowFirstColumn="0" w:firstRowLastColumn="0" w:lastRowFirstColumn="0" w:lastRowLastColumn="0"/>
              <w:rPr>
                <w:b/>
              </w:rPr>
            </w:pPr>
            <w:r>
              <w:t>Freeze of the higher income free area for Family Tax Benefit Part A, and the primary earner income limit for Family Tax Benefit Part B at their current levels until 30 June 2020.</w:t>
            </w:r>
          </w:p>
        </w:tc>
        <w:tc>
          <w:tcPr>
            <w:tcW w:w="4201" w:type="dxa"/>
            <w:tcBorders>
              <w:top w:val="single" w:sz="4" w:space="0" w:color="E0301E" w:themeColor="accent6"/>
              <w:left w:val="nil"/>
              <w:bottom w:val="single" w:sz="4" w:space="0" w:color="E0301E" w:themeColor="accent6"/>
              <w:right w:val="single" w:sz="4" w:space="0" w:color="E0301E" w:themeColor="accent6"/>
            </w:tcBorders>
          </w:tcPr>
          <w:p w14:paraId="0BD2F454" w14:textId="77777777" w:rsidR="005B7404" w:rsidRPr="00C66E06" w:rsidRDefault="005B7404" w:rsidP="007F5E44">
            <w:pPr>
              <w:pStyle w:val="TableTextSmall"/>
              <w:keepNext/>
              <w:cnfStyle w:val="000000000000" w:firstRow="0" w:lastRow="0" w:firstColumn="0" w:lastColumn="0" w:oddVBand="0" w:evenVBand="0" w:oddHBand="0" w:evenHBand="0" w:firstRowFirstColumn="0" w:firstRowLastColumn="0" w:lastRowFirstColumn="0" w:lastRowLastColumn="0"/>
            </w:pPr>
            <w:r>
              <w:t>People whose income grows beyond the current limits will lose their entitlement. This will reduce the amount of FTB payments.</w:t>
            </w:r>
          </w:p>
        </w:tc>
      </w:tr>
      <w:tr w:rsidR="005B7404" w:rsidRPr="00C66E06" w14:paraId="1EB77F8C" w14:textId="77777777" w:rsidTr="003E46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4" w:type="dxa"/>
            <w:tcBorders>
              <w:left w:val="single" w:sz="4" w:space="0" w:color="E0301E" w:themeColor="accent6"/>
            </w:tcBorders>
            <w:shd w:val="clear" w:color="auto" w:fill="auto"/>
          </w:tcPr>
          <w:p w14:paraId="4618054B" w14:textId="77777777" w:rsidR="005B7404" w:rsidRDefault="005B7404" w:rsidP="007F5E44">
            <w:pPr>
              <w:pStyle w:val="TableTextSmall"/>
              <w:keepNext/>
            </w:pPr>
            <w:r>
              <w:t>Energy Assistance Payment</w:t>
            </w:r>
          </w:p>
        </w:tc>
        <w:tc>
          <w:tcPr>
            <w:tcW w:w="3058" w:type="dxa"/>
            <w:tcBorders>
              <w:left w:val="nil"/>
            </w:tcBorders>
            <w:shd w:val="clear" w:color="auto" w:fill="auto"/>
          </w:tcPr>
          <w:p w14:paraId="228FD80D" w14:textId="77777777" w:rsidR="005B7404" w:rsidRPr="00C66E06" w:rsidRDefault="005B7404" w:rsidP="007F5E44">
            <w:pPr>
              <w:pStyle w:val="TableTextSmall"/>
              <w:keepNext/>
              <w:cnfStyle w:val="000000100000" w:firstRow="0" w:lastRow="0" w:firstColumn="0" w:lastColumn="0" w:oddVBand="0" w:evenVBand="0" w:oddHBand="1" w:evenHBand="0" w:firstRowFirstColumn="0" w:firstRowLastColumn="0" w:lastRowFirstColumn="0" w:lastRowLastColumn="0"/>
              <w:rPr>
                <w:b/>
              </w:rPr>
            </w:pPr>
            <w:r>
              <w:t>Payment of one-off Energy Assistance Payment in June 2017.</w:t>
            </w:r>
          </w:p>
        </w:tc>
        <w:tc>
          <w:tcPr>
            <w:tcW w:w="4201" w:type="dxa"/>
            <w:tcBorders>
              <w:left w:val="nil"/>
              <w:right w:val="single" w:sz="4" w:space="0" w:color="E0301E" w:themeColor="accent6"/>
            </w:tcBorders>
            <w:shd w:val="clear" w:color="auto" w:fill="auto"/>
          </w:tcPr>
          <w:p w14:paraId="03604158" w14:textId="77777777" w:rsidR="005B7404" w:rsidRPr="00C66E06" w:rsidRDefault="005B7404" w:rsidP="007F5E44">
            <w:pPr>
              <w:pStyle w:val="TableTextSmall"/>
              <w:keepNext/>
              <w:cnfStyle w:val="000000100000" w:firstRow="0" w:lastRow="0" w:firstColumn="0" w:lastColumn="0" w:oddVBand="0" w:evenVBand="0" w:oddHBand="1" w:evenHBand="0" w:firstRowFirstColumn="0" w:firstRowLastColumn="0" w:lastRowFirstColumn="0" w:lastRowLastColumn="0"/>
            </w:pPr>
            <w:r>
              <w:t>A new payment made in the 2016 financial year which is not expected to continue.</w:t>
            </w:r>
          </w:p>
        </w:tc>
      </w:tr>
    </w:tbl>
    <w:p w14:paraId="60FF1191" w14:textId="613828BA" w:rsidR="00C62854" w:rsidRDefault="00C62854" w:rsidP="00C62854">
      <w:pPr>
        <w:pStyle w:val="PwCNormal"/>
        <w:numPr>
          <w:ilvl w:val="0"/>
          <w:numId w:val="0"/>
        </w:numPr>
      </w:pPr>
      <w:r>
        <w:t>Based on budgeted information t</w:t>
      </w:r>
      <w:r w:rsidRPr="0083582F">
        <w:t xml:space="preserve">he most </w:t>
      </w:r>
      <w:r>
        <w:t>substantial</w:t>
      </w:r>
      <w:r w:rsidRPr="0083582F">
        <w:t xml:space="preserve"> </w:t>
      </w:r>
      <w:r>
        <w:t xml:space="preserve">policy </w:t>
      </w:r>
      <w:r w:rsidRPr="0083582F">
        <w:t>change</w:t>
      </w:r>
      <w:r>
        <w:t>s</w:t>
      </w:r>
      <w:r w:rsidRPr="0083582F">
        <w:t xml:space="preserve"> </w:t>
      </w:r>
      <w:r>
        <w:t>which have been reflected in the policy settings for the first time at</w:t>
      </w:r>
      <w:r w:rsidRPr="0083582F">
        <w:t xml:space="preserve"> this valuation </w:t>
      </w:r>
      <w:r>
        <w:t>were</w:t>
      </w:r>
      <w:r w:rsidRPr="0083582F">
        <w:t xml:space="preserve"> the introduction of the Child Care Subsidy, replacing the current Child Care Benefit and Child Care Rebate</w:t>
      </w:r>
      <w:r>
        <w:t xml:space="preserve"> </w:t>
      </w:r>
      <w:r w:rsidRPr="0083582F">
        <w:t>from July 201</w:t>
      </w:r>
      <w:r w:rsidR="00CE035D">
        <w:t>8</w:t>
      </w:r>
      <w:r w:rsidR="00626854">
        <w:t>;</w:t>
      </w:r>
      <w:r>
        <w:t xml:space="preserve"> the introduction of </w:t>
      </w:r>
      <w:r w:rsidRPr="00E749FB">
        <w:t>an income limit of $80,000 on the payment of the Famil</w:t>
      </w:r>
      <w:r>
        <w:t>y Tax Benefit Part A Supplement</w:t>
      </w:r>
      <w:r w:rsidRPr="00E749FB">
        <w:t xml:space="preserve"> from July 2017</w:t>
      </w:r>
      <w:r w:rsidR="00626854" w:rsidRPr="00626854">
        <w:t xml:space="preserve">; and the two year freeze of current </w:t>
      </w:r>
      <w:r w:rsidR="00961841">
        <w:t>F</w:t>
      </w:r>
      <w:r w:rsidR="00626854" w:rsidRPr="00626854">
        <w:t xml:space="preserve">amily </w:t>
      </w:r>
      <w:r w:rsidR="00961841">
        <w:t>T</w:t>
      </w:r>
      <w:r w:rsidR="00626854" w:rsidRPr="00626854">
        <w:t xml:space="preserve">ax </w:t>
      </w:r>
      <w:r w:rsidR="00961841">
        <w:t>B</w:t>
      </w:r>
      <w:r w:rsidR="00626854" w:rsidRPr="00626854">
        <w:t>enefit rates for two years from July 2017</w:t>
      </w:r>
      <w:r w:rsidRPr="0083582F">
        <w:t xml:space="preserve">. </w:t>
      </w:r>
    </w:p>
    <w:p w14:paraId="3451DBBE" w14:textId="77777777" w:rsidR="00C62854" w:rsidRDefault="00C62854" w:rsidP="00C62854">
      <w:pPr>
        <w:pStyle w:val="PwCNormal"/>
        <w:numPr>
          <w:ilvl w:val="0"/>
          <w:numId w:val="0"/>
        </w:numPr>
      </w:pPr>
      <w:r>
        <w:t>It is worth noting that all the above changes relate to supplementary payments; there have been few changes to the design of income support payments.</w:t>
      </w:r>
    </w:p>
    <w:p w14:paraId="4367C95C" w14:textId="12138E8C" w:rsidR="00C62854" w:rsidRDefault="00C62854" w:rsidP="00C62854">
      <w:pPr>
        <w:pStyle w:val="PwCNormal"/>
        <w:numPr>
          <w:ilvl w:val="0"/>
          <w:numId w:val="0"/>
        </w:numPr>
      </w:pPr>
      <w:r w:rsidRPr="0083582F">
        <w:t>The 2017 valuation also includes a minor</w:t>
      </w:r>
      <w:r>
        <w:t xml:space="preserve"> revision to the allowance for the January 2017 </w:t>
      </w:r>
      <w:r w:rsidR="00A42F8A">
        <w:t xml:space="preserve">Age </w:t>
      </w:r>
      <w:r>
        <w:t xml:space="preserve">Pension </w:t>
      </w:r>
      <w:r w:rsidR="00A42F8A">
        <w:t>assets t</w:t>
      </w:r>
      <w:r>
        <w:t>est changes. This reflects information o</w:t>
      </w:r>
      <w:r w:rsidR="003E4E38">
        <w:t>n</w:t>
      </w:r>
      <w:r>
        <w:t xml:space="preserve"> the actual impact of the change in the two months after it took effect; the allowance was </w:t>
      </w:r>
      <w:r w:rsidR="002D42B3">
        <w:t xml:space="preserve">previously </w:t>
      </w:r>
      <w:r>
        <w:t>based on expected impacts from Departmental modelling.</w:t>
      </w:r>
    </w:p>
    <w:p w14:paraId="0C5F543D" w14:textId="5CF47594" w:rsidR="00131663" w:rsidRDefault="00C62854" w:rsidP="00C62854">
      <w:pPr>
        <w:pStyle w:val="PwCNormal"/>
        <w:numPr>
          <w:ilvl w:val="0"/>
          <w:numId w:val="1"/>
        </w:numPr>
      </w:pPr>
      <w:r>
        <w:t xml:space="preserve">Over the last few years there have also been operational developments relating to the medical assessment for the Disability Support Pension, and these have acted to tighten the eligibility. We have previously noted decreasing entries into the Disability Support Pension as a result of this, and a continuation of this experience </w:t>
      </w:r>
      <w:r w:rsidR="002D42B3">
        <w:t xml:space="preserve">has been observed </w:t>
      </w:r>
      <w:r>
        <w:t>this year.</w:t>
      </w:r>
    </w:p>
    <w:p w14:paraId="0CF1432B" w14:textId="77777777" w:rsidR="00CC58B7" w:rsidRPr="0057506F" w:rsidRDefault="00CC58B7" w:rsidP="00CC58B7">
      <w:pPr>
        <w:pStyle w:val="PwCNormal"/>
        <w:numPr>
          <w:ilvl w:val="0"/>
          <w:numId w:val="0"/>
        </w:numPr>
      </w:pPr>
    </w:p>
    <w:p w14:paraId="1EAA7BCD" w14:textId="77777777" w:rsidR="00CC58B7" w:rsidRPr="0057506F" w:rsidRDefault="00CC58B7" w:rsidP="00CC58B7">
      <w:pPr>
        <w:pStyle w:val="PwCNormal"/>
        <w:numPr>
          <w:ilvl w:val="0"/>
          <w:numId w:val="0"/>
        </w:numPr>
        <w:sectPr w:rsidR="00CC58B7" w:rsidRPr="0057506F" w:rsidSect="00CC5ACB">
          <w:headerReference w:type="even" r:id="rId79"/>
          <w:headerReference w:type="first" r:id="rId80"/>
          <w:pgSz w:w="11907" w:h="16840" w:code="9"/>
          <w:pgMar w:top="1588" w:right="1021" w:bottom="1418" w:left="1021" w:header="567" w:footer="567" w:gutter="0"/>
          <w:cols w:space="227"/>
          <w:docGrid w:linePitch="360"/>
        </w:sectPr>
      </w:pPr>
    </w:p>
    <w:p w14:paraId="7B5602C6" w14:textId="77777777" w:rsidR="00131663" w:rsidRDefault="00131663" w:rsidP="00131663">
      <w:pPr>
        <w:pStyle w:val="Heading2"/>
      </w:pPr>
      <w:bookmarkStart w:id="57" w:name="_Ref498422874"/>
      <w:bookmarkStart w:id="58" w:name="_Ref498423586"/>
      <w:bookmarkStart w:id="59" w:name="_Toc506388211"/>
      <w:bookmarkStart w:id="60" w:name="_Toc455499400"/>
      <w:bookmarkStart w:id="61" w:name="_Toc455502421"/>
      <w:bookmarkStart w:id="62" w:name="_Ref466492560"/>
      <w:bookmarkStart w:id="63" w:name="_Ref433720073"/>
      <w:bookmarkStart w:id="64" w:name="_Toc433883848"/>
      <w:bookmarkEnd w:id="21"/>
      <w:bookmarkEnd w:id="22"/>
      <w:bookmarkEnd w:id="23"/>
      <w:bookmarkEnd w:id="24"/>
      <w:bookmarkEnd w:id="25"/>
      <w:bookmarkEnd w:id="53"/>
      <w:r>
        <w:lastRenderedPageBreak/>
        <w:t>Summary of recent experience</w:t>
      </w:r>
      <w:bookmarkEnd w:id="57"/>
      <w:bookmarkEnd w:id="58"/>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outlines key points from this report section."/>
      </w:tblPr>
      <w:tblGrid>
        <w:gridCol w:w="10081"/>
      </w:tblGrid>
      <w:tr w:rsidR="00131663" w:rsidRPr="009210D0" w14:paraId="7F6D805A" w14:textId="77777777" w:rsidTr="0011298C">
        <w:trPr>
          <w:tblHeader/>
        </w:trPr>
        <w:tc>
          <w:tcPr>
            <w:tcW w:w="10081" w:type="dxa"/>
            <w:shd w:val="clear" w:color="auto" w:fill="F3ABA4" w:themeFill="accent6" w:themeFillTint="66"/>
          </w:tcPr>
          <w:p w14:paraId="79D6CBB3" w14:textId="77777777" w:rsidR="00C62854" w:rsidRPr="00CE183F" w:rsidRDefault="00C62854" w:rsidP="00C62854">
            <w:pPr>
              <w:pStyle w:val="PwCNormal"/>
              <w:numPr>
                <w:ilvl w:val="0"/>
                <w:numId w:val="0"/>
              </w:numPr>
              <w:rPr>
                <w:b/>
              </w:rPr>
            </w:pPr>
            <w:bookmarkStart w:id="65" w:name="_Toc455499354"/>
            <w:bookmarkStart w:id="66" w:name="_Toc455502375"/>
            <w:r w:rsidRPr="00CE183F">
              <w:rPr>
                <w:b/>
              </w:rPr>
              <w:t>Key points</w:t>
            </w:r>
          </w:p>
          <w:p w14:paraId="40519693" w14:textId="6C00709B" w:rsidR="00C62854" w:rsidRDefault="00327075" w:rsidP="00C62854">
            <w:pPr>
              <w:pStyle w:val="ListBullet"/>
            </w:pPr>
            <w:r>
              <w:t>The total model population of</w:t>
            </w:r>
            <w:r w:rsidR="00C62854">
              <w:t xml:space="preserve"> 24.7 million people comprises the 24.6 million resident population of Australia, as well as 0.1 million current welfare recipients residing overseas</w:t>
            </w:r>
            <w:r w:rsidR="006C1EBA">
              <w:t xml:space="preserve"> (</w:t>
            </w:r>
            <w:r w:rsidR="001F3282">
              <w:t>mostly</w:t>
            </w:r>
            <w:r w:rsidR="006C1EBA">
              <w:t xml:space="preserve"> age pensioners)</w:t>
            </w:r>
            <w:r w:rsidR="00C62854">
              <w:t xml:space="preserve">. </w:t>
            </w:r>
          </w:p>
          <w:p w14:paraId="150A6BAF" w14:textId="5F46F539" w:rsidR="00C62854" w:rsidRDefault="00C62854" w:rsidP="00C62854">
            <w:pPr>
              <w:pStyle w:val="ListBullet"/>
            </w:pPr>
            <w:r>
              <w:t xml:space="preserve">The model population has increased by 0.5 million since June 2016 which reflects 0.35 million </w:t>
            </w:r>
            <w:r w:rsidRPr="006D4AC8">
              <w:t>population growth</w:t>
            </w:r>
            <w:r>
              <w:t xml:space="preserve"> over the year, as well as a 0.15 million increase to reflect </w:t>
            </w:r>
            <w:r w:rsidR="006C1EBA">
              <w:t xml:space="preserve">the higher than expected </w:t>
            </w:r>
            <w:r w:rsidR="001F3282">
              <w:t>rate</w:t>
            </w:r>
            <w:r w:rsidR="006C1EBA">
              <w:t xml:space="preserve"> of population growth </w:t>
            </w:r>
            <w:r w:rsidR="001F3282">
              <w:t xml:space="preserve">in the period </w:t>
            </w:r>
            <w:r w:rsidR="006C1EBA">
              <w:t>between the 2011</w:t>
            </w:r>
            <w:r w:rsidR="001F3282">
              <w:t xml:space="preserve"> Census</w:t>
            </w:r>
            <w:r w:rsidR="006C1EBA">
              <w:t xml:space="preserve"> </w:t>
            </w:r>
            <w:r w:rsidR="001F3282">
              <w:t xml:space="preserve">and </w:t>
            </w:r>
            <w:r w:rsidRPr="006D4AC8">
              <w:t>2016 Census</w:t>
            </w:r>
            <w:r>
              <w:t>.</w:t>
            </w:r>
          </w:p>
          <w:p w14:paraId="47B68E9F" w14:textId="2284E427" w:rsidR="003E4E38" w:rsidRDefault="003E4E38" w:rsidP="003E4E38">
            <w:pPr>
              <w:pStyle w:val="ListBullet"/>
            </w:pPr>
            <w:r w:rsidRPr="003B1037">
              <w:t>Whilst the population has grown over the year</w:t>
            </w:r>
            <w:r>
              <w:t>,</w:t>
            </w:r>
            <w:r w:rsidRPr="003B1037">
              <w:t xml:space="preserve"> the total number of people in the welfare system is very close to that last year</w:t>
            </w:r>
            <w:r>
              <w:t>. There has been a very small decrease from 8.05 million welfare recipients seen during 2015/16 to 8.04 million during 2016/17.</w:t>
            </w:r>
          </w:p>
          <w:p w14:paraId="4BD1C9BA" w14:textId="37CBAC6B" w:rsidR="00C62854" w:rsidRDefault="00C62854" w:rsidP="00C62854">
            <w:pPr>
              <w:pStyle w:val="ListBullet"/>
            </w:pPr>
            <w:r>
              <w:t xml:space="preserve">The number of entries into the welfare system has been decreasing over recent years whilst the number of people exiting the welfare system has been increasing. These factors have driven </w:t>
            </w:r>
            <w:r w:rsidR="003E4E38">
              <w:t>this</w:t>
            </w:r>
            <w:r>
              <w:t xml:space="preserve"> small decrease in the total number of welfare recipients since last year. </w:t>
            </w:r>
          </w:p>
          <w:p w14:paraId="68FF3AEF" w14:textId="77777777" w:rsidR="003E4E38" w:rsidRDefault="003E4E38" w:rsidP="003E4E38">
            <w:pPr>
              <w:pStyle w:val="ListBullet"/>
            </w:pPr>
            <w:r>
              <w:t>The numbers of people in most income support classes have reduced compared to last year</w:t>
            </w:r>
            <w:r w:rsidRPr="0075685F">
              <w:t>.</w:t>
            </w:r>
            <w:r>
              <w:t xml:space="preserve"> The exceptions to this are the Carers class and Age Pension class, both of which have continued to grow, but to a lesser extent than previously expected.</w:t>
            </w:r>
          </w:p>
          <w:p w14:paraId="239F1210" w14:textId="77777777" w:rsidR="003E4E38" w:rsidRDefault="003E4E38" w:rsidP="00C62854">
            <w:pPr>
              <w:pStyle w:val="ListBullet"/>
            </w:pPr>
            <w:r w:rsidRPr="00CE183F">
              <w:t>The number of entrants into DSP has continued to reduce significantly as a result of tightened eligibility criteria</w:t>
            </w:r>
            <w:r>
              <w:t xml:space="preserve"> and this has resulted in a significant reduction in the number of DSP recipients</w:t>
            </w:r>
            <w:r w:rsidRPr="00CE183F">
              <w:t>.</w:t>
            </w:r>
          </w:p>
          <w:p w14:paraId="601E2490" w14:textId="2ACAB28F" w:rsidR="00131663" w:rsidRPr="00CE183F" w:rsidRDefault="00C62854" w:rsidP="003E4E38">
            <w:pPr>
              <w:pStyle w:val="ListBullet"/>
            </w:pPr>
            <w:r>
              <w:t>This decrease in the welfare population</w:t>
            </w:r>
            <w:r w:rsidR="00327075">
              <w:t xml:space="preserve"> over the last year is despite</w:t>
            </w:r>
            <w:r>
              <w:t xml:space="preserve"> growth in the number of Australian residents. Welfare recipients now make up 32.6% of the population, down from 33.3% at June 2016.</w:t>
            </w:r>
            <w:r w:rsidR="00770073">
              <w:t xml:space="preserve"> Income support recipients now make up 23.3% of the population, down from 23.8% at June 2016.</w:t>
            </w:r>
          </w:p>
        </w:tc>
      </w:tr>
    </w:tbl>
    <w:p w14:paraId="26E1E6F2" w14:textId="77777777" w:rsidR="00131663" w:rsidRPr="009922F8" w:rsidRDefault="00131663" w:rsidP="00131663">
      <w:pPr>
        <w:pStyle w:val="Heading3"/>
      </w:pPr>
      <w:bookmarkStart w:id="67" w:name="_Toc455499355"/>
      <w:bookmarkStart w:id="68" w:name="_Toc455502376"/>
      <w:bookmarkStart w:id="69" w:name="_Toc496600297"/>
      <w:bookmarkStart w:id="70" w:name="_Toc506388212"/>
      <w:bookmarkEnd w:id="65"/>
      <w:bookmarkEnd w:id="66"/>
      <w:r w:rsidRPr="009922F8">
        <w:t>Summary of model population</w:t>
      </w:r>
      <w:bookmarkEnd w:id="67"/>
      <w:bookmarkEnd w:id="68"/>
      <w:bookmarkEnd w:id="69"/>
      <w:bookmarkEnd w:id="70"/>
    </w:p>
    <w:p w14:paraId="43659B45" w14:textId="77777777" w:rsidR="00131663" w:rsidRPr="00BB1882" w:rsidRDefault="00131663" w:rsidP="00964D65">
      <w:pPr>
        <w:pStyle w:val="PwCNormal"/>
        <w:numPr>
          <w:ilvl w:val="0"/>
          <w:numId w:val="33"/>
        </w:numPr>
      </w:pPr>
      <w:r w:rsidRPr="009922F8">
        <w:t>The scope of the population for the 2017 valuation includes all Australian residents at 30 June 2017 and</w:t>
      </w:r>
      <w:r w:rsidRPr="00BB1882">
        <w:t xml:space="preserve"> overseas welfare recipients who received a payment in the 2016/17 year. Future migrants and unborn children are not included in the model, but will appear in future valuations once they migrate or are born. </w:t>
      </w:r>
    </w:p>
    <w:p w14:paraId="2C02793D" w14:textId="77777777" w:rsidR="00131663" w:rsidRPr="008F04C8" w:rsidRDefault="00131663" w:rsidP="00964D65">
      <w:pPr>
        <w:pStyle w:val="PwCNormal"/>
        <w:numPr>
          <w:ilvl w:val="0"/>
          <w:numId w:val="33"/>
        </w:numPr>
      </w:pPr>
      <w:r w:rsidRPr="008F04C8">
        <w:t>The Australian estimated resident</w:t>
      </w:r>
      <w:r>
        <w:t xml:space="preserve"> (ERP)</w:t>
      </w:r>
      <w:r w:rsidRPr="008F04C8">
        <w:t xml:space="preserve"> population at 30 June 2017 is 24.6 million people.</w:t>
      </w:r>
      <w:r w:rsidRPr="008F04C8">
        <w:rPr>
          <w:rStyle w:val="FootnoteReference"/>
        </w:rPr>
        <w:footnoteReference w:id="5"/>
      </w:r>
      <w:r>
        <w:t xml:space="preserve"> </w:t>
      </w:r>
      <w:r w:rsidRPr="008F04C8">
        <w:t>The model population is 24.7 million people; this is slightly larger than the resident population owing to the inclusion of overseas residents who currently receive welfare payments as represented below.</w:t>
      </w:r>
    </w:p>
    <w:p w14:paraId="75F1E476" w14:textId="427F4455" w:rsidR="00131663" w:rsidRPr="008F04C8" w:rsidRDefault="00131663" w:rsidP="00131663">
      <w:pPr>
        <w:pStyle w:val="Caption"/>
      </w:pPr>
      <w:r w:rsidRPr="008F04C8">
        <w:lastRenderedPageBreak/>
        <w:t xml:space="preserve">Figure </w:t>
      </w:r>
      <w:fldSimple w:instr=" SEQ Figure \* ARABIC ">
        <w:r w:rsidR="00C93C1A">
          <w:rPr>
            <w:noProof/>
          </w:rPr>
          <w:t>28</w:t>
        </w:r>
      </w:fldSimple>
      <w:r>
        <w:t>: Population at 30 June 2017</w:t>
      </w:r>
    </w:p>
    <w:p w14:paraId="5BD671C2" w14:textId="77777777" w:rsidR="00131663" w:rsidRDefault="00131663" w:rsidP="00964D65">
      <w:pPr>
        <w:pStyle w:val="PwCNormal"/>
        <w:numPr>
          <w:ilvl w:val="0"/>
          <w:numId w:val="33"/>
        </w:numPr>
      </w:pPr>
      <w:r w:rsidRPr="00520945">
        <w:rPr>
          <w:noProof/>
          <w:lang w:eastAsia="en-AU"/>
        </w:rPr>
        <w:drawing>
          <wp:inline distT="0" distB="0" distL="0" distR="0" wp14:anchorId="51ADF5F3" wp14:editId="1600BD0B">
            <wp:extent cx="5596255" cy="2783840"/>
            <wp:effectExtent l="0" t="0" r="0" b="0"/>
            <wp:docPr id="122" name="Picture 122" descr="This figure is a Venn diagram. It consists of three groups: the Australian resident population, previous welfare recipients and current welfare recipients. The diagram shows that there are 24.7 million people in the Australian resident population, that there are 4.49 million previous welfare recipients who are also Australian residents and that there are 8.04 million current welfare recipients, 0.10 million of which currently reside overseas. " title="Population at 30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96255" cy="2783840"/>
                    </a:xfrm>
                    <a:prstGeom prst="rect">
                      <a:avLst/>
                    </a:prstGeom>
                    <a:noFill/>
                    <a:ln>
                      <a:noFill/>
                    </a:ln>
                  </pic:spPr>
                </pic:pic>
              </a:graphicData>
            </a:graphic>
          </wp:inline>
        </w:drawing>
      </w:r>
    </w:p>
    <w:p w14:paraId="6D6EA5CA" w14:textId="3DABBCDD" w:rsidR="00582E07" w:rsidRPr="00AC495B" w:rsidRDefault="00582E07" w:rsidP="00964D65">
      <w:pPr>
        <w:pStyle w:val="PwCNormal"/>
        <w:numPr>
          <w:ilvl w:val="0"/>
          <w:numId w:val="33"/>
        </w:numPr>
      </w:pPr>
      <w:r w:rsidRPr="00AC495B">
        <w:t>The total mo</w:t>
      </w:r>
      <w:r w:rsidR="00660EBD">
        <w:t>del population of 24.7 million</w:t>
      </w:r>
      <w:r w:rsidRPr="00AC495B">
        <w:t xml:space="preserve"> is 0.5 million higher than at June 2016. This reflects population growth over the year</w:t>
      </w:r>
      <w:r>
        <w:t xml:space="preserve"> of around 350,000</w:t>
      </w:r>
      <w:r w:rsidRPr="00AC495B">
        <w:t xml:space="preserve">, as well as allowance </w:t>
      </w:r>
      <w:r w:rsidR="00660EBD">
        <w:t xml:space="preserve">for </w:t>
      </w:r>
      <w:r w:rsidRPr="00AC495B">
        <w:t>updated informa</w:t>
      </w:r>
      <w:r>
        <w:t>tion drawn from the 2016 Census (which showed the population was around 150,000 higher than from previous estimates)</w:t>
      </w:r>
      <w:r w:rsidRPr="00AC495B">
        <w:t>. Despite this growth the number of current welfare recipients is very close to the 8.05 million seen at June 2016.</w:t>
      </w:r>
    </w:p>
    <w:p w14:paraId="72EA3343" w14:textId="77777777" w:rsidR="00131663" w:rsidRPr="009A58E5" w:rsidRDefault="00131663" w:rsidP="00964D65">
      <w:pPr>
        <w:pStyle w:val="PwCNormal"/>
        <w:numPr>
          <w:ilvl w:val="0"/>
          <w:numId w:val="33"/>
        </w:numPr>
      </w:pPr>
      <w:r w:rsidRPr="009A58E5">
        <w:t>The remainder of the section provides more details on the population and changes since our previous valuation.</w:t>
      </w:r>
    </w:p>
    <w:p w14:paraId="1DBD7C1D" w14:textId="77777777" w:rsidR="00131663" w:rsidRPr="00C3289F" w:rsidRDefault="00131663" w:rsidP="00131663">
      <w:pPr>
        <w:pStyle w:val="Heading3"/>
        <w:rPr>
          <w:snapToGrid/>
        </w:rPr>
      </w:pPr>
      <w:bookmarkStart w:id="71" w:name="_Toc437690628"/>
      <w:bookmarkStart w:id="72" w:name="_Toc437704583"/>
      <w:bookmarkStart w:id="73" w:name="_Toc437858539"/>
      <w:bookmarkStart w:id="74" w:name="_Toc437864089"/>
      <w:bookmarkStart w:id="75" w:name="_Toc437881441"/>
      <w:bookmarkStart w:id="76" w:name="_Toc437690637"/>
      <w:bookmarkStart w:id="77" w:name="_Toc437704592"/>
      <w:bookmarkStart w:id="78" w:name="_Toc437858549"/>
      <w:bookmarkStart w:id="79" w:name="_Toc437864099"/>
      <w:bookmarkStart w:id="80" w:name="_Toc437881451"/>
      <w:bookmarkStart w:id="81" w:name="_Toc441133850"/>
      <w:bookmarkStart w:id="82" w:name="_Toc441246315"/>
      <w:bookmarkStart w:id="83" w:name="_Toc441246431"/>
      <w:bookmarkStart w:id="84" w:name="_Toc441312323"/>
      <w:bookmarkStart w:id="85" w:name="_Toc441337448"/>
      <w:bookmarkStart w:id="86" w:name="_Toc441562814"/>
      <w:bookmarkStart w:id="87" w:name="_Toc441562940"/>
      <w:bookmarkStart w:id="88" w:name="_Toc506388213"/>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Pr>
          <w:snapToGrid/>
        </w:rPr>
        <w:t>Summary of e</w:t>
      </w:r>
      <w:r w:rsidRPr="00C3289F">
        <w:rPr>
          <w:snapToGrid/>
        </w:rPr>
        <w:t>xperience over the last year</w:t>
      </w:r>
      <w:bookmarkEnd w:id="88"/>
    </w:p>
    <w:p w14:paraId="094F383C" w14:textId="77777777" w:rsidR="00131663" w:rsidRDefault="00131663" w:rsidP="00131663">
      <w:pPr>
        <w:pStyle w:val="PwCNormal"/>
        <w:numPr>
          <w:ilvl w:val="0"/>
          <w:numId w:val="0"/>
        </w:numPr>
      </w:pPr>
      <w:r>
        <w:t>The way in which the population utilises the welfare system changes over time. This may include behavioural responses to changes in policy settings, or more general changes in societal trends over time. We discuss this below in terms of the numbers of people accessing payments, and the average payment sizes.</w:t>
      </w:r>
    </w:p>
    <w:p w14:paraId="3F2D0527" w14:textId="77777777" w:rsidR="00131663" w:rsidRDefault="00131663" w:rsidP="00131663">
      <w:pPr>
        <w:pStyle w:val="Heading4"/>
      </w:pPr>
      <w:r>
        <w:t>Numbers of people accessing payments</w:t>
      </w:r>
    </w:p>
    <w:p w14:paraId="24C90BC3" w14:textId="12AA9BCE" w:rsidR="00582E07" w:rsidRPr="00AC495B" w:rsidRDefault="00582E07" w:rsidP="00582E07">
      <w:pPr>
        <w:pStyle w:val="PwCNormal"/>
        <w:numPr>
          <w:ilvl w:val="0"/>
          <w:numId w:val="0"/>
        </w:numPr>
      </w:pPr>
      <w:r w:rsidRPr="00AC495B">
        <w:t>Since the previous valuation, we obs</w:t>
      </w:r>
      <w:r w:rsidR="00660EBD">
        <w:t>erved the following key trends with</w:t>
      </w:r>
      <w:r w:rsidRPr="00AC495B">
        <w:t xml:space="preserve"> regards to the number of people accessing each payment type:</w:t>
      </w:r>
    </w:p>
    <w:p w14:paraId="4FD4FEF2" w14:textId="77777777" w:rsidR="00582E07" w:rsidRDefault="00582E07" w:rsidP="002757B8">
      <w:pPr>
        <w:pStyle w:val="ListBullet"/>
      </w:pPr>
      <w:r>
        <w:t>Total entries into the welfare system have continued to decrease over the past year;</w:t>
      </w:r>
    </w:p>
    <w:p w14:paraId="39457237" w14:textId="77777777" w:rsidR="00582E07" w:rsidRPr="009C4351" w:rsidRDefault="00582E07" w:rsidP="002757B8">
      <w:pPr>
        <w:pStyle w:val="ListBullet"/>
      </w:pPr>
      <w:r>
        <w:t>The number of people exiting the welfare system has increased;</w:t>
      </w:r>
    </w:p>
    <w:p w14:paraId="383B7BD3" w14:textId="667C38DA" w:rsidR="00582E07" w:rsidRPr="009C4351" w:rsidRDefault="00582E07" w:rsidP="002757B8">
      <w:pPr>
        <w:pStyle w:val="ListBullet"/>
      </w:pPr>
      <w:r w:rsidRPr="009C4351">
        <w:t xml:space="preserve">The number of entrants into the </w:t>
      </w:r>
      <w:r w:rsidR="0069546C">
        <w:t>Disability Support Pension class</w:t>
      </w:r>
      <w:r w:rsidRPr="009C4351">
        <w:t xml:space="preserve"> has continued to reduce significantly</w:t>
      </w:r>
      <w:r>
        <w:t>, following the tightening of DSP eligibility criteria</w:t>
      </w:r>
      <w:r w:rsidRPr="009C4351">
        <w:t>; and</w:t>
      </w:r>
    </w:p>
    <w:p w14:paraId="5D0A314E" w14:textId="2BF45A09" w:rsidR="00582E07" w:rsidRDefault="00582E07" w:rsidP="002757B8">
      <w:pPr>
        <w:pStyle w:val="ListBullet"/>
      </w:pPr>
      <w:r w:rsidRPr="009C4351">
        <w:t xml:space="preserve">The number of people entering the Age Pension has reduced, </w:t>
      </w:r>
      <w:r>
        <w:t xml:space="preserve">in part </w:t>
      </w:r>
      <w:r w:rsidR="00660EBD">
        <w:t xml:space="preserve">as </w:t>
      </w:r>
      <w:r w:rsidRPr="009C4351">
        <w:t>a result of the changes in the pensions asset</w:t>
      </w:r>
      <w:r w:rsidR="00647550">
        <w:t>s</w:t>
      </w:r>
      <w:r w:rsidRPr="009C4351">
        <w:t xml:space="preserve"> test.</w:t>
      </w:r>
    </w:p>
    <w:p w14:paraId="16AA8797" w14:textId="77777777" w:rsidR="00131663" w:rsidRDefault="00131663" w:rsidP="00131663">
      <w:pPr>
        <w:pStyle w:val="Heading4"/>
      </w:pPr>
      <w:r>
        <w:t>Average payment sizes</w:t>
      </w:r>
    </w:p>
    <w:p w14:paraId="27206387" w14:textId="7906D3B5" w:rsidR="00131663" w:rsidRPr="00CB1FB3" w:rsidRDefault="00131663" w:rsidP="00131663">
      <w:pPr>
        <w:pStyle w:val="PwCNormal"/>
        <w:numPr>
          <w:ilvl w:val="0"/>
          <w:numId w:val="0"/>
        </w:numPr>
      </w:pPr>
      <w:r w:rsidRPr="00CB1FB3">
        <w:t xml:space="preserve">We have also noted the following features of the experience in relation to the </w:t>
      </w:r>
      <w:r>
        <w:t xml:space="preserve">average </w:t>
      </w:r>
      <w:r w:rsidRPr="00CB1FB3">
        <w:t>payment</w:t>
      </w:r>
      <w:r>
        <w:t xml:space="preserve"> amount</w:t>
      </w:r>
      <w:r w:rsidRPr="00CB1FB3">
        <w:t xml:space="preserve">s made to welfare </w:t>
      </w:r>
      <w:r w:rsidR="00660EBD">
        <w:t>recipients</w:t>
      </w:r>
      <w:r w:rsidRPr="00CB1FB3">
        <w:t>:</w:t>
      </w:r>
    </w:p>
    <w:p w14:paraId="25D6F079" w14:textId="0A2C70B5" w:rsidR="00780A6E" w:rsidRDefault="00780A6E" w:rsidP="002757B8">
      <w:pPr>
        <w:pStyle w:val="ListBullet"/>
      </w:pPr>
      <w:r>
        <w:t xml:space="preserve">A gradual increase has been seen over recent years in the level of </w:t>
      </w:r>
      <w:r w:rsidR="006D014F">
        <w:t>Age Pension payments</w:t>
      </w:r>
      <w:r>
        <w:t xml:space="preserve"> for new pensioners;</w:t>
      </w:r>
    </w:p>
    <w:p w14:paraId="20970A50" w14:textId="65EC89BF" w:rsidR="00131663" w:rsidRPr="00CB1FB3" w:rsidRDefault="00131663" w:rsidP="002757B8">
      <w:pPr>
        <w:pStyle w:val="ListBullet"/>
      </w:pPr>
      <w:r w:rsidRPr="00CB1FB3">
        <w:t xml:space="preserve">There has been a reduction in </w:t>
      </w:r>
      <w:r w:rsidR="005B3E7D">
        <w:t>non income</w:t>
      </w:r>
      <w:r w:rsidRPr="00CB1FB3">
        <w:t xml:space="preserve"> support studying payments, driven by the replacement of the </w:t>
      </w:r>
      <w:r>
        <w:t>Student Start-up Scholarship (SSS) with the Student Start-up Loan (SSL)</w:t>
      </w:r>
      <w:r w:rsidRPr="00CB1FB3">
        <w:t>;</w:t>
      </w:r>
      <w:r>
        <w:t xml:space="preserve"> </w:t>
      </w:r>
    </w:p>
    <w:p w14:paraId="5D73517D" w14:textId="77777777" w:rsidR="00131663" w:rsidRDefault="00131663" w:rsidP="002757B8">
      <w:pPr>
        <w:pStyle w:val="ListBullet"/>
      </w:pPr>
      <w:r>
        <w:t>Average Family Tax Benefit (FTB) payments have continued to gradually reduce, likely a result of a number of policy changes in recent years which have generally tightened FTB payments</w:t>
      </w:r>
      <w:r w:rsidRPr="009D51DF">
        <w:t>.</w:t>
      </w:r>
    </w:p>
    <w:p w14:paraId="2C0A0B9E" w14:textId="77777777" w:rsidR="00131663" w:rsidRDefault="00131663" w:rsidP="00131663">
      <w:pPr>
        <w:pStyle w:val="PwCNormal"/>
        <w:numPr>
          <w:ilvl w:val="0"/>
          <w:numId w:val="0"/>
        </w:numPr>
      </w:pPr>
      <w:r>
        <w:lastRenderedPageBreak/>
        <w:t>We discuss these in more detail in the following sections.</w:t>
      </w:r>
    </w:p>
    <w:p w14:paraId="186C72C2" w14:textId="77777777" w:rsidR="00131663" w:rsidRPr="007D0BFC" w:rsidRDefault="00131663" w:rsidP="00131663">
      <w:pPr>
        <w:pStyle w:val="Heading3"/>
        <w:rPr>
          <w:snapToGrid/>
        </w:rPr>
      </w:pPr>
      <w:bookmarkStart w:id="89" w:name="_Ref498423273"/>
      <w:bookmarkStart w:id="90" w:name="_Toc506388214"/>
      <w:r w:rsidRPr="00987DD8">
        <w:rPr>
          <w:snapToGrid/>
        </w:rPr>
        <w:t>Numbers of people accessing payments</w:t>
      </w:r>
      <w:bookmarkEnd w:id="89"/>
      <w:bookmarkEnd w:id="90"/>
    </w:p>
    <w:p w14:paraId="137B4576" w14:textId="3A477FB7" w:rsidR="00131663" w:rsidRDefault="00131663" w:rsidP="00131663">
      <w:pPr>
        <w:pStyle w:val="PwCNormal"/>
        <w:numPr>
          <w:ilvl w:val="0"/>
          <w:numId w:val="1"/>
        </w:numPr>
      </w:pPr>
      <w:r w:rsidRPr="007D0BFC">
        <w:t>At a broad level, the dynamics of the welfare system primarily involve the movements of people (a) in and out of the welfare system, and (b) in between the broad categories of income support (prior to retirement), non incom</w:t>
      </w:r>
      <w:r>
        <w:t xml:space="preserve">e support, and the </w:t>
      </w:r>
      <w:r w:rsidR="0021451C">
        <w:t>Age Pension</w:t>
      </w:r>
      <w:r>
        <w:t>.</w:t>
      </w:r>
    </w:p>
    <w:p w14:paraId="7B247031" w14:textId="77777777" w:rsidR="00131663" w:rsidRDefault="00131663" w:rsidP="00131663">
      <w:pPr>
        <w:pStyle w:val="PwCNormal"/>
        <w:numPr>
          <w:ilvl w:val="0"/>
          <w:numId w:val="1"/>
        </w:numPr>
      </w:pPr>
      <w:r w:rsidRPr="007D0BFC">
        <w:t xml:space="preserve">These </w:t>
      </w:r>
      <w:r>
        <w:t xml:space="preserve">broad </w:t>
      </w:r>
      <w:r w:rsidRPr="007D0BFC">
        <w:t>dynamics are illustrated in the diagram below.</w:t>
      </w:r>
    </w:p>
    <w:p w14:paraId="3FF10E13" w14:textId="276D45C6" w:rsidR="00131663" w:rsidRPr="007D0BFC" w:rsidRDefault="00131663" w:rsidP="00131663">
      <w:pPr>
        <w:pStyle w:val="Caption"/>
      </w:pPr>
      <w:r w:rsidRPr="007D0BFC">
        <w:t xml:space="preserve">Figure </w:t>
      </w:r>
      <w:fldSimple w:instr=" SEQ Figure \* ARABIC ">
        <w:r w:rsidR="00C93C1A">
          <w:rPr>
            <w:noProof/>
          </w:rPr>
          <w:t>29</w:t>
        </w:r>
      </w:fldSimple>
      <w:r w:rsidRPr="007D0BFC">
        <w:t>: Overview of the dynamics of the welfare system</w:t>
      </w:r>
    </w:p>
    <w:p w14:paraId="1DB5B590" w14:textId="77777777" w:rsidR="00131663" w:rsidRDefault="00131663" w:rsidP="00131663">
      <w:pPr>
        <w:spacing w:before="120"/>
        <w:jc w:val="center"/>
      </w:pPr>
      <w:r w:rsidRPr="007D0BFC">
        <w:rPr>
          <w:noProof/>
          <w:lang w:eastAsia="en-AU"/>
        </w:rPr>
        <w:drawing>
          <wp:inline distT="0" distB="0" distL="0" distR="0" wp14:anchorId="2959C0FB" wp14:editId="78CFBD40">
            <wp:extent cx="5040000" cy="3333750"/>
            <wp:effectExtent l="0" t="0" r="8255" b="0"/>
            <wp:docPr id="5" name="Picture 5" descr="This figure is a flow chart that gives a high level overview of the dynamics of the welfare system.&#10;&#10;This figure shows that individuals typically move in and out of the welfare system, as well as move between different classes within the welfare system.&#10;" title="Overview of the dynamics of the welf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40000" cy="3333750"/>
                    </a:xfrm>
                    <a:prstGeom prst="rect">
                      <a:avLst/>
                    </a:prstGeom>
                    <a:noFill/>
                    <a:ln>
                      <a:noFill/>
                    </a:ln>
                  </pic:spPr>
                </pic:pic>
              </a:graphicData>
            </a:graphic>
          </wp:inline>
        </w:drawing>
      </w:r>
    </w:p>
    <w:p w14:paraId="0CF19FD2" w14:textId="77777777" w:rsidR="00C62854" w:rsidRDefault="00C62854" w:rsidP="00131663">
      <w:pPr>
        <w:pStyle w:val="PwCNormal"/>
        <w:numPr>
          <w:ilvl w:val="0"/>
          <w:numId w:val="1"/>
        </w:numPr>
      </w:pPr>
      <w:bookmarkStart w:id="91" w:name="_Ref466492755"/>
      <w:bookmarkStart w:id="92" w:name="_Toc496695639"/>
    </w:p>
    <w:p w14:paraId="5F0313CD" w14:textId="62024A84" w:rsidR="00131663" w:rsidRDefault="00C62854" w:rsidP="00131663">
      <w:pPr>
        <w:pStyle w:val="PwCNormal"/>
        <w:numPr>
          <w:ilvl w:val="0"/>
          <w:numId w:val="1"/>
        </w:numPr>
      </w:pPr>
      <w:r>
        <w:t>We discuss the key features and trends in the system and class level experience below.</w:t>
      </w:r>
    </w:p>
    <w:p w14:paraId="141B8C0C" w14:textId="77777777" w:rsidR="00131663" w:rsidRDefault="00131663" w:rsidP="00131663">
      <w:pPr>
        <w:pStyle w:val="Heading4"/>
      </w:pPr>
      <w:r>
        <w:lastRenderedPageBreak/>
        <w:t>E</w:t>
      </w:r>
      <w:r w:rsidRPr="00270CA6">
        <w:t>ntr</w:t>
      </w:r>
      <w:r>
        <w:t>ies</w:t>
      </w:r>
      <w:r w:rsidRPr="00270CA6">
        <w:t xml:space="preserve"> and exits</w:t>
      </w:r>
      <w:r>
        <w:t xml:space="preserve"> into the welfare system</w:t>
      </w:r>
    </w:p>
    <w:p w14:paraId="7FD86366" w14:textId="77777777" w:rsidR="00131663" w:rsidRDefault="00131663" w:rsidP="00131663">
      <w:pPr>
        <w:pStyle w:val="Minorheading"/>
      </w:pPr>
      <w:r>
        <w:t>Entries into the welfare system</w:t>
      </w:r>
    </w:p>
    <w:p w14:paraId="2B6A455B" w14:textId="77777777" w:rsidR="00131663" w:rsidRDefault="00131663" w:rsidP="00131663">
      <w:pPr>
        <w:pStyle w:val="PwCNormal"/>
        <w:keepNext/>
        <w:numPr>
          <w:ilvl w:val="0"/>
          <w:numId w:val="1"/>
        </w:numPr>
      </w:pPr>
      <w:r>
        <w:t>The chart below shows the total number of entries and re-entries into the welfare system.</w:t>
      </w:r>
    </w:p>
    <w:p w14:paraId="26F36CEE" w14:textId="261A8F0E" w:rsidR="00131663" w:rsidRPr="000827EA" w:rsidRDefault="00131663" w:rsidP="00131663">
      <w:pPr>
        <w:pStyle w:val="Caption"/>
      </w:pPr>
      <w:r w:rsidRPr="000827EA">
        <w:t xml:space="preserve">Figure </w:t>
      </w:r>
      <w:fldSimple w:instr=" SEQ Figure \* ARABIC ">
        <w:r w:rsidR="00C93C1A">
          <w:rPr>
            <w:noProof/>
          </w:rPr>
          <w:t>30</w:t>
        </w:r>
      </w:fldSimple>
      <w:r>
        <w:t>: Total e</w:t>
      </w:r>
      <w:r w:rsidRPr="000827EA">
        <w:t>ntr</w:t>
      </w:r>
      <w:r>
        <w:t>ies and re-entries</w:t>
      </w:r>
      <w:r w:rsidRPr="000827EA">
        <w:t xml:space="preserve"> into the welfare system </w:t>
      </w:r>
      <w:r>
        <w:t xml:space="preserve">(by destination class) </w:t>
      </w:r>
      <w:r w:rsidR="0069546C">
        <w:t xml:space="preserve">over the last </w:t>
      </w:r>
      <w:r w:rsidR="00F667C9">
        <w:t>five</w:t>
      </w:r>
      <w:r w:rsidR="0069546C">
        <w:t> </w:t>
      </w:r>
      <w:r w:rsidRPr="000827EA">
        <w:t>years</w:t>
      </w:r>
    </w:p>
    <w:tbl>
      <w:tblPr>
        <w:tblStyle w:val="Tables-APBase"/>
        <w:tblW w:w="452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2&#10;"/>
        <w:tblDescription w:val="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is chart includes the 1,318,000 individuals who were in the working age class at 30 June 2016.&#10;&#10;By 2026, around 25% of this group are still expected to be in the working age class. The most common classes for those who transition from the working age class by 2026 are disability support, pension age, non-income support family and previous welfare recipient. This group is expected to gradually transition to the pension age class and by 2065, around 35% of this group are projected to be in the pension age class. The majority of the rest are projected to be in the dead class by this point.&#10;&#10;The features shown in the chart are discussed further in the accompanying text within the report.&#10;"/>
      </w:tblPr>
      <w:tblGrid>
        <w:gridCol w:w="6236"/>
        <w:gridCol w:w="2889"/>
      </w:tblGrid>
      <w:tr w:rsidR="00131663" w:rsidRPr="00462B12" w14:paraId="319C3C2D" w14:textId="77777777" w:rsidTr="00CE3551">
        <w:trPr>
          <w:trHeight w:val="3402"/>
          <w:tblHeader/>
        </w:trPr>
        <w:tc>
          <w:tcPr>
            <w:tcW w:w="6236" w:type="dxa"/>
            <w:hideMark/>
          </w:tcPr>
          <w:p w14:paraId="63A6BB21" w14:textId="30BD8896" w:rsidR="00131663" w:rsidRPr="00462B12" w:rsidRDefault="00CE3551" w:rsidP="0011298C">
            <w:pPr>
              <w:pStyle w:val="TableTextSmall"/>
            </w:pPr>
            <w:r w:rsidRPr="00CE3551">
              <w:rPr>
                <w:noProof/>
                <w:lang w:eastAsia="en-AU"/>
              </w:rPr>
              <w:drawing>
                <wp:inline distT="0" distB="0" distL="0" distR="0" wp14:anchorId="049A64EB" wp14:editId="21D70A45">
                  <wp:extent cx="3899140" cy="2160000"/>
                  <wp:effectExtent l="0" t="0" r="6350" b="0"/>
                  <wp:docPr id="57" name="Picture 57" descr="This figure is a stacked column chart. The chart shows the number of entries and re-entries into the welfare system over the past 5 financial years. The vertical axis shows the number of people, ranging from 0 to 900,000. The horizontal axis shows the financial years from 2013 to 2017.&#10;&#10;The columns showing the number of entrants and re-entrants for each financial year are split into destination class. These classes include; 1 Studying, 2 Working Age, 3 Parents, 4 Carers, 5 Disability Support, 6 Pension Age, 7 Non-IS Family, 8 Non-IS Carer, 9 Non-IS Other, 10 Previous Welfare Recipient, 11 Dead and 12 Rest of the Australian Population. &#10;&#10;The chart shows that the number of entries and re-entries were; 750,000 in 2013, 800,000 in 2014, 780,000 in 2015, 750,000 in 2016 and 730,000 in 2017 after adjusting for data maturity. The majority of entrants come from Class 2 Working Age and Class 9 Non IS other.&#10;&#10;The key features of this chart are described in the accompanying text within the report.&#10;" title="Total entries and re-entries into the welfare system (by destination class) over the last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99140" cy="2160000"/>
                          </a:xfrm>
                          <a:prstGeom prst="rect">
                            <a:avLst/>
                          </a:prstGeom>
                          <a:noFill/>
                          <a:ln>
                            <a:noFill/>
                          </a:ln>
                        </pic:spPr>
                      </pic:pic>
                    </a:graphicData>
                  </a:graphic>
                </wp:inline>
              </w:drawing>
            </w:r>
          </w:p>
        </w:tc>
        <w:tc>
          <w:tcPr>
            <w:tcW w:w="2889" w:type="dxa"/>
          </w:tcPr>
          <w:p w14:paraId="0E65C492" w14:textId="77777777" w:rsidR="00131663" w:rsidRPr="00462B12" w:rsidRDefault="00131663" w:rsidP="0011298C">
            <w:pPr>
              <w:pStyle w:val="TableTextSmall"/>
            </w:pPr>
          </w:p>
          <w:p w14:paraId="7132D7DF" w14:textId="77777777" w:rsidR="00131663" w:rsidRPr="00462B12" w:rsidRDefault="00131663" w:rsidP="0011298C">
            <w:pPr>
              <w:pStyle w:val="TableTextSmall"/>
            </w:pPr>
            <w:r w:rsidRPr="00462B12">
              <w:rPr>
                <w:noProof/>
                <w:lang w:eastAsia="en-AU"/>
              </w:rPr>
              <w:drawing>
                <wp:inline distT="0" distB="0" distL="0" distR="0" wp14:anchorId="0118D648" wp14:editId="100547F9">
                  <wp:extent cx="1439545" cy="1591945"/>
                  <wp:effectExtent l="0" t="0" r="8255" b="0"/>
                  <wp:docPr id="1052" name="Picture 1052" descr="Class key: studying, working age, parents, carers, disability support, pension age, non-income support family, non-income support carer, non-income support other, previous welfare recipient, rest of the Australian population and dead. " title="Payment class key for Figure 39"/>
                  <wp:cNvGraphicFramePr/>
                  <a:graphic xmlns:a="http://schemas.openxmlformats.org/drawingml/2006/main">
                    <a:graphicData uri="http://schemas.openxmlformats.org/drawingml/2006/picture">
                      <pic:pic xmlns:pic="http://schemas.openxmlformats.org/drawingml/2006/picture">
                        <pic:nvPicPr>
                          <pic:cNvPr id="195" name="Picture 195" descr="Class keys: studying, working age, parents, carers, disability support, pension age, non-income support family, non-income support carer, non-income support other, previous welfare recipient, rest of the Australian population and dead. " title="Payment class key for Figure 42"/>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4690871D" w14:textId="77777777" w:rsidR="00131663" w:rsidRPr="00462B12" w:rsidRDefault="00131663" w:rsidP="0011298C">
            <w:pPr>
              <w:pStyle w:val="TableTextSmall"/>
            </w:pPr>
          </w:p>
        </w:tc>
      </w:tr>
    </w:tbl>
    <w:p w14:paraId="51BD5F9E" w14:textId="77777777" w:rsidR="00131663" w:rsidRDefault="00131663" w:rsidP="00131663">
      <w:pPr>
        <w:pStyle w:val="Sources"/>
      </w:pPr>
      <w:r w:rsidRPr="00E5797E">
        <w:t xml:space="preserve">* The dotted </w:t>
      </w:r>
      <w:r>
        <w:t>section</w:t>
      </w:r>
      <w:r w:rsidRPr="00E5797E">
        <w:t xml:space="preserve"> represents the total adjustment made for data maturity in the latest year.</w:t>
      </w:r>
    </w:p>
    <w:p w14:paraId="2FED067A" w14:textId="62CBA13A" w:rsidR="004341BA" w:rsidRDefault="004341BA" w:rsidP="004341BA">
      <w:pPr>
        <w:pStyle w:val="PwCNormal"/>
        <w:numPr>
          <w:ilvl w:val="0"/>
          <w:numId w:val="1"/>
        </w:numPr>
      </w:pPr>
      <w:r>
        <w:t xml:space="preserve">A decreasing trend can be seen over the last few years and in particular </w:t>
      </w:r>
      <w:r w:rsidR="00660EBD">
        <w:t>there has been</w:t>
      </w:r>
      <w:r>
        <w:t xml:space="preserve"> a reduction </w:t>
      </w:r>
      <w:r w:rsidR="00660EBD">
        <w:t>in</w:t>
      </w:r>
      <w:r>
        <w:t xml:space="preserve"> entrants to Working Age and Pension Age payments</w:t>
      </w:r>
      <w:r w:rsidRPr="00F55F84">
        <w:t xml:space="preserve">. </w:t>
      </w:r>
    </w:p>
    <w:p w14:paraId="3F886B3B" w14:textId="45A9EA8E" w:rsidR="00131663" w:rsidRDefault="00131663" w:rsidP="00131663">
      <w:pPr>
        <w:pStyle w:val="PwCNormal"/>
        <w:numPr>
          <w:ilvl w:val="0"/>
          <w:numId w:val="1"/>
        </w:numPr>
      </w:pPr>
      <w:r>
        <w:t>The experience for entries during 2016</w:t>
      </w:r>
      <w:r w:rsidR="00C76822">
        <w:t>/</w:t>
      </w:r>
      <w:r>
        <w:t xml:space="preserve">17 is </w:t>
      </w:r>
      <w:r w:rsidR="00737F1C">
        <w:t>not complete</w:t>
      </w:r>
      <w:r>
        <w:t xml:space="preserve"> as the actual number of entrants for this year will not be known until some time after the valuation date. We refer to this as “data maturity”</w:t>
      </w:r>
      <w:r w:rsidR="0069546C">
        <w:t xml:space="preserve"> above</w:t>
      </w:r>
      <w:r>
        <w:t>. After adjusting for data maturity (the adjustment is shown in the dotted section on the chart), t</w:t>
      </w:r>
      <w:r w:rsidRPr="00F55F84">
        <w:t>he chart below show</w:t>
      </w:r>
      <w:r w:rsidR="00737F1C">
        <w:t>s</w:t>
      </w:r>
      <w:r w:rsidRPr="00F55F84">
        <w:t xml:space="preserve"> that this tr</w:t>
      </w:r>
      <w:r w:rsidRPr="000827EA">
        <w:t xml:space="preserve">end has </w:t>
      </w:r>
      <w:r>
        <w:t xml:space="preserve">continued </w:t>
      </w:r>
      <w:r w:rsidRPr="000827EA">
        <w:t>in the 2016</w:t>
      </w:r>
      <w:r w:rsidR="00C76822">
        <w:t>/</w:t>
      </w:r>
      <w:r w:rsidRPr="000827EA">
        <w:t xml:space="preserve">17 year, with the number of people entering the welfare system </w:t>
      </w:r>
      <w:r>
        <w:t>reducing slightly from 74</w:t>
      </w:r>
      <w:r w:rsidRPr="000827EA">
        <w:t>0</w:t>
      </w:r>
      <w:r>
        <w:t>,000 in 2015</w:t>
      </w:r>
      <w:r w:rsidR="00C76822">
        <w:t>/</w:t>
      </w:r>
      <w:r>
        <w:t>16 to an estimated 7</w:t>
      </w:r>
      <w:r w:rsidR="007A314E">
        <w:t>18</w:t>
      </w:r>
      <w:r>
        <w:t>,000 in 2016</w:t>
      </w:r>
      <w:r w:rsidR="00C76822">
        <w:t>/</w:t>
      </w:r>
      <w:r>
        <w:t>17</w:t>
      </w:r>
      <w:r w:rsidRPr="000827EA">
        <w:t>.</w:t>
      </w:r>
    </w:p>
    <w:p w14:paraId="6F86942B" w14:textId="22982CF1" w:rsidR="00131663" w:rsidRPr="007D0BFC" w:rsidRDefault="00131663" w:rsidP="00131663">
      <w:pPr>
        <w:pStyle w:val="PwCNormal"/>
        <w:keepNext/>
        <w:numPr>
          <w:ilvl w:val="0"/>
          <w:numId w:val="0"/>
        </w:numPr>
      </w:pPr>
      <w:r>
        <w:t xml:space="preserve">We now consider the profile of </w:t>
      </w:r>
      <w:r w:rsidRPr="007D0BFC">
        <w:t>entrants and re-entr</w:t>
      </w:r>
      <w:r w:rsidR="0069546C">
        <w:t>ants in 2016</w:t>
      </w:r>
      <w:r w:rsidR="00C76822">
        <w:t>/</w:t>
      </w:r>
      <w:r w:rsidRPr="007D0BFC">
        <w:t>17</w:t>
      </w:r>
      <w:r>
        <w:t>, which can be seen in the charts below.</w:t>
      </w:r>
    </w:p>
    <w:p w14:paraId="18EF1861" w14:textId="63EEC28F" w:rsidR="00131663" w:rsidRDefault="00131663" w:rsidP="00131663">
      <w:pPr>
        <w:pStyle w:val="Caption"/>
      </w:pPr>
      <w:bookmarkStart w:id="93" w:name="_Ref466492821"/>
      <w:r w:rsidRPr="007D0BFC">
        <w:t xml:space="preserve">Figure </w:t>
      </w:r>
      <w:fldSimple w:instr=" SEQ Figure \* ARABIC ">
        <w:r w:rsidR="00C93C1A">
          <w:rPr>
            <w:noProof/>
          </w:rPr>
          <w:t>31</w:t>
        </w:r>
      </w:fldSimple>
      <w:bookmarkEnd w:id="93"/>
      <w:r w:rsidR="0069546C">
        <w:t>: 2016</w:t>
      </w:r>
      <w:r w:rsidR="00C76822">
        <w:t>/</w:t>
      </w:r>
      <w:r w:rsidRPr="007D0BFC">
        <w:t>17 combined profile of entrants and re-entrants, by age, gender and class entered</w:t>
      </w:r>
    </w:p>
    <w:tbl>
      <w:tblPr>
        <w:tblW w:w="4922" w:type="pct"/>
        <w:tblLayout w:type="fixed"/>
        <w:tblLook w:val="04A0" w:firstRow="1" w:lastRow="0" w:firstColumn="1" w:lastColumn="0" w:noHBand="0" w:noVBand="1"/>
        <w:tblCaption w:val="Table"/>
        <w:tblDescription w:val="This table contains two charts"/>
      </w:tblPr>
      <w:tblGrid>
        <w:gridCol w:w="4962"/>
        <w:gridCol w:w="4962"/>
      </w:tblGrid>
      <w:tr w:rsidR="00131663" w:rsidRPr="00896ACF" w14:paraId="4234D4D1" w14:textId="77777777" w:rsidTr="0011298C">
        <w:trPr>
          <w:tblHeader/>
        </w:trPr>
        <w:tc>
          <w:tcPr>
            <w:tcW w:w="4962" w:type="dxa"/>
          </w:tcPr>
          <w:p w14:paraId="2787044D" w14:textId="77777777" w:rsidR="00131663" w:rsidRPr="00896ACF" w:rsidRDefault="00131663" w:rsidP="0011298C">
            <w:pPr>
              <w:pStyle w:val="TableTextSmall"/>
              <w:keepNext/>
              <w:jc w:val="center"/>
              <w:rPr>
                <w:b/>
                <w:i/>
              </w:rPr>
            </w:pPr>
            <w:r w:rsidRPr="00896ACF">
              <w:rPr>
                <w:b/>
                <w:i/>
              </w:rPr>
              <w:t>Males</w:t>
            </w:r>
          </w:p>
        </w:tc>
        <w:tc>
          <w:tcPr>
            <w:tcW w:w="4962" w:type="dxa"/>
          </w:tcPr>
          <w:p w14:paraId="01BCC742" w14:textId="77777777" w:rsidR="00131663" w:rsidRPr="00896ACF" w:rsidRDefault="00131663" w:rsidP="0011298C">
            <w:pPr>
              <w:pStyle w:val="TableTextSmall"/>
              <w:keepNext/>
              <w:jc w:val="center"/>
              <w:rPr>
                <w:b/>
                <w:i/>
              </w:rPr>
            </w:pPr>
            <w:r w:rsidRPr="00896ACF">
              <w:rPr>
                <w:b/>
                <w:i/>
              </w:rPr>
              <w:t>Females</w:t>
            </w:r>
          </w:p>
        </w:tc>
      </w:tr>
      <w:tr w:rsidR="00131663" w:rsidRPr="00896ACF" w14:paraId="32EDBB69" w14:textId="77777777" w:rsidTr="0011298C">
        <w:tc>
          <w:tcPr>
            <w:tcW w:w="4962" w:type="dxa"/>
          </w:tcPr>
          <w:p w14:paraId="7FD52559" w14:textId="77777777" w:rsidR="00131663" w:rsidRPr="00896ACF" w:rsidRDefault="00131663" w:rsidP="0011298C">
            <w:pPr>
              <w:pStyle w:val="TableTextSmall"/>
              <w:keepNext/>
              <w:rPr>
                <w:lang w:eastAsia="en-AU"/>
              </w:rPr>
            </w:pPr>
            <w:r w:rsidRPr="00CE5147">
              <w:rPr>
                <w:noProof/>
                <w:lang w:eastAsia="en-AU"/>
              </w:rPr>
              <w:drawing>
                <wp:inline distT="0" distB="0" distL="0" distR="0" wp14:anchorId="49D69D40" wp14:editId="5504B68B">
                  <wp:extent cx="3009900" cy="1841500"/>
                  <wp:effectExtent l="0" t="0" r="0" b="6350"/>
                  <wp:docPr id="1074" name="Picture 1074" descr="This figure contains two area charts. For both charts the vertical axis shows cumulative number of entrants and re-entrants into the active classes, from the total population and ranges from 0 to 30,000. For both charts the horizontal axis shows age at the start of the year ranging from 10 to 95. &#10;&#10;The chart on the left shows the number of male entrants and re-entrants over the period from June 2016 to June 2017, split by class at entry. The right chart shows the number of female entrants and re-entrants over the period from June 2016 to June 2017, split by class at entry. &#10;&#10;Both area charts show the cumulative number of entrants split by class entered into, which includes the following classes: 1 Studying, 2 Working Age, 3 Parents, 4 Carers, 5 Disability Support, 6 Pension Age, 7 Non-IS Family, 8 Non-IS Carer, 9 Non-IS Other.&#10;&#10;The left chart for males has four prominent peaks. The first two spikes at ages 18 and 22 show an increase in the number of studying entries, the spike at age 65 shows an increase in the number of pension age entries. There is a peak around age 33 due to an increasing numbers of Non-IS Other entries between ages 18 to 33 and decreasing numbers of Non-IS other entries between ages 33 to 60. &#10;" title="2016/17 combined profile of entrants and re-entrants, by age, gender and clas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09900" cy="1841500"/>
                          </a:xfrm>
                          <a:prstGeom prst="rect">
                            <a:avLst/>
                          </a:prstGeom>
                          <a:noFill/>
                          <a:ln>
                            <a:noFill/>
                          </a:ln>
                        </pic:spPr>
                      </pic:pic>
                    </a:graphicData>
                  </a:graphic>
                </wp:inline>
              </w:drawing>
            </w:r>
          </w:p>
        </w:tc>
        <w:tc>
          <w:tcPr>
            <w:tcW w:w="4962" w:type="dxa"/>
          </w:tcPr>
          <w:p w14:paraId="2F06CCDB" w14:textId="77777777" w:rsidR="00131663" w:rsidRPr="0099446B" w:rsidRDefault="00131663" w:rsidP="0011298C">
            <w:pPr>
              <w:pStyle w:val="TableTextSmall"/>
              <w:keepNext/>
              <w:rPr>
                <w:lang w:val="en-US" w:eastAsia="en-AU"/>
              </w:rPr>
            </w:pPr>
            <w:r w:rsidRPr="00CE5147">
              <w:rPr>
                <w:noProof/>
                <w:lang w:eastAsia="en-AU"/>
              </w:rPr>
              <w:drawing>
                <wp:inline distT="0" distB="0" distL="0" distR="0" wp14:anchorId="57548FE2" wp14:editId="62D16C41">
                  <wp:extent cx="3009900" cy="1835150"/>
                  <wp:effectExtent l="0" t="0" r="0" b="0"/>
                  <wp:docPr id="1075" name="Picture 1075" descr="The right chart for females has four prominent peaks. The first two spikes at ages 18 and 22 show an increase in the number of studying entries, the spike at age 64 shows an increase in the number of pension age entries. There is a peak around age 31 due to an increasing numbers of Non-IS Other entries between ages 18 to 31 and decreasing numbers of Non-IS other entries between ages 31 to 60. The peak at age 31 is larger for females than it is for males. &#10;Further discussion of the key features shown in the chart can be found in the accompanying text within the report. &#10;" title="2016/17 combined profile of entrants and re-entrants, by age, gender and clas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09900" cy="1835150"/>
                          </a:xfrm>
                          <a:prstGeom prst="rect">
                            <a:avLst/>
                          </a:prstGeom>
                          <a:noFill/>
                          <a:ln>
                            <a:noFill/>
                          </a:ln>
                        </pic:spPr>
                      </pic:pic>
                    </a:graphicData>
                  </a:graphic>
                </wp:inline>
              </w:drawing>
            </w:r>
          </w:p>
        </w:tc>
      </w:tr>
    </w:tbl>
    <w:p w14:paraId="653B7A6B" w14:textId="77777777" w:rsidR="00131663" w:rsidRDefault="00131663" w:rsidP="00131663">
      <w:pPr>
        <w:pStyle w:val="PwCNormal"/>
        <w:keepNext/>
        <w:keepLines/>
        <w:numPr>
          <w:ilvl w:val="0"/>
          <w:numId w:val="1"/>
        </w:numPr>
        <w:jc w:val="center"/>
      </w:pPr>
      <w:r w:rsidRPr="00896ACF">
        <w:rPr>
          <w:noProof/>
          <w:lang w:eastAsia="en-AU"/>
        </w:rPr>
        <w:drawing>
          <wp:inline distT="0" distB="0" distL="0" distR="0" wp14:anchorId="1E1085C6" wp14:editId="613058F6">
            <wp:extent cx="5385600" cy="468000"/>
            <wp:effectExtent l="0" t="0" r="0" b="8255"/>
            <wp:docPr id="13" name="Picture 13" descr="Class key: studying, working age, parents, carers, disability support, pension age, non-income support family, non-income support carer, non-income support other, previous welfare recipient, rest of the Australian population and dead. &#10;" title="Class Key for 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35D43B74" w14:textId="44DD5FFF" w:rsidR="00131663" w:rsidRPr="007D0BFC" w:rsidRDefault="00131663" w:rsidP="00131663">
      <w:pPr>
        <w:pStyle w:val="PwCNormal"/>
        <w:numPr>
          <w:ilvl w:val="0"/>
          <w:numId w:val="0"/>
        </w:numPr>
      </w:pPr>
      <w:r w:rsidRPr="007D0BFC">
        <w:t>We can see that the profile of entrants and re-entrants var</w:t>
      </w:r>
      <w:r w:rsidR="00737F1C">
        <w:t>ies</w:t>
      </w:r>
      <w:r w:rsidRPr="007D0BFC">
        <w:t xml:space="preserve"> significantly by age</w:t>
      </w:r>
      <w:r w:rsidR="0069546C">
        <w:t xml:space="preserve"> and gender</w:t>
      </w:r>
      <w:r w:rsidRPr="007D0BFC">
        <w:t>, reflecting the way in which men and women access different supports at different stages of life:</w:t>
      </w:r>
    </w:p>
    <w:p w14:paraId="29F9B027" w14:textId="5085DE7B" w:rsidR="00131663" w:rsidRPr="007D0BFC" w:rsidRDefault="00131663" w:rsidP="002757B8">
      <w:pPr>
        <w:pStyle w:val="ListBullet"/>
      </w:pPr>
      <w:r w:rsidRPr="007D0BFC">
        <w:t xml:space="preserve">Below age 25, there are a large number of entrants </w:t>
      </w:r>
      <w:r w:rsidR="0069546C">
        <w:t>i</w:t>
      </w:r>
      <w:r w:rsidRPr="007D0BFC">
        <w:t xml:space="preserve">nto Studying and Working Age benefits; in particular, there are two spikes which align with the age at which people typically </w:t>
      </w:r>
      <w:r w:rsidR="005575F7">
        <w:t>start tertiary</w:t>
      </w:r>
      <w:r w:rsidRPr="007D0BFC">
        <w:t xml:space="preserve"> education.</w:t>
      </w:r>
    </w:p>
    <w:p w14:paraId="6AE787EE" w14:textId="77777777" w:rsidR="00131663" w:rsidRDefault="00131663" w:rsidP="002757B8">
      <w:pPr>
        <w:pStyle w:val="ListBullet"/>
      </w:pPr>
      <w:r>
        <w:lastRenderedPageBreak/>
        <w:t>Above age 25 but prior to retirement age, the entries are dominated by the Working Age and Non IS Other classes. Some women also enter into the Parents class.</w:t>
      </w:r>
    </w:p>
    <w:p w14:paraId="4F56A567" w14:textId="3185C81A" w:rsidR="00131663" w:rsidRPr="00270CA6" w:rsidRDefault="00131663" w:rsidP="00964D65">
      <w:pPr>
        <w:pStyle w:val="Bullet2"/>
        <w:numPr>
          <w:ilvl w:val="1"/>
          <w:numId w:val="34"/>
        </w:numPr>
      </w:pPr>
      <w:r>
        <w:t>We note that entrie</w:t>
      </w:r>
      <w:r w:rsidRPr="00312D73">
        <w:t>s into Non IS Other largely relate to people using FTB for the first time. These people will transition into the Non IS Family if they continue to utilise FTB in the following year. The reason these people enter into the Non IS Other class rather than Non IS Family is because of the</w:t>
      </w:r>
      <w:r>
        <w:t xml:space="preserve"> </w:t>
      </w:r>
      <w:r w:rsidR="00647550">
        <w:t xml:space="preserve">one </w:t>
      </w:r>
      <w:r>
        <w:t>year</w:t>
      </w:r>
      <w:r w:rsidRPr="00312D73">
        <w:t xml:space="preserve"> timing lag on the definition of people in class 7, as explained in</w:t>
      </w:r>
      <w:r w:rsidR="009D2617">
        <w:t xml:space="preserve"> section </w:t>
      </w:r>
      <w:r w:rsidR="009D2617">
        <w:fldChar w:fldCharType="begin"/>
      </w:r>
      <w:r w:rsidR="009D2617">
        <w:instrText xml:space="preserve"> REF _Ref466372845 \n \h </w:instrText>
      </w:r>
      <w:r w:rsidR="009D2617">
        <w:fldChar w:fldCharType="separate"/>
      </w:r>
      <w:r w:rsidR="00C93C1A">
        <w:t>7.1</w:t>
      </w:r>
      <w:r w:rsidR="009D2617">
        <w:fldChar w:fldCharType="end"/>
      </w:r>
      <w:r w:rsidRPr="009C0EBA">
        <w:t>.</w:t>
      </w:r>
    </w:p>
    <w:p w14:paraId="4A1448A5" w14:textId="77777777" w:rsidR="00131663" w:rsidRPr="00F11B8D" w:rsidRDefault="00131663" w:rsidP="002757B8">
      <w:pPr>
        <w:pStyle w:val="ListBullet"/>
      </w:pPr>
      <w:r w:rsidRPr="00F11B8D">
        <w:t>From retirement age onwards, entries are primarily into the Pension Age class.</w:t>
      </w:r>
    </w:p>
    <w:p w14:paraId="0733AED2" w14:textId="77777777" w:rsidR="00131663" w:rsidRDefault="00131663" w:rsidP="00131663">
      <w:pPr>
        <w:pStyle w:val="Minorheading"/>
      </w:pPr>
      <w:r>
        <w:t>Exits from the welfare system</w:t>
      </w:r>
    </w:p>
    <w:p w14:paraId="64C66FB3" w14:textId="2C937F1C" w:rsidR="00131663" w:rsidRDefault="00C62854" w:rsidP="00131663">
      <w:pPr>
        <w:pStyle w:val="PwCNormal"/>
        <w:numPr>
          <w:ilvl w:val="0"/>
          <w:numId w:val="0"/>
        </w:numPr>
      </w:pPr>
      <w:r>
        <w:t xml:space="preserve">The chart below shows the total exits from the welfare system over the last </w:t>
      </w:r>
      <w:r w:rsidR="0021451C">
        <w:t xml:space="preserve">five </w:t>
      </w:r>
      <w:r>
        <w:t>years, split by class prior to exit. As can be seen, the number of people exiting the welfare system has increased from 563,000 in 2015</w:t>
      </w:r>
      <w:r w:rsidR="00C76822">
        <w:t>/</w:t>
      </w:r>
      <w:r>
        <w:t>16 to 601,000 in 2016</w:t>
      </w:r>
      <w:r w:rsidR="00C76822">
        <w:t>/</w:t>
      </w:r>
      <w:r>
        <w:t>17. The higher exits were observed across most welfare classes.</w:t>
      </w:r>
    </w:p>
    <w:p w14:paraId="2BB815D2" w14:textId="59AAC3CF" w:rsidR="00131663" w:rsidRPr="000827EA" w:rsidRDefault="00131663" w:rsidP="00131663">
      <w:pPr>
        <w:pStyle w:val="Caption"/>
      </w:pPr>
      <w:r w:rsidRPr="000827EA">
        <w:t xml:space="preserve">Figure </w:t>
      </w:r>
      <w:fldSimple w:instr=" SEQ Figure \* ARABIC ">
        <w:r w:rsidR="00C93C1A">
          <w:rPr>
            <w:noProof/>
          </w:rPr>
          <w:t>32</w:t>
        </w:r>
      </w:fldSimple>
      <w:r>
        <w:t>: Total exits from</w:t>
      </w:r>
      <w:r w:rsidRPr="000827EA">
        <w:t xml:space="preserve"> the welfare system </w:t>
      </w:r>
      <w:r>
        <w:t xml:space="preserve">(by previous class) </w:t>
      </w:r>
      <w:r w:rsidRPr="000827EA">
        <w:t xml:space="preserve">over the last </w:t>
      </w:r>
      <w:r w:rsidR="00F667C9">
        <w:t>five</w:t>
      </w:r>
      <w:r w:rsidRPr="000827EA">
        <w:t xml:space="preserve"> years</w:t>
      </w:r>
    </w:p>
    <w:tbl>
      <w:tblPr>
        <w:tblStyle w:val="Tables-APBase"/>
        <w:tblW w:w="466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two charts&#10;"/>
      </w:tblPr>
      <w:tblGrid>
        <w:gridCol w:w="6521"/>
        <w:gridCol w:w="2889"/>
      </w:tblGrid>
      <w:tr w:rsidR="00131663" w:rsidRPr="00462B12" w14:paraId="1A8C50FE" w14:textId="77777777" w:rsidTr="0011298C">
        <w:trPr>
          <w:trHeight w:val="3402"/>
          <w:tblHeader/>
        </w:trPr>
        <w:tc>
          <w:tcPr>
            <w:tcW w:w="6521" w:type="dxa"/>
            <w:hideMark/>
          </w:tcPr>
          <w:p w14:paraId="5029F36D" w14:textId="77777777" w:rsidR="00131663" w:rsidRPr="00462B12" w:rsidRDefault="00131663" w:rsidP="0011298C">
            <w:pPr>
              <w:pStyle w:val="TableTextSmall"/>
            </w:pPr>
            <w:r w:rsidRPr="000F2A65">
              <w:rPr>
                <w:noProof/>
                <w:lang w:eastAsia="en-AU"/>
              </w:rPr>
              <w:drawing>
                <wp:inline distT="0" distB="0" distL="0" distR="0" wp14:anchorId="4B291E70" wp14:editId="1B5DF2B3">
                  <wp:extent cx="3996690" cy="2332990"/>
                  <wp:effectExtent l="0" t="0" r="3810" b="0"/>
                  <wp:docPr id="1055" name="Picture 1055" descr="This figure is a stacked column chart. The chart shows the number of exits by previous class over the past five financial years. The vertical axis shows the number of people ranging from 0 to 700,000. The horizontal axis shows the financial years from 2013 to 2017.&#10;&#10;The columns for each financial year are split by active class: 1 Studying, 2 Working Age, 3 Parents, 4 Carers, 5 Disability Support, 6 Pension Age, 7 Non-IS Family, 8 Non-IS Carer, and 9 Non-IS Other.&#10;&#10;The total number of exits in each of the last five financial years was: 489,000 in 2013, 468,000 in 2014, 555,000 in 2015, 561,000 in 2016 and 600,000 in 2017.&#10;&#10;The key features of this chart are described in the accompanying text within the report.&#10;&#10;" title="Total exits from the welfare system (by previous class) over the last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96690" cy="2332990"/>
                          </a:xfrm>
                          <a:prstGeom prst="rect">
                            <a:avLst/>
                          </a:prstGeom>
                          <a:noFill/>
                          <a:ln>
                            <a:noFill/>
                          </a:ln>
                        </pic:spPr>
                      </pic:pic>
                    </a:graphicData>
                  </a:graphic>
                </wp:inline>
              </w:drawing>
            </w:r>
          </w:p>
        </w:tc>
        <w:tc>
          <w:tcPr>
            <w:tcW w:w="2889" w:type="dxa"/>
          </w:tcPr>
          <w:p w14:paraId="746C8A24" w14:textId="77777777" w:rsidR="00131663" w:rsidRPr="00462B12" w:rsidRDefault="00131663" w:rsidP="0011298C">
            <w:pPr>
              <w:pStyle w:val="TableTextSmall"/>
            </w:pPr>
          </w:p>
          <w:p w14:paraId="02FC765A" w14:textId="77777777" w:rsidR="00131663" w:rsidRPr="00462B12" w:rsidRDefault="00131663" w:rsidP="0011298C">
            <w:pPr>
              <w:pStyle w:val="TableTextSmall"/>
            </w:pPr>
            <w:r w:rsidRPr="00462B12">
              <w:rPr>
                <w:noProof/>
                <w:lang w:eastAsia="en-AU"/>
              </w:rPr>
              <w:drawing>
                <wp:inline distT="0" distB="0" distL="0" distR="0" wp14:anchorId="1A2902AF" wp14:editId="056C33BB">
                  <wp:extent cx="1439545" cy="1591945"/>
                  <wp:effectExtent l="0" t="0" r="8255" b="0"/>
                  <wp:docPr id="1059" name="Picture 1059" descr="Class key: studying, working age, parents, carers, disability support, pension age, non-income support family, non-income support carer, non-income support other, previous welfare recipient, rest of the Australian population and dead. " title="Payment class key for Figure 39"/>
                  <wp:cNvGraphicFramePr/>
                  <a:graphic xmlns:a="http://schemas.openxmlformats.org/drawingml/2006/main">
                    <a:graphicData uri="http://schemas.openxmlformats.org/drawingml/2006/picture">
                      <pic:pic xmlns:pic="http://schemas.openxmlformats.org/drawingml/2006/picture">
                        <pic:nvPicPr>
                          <pic:cNvPr id="195" name="Picture 195" descr="Class keys: studying, working age, parents, carers, disability support, pension age, non-income support family, non-income support carer, non-income support other, previous welfare recipient, rest of the Australian population and dead. " title="Payment class key for Figure 42"/>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2A550422" w14:textId="77777777" w:rsidR="00131663" w:rsidRPr="00462B12" w:rsidRDefault="00131663" w:rsidP="0011298C">
            <w:pPr>
              <w:pStyle w:val="TableTextSmall"/>
            </w:pPr>
          </w:p>
        </w:tc>
      </w:tr>
    </w:tbl>
    <w:p w14:paraId="49973BBC" w14:textId="77777777" w:rsidR="00C62854" w:rsidRDefault="00C62854" w:rsidP="00C62854">
      <w:pPr>
        <w:pStyle w:val="PwCNormal"/>
        <w:widowControl w:val="0"/>
        <w:numPr>
          <w:ilvl w:val="0"/>
          <w:numId w:val="0"/>
        </w:numPr>
      </w:pPr>
      <w:r>
        <w:t>When combined with the lower observed entrants into the system, this results a general reduction in welfare usage across the population. This may in part be driven by unemployment rates which have been decreasing over this period.</w:t>
      </w:r>
    </w:p>
    <w:p w14:paraId="24AD5F96" w14:textId="057277D0" w:rsidR="00131663" w:rsidRPr="00FA59D3" w:rsidRDefault="00C62854" w:rsidP="00C62854">
      <w:pPr>
        <w:pStyle w:val="PwCNormal"/>
        <w:widowControl w:val="0"/>
        <w:numPr>
          <w:ilvl w:val="0"/>
          <w:numId w:val="0"/>
        </w:numPr>
      </w:pPr>
      <w:r w:rsidRPr="00E323BF">
        <w:t>The figure below presents</w:t>
      </w:r>
      <w:r>
        <w:t xml:space="preserve"> the </w:t>
      </w:r>
      <w:r w:rsidR="0069546C">
        <w:t xml:space="preserve">age and gender </w:t>
      </w:r>
      <w:r>
        <w:t xml:space="preserve">profile of exits </w:t>
      </w:r>
      <w:r w:rsidRPr="00E323BF">
        <w:t>observed over the last year</w:t>
      </w:r>
      <w:r>
        <w:t>. T</w:t>
      </w:r>
      <w:r w:rsidRPr="00E323BF">
        <w:t xml:space="preserve">o help focus on the areas of </w:t>
      </w:r>
      <w:r w:rsidRPr="00FA59D3">
        <w:t>greater interest we have removed deaths from the charts as these would otherwise dominate the numbers at the higher ages.</w:t>
      </w:r>
    </w:p>
    <w:p w14:paraId="2A38D59C" w14:textId="0726D091" w:rsidR="00131663" w:rsidRDefault="00131663" w:rsidP="00131663">
      <w:pPr>
        <w:pStyle w:val="Caption"/>
      </w:pPr>
      <w:r w:rsidRPr="00FA59D3">
        <w:lastRenderedPageBreak/>
        <w:t xml:space="preserve">Figure </w:t>
      </w:r>
      <w:fldSimple w:instr=" SEQ Figure \* ARABIC ">
        <w:r w:rsidR="00C93C1A">
          <w:rPr>
            <w:noProof/>
          </w:rPr>
          <w:t>33</w:t>
        </w:r>
      </w:fldSimple>
      <w:r w:rsidRPr="00FA59D3">
        <w:t>: Summary of exits between June 2016 and June 2017</w:t>
      </w:r>
    </w:p>
    <w:tbl>
      <w:tblPr>
        <w:tblW w:w="4922" w:type="pct"/>
        <w:tblLayout w:type="fixed"/>
        <w:tblLook w:val="04A0" w:firstRow="1" w:lastRow="0" w:firstColumn="1" w:lastColumn="0" w:noHBand="0" w:noVBand="1"/>
        <w:tblCaption w:val="Table"/>
        <w:tblDescription w:val="This table contains two charts and a legend."/>
      </w:tblPr>
      <w:tblGrid>
        <w:gridCol w:w="4962"/>
        <w:gridCol w:w="4962"/>
      </w:tblGrid>
      <w:tr w:rsidR="00131663" w:rsidRPr="00896ACF" w14:paraId="3CB7A399" w14:textId="77777777" w:rsidTr="0011298C">
        <w:trPr>
          <w:tblHeader/>
        </w:trPr>
        <w:tc>
          <w:tcPr>
            <w:tcW w:w="4962" w:type="dxa"/>
          </w:tcPr>
          <w:p w14:paraId="61678C86" w14:textId="77777777" w:rsidR="00131663" w:rsidRPr="00896ACF" w:rsidRDefault="00131663" w:rsidP="0011298C">
            <w:pPr>
              <w:pStyle w:val="TableTextSmall"/>
              <w:keepNext/>
              <w:jc w:val="center"/>
              <w:rPr>
                <w:b/>
                <w:i/>
              </w:rPr>
            </w:pPr>
            <w:r w:rsidRPr="00896ACF">
              <w:rPr>
                <w:b/>
                <w:i/>
              </w:rPr>
              <w:t>Males</w:t>
            </w:r>
          </w:p>
        </w:tc>
        <w:tc>
          <w:tcPr>
            <w:tcW w:w="4962" w:type="dxa"/>
          </w:tcPr>
          <w:p w14:paraId="5C86DC20" w14:textId="77777777" w:rsidR="00131663" w:rsidRPr="00896ACF" w:rsidRDefault="00131663" w:rsidP="0011298C">
            <w:pPr>
              <w:pStyle w:val="TableTextSmall"/>
              <w:keepNext/>
              <w:jc w:val="center"/>
              <w:rPr>
                <w:b/>
                <w:i/>
              </w:rPr>
            </w:pPr>
            <w:r w:rsidRPr="00896ACF">
              <w:rPr>
                <w:b/>
                <w:i/>
              </w:rPr>
              <w:t>Females</w:t>
            </w:r>
          </w:p>
        </w:tc>
      </w:tr>
      <w:tr w:rsidR="00131663" w:rsidRPr="00896ACF" w14:paraId="06A0DC13" w14:textId="77777777" w:rsidTr="0011298C">
        <w:tc>
          <w:tcPr>
            <w:tcW w:w="4962" w:type="dxa"/>
          </w:tcPr>
          <w:p w14:paraId="6C0BF49A" w14:textId="77777777" w:rsidR="00131663" w:rsidRPr="00896ACF" w:rsidRDefault="00131663" w:rsidP="0011298C">
            <w:pPr>
              <w:pStyle w:val="TableTextSmall"/>
              <w:keepNext/>
              <w:rPr>
                <w:lang w:eastAsia="en-AU"/>
              </w:rPr>
            </w:pPr>
            <w:r w:rsidRPr="00180DA0">
              <w:rPr>
                <w:noProof/>
                <w:lang w:eastAsia="en-AU"/>
              </w:rPr>
              <w:drawing>
                <wp:inline distT="0" distB="0" distL="0" distR="0" wp14:anchorId="11718857" wp14:editId="344C0666">
                  <wp:extent cx="3009900" cy="1841500"/>
                  <wp:effectExtent l="0" t="0" r="0" b="6350"/>
                  <wp:docPr id="1084" name="Picture 1084" descr="This figure contains two area charts, one for males and one for females. For both charts the vertical axis shows cumulative number of exits from the active classes, and ranges from 0 to 14,000. For both charts the horizontal axis shows age at the start of the year ranging from 10 to 95. Exits due to death have been excluded from these charts.&#10;&#10;The chart on the left shows the number of male exits over the period from June 2016 to June 2017. The chart on the right shows the number of female exits over the period from June 2016 to June 2017. &#10;&#10;Both area charts show the cumulative number of exits split by class prior to exit: 1 Studying, 2 Working Age, 3 Parents, 4 Carers, 5 Disability Support, 6 Pension Age, 7 Non-IS Family, 8 Non-IS Carer, 9 Non-IS Other&#10;&#10;The chart on the left for males has two prominent peaks. The highest peak is at age 24 showing 13,500 exits. The majority of these exits are from Working Age, followed by Studying. There is a spike in exits around age 35, driven by exits from Non IS Family and Working Age. &#10;" title="Summary of exits between June 2016 and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09900" cy="1841500"/>
                          </a:xfrm>
                          <a:prstGeom prst="rect">
                            <a:avLst/>
                          </a:prstGeom>
                          <a:noFill/>
                          <a:ln>
                            <a:noFill/>
                          </a:ln>
                        </pic:spPr>
                      </pic:pic>
                    </a:graphicData>
                  </a:graphic>
                </wp:inline>
              </w:drawing>
            </w:r>
          </w:p>
        </w:tc>
        <w:tc>
          <w:tcPr>
            <w:tcW w:w="4962" w:type="dxa"/>
          </w:tcPr>
          <w:p w14:paraId="21B3B7DA" w14:textId="77777777" w:rsidR="00131663" w:rsidRPr="0099446B" w:rsidRDefault="00131663" w:rsidP="0011298C">
            <w:pPr>
              <w:pStyle w:val="TableTextSmall"/>
              <w:keepNext/>
              <w:rPr>
                <w:lang w:val="en-US" w:eastAsia="en-AU"/>
              </w:rPr>
            </w:pPr>
            <w:r w:rsidRPr="00180DA0">
              <w:rPr>
                <w:noProof/>
                <w:lang w:eastAsia="en-AU"/>
              </w:rPr>
              <w:drawing>
                <wp:inline distT="0" distB="0" distL="0" distR="0" wp14:anchorId="44284417" wp14:editId="72ED2A91">
                  <wp:extent cx="3009900" cy="1835150"/>
                  <wp:effectExtent l="0" t="0" r="0" b="0"/>
                  <wp:docPr id="1085" name="Picture 1085" descr="The chart on the right for females shows a spike in exits around age 24, with approximately 13,000 exits. The majority of these exits are driven by exits from Studying followed by Working Age. There is a spike in exits around age 45 which is predominately driven by exits from Non IS Family. &#10;&#10;Further discussion of the key features shown in the chart can be found in the accompanying text within the report. &#10;" title="Summary of exits between June 2016 and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09900" cy="1835150"/>
                          </a:xfrm>
                          <a:prstGeom prst="rect">
                            <a:avLst/>
                          </a:prstGeom>
                          <a:noFill/>
                          <a:ln>
                            <a:noFill/>
                          </a:ln>
                        </pic:spPr>
                      </pic:pic>
                    </a:graphicData>
                  </a:graphic>
                </wp:inline>
              </w:drawing>
            </w:r>
          </w:p>
        </w:tc>
      </w:tr>
    </w:tbl>
    <w:p w14:paraId="64276904" w14:textId="77777777" w:rsidR="00131663" w:rsidRDefault="00131663" w:rsidP="00131663">
      <w:pPr>
        <w:pStyle w:val="PwCNormal"/>
        <w:keepNext/>
        <w:keepLines/>
        <w:numPr>
          <w:ilvl w:val="0"/>
          <w:numId w:val="1"/>
        </w:numPr>
        <w:jc w:val="center"/>
      </w:pPr>
      <w:r w:rsidRPr="00896ACF">
        <w:rPr>
          <w:noProof/>
          <w:lang w:eastAsia="en-AU"/>
        </w:rPr>
        <w:drawing>
          <wp:inline distT="0" distB="0" distL="0" distR="0" wp14:anchorId="549515C9" wp14:editId="08D0F93E">
            <wp:extent cx="5385600" cy="468000"/>
            <wp:effectExtent l="0" t="0" r="0" b="8255"/>
            <wp:docPr id="1082" name="Picture 1082" descr="Class key: studying, working age, parents, carers, disability support, pension age, non-income support family, non-income support carer, non-income support other, previous welfare recipient, rest of the Australian population and dead. &#10;" title="Class Key for 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56F4AD6C" w14:textId="6CE3A099" w:rsidR="00131663" w:rsidRPr="00E323BF" w:rsidRDefault="00131663" w:rsidP="00131663">
      <w:pPr>
        <w:pStyle w:val="PwCNormal"/>
        <w:numPr>
          <w:ilvl w:val="0"/>
          <w:numId w:val="0"/>
        </w:numPr>
      </w:pPr>
      <w:r w:rsidRPr="00E323BF">
        <w:t>We can see that the main classes from which people exit the system are Studying, Working Age and Non</w:t>
      </w:r>
      <w:r>
        <w:t xml:space="preserve"> </w:t>
      </w:r>
      <w:r w:rsidRPr="00E323BF">
        <w:t xml:space="preserve">IS Family (noting that most people who are on </w:t>
      </w:r>
      <w:r w:rsidR="0070204F">
        <w:t>P</w:t>
      </w:r>
      <w:r w:rsidRPr="00E323BF">
        <w:t>arenting payment</w:t>
      </w:r>
      <w:r>
        <w:t>s</w:t>
      </w:r>
      <w:r w:rsidRPr="00E323BF">
        <w:t xml:space="preserve"> will often transit</w:t>
      </w:r>
      <w:r>
        <w:t xml:space="preserve">ion to </w:t>
      </w:r>
      <w:r w:rsidR="00961841">
        <w:t>F</w:t>
      </w:r>
      <w:r>
        <w:t xml:space="preserve">amily </w:t>
      </w:r>
      <w:r w:rsidR="00961841">
        <w:t>T</w:t>
      </w:r>
      <w:r>
        <w:t xml:space="preserve">ax </w:t>
      </w:r>
      <w:r w:rsidR="00961841">
        <w:t>B</w:t>
      </w:r>
      <w:r>
        <w:t xml:space="preserve">enefit only, </w:t>
      </w:r>
      <w:r w:rsidRPr="00E323BF">
        <w:t xml:space="preserve">i.e. the </w:t>
      </w:r>
      <w:r>
        <w:t xml:space="preserve">Non IS Family </w:t>
      </w:r>
      <w:r w:rsidRPr="00E323BF">
        <w:t>class, before exiting the system).</w:t>
      </w:r>
    </w:p>
    <w:p w14:paraId="03ADE274" w14:textId="6AE5CD81" w:rsidR="00131663" w:rsidRDefault="00131663" w:rsidP="00131663">
      <w:pPr>
        <w:pStyle w:val="PwCNormal"/>
        <w:numPr>
          <w:ilvl w:val="0"/>
          <w:numId w:val="0"/>
        </w:numPr>
      </w:pPr>
      <w:r w:rsidRPr="00E323BF">
        <w:t xml:space="preserve">These charts </w:t>
      </w:r>
      <w:r>
        <w:t>also</w:t>
      </w:r>
      <w:r w:rsidRPr="00E323BF">
        <w:t xml:space="preserve"> illustrate </w:t>
      </w:r>
      <w:r>
        <w:t xml:space="preserve">that very </w:t>
      </w:r>
      <w:r w:rsidRPr="00E323BF">
        <w:t>few people exit</w:t>
      </w:r>
      <w:r w:rsidR="00737F1C">
        <w:t xml:space="preserve"> from</w:t>
      </w:r>
      <w:r w:rsidRPr="00E323BF">
        <w:t xml:space="preserve"> </w:t>
      </w:r>
      <w:r>
        <w:t xml:space="preserve">the </w:t>
      </w:r>
      <w:r w:rsidR="00346132">
        <w:t>D</w:t>
      </w:r>
      <w:r w:rsidRPr="00E323BF">
        <w:t xml:space="preserve">isability </w:t>
      </w:r>
      <w:r w:rsidR="00346132">
        <w:t>S</w:t>
      </w:r>
      <w:r w:rsidRPr="00E323BF">
        <w:t xml:space="preserve">upport </w:t>
      </w:r>
      <w:r w:rsidR="00346132">
        <w:t>P</w:t>
      </w:r>
      <w:r w:rsidRPr="00E323BF">
        <w:t xml:space="preserve">ension, </w:t>
      </w:r>
      <w:r w:rsidR="00346132">
        <w:t>A</w:t>
      </w:r>
      <w:r w:rsidRPr="00E323BF">
        <w:t xml:space="preserve">ge </w:t>
      </w:r>
      <w:r w:rsidR="00346132">
        <w:t>P</w:t>
      </w:r>
      <w:r w:rsidRPr="00E323BF">
        <w:t xml:space="preserve">ension or </w:t>
      </w:r>
      <w:r w:rsidR="00346132">
        <w:t>C</w:t>
      </w:r>
      <w:r w:rsidRPr="00E323BF">
        <w:t xml:space="preserve">arer </w:t>
      </w:r>
      <w:r w:rsidR="0069546C">
        <w:t>classes</w:t>
      </w:r>
      <w:r w:rsidRPr="00E323BF">
        <w:t xml:space="preserve"> directly, other than by death.</w:t>
      </w:r>
    </w:p>
    <w:p w14:paraId="40D523EE" w14:textId="77777777" w:rsidR="00131663" w:rsidRPr="00CC29BA" w:rsidRDefault="00131663" w:rsidP="00131663">
      <w:pPr>
        <w:pStyle w:val="Heading4"/>
      </w:pPr>
      <w:r w:rsidRPr="00CC29BA">
        <w:t>Transitions within the welfare system</w:t>
      </w:r>
    </w:p>
    <w:p w14:paraId="4BD0263F" w14:textId="6BCDED41" w:rsidR="00131663" w:rsidRPr="003A09DC" w:rsidRDefault="00C62854" w:rsidP="00131663">
      <w:pPr>
        <w:pStyle w:val="PwCNormal"/>
        <w:numPr>
          <w:ilvl w:val="0"/>
          <w:numId w:val="1"/>
        </w:numPr>
      </w:pPr>
      <w:r w:rsidRPr="00CC29BA">
        <w:t xml:space="preserve">Apart from overall entrants and exits, </w:t>
      </w:r>
      <w:r>
        <w:t xml:space="preserve">the movements of people between the various parts of the welfare system are a key driver of changes in lifetime cost. The following chart shows the number of transitions between the three broad categories of income support excluding the Age Pension (IS), </w:t>
      </w:r>
      <w:r w:rsidR="005B3E7D">
        <w:t>non income</w:t>
      </w:r>
      <w:r>
        <w:t xml:space="preserve"> support (NIS), and the Age </w:t>
      </w:r>
      <w:r w:rsidRPr="003A09DC">
        <w:t>Pension</w:t>
      </w:r>
      <w:r>
        <w:t xml:space="preserve"> (AP) and how this has changed over recent years</w:t>
      </w:r>
      <w:r w:rsidRPr="003A09DC">
        <w:t>.</w:t>
      </w:r>
    </w:p>
    <w:p w14:paraId="0B580EFD" w14:textId="771C0185" w:rsidR="00131663" w:rsidRPr="003A09DC" w:rsidRDefault="00131663" w:rsidP="00131663">
      <w:pPr>
        <w:pStyle w:val="Caption"/>
      </w:pPr>
      <w:r w:rsidRPr="003A09DC">
        <w:t xml:space="preserve">Figure </w:t>
      </w:r>
      <w:fldSimple w:instr=" SEQ Figure \* ARABIC ">
        <w:r w:rsidR="00C93C1A">
          <w:rPr>
            <w:noProof/>
          </w:rPr>
          <w:t>34</w:t>
        </w:r>
      </w:fldSimple>
      <w:r w:rsidRPr="003A09DC">
        <w:t>: Movements of people within the welfare system</w:t>
      </w:r>
    </w:p>
    <w:p w14:paraId="4C43BA0E" w14:textId="77777777" w:rsidR="00131663" w:rsidRPr="003A09DC" w:rsidRDefault="00131663" w:rsidP="00131663">
      <w:pPr>
        <w:pStyle w:val="PwCNormal"/>
        <w:numPr>
          <w:ilvl w:val="0"/>
          <w:numId w:val="1"/>
        </w:numPr>
      </w:pPr>
      <w:r w:rsidRPr="009F4D63">
        <w:rPr>
          <w:noProof/>
          <w:lang w:eastAsia="en-AU"/>
        </w:rPr>
        <w:drawing>
          <wp:inline distT="0" distB="0" distL="0" distR="0" wp14:anchorId="7EC0E33F" wp14:editId="338FE8F1">
            <wp:extent cx="4214634" cy="2160000"/>
            <wp:effectExtent l="0" t="0" r="0" b="0"/>
            <wp:docPr id="1086" name="Picture 1086" descr="This figure is a grouped column chart with three sections, with each group representing the last 5 financial years.&#10;&#10;The first section describes the number of individuals transitioning onto income support benefits excluding the age pension. This section shows that the number of individuals moving from non-income support benefits to income support benefits has been decreasing over the last 3 financial years&#10;&#10;The second section describes the number of individuals transitioning onto the age pension from income support benefits and non-income support benefits separately. This sections shows that transitions onto the age pension has been decreasing over the last 3 financial years for individuals in both income support and non-income support classes.&#10;&#10;The third section describes the number of individuals transitioning onto non income support benefits. This section shows that transitions onto non income support benefits has been increasing over the last 3 financial years, for both individuals in income support classes or the age pension.&#10;" title="Movements of people within the welf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14634" cy="2160000"/>
                    </a:xfrm>
                    <a:prstGeom prst="rect">
                      <a:avLst/>
                    </a:prstGeom>
                    <a:noFill/>
                    <a:ln>
                      <a:noFill/>
                    </a:ln>
                  </pic:spPr>
                </pic:pic>
              </a:graphicData>
            </a:graphic>
          </wp:inline>
        </w:drawing>
      </w:r>
    </w:p>
    <w:p w14:paraId="5D458320" w14:textId="77777777" w:rsidR="00131663" w:rsidRDefault="00131663" w:rsidP="00131663">
      <w:pPr>
        <w:pStyle w:val="PwCNormal"/>
        <w:numPr>
          <w:ilvl w:val="0"/>
          <w:numId w:val="1"/>
        </w:numPr>
      </w:pPr>
      <w:r>
        <w:t>We note that the 2017 year is impacted by data maturity and therefore the number of movements between the categories is somewhat understated in this year. Notwithstanding this, we observe the following key aspects of the transition experience:</w:t>
      </w:r>
    </w:p>
    <w:p w14:paraId="4EC44CDF" w14:textId="48566069" w:rsidR="00131663" w:rsidRDefault="00131663" w:rsidP="00964D65">
      <w:pPr>
        <w:pStyle w:val="ListBullet"/>
        <w:numPr>
          <w:ilvl w:val="0"/>
          <w:numId w:val="48"/>
        </w:numPr>
      </w:pPr>
      <w:r>
        <w:t xml:space="preserve">The number of people moving from </w:t>
      </w:r>
      <w:r w:rsidR="005B3E7D">
        <w:t>non income</w:t>
      </w:r>
      <w:r>
        <w:t xml:space="preserve"> support to income support has been reducing in recent years;</w:t>
      </w:r>
    </w:p>
    <w:p w14:paraId="5BC5F694" w14:textId="176653E2" w:rsidR="00131663" w:rsidRDefault="00131663" w:rsidP="00964D65">
      <w:pPr>
        <w:pStyle w:val="ListBullet"/>
        <w:numPr>
          <w:ilvl w:val="0"/>
          <w:numId w:val="48"/>
        </w:numPr>
      </w:pPr>
      <w:r>
        <w:t>Transitions onto the Age Pension have been reducing and are low in 2017, likely in part due to the changes in the pension</w:t>
      </w:r>
      <w:r w:rsidR="00647550">
        <w:t>s</w:t>
      </w:r>
      <w:r>
        <w:t xml:space="preserve"> asset</w:t>
      </w:r>
      <w:r w:rsidR="00647550">
        <w:t>s</w:t>
      </w:r>
      <w:r>
        <w:t xml:space="preserve"> test;</w:t>
      </w:r>
    </w:p>
    <w:p w14:paraId="5491775D" w14:textId="35094AD9" w:rsidR="00131663" w:rsidRDefault="00131663" w:rsidP="00964D65">
      <w:pPr>
        <w:pStyle w:val="ListBullet"/>
        <w:numPr>
          <w:ilvl w:val="0"/>
          <w:numId w:val="48"/>
        </w:numPr>
      </w:pPr>
      <w:r>
        <w:t xml:space="preserve">There has been an increase in people moving from income support to </w:t>
      </w:r>
      <w:r w:rsidR="005B3E7D">
        <w:t>non income</w:t>
      </w:r>
      <w:r>
        <w:t xml:space="preserve"> support</w:t>
      </w:r>
      <w:r w:rsidR="0069546C">
        <w:t>;</w:t>
      </w:r>
      <w:r w:rsidR="00871B8B">
        <w:t xml:space="preserve"> and</w:t>
      </w:r>
    </w:p>
    <w:p w14:paraId="6B9CFE54" w14:textId="51D9B668" w:rsidR="00131663" w:rsidRDefault="00871B8B" w:rsidP="00964D65">
      <w:pPr>
        <w:pStyle w:val="ListBullet"/>
        <w:numPr>
          <w:ilvl w:val="0"/>
          <w:numId w:val="48"/>
        </w:numPr>
      </w:pPr>
      <w:r>
        <w:lastRenderedPageBreak/>
        <w:t>v</w:t>
      </w:r>
      <w:r w:rsidR="00131663">
        <w:t>ery few people transition o</w:t>
      </w:r>
      <w:r w:rsidR="0069546C">
        <w:t>ut of the Age Pension each year</w:t>
      </w:r>
      <w:r>
        <w:t>.</w:t>
      </w:r>
    </w:p>
    <w:p w14:paraId="00D5CAAA" w14:textId="77777777" w:rsidR="00131663" w:rsidRDefault="00131663" w:rsidP="009D27C8">
      <w:pPr>
        <w:pStyle w:val="PwCNormal"/>
      </w:pPr>
      <w:r>
        <w:t>The first three trends a) to c) all show a reducing reliance on income support payments.</w:t>
      </w:r>
    </w:p>
    <w:p w14:paraId="24CC8FD6" w14:textId="77777777" w:rsidR="00131663" w:rsidRDefault="00131663" w:rsidP="00131663">
      <w:pPr>
        <w:pStyle w:val="Heading4"/>
      </w:pPr>
      <w:r>
        <w:t>Class-level transition experience</w:t>
      </w:r>
    </w:p>
    <w:p w14:paraId="4C465AB6" w14:textId="1E6C297E" w:rsidR="00C62854" w:rsidRPr="00FD6525" w:rsidRDefault="00C62854" w:rsidP="00C62854">
      <w:pPr>
        <w:pStyle w:val="PwCNormal"/>
        <w:numPr>
          <w:ilvl w:val="0"/>
          <w:numId w:val="1"/>
        </w:numPr>
      </w:pPr>
      <w:r>
        <w:t>We have discussed below selected features of the class-level transition experience which are of interest. The features discussed for Working Age relate to entries and re-entries o</w:t>
      </w:r>
      <w:r w:rsidR="0069546C">
        <w:t>nly. The features discussed for</w:t>
      </w:r>
      <w:r>
        <w:t xml:space="preserve"> Disability Support Pension and Pension Age encompasses a combination of entries into the welfare system, </w:t>
      </w:r>
      <w:r w:rsidR="0069546C">
        <w:t>as well as</w:t>
      </w:r>
      <w:r>
        <w:t xml:space="preserve"> transitions within the welfare system.</w:t>
      </w:r>
    </w:p>
    <w:p w14:paraId="4212DFBE" w14:textId="77777777" w:rsidR="00C62854" w:rsidRDefault="00C62854" w:rsidP="00C62854">
      <w:pPr>
        <w:pStyle w:val="Minorheading"/>
      </w:pPr>
      <w:r>
        <w:t>Entries and re-entries entering the system into Working Age, by age band</w:t>
      </w:r>
    </w:p>
    <w:p w14:paraId="691E5DE1" w14:textId="77777777" w:rsidR="00C62854" w:rsidRDefault="00C62854" w:rsidP="00C62854">
      <w:pPr>
        <w:pStyle w:val="PwCNormal"/>
        <w:numPr>
          <w:ilvl w:val="0"/>
          <w:numId w:val="1"/>
        </w:numPr>
      </w:pPr>
      <w:r>
        <w:t>We previously noted that entries and re-entries into the system had decreased and that in particular there was a decreasing trend in the number of entries and re-entries into Working Age.</w:t>
      </w:r>
    </w:p>
    <w:p w14:paraId="72B70BC9" w14:textId="77BF2D3B" w:rsidR="00131663" w:rsidRPr="00CC58B7" w:rsidRDefault="00C62854" w:rsidP="00C62854">
      <w:pPr>
        <w:pStyle w:val="PwCNormal"/>
        <w:numPr>
          <w:ilvl w:val="0"/>
          <w:numId w:val="1"/>
        </w:numPr>
      </w:pPr>
      <w:r>
        <w:t xml:space="preserve">The chart below looks at a more detailed breakdown </w:t>
      </w:r>
      <w:r w:rsidR="009D27C8">
        <w:t xml:space="preserve">of people who enter or re-enter the welfare system directly </w:t>
      </w:r>
      <w:r>
        <w:t>onto Working Age</w:t>
      </w:r>
      <w:r w:rsidR="0069546C">
        <w:t xml:space="preserve"> payments</w:t>
      </w:r>
      <w:r>
        <w:t>, shown by age band.</w:t>
      </w:r>
      <w:r w:rsidRPr="00CC58B7">
        <w:t xml:space="preserve"> As shown in the chart below, younger entrants (up to age 20) onto Working Age payments have increased, while for </w:t>
      </w:r>
      <w:r>
        <w:t>people</w:t>
      </w:r>
      <w:r w:rsidRPr="00CC58B7">
        <w:t xml:space="preserve"> </w:t>
      </w:r>
      <w:r>
        <w:t xml:space="preserve">aged 21 to 55 </w:t>
      </w:r>
      <w:r w:rsidRPr="00CC58B7">
        <w:t>the reducing trend has continued in the 2017 year.</w:t>
      </w:r>
      <w:r>
        <w:t xml:space="preserve"> Those over age 55 have had stable experience.</w:t>
      </w:r>
    </w:p>
    <w:p w14:paraId="734C02DF" w14:textId="08734A06" w:rsidR="00131663" w:rsidRPr="00CC58B7" w:rsidRDefault="00131663" w:rsidP="00131663">
      <w:pPr>
        <w:pStyle w:val="Caption"/>
      </w:pPr>
      <w:r w:rsidRPr="00CC58B7">
        <w:t xml:space="preserve">Figure </w:t>
      </w:r>
      <w:fldSimple w:instr=" SEQ Figure \* ARABIC ">
        <w:r w:rsidR="00C93C1A">
          <w:rPr>
            <w:noProof/>
          </w:rPr>
          <w:t>35</w:t>
        </w:r>
      </w:fldSimple>
      <w:r w:rsidRPr="00CC58B7">
        <w:t>: Entrants onto Working Age payments by age band – adjusted for data maturity</w:t>
      </w:r>
    </w:p>
    <w:p w14:paraId="461711BC" w14:textId="77777777" w:rsidR="00131663" w:rsidRDefault="00131663" w:rsidP="00131663">
      <w:pPr>
        <w:pStyle w:val="PwCNormal"/>
        <w:numPr>
          <w:ilvl w:val="0"/>
          <w:numId w:val="1"/>
        </w:numPr>
      </w:pPr>
      <w:r w:rsidRPr="00CC58B7">
        <w:rPr>
          <w:noProof/>
          <w:lang w:eastAsia="en-AU"/>
        </w:rPr>
        <w:drawing>
          <wp:inline distT="0" distB="0" distL="0" distR="0" wp14:anchorId="1037956B" wp14:editId="2D6DBAC2">
            <wp:extent cx="3136558" cy="2160000"/>
            <wp:effectExtent l="0" t="0" r="6985" b="0"/>
            <wp:docPr id="1054" name="Picture 1054" descr="This figure is a grouped column chart with 5 sections. Each section represents an age group, and the grouped columns represent the last 5 financial years. The column representing the latest financial year is adjusted for data maturity.&#10;&#10;This figure shows that over the number of entrants onto working age payments has been falling over the last 5 financial years for individuals aged 21 to 55. For individuals aged 0 to 20, or over 55, the number of entrants has been relatively stable over the last 4 financial years.&#10;" title="Entrants onto Working Age payments by age band – adjusted for data mat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36558" cy="2160000"/>
                    </a:xfrm>
                    <a:prstGeom prst="rect">
                      <a:avLst/>
                    </a:prstGeom>
                    <a:noFill/>
                    <a:ln>
                      <a:noFill/>
                    </a:ln>
                  </pic:spPr>
                </pic:pic>
              </a:graphicData>
            </a:graphic>
          </wp:inline>
        </w:drawing>
      </w:r>
    </w:p>
    <w:p w14:paraId="7E102259" w14:textId="77777777" w:rsidR="00131663" w:rsidRDefault="00131663" w:rsidP="00131663">
      <w:pPr>
        <w:pStyle w:val="Minorheading"/>
      </w:pPr>
      <w:r>
        <w:t>Lower entries and transitions onto the Disability Support Pension</w:t>
      </w:r>
    </w:p>
    <w:p w14:paraId="08F9B24F" w14:textId="5A25041A" w:rsidR="00C62854" w:rsidRDefault="00C62854" w:rsidP="00C62854">
      <w:pPr>
        <w:pStyle w:val="PwCNormal"/>
        <w:numPr>
          <w:ilvl w:val="0"/>
          <w:numId w:val="1"/>
        </w:numPr>
      </w:pPr>
      <w:r>
        <w:t xml:space="preserve">There have been a number of recent changes in policy settings in relation to the Disability Support Pension, including a tightening of eligibility criteria which has driven a reduction in the number of entries onto the DSP. Following this we have noted decreases in both entries from outside the welfare system and in movements from other payments </w:t>
      </w:r>
      <w:r w:rsidR="0069546C">
        <w:t>in</w:t>
      </w:r>
      <w:r>
        <w:t>to DSP.</w:t>
      </w:r>
    </w:p>
    <w:p w14:paraId="1ECDE2FF" w14:textId="2165B23D" w:rsidR="00131663" w:rsidRDefault="00C62854" w:rsidP="00C62854">
      <w:pPr>
        <w:pStyle w:val="PwCNormal"/>
        <w:numPr>
          <w:ilvl w:val="0"/>
          <w:numId w:val="1"/>
        </w:numPr>
      </w:pPr>
      <w:r w:rsidRPr="00F55F84">
        <w:t>The chart below show</w:t>
      </w:r>
      <w:r>
        <w:t xml:space="preserve">s the entries and transitions onto DSP by previous welfare class. Over the last </w:t>
      </w:r>
      <w:r w:rsidR="00722399">
        <w:t>three to four</w:t>
      </w:r>
      <w:r>
        <w:t xml:space="preserve"> years t</w:t>
      </w:r>
      <w:r w:rsidRPr="00F55F84">
        <w:t xml:space="preserve">he number of people </w:t>
      </w:r>
      <w:r>
        <w:t xml:space="preserve">entering </w:t>
      </w:r>
      <w:r w:rsidRPr="00F55F84">
        <w:t xml:space="preserve">DSP has reduced from </w:t>
      </w:r>
      <w:r>
        <w:t>around 54</w:t>
      </w:r>
      <w:r w:rsidRPr="00F55F84">
        <w:t>,</w:t>
      </w:r>
      <w:r>
        <w:t>0</w:t>
      </w:r>
      <w:r w:rsidRPr="00F55F84">
        <w:t xml:space="preserve">00 p.a. historically to </w:t>
      </w:r>
      <w:r>
        <w:t>28</w:t>
      </w:r>
      <w:r w:rsidR="0069546C">
        <w:t>,000 in the 2015</w:t>
      </w:r>
      <w:r w:rsidR="00C76822">
        <w:t>/</w:t>
      </w:r>
      <w:r w:rsidRPr="00F55F84">
        <w:t xml:space="preserve">16 year. </w:t>
      </w:r>
      <w:r>
        <w:t>These reductions have been sustained in the 2016</w:t>
      </w:r>
      <w:r w:rsidR="00C76822">
        <w:t>/</w:t>
      </w:r>
      <w:r>
        <w:t xml:space="preserve">17 year, with an estimated 24,000 entries and transitions onto the DSP after </w:t>
      </w:r>
      <w:r w:rsidR="0069546C">
        <w:t>adjusting</w:t>
      </w:r>
      <w:r>
        <w:t xml:space="preserve"> for </w:t>
      </w:r>
      <w:r w:rsidRPr="00F55F84">
        <w:t>data maturity.</w:t>
      </w:r>
    </w:p>
    <w:p w14:paraId="5B8A259B" w14:textId="49EB81A6" w:rsidR="00131663" w:rsidRPr="000D62A3" w:rsidRDefault="00131663" w:rsidP="00131663">
      <w:pPr>
        <w:pStyle w:val="Caption"/>
      </w:pPr>
      <w:r w:rsidRPr="000D62A3">
        <w:lastRenderedPageBreak/>
        <w:t xml:space="preserve">Figure </w:t>
      </w:r>
      <w:fldSimple w:instr=" SEQ Figure \* ARABIC ">
        <w:r w:rsidR="00C93C1A">
          <w:rPr>
            <w:noProof/>
          </w:rPr>
          <w:t>36</w:t>
        </w:r>
      </w:fldSimple>
      <w:r w:rsidRPr="000D62A3">
        <w:t>: Entr</w:t>
      </w:r>
      <w:r>
        <w:t>ies and transitions</w:t>
      </w:r>
      <w:r w:rsidRPr="000D62A3">
        <w:t xml:space="preserve"> onto the Disability Support Pension </w:t>
      </w:r>
      <w:r>
        <w:t xml:space="preserve">(by welfare class) </w:t>
      </w:r>
      <w:r w:rsidRPr="000D62A3">
        <w:t>over the last 5</w:t>
      </w:r>
      <w:r w:rsidR="0069546C">
        <w:t> </w:t>
      </w:r>
      <w:r w:rsidRPr="000D62A3">
        <w:t>years</w:t>
      </w:r>
    </w:p>
    <w:tbl>
      <w:tblPr>
        <w:tblStyle w:val="Tables-APBase"/>
        <w:tblW w:w="452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2 charts&#10;"/>
      </w:tblPr>
      <w:tblGrid>
        <w:gridCol w:w="6236"/>
        <w:gridCol w:w="2889"/>
      </w:tblGrid>
      <w:tr w:rsidR="00131663" w:rsidRPr="00462B12" w14:paraId="0A6BE32F" w14:textId="77777777" w:rsidTr="008E5DED">
        <w:trPr>
          <w:trHeight w:val="3402"/>
          <w:tblHeader/>
        </w:trPr>
        <w:tc>
          <w:tcPr>
            <w:tcW w:w="6236" w:type="dxa"/>
            <w:hideMark/>
          </w:tcPr>
          <w:p w14:paraId="5DD18466" w14:textId="60619628" w:rsidR="00131663" w:rsidRPr="00462B12" w:rsidRDefault="008E5DED" w:rsidP="0011298C">
            <w:pPr>
              <w:pStyle w:val="TableTextSmall"/>
            </w:pPr>
            <w:r w:rsidRPr="008E5DED">
              <w:rPr>
                <w:noProof/>
                <w:lang w:eastAsia="en-AU"/>
              </w:rPr>
              <w:drawing>
                <wp:inline distT="0" distB="0" distL="0" distR="0" wp14:anchorId="5C7700EA" wp14:editId="09E3015A">
                  <wp:extent cx="3932948" cy="2160000"/>
                  <wp:effectExtent l="0" t="0" r="0" b="0"/>
                  <wp:docPr id="1056" name="Picture 1056" descr="This figure is a stacked column chart with five columns. The vertical axis displays the number of people ranging from 0 to 60,000. &#10;&#10;The horizontal axis is split into five columns showing the number of entries and transitions onto the Disability Support Pension respective of the last five financial years; 2013, 2014, 2015, 2016 and 2017.&#10;&#10;The columns showing the number of entrants onto the Disability Support Pension for each financial year are split by previous class. These classes include; 1 Studying, 2 Working Age, 3 Parents, 4 Carers, 5 Disability Support, 6 Pension Age, 7 Non-IS Family, 8 Non-IS Carer, 9 Non-IS Other, 10 Previous Welfare Recipient, 11 Dead and 12 Rest of the Australian Population. &#10;&#10;The chart shows that the number of entries and transitions were; 57,000 in 2013, 51,000 in 2014, 42,000 in 2015, 28,000 in 2016 and 24,000 in 2017 after adjusting for data maturity. The majority of entrants come from Class 2 Working Age, Class 12 Rest of the Australian Population and Class 10 Previous Welfare Recipient. &#10;&#10;Further discussion of the key features shown in the chart can be found in the accompanying text within the report. &#10;" title=": Entries and transitions onto the Disability Support Pension (by welfare class) over the la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32948" cy="2160000"/>
                          </a:xfrm>
                          <a:prstGeom prst="rect">
                            <a:avLst/>
                          </a:prstGeom>
                          <a:noFill/>
                          <a:ln>
                            <a:noFill/>
                          </a:ln>
                        </pic:spPr>
                      </pic:pic>
                    </a:graphicData>
                  </a:graphic>
                </wp:inline>
              </w:drawing>
            </w:r>
          </w:p>
        </w:tc>
        <w:tc>
          <w:tcPr>
            <w:tcW w:w="2889" w:type="dxa"/>
          </w:tcPr>
          <w:p w14:paraId="49D115C5" w14:textId="77777777" w:rsidR="00131663" w:rsidRPr="00462B12" w:rsidRDefault="00131663" w:rsidP="0011298C">
            <w:pPr>
              <w:pStyle w:val="TableTextSmall"/>
            </w:pPr>
          </w:p>
          <w:p w14:paraId="753D02CD" w14:textId="77777777" w:rsidR="00131663" w:rsidRPr="00462B12" w:rsidRDefault="00131663" w:rsidP="0011298C">
            <w:pPr>
              <w:pStyle w:val="TableTextSmall"/>
            </w:pPr>
            <w:r w:rsidRPr="00462B12">
              <w:rPr>
                <w:noProof/>
                <w:lang w:eastAsia="en-AU"/>
              </w:rPr>
              <w:drawing>
                <wp:inline distT="0" distB="0" distL="0" distR="0" wp14:anchorId="52F5BC67" wp14:editId="2656EF52">
                  <wp:extent cx="1439545" cy="1591945"/>
                  <wp:effectExtent l="0" t="0" r="8255" b="0"/>
                  <wp:docPr id="1062" name="Picture 1062" descr="Class key: studying, working age, parents, carers, disability support, pension age, non-income support family, non-income support carer, non-income support other, previous welfare recipient, rest of the Australian population and dead. " title="Payment class key for Figure 39"/>
                  <wp:cNvGraphicFramePr/>
                  <a:graphic xmlns:a="http://schemas.openxmlformats.org/drawingml/2006/main">
                    <a:graphicData uri="http://schemas.openxmlformats.org/drawingml/2006/picture">
                      <pic:pic xmlns:pic="http://schemas.openxmlformats.org/drawingml/2006/picture">
                        <pic:nvPicPr>
                          <pic:cNvPr id="195" name="Picture 195" descr="Class keys: studying, working age, parents, carers, disability support, pension age, non-income support family, non-income support carer, non-income support other, previous welfare recipient, rest of the Australian population and dead. " title="Payment class key for Figure 42"/>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p w14:paraId="40A16351" w14:textId="77777777" w:rsidR="00131663" w:rsidRPr="00462B12" w:rsidRDefault="00131663" w:rsidP="0011298C">
            <w:pPr>
              <w:pStyle w:val="TableTextSmall"/>
            </w:pPr>
          </w:p>
        </w:tc>
      </w:tr>
    </w:tbl>
    <w:p w14:paraId="67F743DC" w14:textId="77777777" w:rsidR="00131663" w:rsidRPr="00E5797E" w:rsidRDefault="00131663" w:rsidP="00131663">
      <w:pPr>
        <w:pStyle w:val="Sources"/>
      </w:pPr>
      <w:r w:rsidRPr="00E5797E">
        <w:t xml:space="preserve">* The dotted </w:t>
      </w:r>
      <w:r>
        <w:t>section</w:t>
      </w:r>
      <w:r w:rsidRPr="00E5797E">
        <w:t xml:space="preserve"> represents the total adjustment made for data maturity in the latest year.</w:t>
      </w:r>
    </w:p>
    <w:p w14:paraId="13F33B32" w14:textId="281C28CA" w:rsidR="00131663" w:rsidRDefault="00131663" w:rsidP="00131663">
      <w:pPr>
        <w:pStyle w:val="PwCNormal"/>
        <w:numPr>
          <w:ilvl w:val="0"/>
          <w:numId w:val="1"/>
        </w:numPr>
      </w:pPr>
      <w:r>
        <w:t>It can be seen that most DSP entrants transitioned either from outside the system o</w:t>
      </w:r>
      <w:r w:rsidR="00737F1C">
        <w:t>r</w:t>
      </w:r>
      <w:r>
        <w:t xml:space="preserve"> from Working Age payments, although a</w:t>
      </w:r>
      <w:r w:rsidR="0069546C">
        <w:t xml:space="preserve"> small</w:t>
      </w:r>
      <w:r>
        <w:t xml:space="preserve"> number do enter from most other classes. The reductions can be seen across most previous classes.</w:t>
      </w:r>
    </w:p>
    <w:p w14:paraId="7532B2B2" w14:textId="77777777" w:rsidR="00131663" w:rsidRDefault="00131663" w:rsidP="00131663">
      <w:pPr>
        <w:pStyle w:val="Minorheading"/>
      </w:pPr>
      <w:r>
        <w:t>Lower entries and transitions onto the Age Pension</w:t>
      </w:r>
    </w:p>
    <w:p w14:paraId="34FE4615" w14:textId="486FF612" w:rsidR="00131663" w:rsidRDefault="00131663" w:rsidP="00131663">
      <w:pPr>
        <w:pStyle w:val="PwCNormal"/>
        <w:numPr>
          <w:ilvl w:val="0"/>
          <w:numId w:val="1"/>
        </w:numPr>
      </w:pPr>
      <w:r w:rsidRPr="00E5797E">
        <w:t>The number of people entering the Age Pension has reduced from 177,000</w:t>
      </w:r>
      <w:r>
        <w:t xml:space="preserve"> </w:t>
      </w:r>
      <w:r w:rsidRPr="00E5797E">
        <w:t>in 2015</w:t>
      </w:r>
      <w:r w:rsidR="00C76822">
        <w:t>/</w:t>
      </w:r>
      <w:r w:rsidRPr="00E5797E">
        <w:t xml:space="preserve">16 to </w:t>
      </w:r>
      <w:r>
        <w:t xml:space="preserve">an estimated </w:t>
      </w:r>
      <w:r w:rsidRPr="00E5797E">
        <w:t>16</w:t>
      </w:r>
      <w:r>
        <w:t>2</w:t>
      </w:r>
      <w:r w:rsidRPr="00E5797E">
        <w:t>,000</w:t>
      </w:r>
      <w:r>
        <w:t xml:space="preserve"> i</w:t>
      </w:r>
      <w:r w:rsidRPr="00E5797E">
        <w:t>n 2016</w:t>
      </w:r>
      <w:r w:rsidR="00C76822">
        <w:t>/</w:t>
      </w:r>
      <w:r w:rsidRPr="00E5797E">
        <w:t xml:space="preserve">17 after </w:t>
      </w:r>
      <w:r w:rsidR="0069546C">
        <w:t>adjusting</w:t>
      </w:r>
      <w:r w:rsidRPr="00E5797E">
        <w:t xml:space="preserve"> for data maturity, as shown in the chart below. </w:t>
      </w:r>
    </w:p>
    <w:p w14:paraId="19D3715E" w14:textId="4BACD619" w:rsidR="00131663" w:rsidRDefault="00131663" w:rsidP="00131663">
      <w:pPr>
        <w:pStyle w:val="PwCNormal"/>
        <w:numPr>
          <w:ilvl w:val="0"/>
          <w:numId w:val="1"/>
        </w:numPr>
      </w:pPr>
      <w:r>
        <w:t>This is likely to be related to the changes in the pensions asset</w:t>
      </w:r>
      <w:r w:rsidR="00647550">
        <w:t>s</w:t>
      </w:r>
      <w:r>
        <w:t xml:space="preserve"> test which took effect on 1 January 2017, and in general, tightened the eligibility criteria.</w:t>
      </w:r>
    </w:p>
    <w:p w14:paraId="5FB0DF8A" w14:textId="6AD9A35B" w:rsidR="00131663" w:rsidRDefault="00131663" w:rsidP="00131663">
      <w:pPr>
        <w:pStyle w:val="Caption"/>
      </w:pPr>
      <w:r w:rsidRPr="00E5797E">
        <w:t xml:space="preserve">Figure </w:t>
      </w:r>
      <w:fldSimple w:instr=" SEQ Figure \* ARABIC ">
        <w:r w:rsidR="00C93C1A">
          <w:rPr>
            <w:noProof/>
          </w:rPr>
          <w:t>37</w:t>
        </w:r>
      </w:fldSimple>
      <w:r w:rsidRPr="00E5797E">
        <w:t xml:space="preserve">: Entrants onto the Age Pension </w:t>
      </w:r>
      <w:r>
        <w:t xml:space="preserve">(by previous class) </w:t>
      </w:r>
      <w:r w:rsidRPr="00E5797E">
        <w:t xml:space="preserve">over the last </w:t>
      </w:r>
      <w:r w:rsidR="00F667C9">
        <w:t>five</w:t>
      </w:r>
      <w:r w:rsidRPr="00E5797E">
        <w:t xml:space="preserve"> years</w:t>
      </w:r>
    </w:p>
    <w:p w14:paraId="1F7C9A69" w14:textId="3EADB91F" w:rsidR="00131663" w:rsidRDefault="008E5DED" w:rsidP="00131663">
      <w:pPr>
        <w:pStyle w:val="PwCNormal"/>
        <w:numPr>
          <w:ilvl w:val="0"/>
          <w:numId w:val="0"/>
        </w:numPr>
      </w:pPr>
      <w:r w:rsidRPr="008E5DED">
        <w:rPr>
          <w:noProof/>
          <w:lang w:eastAsia="en-AU"/>
        </w:rPr>
        <w:drawing>
          <wp:inline distT="0" distB="0" distL="0" distR="0" wp14:anchorId="25CA6C15" wp14:editId="2734F4A6">
            <wp:extent cx="6099061" cy="2160000"/>
            <wp:effectExtent l="0" t="0" r="0" b="0"/>
            <wp:docPr id="1065" name="Picture 1065" descr="This figure is a stacked column chart with ten columns. The vertical axis displays the number of people, ranging from 0 to 100,000. &#10;&#10;The horizontal axis is split into two sections; the first five columns for males and the second five columns for females. Each set of five columns represent the last five financial years; 2013, 2014, 2015, 2016 and 2017. &#10;&#10;In both sections, the columns showing the number of entrants onto the Age Pension for each financial year are split by previous class. These classes include; 1 Studying, 2 Working Age, 3 Parents, 4 Carers, 5 Disability Support, 6 Pension Age, 7 Non-IS Family, 8 Non-IS Carer, 9 Non-IS Other, 10 Previous Welfare Recipient, 11 Dead and 12 Rest of the Australian Population. &#10;&#10;For males the number of entries were; 87,000 in 2013, 88,000 in 2014, 93,000 in 2015, 87,000 in 2016 and 77,000 in 2017 after adjusting for data maturity. &#10;&#10;For females the number of entries were; 89,000 in 2013, 63,000 in 2014, 94,000 in 2015, 90,000 in 2016 and 84,000 in 2017 after adjusting for data maturity&#10;&#10;The majority of entrants for both males and females were from Class 12 Rest of the Australian Population and Class 5 Disability Support. &#10;&#10;The key features of this chart are described in the accompanying text within the report.&#10;" title="Entrants onto the Age Pension (by previous class) over the last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99061" cy="2160000"/>
                    </a:xfrm>
                    <a:prstGeom prst="rect">
                      <a:avLst/>
                    </a:prstGeom>
                    <a:noFill/>
                    <a:ln>
                      <a:noFill/>
                    </a:ln>
                  </pic:spPr>
                </pic:pic>
              </a:graphicData>
            </a:graphic>
          </wp:inline>
        </w:drawing>
      </w:r>
    </w:p>
    <w:p w14:paraId="0A3C697E" w14:textId="77777777" w:rsidR="00131663" w:rsidRDefault="00131663" w:rsidP="00131663">
      <w:pPr>
        <w:pStyle w:val="PwCNormal"/>
        <w:keepNext/>
        <w:keepLines/>
        <w:numPr>
          <w:ilvl w:val="0"/>
          <w:numId w:val="1"/>
        </w:numPr>
        <w:jc w:val="center"/>
      </w:pPr>
      <w:r w:rsidRPr="00896ACF">
        <w:rPr>
          <w:noProof/>
          <w:lang w:eastAsia="en-AU"/>
        </w:rPr>
        <w:drawing>
          <wp:inline distT="0" distB="0" distL="0" distR="0" wp14:anchorId="6697B379" wp14:editId="46D476AF">
            <wp:extent cx="5385600" cy="468000"/>
            <wp:effectExtent l="0" t="0" r="0" b="8255"/>
            <wp:docPr id="3840" name="Picture 3840" descr="Class key: studying, working age, parents, carers, disability support, pension age, non-income support family, non-income support carer, non-income support other, previous welfare recipient, rest of the Australian population and dead. &#10;" title="Class Key for 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4AA7B4DB" w14:textId="77777777" w:rsidR="00131663" w:rsidRDefault="00131663" w:rsidP="00131663">
      <w:pPr>
        <w:pStyle w:val="Sources"/>
      </w:pPr>
      <w:r w:rsidRPr="00E5797E">
        <w:t>* The dotted line represents the total adjustment made for data maturity in the latest year.</w:t>
      </w:r>
    </w:p>
    <w:bookmarkEnd w:id="91"/>
    <w:bookmarkEnd w:id="92"/>
    <w:p w14:paraId="108D5CDC" w14:textId="53038668" w:rsidR="00C62854" w:rsidRPr="005417F8" w:rsidRDefault="00C62854" w:rsidP="00C62854">
      <w:pPr>
        <w:pStyle w:val="PwCNormal"/>
        <w:numPr>
          <w:ilvl w:val="0"/>
          <w:numId w:val="1"/>
        </w:numPr>
      </w:pPr>
      <w:r>
        <w:t>It can also be seen that female entries into age pension in 2013</w:t>
      </w:r>
      <w:r w:rsidR="00C76822">
        <w:t>/</w:t>
      </w:r>
      <w:r>
        <w:t>14 were lower tha</w:t>
      </w:r>
      <w:r w:rsidR="00737F1C">
        <w:t>n in other recent years. This is</w:t>
      </w:r>
      <w:r>
        <w:t xml:space="preserve"> due to the past changes in the age pension qualifying age for females which increased from 64.5 to 65 for females turning 65 after 31 December 2013. The age pension age for males was 65 during this full period.</w:t>
      </w:r>
    </w:p>
    <w:p w14:paraId="1A302749" w14:textId="77777777" w:rsidR="00C62854" w:rsidRDefault="00C62854" w:rsidP="00C62854">
      <w:pPr>
        <w:pStyle w:val="Heading3"/>
      </w:pPr>
      <w:bookmarkStart w:id="94" w:name="_Toc506388215"/>
      <w:r>
        <w:t>Average payment sizes</w:t>
      </w:r>
      <w:bookmarkEnd w:id="94"/>
    </w:p>
    <w:p w14:paraId="6A3F5040" w14:textId="4BC21118" w:rsidR="00131663" w:rsidRDefault="00C62854" w:rsidP="00C62854">
      <w:pPr>
        <w:pStyle w:val="PwCNormal"/>
        <w:numPr>
          <w:ilvl w:val="0"/>
          <w:numId w:val="1"/>
        </w:numPr>
      </w:pPr>
      <w:r>
        <w:t>We discuss below the main changes noted in average payment sizes during the year.</w:t>
      </w:r>
    </w:p>
    <w:p w14:paraId="1E6C2B89" w14:textId="4DFA570D" w:rsidR="006F312B" w:rsidRDefault="006F312B" w:rsidP="006F312B">
      <w:pPr>
        <w:pStyle w:val="Minorheading"/>
      </w:pPr>
      <w:r>
        <w:lastRenderedPageBreak/>
        <w:t>Increasing average payment sizes for new</w:t>
      </w:r>
      <w:r w:rsidR="003E4E38">
        <w:t xml:space="preserve"> age</w:t>
      </w:r>
      <w:r>
        <w:t xml:space="preserve"> pensioners</w:t>
      </w:r>
    </w:p>
    <w:p w14:paraId="30066AA4" w14:textId="409E647C" w:rsidR="00F82BFE" w:rsidRDefault="003E4E38" w:rsidP="006F312B">
      <w:pPr>
        <w:pStyle w:val="PwCNormal"/>
        <w:numPr>
          <w:ilvl w:val="0"/>
          <w:numId w:val="0"/>
        </w:numPr>
      </w:pPr>
      <w:r>
        <w:t>The chart below looks at movements in average payments for new pensioners. This has been gradually increasing over recent years. It is also worth noting that the 2017 year is impacted by the asset</w:t>
      </w:r>
      <w:r w:rsidR="00647550">
        <w:t>s</w:t>
      </w:r>
      <w:r>
        <w:t xml:space="preserve"> test changes which applied from 1 January 2017, as such the 2017 figure will be impacted by this change which took effect half way through the year and may not be reflective of the trend.</w:t>
      </w:r>
    </w:p>
    <w:p w14:paraId="6D0FCE8D" w14:textId="3A5CC309" w:rsidR="00F82BFE" w:rsidRPr="00E5797E" w:rsidRDefault="00F82BFE" w:rsidP="00F82BFE">
      <w:pPr>
        <w:pStyle w:val="Caption"/>
      </w:pPr>
      <w:r w:rsidRPr="00E5797E">
        <w:t xml:space="preserve">Figure </w:t>
      </w:r>
      <w:fldSimple w:instr=" SEQ Figure \* ARABIC ">
        <w:r w:rsidR="00C93C1A">
          <w:rPr>
            <w:noProof/>
          </w:rPr>
          <w:t>38</w:t>
        </w:r>
      </w:fldSimple>
      <w:r w:rsidRPr="00E5797E">
        <w:t xml:space="preserve">: </w:t>
      </w:r>
      <w:r>
        <w:t>Average Age Pension payments</w:t>
      </w:r>
      <w:r w:rsidRPr="00CB1FB3">
        <w:t xml:space="preserve"> per person in </w:t>
      </w:r>
      <w:r>
        <w:t>c</w:t>
      </w:r>
      <w:r w:rsidRPr="00CB1FB3">
        <w:t xml:space="preserve">lass </w:t>
      </w:r>
      <w:r>
        <w:t>6</w:t>
      </w:r>
      <w:r w:rsidRPr="00CB1FB3">
        <w:t xml:space="preserve"> – </w:t>
      </w:r>
      <w:r>
        <w:t xml:space="preserve">Pension Age during first full year of retirement </w:t>
      </w:r>
      <w:r w:rsidRPr="00CB1FB3">
        <w:t>(restated to 201</w:t>
      </w:r>
      <w:r>
        <w:t>6</w:t>
      </w:r>
      <w:r w:rsidRPr="00CB1FB3">
        <w:t>/1</w:t>
      </w:r>
      <w:r>
        <w:t>7</w:t>
      </w:r>
      <w:r w:rsidRPr="00CB1FB3">
        <w:t xml:space="preserve"> $ values</w:t>
      </w:r>
      <w:r>
        <w:t>, for retirement between ages 65 and 74</w:t>
      </w:r>
      <w:r w:rsidRPr="00CB1FB3">
        <w:t>)</w:t>
      </w:r>
    </w:p>
    <w:p w14:paraId="33E244DC" w14:textId="173D8B4E" w:rsidR="006F312B" w:rsidRDefault="006F312B" w:rsidP="006F312B">
      <w:pPr>
        <w:pStyle w:val="PwCNormal"/>
        <w:numPr>
          <w:ilvl w:val="0"/>
          <w:numId w:val="0"/>
        </w:numPr>
      </w:pPr>
      <w:r w:rsidRPr="006F312B">
        <w:rPr>
          <w:noProof/>
          <w:lang w:eastAsia="en-AU"/>
        </w:rPr>
        <w:drawing>
          <wp:inline distT="0" distB="0" distL="0" distR="0" wp14:anchorId="76E33D3B" wp14:editId="7FF892EC">
            <wp:extent cx="3724076" cy="2160000"/>
            <wp:effectExtent l="0" t="0" r="0" b="0"/>
            <wp:docPr id="3878" name="Picture 3878" descr="This figure is a standard column chart that shows the average Age Pension payments per person in the Pension Age class in the first full year of retirement. The vertical axis shows average payment, ranging from $0 to $14,000. The horizontal axis shows the financial year ending 30 June, ranging from 2013 to 2017. &#10;&#10;The chart shows the changes in average Age Pension payments per person over the last five financial years in the Pension Age Class: &#10;&#10;The key features of this chart are described in the accompanying text within the report.&#10;" title="Average Age Pension payments per person in class 6 – Pension Age during first full year of retirement (restated to 2016/17 $ values, for retirement between ages 65 an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24076" cy="2160000"/>
                    </a:xfrm>
                    <a:prstGeom prst="rect">
                      <a:avLst/>
                    </a:prstGeom>
                    <a:noFill/>
                    <a:ln>
                      <a:noFill/>
                    </a:ln>
                  </pic:spPr>
                </pic:pic>
              </a:graphicData>
            </a:graphic>
          </wp:inline>
        </w:drawing>
      </w:r>
    </w:p>
    <w:p w14:paraId="531BD4B4" w14:textId="445256C1" w:rsidR="00F82BFE" w:rsidRDefault="00F82BFE" w:rsidP="00780A6E">
      <w:pPr>
        <w:pStyle w:val="PwCNormal"/>
        <w:numPr>
          <w:ilvl w:val="0"/>
          <w:numId w:val="0"/>
        </w:numPr>
      </w:pPr>
      <w:r>
        <w:t xml:space="preserve">As people age after retirement a trend is generally noted of increasing reliance on age pension as individual’s assets erode. </w:t>
      </w:r>
      <w:r w:rsidR="00780A6E">
        <w:t xml:space="preserve">The key determinants for the overall age pension are the age pension amount at retirement, and then the impact of this trend during retirement. For this reason the trend noted above on the age pension at retirement is </w:t>
      </w:r>
      <w:r>
        <w:t>important for the lifetime cost.</w:t>
      </w:r>
    </w:p>
    <w:p w14:paraId="19F68A62" w14:textId="1BC7D14D" w:rsidR="00131663" w:rsidRDefault="00131663" w:rsidP="00131663">
      <w:pPr>
        <w:pStyle w:val="Minorheading"/>
      </w:pPr>
      <w:r>
        <w:t xml:space="preserve">Reduction in </w:t>
      </w:r>
      <w:r w:rsidR="005B3E7D">
        <w:t>non income</w:t>
      </w:r>
      <w:r>
        <w:t xml:space="preserve"> support studying payments</w:t>
      </w:r>
    </w:p>
    <w:p w14:paraId="5D4B2E64" w14:textId="30A7CF3C" w:rsidR="004341BA" w:rsidRDefault="004341BA" w:rsidP="004341BA">
      <w:pPr>
        <w:pStyle w:val="PwCNormal"/>
        <w:numPr>
          <w:ilvl w:val="0"/>
          <w:numId w:val="1"/>
        </w:numPr>
      </w:pPr>
      <w:r>
        <w:t xml:space="preserve">The average payments made to people in the Studying class has reduced from around $8,500 to $8,100 over the last year. The reduction was consistent across both men and women. This reduction has been </w:t>
      </w:r>
      <w:r w:rsidR="003465C0">
        <w:t xml:space="preserve">largely </w:t>
      </w:r>
      <w:r>
        <w:t xml:space="preserve">driven by lower </w:t>
      </w:r>
      <w:r w:rsidRPr="00CB1FB3">
        <w:t>Other Study &amp; Skills</w:t>
      </w:r>
      <w:r>
        <w:t xml:space="preserve"> payments, which a</w:t>
      </w:r>
      <w:r w:rsidR="0069546C">
        <w:t>re shown in the chart below, reducing</w:t>
      </w:r>
      <w:r>
        <w:t xml:space="preserve"> from $1,200 to $900 over the last year. In particular fewer people in the Studying class have utilised </w:t>
      </w:r>
      <w:r w:rsidRPr="00CB1FB3">
        <w:t>Other Study &amp; Skills</w:t>
      </w:r>
      <w:r>
        <w:t xml:space="preserve"> payments since the Student Start-up Scholarship (SSS) was replaced with the Student Start-up Loan (SSL)</w:t>
      </w:r>
      <w:r w:rsidR="003465C0">
        <w:t xml:space="preserve"> in January 2016</w:t>
      </w:r>
      <w:r>
        <w:t>.</w:t>
      </w:r>
    </w:p>
    <w:p w14:paraId="62F22D5F" w14:textId="13B2F62E" w:rsidR="00131663" w:rsidRPr="00E5797E" w:rsidRDefault="00131663" w:rsidP="00131663">
      <w:pPr>
        <w:pStyle w:val="Caption"/>
      </w:pPr>
      <w:r w:rsidRPr="00E5797E">
        <w:t xml:space="preserve">Figure </w:t>
      </w:r>
      <w:fldSimple w:instr=" SEQ Figure \* ARABIC ">
        <w:r w:rsidR="00C93C1A">
          <w:rPr>
            <w:noProof/>
          </w:rPr>
          <w:t>39</w:t>
        </w:r>
      </w:fldSimple>
      <w:r w:rsidRPr="00E5797E">
        <w:t xml:space="preserve">: </w:t>
      </w:r>
      <w:r>
        <w:t>Average Other Study &amp; Skills payments</w:t>
      </w:r>
      <w:r w:rsidRPr="00CB1FB3">
        <w:t xml:space="preserve"> per person in </w:t>
      </w:r>
      <w:r w:rsidR="00871E70">
        <w:t>c</w:t>
      </w:r>
      <w:r w:rsidRPr="00CB1FB3">
        <w:t xml:space="preserve">lass </w:t>
      </w:r>
      <w:r>
        <w:t>1</w:t>
      </w:r>
      <w:r w:rsidRPr="00CB1FB3">
        <w:t xml:space="preserve"> – </w:t>
      </w:r>
      <w:r>
        <w:t xml:space="preserve">Studying </w:t>
      </w:r>
      <w:r w:rsidRPr="00CB1FB3">
        <w:t>(restated to 201</w:t>
      </w:r>
      <w:r>
        <w:t>6</w:t>
      </w:r>
      <w:r w:rsidRPr="00CB1FB3">
        <w:t>/1</w:t>
      </w:r>
      <w:r>
        <w:t>7</w:t>
      </w:r>
      <w:r w:rsidRPr="00CB1FB3">
        <w:t xml:space="preserve"> $ values)</w:t>
      </w:r>
    </w:p>
    <w:p w14:paraId="7FC39230" w14:textId="77777777" w:rsidR="00131663" w:rsidRDefault="00131663" w:rsidP="00131663">
      <w:pPr>
        <w:pStyle w:val="PwCNormal"/>
        <w:numPr>
          <w:ilvl w:val="0"/>
          <w:numId w:val="1"/>
        </w:numPr>
      </w:pPr>
      <w:r w:rsidRPr="00CC0154">
        <w:rPr>
          <w:noProof/>
          <w:lang w:eastAsia="en-AU"/>
        </w:rPr>
        <w:drawing>
          <wp:inline distT="0" distB="0" distL="0" distR="0" wp14:anchorId="2AB71DD7" wp14:editId="0C21BA73">
            <wp:extent cx="3720745" cy="2160000"/>
            <wp:effectExtent l="0" t="0" r="0" b="0"/>
            <wp:docPr id="3843" name="Picture 3843" descr="This figure is a standard column chart that shows the average Other Study and Skills payments per person in the Studying class. The vertical axis shows average payment, ranging from $0 to $1,600. The horizontal axis shows the financial year ending 30 June, ranging from 2013 to 2017. &#10;&#10;The chart shows the changes in average Other Study and Skills payments per person over the last five financial years in the Studying Class: $1350 in 2013, $1435 in 2014, $1336 in 2015, $1204 in 2016 and $948 in 2017. &#10;&#10;The key features of this chart are described in the accompanying text within the report.&#10;" title="Average Other Study &amp; Skills payments per person in class 1 – Studying (restated to 2016/17 $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20745" cy="2160000"/>
                    </a:xfrm>
                    <a:prstGeom prst="rect">
                      <a:avLst/>
                    </a:prstGeom>
                    <a:noFill/>
                    <a:ln>
                      <a:noFill/>
                    </a:ln>
                  </pic:spPr>
                </pic:pic>
              </a:graphicData>
            </a:graphic>
          </wp:inline>
        </w:drawing>
      </w:r>
    </w:p>
    <w:p w14:paraId="0CCC453C" w14:textId="77777777" w:rsidR="00131663" w:rsidRDefault="00131663" w:rsidP="00131663">
      <w:pPr>
        <w:pStyle w:val="Minorheading"/>
      </w:pPr>
      <w:r>
        <w:t>Reduction in Family Tax Benefit (FTB) payment</w:t>
      </w:r>
    </w:p>
    <w:p w14:paraId="1388C3C6" w14:textId="0CB44FEA" w:rsidR="00131663" w:rsidRDefault="00131663" w:rsidP="00131663">
      <w:pPr>
        <w:pStyle w:val="PwCNormal"/>
        <w:numPr>
          <w:ilvl w:val="0"/>
          <w:numId w:val="1"/>
        </w:numPr>
      </w:pPr>
      <w:r>
        <w:t>The average FTB payments have been gradually decreasing in recent y</w:t>
      </w:r>
      <w:r w:rsidR="0069546C">
        <w:t>ears across a number of classes.</w:t>
      </w:r>
      <w:r>
        <w:t xml:space="preserve"> This reflects a number of legislative changes which have been made over recent years.</w:t>
      </w:r>
    </w:p>
    <w:p w14:paraId="00CB4685" w14:textId="04F3ADA7" w:rsidR="00131663" w:rsidRDefault="00131663" w:rsidP="00131663">
      <w:pPr>
        <w:pStyle w:val="PwCNormal"/>
        <w:numPr>
          <w:ilvl w:val="0"/>
          <w:numId w:val="0"/>
        </w:numPr>
      </w:pPr>
      <w:r>
        <w:lastRenderedPageBreak/>
        <w:t xml:space="preserve">This trend can be seen in the chart below, which shows average FTB payments made for people in the Non IS Family class (although note that the latest year of payments is understated </w:t>
      </w:r>
      <w:r w:rsidRPr="00F33BAC">
        <w:t xml:space="preserve">due to the </w:t>
      </w:r>
      <w:r>
        <w:t xml:space="preserve">impact of the </w:t>
      </w:r>
      <w:r w:rsidRPr="00F33BAC">
        <w:t xml:space="preserve">data maturity </w:t>
      </w:r>
      <w:r w:rsidR="00737F1C">
        <w:t xml:space="preserve">as </w:t>
      </w:r>
      <w:r w:rsidRPr="00F33BAC">
        <w:t xml:space="preserve">Family Tax </w:t>
      </w:r>
      <w:r>
        <w:t xml:space="preserve">Benefit and </w:t>
      </w:r>
      <w:r w:rsidRPr="00F33BAC">
        <w:t xml:space="preserve">child care </w:t>
      </w:r>
      <w:r>
        <w:t>payment information for the valuation year is not f</w:t>
      </w:r>
      <w:r w:rsidRPr="00592D52">
        <w:t>ully known at 30 June</w:t>
      </w:r>
      <w:r>
        <w:t>).</w:t>
      </w:r>
    </w:p>
    <w:p w14:paraId="115D09A7" w14:textId="539B083E" w:rsidR="00131663" w:rsidRPr="00336CE9" w:rsidRDefault="00131663" w:rsidP="00131663">
      <w:pPr>
        <w:pStyle w:val="Caption"/>
      </w:pPr>
      <w:r w:rsidRPr="00E5797E">
        <w:t xml:space="preserve">Figure </w:t>
      </w:r>
      <w:fldSimple w:instr=" SEQ Figure \* ARABIC ">
        <w:r w:rsidR="00C93C1A">
          <w:rPr>
            <w:noProof/>
          </w:rPr>
          <w:t>40</w:t>
        </w:r>
      </w:fldSimple>
      <w:r w:rsidRPr="00E5797E">
        <w:t xml:space="preserve">: </w:t>
      </w:r>
      <w:r>
        <w:t>Average FTB payments</w:t>
      </w:r>
      <w:r w:rsidRPr="00CB1FB3">
        <w:t xml:space="preserve"> per person in </w:t>
      </w:r>
      <w:r w:rsidR="00871E70">
        <w:t>c</w:t>
      </w:r>
      <w:r w:rsidRPr="00CB1FB3">
        <w:t xml:space="preserve">lass </w:t>
      </w:r>
      <w:r>
        <w:t>7</w:t>
      </w:r>
      <w:r w:rsidRPr="00CB1FB3">
        <w:t xml:space="preserve"> – </w:t>
      </w:r>
      <w:r>
        <w:t xml:space="preserve">Non IS Family </w:t>
      </w:r>
      <w:r w:rsidRPr="00CB1FB3">
        <w:t>(restated to 201</w:t>
      </w:r>
      <w:r>
        <w:t>6</w:t>
      </w:r>
      <w:r w:rsidRPr="00CB1FB3">
        <w:t>/1</w:t>
      </w:r>
      <w:r>
        <w:t>7</w:t>
      </w:r>
      <w:r w:rsidRPr="00CB1FB3">
        <w:t xml:space="preserve"> $ values)</w:t>
      </w:r>
    </w:p>
    <w:p w14:paraId="3947FB06" w14:textId="77777777" w:rsidR="00131663" w:rsidRDefault="00131663" w:rsidP="00131663">
      <w:pPr>
        <w:pStyle w:val="PwCNormal"/>
        <w:numPr>
          <w:ilvl w:val="0"/>
          <w:numId w:val="1"/>
        </w:numPr>
      </w:pPr>
      <w:r w:rsidRPr="00A35FC9">
        <w:rPr>
          <w:noProof/>
          <w:lang w:eastAsia="en-AU"/>
        </w:rPr>
        <w:drawing>
          <wp:inline distT="0" distB="0" distL="0" distR="0" wp14:anchorId="05230BAC" wp14:editId="5DB8648B">
            <wp:extent cx="3720745" cy="2160000"/>
            <wp:effectExtent l="0" t="0" r="0" b="0"/>
            <wp:docPr id="3850" name="Picture 3850" descr="This figure is a standard column chart that shows the average FTB payments per person in the Non IS Family class. The vertical axis shows average payment, ranging from $0 to $6,000. The horizontal axis shows the financial year ending 30 June, ranging from 2013 to 2017. &#10;&#10;The chart shows the changes in average FTB payments per person over the last five financial years in the Non IS Family Class: $5278 in 2013, $5026 in 2014, $4893 in 2015, $4493 in 2016 and $3536 in 2017. &#10;&#10;The key features of this chart are described in the accompanying text within the report.&#10;" title="Average FTB payments per person in class 7 – Non IS Family (restated to 2016/17 $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20745" cy="2160000"/>
                    </a:xfrm>
                    <a:prstGeom prst="rect">
                      <a:avLst/>
                    </a:prstGeom>
                    <a:noFill/>
                    <a:ln>
                      <a:noFill/>
                    </a:ln>
                  </pic:spPr>
                </pic:pic>
              </a:graphicData>
            </a:graphic>
          </wp:inline>
        </w:drawing>
      </w:r>
    </w:p>
    <w:p w14:paraId="1975F2BB" w14:textId="3B55D780" w:rsidR="00131663" w:rsidRPr="0057506F" w:rsidRDefault="00131663" w:rsidP="00131663">
      <w:pPr>
        <w:pStyle w:val="Sources"/>
        <w:rPr>
          <w:color w:val="FF0000"/>
        </w:rPr>
      </w:pPr>
      <w:r w:rsidRPr="009D51DF">
        <w:t>* Note that the latest year is impacted by data maturity</w:t>
      </w:r>
      <w:r>
        <w:t xml:space="preserve"> issues with </w:t>
      </w:r>
      <w:r w:rsidR="005B3E7D">
        <w:t>non income</w:t>
      </w:r>
      <w:r w:rsidRPr="009D51DF">
        <w:t xml:space="preserve"> support family payments.</w:t>
      </w:r>
    </w:p>
    <w:p w14:paraId="5CEDAE1F" w14:textId="77777777" w:rsidR="00131663" w:rsidRPr="003E5127" w:rsidRDefault="00131663" w:rsidP="00131663">
      <w:pPr>
        <w:pStyle w:val="Heading3"/>
        <w:rPr>
          <w:snapToGrid/>
        </w:rPr>
      </w:pPr>
      <w:bookmarkStart w:id="95" w:name="_Toc506388216"/>
      <w:r>
        <w:t>C</w:t>
      </w:r>
      <w:r w:rsidRPr="003E5127">
        <w:t xml:space="preserve">hanges in </w:t>
      </w:r>
      <w:r>
        <w:t>model</w:t>
      </w:r>
      <w:r w:rsidRPr="003E5127">
        <w:t xml:space="preserve"> population</w:t>
      </w:r>
      <w:bookmarkEnd w:id="95"/>
    </w:p>
    <w:p w14:paraId="253DD253" w14:textId="77777777" w:rsidR="00131663" w:rsidRPr="003E5127" w:rsidRDefault="00131663" w:rsidP="00131663">
      <w:pPr>
        <w:pStyle w:val="PwCNormal"/>
        <w:numPr>
          <w:ilvl w:val="0"/>
          <w:numId w:val="0"/>
        </w:numPr>
      </w:pPr>
      <w:r w:rsidRPr="003E5127">
        <w:t>In this section we review how the population of welfare recipients has changed over the past year</w:t>
      </w:r>
      <w:r>
        <w:t xml:space="preserve"> in light of the experience discussed above</w:t>
      </w:r>
      <w:r w:rsidRPr="003E5127">
        <w:t>. The table below provides a summary of the numbers of people in each class at 30 June 2016 and the subsequent change over the year to 30 June 2017.</w:t>
      </w:r>
    </w:p>
    <w:p w14:paraId="4FBA85AE" w14:textId="77777777" w:rsidR="00131663" w:rsidRPr="003E5127" w:rsidRDefault="00131663" w:rsidP="00131663">
      <w:pPr>
        <w:pStyle w:val="Caption"/>
      </w:pPr>
      <w:r w:rsidRPr="003E5127">
        <w:t xml:space="preserve">Table </w:t>
      </w:r>
      <w:fldSimple w:instr=" SEQ Table \* ARABIC ">
        <w:r w:rsidR="00C93C1A">
          <w:rPr>
            <w:noProof/>
          </w:rPr>
          <w:t>13</w:t>
        </w:r>
      </w:fldSimple>
      <w:r w:rsidRPr="003E5127">
        <w:t xml:space="preserve">: Summary of changes in </w:t>
      </w:r>
      <w:r>
        <w:t>model</w:t>
      </w:r>
      <w:r w:rsidRPr="003E5127">
        <w:t xml:space="preserve"> population</w:t>
      </w:r>
    </w:p>
    <w:tbl>
      <w:tblPr>
        <w:tblStyle w:val="ListTable3-Accent61"/>
        <w:tblW w:w="9413" w:type="dxa"/>
        <w:tblInd w:w="108" w:type="dxa"/>
        <w:tblLook w:val="04A0" w:firstRow="1" w:lastRow="0" w:firstColumn="1" w:lastColumn="0" w:noHBand="0" w:noVBand="1"/>
        <w:tblCaption w:val=" Summary of changes in welfare recipient population"/>
        <w:tblDescription w:val="This table shows a summary of the number of people in the model population in 2017 compared to 2016. The rows show the number of people in each welfare class, grouped by income support recipients, non income support recipients, previous recipients and the rest of the Australian population. The columns show the number of people in the June 2016 population (in thousands), the proportion of total June 2016 Australian population, number of people in the June 2017 population (in thousands), the proportion of total June 2017 Australian population, and the difference in the number of people between June 2017 and June 2016 (in thousands).&#10;&#10;Further features of the data in this table are discussed in the accompanying text within the report.&#10;"/>
      </w:tblPr>
      <w:tblGrid>
        <w:gridCol w:w="3458"/>
        <w:gridCol w:w="1191"/>
        <w:gridCol w:w="1191"/>
        <w:gridCol w:w="1191"/>
        <w:gridCol w:w="1191"/>
        <w:gridCol w:w="1191"/>
      </w:tblGrid>
      <w:tr w:rsidR="00131663" w:rsidRPr="00025E3F" w14:paraId="2437AEEE" w14:textId="77777777" w:rsidTr="0011298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58" w:type="dxa"/>
            <w:tcBorders>
              <w:top w:val="single" w:sz="4" w:space="0" w:color="E0301E" w:themeColor="accent6"/>
              <w:left w:val="single" w:sz="4" w:space="0" w:color="E0301E" w:themeColor="accent6"/>
              <w:right w:val="single" w:sz="8" w:space="0" w:color="E0301E" w:themeColor="accent6"/>
            </w:tcBorders>
            <w:hideMark/>
          </w:tcPr>
          <w:p w14:paraId="41A741A6" w14:textId="77777777" w:rsidR="00131663" w:rsidRPr="00025E3F" w:rsidRDefault="00131663" w:rsidP="0011298C">
            <w:pPr>
              <w:pStyle w:val="TableColumnHeadingSmall"/>
            </w:pPr>
            <w:r w:rsidRPr="00025E3F">
              <w:t>Class</w:t>
            </w:r>
          </w:p>
        </w:tc>
        <w:tc>
          <w:tcPr>
            <w:tcW w:w="1191" w:type="dxa"/>
            <w:tcBorders>
              <w:top w:val="single" w:sz="4" w:space="0" w:color="E0301E" w:themeColor="accent6"/>
              <w:left w:val="single" w:sz="8" w:space="0" w:color="E0301E" w:themeColor="accent6"/>
              <w:bottom w:val="single" w:sz="4" w:space="0" w:color="E0301E" w:themeColor="accent6"/>
              <w:right w:val="nil"/>
            </w:tcBorders>
            <w:hideMark/>
          </w:tcPr>
          <w:p w14:paraId="488E4430" w14:textId="77777777" w:rsidR="00131663" w:rsidRPr="00025E3F" w:rsidRDefault="00131663" w:rsidP="0011298C">
            <w:pPr>
              <w:pStyle w:val="TableColumnHeadingSmall"/>
              <w:jc w:val="center"/>
              <w:cnfStyle w:val="100000000000" w:firstRow="1" w:lastRow="0" w:firstColumn="0" w:lastColumn="0" w:oddVBand="0" w:evenVBand="0" w:oddHBand="0" w:evenHBand="0" w:firstRowFirstColumn="0" w:firstRowLastColumn="0" w:lastRowFirstColumn="0" w:lastRowLastColumn="0"/>
            </w:pPr>
            <w:r>
              <w:t>June 2016</w:t>
            </w:r>
            <w:r w:rsidRPr="00025E3F">
              <w:t xml:space="preserve"> Population (000s)</w:t>
            </w:r>
          </w:p>
        </w:tc>
        <w:tc>
          <w:tcPr>
            <w:tcW w:w="1191" w:type="dxa"/>
            <w:tcBorders>
              <w:top w:val="single" w:sz="4" w:space="0" w:color="E0301E" w:themeColor="accent6"/>
              <w:left w:val="nil"/>
              <w:bottom w:val="single" w:sz="4" w:space="0" w:color="E0301E" w:themeColor="accent6"/>
              <w:right w:val="single" w:sz="8" w:space="0" w:color="E0301E" w:themeColor="accent6"/>
            </w:tcBorders>
          </w:tcPr>
          <w:p w14:paraId="14DAB8D6" w14:textId="77777777" w:rsidR="00131663" w:rsidRPr="00025E3F" w:rsidRDefault="00131663" w:rsidP="0011298C">
            <w:pPr>
              <w:pStyle w:val="TableColumnHeadingSmall"/>
              <w:jc w:val="center"/>
              <w:cnfStyle w:val="100000000000" w:firstRow="1" w:lastRow="0" w:firstColumn="0" w:lastColumn="0" w:oddVBand="0" w:evenVBand="0" w:oddHBand="0" w:evenHBand="0" w:firstRowFirstColumn="0" w:firstRowLastColumn="0" w:lastRowFirstColumn="0" w:lastRowLastColumn="0"/>
            </w:pPr>
            <w:r>
              <w:t>% of total June 2016 Australian population</w:t>
            </w:r>
          </w:p>
        </w:tc>
        <w:tc>
          <w:tcPr>
            <w:tcW w:w="1191" w:type="dxa"/>
            <w:tcBorders>
              <w:top w:val="single" w:sz="4" w:space="0" w:color="E0301E" w:themeColor="accent6"/>
              <w:left w:val="single" w:sz="8" w:space="0" w:color="E0301E" w:themeColor="accent6"/>
              <w:bottom w:val="nil"/>
              <w:right w:val="nil"/>
            </w:tcBorders>
            <w:hideMark/>
          </w:tcPr>
          <w:p w14:paraId="25F1A397" w14:textId="77777777" w:rsidR="00131663" w:rsidRPr="00025E3F" w:rsidRDefault="00131663" w:rsidP="0011298C">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025E3F">
              <w:t>J</w:t>
            </w:r>
            <w:r>
              <w:t>une 2017</w:t>
            </w:r>
            <w:r w:rsidRPr="00025E3F">
              <w:t xml:space="preserve"> Population (000s)</w:t>
            </w:r>
          </w:p>
        </w:tc>
        <w:tc>
          <w:tcPr>
            <w:tcW w:w="1191" w:type="dxa"/>
            <w:tcBorders>
              <w:top w:val="single" w:sz="4" w:space="0" w:color="E0301E" w:themeColor="accent6"/>
              <w:left w:val="nil"/>
              <w:bottom w:val="single" w:sz="4" w:space="0" w:color="E0301E" w:themeColor="accent6"/>
              <w:right w:val="single" w:sz="8" w:space="0" w:color="E0301E" w:themeColor="accent6"/>
            </w:tcBorders>
          </w:tcPr>
          <w:p w14:paraId="421D9406" w14:textId="77777777" w:rsidR="00131663" w:rsidRPr="00025E3F" w:rsidRDefault="00131663" w:rsidP="0011298C">
            <w:pPr>
              <w:pStyle w:val="TableColumnHeadingSmall"/>
              <w:jc w:val="center"/>
              <w:cnfStyle w:val="100000000000" w:firstRow="1" w:lastRow="0" w:firstColumn="0" w:lastColumn="0" w:oddVBand="0" w:evenVBand="0" w:oddHBand="0" w:evenHBand="0" w:firstRowFirstColumn="0" w:firstRowLastColumn="0" w:lastRowFirstColumn="0" w:lastRowLastColumn="0"/>
            </w:pPr>
            <w:r>
              <w:t>% of total June 2017 Australian population</w:t>
            </w:r>
          </w:p>
        </w:tc>
        <w:tc>
          <w:tcPr>
            <w:tcW w:w="1191" w:type="dxa"/>
            <w:tcBorders>
              <w:top w:val="single" w:sz="4" w:space="0" w:color="E0301E" w:themeColor="accent6"/>
              <w:left w:val="single" w:sz="8" w:space="0" w:color="E0301E" w:themeColor="accent6"/>
              <w:bottom w:val="nil"/>
              <w:right w:val="nil"/>
            </w:tcBorders>
            <w:hideMark/>
          </w:tcPr>
          <w:p w14:paraId="03C47E8E" w14:textId="77777777" w:rsidR="00131663" w:rsidRPr="00025E3F" w:rsidRDefault="00131663" w:rsidP="0011298C">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025E3F">
              <w:t xml:space="preserve">Difference </w:t>
            </w:r>
            <w:r w:rsidRPr="00025E3F">
              <w:br/>
              <w:t>(’000s)</w:t>
            </w:r>
          </w:p>
        </w:tc>
      </w:tr>
      <w:tr w:rsidR="00131663" w:rsidRPr="00025E3F" w14:paraId="2A457C54" w14:textId="77777777" w:rsidTr="001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tcBorders>
              <w:left w:val="single" w:sz="4" w:space="0" w:color="E0301E" w:themeColor="accent6"/>
              <w:right w:val="single" w:sz="8" w:space="0" w:color="E0301E" w:themeColor="accent6"/>
            </w:tcBorders>
            <w:vAlign w:val="center"/>
            <w:hideMark/>
          </w:tcPr>
          <w:p w14:paraId="073EB3C9" w14:textId="77777777" w:rsidR="00131663" w:rsidRPr="0008522F" w:rsidRDefault="00131663" w:rsidP="0011298C">
            <w:pPr>
              <w:pStyle w:val="TableTextSmall"/>
            </w:pPr>
            <w:r w:rsidRPr="0008522F">
              <w:rPr>
                <w:rFonts w:ascii="Arial" w:hAnsi="Arial"/>
                <w:color w:val="404040"/>
                <w:szCs w:val="16"/>
              </w:rPr>
              <w:t>1 – Studying payment recipients</w:t>
            </w:r>
          </w:p>
        </w:tc>
        <w:tc>
          <w:tcPr>
            <w:tcW w:w="1191" w:type="dxa"/>
            <w:tcBorders>
              <w:left w:val="single" w:sz="8" w:space="0" w:color="E0301E" w:themeColor="accent6"/>
              <w:right w:val="nil"/>
            </w:tcBorders>
            <w:vAlign w:val="center"/>
            <w:hideMark/>
          </w:tcPr>
          <w:p w14:paraId="0B83D8E6" w14:textId="77777777" w:rsidR="00131663" w:rsidRPr="00025E3F" w:rsidRDefault="00131663" w:rsidP="0011298C">
            <w:pPr>
              <w:pStyle w:val="TableTextSmall"/>
              <w:ind w:right="317"/>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390</w:t>
            </w:r>
          </w:p>
        </w:tc>
        <w:tc>
          <w:tcPr>
            <w:tcW w:w="1191" w:type="dxa"/>
            <w:tcBorders>
              <w:left w:val="nil"/>
              <w:right w:val="single" w:sz="8" w:space="0" w:color="E0301E" w:themeColor="accent6"/>
            </w:tcBorders>
            <w:vAlign w:val="center"/>
          </w:tcPr>
          <w:p w14:paraId="5C24AFD7"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1.6%</w:t>
            </w:r>
          </w:p>
        </w:tc>
        <w:tc>
          <w:tcPr>
            <w:tcW w:w="1191" w:type="dxa"/>
            <w:tcBorders>
              <w:left w:val="single" w:sz="8" w:space="0" w:color="E0301E" w:themeColor="accent6"/>
              <w:right w:val="nil"/>
            </w:tcBorders>
            <w:vAlign w:val="center"/>
            <w:hideMark/>
          </w:tcPr>
          <w:p w14:paraId="067AC578"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371</w:t>
            </w:r>
          </w:p>
        </w:tc>
        <w:tc>
          <w:tcPr>
            <w:tcW w:w="1191" w:type="dxa"/>
            <w:tcBorders>
              <w:left w:val="nil"/>
              <w:right w:val="single" w:sz="8" w:space="0" w:color="E0301E" w:themeColor="accent6"/>
            </w:tcBorders>
            <w:vAlign w:val="center"/>
          </w:tcPr>
          <w:p w14:paraId="2EF63176"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1.5%</w:t>
            </w:r>
          </w:p>
        </w:tc>
        <w:tc>
          <w:tcPr>
            <w:tcW w:w="1191" w:type="dxa"/>
            <w:tcBorders>
              <w:left w:val="single" w:sz="8" w:space="0" w:color="E0301E" w:themeColor="accent6"/>
              <w:right w:val="nil"/>
            </w:tcBorders>
            <w:vAlign w:val="center"/>
            <w:hideMark/>
          </w:tcPr>
          <w:p w14:paraId="35D43D6E"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-19</w:t>
            </w:r>
          </w:p>
        </w:tc>
      </w:tr>
      <w:tr w:rsidR="00131663" w:rsidRPr="00025E3F" w14:paraId="523F8CC2" w14:textId="77777777" w:rsidTr="0011298C">
        <w:tc>
          <w:tcPr>
            <w:cnfStyle w:val="001000000000" w:firstRow="0" w:lastRow="0" w:firstColumn="1" w:lastColumn="0" w:oddVBand="0" w:evenVBand="0" w:oddHBand="0" w:evenHBand="0" w:firstRowFirstColumn="0" w:firstRowLastColumn="0" w:lastRowFirstColumn="0" w:lastRowLastColumn="0"/>
            <w:tcW w:w="3458" w:type="dxa"/>
            <w:tcBorders>
              <w:top w:val="nil"/>
              <w:left w:val="single" w:sz="4" w:space="0" w:color="E0301E" w:themeColor="accent6"/>
              <w:bottom w:val="nil"/>
              <w:right w:val="single" w:sz="8" w:space="0" w:color="E0301E" w:themeColor="accent6"/>
            </w:tcBorders>
            <w:vAlign w:val="center"/>
            <w:hideMark/>
          </w:tcPr>
          <w:p w14:paraId="46BF746A" w14:textId="77777777" w:rsidR="00131663" w:rsidRPr="0008522F" w:rsidRDefault="00131663" w:rsidP="0011298C">
            <w:pPr>
              <w:pStyle w:val="TableTextSmall"/>
            </w:pPr>
            <w:r w:rsidRPr="0008522F">
              <w:rPr>
                <w:rFonts w:ascii="Arial" w:hAnsi="Arial"/>
                <w:color w:val="404040"/>
                <w:szCs w:val="16"/>
              </w:rPr>
              <w:t>2 – Working age payment recipients</w:t>
            </w:r>
          </w:p>
        </w:tc>
        <w:tc>
          <w:tcPr>
            <w:tcW w:w="1191" w:type="dxa"/>
            <w:tcBorders>
              <w:top w:val="single" w:sz="4" w:space="0" w:color="E0301E" w:themeColor="accent6"/>
              <w:left w:val="single" w:sz="8" w:space="0" w:color="E0301E" w:themeColor="accent6"/>
              <w:bottom w:val="single" w:sz="4" w:space="0" w:color="E0301E" w:themeColor="accent6"/>
              <w:right w:val="nil"/>
            </w:tcBorders>
            <w:vAlign w:val="center"/>
            <w:hideMark/>
          </w:tcPr>
          <w:p w14:paraId="39E1CE71" w14:textId="77777777" w:rsidR="00131663" w:rsidRPr="00025E3F" w:rsidRDefault="00131663" w:rsidP="0011298C">
            <w:pPr>
              <w:pStyle w:val="TableTextSmall"/>
              <w:ind w:right="317"/>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1,318</w:t>
            </w:r>
          </w:p>
        </w:tc>
        <w:tc>
          <w:tcPr>
            <w:tcW w:w="1191" w:type="dxa"/>
            <w:tcBorders>
              <w:top w:val="single" w:sz="4" w:space="0" w:color="E0301E" w:themeColor="accent6"/>
              <w:left w:val="nil"/>
              <w:bottom w:val="single" w:sz="4" w:space="0" w:color="E0301E" w:themeColor="accent6"/>
              <w:right w:val="single" w:sz="8" w:space="0" w:color="E0301E" w:themeColor="accent6"/>
            </w:tcBorders>
            <w:vAlign w:val="center"/>
          </w:tcPr>
          <w:p w14:paraId="26B986EA"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5.5%</w:t>
            </w:r>
          </w:p>
        </w:tc>
        <w:tc>
          <w:tcPr>
            <w:tcW w:w="1191" w:type="dxa"/>
            <w:tcBorders>
              <w:top w:val="nil"/>
              <w:left w:val="single" w:sz="8" w:space="0" w:color="E0301E" w:themeColor="accent6"/>
              <w:bottom w:val="nil"/>
              <w:right w:val="nil"/>
            </w:tcBorders>
            <w:vAlign w:val="center"/>
            <w:hideMark/>
          </w:tcPr>
          <w:p w14:paraId="36798BE3"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1,301</w:t>
            </w:r>
          </w:p>
        </w:tc>
        <w:tc>
          <w:tcPr>
            <w:tcW w:w="1191" w:type="dxa"/>
            <w:tcBorders>
              <w:top w:val="single" w:sz="4" w:space="0" w:color="E0301E" w:themeColor="accent6"/>
              <w:left w:val="nil"/>
              <w:bottom w:val="single" w:sz="4" w:space="0" w:color="E0301E" w:themeColor="accent6"/>
              <w:right w:val="single" w:sz="8" w:space="0" w:color="E0301E" w:themeColor="accent6"/>
            </w:tcBorders>
            <w:vAlign w:val="center"/>
          </w:tcPr>
          <w:p w14:paraId="6FF844E0"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5.3%</w:t>
            </w:r>
          </w:p>
        </w:tc>
        <w:tc>
          <w:tcPr>
            <w:tcW w:w="1191" w:type="dxa"/>
            <w:tcBorders>
              <w:top w:val="nil"/>
              <w:left w:val="single" w:sz="8" w:space="0" w:color="E0301E" w:themeColor="accent6"/>
              <w:bottom w:val="nil"/>
              <w:right w:val="nil"/>
            </w:tcBorders>
            <w:vAlign w:val="center"/>
            <w:hideMark/>
          </w:tcPr>
          <w:p w14:paraId="2277352C"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-16</w:t>
            </w:r>
          </w:p>
        </w:tc>
      </w:tr>
      <w:tr w:rsidR="00131663" w:rsidRPr="00025E3F" w14:paraId="095EA827" w14:textId="77777777" w:rsidTr="001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tcBorders>
              <w:left w:val="single" w:sz="4" w:space="0" w:color="E0301E" w:themeColor="accent6"/>
              <w:right w:val="single" w:sz="8" w:space="0" w:color="E0301E" w:themeColor="accent6"/>
            </w:tcBorders>
            <w:vAlign w:val="center"/>
            <w:hideMark/>
          </w:tcPr>
          <w:p w14:paraId="6B07DC05" w14:textId="77777777" w:rsidR="00131663" w:rsidRPr="0008522F" w:rsidRDefault="00131663" w:rsidP="0011298C">
            <w:pPr>
              <w:pStyle w:val="TableTextSmall"/>
            </w:pPr>
            <w:r w:rsidRPr="0008522F">
              <w:rPr>
                <w:rFonts w:ascii="Arial" w:hAnsi="Arial"/>
                <w:color w:val="404040"/>
                <w:szCs w:val="16"/>
              </w:rPr>
              <w:t>3 – Parenting payment recipients</w:t>
            </w:r>
          </w:p>
        </w:tc>
        <w:tc>
          <w:tcPr>
            <w:tcW w:w="1191" w:type="dxa"/>
            <w:tcBorders>
              <w:left w:val="single" w:sz="8" w:space="0" w:color="E0301E" w:themeColor="accent6"/>
              <w:right w:val="nil"/>
            </w:tcBorders>
            <w:vAlign w:val="center"/>
            <w:hideMark/>
          </w:tcPr>
          <w:p w14:paraId="27909B16" w14:textId="77777777" w:rsidR="00131663" w:rsidRPr="00025E3F" w:rsidRDefault="00131663" w:rsidP="0011298C">
            <w:pPr>
              <w:pStyle w:val="TableTextSmall"/>
              <w:ind w:right="317"/>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437</w:t>
            </w:r>
          </w:p>
        </w:tc>
        <w:tc>
          <w:tcPr>
            <w:tcW w:w="1191" w:type="dxa"/>
            <w:tcBorders>
              <w:left w:val="nil"/>
              <w:right w:val="single" w:sz="8" w:space="0" w:color="E0301E" w:themeColor="accent6"/>
            </w:tcBorders>
            <w:vAlign w:val="center"/>
          </w:tcPr>
          <w:p w14:paraId="719A6ACA"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1.8%</w:t>
            </w:r>
          </w:p>
        </w:tc>
        <w:tc>
          <w:tcPr>
            <w:tcW w:w="1191" w:type="dxa"/>
            <w:tcBorders>
              <w:left w:val="single" w:sz="8" w:space="0" w:color="E0301E" w:themeColor="accent6"/>
              <w:right w:val="nil"/>
            </w:tcBorders>
            <w:vAlign w:val="center"/>
            <w:hideMark/>
          </w:tcPr>
          <w:p w14:paraId="4BFFB261"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433</w:t>
            </w:r>
          </w:p>
        </w:tc>
        <w:tc>
          <w:tcPr>
            <w:tcW w:w="1191" w:type="dxa"/>
            <w:tcBorders>
              <w:left w:val="nil"/>
              <w:right w:val="single" w:sz="8" w:space="0" w:color="E0301E" w:themeColor="accent6"/>
            </w:tcBorders>
            <w:vAlign w:val="center"/>
          </w:tcPr>
          <w:p w14:paraId="2B6B1BC4"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1.8%</w:t>
            </w:r>
          </w:p>
        </w:tc>
        <w:tc>
          <w:tcPr>
            <w:tcW w:w="1191" w:type="dxa"/>
            <w:tcBorders>
              <w:left w:val="single" w:sz="8" w:space="0" w:color="E0301E" w:themeColor="accent6"/>
              <w:right w:val="nil"/>
            </w:tcBorders>
            <w:vAlign w:val="center"/>
            <w:hideMark/>
          </w:tcPr>
          <w:p w14:paraId="4714F097"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-4</w:t>
            </w:r>
          </w:p>
        </w:tc>
      </w:tr>
      <w:tr w:rsidR="00131663" w:rsidRPr="00025E3F" w14:paraId="384C249F" w14:textId="77777777" w:rsidTr="0011298C">
        <w:tc>
          <w:tcPr>
            <w:cnfStyle w:val="001000000000" w:firstRow="0" w:lastRow="0" w:firstColumn="1" w:lastColumn="0" w:oddVBand="0" w:evenVBand="0" w:oddHBand="0" w:evenHBand="0" w:firstRowFirstColumn="0" w:firstRowLastColumn="0" w:lastRowFirstColumn="0" w:lastRowLastColumn="0"/>
            <w:tcW w:w="3458" w:type="dxa"/>
            <w:tcBorders>
              <w:top w:val="nil"/>
              <w:left w:val="single" w:sz="4" w:space="0" w:color="E0301E" w:themeColor="accent6"/>
              <w:bottom w:val="nil"/>
              <w:right w:val="single" w:sz="8" w:space="0" w:color="E0301E" w:themeColor="accent6"/>
            </w:tcBorders>
            <w:vAlign w:val="center"/>
            <w:hideMark/>
          </w:tcPr>
          <w:p w14:paraId="0F6584BC" w14:textId="77777777" w:rsidR="00131663" w:rsidRPr="0008522F" w:rsidRDefault="00131663" w:rsidP="0011298C">
            <w:pPr>
              <w:pStyle w:val="TableTextSmall"/>
            </w:pPr>
            <w:r w:rsidRPr="0008522F">
              <w:rPr>
                <w:rFonts w:ascii="Arial" w:hAnsi="Arial"/>
                <w:color w:val="404040"/>
                <w:szCs w:val="16"/>
              </w:rPr>
              <w:t>4 – Carer payment recipients</w:t>
            </w:r>
          </w:p>
        </w:tc>
        <w:tc>
          <w:tcPr>
            <w:tcW w:w="1191" w:type="dxa"/>
            <w:tcBorders>
              <w:top w:val="single" w:sz="4" w:space="0" w:color="E0301E" w:themeColor="accent6"/>
              <w:left w:val="single" w:sz="8" w:space="0" w:color="E0301E" w:themeColor="accent6"/>
              <w:bottom w:val="single" w:sz="4" w:space="0" w:color="E0301E" w:themeColor="accent6"/>
              <w:right w:val="nil"/>
            </w:tcBorders>
            <w:vAlign w:val="center"/>
            <w:hideMark/>
          </w:tcPr>
          <w:p w14:paraId="44A1EC59" w14:textId="77777777" w:rsidR="00131663" w:rsidRPr="00025E3F" w:rsidRDefault="00131663" w:rsidP="0011298C">
            <w:pPr>
              <w:pStyle w:val="TableTextSmall"/>
              <w:ind w:right="317"/>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272</w:t>
            </w:r>
          </w:p>
        </w:tc>
        <w:tc>
          <w:tcPr>
            <w:tcW w:w="1191" w:type="dxa"/>
            <w:tcBorders>
              <w:top w:val="single" w:sz="4" w:space="0" w:color="E0301E" w:themeColor="accent6"/>
              <w:left w:val="nil"/>
              <w:bottom w:val="single" w:sz="4" w:space="0" w:color="E0301E" w:themeColor="accent6"/>
              <w:right w:val="single" w:sz="8" w:space="0" w:color="E0301E" w:themeColor="accent6"/>
            </w:tcBorders>
            <w:vAlign w:val="center"/>
          </w:tcPr>
          <w:p w14:paraId="12F4FA30"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1.1%</w:t>
            </w:r>
          </w:p>
        </w:tc>
        <w:tc>
          <w:tcPr>
            <w:tcW w:w="1191" w:type="dxa"/>
            <w:tcBorders>
              <w:top w:val="nil"/>
              <w:left w:val="single" w:sz="8" w:space="0" w:color="E0301E" w:themeColor="accent6"/>
              <w:bottom w:val="nil"/>
              <w:right w:val="nil"/>
            </w:tcBorders>
            <w:vAlign w:val="center"/>
            <w:hideMark/>
          </w:tcPr>
          <w:p w14:paraId="5B2EAD79"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277</w:t>
            </w:r>
          </w:p>
        </w:tc>
        <w:tc>
          <w:tcPr>
            <w:tcW w:w="1191" w:type="dxa"/>
            <w:tcBorders>
              <w:top w:val="single" w:sz="4" w:space="0" w:color="E0301E" w:themeColor="accent6"/>
              <w:left w:val="nil"/>
              <w:bottom w:val="single" w:sz="4" w:space="0" w:color="E0301E" w:themeColor="accent6"/>
              <w:right w:val="single" w:sz="8" w:space="0" w:color="E0301E" w:themeColor="accent6"/>
            </w:tcBorders>
            <w:vAlign w:val="center"/>
          </w:tcPr>
          <w:p w14:paraId="28C1D0FA"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1.1%</w:t>
            </w:r>
          </w:p>
        </w:tc>
        <w:tc>
          <w:tcPr>
            <w:tcW w:w="1191" w:type="dxa"/>
            <w:tcBorders>
              <w:top w:val="nil"/>
              <w:left w:val="single" w:sz="8" w:space="0" w:color="E0301E" w:themeColor="accent6"/>
              <w:bottom w:val="nil"/>
              <w:right w:val="nil"/>
            </w:tcBorders>
            <w:vAlign w:val="center"/>
            <w:hideMark/>
          </w:tcPr>
          <w:p w14:paraId="2E7ACE61"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6</w:t>
            </w:r>
          </w:p>
        </w:tc>
      </w:tr>
      <w:tr w:rsidR="00131663" w:rsidRPr="00025E3F" w14:paraId="0CA373D3" w14:textId="77777777" w:rsidTr="001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tcBorders>
              <w:left w:val="single" w:sz="4" w:space="0" w:color="E0301E" w:themeColor="accent6"/>
              <w:right w:val="single" w:sz="8" w:space="0" w:color="E0301E" w:themeColor="accent6"/>
            </w:tcBorders>
            <w:vAlign w:val="center"/>
            <w:hideMark/>
          </w:tcPr>
          <w:p w14:paraId="5C25C93E" w14:textId="77777777" w:rsidR="00131663" w:rsidRPr="0008522F" w:rsidRDefault="00131663" w:rsidP="0011298C">
            <w:pPr>
              <w:pStyle w:val="TableTextSmall"/>
            </w:pPr>
            <w:r w:rsidRPr="0008522F">
              <w:rPr>
                <w:rFonts w:ascii="Arial" w:hAnsi="Arial"/>
                <w:color w:val="404040"/>
                <w:szCs w:val="16"/>
              </w:rPr>
              <w:t>5 – Disability Support Pension recipients</w:t>
            </w:r>
          </w:p>
        </w:tc>
        <w:tc>
          <w:tcPr>
            <w:tcW w:w="1191" w:type="dxa"/>
            <w:tcBorders>
              <w:left w:val="single" w:sz="8" w:space="0" w:color="E0301E" w:themeColor="accent6"/>
              <w:right w:val="nil"/>
            </w:tcBorders>
            <w:vAlign w:val="center"/>
            <w:hideMark/>
          </w:tcPr>
          <w:p w14:paraId="30A6356D" w14:textId="77777777" w:rsidR="00131663" w:rsidRPr="00025E3F" w:rsidRDefault="00131663" w:rsidP="0011298C">
            <w:pPr>
              <w:pStyle w:val="TableTextSmall"/>
              <w:ind w:right="317"/>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782</w:t>
            </w:r>
          </w:p>
        </w:tc>
        <w:tc>
          <w:tcPr>
            <w:tcW w:w="1191" w:type="dxa"/>
            <w:tcBorders>
              <w:left w:val="nil"/>
              <w:right w:val="single" w:sz="8" w:space="0" w:color="E0301E" w:themeColor="accent6"/>
            </w:tcBorders>
            <w:vAlign w:val="center"/>
          </w:tcPr>
          <w:p w14:paraId="735C71A2"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3.2%</w:t>
            </w:r>
          </w:p>
        </w:tc>
        <w:tc>
          <w:tcPr>
            <w:tcW w:w="1191" w:type="dxa"/>
            <w:tcBorders>
              <w:left w:val="single" w:sz="8" w:space="0" w:color="E0301E" w:themeColor="accent6"/>
              <w:right w:val="nil"/>
            </w:tcBorders>
            <w:vAlign w:val="center"/>
            <w:hideMark/>
          </w:tcPr>
          <w:p w14:paraId="3C80484A"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760</w:t>
            </w:r>
          </w:p>
        </w:tc>
        <w:tc>
          <w:tcPr>
            <w:tcW w:w="1191" w:type="dxa"/>
            <w:tcBorders>
              <w:left w:val="nil"/>
              <w:right w:val="single" w:sz="8" w:space="0" w:color="E0301E" w:themeColor="accent6"/>
            </w:tcBorders>
            <w:vAlign w:val="center"/>
          </w:tcPr>
          <w:p w14:paraId="20622337"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3.1%</w:t>
            </w:r>
          </w:p>
        </w:tc>
        <w:tc>
          <w:tcPr>
            <w:tcW w:w="1191" w:type="dxa"/>
            <w:tcBorders>
              <w:left w:val="single" w:sz="8" w:space="0" w:color="E0301E" w:themeColor="accent6"/>
              <w:right w:val="nil"/>
            </w:tcBorders>
            <w:vAlign w:val="center"/>
            <w:hideMark/>
          </w:tcPr>
          <w:p w14:paraId="6FEDB0C5"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-22</w:t>
            </w:r>
          </w:p>
        </w:tc>
      </w:tr>
      <w:tr w:rsidR="00131663" w:rsidRPr="00025E3F" w14:paraId="22FA21ED" w14:textId="77777777" w:rsidTr="0011298C">
        <w:tc>
          <w:tcPr>
            <w:cnfStyle w:val="001000000000" w:firstRow="0" w:lastRow="0" w:firstColumn="1" w:lastColumn="0" w:oddVBand="0" w:evenVBand="0" w:oddHBand="0" w:evenHBand="0" w:firstRowFirstColumn="0" w:firstRowLastColumn="0" w:lastRowFirstColumn="0" w:lastRowLastColumn="0"/>
            <w:tcW w:w="3458" w:type="dxa"/>
            <w:tcBorders>
              <w:top w:val="nil"/>
              <w:left w:val="single" w:sz="4" w:space="0" w:color="E0301E" w:themeColor="accent6"/>
              <w:bottom w:val="nil"/>
              <w:right w:val="single" w:sz="8" w:space="0" w:color="E0301E" w:themeColor="accent6"/>
            </w:tcBorders>
            <w:vAlign w:val="center"/>
            <w:hideMark/>
          </w:tcPr>
          <w:p w14:paraId="759F1BAC" w14:textId="0CB64A91" w:rsidR="00131663" w:rsidRPr="0008522F" w:rsidRDefault="00131663" w:rsidP="00A91FFF">
            <w:pPr>
              <w:pStyle w:val="TableTextSmall"/>
            </w:pPr>
            <w:r w:rsidRPr="0008522F">
              <w:rPr>
                <w:rFonts w:ascii="Arial" w:hAnsi="Arial"/>
                <w:color w:val="404040"/>
                <w:szCs w:val="16"/>
              </w:rPr>
              <w:t>6 – Age Pension recipients</w:t>
            </w:r>
          </w:p>
        </w:tc>
        <w:tc>
          <w:tcPr>
            <w:tcW w:w="1191" w:type="dxa"/>
            <w:tcBorders>
              <w:top w:val="single" w:sz="4" w:space="0" w:color="E0301E" w:themeColor="accent6"/>
              <w:left w:val="single" w:sz="8" w:space="0" w:color="E0301E" w:themeColor="accent6"/>
              <w:bottom w:val="single" w:sz="4" w:space="0" w:color="E0301E" w:themeColor="accent6"/>
              <w:right w:val="nil"/>
            </w:tcBorders>
            <w:vAlign w:val="center"/>
            <w:hideMark/>
          </w:tcPr>
          <w:p w14:paraId="73F59443" w14:textId="77777777" w:rsidR="00131663" w:rsidRPr="00025E3F" w:rsidRDefault="00131663" w:rsidP="0011298C">
            <w:pPr>
              <w:pStyle w:val="TableTextSmall"/>
              <w:ind w:right="317"/>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2,551</w:t>
            </w:r>
          </w:p>
        </w:tc>
        <w:tc>
          <w:tcPr>
            <w:tcW w:w="1191" w:type="dxa"/>
            <w:tcBorders>
              <w:top w:val="single" w:sz="4" w:space="0" w:color="E0301E" w:themeColor="accent6"/>
              <w:left w:val="nil"/>
              <w:bottom w:val="single" w:sz="4" w:space="0" w:color="E0301E" w:themeColor="accent6"/>
              <w:right w:val="single" w:sz="8" w:space="0" w:color="E0301E" w:themeColor="accent6"/>
            </w:tcBorders>
            <w:vAlign w:val="center"/>
          </w:tcPr>
          <w:p w14:paraId="2F45B511"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10.6%</w:t>
            </w:r>
          </w:p>
        </w:tc>
        <w:tc>
          <w:tcPr>
            <w:tcW w:w="1191" w:type="dxa"/>
            <w:tcBorders>
              <w:top w:val="nil"/>
              <w:left w:val="single" w:sz="8" w:space="0" w:color="E0301E" w:themeColor="accent6"/>
              <w:bottom w:val="nil"/>
              <w:right w:val="nil"/>
            </w:tcBorders>
            <w:vAlign w:val="center"/>
            <w:hideMark/>
          </w:tcPr>
          <w:p w14:paraId="20402837"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2,595</w:t>
            </w:r>
          </w:p>
        </w:tc>
        <w:tc>
          <w:tcPr>
            <w:tcW w:w="1191" w:type="dxa"/>
            <w:tcBorders>
              <w:top w:val="single" w:sz="4" w:space="0" w:color="E0301E" w:themeColor="accent6"/>
              <w:left w:val="nil"/>
              <w:bottom w:val="single" w:sz="4" w:space="0" w:color="E0301E" w:themeColor="accent6"/>
              <w:right w:val="single" w:sz="8" w:space="0" w:color="E0301E" w:themeColor="accent6"/>
            </w:tcBorders>
            <w:vAlign w:val="center"/>
          </w:tcPr>
          <w:p w14:paraId="5853940E"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10.5%</w:t>
            </w:r>
          </w:p>
        </w:tc>
        <w:tc>
          <w:tcPr>
            <w:tcW w:w="1191" w:type="dxa"/>
            <w:tcBorders>
              <w:top w:val="nil"/>
              <w:left w:val="single" w:sz="8" w:space="0" w:color="E0301E" w:themeColor="accent6"/>
              <w:bottom w:val="nil"/>
              <w:right w:val="nil"/>
            </w:tcBorders>
            <w:vAlign w:val="center"/>
            <w:hideMark/>
          </w:tcPr>
          <w:p w14:paraId="1963C145"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44</w:t>
            </w:r>
          </w:p>
        </w:tc>
      </w:tr>
      <w:tr w:rsidR="00131663" w:rsidRPr="00025E3F" w14:paraId="02D35651" w14:textId="77777777" w:rsidTr="001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tcBorders>
              <w:left w:val="single" w:sz="4" w:space="0" w:color="E0301E" w:themeColor="accent6"/>
              <w:right w:val="single" w:sz="8" w:space="0" w:color="E0301E" w:themeColor="accent6"/>
            </w:tcBorders>
            <w:shd w:val="clear" w:color="auto" w:fill="F3ABA4" w:themeFill="accent6" w:themeFillTint="66"/>
            <w:vAlign w:val="center"/>
            <w:hideMark/>
          </w:tcPr>
          <w:p w14:paraId="70F43ADD" w14:textId="77777777" w:rsidR="00131663" w:rsidRPr="0008522F" w:rsidRDefault="00131663" w:rsidP="0011298C">
            <w:pPr>
              <w:pStyle w:val="TableTextSmall"/>
            </w:pPr>
            <w:r>
              <w:rPr>
                <w:rFonts w:ascii="Arial" w:hAnsi="Arial"/>
                <w:color w:val="404040"/>
                <w:szCs w:val="16"/>
              </w:rPr>
              <w:t xml:space="preserve">Income </w:t>
            </w:r>
            <w:r w:rsidRPr="0008522F">
              <w:rPr>
                <w:rFonts w:ascii="Arial" w:hAnsi="Arial"/>
                <w:color w:val="404040"/>
                <w:szCs w:val="16"/>
              </w:rPr>
              <w:t>support recipient subtotal</w:t>
            </w:r>
          </w:p>
        </w:tc>
        <w:tc>
          <w:tcPr>
            <w:tcW w:w="1191" w:type="dxa"/>
            <w:tcBorders>
              <w:left w:val="single" w:sz="8" w:space="0" w:color="E0301E" w:themeColor="accent6"/>
              <w:right w:val="nil"/>
            </w:tcBorders>
            <w:shd w:val="clear" w:color="auto" w:fill="F3ABA4" w:themeFill="accent6" w:themeFillTint="66"/>
            <w:vAlign w:val="center"/>
            <w:hideMark/>
          </w:tcPr>
          <w:p w14:paraId="64833235" w14:textId="77777777" w:rsidR="00131663" w:rsidRPr="00025E3F" w:rsidRDefault="00131663" w:rsidP="0011298C">
            <w:pPr>
              <w:pStyle w:val="TableTextSmall"/>
              <w:ind w:right="317"/>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5,749</w:t>
            </w:r>
          </w:p>
        </w:tc>
        <w:tc>
          <w:tcPr>
            <w:tcW w:w="1191" w:type="dxa"/>
            <w:tcBorders>
              <w:left w:val="nil"/>
              <w:right w:val="single" w:sz="8" w:space="0" w:color="E0301E" w:themeColor="accent6"/>
            </w:tcBorders>
            <w:shd w:val="clear" w:color="auto" w:fill="F3ABA4" w:themeFill="accent6" w:themeFillTint="66"/>
            <w:vAlign w:val="center"/>
          </w:tcPr>
          <w:p w14:paraId="182A1A43"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23.8%</w:t>
            </w:r>
          </w:p>
        </w:tc>
        <w:tc>
          <w:tcPr>
            <w:tcW w:w="1191" w:type="dxa"/>
            <w:tcBorders>
              <w:left w:val="single" w:sz="8" w:space="0" w:color="E0301E" w:themeColor="accent6"/>
              <w:right w:val="nil"/>
            </w:tcBorders>
            <w:shd w:val="clear" w:color="auto" w:fill="F3ABA4" w:themeFill="accent6" w:themeFillTint="66"/>
            <w:vAlign w:val="center"/>
            <w:hideMark/>
          </w:tcPr>
          <w:p w14:paraId="223E2B3F"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5,738</w:t>
            </w:r>
          </w:p>
        </w:tc>
        <w:tc>
          <w:tcPr>
            <w:tcW w:w="1191" w:type="dxa"/>
            <w:tcBorders>
              <w:left w:val="nil"/>
              <w:right w:val="single" w:sz="8" w:space="0" w:color="E0301E" w:themeColor="accent6"/>
            </w:tcBorders>
            <w:shd w:val="clear" w:color="auto" w:fill="F3ABA4" w:themeFill="accent6" w:themeFillTint="66"/>
            <w:vAlign w:val="center"/>
          </w:tcPr>
          <w:p w14:paraId="460DDE7D"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23.3%</w:t>
            </w:r>
          </w:p>
        </w:tc>
        <w:tc>
          <w:tcPr>
            <w:tcW w:w="1191" w:type="dxa"/>
            <w:tcBorders>
              <w:left w:val="single" w:sz="8" w:space="0" w:color="E0301E" w:themeColor="accent6"/>
              <w:right w:val="nil"/>
            </w:tcBorders>
            <w:shd w:val="clear" w:color="auto" w:fill="F3ABA4" w:themeFill="accent6" w:themeFillTint="66"/>
            <w:vAlign w:val="center"/>
            <w:hideMark/>
          </w:tcPr>
          <w:p w14:paraId="1D1D29A5"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-11</w:t>
            </w:r>
          </w:p>
        </w:tc>
      </w:tr>
      <w:tr w:rsidR="00131663" w:rsidRPr="00025E3F" w14:paraId="53CFB3DC" w14:textId="77777777" w:rsidTr="0011298C">
        <w:tc>
          <w:tcPr>
            <w:cnfStyle w:val="001000000000" w:firstRow="0" w:lastRow="0" w:firstColumn="1" w:lastColumn="0" w:oddVBand="0" w:evenVBand="0" w:oddHBand="0" w:evenHBand="0" w:firstRowFirstColumn="0" w:firstRowLastColumn="0" w:lastRowFirstColumn="0" w:lastRowLastColumn="0"/>
            <w:tcW w:w="3458" w:type="dxa"/>
            <w:tcBorders>
              <w:top w:val="nil"/>
              <w:left w:val="single" w:sz="4" w:space="0" w:color="E0301E" w:themeColor="accent6"/>
              <w:bottom w:val="nil"/>
              <w:right w:val="single" w:sz="8" w:space="0" w:color="E0301E" w:themeColor="accent6"/>
            </w:tcBorders>
            <w:vAlign w:val="center"/>
            <w:hideMark/>
          </w:tcPr>
          <w:p w14:paraId="00A31DD2" w14:textId="77777777" w:rsidR="00131663" w:rsidRPr="0008522F" w:rsidRDefault="00131663" w:rsidP="0011298C">
            <w:pPr>
              <w:pStyle w:val="TableTextSmall"/>
            </w:pPr>
            <w:r w:rsidRPr="0008522F">
              <w:rPr>
                <w:rFonts w:ascii="Arial" w:hAnsi="Arial"/>
                <w:color w:val="404040"/>
                <w:szCs w:val="16"/>
              </w:rPr>
              <w:t>7 – Family Non IS payment recipients</w:t>
            </w:r>
          </w:p>
        </w:tc>
        <w:tc>
          <w:tcPr>
            <w:tcW w:w="1191" w:type="dxa"/>
            <w:tcBorders>
              <w:top w:val="single" w:sz="4" w:space="0" w:color="E0301E" w:themeColor="accent6"/>
              <w:left w:val="single" w:sz="8" w:space="0" w:color="E0301E" w:themeColor="accent6"/>
              <w:bottom w:val="single" w:sz="4" w:space="0" w:color="E0301E" w:themeColor="accent6"/>
              <w:right w:val="nil"/>
            </w:tcBorders>
            <w:vAlign w:val="center"/>
            <w:hideMark/>
          </w:tcPr>
          <w:p w14:paraId="0CBBC435" w14:textId="77777777" w:rsidR="00131663" w:rsidRPr="00025E3F" w:rsidRDefault="00131663" w:rsidP="0011298C">
            <w:pPr>
              <w:pStyle w:val="TableTextSmall"/>
              <w:ind w:right="317"/>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1,554</w:t>
            </w:r>
          </w:p>
        </w:tc>
        <w:tc>
          <w:tcPr>
            <w:tcW w:w="1191" w:type="dxa"/>
            <w:tcBorders>
              <w:top w:val="single" w:sz="4" w:space="0" w:color="E0301E" w:themeColor="accent6"/>
              <w:left w:val="nil"/>
              <w:bottom w:val="single" w:sz="4" w:space="0" w:color="E0301E" w:themeColor="accent6"/>
              <w:right w:val="single" w:sz="8" w:space="0" w:color="E0301E" w:themeColor="accent6"/>
            </w:tcBorders>
            <w:vAlign w:val="center"/>
          </w:tcPr>
          <w:p w14:paraId="1A62D13C"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6.4%</w:t>
            </w:r>
          </w:p>
        </w:tc>
        <w:tc>
          <w:tcPr>
            <w:tcW w:w="1191" w:type="dxa"/>
            <w:tcBorders>
              <w:top w:val="nil"/>
              <w:left w:val="single" w:sz="8" w:space="0" w:color="E0301E" w:themeColor="accent6"/>
              <w:bottom w:val="nil"/>
              <w:right w:val="nil"/>
            </w:tcBorders>
            <w:vAlign w:val="center"/>
            <w:hideMark/>
          </w:tcPr>
          <w:p w14:paraId="5C01A30C"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1,544</w:t>
            </w:r>
          </w:p>
        </w:tc>
        <w:tc>
          <w:tcPr>
            <w:tcW w:w="1191" w:type="dxa"/>
            <w:tcBorders>
              <w:top w:val="single" w:sz="4" w:space="0" w:color="E0301E" w:themeColor="accent6"/>
              <w:left w:val="nil"/>
              <w:bottom w:val="single" w:sz="4" w:space="0" w:color="E0301E" w:themeColor="accent6"/>
              <w:right w:val="single" w:sz="8" w:space="0" w:color="E0301E" w:themeColor="accent6"/>
            </w:tcBorders>
            <w:vAlign w:val="center"/>
          </w:tcPr>
          <w:p w14:paraId="45D8F4DB"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6.3%</w:t>
            </w:r>
          </w:p>
        </w:tc>
        <w:tc>
          <w:tcPr>
            <w:tcW w:w="1191" w:type="dxa"/>
            <w:tcBorders>
              <w:top w:val="nil"/>
              <w:left w:val="single" w:sz="8" w:space="0" w:color="E0301E" w:themeColor="accent6"/>
              <w:bottom w:val="nil"/>
              <w:right w:val="nil"/>
            </w:tcBorders>
            <w:vAlign w:val="center"/>
            <w:hideMark/>
          </w:tcPr>
          <w:p w14:paraId="2F365E62"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-10</w:t>
            </w:r>
          </w:p>
        </w:tc>
      </w:tr>
      <w:tr w:rsidR="00131663" w:rsidRPr="00025E3F" w14:paraId="72869B57" w14:textId="77777777" w:rsidTr="001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tcBorders>
              <w:left w:val="single" w:sz="4" w:space="0" w:color="E0301E" w:themeColor="accent6"/>
              <w:right w:val="single" w:sz="8" w:space="0" w:color="E0301E" w:themeColor="accent6"/>
            </w:tcBorders>
            <w:vAlign w:val="center"/>
            <w:hideMark/>
          </w:tcPr>
          <w:p w14:paraId="6233EC17" w14:textId="77777777" w:rsidR="00131663" w:rsidRPr="0008522F" w:rsidRDefault="00131663" w:rsidP="0011298C">
            <w:pPr>
              <w:pStyle w:val="TableTextSmall"/>
            </w:pPr>
            <w:r w:rsidRPr="0008522F">
              <w:rPr>
                <w:rFonts w:ascii="Arial" w:hAnsi="Arial"/>
                <w:color w:val="404040"/>
                <w:szCs w:val="16"/>
              </w:rPr>
              <w:t>8 – Carer Non IS payment recipients</w:t>
            </w:r>
          </w:p>
        </w:tc>
        <w:tc>
          <w:tcPr>
            <w:tcW w:w="1191" w:type="dxa"/>
            <w:tcBorders>
              <w:left w:val="single" w:sz="8" w:space="0" w:color="E0301E" w:themeColor="accent6"/>
              <w:right w:val="nil"/>
            </w:tcBorders>
            <w:vAlign w:val="center"/>
            <w:hideMark/>
          </w:tcPr>
          <w:p w14:paraId="7CF52124" w14:textId="77777777" w:rsidR="00131663" w:rsidRPr="00025E3F" w:rsidRDefault="00131663" w:rsidP="0011298C">
            <w:pPr>
              <w:pStyle w:val="TableTextSmall"/>
              <w:ind w:right="317"/>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201</w:t>
            </w:r>
          </w:p>
        </w:tc>
        <w:tc>
          <w:tcPr>
            <w:tcW w:w="1191" w:type="dxa"/>
            <w:tcBorders>
              <w:left w:val="nil"/>
              <w:right w:val="single" w:sz="8" w:space="0" w:color="E0301E" w:themeColor="accent6"/>
            </w:tcBorders>
            <w:vAlign w:val="center"/>
          </w:tcPr>
          <w:p w14:paraId="63056CC5"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0.8%</w:t>
            </w:r>
          </w:p>
        </w:tc>
        <w:tc>
          <w:tcPr>
            <w:tcW w:w="1191" w:type="dxa"/>
            <w:tcBorders>
              <w:left w:val="single" w:sz="8" w:space="0" w:color="E0301E" w:themeColor="accent6"/>
              <w:right w:val="nil"/>
            </w:tcBorders>
            <w:vAlign w:val="center"/>
            <w:hideMark/>
          </w:tcPr>
          <w:p w14:paraId="622AA3CC"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203</w:t>
            </w:r>
          </w:p>
        </w:tc>
        <w:tc>
          <w:tcPr>
            <w:tcW w:w="1191" w:type="dxa"/>
            <w:tcBorders>
              <w:left w:val="nil"/>
              <w:right w:val="single" w:sz="8" w:space="0" w:color="E0301E" w:themeColor="accent6"/>
            </w:tcBorders>
            <w:vAlign w:val="center"/>
          </w:tcPr>
          <w:p w14:paraId="18DAA7F9"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0.8%</w:t>
            </w:r>
          </w:p>
        </w:tc>
        <w:tc>
          <w:tcPr>
            <w:tcW w:w="1191" w:type="dxa"/>
            <w:tcBorders>
              <w:left w:val="single" w:sz="8" w:space="0" w:color="E0301E" w:themeColor="accent6"/>
              <w:right w:val="nil"/>
            </w:tcBorders>
            <w:vAlign w:val="center"/>
            <w:hideMark/>
          </w:tcPr>
          <w:p w14:paraId="176AAD4A"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2</w:t>
            </w:r>
          </w:p>
        </w:tc>
      </w:tr>
      <w:tr w:rsidR="00131663" w:rsidRPr="00025E3F" w14:paraId="1E3DF417" w14:textId="77777777" w:rsidTr="0011298C">
        <w:tc>
          <w:tcPr>
            <w:cnfStyle w:val="001000000000" w:firstRow="0" w:lastRow="0" w:firstColumn="1" w:lastColumn="0" w:oddVBand="0" w:evenVBand="0" w:oddHBand="0" w:evenHBand="0" w:firstRowFirstColumn="0" w:firstRowLastColumn="0" w:lastRowFirstColumn="0" w:lastRowLastColumn="0"/>
            <w:tcW w:w="3458" w:type="dxa"/>
            <w:tcBorders>
              <w:top w:val="nil"/>
              <w:left w:val="single" w:sz="4" w:space="0" w:color="E0301E" w:themeColor="accent6"/>
              <w:bottom w:val="nil"/>
              <w:right w:val="single" w:sz="8" w:space="0" w:color="E0301E" w:themeColor="accent6"/>
            </w:tcBorders>
            <w:vAlign w:val="center"/>
            <w:hideMark/>
          </w:tcPr>
          <w:p w14:paraId="31023FEF" w14:textId="77777777" w:rsidR="00131663" w:rsidRPr="0008522F" w:rsidRDefault="00131663" w:rsidP="0011298C">
            <w:pPr>
              <w:pStyle w:val="TableTextSmall"/>
            </w:pPr>
            <w:r w:rsidRPr="0008522F">
              <w:rPr>
                <w:rFonts w:ascii="Arial" w:hAnsi="Arial"/>
                <w:color w:val="404040"/>
                <w:szCs w:val="16"/>
              </w:rPr>
              <w:t>9 – Other Non IS payment recipients</w:t>
            </w:r>
          </w:p>
        </w:tc>
        <w:tc>
          <w:tcPr>
            <w:tcW w:w="1191" w:type="dxa"/>
            <w:tcBorders>
              <w:top w:val="single" w:sz="4" w:space="0" w:color="E0301E" w:themeColor="accent6"/>
              <w:left w:val="single" w:sz="8" w:space="0" w:color="E0301E" w:themeColor="accent6"/>
              <w:bottom w:val="single" w:sz="4" w:space="0" w:color="E0301E" w:themeColor="accent6"/>
              <w:right w:val="nil"/>
            </w:tcBorders>
            <w:vAlign w:val="center"/>
            <w:hideMark/>
          </w:tcPr>
          <w:p w14:paraId="3E5B79E2" w14:textId="77777777" w:rsidR="00131663" w:rsidRPr="00025E3F" w:rsidRDefault="00131663" w:rsidP="0011298C">
            <w:pPr>
              <w:pStyle w:val="TableTextSmall"/>
              <w:ind w:right="317"/>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543</w:t>
            </w:r>
          </w:p>
        </w:tc>
        <w:tc>
          <w:tcPr>
            <w:tcW w:w="1191" w:type="dxa"/>
            <w:tcBorders>
              <w:top w:val="single" w:sz="4" w:space="0" w:color="E0301E" w:themeColor="accent6"/>
              <w:left w:val="nil"/>
              <w:bottom w:val="single" w:sz="4" w:space="0" w:color="E0301E" w:themeColor="accent6"/>
              <w:right w:val="single" w:sz="8" w:space="0" w:color="E0301E" w:themeColor="accent6"/>
            </w:tcBorders>
            <w:vAlign w:val="center"/>
          </w:tcPr>
          <w:p w14:paraId="565FA692"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2.2%</w:t>
            </w:r>
          </w:p>
        </w:tc>
        <w:tc>
          <w:tcPr>
            <w:tcW w:w="1191" w:type="dxa"/>
            <w:tcBorders>
              <w:top w:val="nil"/>
              <w:left w:val="single" w:sz="8" w:space="0" w:color="E0301E" w:themeColor="accent6"/>
              <w:bottom w:val="nil"/>
              <w:right w:val="nil"/>
            </w:tcBorders>
            <w:vAlign w:val="center"/>
            <w:hideMark/>
          </w:tcPr>
          <w:p w14:paraId="2E861637"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557</w:t>
            </w:r>
          </w:p>
        </w:tc>
        <w:tc>
          <w:tcPr>
            <w:tcW w:w="1191" w:type="dxa"/>
            <w:tcBorders>
              <w:top w:val="single" w:sz="4" w:space="0" w:color="E0301E" w:themeColor="accent6"/>
              <w:left w:val="nil"/>
              <w:bottom w:val="single" w:sz="4" w:space="0" w:color="E0301E" w:themeColor="accent6"/>
              <w:right w:val="single" w:sz="8" w:space="0" w:color="E0301E" w:themeColor="accent6"/>
            </w:tcBorders>
            <w:vAlign w:val="center"/>
          </w:tcPr>
          <w:p w14:paraId="690F1A63"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2.3%</w:t>
            </w:r>
          </w:p>
        </w:tc>
        <w:tc>
          <w:tcPr>
            <w:tcW w:w="1191" w:type="dxa"/>
            <w:tcBorders>
              <w:top w:val="nil"/>
              <w:left w:val="single" w:sz="8" w:space="0" w:color="E0301E" w:themeColor="accent6"/>
              <w:bottom w:val="nil"/>
              <w:right w:val="nil"/>
            </w:tcBorders>
            <w:vAlign w:val="center"/>
            <w:hideMark/>
          </w:tcPr>
          <w:p w14:paraId="03744313"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pPr>
            <w:r>
              <w:rPr>
                <w:rFonts w:ascii="Arial" w:hAnsi="Arial"/>
                <w:color w:val="404040"/>
                <w:szCs w:val="16"/>
              </w:rPr>
              <w:t>14</w:t>
            </w:r>
          </w:p>
        </w:tc>
      </w:tr>
      <w:tr w:rsidR="00131663" w:rsidRPr="00025E3F" w14:paraId="0A566538" w14:textId="77777777" w:rsidTr="001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tcBorders>
              <w:left w:val="single" w:sz="4" w:space="0" w:color="E0301E" w:themeColor="accent6"/>
              <w:right w:val="single" w:sz="8" w:space="0" w:color="E0301E" w:themeColor="accent6"/>
            </w:tcBorders>
            <w:shd w:val="clear" w:color="auto" w:fill="F3ABA4" w:themeFill="accent6" w:themeFillTint="66"/>
            <w:vAlign w:val="center"/>
            <w:hideMark/>
          </w:tcPr>
          <w:p w14:paraId="49C9D512" w14:textId="77777777" w:rsidR="00131663" w:rsidRPr="0008522F" w:rsidRDefault="00131663" w:rsidP="0011298C">
            <w:pPr>
              <w:pStyle w:val="TableTextSmall"/>
            </w:pPr>
            <w:r w:rsidRPr="0008522F">
              <w:rPr>
                <w:rFonts w:ascii="Arial" w:hAnsi="Arial"/>
                <w:color w:val="404040"/>
                <w:szCs w:val="16"/>
              </w:rPr>
              <w:t>Non Income support recipient subtotal</w:t>
            </w:r>
          </w:p>
        </w:tc>
        <w:tc>
          <w:tcPr>
            <w:tcW w:w="1191" w:type="dxa"/>
            <w:tcBorders>
              <w:left w:val="single" w:sz="8" w:space="0" w:color="E0301E" w:themeColor="accent6"/>
              <w:right w:val="nil"/>
            </w:tcBorders>
            <w:shd w:val="clear" w:color="auto" w:fill="F3ABA4" w:themeFill="accent6" w:themeFillTint="66"/>
            <w:vAlign w:val="center"/>
            <w:hideMark/>
          </w:tcPr>
          <w:p w14:paraId="5EFFEEA6" w14:textId="77777777" w:rsidR="00131663" w:rsidRPr="00025E3F" w:rsidRDefault="00131663" w:rsidP="0011298C">
            <w:pPr>
              <w:pStyle w:val="TableTextSmall"/>
              <w:ind w:right="317"/>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2,298</w:t>
            </w:r>
          </w:p>
        </w:tc>
        <w:tc>
          <w:tcPr>
            <w:tcW w:w="1191" w:type="dxa"/>
            <w:tcBorders>
              <w:left w:val="nil"/>
              <w:right w:val="single" w:sz="8" w:space="0" w:color="E0301E" w:themeColor="accent6"/>
            </w:tcBorders>
            <w:shd w:val="clear" w:color="auto" w:fill="F3ABA4" w:themeFill="accent6" w:themeFillTint="66"/>
            <w:vAlign w:val="center"/>
          </w:tcPr>
          <w:p w14:paraId="1B7351B7"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9.5%</w:t>
            </w:r>
          </w:p>
        </w:tc>
        <w:tc>
          <w:tcPr>
            <w:tcW w:w="1191" w:type="dxa"/>
            <w:tcBorders>
              <w:left w:val="single" w:sz="8" w:space="0" w:color="E0301E" w:themeColor="accent6"/>
              <w:right w:val="nil"/>
            </w:tcBorders>
            <w:shd w:val="clear" w:color="auto" w:fill="F3ABA4" w:themeFill="accent6" w:themeFillTint="66"/>
            <w:vAlign w:val="center"/>
            <w:hideMark/>
          </w:tcPr>
          <w:p w14:paraId="3212932D"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2,304</w:t>
            </w:r>
          </w:p>
        </w:tc>
        <w:tc>
          <w:tcPr>
            <w:tcW w:w="1191" w:type="dxa"/>
            <w:tcBorders>
              <w:left w:val="nil"/>
              <w:right w:val="single" w:sz="8" w:space="0" w:color="E0301E" w:themeColor="accent6"/>
            </w:tcBorders>
            <w:shd w:val="clear" w:color="auto" w:fill="F3ABA4" w:themeFill="accent6" w:themeFillTint="66"/>
            <w:vAlign w:val="center"/>
          </w:tcPr>
          <w:p w14:paraId="0DA4F9F2"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9.3%</w:t>
            </w:r>
          </w:p>
        </w:tc>
        <w:tc>
          <w:tcPr>
            <w:tcW w:w="1191" w:type="dxa"/>
            <w:tcBorders>
              <w:left w:val="single" w:sz="8" w:space="0" w:color="E0301E" w:themeColor="accent6"/>
              <w:right w:val="nil"/>
            </w:tcBorders>
            <w:shd w:val="clear" w:color="auto" w:fill="F3ABA4" w:themeFill="accent6" w:themeFillTint="66"/>
            <w:vAlign w:val="center"/>
            <w:hideMark/>
          </w:tcPr>
          <w:p w14:paraId="0D156F2A"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pPr>
            <w:r>
              <w:rPr>
                <w:rFonts w:ascii="Arial" w:hAnsi="Arial"/>
                <w:color w:val="404040"/>
                <w:szCs w:val="16"/>
              </w:rPr>
              <w:t>6</w:t>
            </w:r>
          </w:p>
        </w:tc>
      </w:tr>
      <w:tr w:rsidR="00131663" w:rsidRPr="00025E3F" w14:paraId="0DE1520D" w14:textId="77777777" w:rsidTr="0011298C">
        <w:tc>
          <w:tcPr>
            <w:cnfStyle w:val="001000000000" w:firstRow="0" w:lastRow="0" w:firstColumn="1" w:lastColumn="0" w:oddVBand="0" w:evenVBand="0" w:oddHBand="0" w:evenHBand="0" w:firstRowFirstColumn="0" w:firstRowLastColumn="0" w:lastRowFirstColumn="0" w:lastRowLastColumn="0"/>
            <w:tcW w:w="3458" w:type="dxa"/>
            <w:tcBorders>
              <w:top w:val="nil"/>
              <w:left w:val="single" w:sz="4" w:space="0" w:color="E0301E" w:themeColor="accent6"/>
              <w:bottom w:val="nil"/>
              <w:right w:val="single" w:sz="8" w:space="0" w:color="E0301E" w:themeColor="accent6"/>
            </w:tcBorders>
            <w:shd w:val="clear" w:color="auto" w:fill="F3ABA4" w:themeFill="accent6" w:themeFillTint="66"/>
            <w:vAlign w:val="center"/>
            <w:hideMark/>
          </w:tcPr>
          <w:p w14:paraId="2F75C958" w14:textId="77777777" w:rsidR="00131663" w:rsidRPr="0008522F" w:rsidRDefault="00131663" w:rsidP="0011298C">
            <w:pPr>
              <w:pStyle w:val="TableTextSmall"/>
            </w:pPr>
            <w:r w:rsidRPr="0008522F">
              <w:rPr>
                <w:rFonts w:ascii="Arial" w:hAnsi="Arial"/>
                <w:color w:val="404040"/>
                <w:szCs w:val="16"/>
              </w:rPr>
              <w:t>Total welfare recipient population</w:t>
            </w:r>
          </w:p>
        </w:tc>
        <w:tc>
          <w:tcPr>
            <w:tcW w:w="1191" w:type="dxa"/>
            <w:tcBorders>
              <w:top w:val="single" w:sz="4" w:space="0" w:color="E0301E" w:themeColor="accent6"/>
              <w:left w:val="single" w:sz="8" w:space="0" w:color="E0301E" w:themeColor="accent6"/>
              <w:bottom w:val="single" w:sz="4" w:space="0" w:color="E0301E" w:themeColor="accent6"/>
              <w:right w:val="nil"/>
            </w:tcBorders>
            <w:shd w:val="clear" w:color="auto" w:fill="F3ABA4" w:themeFill="accent6" w:themeFillTint="66"/>
            <w:vAlign w:val="center"/>
            <w:hideMark/>
          </w:tcPr>
          <w:p w14:paraId="54BA110E" w14:textId="77777777" w:rsidR="00131663" w:rsidRPr="00025E3F" w:rsidRDefault="00131663" w:rsidP="0011298C">
            <w:pPr>
              <w:pStyle w:val="TableTextSmall"/>
              <w:ind w:right="317"/>
              <w:jc w:val="right"/>
              <w:cnfStyle w:val="000000000000" w:firstRow="0" w:lastRow="0" w:firstColumn="0" w:lastColumn="0" w:oddVBand="0" w:evenVBand="0" w:oddHBand="0" w:evenHBand="0" w:firstRowFirstColumn="0" w:firstRowLastColumn="0" w:lastRowFirstColumn="0" w:lastRowLastColumn="0"/>
              <w:rPr>
                <w:b/>
              </w:rPr>
            </w:pPr>
            <w:r>
              <w:rPr>
                <w:rFonts w:ascii="Arial" w:hAnsi="Arial"/>
                <w:color w:val="404040"/>
                <w:szCs w:val="16"/>
              </w:rPr>
              <w:t>8,047</w:t>
            </w:r>
          </w:p>
        </w:tc>
        <w:tc>
          <w:tcPr>
            <w:tcW w:w="1191" w:type="dxa"/>
            <w:tcBorders>
              <w:top w:val="single" w:sz="4" w:space="0" w:color="E0301E" w:themeColor="accent6"/>
              <w:left w:val="nil"/>
              <w:bottom w:val="single" w:sz="4" w:space="0" w:color="E0301E" w:themeColor="accent6"/>
              <w:right w:val="single" w:sz="8" w:space="0" w:color="E0301E" w:themeColor="accent6"/>
            </w:tcBorders>
            <w:shd w:val="clear" w:color="auto" w:fill="F3ABA4" w:themeFill="accent6" w:themeFillTint="66"/>
            <w:vAlign w:val="center"/>
          </w:tcPr>
          <w:p w14:paraId="012D28FF"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33.3%</w:t>
            </w:r>
          </w:p>
        </w:tc>
        <w:tc>
          <w:tcPr>
            <w:tcW w:w="1191" w:type="dxa"/>
            <w:tcBorders>
              <w:top w:val="nil"/>
              <w:left w:val="single" w:sz="8" w:space="0" w:color="E0301E" w:themeColor="accent6"/>
              <w:bottom w:val="nil"/>
              <w:right w:val="nil"/>
            </w:tcBorders>
            <w:shd w:val="clear" w:color="auto" w:fill="F3ABA4" w:themeFill="accent6" w:themeFillTint="66"/>
            <w:vAlign w:val="center"/>
            <w:hideMark/>
          </w:tcPr>
          <w:p w14:paraId="3C8A691F"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rPr>
                <w:b/>
              </w:rPr>
            </w:pPr>
            <w:r>
              <w:rPr>
                <w:rFonts w:ascii="Arial" w:hAnsi="Arial"/>
                <w:color w:val="404040"/>
                <w:szCs w:val="16"/>
              </w:rPr>
              <w:t>8,041</w:t>
            </w:r>
          </w:p>
        </w:tc>
        <w:tc>
          <w:tcPr>
            <w:tcW w:w="1191" w:type="dxa"/>
            <w:tcBorders>
              <w:top w:val="single" w:sz="4" w:space="0" w:color="E0301E" w:themeColor="accent6"/>
              <w:left w:val="nil"/>
              <w:bottom w:val="single" w:sz="4" w:space="0" w:color="E0301E" w:themeColor="accent6"/>
              <w:right w:val="single" w:sz="8" w:space="0" w:color="E0301E" w:themeColor="accent6"/>
            </w:tcBorders>
            <w:shd w:val="clear" w:color="auto" w:fill="F3ABA4" w:themeFill="accent6" w:themeFillTint="66"/>
            <w:vAlign w:val="center"/>
          </w:tcPr>
          <w:p w14:paraId="24EFA3BB"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32.6%</w:t>
            </w:r>
          </w:p>
        </w:tc>
        <w:tc>
          <w:tcPr>
            <w:tcW w:w="1191" w:type="dxa"/>
            <w:tcBorders>
              <w:top w:val="nil"/>
              <w:left w:val="single" w:sz="8" w:space="0" w:color="E0301E" w:themeColor="accent6"/>
              <w:bottom w:val="nil"/>
              <w:right w:val="nil"/>
            </w:tcBorders>
            <w:shd w:val="clear" w:color="auto" w:fill="F3ABA4" w:themeFill="accent6" w:themeFillTint="66"/>
            <w:vAlign w:val="center"/>
            <w:hideMark/>
          </w:tcPr>
          <w:p w14:paraId="1868F73B"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rPr>
                <w:b/>
              </w:rPr>
            </w:pPr>
            <w:r>
              <w:rPr>
                <w:rFonts w:ascii="Arial" w:hAnsi="Arial"/>
                <w:color w:val="404040"/>
                <w:szCs w:val="16"/>
              </w:rPr>
              <w:t>-5</w:t>
            </w:r>
          </w:p>
        </w:tc>
      </w:tr>
      <w:tr w:rsidR="00131663" w:rsidRPr="00025E3F" w14:paraId="47693E10" w14:textId="77777777" w:rsidTr="001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tcBorders>
              <w:left w:val="single" w:sz="4" w:space="0" w:color="E0301E" w:themeColor="accent6"/>
              <w:right w:val="single" w:sz="8" w:space="0" w:color="E0301E" w:themeColor="accent6"/>
            </w:tcBorders>
            <w:shd w:val="clear" w:color="auto" w:fill="auto"/>
            <w:vAlign w:val="center"/>
          </w:tcPr>
          <w:p w14:paraId="1815785E" w14:textId="77777777" w:rsidR="00131663" w:rsidRPr="0008522F" w:rsidRDefault="00131663" w:rsidP="0011298C">
            <w:pPr>
              <w:pStyle w:val="TableTextSmall"/>
            </w:pPr>
            <w:r w:rsidRPr="0008522F">
              <w:rPr>
                <w:rFonts w:ascii="Arial" w:hAnsi="Arial"/>
                <w:color w:val="404040"/>
                <w:szCs w:val="16"/>
              </w:rPr>
              <w:t>10 - Previous clients, exited 1-3 years</w:t>
            </w:r>
          </w:p>
        </w:tc>
        <w:tc>
          <w:tcPr>
            <w:tcW w:w="1191" w:type="dxa"/>
            <w:tcBorders>
              <w:left w:val="single" w:sz="8" w:space="0" w:color="E0301E" w:themeColor="accent6"/>
              <w:right w:val="nil"/>
            </w:tcBorders>
            <w:shd w:val="clear" w:color="auto" w:fill="auto"/>
            <w:vAlign w:val="center"/>
          </w:tcPr>
          <w:p w14:paraId="0AB7781B" w14:textId="77777777" w:rsidR="00131663" w:rsidRPr="00025E3F" w:rsidRDefault="00131663" w:rsidP="0011298C">
            <w:pPr>
              <w:pStyle w:val="TableTextSmall"/>
              <w:ind w:right="317"/>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1,419</w:t>
            </w:r>
          </w:p>
        </w:tc>
        <w:tc>
          <w:tcPr>
            <w:tcW w:w="1191" w:type="dxa"/>
            <w:tcBorders>
              <w:left w:val="nil"/>
              <w:right w:val="single" w:sz="8" w:space="0" w:color="E0301E" w:themeColor="accent6"/>
            </w:tcBorders>
            <w:shd w:val="clear" w:color="auto" w:fill="auto"/>
            <w:vAlign w:val="center"/>
          </w:tcPr>
          <w:p w14:paraId="3B876200"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5.9%</w:t>
            </w:r>
          </w:p>
        </w:tc>
        <w:tc>
          <w:tcPr>
            <w:tcW w:w="1191" w:type="dxa"/>
            <w:tcBorders>
              <w:left w:val="single" w:sz="8" w:space="0" w:color="E0301E" w:themeColor="accent6"/>
              <w:right w:val="nil"/>
            </w:tcBorders>
            <w:shd w:val="clear" w:color="auto" w:fill="auto"/>
            <w:vAlign w:val="center"/>
          </w:tcPr>
          <w:p w14:paraId="53C76AB2"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1,538</w:t>
            </w:r>
          </w:p>
        </w:tc>
        <w:tc>
          <w:tcPr>
            <w:tcW w:w="1191" w:type="dxa"/>
            <w:tcBorders>
              <w:left w:val="nil"/>
              <w:right w:val="single" w:sz="8" w:space="0" w:color="E0301E" w:themeColor="accent6"/>
            </w:tcBorders>
            <w:shd w:val="clear" w:color="auto" w:fill="auto"/>
            <w:vAlign w:val="center"/>
          </w:tcPr>
          <w:p w14:paraId="2455208F"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6.2%</w:t>
            </w:r>
          </w:p>
        </w:tc>
        <w:tc>
          <w:tcPr>
            <w:tcW w:w="1191" w:type="dxa"/>
            <w:tcBorders>
              <w:left w:val="single" w:sz="8" w:space="0" w:color="E0301E" w:themeColor="accent6"/>
              <w:right w:val="nil"/>
            </w:tcBorders>
            <w:shd w:val="clear" w:color="auto" w:fill="auto"/>
            <w:vAlign w:val="center"/>
          </w:tcPr>
          <w:p w14:paraId="70CEC505"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120</w:t>
            </w:r>
          </w:p>
        </w:tc>
      </w:tr>
      <w:tr w:rsidR="00131663" w:rsidRPr="00025E3F" w14:paraId="4CBFF894" w14:textId="77777777" w:rsidTr="0011298C">
        <w:tc>
          <w:tcPr>
            <w:cnfStyle w:val="001000000000" w:firstRow="0" w:lastRow="0" w:firstColumn="1" w:lastColumn="0" w:oddVBand="0" w:evenVBand="0" w:oddHBand="0" w:evenHBand="0" w:firstRowFirstColumn="0" w:firstRowLastColumn="0" w:lastRowFirstColumn="0" w:lastRowLastColumn="0"/>
            <w:tcW w:w="3458" w:type="dxa"/>
            <w:tcBorders>
              <w:top w:val="nil"/>
              <w:left w:val="single" w:sz="4" w:space="0" w:color="E0301E" w:themeColor="accent6"/>
              <w:bottom w:val="single" w:sz="4" w:space="0" w:color="E0301E" w:themeColor="accent6"/>
              <w:right w:val="single" w:sz="8" w:space="0" w:color="E0301E" w:themeColor="accent6"/>
            </w:tcBorders>
            <w:shd w:val="clear" w:color="auto" w:fill="auto"/>
            <w:vAlign w:val="center"/>
          </w:tcPr>
          <w:p w14:paraId="2B7EBF5C" w14:textId="77777777" w:rsidR="00131663" w:rsidRPr="0008522F" w:rsidRDefault="00131663" w:rsidP="0011298C">
            <w:pPr>
              <w:pStyle w:val="TableTextSmall"/>
            </w:pPr>
            <w:r w:rsidRPr="0008522F">
              <w:rPr>
                <w:rFonts w:ascii="Arial" w:hAnsi="Arial"/>
                <w:color w:val="404040"/>
                <w:szCs w:val="16"/>
              </w:rPr>
              <w:t>10 - Previous clients, exited 4+ years</w:t>
            </w:r>
          </w:p>
        </w:tc>
        <w:tc>
          <w:tcPr>
            <w:tcW w:w="1191" w:type="dxa"/>
            <w:tcBorders>
              <w:top w:val="single" w:sz="4" w:space="0" w:color="E0301E" w:themeColor="accent6"/>
              <w:left w:val="single" w:sz="8" w:space="0" w:color="E0301E" w:themeColor="accent6"/>
              <w:bottom w:val="single" w:sz="4" w:space="0" w:color="E0301E" w:themeColor="accent6"/>
              <w:right w:val="nil"/>
            </w:tcBorders>
            <w:shd w:val="clear" w:color="auto" w:fill="auto"/>
            <w:vAlign w:val="center"/>
          </w:tcPr>
          <w:p w14:paraId="387FF434" w14:textId="77777777" w:rsidR="00131663" w:rsidRPr="00025E3F" w:rsidRDefault="00131663" w:rsidP="0011298C">
            <w:pPr>
              <w:pStyle w:val="TableTextSmall"/>
              <w:ind w:right="317"/>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2,768</w:t>
            </w:r>
          </w:p>
        </w:tc>
        <w:tc>
          <w:tcPr>
            <w:tcW w:w="1191" w:type="dxa"/>
            <w:tcBorders>
              <w:top w:val="single" w:sz="4" w:space="0" w:color="E0301E" w:themeColor="accent6"/>
              <w:left w:val="nil"/>
              <w:bottom w:val="single" w:sz="4" w:space="0" w:color="E0301E" w:themeColor="accent6"/>
              <w:right w:val="single" w:sz="8" w:space="0" w:color="E0301E" w:themeColor="accent6"/>
            </w:tcBorders>
            <w:shd w:val="clear" w:color="auto" w:fill="auto"/>
            <w:vAlign w:val="center"/>
          </w:tcPr>
          <w:p w14:paraId="1FC8492E"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11.5%</w:t>
            </w:r>
          </w:p>
        </w:tc>
        <w:tc>
          <w:tcPr>
            <w:tcW w:w="1191" w:type="dxa"/>
            <w:tcBorders>
              <w:top w:val="nil"/>
              <w:left w:val="single" w:sz="8" w:space="0" w:color="E0301E" w:themeColor="accent6"/>
              <w:bottom w:val="single" w:sz="4" w:space="0" w:color="E0301E" w:themeColor="accent6"/>
              <w:right w:val="nil"/>
            </w:tcBorders>
            <w:shd w:val="clear" w:color="auto" w:fill="auto"/>
            <w:vAlign w:val="center"/>
          </w:tcPr>
          <w:p w14:paraId="61AC3ED4"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2,951</w:t>
            </w:r>
          </w:p>
        </w:tc>
        <w:tc>
          <w:tcPr>
            <w:tcW w:w="1191" w:type="dxa"/>
            <w:tcBorders>
              <w:top w:val="single" w:sz="4" w:space="0" w:color="E0301E" w:themeColor="accent6"/>
              <w:left w:val="nil"/>
              <w:bottom w:val="single" w:sz="4" w:space="0" w:color="E0301E" w:themeColor="accent6"/>
              <w:right w:val="single" w:sz="8" w:space="0" w:color="E0301E" w:themeColor="accent6"/>
            </w:tcBorders>
            <w:shd w:val="clear" w:color="auto" w:fill="auto"/>
            <w:vAlign w:val="center"/>
          </w:tcPr>
          <w:p w14:paraId="27F3320B"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12.0%</w:t>
            </w:r>
          </w:p>
        </w:tc>
        <w:tc>
          <w:tcPr>
            <w:tcW w:w="1191" w:type="dxa"/>
            <w:tcBorders>
              <w:top w:val="nil"/>
              <w:left w:val="single" w:sz="8" w:space="0" w:color="E0301E" w:themeColor="accent6"/>
              <w:bottom w:val="single" w:sz="4" w:space="0" w:color="E0301E" w:themeColor="accent6"/>
              <w:right w:val="nil"/>
            </w:tcBorders>
            <w:shd w:val="clear" w:color="auto" w:fill="auto"/>
            <w:vAlign w:val="center"/>
          </w:tcPr>
          <w:p w14:paraId="37D3A078"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184</w:t>
            </w:r>
          </w:p>
        </w:tc>
      </w:tr>
      <w:tr w:rsidR="00131663" w:rsidRPr="00025E3F" w14:paraId="381FC6A7" w14:textId="77777777" w:rsidTr="001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tcBorders>
              <w:top w:val="nil"/>
              <w:left w:val="single" w:sz="4" w:space="0" w:color="E0301E" w:themeColor="accent6"/>
              <w:right w:val="single" w:sz="8" w:space="0" w:color="E0301E" w:themeColor="accent6"/>
            </w:tcBorders>
            <w:shd w:val="clear" w:color="auto" w:fill="F3ABA4" w:themeFill="accent6" w:themeFillTint="66"/>
            <w:vAlign w:val="center"/>
          </w:tcPr>
          <w:p w14:paraId="7BB02F90" w14:textId="77777777" w:rsidR="00131663" w:rsidRPr="0008522F" w:rsidRDefault="00131663" w:rsidP="0011298C">
            <w:pPr>
              <w:pStyle w:val="TableTextSmall"/>
            </w:pPr>
            <w:r w:rsidRPr="0008522F">
              <w:rPr>
                <w:rFonts w:ascii="Arial" w:hAnsi="Arial"/>
                <w:color w:val="404040"/>
                <w:szCs w:val="16"/>
              </w:rPr>
              <w:t>Total previous client population</w:t>
            </w:r>
          </w:p>
        </w:tc>
        <w:tc>
          <w:tcPr>
            <w:tcW w:w="1191" w:type="dxa"/>
            <w:tcBorders>
              <w:left w:val="single" w:sz="8" w:space="0" w:color="E0301E" w:themeColor="accent6"/>
              <w:right w:val="nil"/>
            </w:tcBorders>
            <w:shd w:val="clear" w:color="auto" w:fill="F3ABA4" w:themeFill="accent6" w:themeFillTint="66"/>
            <w:vAlign w:val="center"/>
          </w:tcPr>
          <w:p w14:paraId="311D936F" w14:textId="77777777" w:rsidR="00131663" w:rsidRPr="00025E3F" w:rsidRDefault="00131663" w:rsidP="0011298C">
            <w:pPr>
              <w:pStyle w:val="TableTextSmall"/>
              <w:ind w:right="317"/>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4,187</w:t>
            </w:r>
          </w:p>
        </w:tc>
        <w:tc>
          <w:tcPr>
            <w:tcW w:w="1191" w:type="dxa"/>
            <w:tcBorders>
              <w:left w:val="nil"/>
              <w:right w:val="single" w:sz="8" w:space="0" w:color="E0301E" w:themeColor="accent6"/>
            </w:tcBorders>
            <w:shd w:val="clear" w:color="auto" w:fill="F3ABA4" w:themeFill="accent6" w:themeFillTint="66"/>
            <w:vAlign w:val="center"/>
          </w:tcPr>
          <w:p w14:paraId="56ADE75C"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17.3%</w:t>
            </w:r>
          </w:p>
        </w:tc>
        <w:tc>
          <w:tcPr>
            <w:tcW w:w="1191" w:type="dxa"/>
            <w:tcBorders>
              <w:top w:val="nil"/>
              <w:left w:val="single" w:sz="8" w:space="0" w:color="E0301E" w:themeColor="accent6"/>
              <w:right w:val="nil"/>
            </w:tcBorders>
            <w:shd w:val="clear" w:color="auto" w:fill="F3ABA4" w:themeFill="accent6" w:themeFillTint="66"/>
            <w:vAlign w:val="center"/>
          </w:tcPr>
          <w:p w14:paraId="68918CAF"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4,490</w:t>
            </w:r>
          </w:p>
        </w:tc>
        <w:tc>
          <w:tcPr>
            <w:tcW w:w="1191" w:type="dxa"/>
            <w:tcBorders>
              <w:left w:val="nil"/>
              <w:right w:val="single" w:sz="8" w:space="0" w:color="E0301E" w:themeColor="accent6"/>
            </w:tcBorders>
            <w:shd w:val="clear" w:color="auto" w:fill="F3ABA4" w:themeFill="accent6" w:themeFillTint="66"/>
            <w:vAlign w:val="center"/>
          </w:tcPr>
          <w:p w14:paraId="32CF14BB"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18.2%</w:t>
            </w:r>
          </w:p>
        </w:tc>
        <w:tc>
          <w:tcPr>
            <w:tcW w:w="1191" w:type="dxa"/>
            <w:tcBorders>
              <w:top w:val="nil"/>
              <w:left w:val="single" w:sz="8" w:space="0" w:color="E0301E" w:themeColor="accent6"/>
              <w:right w:val="nil"/>
            </w:tcBorders>
            <w:shd w:val="clear" w:color="auto" w:fill="F3ABA4" w:themeFill="accent6" w:themeFillTint="66"/>
            <w:vAlign w:val="center"/>
          </w:tcPr>
          <w:p w14:paraId="4D5B06C6"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303</w:t>
            </w:r>
          </w:p>
        </w:tc>
      </w:tr>
      <w:tr w:rsidR="00131663" w:rsidRPr="00025E3F" w14:paraId="0FF1F031" w14:textId="77777777" w:rsidTr="0011298C">
        <w:tc>
          <w:tcPr>
            <w:cnfStyle w:val="001000000000" w:firstRow="0" w:lastRow="0" w:firstColumn="1" w:lastColumn="0" w:oddVBand="0" w:evenVBand="0" w:oddHBand="0" w:evenHBand="0" w:firstRowFirstColumn="0" w:firstRowLastColumn="0" w:lastRowFirstColumn="0" w:lastRowLastColumn="0"/>
            <w:tcW w:w="3458" w:type="dxa"/>
            <w:tcBorders>
              <w:top w:val="nil"/>
              <w:left w:val="single" w:sz="4" w:space="0" w:color="E0301E" w:themeColor="accent6"/>
              <w:bottom w:val="single" w:sz="4" w:space="0" w:color="E0301E" w:themeColor="accent6"/>
              <w:right w:val="single" w:sz="8" w:space="0" w:color="E0301E" w:themeColor="accent6"/>
            </w:tcBorders>
            <w:shd w:val="clear" w:color="auto" w:fill="auto"/>
            <w:vAlign w:val="center"/>
          </w:tcPr>
          <w:p w14:paraId="3614BDA6" w14:textId="77777777" w:rsidR="00131663" w:rsidRPr="0008522F" w:rsidRDefault="00131663" w:rsidP="0011298C">
            <w:pPr>
              <w:pStyle w:val="TableTextSmall"/>
            </w:pPr>
            <w:r w:rsidRPr="0008522F">
              <w:rPr>
                <w:rFonts w:ascii="Arial" w:hAnsi="Arial"/>
                <w:color w:val="404040"/>
                <w:szCs w:val="16"/>
              </w:rPr>
              <w:t>12 - Rest of Australian resident population</w:t>
            </w:r>
          </w:p>
        </w:tc>
        <w:tc>
          <w:tcPr>
            <w:tcW w:w="1191" w:type="dxa"/>
            <w:tcBorders>
              <w:top w:val="single" w:sz="4" w:space="0" w:color="E0301E" w:themeColor="accent6"/>
              <w:left w:val="single" w:sz="8" w:space="0" w:color="E0301E" w:themeColor="accent6"/>
              <w:bottom w:val="single" w:sz="4" w:space="0" w:color="E0301E" w:themeColor="accent6"/>
              <w:right w:val="nil"/>
            </w:tcBorders>
            <w:shd w:val="clear" w:color="auto" w:fill="auto"/>
            <w:vAlign w:val="center"/>
          </w:tcPr>
          <w:p w14:paraId="54BC5FFF" w14:textId="77777777" w:rsidR="00131663" w:rsidRPr="00025E3F" w:rsidRDefault="00131663" w:rsidP="0011298C">
            <w:pPr>
              <w:pStyle w:val="TableTextSmall"/>
              <w:ind w:right="317"/>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11,929</w:t>
            </w:r>
          </w:p>
        </w:tc>
        <w:tc>
          <w:tcPr>
            <w:tcW w:w="1191" w:type="dxa"/>
            <w:tcBorders>
              <w:top w:val="single" w:sz="4" w:space="0" w:color="E0301E" w:themeColor="accent6"/>
              <w:left w:val="nil"/>
              <w:bottom w:val="single" w:sz="4" w:space="0" w:color="E0301E" w:themeColor="accent6"/>
              <w:right w:val="single" w:sz="8" w:space="0" w:color="E0301E" w:themeColor="accent6"/>
            </w:tcBorders>
            <w:shd w:val="clear" w:color="auto" w:fill="auto"/>
            <w:vAlign w:val="center"/>
          </w:tcPr>
          <w:p w14:paraId="59BB998B"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49.4%</w:t>
            </w:r>
          </w:p>
        </w:tc>
        <w:tc>
          <w:tcPr>
            <w:tcW w:w="1191" w:type="dxa"/>
            <w:tcBorders>
              <w:top w:val="nil"/>
              <w:left w:val="single" w:sz="8" w:space="0" w:color="E0301E" w:themeColor="accent6"/>
              <w:bottom w:val="single" w:sz="4" w:space="0" w:color="E0301E" w:themeColor="accent6"/>
              <w:right w:val="nil"/>
            </w:tcBorders>
            <w:shd w:val="clear" w:color="auto" w:fill="auto"/>
            <w:vAlign w:val="center"/>
          </w:tcPr>
          <w:p w14:paraId="0CFE5685" w14:textId="77777777" w:rsidR="00131663" w:rsidRPr="00025E3F" w:rsidRDefault="00131663" w:rsidP="0011298C">
            <w:pPr>
              <w:pStyle w:val="TableTextSmall"/>
              <w:ind w:right="298"/>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12,122</w:t>
            </w:r>
          </w:p>
        </w:tc>
        <w:tc>
          <w:tcPr>
            <w:tcW w:w="1191" w:type="dxa"/>
            <w:tcBorders>
              <w:top w:val="single" w:sz="4" w:space="0" w:color="E0301E" w:themeColor="accent6"/>
              <w:left w:val="nil"/>
              <w:bottom w:val="single" w:sz="4" w:space="0" w:color="E0301E" w:themeColor="accent6"/>
              <w:right w:val="single" w:sz="8" w:space="0" w:color="E0301E" w:themeColor="accent6"/>
            </w:tcBorders>
            <w:shd w:val="clear" w:color="auto" w:fill="auto"/>
            <w:vAlign w:val="center"/>
          </w:tcPr>
          <w:p w14:paraId="1449EACF"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49.2%</w:t>
            </w:r>
          </w:p>
        </w:tc>
        <w:tc>
          <w:tcPr>
            <w:tcW w:w="1191" w:type="dxa"/>
            <w:tcBorders>
              <w:top w:val="nil"/>
              <w:left w:val="single" w:sz="8" w:space="0" w:color="E0301E" w:themeColor="accent6"/>
              <w:bottom w:val="single" w:sz="4" w:space="0" w:color="E0301E" w:themeColor="accent6"/>
              <w:right w:val="nil"/>
            </w:tcBorders>
            <w:shd w:val="clear" w:color="auto" w:fill="auto"/>
            <w:vAlign w:val="center"/>
          </w:tcPr>
          <w:p w14:paraId="72C1CD67" w14:textId="77777777" w:rsidR="00131663" w:rsidRPr="00025E3F" w:rsidRDefault="00131663" w:rsidP="0011298C">
            <w:pPr>
              <w:pStyle w:val="TableTextSmall"/>
              <w:ind w:right="343"/>
              <w:jc w:val="right"/>
              <w:cnfStyle w:val="000000000000" w:firstRow="0" w:lastRow="0" w:firstColumn="0" w:lastColumn="0" w:oddVBand="0" w:evenVBand="0" w:oddHBand="0" w:evenHBand="0" w:firstRowFirstColumn="0" w:firstRowLastColumn="0" w:lastRowFirstColumn="0" w:lastRowLastColumn="0"/>
              <w:rPr>
                <w:rFonts w:ascii="Arial" w:hAnsi="Arial"/>
                <w:color w:val="404040"/>
                <w:szCs w:val="16"/>
              </w:rPr>
            </w:pPr>
            <w:r>
              <w:rPr>
                <w:rFonts w:ascii="Arial" w:hAnsi="Arial"/>
                <w:color w:val="404040"/>
                <w:szCs w:val="16"/>
              </w:rPr>
              <w:t>193</w:t>
            </w:r>
          </w:p>
        </w:tc>
      </w:tr>
      <w:tr w:rsidR="00131663" w:rsidRPr="009210D0" w14:paraId="33408CAF" w14:textId="77777777" w:rsidTr="00112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8" w:type="dxa"/>
            <w:tcBorders>
              <w:top w:val="nil"/>
              <w:left w:val="single" w:sz="4" w:space="0" w:color="E0301E" w:themeColor="accent6"/>
              <w:right w:val="single" w:sz="8" w:space="0" w:color="E0301E" w:themeColor="accent6"/>
            </w:tcBorders>
            <w:shd w:val="clear" w:color="auto" w:fill="F3ABA4" w:themeFill="accent6" w:themeFillTint="66"/>
            <w:vAlign w:val="center"/>
          </w:tcPr>
          <w:p w14:paraId="4F98405F" w14:textId="77777777" w:rsidR="00131663" w:rsidRPr="0008522F" w:rsidRDefault="00131663" w:rsidP="0011298C">
            <w:pPr>
              <w:pStyle w:val="TableTextSmall"/>
            </w:pPr>
            <w:r w:rsidRPr="0008522F">
              <w:rPr>
                <w:rFonts w:ascii="Arial" w:hAnsi="Arial"/>
                <w:color w:val="404040"/>
                <w:szCs w:val="16"/>
              </w:rPr>
              <w:t xml:space="preserve">Total </w:t>
            </w:r>
            <w:r>
              <w:rPr>
                <w:rFonts w:ascii="Arial" w:hAnsi="Arial"/>
                <w:color w:val="404040"/>
                <w:szCs w:val="16"/>
              </w:rPr>
              <w:t>Australian model</w:t>
            </w:r>
            <w:r w:rsidRPr="0008522F">
              <w:rPr>
                <w:rFonts w:ascii="Arial" w:hAnsi="Arial"/>
                <w:color w:val="404040"/>
                <w:szCs w:val="16"/>
              </w:rPr>
              <w:t xml:space="preserve"> population</w:t>
            </w:r>
          </w:p>
        </w:tc>
        <w:tc>
          <w:tcPr>
            <w:tcW w:w="1191" w:type="dxa"/>
            <w:tcBorders>
              <w:left w:val="single" w:sz="8" w:space="0" w:color="E0301E" w:themeColor="accent6"/>
              <w:right w:val="nil"/>
            </w:tcBorders>
            <w:shd w:val="clear" w:color="auto" w:fill="F3ABA4" w:themeFill="accent6" w:themeFillTint="66"/>
            <w:vAlign w:val="center"/>
          </w:tcPr>
          <w:p w14:paraId="1EEA5BAC" w14:textId="77777777" w:rsidR="00131663" w:rsidRPr="00025E3F" w:rsidRDefault="00131663" w:rsidP="0011298C">
            <w:pPr>
              <w:pStyle w:val="TableTextSmall"/>
              <w:ind w:right="317"/>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24,163</w:t>
            </w:r>
          </w:p>
        </w:tc>
        <w:tc>
          <w:tcPr>
            <w:tcW w:w="1191" w:type="dxa"/>
            <w:tcBorders>
              <w:left w:val="nil"/>
              <w:right w:val="single" w:sz="8" w:space="0" w:color="E0301E" w:themeColor="accent6"/>
            </w:tcBorders>
            <w:shd w:val="clear" w:color="auto" w:fill="F3ABA4" w:themeFill="accent6" w:themeFillTint="66"/>
            <w:vAlign w:val="center"/>
          </w:tcPr>
          <w:p w14:paraId="1FCBA330"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100.0%</w:t>
            </w:r>
          </w:p>
        </w:tc>
        <w:tc>
          <w:tcPr>
            <w:tcW w:w="1191" w:type="dxa"/>
            <w:tcBorders>
              <w:top w:val="nil"/>
              <w:left w:val="single" w:sz="8" w:space="0" w:color="E0301E" w:themeColor="accent6"/>
              <w:right w:val="nil"/>
            </w:tcBorders>
            <w:shd w:val="clear" w:color="auto" w:fill="F3ABA4" w:themeFill="accent6" w:themeFillTint="66"/>
            <w:vAlign w:val="center"/>
          </w:tcPr>
          <w:p w14:paraId="624029C6" w14:textId="77777777" w:rsidR="00131663" w:rsidRPr="00025E3F" w:rsidRDefault="00131663" w:rsidP="0011298C">
            <w:pPr>
              <w:pStyle w:val="TableTextSmall"/>
              <w:ind w:right="298"/>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24,654</w:t>
            </w:r>
          </w:p>
        </w:tc>
        <w:tc>
          <w:tcPr>
            <w:tcW w:w="1191" w:type="dxa"/>
            <w:tcBorders>
              <w:left w:val="nil"/>
              <w:right w:val="single" w:sz="8" w:space="0" w:color="E0301E" w:themeColor="accent6"/>
            </w:tcBorders>
            <w:shd w:val="clear" w:color="auto" w:fill="F3ABA4" w:themeFill="accent6" w:themeFillTint="66"/>
            <w:vAlign w:val="center"/>
          </w:tcPr>
          <w:p w14:paraId="528F79C1"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100.0%</w:t>
            </w:r>
          </w:p>
        </w:tc>
        <w:tc>
          <w:tcPr>
            <w:tcW w:w="1191" w:type="dxa"/>
            <w:tcBorders>
              <w:top w:val="nil"/>
              <w:left w:val="single" w:sz="8" w:space="0" w:color="E0301E" w:themeColor="accent6"/>
              <w:right w:val="nil"/>
            </w:tcBorders>
            <w:shd w:val="clear" w:color="auto" w:fill="F3ABA4" w:themeFill="accent6" w:themeFillTint="66"/>
            <w:vAlign w:val="center"/>
          </w:tcPr>
          <w:p w14:paraId="653EBF5F" w14:textId="77777777" w:rsidR="00131663" w:rsidRPr="00025E3F" w:rsidRDefault="00131663" w:rsidP="0011298C">
            <w:pPr>
              <w:pStyle w:val="TableTextSmall"/>
              <w:ind w:right="343"/>
              <w:jc w:val="right"/>
              <w:cnfStyle w:val="000000100000" w:firstRow="0" w:lastRow="0" w:firstColumn="0" w:lastColumn="0" w:oddVBand="0" w:evenVBand="0" w:oddHBand="1" w:evenHBand="0" w:firstRowFirstColumn="0" w:firstRowLastColumn="0" w:lastRowFirstColumn="0" w:lastRowLastColumn="0"/>
              <w:rPr>
                <w:rFonts w:ascii="Arial" w:hAnsi="Arial"/>
                <w:color w:val="404040"/>
                <w:szCs w:val="16"/>
              </w:rPr>
            </w:pPr>
            <w:r>
              <w:rPr>
                <w:rFonts w:ascii="Arial" w:hAnsi="Arial"/>
                <w:color w:val="404040"/>
                <w:szCs w:val="16"/>
              </w:rPr>
              <w:t>491</w:t>
            </w:r>
          </w:p>
        </w:tc>
      </w:tr>
    </w:tbl>
    <w:p w14:paraId="4E61E200" w14:textId="7C6A77EE" w:rsidR="00131663" w:rsidRPr="003E5127" w:rsidRDefault="00131663" w:rsidP="00131663">
      <w:pPr>
        <w:pStyle w:val="PwCNormal"/>
        <w:numPr>
          <w:ilvl w:val="0"/>
          <w:numId w:val="0"/>
        </w:numPr>
      </w:pPr>
      <w:r w:rsidRPr="003E5127">
        <w:t>These changes</w:t>
      </w:r>
      <w:r w:rsidR="0069546C">
        <w:t xml:space="preserve"> in class population</w:t>
      </w:r>
      <w:r w:rsidRPr="003E5127">
        <w:t xml:space="preserve"> reflect changes to both the underlying population size and demographics, as well as to the welfare system utilisation. The main drivers of the changing numbers for the income support classes are as follows:</w:t>
      </w:r>
    </w:p>
    <w:p w14:paraId="1C27FE55" w14:textId="2A394199" w:rsidR="00131663" w:rsidRPr="002C43F1" w:rsidRDefault="00131663" w:rsidP="002757B8">
      <w:pPr>
        <w:pStyle w:val="ListBullet"/>
      </w:pPr>
      <w:r w:rsidRPr="002C43F1">
        <w:rPr>
          <w:rStyle w:val="Emphasis"/>
          <w:bCs/>
          <w:i w:val="0"/>
          <w:color w:val="E0301E"/>
        </w:rPr>
        <w:lastRenderedPageBreak/>
        <w:t>Studying payment recipients:</w:t>
      </w:r>
      <w:r w:rsidRPr="002C43F1">
        <w:rPr>
          <w:color w:val="E03028"/>
        </w:rPr>
        <w:t xml:space="preserve"> </w:t>
      </w:r>
      <w:r w:rsidRPr="002C43F1">
        <w:t xml:space="preserve">the number of people in </w:t>
      </w:r>
      <w:r>
        <w:t xml:space="preserve">this class reduced over the last year by 19,000 people. The majority of transitions out of this class were to the previous clients and </w:t>
      </w:r>
      <w:r w:rsidR="003C32DF">
        <w:t>Working Age class</w:t>
      </w:r>
      <w:r>
        <w:t>es.</w:t>
      </w:r>
    </w:p>
    <w:p w14:paraId="4554BEAC" w14:textId="28D3799C" w:rsidR="00131663" w:rsidRPr="00776788" w:rsidRDefault="00131663" w:rsidP="002757B8">
      <w:pPr>
        <w:pStyle w:val="ListBullet"/>
      </w:pPr>
      <w:r w:rsidRPr="00776788">
        <w:rPr>
          <w:color w:val="E0301E"/>
        </w:rPr>
        <w:t xml:space="preserve">Working </w:t>
      </w:r>
      <w:r w:rsidR="0049533C">
        <w:rPr>
          <w:color w:val="E0301E"/>
        </w:rPr>
        <w:t>A</w:t>
      </w:r>
      <w:r w:rsidRPr="00776788">
        <w:rPr>
          <w:color w:val="E0301E"/>
        </w:rPr>
        <w:t xml:space="preserve">ge payment recipients: </w:t>
      </w:r>
      <w:r w:rsidRPr="00776788">
        <w:t>the number of people in this class reduced</w:t>
      </w:r>
      <w:r>
        <w:t xml:space="preserve"> by 16,000 people over the last year and now represents 5.3% of the total population (down from 5.5% at June 2016). This is reflective of the decreasing entries into the class noted earlier in this section.</w:t>
      </w:r>
    </w:p>
    <w:p w14:paraId="5F23A460" w14:textId="77777777" w:rsidR="00131663" w:rsidRPr="002C43F1" w:rsidRDefault="00131663" w:rsidP="00131663">
      <w:pPr>
        <w:pStyle w:val="ListContinue"/>
      </w:pPr>
      <w:r w:rsidRPr="002C43F1">
        <w:t>It is also worth noting that people in this class are quite mobile with around a quarter of people in the class being expected to exit each year and a similarly substantial number of new entrants. The effect of small changes to the entrant and exit experience can have a significant effect on class numbers and we would expect this to be the main driver of the numbers of people in this class (rather than movements to and from other active classes). This is also likely to be one of the elements of the experience that changes most from year to year as a result of external environmental factors.</w:t>
      </w:r>
    </w:p>
    <w:p w14:paraId="7565D32F" w14:textId="71965BBA" w:rsidR="00131663" w:rsidRPr="00DD21A8" w:rsidRDefault="00131663" w:rsidP="002757B8">
      <w:pPr>
        <w:pStyle w:val="ListBullet"/>
      </w:pPr>
      <w:r w:rsidRPr="00DD21A8">
        <w:rPr>
          <w:color w:val="E0301E"/>
        </w:rPr>
        <w:t>Parenting payment recipients:</w:t>
      </w:r>
      <w:r w:rsidRPr="00DD21A8">
        <w:rPr>
          <w:color w:val="E03028"/>
        </w:rPr>
        <w:t xml:space="preserve"> </w:t>
      </w:r>
      <w:r w:rsidRPr="00DD21A8">
        <w:t xml:space="preserve">the number of </w:t>
      </w:r>
      <w:r w:rsidR="0070204F">
        <w:t>P</w:t>
      </w:r>
      <w:r w:rsidRPr="00DD21A8">
        <w:t xml:space="preserve">arenting payment recipients has reduced </w:t>
      </w:r>
      <w:r>
        <w:t xml:space="preserve">marginally by 4,000 people </w:t>
      </w:r>
      <w:r w:rsidRPr="00DD21A8">
        <w:t xml:space="preserve">since last year. </w:t>
      </w:r>
    </w:p>
    <w:p w14:paraId="5E63A9E2" w14:textId="3049E3E9" w:rsidR="00131663" w:rsidRPr="008B47D6" w:rsidRDefault="00131663" w:rsidP="002757B8">
      <w:pPr>
        <w:pStyle w:val="ListBullet"/>
      </w:pPr>
      <w:r w:rsidRPr="008B47D6">
        <w:rPr>
          <w:color w:val="E0301E"/>
        </w:rPr>
        <w:t>Carer payment recipients:</w:t>
      </w:r>
      <w:r w:rsidRPr="008B47D6">
        <w:rPr>
          <w:color w:val="E03028"/>
        </w:rPr>
        <w:t xml:space="preserve"> </w:t>
      </w:r>
      <w:r w:rsidRPr="008B47D6">
        <w:t xml:space="preserve">whilst this remains one of the smaller classes, the number of </w:t>
      </w:r>
      <w:r w:rsidR="00346132">
        <w:t>C</w:t>
      </w:r>
      <w:r w:rsidRPr="008B47D6">
        <w:t xml:space="preserve">arer payment recipients has </w:t>
      </w:r>
      <w:r>
        <w:t>continued to grow and there are 6,000 more people in this class than at June 2016.</w:t>
      </w:r>
    </w:p>
    <w:p w14:paraId="05A86AFA" w14:textId="5098523D" w:rsidR="00C62854" w:rsidRPr="00B76461" w:rsidRDefault="00C62854" w:rsidP="00C62854">
      <w:pPr>
        <w:pStyle w:val="ListBullet"/>
      </w:pPr>
      <w:r w:rsidRPr="00B76461">
        <w:rPr>
          <w:color w:val="E0301E"/>
        </w:rPr>
        <w:t>Disability Support Pension recipients:</w:t>
      </w:r>
      <w:r w:rsidRPr="00B76461">
        <w:rPr>
          <w:color w:val="EB8C00" w:themeColor="accent1"/>
        </w:rPr>
        <w:t xml:space="preserve"> </w:t>
      </w:r>
      <w:r w:rsidRPr="00B76461">
        <w:t>the number of people in this class has reduced</w:t>
      </w:r>
      <w:r>
        <w:t xml:space="preserve"> by 22,000 since June</w:t>
      </w:r>
      <w:r w:rsidR="0069546C">
        <w:t> </w:t>
      </w:r>
      <w:r>
        <w:t>2016,</w:t>
      </w:r>
      <w:r w:rsidRPr="00B76461">
        <w:t xml:space="preserve"> with the numbers of people exiting exceeding the new entrants</w:t>
      </w:r>
      <w:r>
        <w:t>. Exits from this class are mainly due to</w:t>
      </w:r>
      <w:r w:rsidRPr="00B76461">
        <w:t xml:space="preserve"> movements into the pension age class</w:t>
      </w:r>
      <w:r>
        <w:t xml:space="preserve"> and due to death</w:t>
      </w:r>
      <w:r w:rsidR="0069546C">
        <w:t>,</w:t>
      </w:r>
      <w:r>
        <w:t xml:space="preserve"> and have been relatively stable over time and reflective of the age profile of the class</w:t>
      </w:r>
      <w:r w:rsidRPr="00B76461">
        <w:t xml:space="preserve">. </w:t>
      </w:r>
      <w:r>
        <w:t>As noted previously, the n</w:t>
      </w:r>
      <w:r w:rsidRPr="00B76461">
        <w:t xml:space="preserve">ew entrant numbers </w:t>
      </w:r>
      <w:r>
        <w:t>into this class have been decreasing and this</w:t>
      </w:r>
      <w:r w:rsidRPr="00B76461">
        <w:t xml:space="preserve"> is likely to be </w:t>
      </w:r>
      <w:r>
        <w:t xml:space="preserve">in part due to </w:t>
      </w:r>
      <w:r w:rsidRPr="00B76461">
        <w:t xml:space="preserve">the tightened eligibility assessment process. </w:t>
      </w:r>
    </w:p>
    <w:p w14:paraId="291CBE6E" w14:textId="5D008C3F" w:rsidR="00C62854" w:rsidRDefault="00737F1C" w:rsidP="00C62854">
      <w:pPr>
        <w:pStyle w:val="ListBullet"/>
      </w:pPr>
      <w:r>
        <w:rPr>
          <w:color w:val="E0301E"/>
        </w:rPr>
        <w:t>Age</w:t>
      </w:r>
      <w:r w:rsidR="00C62854" w:rsidRPr="00B76461">
        <w:rPr>
          <w:color w:val="E0301E"/>
        </w:rPr>
        <w:t xml:space="preserve"> Pension recipients:</w:t>
      </w:r>
      <w:r w:rsidR="00C62854" w:rsidRPr="00B76461">
        <w:rPr>
          <w:color w:val="E03028"/>
        </w:rPr>
        <w:t xml:space="preserve"> </w:t>
      </w:r>
      <w:r w:rsidR="00C62854" w:rsidRPr="00B76461">
        <w:t>the</w:t>
      </w:r>
      <w:r>
        <w:t xml:space="preserve"> number of age</w:t>
      </w:r>
      <w:r w:rsidR="00C62854" w:rsidRPr="00B76461">
        <w:t xml:space="preserve"> </w:t>
      </w:r>
      <w:r w:rsidR="00C62854" w:rsidRPr="003E4E38">
        <w:t xml:space="preserve">pensioners has continued to increase, with a key driver of this being the increasing population of people above age 65 as a result of general population growth and the long term trend of increasing longevity. This factor outweighed the decrease in entries into age pension discussed previously, in terms of the impact on the number of recipients. However we note that the </w:t>
      </w:r>
      <w:r w:rsidR="006D014F" w:rsidRPr="003E4E38">
        <w:t>A</w:t>
      </w:r>
      <w:r w:rsidR="00C62854" w:rsidRPr="003E4E38">
        <w:t xml:space="preserve">ge </w:t>
      </w:r>
      <w:r w:rsidR="006D014F" w:rsidRPr="003E4E38">
        <w:t>P</w:t>
      </w:r>
      <w:r w:rsidR="00C62854" w:rsidRPr="003E4E38">
        <w:t>ension class as a proportion of the population has decreased slightly from 10.6% to 10.5%</w:t>
      </w:r>
      <w:r w:rsidR="00486B5F" w:rsidRPr="003E4E38">
        <w:t>, and as a proportion of those aged 65 and over, dropped from 67.1% to 66.7%.</w:t>
      </w:r>
    </w:p>
    <w:p w14:paraId="52CF822B" w14:textId="53ED1715" w:rsidR="00131663" w:rsidRPr="00BF443B" w:rsidRDefault="00C62854" w:rsidP="00C62854">
      <w:pPr>
        <w:pStyle w:val="ListBullet"/>
      </w:pPr>
      <w:r>
        <w:rPr>
          <w:color w:val="E0301E"/>
        </w:rPr>
        <w:t>Non Income</w:t>
      </w:r>
      <w:r w:rsidR="0049533C">
        <w:rPr>
          <w:color w:val="E0301E"/>
        </w:rPr>
        <w:t xml:space="preserve"> S</w:t>
      </w:r>
      <w:r>
        <w:rPr>
          <w:color w:val="E0301E"/>
        </w:rPr>
        <w:t>upport</w:t>
      </w:r>
      <w:r w:rsidRPr="00B76461">
        <w:rPr>
          <w:color w:val="E0301E"/>
        </w:rPr>
        <w:t xml:space="preserve"> recipients:</w:t>
      </w:r>
      <w:r w:rsidRPr="00B76461">
        <w:rPr>
          <w:color w:val="E03028"/>
        </w:rPr>
        <w:t xml:space="preserve"> </w:t>
      </w:r>
      <w:r w:rsidRPr="00A976D6">
        <w:t>overall the number of non income support recipients is similar this year</w:t>
      </w:r>
      <w:r>
        <w:t xml:space="preserve"> to last year</w:t>
      </w:r>
      <w:r w:rsidRPr="00A976D6">
        <w:t>. An increase has been seen in the number of people in the family non income support class and an increase in the other non income support class</w:t>
      </w:r>
      <w:r w:rsidRPr="0069546C">
        <w:rPr>
          <w:color w:val="auto"/>
        </w:rPr>
        <w:t>.</w:t>
      </w:r>
    </w:p>
    <w:p w14:paraId="7DC18289" w14:textId="60B85F0E" w:rsidR="00131663" w:rsidRDefault="00131663" w:rsidP="002757B8">
      <w:pPr>
        <w:pStyle w:val="ListBullet"/>
      </w:pPr>
      <w:r>
        <w:rPr>
          <w:color w:val="E0301E"/>
        </w:rPr>
        <w:t xml:space="preserve">Non </w:t>
      </w:r>
      <w:r w:rsidR="0049533C">
        <w:rPr>
          <w:color w:val="E0301E"/>
        </w:rPr>
        <w:t>W</w:t>
      </w:r>
      <w:r>
        <w:rPr>
          <w:color w:val="E0301E"/>
        </w:rPr>
        <w:t>elfare recipients</w:t>
      </w:r>
      <w:r w:rsidRPr="00BF443B">
        <w:rPr>
          <w:color w:val="E0301E"/>
        </w:rPr>
        <w:t>:</w:t>
      </w:r>
      <w:r w:rsidRPr="00BF443B">
        <w:rPr>
          <w:color w:val="E03028"/>
        </w:rPr>
        <w:t xml:space="preserve"> </w:t>
      </w:r>
      <w:r w:rsidRPr="00A976D6">
        <w:t>the previous welfare recipients and rest of Australian population classes have increased by 497,000 people in total and now make up 67.4% of the population (compared to 66.7% at June 2016). This increase in the numbers of non welfare recipients is reflective of the overall growth in the resident population of Australia. This is driven by year</w:t>
      </w:r>
      <w:r w:rsidR="0021451C">
        <w:t xml:space="preserve"> </w:t>
      </w:r>
      <w:r w:rsidRPr="00A976D6">
        <w:t>on</w:t>
      </w:r>
      <w:r w:rsidR="0021451C">
        <w:t xml:space="preserve"> </w:t>
      </w:r>
      <w:r w:rsidRPr="00A976D6">
        <w:t>year population growth as births and inwards migration exceed deaths and outwards migration. In addition</w:t>
      </w:r>
      <w:r w:rsidR="00AC4112">
        <w:t>,</w:t>
      </w:r>
      <w:r w:rsidRPr="00A976D6">
        <w:t xml:space="preserve"> this year the population reflects the results from the 2016 census which showed slightly higher than expected population growth when compared to the 2011 census.</w:t>
      </w:r>
    </w:p>
    <w:p w14:paraId="03B9B696" w14:textId="77777777" w:rsidR="00131663" w:rsidRDefault="00131663" w:rsidP="00131663">
      <w:pPr>
        <w:pStyle w:val="PwCNormal"/>
        <w:numPr>
          <w:ilvl w:val="0"/>
          <w:numId w:val="0"/>
        </w:numPr>
      </w:pPr>
      <w:r w:rsidRPr="007D0323">
        <w:t>Overall, the 5,738,000 people who received an income support payment over the year to 30 June 2017 represented 23.3% of the population. This was a slight reduction from 23.8% at 30 June 2016</w:t>
      </w:r>
      <w:r>
        <w:t>,</w:t>
      </w:r>
      <w:r w:rsidRPr="007D0323">
        <w:t xml:space="preserve"> and has been driven by a reduction in the number of people receiving income support payments </w:t>
      </w:r>
      <w:r>
        <w:t>combined with</w:t>
      </w:r>
      <w:r w:rsidRPr="007D0323">
        <w:t xml:space="preserve"> a larger total population.</w:t>
      </w:r>
    </w:p>
    <w:p w14:paraId="069E52DD" w14:textId="77777777" w:rsidR="00131663" w:rsidRPr="005338C4" w:rsidRDefault="00131663" w:rsidP="00131663">
      <w:pPr>
        <w:pStyle w:val="Heading3"/>
      </w:pPr>
      <w:bookmarkStart w:id="96" w:name="_Toc506388217"/>
      <w:bookmarkStart w:id="97" w:name="_Toc497290995"/>
      <w:r>
        <w:lastRenderedPageBreak/>
        <w:t>Profile</w:t>
      </w:r>
      <w:r w:rsidRPr="005338C4">
        <w:t xml:space="preserve"> </w:t>
      </w:r>
      <w:r>
        <w:t>of model population</w:t>
      </w:r>
      <w:bookmarkEnd w:id="96"/>
    </w:p>
    <w:p w14:paraId="02DDAEDF" w14:textId="77777777" w:rsidR="00131663" w:rsidRPr="005338C4" w:rsidRDefault="00131663" w:rsidP="00131663">
      <w:pPr>
        <w:pStyle w:val="PwCNormal-keepwithnext"/>
        <w:numPr>
          <w:ilvl w:val="0"/>
          <w:numId w:val="1"/>
        </w:numPr>
      </w:pPr>
      <w:r w:rsidRPr="005338C4">
        <w:t xml:space="preserve">The </w:t>
      </w:r>
      <w:r>
        <w:t>current welfare recipient</w:t>
      </w:r>
      <w:r w:rsidRPr="005338C4">
        <w:t xml:space="preserve"> population split by class is as follows.</w:t>
      </w:r>
    </w:p>
    <w:p w14:paraId="0D8A5889" w14:textId="7D9821F0" w:rsidR="00131663" w:rsidRPr="005338C4" w:rsidRDefault="00131663" w:rsidP="00131663">
      <w:pPr>
        <w:pStyle w:val="Caption"/>
      </w:pPr>
      <w:r w:rsidRPr="005338C4">
        <w:t xml:space="preserve">Figure </w:t>
      </w:r>
      <w:fldSimple w:instr=" SEQ Figure \* ARABIC ">
        <w:r w:rsidR="00C93C1A">
          <w:rPr>
            <w:noProof/>
          </w:rPr>
          <w:t>41</w:t>
        </w:r>
      </w:fldSimple>
      <w:r w:rsidRPr="005338C4">
        <w:t xml:space="preserve">: </w:t>
      </w:r>
      <w:r>
        <w:t>Current welfare recipient</w:t>
      </w:r>
      <w:r w:rsidRPr="005338C4">
        <w:t xml:space="preserve"> population by welfare class</w:t>
      </w:r>
    </w:p>
    <w:p w14:paraId="0F734A1B" w14:textId="77777777" w:rsidR="00131663" w:rsidRPr="005338C4" w:rsidRDefault="00131663" w:rsidP="00131663">
      <w:r w:rsidRPr="00D22399">
        <w:rPr>
          <w:noProof/>
          <w:lang w:eastAsia="en-AU"/>
        </w:rPr>
        <w:drawing>
          <wp:inline distT="0" distB="0" distL="0" distR="0" wp14:anchorId="4A87E9C1" wp14:editId="5469CAE9">
            <wp:extent cx="4214165" cy="2160000"/>
            <wp:effectExtent l="0" t="0" r="0" b="0"/>
            <wp:docPr id="9" name="Picture 9" descr="This figure is a standard column chart that shows the current welfare recipient population by welfare class. The vertical axis shows the number of people, ranging from 0 to 3,000,000. The horizontal axis shows the welfare class split by: 1 Studying, 2 Working Age, 3 Parents, 4 Carers, 5 Disability Support, 6 Pension Age, 7 Non IS Family, 8 Non IS Carer, 9 Non IS Other. &#10;&#10;The chart shows the number of recipients in each welfare class: 371,000 in the Studying class, 1,301,000 in the Working Age class, 433,000 in the Parents class, 277,000 in the Carers class, 760,000 in the Disability Support class, 2,595,000 in the Pension Age class, 1,544,000 in the Non IS Family class, 203,000 in the Non IS Carer class and 557,000 in the Non IS Other class. &#10;&#10;The key features of this chart are described in the accompanying text within the report.&#10;" title="Current welfare recipient population by welfar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14165" cy="2160000"/>
                    </a:xfrm>
                    <a:prstGeom prst="rect">
                      <a:avLst/>
                    </a:prstGeom>
                    <a:noFill/>
                    <a:ln>
                      <a:noFill/>
                    </a:ln>
                  </pic:spPr>
                </pic:pic>
              </a:graphicData>
            </a:graphic>
          </wp:inline>
        </w:drawing>
      </w:r>
    </w:p>
    <w:p w14:paraId="54EE991E" w14:textId="78120697" w:rsidR="00131663" w:rsidRDefault="00131663" w:rsidP="00131663">
      <w:pPr>
        <w:pStyle w:val="PwCNormal"/>
        <w:numPr>
          <w:ilvl w:val="0"/>
          <w:numId w:val="0"/>
        </w:numPr>
      </w:pPr>
      <w:r>
        <w:t>The current welfare recipient population is 8.0 million. Previous clients and the rest of the Australian population ma</w:t>
      </w:r>
      <w:r w:rsidR="004341BA">
        <w:t>k</w:t>
      </w:r>
      <w:r>
        <w:t>e up a further 4.5 million and 12.1 million people respectively.</w:t>
      </w:r>
    </w:p>
    <w:p w14:paraId="6074ED49" w14:textId="77777777" w:rsidR="00131663" w:rsidRPr="0057506F" w:rsidRDefault="00131663" w:rsidP="00131663">
      <w:pPr>
        <w:pStyle w:val="PwCNormal"/>
        <w:numPr>
          <w:ilvl w:val="0"/>
          <w:numId w:val="0"/>
        </w:numPr>
      </w:pPr>
      <w:r w:rsidRPr="005338C4">
        <w:t xml:space="preserve">It is interesting to consider how the current welfare recipients relate to the whole population i.e. which groups of the population are people in receipt of Commonwealth welfare payments. We have used a population pyramid which shows the composition of the population by age and gender to illustrate which people fall into each class and to show the proportion of each group who are current welfare recipients. </w:t>
      </w:r>
    </w:p>
    <w:p w14:paraId="00BFFE1D" w14:textId="505AF836" w:rsidR="00131663" w:rsidRPr="00D3624D" w:rsidRDefault="00131663" w:rsidP="00131663">
      <w:pPr>
        <w:pStyle w:val="Caption"/>
      </w:pPr>
      <w:r w:rsidRPr="00D3624D">
        <w:t xml:space="preserve">Figure </w:t>
      </w:r>
      <w:fldSimple w:instr=" SEQ Figure \* ARABIC ">
        <w:r w:rsidR="00C93C1A">
          <w:rPr>
            <w:noProof/>
          </w:rPr>
          <w:t>42</w:t>
        </w:r>
      </w:fldSimple>
      <w:r w:rsidRPr="00D3624D">
        <w:t xml:space="preserve">: Model population with class utilisation (June 2017) </w:t>
      </w:r>
    </w:p>
    <w:p w14:paraId="608443EC" w14:textId="77777777" w:rsidR="00131663" w:rsidRPr="00D3624D" w:rsidRDefault="00131663" w:rsidP="00964D65">
      <w:pPr>
        <w:pStyle w:val="PwCNormal"/>
        <w:numPr>
          <w:ilvl w:val="0"/>
          <w:numId w:val="33"/>
        </w:numPr>
      </w:pPr>
      <w:r w:rsidRPr="00D3624D">
        <w:rPr>
          <w:noProof/>
          <w:lang w:eastAsia="en-AU"/>
        </w:rPr>
        <w:drawing>
          <wp:inline distT="0" distB="0" distL="0" distR="0" wp14:anchorId="60BE3425" wp14:editId="06D10AF0">
            <wp:extent cx="3870960" cy="2159635"/>
            <wp:effectExtent l="0" t="0" r="0" b="0"/>
            <wp:docPr id="1073" name="Picture 1073" descr="This figure is a horizontal bar chart showing the number of people in the Australian population by age for males and females separately. The vertical axis shows age ranging from 0 to 100. The horizontal axis shows the number of people within each age group (by year of age) ranging from 0 to 200,000. The number of males at each age is shown by the horizontal bars to the left of the vertical axis and the number of females at each age is shown by horizontal bars to the right.&#10;&#10;The bars for each given age and gender are split into the number of people in each of the nine active and two inactive (previous welfare recipients and rest of the Australian population) welfare classes at the valuation date (30 June 2017).&#10;&#10;All 24.7 million people in the model population are represented in the chart. Across both genders, there are on average approximately 307,000 Australians at each age for ages 0 to 18, 340,000 at each age for ages 19 to 50, and a steadily decreasing number by age above age 50 which decreases to around 1,400 people at age 100. &#10;&#10;Up to age 65, the number of males and females by age in the Australian population are broadly similar. After age 65 and up to age 100 there are approximately 15% more females than males.&#10;&#10;The following other features can also be seen:&#10;• a large proportion of over 65’s are people in receipt of Commonwealth welfare payments (as would be expected)&#10;• people only generally access the payment system directly from their late teens onwards&#10;• there is a significant group of females and a smaller group of males receiving Parenting payments or ‘Non IS Family’ payments (which is primarily FTB and/or child care payments)&#10;• there is a slight increase in payment utilisation in the years leading up to retirement age&#10;• there are other differences in payment system utilisation between genders – which may relate to the variation in roles performed by each gender, differences in longevity and differences in lifetime incomes.&#10;" title="Model population with class utilisation (June 2017)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71614" cy="2160000"/>
                    </a:xfrm>
                    <a:prstGeom prst="rect">
                      <a:avLst/>
                    </a:prstGeom>
                    <a:noFill/>
                    <a:ln>
                      <a:noFill/>
                    </a:ln>
                  </pic:spPr>
                </pic:pic>
              </a:graphicData>
            </a:graphic>
          </wp:inline>
        </w:drawing>
      </w:r>
    </w:p>
    <w:p w14:paraId="4D2EA713" w14:textId="77777777" w:rsidR="00131663" w:rsidRPr="00D3624D" w:rsidRDefault="00131663" w:rsidP="00131663">
      <w:pPr>
        <w:pStyle w:val="PwCNormal"/>
        <w:numPr>
          <w:ilvl w:val="0"/>
          <w:numId w:val="0"/>
        </w:numPr>
      </w:pPr>
      <w:r w:rsidRPr="00D3624D">
        <w:t>We can see that:</w:t>
      </w:r>
    </w:p>
    <w:p w14:paraId="11CC7040" w14:textId="04C58D79" w:rsidR="00131663" w:rsidRPr="00D3624D" w:rsidRDefault="00131663" w:rsidP="002757B8">
      <w:pPr>
        <w:pStyle w:val="ListBullet"/>
      </w:pPr>
      <w:r w:rsidRPr="00D3624D">
        <w:t>a large proportion of over 65’s are people in receipt of Commonwealth welfare payments (as would be expected)</w:t>
      </w:r>
      <w:r w:rsidR="001B27DC">
        <w:t>;</w:t>
      </w:r>
    </w:p>
    <w:p w14:paraId="6AFB13C0" w14:textId="29D106CB" w:rsidR="00131663" w:rsidRPr="00D3624D" w:rsidRDefault="00131663" w:rsidP="002757B8">
      <w:pPr>
        <w:pStyle w:val="ListBullet"/>
      </w:pPr>
      <w:r w:rsidRPr="00D3624D">
        <w:t xml:space="preserve">people only generally access the </w:t>
      </w:r>
      <w:r w:rsidR="00AC4112">
        <w:t>welfare</w:t>
      </w:r>
      <w:r w:rsidRPr="00D3624D">
        <w:t xml:space="preserve"> system directly from their late teens onwards</w:t>
      </w:r>
      <w:r w:rsidR="001B27DC">
        <w:t>;</w:t>
      </w:r>
    </w:p>
    <w:p w14:paraId="3D31980C" w14:textId="52FE5730" w:rsidR="00131663" w:rsidRPr="00D3624D" w:rsidRDefault="00131663" w:rsidP="002757B8">
      <w:pPr>
        <w:pStyle w:val="ListBullet"/>
      </w:pPr>
      <w:r w:rsidRPr="00D3624D">
        <w:t xml:space="preserve">there is a significant group of </w:t>
      </w:r>
      <w:r w:rsidRPr="00D3624D">
        <w:rPr>
          <w:snapToGrid/>
          <w:lang w:eastAsia="en-AU"/>
        </w:rPr>
        <w:t xml:space="preserve">women </w:t>
      </w:r>
      <w:r w:rsidRPr="00D3624D">
        <w:t>and a smaller group of men receivin</w:t>
      </w:r>
      <w:r w:rsidR="00AC4112">
        <w:t>g Parenting payments or ‘Non IS </w:t>
      </w:r>
      <w:r w:rsidRPr="00D3624D">
        <w:t>Family’ payments (which is primarily FTB and/or child care payments)</w:t>
      </w:r>
      <w:r w:rsidR="001B27DC">
        <w:t>;</w:t>
      </w:r>
    </w:p>
    <w:p w14:paraId="32A2E265" w14:textId="439E4716" w:rsidR="00131663" w:rsidRPr="00D3624D" w:rsidRDefault="00131663" w:rsidP="002757B8">
      <w:pPr>
        <w:pStyle w:val="ListBullet"/>
      </w:pPr>
      <w:r w:rsidRPr="00D3624D">
        <w:t xml:space="preserve">there is a slight increase in </w:t>
      </w:r>
      <w:r w:rsidR="00AC4112">
        <w:t>welfare</w:t>
      </w:r>
      <w:r w:rsidR="00AC4112" w:rsidRPr="00D3624D">
        <w:t xml:space="preserve"> </w:t>
      </w:r>
      <w:r w:rsidRPr="00D3624D">
        <w:t>utilisation in the years leading up to retirement age</w:t>
      </w:r>
      <w:r w:rsidR="001B27DC">
        <w:t>; and</w:t>
      </w:r>
    </w:p>
    <w:p w14:paraId="3C34D3CB" w14:textId="2D1A5969" w:rsidR="00131663" w:rsidRPr="00063F33" w:rsidRDefault="00131663" w:rsidP="00063F33">
      <w:pPr>
        <w:pStyle w:val="ListBullet"/>
      </w:pPr>
      <w:r w:rsidRPr="00D3624D">
        <w:t>there are other differences in payment system utilisation between genders – which may relate to the variation in roles performed by each gender, differences in longevity and differences in lifetime incomes.</w:t>
      </w:r>
      <w:bookmarkEnd w:id="97"/>
    </w:p>
    <w:p w14:paraId="1AC82CFA" w14:textId="2AD3E631" w:rsidR="00904FF6" w:rsidRPr="007D0323" w:rsidRDefault="00904FF6" w:rsidP="00904FF6">
      <w:pPr>
        <w:pStyle w:val="PwCNormal"/>
        <w:numPr>
          <w:ilvl w:val="0"/>
          <w:numId w:val="0"/>
        </w:numPr>
      </w:pPr>
    </w:p>
    <w:p w14:paraId="08DC1FB0" w14:textId="77777777" w:rsidR="00904FF6" w:rsidRPr="0057506F" w:rsidRDefault="00904FF6" w:rsidP="00904FF6">
      <w:pPr>
        <w:pStyle w:val="PwCNormal"/>
        <w:numPr>
          <w:ilvl w:val="0"/>
          <w:numId w:val="0"/>
        </w:numPr>
        <w:sectPr w:rsidR="00904FF6" w:rsidRPr="0057506F" w:rsidSect="00CC5ACB">
          <w:headerReference w:type="even" r:id="rId99"/>
          <w:headerReference w:type="first" r:id="rId100"/>
          <w:footerReference w:type="first" r:id="rId101"/>
          <w:pgSz w:w="11907" w:h="16840" w:code="9"/>
          <w:pgMar w:top="1588" w:right="1021" w:bottom="1418" w:left="1021" w:header="567" w:footer="567" w:gutter="0"/>
          <w:cols w:space="227"/>
          <w:docGrid w:linePitch="360"/>
        </w:sectPr>
      </w:pPr>
    </w:p>
    <w:p w14:paraId="64E3A782" w14:textId="77777777" w:rsidR="00E16F44" w:rsidRPr="00E26358" w:rsidRDefault="00E16F44" w:rsidP="00E16F44">
      <w:pPr>
        <w:pStyle w:val="Heading2"/>
      </w:pPr>
      <w:bookmarkStart w:id="98" w:name="_Toc497471798"/>
      <w:bookmarkStart w:id="99" w:name="_Toc506388218"/>
      <w:bookmarkStart w:id="100" w:name="_Ref466491736"/>
      <w:bookmarkStart w:id="101" w:name="_Ref466492611"/>
      <w:bookmarkStart w:id="102" w:name="_Ref466494695"/>
      <w:bookmarkStart w:id="103" w:name="_Toc497471803"/>
      <w:bookmarkEnd w:id="60"/>
      <w:bookmarkEnd w:id="61"/>
      <w:bookmarkEnd w:id="62"/>
      <w:r w:rsidRPr="00E26358">
        <w:lastRenderedPageBreak/>
        <w:t>Overall results</w:t>
      </w:r>
      <w:bookmarkEnd w:id="98"/>
      <w:bookmarkEnd w:id="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outlines key points from this report section."/>
      </w:tblPr>
      <w:tblGrid>
        <w:gridCol w:w="10081"/>
      </w:tblGrid>
      <w:tr w:rsidR="005463FC" w:rsidRPr="009210D0" w14:paraId="0D0D875D" w14:textId="77777777" w:rsidTr="005463FC">
        <w:trPr>
          <w:tblHeader/>
        </w:trPr>
        <w:tc>
          <w:tcPr>
            <w:tcW w:w="10081" w:type="dxa"/>
            <w:shd w:val="clear" w:color="auto" w:fill="F3ABA4" w:themeFill="accent6" w:themeFillTint="66"/>
          </w:tcPr>
          <w:p w14:paraId="5E38F63D" w14:textId="77777777" w:rsidR="005463FC" w:rsidRPr="00E26358" w:rsidRDefault="005463FC" w:rsidP="005463FC">
            <w:pPr>
              <w:pStyle w:val="PwCNormal"/>
              <w:numPr>
                <w:ilvl w:val="0"/>
                <w:numId w:val="0"/>
              </w:numPr>
              <w:rPr>
                <w:b/>
              </w:rPr>
            </w:pPr>
            <w:bookmarkStart w:id="104" w:name="_Toc437519336"/>
            <w:bookmarkStart w:id="105" w:name="_Toc437521787"/>
            <w:bookmarkStart w:id="106" w:name="_Toc437524822"/>
            <w:bookmarkStart w:id="107" w:name="_Toc437536211"/>
            <w:bookmarkStart w:id="108" w:name="_Toc437519337"/>
            <w:bookmarkStart w:id="109" w:name="_Toc437521788"/>
            <w:bookmarkStart w:id="110" w:name="_Toc437524823"/>
            <w:bookmarkStart w:id="111" w:name="_Toc437536212"/>
            <w:bookmarkStart w:id="112" w:name="_Toc437519338"/>
            <w:bookmarkStart w:id="113" w:name="_Toc437521789"/>
            <w:bookmarkStart w:id="114" w:name="_Toc437524824"/>
            <w:bookmarkStart w:id="115" w:name="_Toc437536213"/>
            <w:bookmarkStart w:id="116" w:name="_Toc437519339"/>
            <w:bookmarkStart w:id="117" w:name="_Toc437521790"/>
            <w:bookmarkStart w:id="118" w:name="_Toc437524825"/>
            <w:bookmarkStart w:id="119" w:name="_Toc437536214"/>
            <w:bookmarkStart w:id="120" w:name="_Toc437519340"/>
            <w:bookmarkStart w:id="121" w:name="_Toc437521791"/>
            <w:bookmarkStart w:id="122" w:name="_Toc437524826"/>
            <w:bookmarkStart w:id="123" w:name="_Toc437536215"/>
            <w:bookmarkStart w:id="124" w:name="_Toc498625178"/>
            <w:bookmarkStart w:id="125" w:name="_Toc441667457"/>
            <w:bookmarkStart w:id="126" w:name="_Toc441682854"/>
            <w:bookmarkStart w:id="127" w:name="_Toc441667458"/>
            <w:bookmarkStart w:id="128" w:name="_Toc441682855"/>
            <w:bookmarkStart w:id="129" w:name="_Toc498625180"/>
            <w:bookmarkStart w:id="130" w:name="_Toc498625183"/>
            <w:bookmarkStart w:id="131" w:name="_Toc437599025"/>
            <w:bookmarkStart w:id="132" w:name="_Toc437599026"/>
            <w:bookmarkStart w:id="133" w:name="_Toc437599031"/>
            <w:bookmarkStart w:id="134" w:name="_Toc437599038"/>
            <w:bookmarkStart w:id="135" w:name="_Toc437599040"/>
            <w:bookmarkStart w:id="136" w:name="_Toc437599042"/>
            <w:bookmarkStart w:id="137" w:name="_Toc437599043"/>
            <w:bookmarkStart w:id="138" w:name="_Toc437599044"/>
            <w:bookmarkStart w:id="139" w:name="_Toc437599051"/>
            <w:bookmarkStart w:id="140" w:name="_Toc437599053"/>
            <w:bookmarkStart w:id="141" w:name="_Toc437599054"/>
            <w:bookmarkStart w:id="142" w:name="_Toc437599056"/>
            <w:bookmarkStart w:id="143" w:name="_Toc437599058"/>
            <w:bookmarkStart w:id="144" w:name="_Toc437599059"/>
            <w:bookmarkStart w:id="145" w:name="_Toc437599060"/>
            <w:bookmarkStart w:id="146" w:name="_Toc437599061"/>
            <w:bookmarkStart w:id="147" w:name="_Toc437599073"/>
            <w:bookmarkStart w:id="148" w:name="_Toc437599077"/>
            <w:bookmarkStart w:id="149" w:name="_Toc437599085"/>
            <w:bookmarkStart w:id="150" w:name="_Toc437599089"/>
            <w:bookmarkStart w:id="151" w:name="_Toc437599094"/>
            <w:bookmarkStart w:id="152" w:name="_Toc437599099"/>
            <w:bookmarkStart w:id="153" w:name="_Toc437599104"/>
            <w:bookmarkStart w:id="154" w:name="_Toc437599113"/>
            <w:bookmarkStart w:id="155" w:name="_Toc437599121"/>
            <w:bookmarkStart w:id="156" w:name="_Toc437599125"/>
            <w:bookmarkStart w:id="157" w:name="_Ref437277121"/>
            <w:bookmarkStart w:id="158" w:name="_Toc455499412"/>
            <w:bookmarkStart w:id="159" w:name="_Toc455502433"/>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E26358">
              <w:rPr>
                <w:b/>
              </w:rPr>
              <w:t>Key results</w:t>
            </w:r>
          </w:p>
          <w:p w14:paraId="4A4B6032" w14:textId="2BB14AEC" w:rsidR="005463FC" w:rsidRPr="005463FC" w:rsidRDefault="005463FC" w:rsidP="005463FC">
            <w:pPr>
              <w:pStyle w:val="ListBullet"/>
            </w:pPr>
            <w:r w:rsidRPr="00E26358">
              <w:t xml:space="preserve">The </w:t>
            </w:r>
            <w:r w:rsidRPr="005463FC">
              <w:t xml:space="preserve">total lifetime cost as at June 2017 is </w:t>
            </w:r>
            <w:r w:rsidRPr="005463FC">
              <w:rPr>
                <w:b/>
              </w:rPr>
              <w:t>$4,681bn.</w:t>
            </w:r>
          </w:p>
          <w:p w14:paraId="48B6366E" w14:textId="69625B7D" w:rsidR="005463FC" w:rsidRPr="005463FC" w:rsidRDefault="005463FC" w:rsidP="005463FC">
            <w:pPr>
              <w:pStyle w:val="ListBullet"/>
            </w:pPr>
            <w:r w:rsidRPr="005463FC">
              <w:t xml:space="preserve">This represents a </w:t>
            </w:r>
            <w:r w:rsidRPr="005463FC">
              <w:rPr>
                <w:b/>
              </w:rPr>
              <w:t>$167bn (3.7%) increase</w:t>
            </w:r>
            <w:r w:rsidRPr="005463FC">
              <w:t xml:space="preserve"> from the lifetime cost of $4,514bn at the previous valuation.</w:t>
            </w:r>
          </w:p>
          <w:p w14:paraId="1152F2C1" w14:textId="4B93FEF9" w:rsidR="005463FC" w:rsidRPr="00D67975" w:rsidRDefault="005463FC" w:rsidP="005463FC">
            <w:pPr>
              <w:pStyle w:val="ListBullet"/>
            </w:pPr>
            <w:r w:rsidRPr="00D67975">
              <w:t>Population growth and inflation increased the total lifetime cost by $210bn (+4.7%)</w:t>
            </w:r>
            <w:r w:rsidRPr="00D67975" w:rsidDel="00263620">
              <w:t xml:space="preserve"> </w:t>
            </w:r>
            <w:r w:rsidRPr="00D67975">
              <w:t xml:space="preserve">whilst other changes including a reduction in the number of people accessing welfare payments contributed to an overall decrease of $43bn (-1.0%). </w:t>
            </w:r>
          </w:p>
          <w:p w14:paraId="363792F5" w14:textId="2ADD8230" w:rsidR="005463FC" w:rsidRPr="00E26358" w:rsidRDefault="005463FC" w:rsidP="0018791A">
            <w:pPr>
              <w:pStyle w:val="ListBullet"/>
            </w:pPr>
            <w:r w:rsidRPr="00D67975">
              <w:t>The net impact of adjustments for policy changes contributed to a decrease of 0.</w:t>
            </w:r>
            <w:r w:rsidR="004F14F5">
              <w:t>1</w:t>
            </w:r>
            <w:r w:rsidRPr="00D67975">
              <w:t xml:space="preserve">%. A substantial increase due to the introduction of the Child Care Subsidy and associated changes, is more than offset by the introduction of the $80,000 income limit for claiming </w:t>
            </w:r>
            <w:r w:rsidR="00044693">
              <w:t xml:space="preserve">the </w:t>
            </w:r>
            <w:r w:rsidRPr="00D67975">
              <w:t xml:space="preserve">Family Tax Benefit </w:t>
            </w:r>
            <w:r w:rsidR="0018791A">
              <w:t>P</w:t>
            </w:r>
            <w:r w:rsidRPr="00D67975">
              <w:t>art A</w:t>
            </w:r>
            <w:r w:rsidR="00044693">
              <w:t xml:space="preserve"> supplement</w:t>
            </w:r>
            <w:r w:rsidRPr="00D67975">
              <w:t xml:space="preserve"> and the two year freeze on FTB rates.</w:t>
            </w:r>
          </w:p>
        </w:tc>
      </w:tr>
    </w:tbl>
    <w:p w14:paraId="5B0EC3C4" w14:textId="77777777" w:rsidR="005463FC" w:rsidRDefault="005463FC" w:rsidP="005463FC">
      <w:pPr>
        <w:pStyle w:val="Heading3"/>
        <w:rPr>
          <w:snapToGrid/>
        </w:rPr>
      </w:pPr>
      <w:bookmarkStart w:id="160" w:name="_Toc498625176"/>
      <w:bookmarkStart w:id="161" w:name="_Toc506388219"/>
      <w:r>
        <w:t>Total lifetime cost</w:t>
      </w:r>
      <w:bookmarkEnd w:id="160"/>
      <w:bookmarkEnd w:id="161"/>
    </w:p>
    <w:p w14:paraId="60790CE5" w14:textId="37CE581C" w:rsidR="005463FC" w:rsidRDefault="005463FC" w:rsidP="005463FC">
      <w:pPr>
        <w:pStyle w:val="PwCNormal"/>
        <w:numPr>
          <w:ilvl w:val="0"/>
          <w:numId w:val="0"/>
        </w:numPr>
      </w:pPr>
      <w:r>
        <w:t xml:space="preserve">The estimated total lifetime cost for the whole Australian population as at 30 June 2017 is </w:t>
      </w:r>
      <w:r>
        <w:rPr>
          <w:b/>
        </w:rPr>
        <w:t>$4,681</w:t>
      </w:r>
      <w:r w:rsidR="00D67975">
        <w:rPr>
          <w:b/>
        </w:rPr>
        <w:t> </w:t>
      </w:r>
      <w:r>
        <w:rPr>
          <w:b/>
        </w:rPr>
        <w:t>billion</w:t>
      </w:r>
      <w:r>
        <w:t>. This figure is the net present value of the future in-scope payments expected to be made over the remaining natural lifetimes of the full model population. In calculating the net present value, the projected payments are discounted to current dollar values.</w:t>
      </w:r>
    </w:p>
    <w:p w14:paraId="1EF08D1A" w14:textId="77777777" w:rsidR="005463FC" w:rsidRDefault="005463FC" w:rsidP="005463FC">
      <w:pPr>
        <w:pStyle w:val="PwCNormal"/>
        <w:numPr>
          <w:ilvl w:val="0"/>
          <w:numId w:val="0"/>
        </w:numPr>
      </w:pPr>
      <w:r>
        <w:t>This is a substantial figure; by way of comparison the in-scope payments made in the 2016/17 year totalled $111.4 billion. Hence the total lifetime cost is over 40 times the size of recent annual payments. Such a multiplier is perhaps not unreasonable given that we have included the age pension in the valuation, which a significant proportion of the model population are expected to receive in the future for many years post retirement.</w:t>
      </w:r>
    </w:p>
    <w:p w14:paraId="0D61E51B" w14:textId="77777777" w:rsidR="005463FC" w:rsidRDefault="005463FC" w:rsidP="005463FC">
      <w:pPr>
        <w:pStyle w:val="Caption"/>
      </w:pPr>
      <w:r>
        <w:lastRenderedPageBreak/>
        <w:t xml:space="preserve">Table </w:t>
      </w:r>
      <w:fldSimple w:instr=" SEQ Table \* ARABIC ">
        <w:r w:rsidR="00C93C1A">
          <w:rPr>
            <w:noProof/>
          </w:rPr>
          <w:t>14</w:t>
        </w:r>
      </w:fldSimple>
      <w:r>
        <w:t>: Summary of key valuation results</w:t>
      </w:r>
    </w:p>
    <w:tbl>
      <w:tblPr>
        <w:tblW w:w="0" w:type="dxa"/>
        <w:tblInd w:w="57" w:type="dxa"/>
        <w:tblLayout w:type="fixed"/>
        <w:tblCellMar>
          <w:left w:w="113" w:type="dxa"/>
          <w:right w:w="113" w:type="dxa"/>
        </w:tblCellMar>
        <w:tblLook w:val="04A0" w:firstRow="1" w:lastRow="0" w:firstColumn="1" w:lastColumn="0" w:noHBand="0" w:noVBand="1"/>
        <w:tblCaption w:val=" Summary of key valuation results"/>
        <w:tblDescription w:val="This table lists figures for current welfare recipients in several categories, as well as previous welfare recipients and the rest of the Australian resident population. &#10;&#10;The categories given for current welfare recipients are: studying payments, working age payments, parenting payments, carer payments, disability support, age pensioners, family (non-income support), carer (non-income support) and other (non-income support), as well as a total for all current welfare recipients. Previous welfare recipients are divided into those that exited within 1 to 3 years, and those who exited 4 or more years ago, as well as a combined total.&#10;&#10;For each category, the horizontal axis shows the number of people in the population, their average age, their lifetime cost in billions of dollars, the average payment that was made to them in 2016/2017, their average lifetime cost in thousands, the ratio of total average lifetime cost to the average 2016/2017 payment, and the expected proportion of future lifetime in IS classes.&#10;&#10;The largest lifetime costs are the age pension, at 542 billion dollars, followed by working age payments at $411 billion, and then disability payments and family non-income support at 351 and 303 billion respectively. Parenting, carer and disability payment recipients received the highest per-person average amounts, with $29,100, $26,700 and $22,000 each, compared to $16,900 for aged pensioners and $11,200 for working age recipients. &#10;&#10;There are 4.5 million previous welfare recipients, who have an average age of 45 years. Their lifetime cost is 735 billion dollars, and they have an average lifetime cost of $164,000 per person.&#10;&#10;The rest of the Australian population has 12.1 million people, an average age of 28 years, and will have an average lifetime cost of $190,000 per person.&#10;"/>
      </w:tblPr>
      <w:tblGrid>
        <w:gridCol w:w="2750"/>
        <w:gridCol w:w="1077"/>
        <w:gridCol w:w="907"/>
        <w:gridCol w:w="855"/>
        <w:gridCol w:w="993"/>
        <w:gridCol w:w="925"/>
        <w:gridCol w:w="892"/>
        <w:gridCol w:w="1077"/>
      </w:tblGrid>
      <w:tr w:rsidR="005463FC" w14:paraId="339A576C" w14:textId="77777777" w:rsidTr="005463FC">
        <w:trPr>
          <w:trHeight w:val="1357"/>
          <w:tblHeader/>
        </w:trPr>
        <w:tc>
          <w:tcPr>
            <w:tcW w:w="2750" w:type="dxa"/>
            <w:tcBorders>
              <w:top w:val="single" w:sz="4" w:space="0" w:color="E02628"/>
              <w:left w:val="nil"/>
              <w:bottom w:val="single" w:sz="4" w:space="0" w:color="FFFFFF" w:themeColor="background1"/>
              <w:right w:val="single" w:sz="4" w:space="0" w:color="FFFFFF"/>
            </w:tcBorders>
            <w:shd w:val="clear" w:color="auto" w:fill="E02628"/>
          </w:tcPr>
          <w:p w14:paraId="7F9EFB4C" w14:textId="77777777" w:rsidR="005463FC" w:rsidRDefault="005463FC" w:rsidP="005463FC">
            <w:pPr>
              <w:pStyle w:val="TableColumnHeadingSmall"/>
              <w:rPr>
                <w:rFonts w:cstheme="minorHAnsi"/>
                <w:sz w:val="14"/>
                <w:szCs w:val="14"/>
                <w:lang w:eastAsia="en-AU"/>
              </w:rPr>
            </w:pPr>
          </w:p>
          <w:p w14:paraId="111B7F2F" w14:textId="77777777" w:rsidR="005463FC" w:rsidRDefault="005463FC" w:rsidP="005463FC">
            <w:pPr>
              <w:pStyle w:val="TableColumnHeadingSmall"/>
              <w:rPr>
                <w:rFonts w:cstheme="minorHAnsi"/>
                <w:sz w:val="14"/>
                <w:szCs w:val="14"/>
                <w:lang w:eastAsia="en-AU"/>
              </w:rPr>
            </w:pPr>
            <w:r>
              <w:rPr>
                <w:rFonts w:cstheme="minorHAnsi"/>
                <w:sz w:val="14"/>
                <w:szCs w:val="14"/>
                <w:lang w:eastAsia="en-AU"/>
              </w:rPr>
              <w:t>Population segment</w:t>
            </w:r>
          </w:p>
        </w:tc>
        <w:tc>
          <w:tcPr>
            <w:tcW w:w="1077" w:type="dxa"/>
            <w:tcBorders>
              <w:top w:val="single" w:sz="4" w:space="0" w:color="E02628"/>
              <w:left w:val="single" w:sz="4" w:space="0" w:color="FFFFFF"/>
              <w:bottom w:val="single" w:sz="4" w:space="0" w:color="FFFFFF" w:themeColor="background1"/>
              <w:right w:val="single" w:sz="4" w:space="0" w:color="FFFFFF"/>
            </w:tcBorders>
            <w:shd w:val="clear" w:color="auto" w:fill="E02628"/>
          </w:tcPr>
          <w:p w14:paraId="66EAE931" w14:textId="77777777" w:rsidR="005463FC" w:rsidRDefault="005463FC" w:rsidP="005463FC">
            <w:pPr>
              <w:pStyle w:val="TableColumnHeadingSmall"/>
              <w:rPr>
                <w:rFonts w:cstheme="minorHAnsi"/>
                <w:color w:val="FFFFFF"/>
                <w:sz w:val="14"/>
                <w:szCs w:val="14"/>
                <w:lang w:eastAsia="en-AU"/>
              </w:rPr>
            </w:pPr>
          </w:p>
          <w:p w14:paraId="5D00E2B4" w14:textId="77777777" w:rsidR="005463FC" w:rsidRDefault="005463FC" w:rsidP="005463FC">
            <w:pPr>
              <w:pStyle w:val="TableColumnHeadingSmall"/>
              <w:rPr>
                <w:rFonts w:cstheme="minorHAnsi"/>
                <w:color w:val="FFFFFF"/>
                <w:sz w:val="14"/>
                <w:szCs w:val="14"/>
                <w:lang w:eastAsia="en-AU"/>
              </w:rPr>
            </w:pPr>
            <w:r>
              <w:rPr>
                <w:rFonts w:cstheme="minorHAnsi"/>
                <w:color w:val="FFFFFF"/>
                <w:sz w:val="14"/>
                <w:szCs w:val="14"/>
                <w:lang w:eastAsia="en-AU"/>
              </w:rPr>
              <w:t>Number in starting population</w:t>
            </w:r>
          </w:p>
        </w:tc>
        <w:tc>
          <w:tcPr>
            <w:tcW w:w="907" w:type="dxa"/>
            <w:tcBorders>
              <w:top w:val="single" w:sz="4" w:space="0" w:color="E02628"/>
              <w:left w:val="single" w:sz="4" w:space="0" w:color="FFFFFF"/>
              <w:bottom w:val="single" w:sz="4" w:space="0" w:color="FFFFFF" w:themeColor="background1"/>
              <w:right w:val="single" w:sz="4" w:space="0" w:color="FFFFFF"/>
            </w:tcBorders>
            <w:shd w:val="clear" w:color="auto" w:fill="E02628"/>
          </w:tcPr>
          <w:p w14:paraId="0605EE6F" w14:textId="77777777" w:rsidR="005463FC" w:rsidRDefault="005463FC" w:rsidP="005463FC">
            <w:pPr>
              <w:pStyle w:val="TableColumnHeadingSmall"/>
              <w:jc w:val="center"/>
              <w:rPr>
                <w:rFonts w:cstheme="minorHAnsi"/>
                <w:color w:val="FFFFFF"/>
                <w:sz w:val="14"/>
                <w:szCs w:val="14"/>
                <w:lang w:eastAsia="en-AU"/>
              </w:rPr>
            </w:pPr>
          </w:p>
          <w:p w14:paraId="2C98C00A" w14:textId="77777777" w:rsidR="005463FC" w:rsidRDefault="005463FC" w:rsidP="005463FC">
            <w:pPr>
              <w:pStyle w:val="TableColumnHeadingSmall"/>
              <w:jc w:val="center"/>
              <w:rPr>
                <w:rFonts w:cstheme="minorHAnsi"/>
                <w:color w:val="FFFFFF"/>
                <w:sz w:val="14"/>
                <w:szCs w:val="14"/>
                <w:lang w:eastAsia="en-AU"/>
              </w:rPr>
            </w:pPr>
            <w:r>
              <w:rPr>
                <w:rFonts w:cstheme="minorHAnsi"/>
                <w:color w:val="FFFFFF"/>
                <w:sz w:val="14"/>
                <w:szCs w:val="14"/>
                <w:lang w:eastAsia="en-AU"/>
              </w:rPr>
              <w:t>Average age</w:t>
            </w:r>
          </w:p>
        </w:tc>
        <w:tc>
          <w:tcPr>
            <w:tcW w:w="855" w:type="dxa"/>
            <w:tcBorders>
              <w:top w:val="single" w:sz="4" w:space="0" w:color="E02628"/>
              <w:left w:val="single" w:sz="4" w:space="0" w:color="FFFFFF"/>
              <w:bottom w:val="single" w:sz="4" w:space="0" w:color="FFFFFF" w:themeColor="background1"/>
              <w:right w:val="single" w:sz="4" w:space="0" w:color="FFFFFF"/>
            </w:tcBorders>
            <w:shd w:val="clear" w:color="auto" w:fill="E02628"/>
          </w:tcPr>
          <w:p w14:paraId="7B0BFD72" w14:textId="77777777" w:rsidR="005463FC" w:rsidRDefault="005463FC" w:rsidP="005463FC">
            <w:pPr>
              <w:pStyle w:val="TableColumnHeadingSmall"/>
              <w:jc w:val="center"/>
              <w:rPr>
                <w:rFonts w:cstheme="minorHAnsi"/>
                <w:color w:val="FFFFFF"/>
                <w:sz w:val="14"/>
                <w:szCs w:val="14"/>
                <w:lang w:eastAsia="en-AU"/>
              </w:rPr>
            </w:pPr>
          </w:p>
          <w:p w14:paraId="1606F900" w14:textId="77777777" w:rsidR="005463FC" w:rsidRDefault="005463FC" w:rsidP="005463FC">
            <w:pPr>
              <w:pStyle w:val="TableColumnHeadingSmall"/>
              <w:jc w:val="center"/>
              <w:rPr>
                <w:rFonts w:cstheme="minorHAnsi"/>
                <w:color w:val="FFFFFF"/>
                <w:sz w:val="14"/>
                <w:szCs w:val="14"/>
                <w:lang w:eastAsia="en-AU"/>
              </w:rPr>
            </w:pPr>
            <w:r>
              <w:rPr>
                <w:rFonts w:cstheme="minorHAnsi"/>
                <w:color w:val="FFFFFF"/>
                <w:sz w:val="14"/>
                <w:szCs w:val="14"/>
                <w:lang w:eastAsia="en-AU"/>
              </w:rPr>
              <w:t xml:space="preserve">Total Lifetime cost </w:t>
            </w:r>
            <w:r>
              <w:rPr>
                <w:rFonts w:cstheme="minorHAnsi"/>
                <w:color w:val="FFFFFF"/>
                <w:sz w:val="14"/>
                <w:szCs w:val="14"/>
                <w:lang w:eastAsia="en-AU"/>
              </w:rPr>
              <w:br/>
              <w:t>($bn)</w:t>
            </w:r>
          </w:p>
        </w:tc>
        <w:tc>
          <w:tcPr>
            <w:tcW w:w="993" w:type="dxa"/>
            <w:tcBorders>
              <w:top w:val="single" w:sz="4" w:space="0" w:color="E02628"/>
              <w:left w:val="single" w:sz="4" w:space="0" w:color="FFFFFF"/>
              <w:bottom w:val="single" w:sz="4" w:space="0" w:color="FFFFFF" w:themeColor="background1"/>
              <w:right w:val="single" w:sz="4" w:space="0" w:color="FFFFFF"/>
            </w:tcBorders>
            <w:shd w:val="clear" w:color="auto" w:fill="E02628"/>
          </w:tcPr>
          <w:p w14:paraId="248B2EC6" w14:textId="77777777" w:rsidR="005463FC" w:rsidRDefault="005463FC" w:rsidP="005463FC">
            <w:pPr>
              <w:pStyle w:val="TableColumnHeadingSmall"/>
              <w:jc w:val="center"/>
              <w:rPr>
                <w:rFonts w:cstheme="minorHAnsi"/>
                <w:color w:val="FFFFFF"/>
                <w:sz w:val="14"/>
                <w:szCs w:val="14"/>
                <w:lang w:eastAsia="en-AU"/>
              </w:rPr>
            </w:pPr>
          </w:p>
          <w:p w14:paraId="0A8E1722" w14:textId="77777777" w:rsidR="005463FC" w:rsidRDefault="005463FC" w:rsidP="005463FC">
            <w:pPr>
              <w:pStyle w:val="TableColumnHeadingSmall"/>
              <w:jc w:val="center"/>
              <w:rPr>
                <w:rFonts w:cstheme="minorHAnsi"/>
                <w:color w:val="FFFFFF"/>
                <w:sz w:val="14"/>
                <w:szCs w:val="14"/>
                <w:lang w:eastAsia="en-AU"/>
              </w:rPr>
            </w:pPr>
            <w:r>
              <w:rPr>
                <w:rFonts w:cstheme="minorHAnsi"/>
                <w:color w:val="FFFFFF"/>
                <w:sz w:val="14"/>
                <w:szCs w:val="14"/>
                <w:lang w:eastAsia="en-AU"/>
              </w:rPr>
              <w:t xml:space="preserve">Average payment in 2016/17 </w:t>
            </w:r>
            <w:r>
              <w:rPr>
                <w:rFonts w:cstheme="minorHAnsi"/>
                <w:color w:val="FFFFFF"/>
                <w:sz w:val="14"/>
                <w:szCs w:val="14"/>
                <w:lang w:eastAsia="en-AU"/>
              </w:rPr>
              <w:br/>
              <w:t>(a)</w:t>
            </w:r>
          </w:p>
        </w:tc>
        <w:tc>
          <w:tcPr>
            <w:tcW w:w="925" w:type="dxa"/>
            <w:tcBorders>
              <w:top w:val="single" w:sz="4" w:space="0" w:color="E02628"/>
              <w:left w:val="nil"/>
              <w:bottom w:val="single" w:sz="4" w:space="0" w:color="FFFFFF" w:themeColor="background1"/>
              <w:right w:val="single" w:sz="4" w:space="0" w:color="FFFFFF"/>
            </w:tcBorders>
            <w:shd w:val="clear" w:color="auto" w:fill="E02628"/>
          </w:tcPr>
          <w:p w14:paraId="081A257B" w14:textId="77777777" w:rsidR="005463FC" w:rsidRDefault="005463FC" w:rsidP="005463FC">
            <w:pPr>
              <w:pStyle w:val="TableColumnHeadingSmall"/>
              <w:jc w:val="center"/>
              <w:rPr>
                <w:rFonts w:cstheme="minorHAnsi"/>
                <w:color w:val="FFFFFF"/>
                <w:sz w:val="14"/>
                <w:szCs w:val="14"/>
                <w:lang w:eastAsia="en-AU"/>
              </w:rPr>
            </w:pPr>
          </w:p>
          <w:p w14:paraId="6E1CA703" w14:textId="77777777" w:rsidR="005463FC" w:rsidRDefault="005463FC" w:rsidP="005463FC">
            <w:pPr>
              <w:pStyle w:val="TableColumnHeadingSmall"/>
              <w:jc w:val="center"/>
              <w:rPr>
                <w:rFonts w:cstheme="minorHAnsi"/>
                <w:color w:val="FFFFFF"/>
                <w:sz w:val="14"/>
                <w:szCs w:val="14"/>
                <w:lang w:eastAsia="en-AU"/>
              </w:rPr>
            </w:pPr>
            <w:r>
              <w:rPr>
                <w:rFonts w:cstheme="minorHAnsi"/>
                <w:color w:val="FFFFFF"/>
                <w:sz w:val="14"/>
                <w:szCs w:val="14"/>
                <w:lang w:eastAsia="en-AU"/>
              </w:rPr>
              <w:t>Average lifetime cost ($'000) (b)</w:t>
            </w:r>
          </w:p>
        </w:tc>
        <w:tc>
          <w:tcPr>
            <w:tcW w:w="892" w:type="dxa"/>
            <w:tcBorders>
              <w:top w:val="single" w:sz="4" w:space="0" w:color="E02628"/>
              <w:left w:val="single" w:sz="4" w:space="0" w:color="FFFFFF"/>
              <w:bottom w:val="single" w:sz="4" w:space="0" w:color="FFFFFF" w:themeColor="background1"/>
              <w:right w:val="nil"/>
            </w:tcBorders>
            <w:shd w:val="clear" w:color="auto" w:fill="E02628"/>
          </w:tcPr>
          <w:p w14:paraId="5C401B4B" w14:textId="77777777" w:rsidR="005463FC" w:rsidRDefault="005463FC" w:rsidP="005463FC">
            <w:pPr>
              <w:pStyle w:val="TableColumnHeadingSmall"/>
              <w:jc w:val="center"/>
              <w:rPr>
                <w:rFonts w:cstheme="minorHAnsi"/>
                <w:color w:val="FFFFFF"/>
                <w:sz w:val="14"/>
                <w:szCs w:val="14"/>
                <w:lang w:eastAsia="en-AU"/>
              </w:rPr>
            </w:pPr>
          </w:p>
          <w:p w14:paraId="2263FA2B" w14:textId="77777777" w:rsidR="005463FC" w:rsidRDefault="005463FC" w:rsidP="005463FC">
            <w:pPr>
              <w:pStyle w:val="TableColumnHeadingSmall"/>
              <w:jc w:val="center"/>
              <w:rPr>
                <w:rFonts w:cstheme="minorHAnsi"/>
                <w:color w:val="FFFFFF"/>
                <w:sz w:val="14"/>
                <w:szCs w:val="14"/>
                <w:lang w:eastAsia="en-AU"/>
              </w:rPr>
            </w:pPr>
            <w:r>
              <w:rPr>
                <w:rFonts w:cstheme="minorHAnsi"/>
                <w:color w:val="FFFFFF"/>
                <w:sz w:val="14"/>
                <w:szCs w:val="14"/>
                <w:lang w:eastAsia="en-AU"/>
              </w:rPr>
              <w:t>Ratio</w:t>
            </w:r>
          </w:p>
          <w:p w14:paraId="70810901" w14:textId="77777777" w:rsidR="005463FC" w:rsidRDefault="005463FC" w:rsidP="005463FC">
            <w:pPr>
              <w:pStyle w:val="TableColumnHeadingSmall"/>
              <w:jc w:val="center"/>
              <w:rPr>
                <w:rFonts w:cstheme="minorHAnsi"/>
                <w:color w:val="FFFFFF"/>
                <w:sz w:val="14"/>
                <w:szCs w:val="14"/>
                <w:lang w:eastAsia="en-AU"/>
              </w:rPr>
            </w:pPr>
            <w:r>
              <w:rPr>
                <w:rFonts w:cstheme="minorHAnsi"/>
                <w:color w:val="FFFFFF"/>
                <w:sz w:val="14"/>
                <w:szCs w:val="14"/>
                <w:lang w:eastAsia="en-AU"/>
              </w:rPr>
              <w:t>= (b) / (a)</w:t>
            </w:r>
          </w:p>
        </w:tc>
        <w:tc>
          <w:tcPr>
            <w:tcW w:w="1077" w:type="dxa"/>
            <w:tcBorders>
              <w:top w:val="single" w:sz="4" w:space="0" w:color="E02628"/>
              <w:left w:val="single" w:sz="4" w:space="0" w:color="FFFFFF"/>
              <w:bottom w:val="single" w:sz="4" w:space="0" w:color="FFFFFF" w:themeColor="background1"/>
              <w:right w:val="nil"/>
            </w:tcBorders>
            <w:shd w:val="clear" w:color="auto" w:fill="E02628"/>
          </w:tcPr>
          <w:p w14:paraId="21434CD9" w14:textId="77777777" w:rsidR="005463FC" w:rsidRDefault="005463FC" w:rsidP="005463FC">
            <w:pPr>
              <w:pStyle w:val="TableColumnHeadingSmall"/>
              <w:rPr>
                <w:rFonts w:cstheme="minorHAnsi"/>
                <w:color w:val="FFFFFF"/>
                <w:sz w:val="14"/>
                <w:szCs w:val="14"/>
                <w:lang w:eastAsia="en-AU"/>
              </w:rPr>
            </w:pPr>
          </w:p>
          <w:p w14:paraId="2DE7E073" w14:textId="77777777" w:rsidR="005463FC" w:rsidRDefault="005463FC" w:rsidP="005463FC">
            <w:pPr>
              <w:pStyle w:val="TableColumnHeadingSmall"/>
              <w:rPr>
                <w:rFonts w:cstheme="minorHAnsi"/>
                <w:color w:val="FFFFFF"/>
                <w:sz w:val="14"/>
                <w:szCs w:val="14"/>
                <w:lang w:eastAsia="en-AU"/>
              </w:rPr>
            </w:pPr>
            <w:r>
              <w:rPr>
                <w:rFonts w:cstheme="minorHAnsi"/>
                <w:color w:val="FFFFFF"/>
                <w:sz w:val="14"/>
                <w:szCs w:val="14"/>
                <w:lang w:eastAsia="en-AU"/>
              </w:rPr>
              <w:t>Expected proportion of future lifetime in IS classes</w:t>
            </w:r>
          </w:p>
        </w:tc>
      </w:tr>
      <w:tr w:rsidR="005463FC" w14:paraId="15A98F1B" w14:textId="77777777" w:rsidTr="005463FC">
        <w:trPr>
          <w:trHeight w:val="227"/>
          <w:tblHeader/>
        </w:trPr>
        <w:tc>
          <w:tcPr>
            <w:tcW w:w="2750" w:type="dxa"/>
            <w:tcBorders>
              <w:top w:val="single" w:sz="4" w:space="0" w:color="FFFFFF" w:themeColor="background1"/>
              <w:left w:val="nil"/>
              <w:bottom w:val="single" w:sz="4" w:space="0" w:color="E02628"/>
              <w:right w:val="nil"/>
            </w:tcBorders>
            <w:shd w:val="clear" w:color="auto" w:fill="E02628"/>
            <w:noWrap/>
            <w:vAlign w:val="center"/>
            <w:hideMark/>
          </w:tcPr>
          <w:p w14:paraId="43189430" w14:textId="77777777" w:rsidR="005463FC" w:rsidRDefault="005463FC" w:rsidP="005463FC">
            <w:pPr>
              <w:pStyle w:val="TableColumnHeadingSmall"/>
              <w:rPr>
                <w:rFonts w:cstheme="minorHAnsi"/>
                <w:sz w:val="14"/>
                <w:szCs w:val="14"/>
                <w:lang w:eastAsia="en-AU"/>
              </w:rPr>
            </w:pPr>
            <w:r>
              <w:rPr>
                <w:rFonts w:cstheme="minorHAnsi"/>
                <w:sz w:val="14"/>
                <w:szCs w:val="14"/>
                <w:lang w:eastAsia="en-AU"/>
              </w:rPr>
              <w:t>Current welfare recipients</w:t>
            </w:r>
          </w:p>
        </w:tc>
        <w:tc>
          <w:tcPr>
            <w:tcW w:w="1077" w:type="dxa"/>
            <w:tcBorders>
              <w:top w:val="single" w:sz="4" w:space="0" w:color="FFFFFF" w:themeColor="background1"/>
              <w:left w:val="nil"/>
              <w:bottom w:val="single" w:sz="4" w:space="0" w:color="E02628"/>
              <w:right w:val="nil"/>
            </w:tcBorders>
            <w:shd w:val="clear" w:color="auto" w:fill="E02628"/>
            <w:noWrap/>
            <w:vAlign w:val="center"/>
            <w:hideMark/>
          </w:tcPr>
          <w:p w14:paraId="20F9D9FE" w14:textId="77777777" w:rsidR="005463FC" w:rsidRDefault="005463FC" w:rsidP="005463FC">
            <w:pPr>
              <w:pStyle w:val="TableColumnHeadingSmall"/>
              <w:rPr>
                <w:rFonts w:cstheme="minorHAnsi"/>
                <w:sz w:val="14"/>
                <w:szCs w:val="14"/>
                <w:lang w:eastAsia="en-AU"/>
              </w:rPr>
            </w:pPr>
            <w:r>
              <w:rPr>
                <w:rFonts w:cstheme="minorHAnsi"/>
                <w:sz w:val="14"/>
                <w:szCs w:val="14"/>
                <w:lang w:eastAsia="en-AU"/>
              </w:rPr>
              <w:t> </w:t>
            </w:r>
          </w:p>
        </w:tc>
        <w:tc>
          <w:tcPr>
            <w:tcW w:w="907" w:type="dxa"/>
            <w:tcBorders>
              <w:top w:val="single" w:sz="4" w:space="0" w:color="FFFFFF" w:themeColor="background1"/>
              <w:left w:val="nil"/>
              <w:bottom w:val="single" w:sz="4" w:space="0" w:color="E02628"/>
              <w:right w:val="nil"/>
            </w:tcBorders>
            <w:shd w:val="clear" w:color="auto" w:fill="E02628"/>
            <w:noWrap/>
            <w:vAlign w:val="center"/>
            <w:hideMark/>
          </w:tcPr>
          <w:p w14:paraId="2C2CB5F9" w14:textId="77777777" w:rsidR="005463FC" w:rsidRDefault="005463FC" w:rsidP="005463FC">
            <w:pPr>
              <w:pStyle w:val="TableColumnHeadingSmall"/>
              <w:rPr>
                <w:rFonts w:cstheme="minorHAnsi"/>
                <w:sz w:val="14"/>
                <w:szCs w:val="14"/>
                <w:lang w:eastAsia="en-AU"/>
              </w:rPr>
            </w:pPr>
            <w:r>
              <w:rPr>
                <w:rFonts w:cstheme="minorHAnsi"/>
                <w:sz w:val="14"/>
                <w:szCs w:val="14"/>
                <w:lang w:eastAsia="en-AU"/>
              </w:rPr>
              <w:t> </w:t>
            </w:r>
          </w:p>
        </w:tc>
        <w:tc>
          <w:tcPr>
            <w:tcW w:w="855" w:type="dxa"/>
            <w:tcBorders>
              <w:top w:val="single" w:sz="4" w:space="0" w:color="FFFFFF" w:themeColor="background1"/>
              <w:left w:val="nil"/>
              <w:bottom w:val="single" w:sz="4" w:space="0" w:color="E02628"/>
              <w:right w:val="nil"/>
            </w:tcBorders>
            <w:shd w:val="clear" w:color="auto" w:fill="E02628"/>
            <w:noWrap/>
            <w:vAlign w:val="center"/>
            <w:hideMark/>
          </w:tcPr>
          <w:p w14:paraId="4A4DDCFC" w14:textId="77777777" w:rsidR="005463FC" w:rsidRDefault="005463FC" w:rsidP="005463FC">
            <w:pPr>
              <w:pStyle w:val="TableColumnHeadingSmall"/>
              <w:rPr>
                <w:rFonts w:cstheme="minorHAnsi"/>
                <w:sz w:val="14"/>
                <w:szCs w:val="14"/>
                <w:lang w:eastAsia="en-AU"/>
              </w:rPr>
            </w:pPr>
            <w:r>
              <w:rPr>
                <w:rFonts w:cstheme="minorHAnsi"/>
                <w:sz w:val="14"/>
                <w:szCs w:val="14"/>
                <w:lang w:eastAsia="en-AU"/>
              </w:rPr>
              <w:t> </w:t>
            </w:r>
          </w:p>
        </w:tc>
        <w:tc>
          <w:tcPr>
            <w:tcW w:w="993" w:type="dxa"/>
            <w:tcBorders>
              <w:top w:val="single" w:sz="4" w:space="0" w:color="FFFFFF" w:themeColor="background1"/>
              <w:left w:val="nil"/>
              <w:bottom w:val="single" w:sz="4" w:space="0" w:color="E02628"/>
              <w:right w:val="nil"/>
            </w:tcBorders>
            <w:shd w:val="clear" w:color="auto" w:fill="E02628"/>
            <w:noWrap/>
            <w:vAlign w:val="center"/>
            <w:hideMark/>
          </w:tcPr>
          <w:p w14:paraId="28238CFC" w14:textId="77777777" w:rsidR="005463FC" w:rsidRDefault="005463FC" w:rsidP="005463FC">
            <w:pPr>
              <w:rPr>
                <w:rFonts w:cstheme="minorHAnsi"/>
                <w:sz w:val="14"/>
                <w:szCs w:val="14"/>
                <w:lang w:eastAsia="en-AU"/>
              </w:rPr>
            </w:pPr>
          </w:p>
        </w:tc>
        <w:tc>
          <w:tcPr>
            <w:tcW w:w="925" w:type="dxa"/>
            <w:tcBorders>
              <w:top w:val="single" w:sz="4" w:space="0" w:color="FFFFFF" w:themeColor="background1"/>
              <w:left w:val="nil"/>
              <w:bottom w:val="single" w:sz="4" w:space="0" w:color="E02628"/>
              <w:right w:val="nil"/>
            </w:tcBorders>
            <w:shd w:val="clear" w:color="auto" w:fill="E02628"/>
            <w:noWrap/>
            <w:vAlign w:val="center"/>
            <w:hideMark/>
          </w:tcPr>
          <w:p w14:paraId="76E4666D" w14:textId="77777777" w:rsidR="005463FC" w:rsidRDefault="005463FC" w:rsidP="005463FC">
            <w:pPr>
              <w:pStyle w:val="TableColumnHeadingSmall"/>
              <w:rPr>
                <w:rFonts w:cstheme="minorHAnsi"/>
                <w:sz w:val="14"/>
                <w:szCs w:val="14"/>
                <w:lang w:eastAsia="en-AU"/>
              </w:rPr>
            </w:pPr>
            <w:r>
              <w:rPr>
                <w:rFonts w:cstheme="minorHAnsi"/>
                <w:sz w:val="14"/>
                <w:szCs w:val="14"/>
                <w:lang w:eastAsia="en-AU"/>
              </w:rPr>
              <w:t> </w:t>
            </w:r>
          </w:p>
        </w:tc>
        <w:tc>
          <w:tcPr>
            <w:tcW w:w="892" w:type="dxa"/>
            <w:tcBorders>
              <w:top w:val="single" w:sz="4" w:space="0" w:color="FFFFFF" w:themeColor="background1"/>
              <w:left w:val="nil"/>
              <w:bottom w:val="single" w:sz="4" w:space="0" w:color="E02628"/>
              <w:right w:val="nil"/>
            </w:tcBorders>
            <w:shd w:val="clear" w:color="auto" w:fill="E02628"/>
            <w:noWrap/>
            <w:vAlign w:val="center"/>
            <w:hideMark/>
          </w:tcPr>
          <w:p w14:paraId="333A5D5B" w14:textId="77777777" w:rsidR="005463FC" w:rsidRDefault="005463FC" w:rsidP="005463FC">
            <w:pPr>
              <w:pStyle w:val="TableColumnHeadingSmall"/>
              <w:rPr>
                <w:rFonts w:cstheme="minorHAnsi"/>
                <w:sz w:val="14"/>
                <w:szCs w:val="14"/>
                <w:lang w:eastAsia="en-AU"/>
              </w:rPr>
            </w:pPr>
            <w:r>
              <w:rPr>
                <w:rFonts w:cstheme="minorHAnsi"/>
                <w:sz w:val="14"/>
                <w:szCs w:val="14"/>
                <w:lang w:eastAsia="en-AU"/>
              </w:rPr>
              <w:t> </w:t>
            </w:r>
          </w:p>
        </w:tc>
        <w:tc>
          <w:tcPr>
            <w:tcW w:w="1077" w:type="dxa"/>
            <w:tcBorders>
              <w:top w:val="single" w:sz="4" w:space="0" w:color="FFFFFF" w:themeColor="background1"/>
              <w:left w:val="nil"/>
              <w:bottom w:val="single" w:sz="4" w:space="0" w:color="E02628"/>
              <w:right w:val="nil"/>
            </w:tcBorders>
            <w:shd w:val="clear" w:color="auto" w:fill="E02628"/>
          </w:tcPr>
          <w:p w14:paraId="611C4C57" w14:textId="77777777" w:rsidR="005463FC" w:rsidRDefault="005463FC" w:rsidP="005463FC">
            <w:pPr>
              <w:pStyle w:val="TableColumnHeadingSmall"/>
              <w:rPr>
                <w:rFonts w:cstheme="minorHAnsi"/>
                <w:sz w:val="14"/>
                <w:szCs w:val="14"/>
                <w:lang w:eastAsia="en-AU"/>
              </w:rPr>
            </w:pPr>
          </w:p>
        </w:tc>
      </w:tr>
      <w:tr w:rsidR="005463FC" w14:paraId="1D652EB4" w14:textId="77777777" w:rsidTr="005463FC">
        <w:trPr>
          <w:trHeight w:val="227"/>
          <w:tblHeader/>
        </w:trPr>
        <w:tc>
          <w:tcPr>
            <w:tcW w:w="2750" w:type="dxa"/>
            <w:tcBorders>
              <w:top w:val="single" w:sz="4" w:space="0" w:color="E02628"/>
              <w:left w:val="nil"/>
              <w:bottom w:val="single" w:sz="4" w:space="0" w:color="E02628"/>
              <w:right w:val="nil"/>
            </w:tcBorders>
            <w:shd w:val="clear" w:color="auto" w:fill="FFFFFF"/>
            <w:noWrap/>
            <w:vAlign w:val="center"/>
            <w:hideMark/>
          </w:tcPr>
          <w:p w14:paraId="24E3CF0F" w14:textId="77777777" w:rsidR="005463FC" w:rsidRDefault="005463FC" w:rsidP="005463FC">
            <w:pPr>
              <w:pStyle w:val="TableTextSmall"/>
              <w:rPr>
                <w:rFonts w:cstheme="minorHAnsi"/>
                <w:sz w:val="14"/>
                <w:szCs w:val="14"/>
                <w:lang w:eastAsia="en-AU"/>
              </w:rPr>
            </w:pPr>
            <w:r>
              <w:rPr>
                <w:rFonts w:cstheme="minorHAnsi"/>
                <w:sz w:val="14"/>
                <w:szCs w:val="14"/>
                <w:lang w:eastAsia="en-AU"/>
              </w:rPr>
              <w:t>- Studying payment recipients</w:t>
            </w:r>
          </w:p>
        </w:tc>
        <w:tc>
          <w:tcPr>
            <w:tcW w:w="1077" w:type="dxa"/>
            <w:tcBorders>
              <w:top w:val="single" w:sz="4" w:space="0" w:color="E02628"/>
              <w:left w:val="nil"/>
              <w:bottom w:val="single" w:sz="4" w:space="0" w:color="E02628"/>
              <w:right w:val="nil"/>
            </w:tcBorders>
            <w:shd w:val="clear" w:color="auto" w:fill="FFFFFF"/>
            <w:noWrap/>
            <w:hideMark/>
          </w:tcPr>
          <w:p w14:paraId="528B3A88"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371,462</w:t>
            </w:r>
          </w:p>
        </w:tc>
        <w:tc>
          <w:tcPr>
            <w:tcW w:w="907" w:type="dxa"/>
            <w:tcBorders>
              <w:top w:val="single" w:sz="4" w:space="0" w:color="E02628"/>
              <w:left w:val="nil"/>
              <w:bottom w:val="single" w:sz="4" w:space="0" w:color="E02628"/>
              <w:right w:val="nil"/>
            </w:tcBorders>
            <w:shd w:val="clear" w:color="auto" w:fill="FFFFFF"/>
            <w:noWrap/>
            <w:hideMark/>
          </w:tcPr>
          <w:p w14:paraId="42514334"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24</w:t>
            </w:r>
          </w:p>
        </w:tc>
        <w:tc>
          <w:tcPr>
            <w:tcW w:w="855" w:type="dxa"/>
            <w:tcBorders>
              <w:top w:val="single" w:sz="4" w:space="0" w:color="E02628"/>
              <w:left w:val="nil"/>
              <w:bottom w:val="single" w:sz="4" w:space="0" w:color="E02628"/>
              <w:right w:val="nil"/>
            </w:tcBorders>
            <w:shd w:val="clear" w:color="auto" w:fill="FFFFFF"/>
            <w:noWrap/>
            <w:hideMark/>
          </w:tcPr>
          <w:p w14:paraId="428C0CE3"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79</w:t>
            </w:r>
          </w:p>
        </w:tc>
        <w:tc>
          <w:tcPr>
            <w:tcW w:w="993" w:type="dxa"/>
            <w:tcBorders>
              <w:top w:val="single" w:sz="4" w:space="0" w:color="E02628"/>
              <w:left w:val="nil"/>
              <w:bottom w:val="single" w:sz="4" w:space="0" w:color="E02628"/>
              <w:right w:val="nil"/>
            </w:tcBorders>
            <w:shd w:val="clear" w:color="auto" w:fill="FFFFFF"/>
            <w:noWrap/>
            <w:hideMark/>
          </w:tcPr>
          <w:p w14:paraId="11D748FE"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8,100</w:t>
            </w:r>
          </w:p>
        </w:tc>
        <w:tc>
          <w:tcPr>
            <w:tcW w:w="925" w:type="dxa"/>
            <w:tcBorders>
              <w:top w:val="single" w:sz="4" w:space="0" w:color="E02628"/>
              <w:left w:val="nil"/>
              <w:bottom w:val="single" w:sz="4" w:space="0" w:color="E02628"/>
              <w:right w:val="nil"/>
            </w:tcBorders>
            <w:shd w:val="clear" w:color="auto" w:fill="FFFFFF"/>
            <w:noWrap/>
            <w:hideMark/>
          </w:tcPr>
          <w:p w14:paraId="0B17FAAA"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212</w:t>
            </w:r>
          </w:p>
        </w:tc>
        <w:tc>
          <w:tcPr>
            <w:tcW w:w="892" w:type="dxa"/>
            <w:tcBorders>
              <w:top w:val="single" w:sz="4" w:space="0" w:color="E02628"/>
              <w:left w:val="nil"/>
              <w:bottom w:val="single" w:sz="4" w:space="0" w:color="E02628"/>
              <w:right w:val="nil"/>
            </w:tcBorders>
            <w:shd w:val="clear" w:color="auto" w:fill="FFFFFF"/>
            <w:noWrap/>
            <w:hideMark/>
          </w:tcPr>
          <w:p w14:paraId="31F7FCB0"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26</w:t>
            </w:r>
          </w:p>
        </w:tc>
        <w:tc>
          <w:tcPr>
            <w:tcW w:w="1077" w:type="dxa"/>
            <w:tcBorders>
              <w:top w:val="single" w:sz="4" w:space="0" w:color="E02628"/>
              <w:left w:val="nil"/>
              <w:bottom w:val="single" w:sz="4" w:space="0" w:color="E02628"/>
              <w:right w:val="nil"/>
            </w:tcBorders>
            <w:shd w:val="clear" w:color="auto" w:fill="FFFFFF"/>
            <w:hideMark/>
          </w:tcPr>
          <w:p w14:paraId="11A5B6DE"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40%</w:t>
            </w:r>
          </w:p>
        </w:tc>
      </w:tr>
      <w:tr w:rsidR="005463FC" w14:paraId="2A9B1E3D" w14:textId="77777777" w:rsidTr="005463FC">
        <w:trPr>
          <w:trHeight w:val="227"/>
          <w:tblHeader/>
        </w:trPr>
        <w:tc>
          <w:tcPr>
            <w:tcW w:w="2750" w:type="dxa"/>
            <w:tcBorders>
              <w:top w:val="single" w:sz="4" w:space="0" w:color="E02628"/>
              <w:left w:val="nil"/>
              <w:bottom w:val="single" w:sz="4" w:space="0" w:color="E02628"/>
              <w:right w:val="nil"/>
            </w:tcBorders>
            <w:shd w:val="clear" w:color="auto" w:fill="FFFFFF"/>
            <w:noWrap/>
            <w:vAlign w:val="center"/>
            <w:hideMark/>
          </w:tcPr>
          <w:p w14:paraId="4DBD70E1" w14:textId="77777777" w:rsidR="005463FC" w:rsidRDefault="005463FC" w:rsidP="005463FC">
            <w:pPr>
              <w:pStyle w:val="TableTextSmall"/>
              <w:rPr>
                <w:rFonts w:cstheme="minorHAnsi"/>
                <w:sz w:val="14"/>
                <w:szCs w:val="14"/>
                <w:lang w:eastAsia="en-AU"/>
              </w:rPr>
            </w:pPr>
            <w:r>
              <w:rPr>
                <w:rFonts w:cstheme="minorHAnsi"/>
                <w:sz w:val="14"/>
                <w:szCs w:val="14"/>
                <w:lang w:eastAsia="en-AU"/>
              </w:rPr>
              <w:t>- Working age payment recipients</w:t>
            </w:r>
          </w:p>
        </w:tc>
        <w:tc>
          <w:tcPr>
            <w:tcW w:w="1077" w:type="dxa"/>
            <w:tcBorders>
              <w:top w:val="single" w:sz="4" w:space="0" w:color="E02628"/>
              <w:left w:val="nil"/>
              <w:bottom w:val="single" w:sz="4" w:space="0" w:color="E02628"/>
              <w:right w:val="nil"/>
            </w:tcBorders>
            <w:shd w:val="clear" w:color="auto" w:fill="FFFFFF"/>
            <w:noWrap/>
            <w:hideMark/>
          </w:tcPr>
          <w:p w14:paraId="77A03822"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1,301,346</w:t>
            </w:r>
          </w:p>
        </w:tc>
        <w:tc>
          <w:tcPr>
            <w:tcW w:w="907" w:type="dxa"/>
            <w:tcBorders>
              <w:top w:val="single" w:sz="4" w:space="0" w:color="E02628"/>
              <w:left w:val="nil"/>
              <w:bottom w:val="single" w:sz="4" w:space="0" w:color="E02628"/>
              <w:right w:val="nil"/>
            </w:tcBorders>
            <w:shd w:val="clear" w:color="auto" w:fill="FFFFFF"/>
            <w:noWrap/>
            <w:hideMark/>
          </w:tcPr>
          <w:p w14:paraId="58966CBB"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40</w:t>
            </w:r>
          </w:p>
        </w:tc>
        <w:tc>
          <w:tcPr>
            <w:tcW w:w="855" w:type="dxa"/>
            <w:tcBorders>
              <w:top w:val="single" w:sz="4" w:space="0" w:color="E02628"/>
              <w:left w:val="nil"/>
              <w:bottom w:val="single" w:sz="4" w:space="0" w:color="E02628"/>
              <w:right w:val="nil"/>
            </w:tcBorders>
            <w:shd w:val="clear" w:color="auto" w:fill="FFFFFF"/>
            <w:noWrap/>
            <w:hideMark/>
          </w:tcPr>
          <w:p w14:paraId="1DD62FDB"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411</w:t>
            </w:r>
          </w:p>
        </w:tc>
        <w:tc>
          <w:tcPr>
            <w:tcW w:w="993" w:type="dxa"/>
            <w:tcBorders>
              <w:top w:val="single" w:sz="4" w:space="0" w:color="E02628"/>
              <w:left w:val="nil"/>
              <w:bottom w:val="single" w:sz="4" w:space="0" w:color="E02628"/>
              <w:right w:val="nil"/>
            </w:tcBorders>
            <w:shd w:val="clear" w:color="auto" w:fill="FFFFFF"/>
            <w:noWrap/>
            <w:hideMark/>
          </w:tcPr>
          <w:p w14:paraId="3CF6A9F1"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11,200</w:t>
            </w:r>
          </w:p>
        </w:tc>
        <w:tc>
          <w:tcPr>
            <w:tcW w:w="925" w:type="dxa"/>
            <w:tcBorders>
              <w:top w:val="single" w:sz="4" w:space="0" w:color="E02628"/>
              <w:left w:val="nil"/>
              <w:bottom w:val="single" w:sz="4" w:space="0" w:color="E02628"/>
              <w:right w:val="nil"/>
            </w:tcBorders>
            <w:shd w:val="clear" w:color="auto" w:fill="FFFFFF"/>
            <w:noWrap/>
            <w:hideMark/>
          </w:tcPr>
          <w:p w14:paraId="5DE26408"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316</w:t>
            </w:r>
          </w:p>
        </w:tc>
        <w:tc>
          <w:tcPr>
            <w:tcW w:w="892" w:type="dxa"/>
            <w:tcBorders>
              <w:top w:val="single" w:sz="4" w:space="0" w:color="E02628"/>
              <w:left w:val="nil"/>
              <w:bottom w:val="single" w:sz="4" w:space="0" w:color="E02628"/>
              <w:right w:val="nil"/>
            </w:tcBorders>
            <w:shd w:val="clear" w:color="auto" w:fill="FFFFFF"/>
            <w:noWrap/>
            <w:hideMark/>
          </w:tcPr>
          <w:p w14:paraId="51246CCF"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28</w:t>
            </w:r>
          </w:p>
        </w:tc>
        <w:tc>
          <w:tcPr>
            <w:tcW w:w="1077" w:type="dxa"/>
            <w:tcBorders>
              <w:top w:val="single" w:sz="4" w:space="0" w:color="E02628"/>
              <w:left w:val="nil"/>
              <w:bottom w:val="single" w:sz="4" w:space="0" w:color="E02628"/>
              <w:right w:val="nil"/>
            </w:tcBorders>
            <w:shd w:val="clear" w:color="auto" w:fill="FFFFFF"/>
            <w:hideMark/>
          </w:tcPr>
          <w:p w14:paraId="7D6F1C3C"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62%</w:t>
            </w:r>
          </w:p>
        </w:tc>
      </w:tr>
      <w:tr w:rsidR="005463FC" w14:paraId="7A4C0F69" w14:textId="77777777" w:rsidTr="005463FC">
        <w:trPr>
          <w:trHeight w:val="227"/>
          <w:tblHeader/>
        </w:trPr>
        <w:tc>
          <w:tcPr>
            <w:tcW w:w="2750" w:type="dxa"/>
            <w:tcBorders>
              <w:top w:val="single" w:sz="4" w:space="0" w:color="E02628"/>
              <w:left w:val="nil"/>
              <w:bottom w:val="single" w:sz="4" w:space="0" w:color="E02628"/>
              <w:right w:val="nil"/>
            </w:tcBorders>
            <w:shd w:val="clear" w:color="auto" w:fill="FFFFFF"/>
            <w:noWrap/>
            <w:vAlign w:val="center"/>
            <w:hideMark/>
          </w:tcPr>
          <w:p w14:paraId="1BE3C821" w14:textId="77777777" w:rsidR="005463FC" w:rsidRDefault="005463FC" w:rsidP="005463FC">
            <w:pPr>
              <w:pStyle w:val="TableTextSmall"/>
              <w:rPr>
                <w:rFonts w:cstheme="minorHAnsi"/>
                <w:sz w:val="14"/>
                <w:szCs w:val="14"/>
                <w:lang w:eastAsia="en-AU"/>
              </w:rPr>
            </w:pPr>
            <w:r>
              <w:rPr>
                <w:rFonts w:cstheme="minorHAnsi"/>
                <w:sz w:val="14"/>
                <w:szCs w:val="14"/>
                <w:lang w:eastAsia="en-AU"/>
              </w:rPr>
              <w:t>- Parenting payment recipients</w:t>
            </w:r>
          </w:p>
        </w:tc>
        <w:tc>
          <w:tcPr>
            <w:tcW w:w="1077" w:type="dxa"/>
            <w:tcBorders>
              <w:top w:val="single" w:sz="4" w:space="0" w:color="E02628"/>
              <w:left w:val="nil"/>
              <w:bottom w:val="single" w:sz="4" w:space="0" w:color="E02628"/>
              <w:right w:val="nil"/>
            </w:tcBorders>
            <w:shd w:val="clear" w:color="auto" w:fill="FFFFFF"/>
            <w:noWrap/>
            <w:hideMark/>
          </w:tcPr>
          <w:p w14:paraId="0C8155C9"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432,641</w:t>
            </w:r>
          </w:p>
        </w:tc>
        <w:tc>
          <w:tcPr>
            <w:tcW w:w="907" w:type="dxa"/>
            <w:tcBorders>
              <w:top w:val="single" w:sz="4" w:space="0" w:color="E02628"/>
              <w:left w:val="nil"/>
              <w:bottom w:val="single" w:sz="4" w:space="0" w:color="E02628"/>
              <w:right w:val="nil"/>
            </w:tcBorders>
            <w:shd w:val="clear" w:color="auto" w:fill="FFFFFF"/>
            <w:noWrap/>
            <w:hideMark/>
          </w:tcPr>
          <w:p w14:paraId="58C4B18C"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33</w:t>
            </w:r>
          </w:p>
        </w:tc>
        <w:tc>
          <w:tcPr>
            <w:tcW w:w="855" w:type="dxa"/>
            <w:tcBorders>
              <w:top w:val="single" w:sz="4" w:space="0" w:color="E02628"/>
              <w:left w:val="nil"/>
              <w:bottom w:val="single" w:sz="4" w:space="0" w:color="E02628"/>
              <w:right w:val="nil"/>
            </w:tcBorders>
            <w:shd w:val="clear" w:color="auto" w:fill="FFFFFF"/>
            <w:noWrap/>
            <w:hideMark/>
          </w:tcPr>
          <w:p w14:paraId="0CDC242D"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210</w:t>
            </w:r>
          </w:p>
        </w:tc>
        <w:tc>
          <w:tcPr>
            <w:tcW w:w="993" w:type="dxa"/>
            <w:tcBorders>
              <w:top w:val="single" w:sz="4" w:space="0" w:color="E02628"/>
              <w:left w:val="nil"/>
              <w:bottom w:val="single" w:sz="4" w:space="0" w:color="E02628"/>
              <w:right w:val="nil"/>
            </w:tcBorders>
            <w:shd w:val="clear" w:color="auto" w:fill="FFFFFF"/>
            <w:noWrap/>
            <w:hideMark/>
          </w:tcPr>
          <w:p w14:paraId="74647D6E"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29,100</w:t>
            </w:r>
          </w:p>
        </w:tc>
        <w:tc>
          <w:tcPr>
            <w:tcW w:w="925" w:type="dxa"/>
            <w:tcBorders>
              <w:top w:val="single" w:sz="4" w:space="0" w:color="E02628"/>
              <w:left w:val="nil"/>
              <w:bottom w:val="single" w:sz="4" w:space="0" w:color="E02628"/>
              <w:right w:val="nil"/>
            </w:tcBorders>
            <w:shd w:val="clear" w:color="auto" w:fill="FFFFFF"/>
            <w:noWrap/>
            <w:hideMark/>
          </w:tcPr>
          <w:p w14:paraId="4E2CCFCF"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485</w:t>
            </w:r>
          </w:p>
        </w:tc>
        <w:tc>
          <w:tcPr>
            <w:tcW w:w="892" w:type="dxa"/>
            <w:tcBorders>
              <w:top w:val="single" w:sz="4" w:space="0" w:color="E02628"/>
              <w:left w:val="nil"/>
              <w:bottom w:val="single" w:sz="4" w:space="0" w:color="E02628"/>
              <w:right w:val="nil"/>
            </w:tcBorders>
            <w:shd w:val="clear" w:color="auto" w:fill="FFFFFF"/>
            <w:noWrap/>
            <w:hideMark/>
          </w:tcPr>
          <w:p w14:paraId="282D12F0"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17</w:t>
            </w:r>
          </w:p>
        </w:tc>
        <w:tc>
          <w:tcPr>
            <w:tcW w:w="1077" w:type="dxa"/>
            <w:tcBorders>
              <w:top w:val="single" w:sz="4" w:space="0" w:color="E02628"/>
              <w:left w:val="nil"/>
              <w:bottom w:val="single" w:sz="4" w:space="0" w:color="E02628"/>
              <w:right w:val="nil"/>
            </w:tcBorders>
            <w:shd w:val="clear" w:color="auto" w:fill="FFFFFF"/>
            <w:hideMark/>
          </w:tcPr>
          <w:p w14:paraId="643C59C0"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64%</w:t>
            </w:r>
          </w:p>
        </w:tc>
      </w:tr>
      <w:tr w:rsidR="005463FC" w14:paraId="368B5C9B" w14:textId="77777777" w:rsidTr="005463FC">
        <w:trPr>
          <w:trHeight w:val="227"/>
          <w:tblHeader/>
        </w:trPr>
        <w:tc>
          <w:tcPr>
            <w:tcW w:w="2750" w:type="dxa"/>
            <w:tcBorders>
              <w:top w:val="single" w:sz="4" w:space="0" w:color="E02628"/>
              <w:left w:val="nil"/>
              <w:bottom w:val="single" w:sz="4" w:space="0" w:color="E02628"/>
              <w:right w:val="nil"/>
            </w:tcBorders>
            <w:shd w:val="clear" w:color="auto" w:fill="FFFFFF"/>
            <w:noWrap/>
            <w:vAlign w:val="center"/>
            <w:hideMark/>
          </w:tcPr>
          <w:p w14:paraId="52F8283A" w14:textId="77777777" w:rsidR="005463FC" w:rsidRDefault="005463FC" w:rsidP="005463FC">
            <w:pPr>
              <w:pStyle w:val="TableTextSmall"/>
              <w:rPr>
                <w:rFonts w:cstheme="minorHAnsi"/>
                <w:sz w:val="14"/>
                <w:szCs w:val="14"/>
                <w:lang w:eastAsia="en-AU"/>
              </w:rPr>
            </w:pPr>
            <w:r>
              <w:rPr>
                <w:rFonts w:cstheme="minorHAnsi"/>
                <w:sz w:val="14"/>
                <w:szCs w:val="14"/>
                <w:lang w:eastAsia="en-AU"/>
              </w:rPr>
              <w:t>- Carer payment recipients</w:t>
            </w:r>
          </w:p>
        </w:tc>
        <w:tc>
          <w:tcPr>
            <w:tcW w:w="1077" w:type="dxa"/>
            <w:tcBorders>
              <w:top w:val="single" w:sz="4" w:space="0" w:color="E02628"/>
              <w:left w:val="nil"/>
              <w:bottom w:val="single" w:sz="4" w:space="0" w:color="E02628"/>
              <w:right w:val="nil"/>
            </w:tcBorders>
            <w:shd w:val="clear" w:color="auto" w:fill="FFFFFF"/>
            <w:noWrap/>
            <w:hideMark/>
          </w:tcPr>
          <w:p w14:paraId="152C274B"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277,220</w:t>
            </w:r>
          </w:p>
        </w:tc>
        <w:tc>
          <w:tcPr>
            <w:tcW w:w="907" w:type="dxa"/>
            <w:tcBorders>
              <w:top w:val="single" w:sz="4" w:space="0" w:color="E02628"/>
              <w:left w:val="nil"/>
              <w:bottom w:val="single" w:sz="4" w:space="0" w:color="E02628"/>
              <w:right w:val="nil"/>
            </w:tcBorders>
            <w:shd w:val="clear" w:color="auto" w:fill="FFFFFF"/>
            <w:noWrap/>
            <w:hideMark/>
          </w:tcPr>
          <w:p w14:paraId="59EC2323"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51</w:t>
            </w:r>
          </w:p>
        </w:tc>
        <w:tc>
          <w:tcPr>
            <w:tcW w:w="855" w:type="dxa"/>
            <w:tcBorders>
              <w:top w:val="single" w:sz="4" w:space="0" w:color="E02628"/>
              <w:left w:val="nil"/>
              <w:bottom w:val="single" w:sz="4" w:space="0" w:color="E02628"/>
              <w:right w:val="nil"/>
            </w:tcBorders>
            <w:shd w:val="clear" w:color="auto" w:fill="FFFFFF"/>
            <w:noWrap/>
            <w:hideMark/>
          </w:tcPr>
          <w:p w14:paraId="530CED13"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125</w:t>
            </w:r>
          </w:p>
        </w:tc>
        <w:tc>
          <w:tcPr>
            <w:tcW w:w="993" w:type="dxa"/>
            <w:tcBorders>
              <w:top w:val="single" w:sz="4" w:space="0" w:color="E02628"/>
              <w:left w:val="nil"/>
              <w:bottom w:val="single" w:sz="4" w:space="0" w:color="E02628"/>
              <w:right w:val="nil"/>
            </w:tcBorders>
            <w:shd w:val="clear" w:color="auto" w:fill="FFFFFF"/>
            <w:noWrap/>
            <w:hideMark/>
          </w:tcPr>
          <w:p w14:paraId="31EFD94E"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26,700</w:t>
            </w:r>
          </w:p>
        </w:tc>
        <w:tc>
          <w:tcPr>
            <w:tcW w:w="925" w:type="dxa"/>
            <w:tcBorders>
              <w:top w:val="single" w:sz="4" w:space="0" w:color="E02628"/>
              <w:left w:val="nil"/>
              <w:bottom w:val="single" w:sz="4" w:space="0" w:color="E02628"/>
              <w:right w:val="nil"/>
            </w:tcBorders>
            <w:shd w:val="clear" w:color="auto" w:fill="FFFFFF"/>
            <w:noWrap/>
            <w:hideMark/>
          </w:tcPr>
          <w:p w14:paraId="59705249"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449</w:t>
            </w:r>
          </w:p>
        </w:tc>
        <w:tc>
          <w:tcPr>
            <w:tcW w:w="892" w:type="dxa"/>
            <w:tcBorders>
              <w:top w:val="single" w:sz="4" w:space="0" w:color="E02628"/>
              <w:left w:val="nil"/>
              <w:bottom w:val="single" w:sz="4" w:space="0" w:color="E02628"/>
              <w:right w:val="nil"/>
            </w:tcBorders>
            <w:shd w:val="clear" w:color="auto" w:fill="FFFFFF"/>
            <w:noWrap/>
            <w:hideMark/>
          </w:tcPr>
          <w:p w14:paraId="4511A943"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17</w:t>
            </w:r>
          </w:p>
        </w:tc>
        <w:tc>
          <w:tcPr>
            <w:tcW w:w="1077" w:type="dxa"/>
            <w:tcBorders>
              <w:top w:val="single" w:sz="4" w:space="0" w:color="E02628"/>
              <w:left w:val="nil"/>
              <w:bottom w:val="single" w:sz="4" w:space="0" w:color="E02628"/>
              <w:right w:val="nil"/>
            </w:tcBorders>
            <w:shd w:val="clear" w:color="auto" w:fill="FFFFFF"/>
            <w:hideMark/>
          </w:tcPr>
          <w:p w14:paraId="51975B03"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84%</w:t>
            </w:r>
          </w:p>
        </w:tc>
      </w:tr>
      <w:tr w:rsidR="005463FC" w14:paraId="35369809" w14:textId="77777777" w:rsidTr="005463FC">
        <w:trPr>
          <w:trHeight w:val="227"/>
          <w:tblHeader/>
        </w:trPr>
        <w:tc>
          <w:tcPr>
            <w:tcW w:w="2750" w:type="dxa"/>
            <w:tcBorders>
              <w:top w:val="single" w:sz="4" w:space="0" w:color="E02628"/>
              <w:left w:val="nil"/>
              <w:bottom w:val="single" w:sz="4" w:space="0" w:color="E02628"/>
              <w:right w:val="nil"/>
            </w:tcBorders>
            <w:shd w:val="clear" w:color="auto" w:fill="FFFFFF"/>
            <w:noWrap/>
            <w:vAlign w:val="center"/>
            <w:hideMark/>
          </w:tcPr>
          <w:p w14:paraId="1B6C69F9" w14:textId="77777777" w:rsidR="005463FC" w:rsidRDefault="005463FC" w:rsidP="005463FC">
            <w:pPr>
              <w:pStyle w:val="TableTextSmall"/>
              <w:rPr>
                <w:rFonts w:cstheme="minorHAnsi"/>
                <w:sz w:val="14"/>
                <w:szCs w:val="14"/>
                <w:lang w:eastAsia="en-AU"/>
              </w:rPr>
            </w:pPr>
            <w:r>
              <w:rPr>
                <w:rFonts w:cstheme="minorHAnsi"/>
                <w:sz w:val="14"/>
                <w:szCs w:val="14"/>
                <w:lang w:eastAsia="en-AU"/>
              </w:rPr>
              <w:t>- Disability support pensioners</w:t>
            </w:r>
          </w:p>
        </w:tc>
        <w:tc>
          <w:tcPr>
            <w:tcW w:w="1077" w:type="dxa"/>
            <w:tcBorders>
              <w:top w:val="single" w:sz="4" w:space="0" w:color="E02628"/>
              <w:left w:val="nil"/>
              <w:bottom w:val="single" w:sz="4" w:space="0" w:color="E02628"/>
              <w:right w:val="nil"/>
            </w:tcBorders>
            <w:shd w:val="clear" w:color="auto" w:fill="FFFFFF"/>
            <w:noWrap/>
            <w:hideMark/>
          </w:tcPr>
          <w:p w14:paraId="292A29C2"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760,148</w:t>
            </w:r>
          </w:p>
        </w:tc>
        <w:tc>
          <w:tcPr>
            <w:tcW w:w="907" w:type="dxa"/>
            <w:tcBorders>
              <w:top w:val="single" w:sz="4" w:space="0" w:color="E02628"/>
              <w:left w:val="nil"/>
              <w:bottom w:val="single" w:sz="4" w:space="0" w:color="E02628"/>
              <w:right w:val="nil"/>
            </w:tcBorders>
            <w:shd w:val="clear" w:color="auto" w:fill="FFFFFF"/>
            <w:noWrap/>
            <w:hideMark/>
          </w:tcPr>
          <w:p w14:paraId="5190C913"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50</w:t>
            </w:r>
          </w:p>
        </w:tc>
        <w:tc>
          <w:tcPr>
            <w:tcW w:w="855" w:type="dxa"/>
            <w:tcBorders>
              <w:top w:val="single" w:sz="4" w:space="0" w:color="E02628"/>
              <w:left w:val="nil"/>
              <w:bottom w:val="single" w:sz="4" w:space="0" w:color="E02628"/>
              <w:right w:val="nil"/>
            </w:tcBorders>
            <w:shd w:val="clear" w:color="auto" w:fill="FFFFFF"/>
            <w:noWrap/>
            <w:hideMark/>
          </w:tcPr>
          <w:p w14:paraId="3A7EB053"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351</w:t>
            </w:r>
          </w:p>
        </w:tc>
        <w:tc>
          <w:tcPr>
            <w:tcW w:w="993" w:type="dxa"/>
            <w:tcBorders>
              <w:top w:val="single" w:sz="4" w:space="0" w:color="E02628"/>
              <w:left w:val="nil"/>
              <w:bottom w:val="single" w:sz="4" w:space="0" w:color="E02628"/>
              <w:right w:val="nil"/>
            </w:tcBorders>
            <w:shd w:val="clear" w:color="auto" w:fill="FFFFFF"/>
            <w:noWrap/>
            <w:hideMark/>
          </w:tcPr>
          <w:p w14:paraId="293F3280"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22,000</w:t>
            </w:r>
          </w:p>
        </w:tc>
        <w:tc>
          <w:tcPr>
            <w:tcW w:w="925" w:type="dxa"/>
            <w:tcBorders>
              <w:top w:val="single" w:sz="4" w:space="0" w:color="E02628"/>
              <w:left w:val="nil"/>
              <w:bottom w:val="single" w:sz="4" w:space="0" w:color="E02628"/>
              <w:right w:val="nil"/>
            </w:tcBorders>
            <w:shd w:val="clear" w:color="auto" w:fill="FFFFFF"/>
            <w:noWrap/>
            <w:hideMark/>
          </w:tcPr>
          <w:p w14:paraId="788123E0"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462</w:t>
            </w:r>
          </w:p>
        </w:tc>
        <w:tc>
          <w:tcPr>
            <w:tcW w:w="892" w:type="dxa"/>
            <w:tcBorders>
              <w:top w:val="single" w:sz="4" w:space="0" w:color="E02628"/>
              <w:left w:val="nil"/>
              <w:bottom w:val="single" w:sz="4" w:space="0" w:color="E02628"/>
              <w:right w:val="nil"/>
            </w:tcBorders>
            <w:shd w:val="clear" w:color="auto" w:fill="FFFFFF"/>
            <w:noWrap/>
            <w:hideMark/>
          </w:tcPr>
          <w:p w14:paraId="0D4A3E3E"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21</w:t>
            </w:r>
          </w:p>
        </w:tc>
        <w:tc>
          <w:tcPr>
            <w:tcW w:w="1077" w:type="dxa"/>
            <w:tcBorders>
              <w:top w:val="single" w:sz="4" w:space="0" w:color="E02628"/>
              <w:left w:val="nil"/>
              <w:bottom w:val="single" w:sz="4" w:space="0" w:color="E02628"/>
              <w:right w:val="nil"/>
            </w:tcBorders>
            <w:shd w:val="clear" w:color="auto" w:fill="FFFFFF"/>
            <w:hideMark/>
          </w:tcPr>
          <w:p w14:paraId="7442795B"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94%</w:t>
            </w:r>
          </w:p>
        </w:tc>
      </w:tr>
      <w:tr w:rsidR="005463FC" w14:paraId="50BC0FF7" w14:textId="77777777" w:rsidTr="005463FC">
        <w:trPr>
          <w:trHeight w:val="227"/>
          <w:tblHeader/>
        </w:trPr>
        <w:tc>
          <w:tcPr>
            <w:tcW w:w="2750" w:type="dxa"/>
            <w:tcBorders>
              <w:top w:val="single" w:sz="4" w:space="0" w:color="E02628"/>
              <w:left w:val="nil"/>
              <w:bottom w:val="single" w:sz="4" w:space="0" w:color="E02628"/>
              <w:right w:val="nil"/>
            </w:tcBorders>
            <w:shd w:val="clear" w:color="auto" w:fill="FFFFFF"/>
            <w:noWrap/>
            <w:vAlign w:val="center"/>
            <w:hideMark/>
          </w:tcPr>
          <w:p w14:paraId="0A737467" w14:textId="77777777" w:rsidR="005463FC" w:rsidRDefault="005463FC" w:rsidP="005463FC">
            <w:pPr>
              <w:pStyle w:val="TableTextSmall"/>
              <w:rPr>
                <w:rFonts w:cstheme="minorHAnsi"/>
                <w:sz w:val="14"/>
                <w:szCs w:val="14"/>
                <w:lang w:eastAsia="en-AU"/>
              </w:rPr>
            </w:pPr>
            <w:r>
              <w:rPr>
                <w:rFonts w:cstheme="minorHAnsi"/>
                <w:sz w:val="14"/>
                <w:szCs w:val="14"/>
                <w:lang w:eastAsia="en-AU"/>
              </w:rPr>
              <w:t>- Age pensioners</w:t>
            </w:r>
          </w:p>
        </w:tc>
        <w:tc>
          <w:tcPr>
            <w:tcW w:w="1077" w:type="dxa"/>
            <w:tcBorders>
              <w:top w:val="single" w:sz="4" w:space="0" w:color="E02628"/>
              <w:left w:val="nil"/>
              <w:bottom w:val="single" w:sz="4" w:space="0" w:color="E02628"/>
              <w:right w:val="nil"/>
            </w:tcBorders>
            <w:shd w:val="clear" w:color="auto" w:fill="FFFFFF"/>
            <w:noWrap/>
            <w:hideMark/>
          </w:tcPr>
          <w:p w14:paraId="0A4552D0"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2,594,978</w:t>
            </w:r>
          </w:p>
        </w:tc>
        <w:tc>
          <w:tcPr>
            <w:tcW w:w="907" w:type="dxa"/>
            <w:tcBorders>
              <w:top w:val="single" w:sz="4" w:space="0" w:color="E02628"/>
              <w:left w:val="nil"/>
              <w:bottom w:val="single" w:sz="4" w:space="0" w:color="E02628"/>
              <w:right w:val="nil"/>
            </w:tcBorders>
            <w:shd w:val="clear" w:color="auto" w:fill="FFFFFF"/>
            <w:noWrap/>
            <w:hideMark/>
          </w:tcPr>
          <w:p w14:paraId="20869C4D"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76</w:t>
            </w:r>
          </w:p>
        </w:tc>
        <w:tc>
          <w:tcPr>
            <w:tcW w:w="855" w:type="dxa"/>
            <w:tcBorders>
              <w:top w:val="single" w:sz="4" w:space="0" w:color="E02628"/>
              <w:left w:val="nil"/>
              <w:bottom w:val="single" w:sz="4" w:space="0" w:color="E02628"/>
              <w:right w:val="nil"/>
            </w:tcBorders>
            <w:shd w:val="clear" w:color="auto" w:fill="FFFFFF"/>
            <w:noWrap/>
            <w:hideMark/>
          </w:tcPr>
          <w:p w14:paraId="67270C4A"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542</w:t>
            </w:r>
          </w:p>
        </w:tc>
        <w:tc>
          <w:tcPr>
            <w:tcW w:w="993" w:type="dxa"/>
            <w:tcBorders>
              <w:top w:val="single" w:sz="4" w:space="0" w:color="E02628"/>
              <w:left w:val="nil"/>
              <w:bottom w:val="single" w:sz="4" w:space="0" w:color="E02628"/>
              <w:right w:val="nil"/>
            </w:tcBorders>
            <w:shd w:val="clear" w:color="auto" w:fill="FFFFFF"/>
            <w:noWrap/>
            <w:hideMark/>
          </w:tcPr>
          <w:p w14:paraId="600F5650"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16,900</w:t>
            </w:r>
          </w:p>
        </w:tc>
        <w:tc>
          <w:tcPr>
            <w:tcW w:w="925" w:type="dxa"/>
            <w:tcBorders>
              <w:top w:val="single" w:sz="4" w:space="0" w:color="E02628"/>
              <w:left w:val="nil"/>
              <w:bottom w:val="single" w:sz="4" w:space="0" w:color="E02628"/>
              <w:right w:val="nil"/>
            </w:tcBorders>
            <w:shd w:val="clear" w:color="auto" w:fill="FFFFFF"/>
            <w:noWrap/>
            <w:hideMark/>
          </w:tcPr>
          <w:p w14:paraId="476F1653"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209</w:t>
            </w:r>
          </w:p>
        </w:tc>
        <w:tc>
          <w:tcPr>
            <w:tcW w:w="892" w:type="dxa"/>
            <w:tcBorders>
              <w:top w:val="single" w:sz="4" w:space="0" w:color="E02628"/>
              <w:left w:val="nil"/>
              <w:bottom w:val="single" w:sz="4" w:space="0" w:color="E02628"/>
              <w:right w:val="nil"/>
            </w:tcBorders>
            <w:shd w:val="clear" w:color="auto" w:fill="FFFFFF"/>
            <w:noWrap/>
            <w:hideMark/>
          </w:tcPr>
          <w:p w14:paraId="0BB85123"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12</w:t>
            </w:r>
          </w:p>
        </w:tc>
        <w:tc>
          <w:tcPr>
            <w:tcW w:w="1077" w:type="dxa"/>
            <w:tcBorders>
              <w:top w:val="single" w:sz="4" w:space="0" w:color="E02628"/>
              <w:left w:val="nil"/>
              <w:bottom w:val="single" w:sz="4" w:space="0" w:color="E02628"/>
              <w:right w:val="nil"/>
            </w:tcBorders>
            <w:shd w:val="clear" w:color="auto" w:fill="FFFFFF"/>
            <w:hideMark/>
          </w:tcPr>
          <w:p w14:paraId="390D5D2B"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94%</w:t>
            </w:r>
          </w:p>
        </w:tc>
      </w:tr>
      <w:tr w:rsidR="005463FC" w14:paraId="233A49A6" w14:textId="77777777" w:rsidTr="005463FC">
        <w:trPr>
          <w:trHeight w:val="227"/>
          <w:tblHeader/>
        </w:trPr>
        <w:tc>
          <w:tcPr>
            <w:tcW w:w="2750" w:type="dxa"/>
            <w:tcBorders>
              <w:top w:val="single" w:sz="4" w:space="0" w:color="E02628"/>
              <w:left w:val="nil"/>
              <w:bottom w:val="single" w:sz="4" w:space="0" w:color="E02628"/>
              <w:right w:val="nil"/>
            </w:tcBorders>
            <w:shd w:val="clear" w:color="auto" w:fill="FFFFFF"/>
            <w:noWrap/>
            <w:vAlign w:val="center"/>
            <w:hideMark/>
          </w:tcPr>
          <w:p w14:paraId="59BD4C4C" w14:textId="77777777" w:rsidR="005463FC" w:rsidRDefault="005463FC" w:rsidP="005463FC">
            <w:pPr>
              <w:pStyle w:val="TableTextSmall"/>
              <w:rPr>
                <w:rFonts w:cstheme="minorHAnsi"/>
                <w:sz w:val="14"/>
                <w:szCs w:val="14"/>
                <w:lang w:eastAsia="en-AU"/>
              </w:rPr>
            </w:pPr>
            <w:r>
              <w:rPr>
                <w:rFonts w:cstheme="minorHAnsi"/>
                <w:sz w:val="14"/>
                <w:szCs w:val="14"/>
                <w:lang w:eastAsia="en-AU"/>
              </w:rPr>
              <w:t>- Family non IS clients</w:t>
            </w:r>
          </w:p>
        </w:tc>
        <w:tc>
          <w:tcPr>
            <w:tcW w:w="1077" w:type="dxa"/>
            <w:tcBorders>
              <w:top w:val="single" w:sz="4" w:space="0" w:color="E02628"/>
              <w:left w:val="nil"/>
              <w:bottom w:val="single" w:sz="4" w:space="0" w:color="E02628"/>
              <w:right w:val="nil"/>
            </w:tcBorders>
            <w:shd w:val="clear" w:color="auto" w:fill="FFFFFF"/>
            <w:noWrap/>
            <w:hideMark/>
          </w:tcPr>
          <w:p w14:paraId="4E24EA15"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1,543,972</w:t>
            </w:r>
          </w:p>
        </w:tc>
        <w:tc>
          <w:tcPr>
            <w:tcW w:w="907" w:type="dxa"/>
            <w:tcBorders>
              <w:top w:val="single" w:sz="4" w:space="0" w:color="E02628"/>
              <w:left w:val="nil"/>
              <w:bottom w:val="single" w:sz="4" w:space="0" w:color="E02628"/>
              <w:right w:val="nil"/>
            </w:tcBorders>
            <w:shd w:val="clear" w:color="auto" w:fill="FFFFFF"/>
            <w:noWrap/>
            <w:hideMark/>
          </w:tcPr>
          <w:p w14:paraId="793505BC"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40</w:t>
            </w:r>
          </w:p>
        </w:tc>
        <w:tc>
          <w:tcPr>
            <w:tcW w:w="855" w:type="dxa"/>
            <w:tcBorders>
              <w:top w:val="single" w:sz="4" w:space="0" w:color="E02628"/>
              <w:left w:val="nil"/>
              <w:bottom w:val="single" w:sz="4" w:space="0" w:color="E02628"/>
              <w:right w:val="nil"/>
            </w:tcBorders>
            <w:shd w:val="clear" w:color="auto" w:fill="FFFFFF"/>
            <w:noWrap/>
            <w:hideMark/>
          </w:tcPr>
          <w:p w14:paraId="022A02E6"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303</w:t>
            </w:r>
          </w:p>
        </w:tc>
        <w:tc>
          <w:tcPr>
            <w:tcW w:w="993" w:type="dxa"/>
            <w:tcBorders>
              <w:top w:val="single" w:sz="4" w:space="0" w:color="E02628"/>
              <w:left w:val="nil"/>
              <w:bottom w:val="single" w:sz="4" w:space="0" w:color="E02628"/>
              <w:right w:val="nil"/>
            </w:tcBorders>
            <w:shd w:val="clear" w:color="auto" w:fill="FFFFFF"/>
            <w:noWrap/>
            <w:hideMark/>
          </w:tcPr>
          <w:p w14:paraId="20BDDFF0"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5,400</w:t>
            </w:r>
          </w:p>
        </w:tc>
        <w:tc>
          <w:tcPr>
            <w:tcW w:w="925" w:type="dxa"/>
            <w:tcBorders>
              <w:top w:val="single" w:sz="4" w:space="0" w:color="E02628"/>
              <w:left w:val="nil"/>
              <w:bottom w:val="single" w:sz="4" w:space="0" w:color="E02628"/>
              <w:right w:val="nil"/>
            </w:tcBorders>
            <w:shd w:val="clear" w:color="auto" w:fill="FFFFFF"/>
            <w:noWrap/>
            <w:hideMark/>
          </w:tcPr>
          <w:p w14:paraId="2F44BE60"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197</w:t>
            </w:r>
          </w:p>
        </w:tc>
        <w:tc>
          <w:tcPr>
            <w:tcW w:w="892" w:type="dxa"/>
            <w:tcBorders>
              <w:top w:val="single" w:sz="4" w:space="0" w:color="E02628"/>
              <w:left w:val="nil"/>
              <w:bottom w:val="single" w:sz="4" w:space="0" w:color="E02628"/>
              <w:right w:val="nil"/>
            </w:tcBorders>
            <w:shd w:val="clear" w:color="auto" w:fill="FFFFFF"/>
            <w:noWrap/>
            <w:hideMark/>
          </w:tcPr>
          <w:p w14:paraId="7B483E97"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36</w:t>
            </w:r>
          </w:p>
        </w:tc>
        <w:tc>
          <w:tcPr>
            <w:tcW w:w="1077" w:type="dxa"/>
            <w:tcBorders>
              <w:top w:val="single" w:sz="4" w:space="0" w:color="E02628"/>
              <w:left w:val="nil"/>
              <w:bottom w:val="single" w:sz="4" w:space="0" w:color="E02628"/>
              <w:right w:val="nil"/>
            </w:tcBorders>
            <w:shd w:val="clear" w:color="auto" w:fill="FFFFFF"/>
            <w:hideMark/>
          </w:tcPr>
          <w:p w14:paraId="1D961F45"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38%</w:t>
            </w:r>
          </w:p>
        </w:tc>
      </w:tr>
      <w:tr w:rsidR="005463FC" w14:paraId="2DCCD13C" w14:textId="77777777" w:rsidTr="005463FC">
        <w:trPr>
          <w:trHeight w:val="227"/>
          <w:tblHeader/>
        </w:trPr>
        <w:tc>
          <w:tcPr>
            <w:tcW w:w="2750" w:type="dxa"/>
            <w:tcBorders>
              <w:top w:val="single" w:sz="4" w:space="0" w:color="E02628"/>
              <w:left w:val="nil"/>
              <w:bottom w:val="single" w:sz="4" w:space="0" w:color="E02628"/>
              <w:right w:val="nil"/>
            </w:tcBorders>
            <w:shd w:val="clear" w:color="auto" w:fill="FFFFFF"/>
            <w:noWrap/>
            <w:vAlign w:val="center"/>
            <w:hideMark/>
          </w:tcPr>
          <w:p w14:paraId="0E2825E5" w14:textId="77777777" w:rsidR="005463FC" w:rsidRDefault="005463FC" w:rsidP="005463FC">
            <w:pPr>
              <w:pStyle w:val="TableTextSmall"/>
              <w:rPr>
                <w:rFonts w:cstheme="minorHAnsi"/>
                <w:sz w:val="14"/>
                <w:szCs w:val="14"/>
                <w:lang w:eastAsia="en-AU"/>
              </w:rPr>
            </w:pPr>
            <w:r>
              <w:rPr>
                <w:rFonts w:cstheme="minorHAnsi"/>
                <w:sz w:val="14"/>
                <w:szCs w:val="14"/>
                <w:lang w:eastAsia="en-AU"/>
              </w:rPr>
              <w:t>- Carer non IS clients</w:t>
            </w:r>
          </w:p>
        </w:tc>
        <w:tc>
          <w:tcPr>
            <w:tcW w:w="1077" w:type="dxa"/>
            <w:tcBorders>
              <w:top w:val="single" w:sz="4" w:space="0" w:color="E02628"/>
              <w:left w:val="nil"/>
              <w:bottom w:val="single" w:sz="4" w:space="0" w:color="E02628"/>
              <w:right w:val="nil"/>
            </w:tcBorders>
            <w:shd w:val="clear" w:color="auto" w:fill="FFFFFF"/>
            <w:noWrap/>
            <w:hideMark/>
          </w:tcPr>
          <w:p w14:paraId="35428BB2"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202,505</w:t>
            </w:r>
          </w:p>
        </w:tc>
        <w:tc>
          <w:tcPr>
            <w:tcW w:w="907" w:type="dxa"/>
            <w:tcBorders>
              <w:top w:val="single" w:sz="4" w:space="0" w:color="E02628"/>
              <w:left w:val="nil"/>
              <w:bottom w:val="single" w:sz="4" w:space="0" w:color="E02628"/>
              <w:right w:val="nil"/>
            </w:tcBorders>
            <w:shd w:val="clear" w:color="auto" w:fill="FFFFFF"/>
            <w:noWrap/>
            <w:hideMark/>
          </w:tcPr>
          <w:p w14:paraId="54F60CC5"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51</w:t>
            </w:r>
          </w:p>
        </w:tc>
        <w:tc>
          <w:tcPr>
            <w:tcW w:w="855" w:type="dxa"/>
            <w:tcBorders>
              <w:top w:val="single" w:sz="4" w:space="0" w:color="E02628"/>
              <w:left w:val="nil"/>
              <w:bottom w:val="single" w:sz="4" w:space="0" w:color="E02628"/>
              <w:right w:val="nil"/>
            </w:tcBorders>
            <w:shd w:val="clear" w:color="auto" w:fill="FFFFFF"/>
            <w:noWrap/>
            <w:hideMark/>
          </w:tcPr>
          <w:p w14:paraId="7E54CAFD"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42</w:t>
            </w:r>
          </w:p>
        </w:tc>
        <w:tc>
          <w:tcPr>
            <w:tcW w:w="993" w:type="dxa"/>
            <w:tcBorders>
              <w:top w:val="single" w:sz="4" w:space="0" w:color="E02628"/>
              <w:left w:val="nil"/>
              <w:bottom w:val="single" w:sz="4" w:space="0" w:color="E02628"/>
              <w:right w:val="nil"/>
            </w:tcBorders>
            <w:shd w:val="clear" w:color="auto" w:fill="FFFFFF"/>
            <w:noWrap/>
            <w:hideMark/>
          </w:tcPr>
          <w:p w14:paraId="15FC3B8E"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6,700</w:t>
            </w:r>
          </w:p>
        </w:tc>
        <w:tc>
          <w:tcPr>
            <w:tcW w:w="925" w:type="dxa"/>
            <w:tcBorders>
              <w:top w:val="single" w:sz="4" w:space="0" w:color="E02628"/>
              <w:left w:val="nil"/>
              <w:bottom w:val="single" w:sz="4" w:space="0" w:color="E02628"/>
              <w:right w:val="nil"/>
            </w:tcBorders>
            <w:shd w:val="clear" w:color="auto" w:fill="FFFFFF"/>
            <w:noWrap/>
            <w:hideMark/>
          </w:tcPr>
          <w:p w14:paraId="088582F1"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207</w:t>
            </w:r>
          </w:p>
        </w:tc>
        <w:tc>
          <w:tcPr>
            <w:tcW w:w="892" w:type="dxa"/>
            <w:tcBorders>
              <w:top w:val="single" w:sz="4" w:space="0" w:color="E02628"/>
              <w:left w:val="nil"/>
              <w:bottom w:val="single" w:sz="4" w:space="0" w:color="E02628"/>
              <w:right w:val="nil"/>
            </w:tcBorders>
            <w:shd w:val="clear" w:color="auto" w:fill="FFFFFF"/>
            <w:noWrap/>
            <w:hideMark/>
          </w:tcPr>
          <w:p w14:paraId="04FD0E8D"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31</w:t>
            </w:r>
          </w:p>
        </w:tc>
        <w:tc>
          <w:tcPr>
            <w:tcW w:w="1077" w:type="dxa"/>
            <w:tcBorders>
              <w:top w:val="single" w:sz="4" w:space="0" w:color="E02628"/>
              <w:left w:val="nil"/>
              <w:bottom w:val="single" w:sz="4" w:space="0" w:color="E02628"/>
              <w:right w:val="nil"/>
            </w:tcBorders>
            <w:shd w:val="clear" w:color="auto" w:fill="FFFFFF"/>
            <w:hideMark/>
          </w:tcPr>
          <w:p w14:paraId="7B23F722"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43%</w:t>
            </w:r>
          </w:p>
        </w:tc>
      </w:tr>
      <w:tr w:rsidR="005463FC" w14:paraId="30BA2E46" w14:textId="77777777" w:rsidTr="005463FC">
        <w:trPr>
          <w:trHeight w:val="227"/>
          <w:tblHeader/>
        </w:trPr>
        <w:tc>
          <w:tcPr>
            <w:tcW w:w="2750" w:type="dxa"/>
            <w:tcBorders>
              <w:top w:val="single" w:sz="4" w:space="0" w:color="E02628"/>
              <w:left w:val="nil"/>
              <w:bottom w:val="single" w:sz="4" w:space="0" w:color="E02628"/>
              <w:right w:val="nil"/>
            </w:tcBorders>
            <w:shd w:val="clear" w:color="auto" w:fill="FFFFFF"/>
            <w:noWrap/>
            <w:vAlign w:val="center"/>
            <w:hideMark/>
          </w:tcPr>
          <w:p w14:paraId="2583A445" w14:textId="77777777" w:rsidR="005463FC" w:rsidRDefault="005463FC" w:rsidP="005463FC">
            <w:pPr>
              <w:pStyle w:val="TableTextSmall"/>
              <w:rPr>
                <w:rFonts w:cstheme="minorHAnsi"/>
                <w:sz w:val="14"/>
                <w:szCs w:val="14"/>
                <w:lang w:eastAsia="en-AU"/>
              </w:rPr>
            </w:pPr>
            <w:r>
              <w:rPr>
                <w:rFonts w:cstheme="minorHAnsi"/>
                <w:sz w:val="14"/>
                <w:szCs w:val="14"/>
                <w:lang w:eastAsia="en-AU"/>
              </w:rPr>
              <w:t>- Other non IS clients</w:t>
            </w:r>
          </w:p>
        </w:tc>
        <w:tc>
          <w:tcPr>
            <w:tcW w:w="1077" w:type="dxa"/>
            <w:tcBorders>
              <w:top w:val="single" w:sz="4" w:space="0" w:color="E02628"/>
              <w:left w:val="nil"/>
              <w:bottom w:val="single" w:sz="4" w:space="0" w:color="E02628"/>
              <w:right w:val="nil"/>
            </w:tcBorders>
            <w:shd w:val="clear" w:color="auto" w:fill="FFFFFF"/>
            <w:noWrap/>
            <w:hideMark/>
          </w:tcPr>
          <w:p w14:paraId="4641AAC1"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557,092</w:t>
            </w:r>
          </w:p>
        </w:tc>
        <w:tc>
          <w:tcPr>
            <w:tcW w:w="907" w:type="dxa"/>
            <w:tcBorders>
              <w:top w:val="single" w:sz="4" w:space="0" w:color="E02628"/>
              <w:left w:val="nil"/>
              <w:bottom w:val="single" w:sz="4" w:space="0" w:color="E02628"/>
              <w:right w:val="nil"/>
            </w:tcBorders>
            <w:shd w:val="clear" w:color="auto" w:fill="FFFFFF"/>
            <w:noWrap/>
            <w:hideMark/>
          </w:tcPr>
          <w:p w14:paraId="60409716"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54</w:t>
            </w:r>
          </w:p>
        </w:tc>
        <w:tc>
          <w:tcPr>
            <w:tcW w:w="855" w:type="dxa"/>
            <w:tcBorders>
              <w:top w:val="single" w:sz="4" w:space="0" w:color="E02628"/>
              <w:left w:val="nil"/>
              <w:bottom w:val="single" w:sz="4" w:space="0" w:color="E02628"/>
              <w:right w:val="nil"/>
            </w:tcBorders>
            <w:shd w:val="clear" w:color="auto" w:fill="FFFFFF"/>
            <w:noWrap/>
            <w:hideMark/>
          </w:tcPr>
          <w:p w14:paraId="28F11331"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72</w:t>
            </w:r>
          </w:p>
        </w:tc>
        <w:tc>
          <w:tcPr>
            <w:tcW w:w="993" w:type="dxa"/>
            <w:tcBorders>
              <w:top w:val="single" w:sz="4" w:space="0" w:color="E02628"/>
              <w:left w:val="nil"/>
              <w:bottom w:val="single" w:sz="4" w:space="0" w:color="E02628"/>
              <w:right w:val="nil"/>
            </w:tcBorders>
            <w:shd w:val="clear" w:color="auto" w:fill="FFFFFF"/>
            <w:noWrap/>
            <w:hideMark/>
          </w:tcPr>
          <w:p w14:paraId="4379FD5E"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2,800</w:t>
            </w:r>
          </w:p>
        </w:tc>
        <w:tc>
          <w:tcPr>
            <w:tcW w:w="925" w:type="dxa"/>
            <w:tcBorders>
              <w:top w:val="single" w:sz="4" w:space="0" w:color="E02628"/>
              <w:left w:val="nil"/>
              <w:bottom w:val="single" w:sz="4" w:space="0" w:color="E02628"/>
              <w:right w:val="nil"/>
            </w:tcBorders>
            <w:shd w:val="clear" w:color="auto" w:fill="FFFFFF"/>
            <w:noWrap/>
            <w:hideMark/>
          </w:tcPr>
          <w:p w14:paraId="39F9CC53"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129</w:t>
            </w:r>
          </w:p>
        </w:tc>
        <w:tc>
          <w:tcPr>
            <w:tcW w:w="892" w:type="dxa"/>
            <w:tcBorders>
              <w:top w:val="single" w:sz="4" w:space="0" w:color="E02628"/>
              <w:left w:val="nil"/>
              <w:bottom w:val="single" w:sz="4" w:space="0" w:color="E02628"/>
              <w:right w:val="nil"/>
            </w:tcBorders>
            <w:shd w:val="clear" w:color="auto" w:fill="FFFFFF"/>
            <w:noWrap/>
            <w:hideMark/>
          </w:tcPr>
          <w:p w14:paraId="3F206970" w14:textId="77777777" w:rsidR="005463FC" w:rsidRDefault="005463FC" w:rsidP="005463FC">
            <w:pPr>
              <w:pStyle w:val="TableTextSmall"/>
              <w:jc w:val="center"/>
              <w:rPr>
                <w:rFonts w:ascii="Arial" w:hAnsi="Arial"/>
                <w:color w:val="333333"/>
                <w:sz w:val="14"/>
                <w:szCs w:val="14"/>
                <w:lang w:eastAsia="en-AU"/>
              </w:rPr>
            </w:pPr>
            <w:r>
              <w:rPr>
                <w:rFonts w:ascii="Arial" w:hAnsi="Arial"/>
                <w:sz w:val="14"/>
                <w:szCs w:val="14"/>
              </w:rPr>
              <w:t>46</w:t>
            </w:r>
          </w:p>
        </w:tc>
        <w:tc>
          <w:tcPr>
            <w:tcW w:w="1077" w:type="dxa"/>
            <w:tcBorders>
              <w:top w:val="single" w:sz="4" w:space="0" w:color="E02628"/>
              <w:left w:val="nil"/>
              <w:bottom w:val="single" w:sz="4" w:space="0" w:color="E02628"/>
              <w:right w:val="nil"/>
            </w:tcBorders>
            <w:shd w:val="clear" w:color="auto" w:fill="FFFFFF"/>
            <w:hideMark/>
          </w:tcPr>
          <w:p w14:paraId="5979CCFF"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37%</w:t>
            </w:r>
          </w:p>
        </w:tc>
      </w:tr>
      <w:tr w:rsidR="005463FC" w14:paraId="18E38D97" w14:textId="77777777" w:rsidTr="005463FC">
        <w:trPr>
          <w:trHeight w:val="227"/>
          <w:tblHeader/>
        </w:trPr>
        <w:tc>
          <w:tcPr>
            <w:tcW w:w="2750" w:type="dxa"/>
            <w:tcBorders>
              <w:top w:val="single" w:sz="4" w:space="0" w:color="E02628"/>
              <w:left w:val="nil"/>
              <w:bottom w:val="single" w:sz="4" w:space="0" w:color="E02628"/>
              <w:right w:val="nil"/>
            </w:tcBorders>
            <w:shd w:val="clear" w:color="auto" w:fill="F4CACA" w:themeFill="accent5" w:themeFillTint="33"/>
            <w:noWrap/>
            <w:vAlign w:val="center"/>
            <w:hideMark/>
          </w:tcPr>
          <w:p w14:paraId="718E12E3" w14:textId="77777777" w:rsidR="005463FC" w:rsidRDefault="005463FC" w:rsidP="005463FC">
            <w:pPr>
              <w:pStyle w:val="TableTextSmall"/>
              <w:rPr>
                <w:rFonts w:cstheme="minorHAnsi"/>
                <w:i/>
                <w:iCs/>
                <w:sz w:val="14"/>
                <w:szCs w:val="14"/>
                <w:lang w:eastAsia="en-AU"/>
              </w:rPr>
            </w:pPr>
            <w:r>
              <w:rPr>
                <w:rFonts w:cstheme="minorHAnsi"/>
                <w:i/>
                <w:iCs/>
                <w:sz w:val="14"/>
                <w:szCs w:val="14"/>
                <w:lang w:eastAsia="en-AU"/>
              </w:rPr>
              <w:t>Total current welfare recipients</w:t>
            </w:r>
          </w:p>
        </w:tc>
        <w:tc>
          <w:tcPr>
            <w:tcW w:w="1077" w:type="dxa"/>
            <w:tcBorders>
              <w:top w:val="single" w:sz="4" w:space="0" w:color="E02628"/>
              <w:left w:val="nil"/>
              <w:bottom w:val="single" w:sz="4" w:space="0" w:color="E02628"/>
              <w:right w:val="nil"/>
            </w:tcBorders>
            <w:shd w:val="clear" w:color="auto" w:fill="F4CACA" w:themeFill="accent5" w:themeFillTint="33"/>
            <w:noWrap/>
            <w:hideMark/>
          </w:tcPr>
          <w:p w14:paraId="72777809" w14:textId="77777777" w:rsidR="005463FC" w:rsidRDefault="005463FC" w:rsidP="005463FC">
            <w:pPr>
              <w:pStyle w:val="TableTextSmall"/>
              <w:jc w:val="center"/>
              <w:rPr>
                <w:rFonts w:ascii="Arial" w:hAnsi="Arial"/>
                <w:i/>
                <w:iCs/>
                <w:color w:val="333333"/>
                <w:sz w:val="14"/>
                <w:szCs w:val="14"/>
                <w:lang w:eastAsia="en-AU"/>
              </w:rPr>
            </w:pPr>
            <w:r>
              <w:rPr>
                <w:rFonts w:ascii="Arial" w:hAnsi="Arial"/>
                <w:i/>
                <w:sz w:val="14"/>
                <w:szCs w:val="14"/>
              </w:rPr>
              <w:t>8,041,364</w:t>
            </w:r>
          </w:p>
        </w:tc>
        <w:tc>
          <w:tcPr>
            <w:tcW w:w="907" w:type="dxa"/>
            <w:tcBorders>
              <w:top w:val="single" w:sz="4" w:space="0" w:color="E02628"/>
              <w:left w:val="nil"/>
              <w:bottom w:val="single" w:sz="4" w:space="0" w:color="E02628"/>
              <w:right w:val="nil"/>
            </w:tcBorders>
            <w:shd w:val="clear" w:color="auto" w:fill="F4CACA" w:themeFill="accent5" w:themeFillTint="33"/>
            <w:noWrap/>
            <w:hideMark/>
          </w:tcPr>
          <w:p w14:paraId="6C44EEEC" w14:textId="77777777" w:rsidR="005463FC" w:rsidRDefault="005463FC" w:rsidP="005463FC">
            <w:pPr>
              <w:pStyle w:val="TableTextSmall"/>
              <w:jc w:val="center"/>
              <w:rPr>
                <w:rFonts w:ascii="Arial" w:hAnsi="Arial"/>
                <w:i/>
                <w:iCs/>
                <w:color w:val="333333"/>
                <w:sz w:val="14"/>
                <w:szCs w:val="14"/>
                <w:lang w:eastAsia="en-AU"/>
              </w:rPr>
            </w:pPr>
            <w:r>
              <w:rPr>
                <w:rFonts w:ascii="Arial" w:hAnsi="Arial"/>
                <w:i/>
                <w:sz w:val="14"/>
                <w:szCs w:val="14"/>
              </w:rPr>
              <w:t>53</w:t>
            </w:r>
          </w:p>
        </w:tc>
        <w:tc>
          <w:tcPr>
            <w:tcW w:w="855" w:type="dxa"/>
            <w:tcBorders>
              <w:top w:val="single" w:sz="4" w:space="0" w:color="E02628"/>
              <w:left w:val="nil"/>
              <w:bottom w:val="single" w:sz="4" w:space="0" w:color="E02628"/>
              <w:right w:val="nil"/>
            </w:tcBorders>
            <w:shd w:val="clear" w:color="auto" w:fill="F4CACA" w:themeFill="accent5" w:themeFillTint="33"/>
            <w:noWrap/>
            <w:hideMark/>
          </w:tcPr>
          <w:p w14:paraId="2B8EC51A" w14:textId="77777777" w:rsidR="005463FC" w:rsidRDefault="005463FC" w:rsidP="005463FC">
            <w:pPr>
              <w:pStyle w:val="TableTextSmall"/>
              <w:jc w:val="center"/>
              <w:rPr>
                <w:rFonts w:ascii="Arial" w:hAnsi="Arial"/>
                <w:i/>
                <w:iCs/>
                <w:color w:val="333333"/>
                <w:sz w:val="14"/>
                <w:szCs w:val="14"/>
                <w:lang w:eastAsia="en-AU"/>
              </w:rPr>
            </w:pPr>
            <w:r>
              <w:rPr>
                <w:rFonts w:ascii="Arial" w:hAnsi="Arial"/>
                <w:i/>
                <w:sz w:val="14"/>
                <w:szCs w:val="14"/>
              </w:rPr>
              <w:t>2,134</w:t>
            </w:r>
          </w:p>
        </w:tc>
        <w:tc>
          <w:tcPr>
            <w:tcW w:w="993" w:type="dxa"/>
            <w:tcBorders>
              <w:top w:val="single" w:sz="4" w:space="0" w:color="E02628"/>
              <w:left w:val="nil"/>
              <w:bottom w:val="single" w:sz="4" w:space="0" w:color="E02628"/>
              <w:right w:val="nil"/>
            </w:tcBorders>
            <w:shd w:val="clear" w:color="auto" w:fill="F4CACA" w:themeFill="accent5" w:themeFillTint="33"/>
            <w:noWrap/>
            <w:hideMark/>
          </w:tcPr>
          <w:p w14:paraId="1F2C498B" w14:textId="77777777" w:rsidR="005463FC" w:rsidRDefault="005463FC" w:rsidP="005463FC">
            <w:pPr>
              <w:pStyle w:val="TableTextSmall"/>
              <w:jc w:val="center"/>
              <w:rPr>
                <w:rFonts w:ascii="Arial" w:hAnsi="Arial"/>
                <w:i/>
                <w:iCs/>
                <w:color w:val="333333"/>
                <w:sz w:val="14"/>
                <w:szCs w:val="14"/>
                <w:lang w:eastAsia="en-AU"/>
              </w:rPr>
            </w:pPr>
            <w:r>
              <w:rPr>
                <w:rFonts w:ascii="Arial" w:hAnsi="Arial"/>
                <w:i/>
                <w:sz w:val="14"/>
                <w:szCs w:val="14"/>
              </w:rPr>
              <w:t>13,606</w:t>
            </w:r>
          </w:p>
        </w:tc>
        <w:tc>
          <w:tcPr>
            <w:tcW w:w="925" w:type="dxa"/>
            <w:tcBorders>
              <w:top w:val="single" w:sz="4" w:space="0" w:color="E02628"/>
              <w:left w:val="nil"/>
              <w:bottom w:val="single" w:sz="4" w:space="0" w:color="E02628"/>
              <w:right w:val="nil"/>
            </w:tcBorders>
            <w:shd w:val="clear" w:color="auto" w:fill="F4CACA" w:themeFill="accent5" w:themeFillTint="33"/>
            <w:noWrap/>
            <w:hideMark/>
          </w:tcPr>
          <w:p w14:paraId="010E1DD6" w14:textId="77777777" w:rsidR="005463FC" w:rsidRDefault="005463FC" w:rsidP="005463FC">
            <w:pPr>
              <w:pStyle w:val="TableTextSmall"/>
              <w:jc w:val="center"/>
              <w:rPr>
                <w:rFonts w:ascii="Arial" w:hAnsi="Arial"/>
                <w:i/>
                <w:iCs/>
                <w:color w:val="333333"/>
                <w:sz w:val="14"/>
                <w:szCs w:val="14"/>
                <w:lang w:eastAsia="en-AU"/>
              </w:rPr>
            </w:pPr>
            <w:r>
              <w:rPr>
                <w:rFonts w:ascii="Arial" w:hAnsi="Arial"/>
                <w:i/>
                <w:sz w:val="14"/>
                <w:szCs w:val="14"/>
              </w:rPr>
              <w:t>265</w:t>
            </w:r>
          </w:p>
        </w:tc>
        <w:tc>
          <w:tcPr>
            <w:tcW w:w="892" w:type="dxa"/>
            <w:tcBorders>
              <w:top w:val="single" w:sz="4" w:space="0" w:color="E02628"/>
              <w:left w:val="nil"/>
              <w:bottom w:val="single" w:sz="4" w:space="0" w:color="E02628"/>
              <w:right w:val="nil"/>
            </w:tcBorders>
            <w:shd w:val="clear" w:color="auto" w:fill="F4CACA" w:themeFill="accent5" w:themeFillTint="33"/>
            <w:noWrap/>
            <w:hideMark/>
          </w:tcPr>
          <w:p w14:paraId="159B4109" w14:textId="77777777" w:rsidR="005463FC" w:rsidRDefault="005463FC" w:rsidP="005463FC">
            <w:pPr>
              <w:pStyle w:val="TableTextSmall"/>
              <w:jc w:val="center"/>
              <w:rPr>
                <w:rFonts w:ascii="Arial" w:hAnsi="Arial"/>
                <w:i/>
                <w:color w:val="333333"/>
                <w:sz w:val="14"/>
                <w:szCs w:val="14"/>
                <w:lang w:eastAsia="en-AU"/>
              </w:rPr>
            </w:pPr>
            <w:r>
              <w:rPr>
                <w:rFonts w:ascii="Arial" w:hAnsi="Arial"/>
                <w:i/>
                <w:sz w:val="14"/>
                <w:szCs w:val="14"/>
              </w:rPr>
              <w:t>20</w:t>
            </w:r>
          </w:p>
        </w:tc>
        <w:tc>
          <w:tcPr>
            <w:tcW w:w="1077" w:type="dxa"/>
            <w:tcBorders>
              <w:top w:val="single" w:sz="4" w:space="0" w:color="E02628"/>
              <w:left w:val="nil"/>
              <w:bottom w:val="single" w:sz="4" w:space="0" w:color="E02628"/>
              <w:right w:val="nil"/>
            </w:tcBorders>
            <w:shd w:val="clear" w:color="auto" w:fill="F4CACA" w:themeFill="accent5" w:themeFillTint="33"/>
            <w:hideMark/>
          </w:tcPr>
          <w:p w14:paraId="001AA2C8" w14:textId="77777777" w:rsidR="005463FC" w:rsidRDefault="005463FC" w:rsidP="005463FC">
            <w:pPr>
              <w:pStyle w:val="TableTextSmall"/>
              <w:jc w:val="center"/>
              <w:rPr>
                <w:rFonts w:ascii="Arial" w:hAnsi="Arial"/>
                <w:i/>
                <w:sz w:val="14"/>
                <w:szCs w:val="14"/>
                <w:lang w:eastAsia="en-AU"/>
              </w:rPr>
            </w:pPr>
            <w:r>
              <w:rPr>
                <w:rFonts w:ascii="Arial" w:hAnsi="Arial"/>
                <w:i/>
                <w:sz w:val="14"/>
                <w:szCs w:val="14"/>
              </w:rPr>
              <w:t>59%</w:t>
            </w:r>
          </w:p>
        </w:tc>
      </w:tr>
      <w:tr w:rsidR="005463FC" w14:paraId="0972959D" w14:textId="77777777" w:rsidTr="005463FC">
        <w:trPr>
          <w:trHeight w:val="227"/>
          <w:tblHeader/>
        </w:trPr>
        <w:tc>
          <w:tcPr>
            <w:tcW w:w="2750" w:type="dxa"/>
            <w:tcBorders>
              <w:top w:val="single" w:sz="4" w:space="0" w:color="E02628"/>
              <w:left w:val="nil"/>
              <w:bottom w:val="single" w:sz="4" w:space="0" w:color="E02628"/>
              <w:right w:val="nil"/>
            </w:tcBorders>
            <w:shd w:val="clear" w:color="auto" w:fill="E02628"/>
            <w:noWrap/>
            <w:vAlign w:val="center"/>
            <w:hideMark/>
          </w:tcPr>
          <w:p w14:paraId="6CBB9B28" w14:textId="77777777" w:rsidR="005463FC" w:rsidRDefault="005463FC" w:rsidP="005463FC">
            <w:pPr>
              <w:pStyle w:val="TableColumnHeadingSmall"/>
              <w:rPr>
                <w:rFonts w:cstheme="minorHAnsi"/>
                <w:sz w:val="14"/>
                <w:szCs w:val="14"/>
                <w:lang w:eastAsia="en-AU"/>
              </w:rPr>
            </w:pPr>
            <w:r>
              <w:rPr>
                <w:rFonts w:cstheme="minorHAnsi"/>
                <w:sz w:val="14"/>
                <w:szCs w:val="14"/>
                <w:lang w:eastAsia="en-AU"/>
              </w:rPr>
              <w:t>Previous welfare recipients</w:t>
            </w:r>
          </w:p>
        </w:tc>
        <w:tc>
          <w:tcPr>
            <w:tcW w:w="1077" w:type="dxa"/>
            <w:tcBorders>
              <w:top w:val="single" w:sz="4" w:space="0" w:color="E02628"/>
              <w:left w:val="nil"/>
              <w:bottom w:val="single" w:sz="4" w:space="0" w:color="E02628"/>
              <w:right w:val="nil"/>
            </w:tcBorders>
            <w:shd w:val="clear" w:color="auto" w:fill="E02628"/>
            <w:noWrap/>
            <w:hideMark/>
          </w:tcPr>
          <w:p w14:paraId="743C2E0E" w14:textId="77777777" w:rsidR="005463FC" w:rsidRDefault="005463FC" w:rsidP="005463FC">
            <w:pPr>
              <w:rPr>
                <w:rFonts w:cstheme="minorHAnsi"/>
                <w:sz w:val="14"/>
                <w:szCs w:val="14"/>
                <w:lang w:eastAsia="en-AU"/>
              </w:rPr>
            </w:pPr>
          </w:p>
        </w:tc>
        <w:tc>
          <w:tcPr>
            <w:tcW w:w="907" w:type="dxa"/>
            <w:tcBorders>
              <w:top w:val="single" w:sz="4" w:space="0" w:color="E02628"/>
              <w:left w:val="nil"/>
              <w:bottom w:val="single" w:sz="4" w:space="0" w:color="E02628"/>
              <w:right w:val="nil"/>
            </w:tcBorders>
            <w:shd w:val="clear" w:color="auto" w:fill="E02628"/>
            <w:noWrap/>
            <w:hideMark/>
          </w:tcPr>
          <w:p w14:paraId="43BFC5B3" w14:textId="77777777" w:rsidR="005463FC" w:rsidRDefault="005463FC" w:rsidP="005463FC">
            <w:pPr>
              <w:kinsoku/>
              <w:overflowPunct/>
              <w:autoSpaceDE/>
              <w:autoSpaceDN/>
              <w:adjustRightInd/>
              <w:snapToGrid/>
              <w:rPr>
                <w:rFonts w:ascii="Georgia" w:hAnsi="Georgia" w:cs="Times New Roman"/>
                <w:color w:val="auto"/>
                <w:lang w:eastAsia="en-AU"/>
              </w:rPr>
            </w:pPr>
          </w:p>
        </w:tc>
        <w:tc>
          <w:tcPr>
            <w:tcW w:w="855" w:type="dxa"/>
            <w:tcBorders>
              <w:top w:val="single" w:sz="4" w:space="0" w:color="E02628"/>
              <w:left w:val="nil"/>
              <w:bottom w:val="single" w:sz="4" w:space="0" w:color="E02628"/>
              <w:right w:val="nil"/>
            </w:tcBorders>
            <w:shd w:val="clear" w:color="auto" w:fill="E02628"/>
            <w:noWrap/>
            <w:hideMark/>
          </w:tcPr>
          <w:p w14:paraId="2F102C2F" w14:textId="77777777" w:rsidR="005463FC" w:rsidRDefault="005463FC" w:rsidP="005463FC">
            <w:pPr>
              <w:kinsoku/>
              <w:overflowPunct/>
              <w:autoSpaceDE/>
              <w:autoSpaceDN/>
              <w:adjustRightInd/>
              <w:snapToGrid/>
              <w:rPr>
                <w:rFonts w:ascii="Georgia" w:hAnsi="Georgia" w:cs="Times New Roman"/>
                <w:color w:val="auto"/>
                <w:lang w:eastAsia="en-AU"/>
              </w:rPr>
            </w:pPr>
          </w:p>
        </w:tc>
        <w:tc>
          <w:tcPr>
            <w:tcW w:w="993" w:type="dxa"/>
            <w:tcBorders>
              <w:top w:val="single" w:sz="4" w:space="0" w:color="E02628"/>
              <w:left w:val="nil"/>
              <w:bottom w:val="single" w:sz="4" w:space="0" w:color="E02628"/>
              <w:right w:val="nil"/>
            </w:tcBorders>
            <w:shd w:val="clear" w:color="auto" w:fill="E02628"/>
            <w:noWrap/>
            <w:hideMark/>
          </w:tcPr>
          <w:p w14:paraId="1A7BDDD8" w14:textId="77777777" w:rsidR="005463FC" w:rsidRDefault="005463FC" w:rsidP="005463FC">
            <w:pPr>
              <w:kinsoku/>
              <w:overflowPunct/>
              <w:autoSpaceDE/>
              <w:autoSpaceDN/>
              <w:adjustRightInd/>
              <w:snapToGrid/>
              <w:rPr>
                <w:rFonts w:ascii="Georgia" w:hAnsi="Georgia" w:cs="Times New Roman"/>
                <w:color w:val="auto"/>
                <w:lang w:eastAsia="en-AU"/>
              </w:rPr>
            </w:pPr>
          </w:p>
        </w:tc>
        <w:tc>
          <w:tcPr>
            <w:tcW w:w="925" w:type="dxa"/>
            <w:tcBorders>
              <w:top w:val="single" w:sz="4" w:space="0" w:color="E02628"/>
              <w:left w:val="nil"/>
              <w:bottom w:val="single" w:sz="4" w:space="0" w:color="E02628"/>
              <w:right w:val="nil"/>
            </w:tcBorders>
            <w:shd w:val="clear" w:color="auto" w:fill="E02628"/>
            <w:noWrap/>
            <w:hideMark/>
          </w:tcPr>
          <w:p w14:paraId="1CFA67FC" w14:textId="77777777" w:rsidR="005463FC" w:rsidRDefault="005463FC" w:rsidP="005463FC">
            <w:pPr>
              <w:kinsoku/>
              <w:overflowPunct/>
              <w:autoSpaceDE/>
              <w:autoSpaceDN/>
              <w:adjustRightInd/>
              <w:snapToGrid/>
              <w:rPr>
                <w:rFonts w:ascii="Georgia" w:hAnsi="Georgia" w:cs="Times New Roman"/>
                <w:color w:val="auto"/>
                <w:lang w:eastAsia="en-AU"/>
              </w:rPr>
            </w:pPr>
          </w:p>
        </w:tc>
        <w:tc>
          <w:tcPr>
            <w:tcW w:w="892" w:type="dxa"/>
            <w:tcBorders>
              <w:top w:val="single" w:sz="4" w:space="0" w:color="E02628"/>
              <w:left w:val="nil"/>
              <w:bottom w:val="single" w:sz="4" w:space="0" w:color="E02628"/>
              <w:right w:val="nil"/>
            </w:tcBorders>
            <w:shd w:val="clear" w:color="auto" w:fill="E02628"/>
            <w:noWrap/>
            <w:hideMark/>
          </w:tcPr>
          <w:p w14:paraId="4D73F115" w14:textId="77777777" w:rsidR="005463FC" w:rsidRDefault="005463FC" w:rsidP="005463FC">
            <w:pPr>
              <w:kinsoku/>
              <w:overflowPunct/>
              <w:autoSpaceDE/>
              <w:autoSpaceDN/>
              <w:adjustRightInd/>
              <w:snapToGrid/>
              <w:rPr>
                <w:rFonts w:ascii="Georgia" w:hAnsi="Georgia" w:cs="Times New Roman"/>
                <w:color w:val="auto"/>
                <w:lang w:eastAsia="en-AU"/>
              </w:rPr>
            </w:pPr>
          </w:p>
        </w:tc>
        <w:tc>
          <w:tcPr>
            <w:tcW w:w="1077" w:type="dxa"/>
            <w:tcBorders>
              <w:top w:val="single" w:sz="4" w:space="0" w:color="E02628"/>
              <w:left w:val="nil"/>
              <w:bottom w:val="single" w:sz="4" w:space="0" w:color="E02628"/>
              <w:right w:val="nil"/>
            </w:tcBorders>
            <w:shd w:val="clear" w:color="auto" w:fill="E02628"/>
          </w:tcPr>
          <w:p w14:paraId="73F497DB" w14:textId="77777777" w:rsidR="005463FC" w:rsidRDefault="005463FC" w:rsidP="005463FC">
            <w:pPr>
              <w:pStyle w:val="TableColumnHeadingSmall"/>
              <w:jc w:val="center"/>
              <w:rPr>
                <w:rFonts w:ascii="Arial" w:hAnsi="Arial"/>
                <w:sz w:val="14"/>
                <w:szCs w:val="14"/>
                <w:lang w:eastAsia="en-AU"/>
              </w:rPr>
            </w:pPr>
          </w:p>
        </w:tc>
      </w:tr>
      <w:tr w:rsidR="005463FC" w14:paraId="104A4885" w14:textId="77777777" w:rsidTr="005463FC">
        <w:trPr>
          <w:trHeight w:val="227"/>
          <w:tblHeader/>
        </w:trPr>
        <w:tc>
          <w:tcPr>
            <w:tcW w:w="2750" w:type="dxa"/>
            <w:tcBorders>
              <w:top w:val="single" w:sz="4" w:space="0" w:color="E02628"/>
              <w:left w:val="nil"/>
              <w:bottom w:val="single" w:sz="4" w:space="0" w:color="E02628"/>
              <w:right w:val="nil"/>
            </w:tcBorders>
            <w:shd w:val="clear" w:color="auto" w:fill="FFFFFF"/>
            <w:noWrap/>
            <w:vAlign w:val="center"/>
            <w:hideMark/>
          </w:tcPr>
          <w:p w14:paraId="0BE24EA0" w14:textId="77777777" w:rsidR="005463FC" w:rsidRDefault="005463FC" w:rsidP="005463FC">
            <w:pPr>
              <w:pStyle w:val="TableTextSmall"/>
              <w:rPr>
                <w:rFonts w:cstheme="minorHAnsi"/>
                <w:sz w:val="14"/>
                <w:szCs w:val="14"/>
                <w:lang w:eastAsia="en-AU"/>
              </w:rPr>
            </w:pPr>
            <w:r>
              <w:rPr>
                <w:rFonts w:cstheme="minorHAnsi"/>
                <w:sz w:val="14"/>
                <w:szCs w:val="14"/>
                <w:lang w:eastAsia="en-AU"/>
              </w:rPr>
              <w:t>- Exited 1-3 years</w:t>
            </w:r>
          </w:p>
        </w:tc>
        <w:tc>
          <w:tcPr>
            <w:tcW w:w="1077" w:type="dxa"/>
            <w:tcBorders>
              <w:top w:val="single" w:sz="4" w:space="0" w:color="E02628"/>
              <w:left w:val="nil"/>
              <w:bottom w:val="single" w:sz="4" w:space="0" w:color="E02628"/>
              <w:right w:val="nil"/>
            </w:tcBorders>
            <w:shd w:val="clear" w:color="auto" w:fill="FFFFFF"/>
            <w:noWrap/>
            <w:hideMark/>
          </w:tcPr>
          <w:p w14:paraId="03EF1882"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1,538,442</w:t>
            </w:r>
          </w:p>
        </w:tc>
        <w:tc>
          <w:tcPr>
            <w:tcW w:w="907" w:type="dxa"/>
            <w:tcBorders>
              <w:top w:val="single" w:sz="4" w:space="0" w:color="E02628"/>
              <w:left w:val="nil"/>
              <w:bottom w:val="single" w:sz="4" w:space="0" w:color="E02628"/>
              <w:right w:val="nil"/>
            </w:tcBorders>
            <w:shd w:val="clear" w:color="auto" w:fill="FFFFFF"/>
            <w:noWrap/>
            <w:hideMark/>
          </w:tcPr>
          <w:p w14:paraId="068BF88A"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41</w:t>
            </w:r>
          </w:p>
        </w:tc>
        <w:tc>
          <w:tcPr>
            <w:tcW w:w="855" w:type="dxa"/>
            <w:tcBorders>
              <w:top w:val="single" w:sz="4" w:space="0" w:color="E02628"/>
              <w:left w:val="nil"/>
              <w:bottom w:val="single" w:sz="4" w:space="0" w:color="E02628"/>
              <w:right w:val="nil"/>
            </w:tcBorders>
            <w:shd w:val="clear" w:color="auto" w:fill="FFFFFF"/>
            <w:noWrap/>
            <w:hideMark/>
          </w:tcPr>
          <w:p w14:paraId="42CA7A48"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274</w:t>
            </w:r>
          </w:p>
        </w:tc>
        <w:tc>
          <w:tcPr>
            <w:tcW w:w="993" w:type="dxa"/>
            <w:tcBorders>
              <w:top w:val="single" w:sz="4" w:space="0" w:color="E02628"/>
              <w:left w:val="nil"/>
              <w:bottom w:val="single" w:sz="4" w:space="0" w:color="E02628"/>
              <w:right w:val="nil"/>
            </w:tcBorders>
            <w:shd w:val="clear" w:color="auto" w:fill="FFFFFF"/>
            <w:noWrap/>
            <w:hideMark/>
          </w:tcPr>
          <w:p w14:paraId="6CC2062D"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n/a</w:t>
            </w:r>
          </w:p>
        </w:tc>
        <w:tc>
          <w:tcPr>
            <w:tcW w:w="925" w:type="dxa"/>
            <w:tcBorders>
              <w:top w:val="single" w:sz="4" w:space="0" w:color="E02628"/>
              <w:left w:val="nil"/>
              <w:bottom w:val="single" w:sz="4" w:space="0" w:color="E02628"/>
              <w:right w:val="nil"/>
            </w:tcBorders>
            <w:shd w:val="clear" w:color="auto" w:fill="FFFFFF"/>
            <w:noWrap/>
            <w:hideMark/>
          </w:tcPr>
          <w:p w14:paraId="6A73ED5F"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178</w:t>
            </w:r>
          </w:p>
        </w:tc>
        <w:tc>
          <w:tcPr>
            <w:tcW w:w="892" w:type="dxa"/>
            <w:tcBorders>
              <w:top w:val="single" w:sz="4" w:space="0" w:color="E02628"/>
              <w:left w:val="nil"/>
              <w:bottom w:val="single" w:sz="4" w:space="0" w:color="E02628"/>
              <w:right w:val="nil"/>
            </w:tcBorders>
            <w:shd w:val="clear" w:color="auto" w:fill="FFFFFF"/>
            <w:noWrap/>
            <w:hideMark/>
          </w:tcPr>
          <w:p w14:paraId="7C664D9E"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n/a</w:t>
            </w:r>
          </w:p>
        </w:tc>
        <w:tc>
          <w:tcPr>
            <w:tcW w:w="1077" w:type="dxa"/>
            <w:tcBorders>
              <w:top w:val="single" w:sz="4" w:space="0" w:color="E02628"/>
              <w:left w:val="nil"/>
              <w:bottom w:val="single" w:sz="4" w:space="0" w:color="E02628"/>
              <w:right w:val="nil"/>
            </w:tcBorders>
            <w:shd w:val="clear" w:color="auto" w:fill="FFFFFF"/>
            <w:hideMark/>
          </w:tcPr>
          <w:p w14:paraId="7BBCAD1E"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41%</w:t>
            </w:r>
          </w:p>
        </w:tc>
      </w:tr>
      <w:tr w:rsidR="005463FC" w14:paraId="66719C3A" w14:textId="77777777" w:rsidTr="005463FC">
        <w:trPr>
          <w:trHeight w:val="227"/>
          <w:tblHeader/>
        </w:trPr>
        <w:tc>
          <w:tcPr>
            <w:tcW w:w="2750" w:type="dxa"/>
            <w:tcBorders>
              <w:top w:val="single" w:sz="4" w:space="0" w:color="E02628"/>
              <w:left w:val="nil"/>
              <w:bottom w:val="single" w:sz="4" w:space="0" w:color="E02628"/>
              <w:right w:val="nil"/>
            </w:tcBorders>
            <w:shd w:val="clear" w:color="auto" w:fill="FFFFFF"/>
            <w:noWrap/>
            <w:vAlign w:val="center"/>
            <w:hideMark/>
          </w:tcPr>
          <w:p w14:paraId="0CCCCA18" w14:textId="77777777" w:rsidR="005463FC" w:rsidRDefault="005463FC" w:rsidP="005463FC">
            <w:pPr>
              <w:pStyle w:val="TableTextSmall"/>
              <w:rPr>
                <w:rFonts w:cstheme="minorHAnsi"/>
                <w:sz w:val="14"/>
                <w:szCs w:val="14"/>
                <w:lang w:eastAsia="en-AU"/>
              </w:rPr>
            </w:pPr>
            <w:r>
              <w:rPr>
                <w:rFonts w:cstheme="minorHAnsi"/>
                <w:sz w:val="14"/>
                <w:szCs w:val="14"/>
                <w:lang w:eastAsia="en-AU"/>
              </w:rPr>
              <w:t>- Exited 4+ years</w:t>
            </w:r>
          </w:p>
        </w:tc>
        <w:tc>
          <w:tcPr>
            <w:tcW w:w="1077" w:type="dxa"/>
            <w:tcBorders>
              <w:top w:val="single" w:sz="4" w:space="0" w:color="E02628"/>
              <w:left w:val="nil"/>
              <w:bottom w:val="single" w:sz="4" w:space="0" w:color="E02628"/>
              <w:right w:val="nil"/>
            </w:tcBorders>
            <w:shd w:val="clear" w:color="auto" w:fill="FFFFFF"/>
            <w:noWrap/>
            <w:hideMark/>
          </w:tcPr>
          <w:p w14:paraId="2771C1E7"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2,951,378</w:t>
            </w:r>
          </w:p>
        </w:tc>
        <w:tc>
          <w:tcPr>
            <w:tcW w:w="907" w:type="dxa"/>
            <w:tcBorders>
              <w:top w:val="single" w:sz="4" w:space="0" w:color="E02628"/>
              <w:left w:val="nil"/>
              <w:bottom w:val="single" w:sz="4" w:space="0" w:color="E02628"/>
              <w:right w:val="nil"/>
            </w:tcBorders>
            <w:shd w:val="clear" w:color="auto" w:fill="FFFFFF"/>
            <w:noWrap/>
            <w:hideMark/>
          </w:tcPr>
          <w:p w14:paraId="522883D3"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47</w:t>
            </w:r>
          </w:p>
        </w:tc>
        <w:tc>
          <w:tcPr>
            <w:tcW w:w="855" w:type="dxa"/>
            <w:tcBorders>
              <w:top w:val="single" w:sz="4" w:space="0" w:color="E02628"/>
              <w:left w:val="nil"/>
              <w:bottom w:val="single" w:sz="4" w:space="0" w:color="E02628"/>
              <w:right w:val="nil"/>
            </w:tcBorders>
            <w:shd w:val="clear" w:color="auto" w:fill="FFFFFF"/>
            <w:noWrap/>
            <w:hideMark/>
          </w:tcPr>
          <w:p w14:paraId="7756055F"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461</w:t>
            </w:r>
          </w:p>
        </w:tc>
        <w:tc>
          <w:tcPr>
            <w:tcW w:w="993" w:type="dxa"/>
            <w:tcBorders>
              <w:top w:val="single" w:sz="4" w:space="0" w:color="E02628"/>
              <w:left w:val="nil"/>
              <w:bottom w:val="single" w:sz="4" w:space="0" w:color="E02628"/>
              <w:right w:val="nil"/>
            </w:tcBorders>
            <w:shd w:val="clear" w:color="auto" w:fill="FFFFFF"/>
            <w:noWrap/>
            <w:hideMark/>
          </w:tcPr>
          <w:p w14:paraId="3A1917E8"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n/a</w:t>
            </w:r>
          </w:p>
        </w:tc>
        <w:tc>
          <w:tcPr>
            <w:tcW w:w="925" w:type="dxa"/>
            <w:tcBorders>
              <w:top w:val="single" w:sz="4" w:space="0" w:color="E02628"/>
              <w:left w:val="nil"/>
              <w:bottom w:val="single" w:sz="4" w:space="0" w:color="E02628"/>
              <w:right w:val="nil"/>
            </w:tcBorders>
            <w:shd w:val="clear" w:color="auto" w:fill="FFFFFF"/>
            <w:noWrap/>
            <w:hideMark/>
          </w:tcPr>
          <w:p w14:paraId="6FB6E5A3"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156</w:t>
            </w:r>
          </w:p>
        </w:tc>
        <w:tc>
          <w:tcPr>
            <w:tcW w:w="892" w:type="dxa"/>
            <w:tcBorders>
              <w:top w:val="single" w:sz="4" w:space="0" w:color="E02628"/>
              <w:left w:val="nil"/>
              <w:bottom w:val="single" w:sz="4" w:space="0" w:color="E02628"/>
              <w:right w:val="nil"/>
            </w:tcBorders>
            <w:shd w:val="clear" w:color="auto" w:fill="FFFFFF"/>
            <w:noWrap/>
            <w:hideMark/>
          </w:tcPr>
          <w:p w14:paraId="56948D8F"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n/a</w:t>
            </w:r>
          </w:p>
        </w:tc>
        <w:tc>
          <w:tcPr>
            <w:tcW w:w="1077" w:type="dxa"/>
            <w:tcBorders>
              <w:top w:val="single" w:sz="4" w:space="0" w:color="E02628"/>
              <w:left w:val="nil"/>
              <w:bottom w:val="single" w:sz="4" w:space="0" w:color="E02628"/>
              <w:right w:val="nil"/>
            </w:tcBorders>
            <w:shd w:val="clear" w:color="auto" w:fill="FFFFFF"/>
            <w:hideMark/>
          </w:tcPr>
          <w:p w14:paraId="1C077DCB" w14:textId="77777777" w:rsidR="005463FC" w:rsidRDefault="005463FC" w:rsidP="005463FC">
            <w:pPr>
              <w:pStyle w:val="TableTextSmall"/>
              <w:jc w:val="center"/>
              <w:rPr>
                <w:rFonts w:ascii="Arial" w:hAnsi="Arial"/>
                <w:sz w:val="14"/>
                <w:szCs w:val="14"/>
                <w:lang w:eastAsia="en-AU"/>
              </w:rPr>
            </w:pPr>
            <w:r>
              <w:rPr>
                <w:rFonts w:ascii="Arial" w:hAnsi="Arial"/>
                <w:sz w:val="14"/>
                <w:szCs w:val="14"/>
              </w:rPr>
              <w:t>40%</w:t>
            </w:r>
          </w:p>
        </w:tc>
      </w:tr>
      <w:tr w:rsidR="005463FC" w14:paraId="4625820D" w14:textId="77777777" w:rsidTr="005463FC">
        <w:trPr>
          <w:trHeight w:val="227"/>
          <w:tblHeader/>
        </w:trPr>
        <w:tc>
          <w:tcPr>
            <w:tcW w:w="2750" w:type="dxa"/>
            <w:tcBorders>
              <w:top w:val="single" w:sz="4" w:space="0" w:color="E02628"/>
              <w:left w:val="nil"/>
              <w:bottom w:val="single" w:sz="4" w:space="0" w:color="E02628"/>
              <w:right w:val="nil"/>
            </w:tcBorders>
            <w:shd w:val="clear" w:color="auto" w:fill="F4CACA" w:themeFill="accent5" w:themeFillTint="33"/>
            <w:noWrap/>
            <w:vAlign w:val="center"/>
            <w:hideMark/>
          </w:tcPr>
          <w:p w14:paraId="2F8341DA" w14:textId="77777777" w:rsidR="005463FC" w:rsidRDefault="005463FC" w:rsidP="005463FC">
            <w:pPr>
              <w:pStyle w:val="TableTextSmall"/>
              <w:rPr>
                <w:rFonts w:cstheme="minorHAnsi"/>
                <w:i/>
                <w:iCs/>
                <w:sz w:val="14"/>
                <w:szCs w:val="14"/>
                <w:lang w:eastAsia="en-AU"/>
              </w:rPr>
            </w:pPr>
            <w:r>
              <w:rPr>
                <w:rFonts w:cstheme="minorHAnsi"/>
                <w:i/>
                <w:iCs/>
                <w:sz w:val="14"/>
                <w:szCs w:val="14"/>
                <w:lang w:eastAsia="en-AU"/>
              </w:rPr>
              <w:t>Total previous welfare recipients</w:t>
            </w:r>
          </w:p>
        </w:tc>
        <w:tc>
          <w:tcPr>
            <w:tcW w:w="1077" w:type="dxa"/>
            <w:tcBorders>
              <w:top w:val="single" w:sz="4" w:space="0" w:color="E02628"/>
              <w:left w:val="nil"/>
              <w:bottom w:val="single" w:sz="4" w:space="0" w:color="E02628"/>
              <w:right w:val="nil"/>
            </w:tcBorders>
            <w:shd w:val="clear" w:color="auto" w:fill="F4CACA" w:themeFill="accent5" w:themeFillTint="33"/>
            <w:noWrap/>
            <w:hideMark/>
          </w:tcPr>
          <w:p w14:paraId="5982076F" w14:textId="77777777" w:rsidR="005463FC" w:rsidRDefault="005463FC" w:rsidP="005463FC">
            <w:pPr>
              <w:pStyle w:val="TableTextSmall"/>
              <w:jc w:val="center"/>
              <w:rPr>
                <w:rFonts w:ascii="Arial" w:hAnsi="Arial"/>
                <w:i/>
                <w:iCs/>
                <w:sz w:val="14"/>
                <w:szCs w:val="14"/>
                <w:lang w:eastAsia="en-AU"/>
              </w:rPr>
            </w:pPr>
            <w:r>
              <w:rPr>
                <w:rFonts w:ascii="Arial" w:hAnsi="Arial"/>
                <w:i/>
                <w:sz w:val="14"/>
                <w:szCs w:val="14"/>
              </w:rPr>
              <w:t>4,489,820</w:t>
            </w:r>
          </w:p>
        </w:tc>
        <w:tc>
          <w:tcPr>
            <w:tcW w:w="907" w:type="dxa"/>
            <w:tcBorders>
              <w:top w:val="single" w:sz="4" w:space="0" w:color="E02628"/>
              <w:left w:val="nil"/>
              <w:bottom w:val="single" w:sz="4" w:space="0" w:color="E02628"/>
              <w:right w:val="nil"/>
            </w:tcBorders>
            <w:shd w:val="clear" w:color="auto" w:fill="F4CACA" w:themeFill="accent5" w:themeFillTint="33"/>
            <w:noWrap/>
            <w:hideMark/>
          </w:tcPr>
          <w:p w14:paraId="6C6412DA" w14:textId="77777777" w:rsidR="005463FC" w:rsidRDefault="005463FC" w:rsidP="005463FC">
            <w:pPr>
              <w:pStyle w:val="TableTextSmall"/>
              <w:jc w:val="center"/>
              <w:rPr>
                <w:rFonts w:ascii="Arial" w:hAnsi="Arial"/>
                <w:i/>
                <w:iCs/>
                <w:sz w:val="14"/>
                <w:szCs w:val="14"/>
                <w:lang w:eastAsia="en-AU"/>
              </w:rPr>
            </w:pPr>
            <w:r>
              <w:rPr>
                <w:rFonts w:ascii="Arial" w:hAnsi="Arial"/>
                <w:i/>
                <w:sz w:val="14"/>
                <w:szCs w:val="14"/>
              </w:rPr>
              <w:t>45</w:t>
            </w:r>
          </w:p>
        </w:tc>
        <w:tc>
          <w:tcPr>
            <w:tcW w:w="855" w:type="dxa"/>
            <w:tcBorders>
              <w:top w:val="single" w:sz="4" w:space="0" w:color="E02628"/>
              <w:left w:val="nil"/>
              <w:bottom w:val="single" w:sz="4" w:space="0" w:color="E02628"/>
              <w:right w:val="nil"/>
            </w:tcBorders>
            <w:shd w:val="clear" w:color="auto" w:fill="F4CACA" w:themeFill="accent5" w:themeFillTint="33"/>
            <w:noWrap/>
            <w:hideMark/>
          </w:tcPr>
          <w:p w14:paraId="563413C1" w14:textId="77777777" w:rsidR="005463FC" w:rsidRDefault="005463FC" w:rsidP="005463FC">
            <w:pPr>
              <w:pStyle w:val="TableTextSmall"/>
              <w:jc w:val="center"/>
              <w:rPr>
                <w:rFonts w:ascii="Arial" w:hAnsi="Arial"/>
                <w:i/>
                <w:iCs/>
                <w:sz w:val="14"/>
                <w:szCs w:val="14"/>
                <w:lang w:eastAsia="en-AU"/>
              </w:rPr>
            </w:pPr>
            <w:r>
              <w:rPr>
                <w:rFonts w:ascii="Arial" w:hAnsi="Arial"/>
                <w:i/>
                <w:sz w:val="14"/>
                <w:szCs w:val="14"/>
              </w:rPr>
              <w:t>735</w:t>
            </w:r>
          </w:p>
        </w:tc>
        <w:tc>
          <w:tcPr>
            <w:tcW w:w="993" w:type="dxa"/>
            <w:tcBorders>
              <w:top w:val="single" w:sz="4" w:space="0" w:color="E02628"/>
              <w:left w:val="nil"/>
              <w:bottom w:val="single" w:sz="4" w:space="0" w:color="E02628"/>
              <w:right w:val="nil"/>
            </w:tcBorders>
            <w:shd w:val="clear" w:color="auto" w:fill="F4CACA" w:themeFill="accent5" w:themeFillTint="33"/>
            <w:noWrap/>
            <w:hideMark/>
          </w:tcPr>
          <w:p w14:paraId="26E6B5F2" w14:textId="77777777" w:rsidR="005463FC" w:rsidRDefault="005463FC" w:rsidP="005463FC">
            <w:pPr>
              <w:pStyle w:val="TableTextSmall"/>
              <w:jc w:val="center"/>
              <w:rPr>
                <w:rFonts w:ascii="Arial" w:hAnsi="Arial"/>
                <w:i/>
                <w:sz w:val="14"/>
                <w:szCs w:val="14"/>
                <w:lang w:eastAsia="en-AU"/>
              </w:rPr>
            </w:pPr>
            <w:r>
              <w:rPr>
                <w:rFonts w:ascii="Arial" w:hAnsi="Arial"/>
                <w:i/>
                <w:sz w:val="14"/>
                <w:szCs w:val="14"/>
              </w:rPr>
              <w:t>n/a</w:t>
            </w:r>
          </w:p>
        </w:tc>
        <w:tc>
          <w:tcPr>
            <w:tcW w:w="925" w:type="dxa"/>
            <w:tcBorders>
              <w:top w:val="single" w:sz="4" w:space="0" w:color="E02628"/>
              <w:left w:val="nil"/>
              <w:bottom w:val="single" w:sz="4" w:space="0" w:color="E02628"/>
              <w:right w:val="nil"/>
            </w:tcBorders>
            <w:shd w:val="clear" w:color="auto" w:fill="F4CACA" w:themeFill="accent5" w:themeFillTint="33"/>
            <w:noWrap/>
            <w:hideMark/>
          </w:tcPr>
          <w:p w14:paraId="7BDECECA" w14:textId="77777777" w:rsidR="005463FC" w:rsidRDefault="005463FC" w:rsidP="005463FC">
            <w:pPr>
              <w:pStyle w:val="TableTextSmall"/>
              <w:jc w:val="center"/>
              <w:rPr>
                <w:rFonts w:ascii="Arial" w:hAnsi="Arial"/>
                <w:i/>
                <w:iCs/>
                <w:sz w:val="14"/>
                <w:szCs w:val="14"/>
                <w:lang w:eastAsia="en-AU"/>
              </w:rPr>
            </w:pPr>
            <w:r>
              <w:rPr>
                <w:rFonts w:ascii="Arial" w:hAnsi="Arial"/>
                <w:i/>
                <w:sz w:val="14"/>
                <w:szCs w:val="14"/>
              </w:rPr>
              <w:t>164</w:t>
            </w:r>
          </w:p>
        </w:tc>
        <w:tc>
          <w:tcPr>
            <w:tcW w:w="892" w:type="dxa"/>
            <w:tcBorders>
              <w:top w:val="single" w:sz="4" w:space="0" w:color="E02628"/>
              <w:left w:val="nil"/>
              <w:bottom w:val="single" w:sz="4" w:space="0" w:color="E02628"/>
              <w:right w:val="nil"/>
            </w:tcBorders>
            <w:shd w:val="clear" w:color="auto" w:fill="F4CACA" w:themeFill="accent5" w:themeFillTint="33"/>
            <w:noWrap/>
            <w:hideMark/>
          </w:tcPr>
          <w:p w14:paraId="2DB01F55" w14:textId="77777777" w:rsidR="005463FC" w:rsidRDefault="005463FC" w:rsidP="005463FC">
            <w:pPr>
              <w:pStyle w:val="TableTextSmall"/>
              <w:jc w:val="center"/>
              <w:rPr>
                <w:rFonts w:ascii="Arial" w:hAnsi="Arial"/>
                <w:i/>
                <w:sz w:val="14"/>
                <w:szCs w:val="14"/>
                <w:lang w:eastAsia="en-AU"/>
              </w:rPr>
            </w:pPr>
            <w:r>
              <w:rPr>
                <w:rFonts w:ascii="Arial" w:hAnsi="Arial"/>
                <w:i/>
                <w:sz w:val="14"/>
                <w:szCs w:val="14"/>
              </w:rPr>
              <w:t>n/a</w:t>
            </w:r>
          </w:p>
        </w:tc>
        <w:tc>
          <w:tcPr>
            <w:tcW w:w="1077" w:type="dxa"/>
            <w:tcBorders>
              <w:top w:val="single" w:sz="4" w:space="0" w:color="E02628"/>
              <w:left w:val="nil"/>
              <w:bottom w:val="single" w:sz="4" w:space="0" w:color="E02628"/>
              <w:right w:val="nil"/>
            </w:tcBorders>
            <w:shd w:val="clear" w:color="auto" w:fill="F4CACA" w:themeFill="accent5" w:themeFillTint="33"/>
            <w:hideMark/>
          </w:tcPr>
          <w:p w14:paraId="58AED4C5" w14:textId="77777777" w:rsidR="005463FC" w:rsidRDefault="005463FC" w:rsidP="005463FC">
            <w:pPr>
              <w:pStyle w:val="TableTextSmall"/>
              <w:jc w:val="center"/>
              <w:rPr>
                <w:rFonts w:ascii="Arial" w:hAnsi="Arial"/>
                <w:i/>
                <w:sz w:val="14"/>
                <w:szCs w:val="14"/>
                <w:lang w:eastAsia="en-AU"/>
              </w:rPr>
            </w:pPr>
            <w:r>
              <w:rPr>
                <w:rFonts w:ascii="Arial" w:hAnsi="Arial"/>
                <w:i/>
                <w:sz w:val="14"/>
                <w:szCs w:val="14"/>
              </w:rPr>
              <w:t>41%</w:t>
            </w:r>
          </w:p>
        </w:tc>
      </w:tr>
      <w:tr w:rsidR="005463FC" w14:paraId="67074CE6" w14:textId="77777777" w:rsidTr="005463FC">
        <w:trPr>
          <w:trHeight w:val="227"/>
          <w:tblHeader/>
        </w:trPr>
        <w:tc>
          <w:tcPr>
            <w:tcW w:w="2750" w:type="dxa"/>
            <w:tcBorders>
              <w:top w:val="single" w:sz="4" w:space="0" w:color="E02628"/>
              <w:left w:val="nil"/>
              <w:bottom w:val="single" w:sz="4" w:space="0" w:color="E02628"/>
              <w:right w:val="nil"/>
            </w:tcBorders>
            <w:shd w:val="clear" w:color="auto" w:fill="E02628"/>
            <w:noWrap/>
            <w:vAlign w:val="center"/>
            <w:hideMark/>
          </w:tcPr>
          <w:p w14:paraId="27FB0990" w14:textId="77777777" w:rsidR="005463FC" w:rsidRDefault="005463FC" w:rsidP="005463FC">
            <w:pPr>
              <w:pStyle w:val="TableColumnHeadingSmall"/>
              <w:rPr>
                <w:rFonts w:cstheme="minorHAnsi"/>
                <w:sz w:val="14"/>
                <w:szCs w:val="14"/>
                <w:lang w:eastAsia="en-AU"/>
              </w:rPr>
            </w:pPr>
            <w:r>
              <w:rPr>
                <w:rFonts w:cstheme="minorHAnsi"/>
                <w:sz w:val="14"/>
                <w:szCs w:val="14"/>
                <w:lang w:eastAsia="en-AU"/>
              </w:rPr>
              <w:t>Rest of Australian resident population</w:t>
            </w:r>
          </w:p>
        </w:tc>
        <w:tc>
          <w:tcPr>
            <w:tcW w:w="1077" w:type="dxa"/>
            <w:tcBorders>
              <w:top w:val="single" w:sz="4" w:space="0" w:color="E02628"/>
              <w:left w:val="nil"/>
              <w:bottom w:val="single" w:sz="4" w:space="0" w:color="E02628"/>
              <w:right w:val="nil"/>
            </w:tcBorders>
            <w:shd w:val="clear" w:color="auto" w:fill="E02628"/>
            <w:noWrap/>
            <w:hideMark/>
          </w:tcPr>
          <w:p w14:paraId="64AA8ECF" w14:textId="77777777" w:rsidR="005463FC" w:rsidRDefault="005463FC" w:rsidP="005463FC">
            <w:pPr>
              <w:rPr>
                <w:rFonts w:cstheme="minorHAnsi"/>
                <w:sz w:val="14"/>
                <w:szCs w:val="14"/>
                <w:lang w:eastAsia="en-AU"/>
              </w:rPr>
            </w:pPr>
          </w:p>
        </w:tc>
        <w:tc>
          <w:tcPr>
            <w:tcW w:w="907" w:type="dxa"/>
            <w:tcBorders>
              <w:top w:val="single" w:sz="4" w:space="0" w:color="E02628"/>
              <w:left w:val="nil"/>
              <w:bottom w:val="single" w:sz="4" w:space="0" w:color="E02628"/>
              <w:right w:val="nil"/>
            </w:tcBorders>
            <w:shd w:val="clear" w:color="auto" w:fill="E02628"/>
            <w:noWrap/>
            <w:hideMark/>
          </w:tcPr>
          <w:p w14:paraId="7E358F8F" w14:textId="77777777" w:rsidR="005463FC" w:rsidRDefault="005463FC" w:rsidP="005463FC">
            <w:pPr>
              <w:kinsoku/>
              <w:overflowPunct/>
              <w:autoSpaceDE/>
              <w:autoSpaceDN/>
              <w:adjustRightInd/>
              <w:snapToGrid/>
              <w:rPr>
                <w:rFonts w:ascii="Georgia" w:hAnsi="Georgia" w:cs="Times New Roman"/>
                <w:color w:val="auto"/>
                <w:lang w:eastAsia="en-AU"/>
              </w:rPr>
            </w:pPr>
          </w:p>
        </w:tc>
        <w:tc>
          <w:tcPr>
            <w:tcW w:w="855" w:type="dxa"/>
            <w:tcBorders>
              <w:top w:val="single" w:sz="4" w:space="0" w:color="E02628"/>
              <w:left w:val="nil"/>
              <w:bottom w:val="single" w:sz="4" w:space="0" w:color="E02628"/>
              <w:right w:val="nil"/>
            </w:tcBorders>
            <w:shd w:val="clear" w:color="auto" w:fill="E02628"/>
            <w:noWrap/>
            <w:hideMark/>
          </w:tcPr>
          <w:p w14:paraId="67D16485" w14:textId="77777777" w:rsidR="005463FC" w:rsidRDefault="005463FC" w:rsidP="005463FC">
            <w:pPr>
              <w:kinsoku/>
              <w:overflowPunct/>
              <w:autoSpaceDE/>
              <w:autoSpaceDN/>
              <w:adjustRightInd/>
              <w:snapToGrid/>
              <w:rPr>
                <w:rFonts w:ascii="Georgia" w:hAnsi="Georgia" w:cs="Times New Roman"/>
                <w:color w:val="auto"/>
                <w:lang w:eastAsia="en-AU"/>
              </w:rPr>
            </w:pPr>
          </w:p>
        </w:tc>
        <w:tc>
          <w:tcPr>
            <w:tcW w:w="993" w:type="dxa"/>
            <w:tcBorders>
              <w:top w:val="single" w:sz="4" w:space="0" w:color="E02628"/>
              <w:left w:val="nil"/>
              <w:bottom w:val="single" w:sz="4" w:space="0" w:color="E02628"/>
              <w:right w:val="nil"/>
            </w:tcBorders>
            <w:shd w:val="clear" w:color="auto" w:fill="E02628"/>
            <w:noWrap/>
            <w:hideMark/>
          </w:tcPr>
          <w:p w14:paraId="670A4105" w14:textId="77777777" w:rsidR="005463FC" w:rsidRDefault="005463FC" w:rsidP="005463FC">
            <w:pPr>
              <w:kinsoku/>
              <w:overflowPunct/>
              <w:autoSpaceDE/>
              <w:autoSpaceDN/>
              <w:adjustRightInd/>
              <w:snapToGrid/>
              <w:rPr>
                <w:rFonts w:ascii="Georgia" w:hAnsi="Georgia" w:cs="Times New Roman"/>
                <w:color w:val="auto"/>
                <w:lang w:eastAsia="en-AU"/>
              </w:rPr>
            </w:pPr>
          </w:p>
        </w:tc>
        <w:tc>
          <w:tcPr>
            <w:tcW w:w="925" w:type="dxa"/>
            <w:tcBorders>
              <w:top w:val="single" w:sz="4" w:space="0" w:color="E02628"/>
              <w:left w:val="nil"/>
              <w:bottom w:val="single" w:sz="4" w:space="0" w:color="E02628"/>
              <w:right w:val="nil"/>
            </w:tcBorders>
            <w:shd w:val="clear" w:color="auto" w:fill="E02628"/>
            <w:noWrap/>
            <w:hideMark/>
          </w:tcPr>
          <w:p w14:paraId="0F6D3C94" w14:textId="77777777" w:rsidR="005463FC" w:rsidRDefault="005463FC" w:rsidP="005463FC">
            <w:pPr>
              <w:kinsoku/>
              <w:overflowPunct/>
              <w:autoSpaceDE/>
              <w:autoSpaceDN/>
              <w:adjustRightInd/>
              <w:snapToGrid/>
              <w:rPr>
                <w:rFonts w:ascii="Georgia" w:hAnsi="Georgia" w:cs="Times New Roman"/>
                <w:color w:val="auto"/>
                <w:lang w:eastAsia="en-AU"/>
              </w:rPr>
            </w:pPr>
          </w:p>
        </w:tc>
        <w:tc>
          <w:tcPr>
            <w:tcW w:w="892" w:type="dxa"/>
            <w:tcBorders>
              <w:top w:val="single" w:sz="4" w:space="0" w:color="E02628"/>
              <w:left w:val="nil"/>
              <w:bottom w:val="single" w:sz="4" w:space="0" w:color="E02628"/>
              <w:right w:val="nil"/>
            </w:tcBorders>
            <w:shd w:val="clear" w:color="auto" w:fill="E02628"/>
            <w:noWrap/>
            <w:hideMark/>
          </w:tcPr>
          <w:p w14:paraId="6CB9B27C" w14:textId="77777777" w:rsidR="005463FC" w:rsidRDefault="005463FC" w:rsidP="005463FC">
            <w:pPr>
              <w:kinsoku/>
              <w:overflowPunct/>
              <w:autoSpaceDE/>
              <w:autoSpaceDN/>
              <w:adjustRightInd/>
              <w:snapToGrid/>
              <w:rPr>
                <w:rFonts w:ascii="Georgia" w:hAnsi="Georgia" w:cs="Times New Roman"/>
                <w:color w:val="auto"/>
                <w:lang w:eastAsia="en-AU"/>
              </w:rPr>
            </w:pPr>
          </w:p>
        </w:tc>
        <w:tc>
          <w:tcPr>
            <w:tcW w:w="1077" w:type="dxa"/>
            <w:tcBorders>
              <w:top w:val="single" w:sz="4" w:space="0" w:color="E02628"/>
              <w:left w:val="nil"/>
              <w:bottom w:val="single" w:sz="4" w:space="0" w:color="E02628"/>
              <w:right w:val="nil"/>
            </w:tcBorders>
            <w:shd w:val="clear" w:color="auto" w:fill="E02628"/>
          </w:tcPr>
          <w:p w14:paraId="2B012C25" w14:textId="77777777" w:rsidR="005463FC" w:rsidRDefault="005463FC" w:rsidP="005463FC">
            <w:pPr>
              <w:pStyle w:val="TableColumnHeadingSmall"/>
              <w:jc w:val="center"/>
              <w:rPr>
                <w:rFonts w:ascii="Arial" w:hAnsi="Arial"/>
                <w:sz w:val="14"/>
                <w:szCs w:val="14"/>
                <w:lang w:eastAsia="en-AU"/>
              </w:rPr>
            </w:pPr>
          </w:p>
        </w:tc>
      </w:tr>
      <w:tr w:rsidR="005463FC" w14:paraId="710A5398" w14:textId="77777777" w:rsidTr="005463FC">
        <w:trPr>
          <w:trHeight w:val="227"/>
          <w:tblHeader/>
        </w:trPr>
        <w:tc>
          <w:tcPr>
            <w:tcW w:w="2750" w:type="dxa"/>
            <w:tcBorders>
              <w:top w:val="single" w:sz="4" w:space="0" w:color="E02628"/>
              <w:left w:val="nil"/>
              <w:bottom w:val="single" w:sz="4" w:space="0" w:color="E02628"/>
              <w:right w:val="nil"/>
            </w:tcBorders>
            <w:shd w:val="clear" w:color="auto" w:fill="F4CACA" w:themeFill="accent5" w:themeFillTint="33"/>
            <w:noWrap/>
            <w:vAlign w:val="center"/>
            <w:hideMark/>
          </w:tcPr>
          <w:p w14:paraId="1E1DFC02" w14:textId="77777777" w:rsidR="005463FC" w:rsidRDefault="005463FC" w:rsidP="005463FC">
            <w:pPr>
              <w:pStyle w:val="TableTextSmall"/>
              <w:rPr>
                <w:rFonts w:cstheme="minorHAnsi"/>
                <w:i/>
                <w:sz w:val="14"/>
                <w:szCs w:val="14"/>
                <w:lang w:eastAsia="en-AU"/>
              </w:rPr>
            </w:pPr>
            <w:r>
              <w:rPr>
                <w:rFonts w:cstheme="minorHAnsi"/>
                <w:i/>
                <w:sz w:val="14"/>
                <w:szCs w:val="14"/>
                <w:lang w:eastAsia="en-AU"/>
              </w:rPr>
              <w:t>- Rest of Australian resident population</w:t>
            </w:r>
          </w:p>
        </w:tc>
        <w:tc>
          <w:tcPr>
            <w:tcW w:w="1077" w:type="dxa"/>
            <w:tcBorders>
              <w:top w:val="single" w:sz="4" w:space="0" w:color="E02628"/>
              <w:left w:val="nil"/>
              <w:bottom w:val="single" w:sz="4" w:space="0" w:color="E02628"/>
              <w:right w:val="nil"/>
            </w:tcBorders>
            <w:shd w:val="clear" w:color="auto" w:fill="F4CACA" w:themeFill="accent5" w:themeFillTint="33"/>
            <w:noWrap/>
            <w:vAlign w:val="center"/>
            <w:hideMark/>
          </w:tcPr>
          <w:p w14:paraId="7F599424" w14:textId="77777777" w:rsidR="005463FC" w:rsidRDefault="005463FC" w:rsidP="005463FC">
            <w:pPr>
              <w:pStyle w:val="TableTextSmall"/>
              <w:jc w:val="center"/>
              <w:rPr>
                <w:rFonts w:ascii="Arial" w:hAnsi="Arial"/>
                <w:i/>
                <w:sz w:val="14"/>
                <w:szCs w:val="14"/>
                <w:lang w:eastAsia="en-AU"/>
              </w:rPr>
            </w:pPr>
            <w:r>
              <w:rPr>
                <w:rFonts w:ascii="Arial" w:hAnsi="Arial"/>
                <w:i/>
                <w:sz w:val="14"/>
                <w:szCs w:val="14"/>
              </w:rPr>
              <w:t>12,122,461</w:t>
            </w:r>
          </w:p>
        </w:tc>
        <w:tc>
          <w:tcPr>
            <w:tcW w:w="907" w:type="dxa"/>
            <w:tcBorders>
              <w:top w:val="single" w:sz="4" w:space="0" w:color="E02628"/>
              <w:left w:val="nil"/>
              <w:bottom w:val="single" w:sz="4" w:space="0" w:color="E02628"/>
              <w:right w:val="nil"/>
            </w:tcBorders>
            <w:shd w:val="clear" w:color="auto" w:fill="F4CACA" w:themeFill="accent5" w:themeFillTint="33"/>
            <w:noWrap/>
            <w:vAlign w:val="center"/>
            <w:hideMark/>
          </w:tcPr>
          <w:p w14:paraId="2A952ADB" w14:textId="77777777" w:rsidR="005463FC" w:rsidRDefault="005463FC" w:rsidP="005463FC">
            <w:pPr>
              <w:pStyle w:val="TableTextSmall"/>
              <w:jc w:val="center"/>
              <w:rPr>
                <w:rFonts w:ascii="Arial" w:hAnsi="Arial"/>
                <w:i/>
                <w:sz w:val="14"/>
                <w:szCs w:val="14"/>
                <w:lang w:eastAsia="en-AU"/>
              </w:rPr>
            </w:pPr>
            <w:r>
              <w:rPr>
                <w:rFonts w:ascii="Arial" w:hAnsi="Arial"/>
                <w:i/>
                <w:sz w:val="14"/>
                <w:szCs w:val="14"/>
              </w:rPr>
              <w:t>28</w:t>
            </w:r>
          </w:p>
        </w:tc>
        <w:tc>
          <w:tcPr>
            <w:tcW w:w="855" w:type="dxa"/>
            <w:tcBorders>
              <w:top w:val="single" w:sz="4" w:space="0" w:color="E02628"/>
              <w:left w:val="nil"/>
              <w:bottom w:val="single" w:sz="4" w:space="0" w:color="E02628"/>
              <w:right w:val="nil"/>
            </w:tcBorders>
            <w:shd w:val="clear" w:color="auto" w:fill="F4CACA" w:themeFill="accent5" w:themeFillTint="33"/>
            <w:noWrap/>
            <w:vAlign w:val="center"/>
            <w:hideMark/>
          </w:tcPr>
          <w:p w14:paraId="3799DE1D" w14:textId="77777777" w:rsidR="005463FC" w:rsidRDefault="005463FC" w:rsidP="005463FC">
            <w:pPr>
              <w:pStyle w:val="TableTextSmall"/>
              <w:jc w:val="center"/>
              <w:rPr>
                <w:rFonts w:ascii="Arial" w:hAnsi="Arial"/>
                <w:i/>
                <w:sz w:val="14"/>
                <w:szCs w:val="14"/>
                <w:lang w:eastAsia="en-AU"/>
              </w:rPr>
            </w:pPr>
            <w:r>
              <w:rPr>
                <w:rFonts w:ascii="Arial" w:hAnsi="Arial"/>
                <w:i/>
                <w:sz w:val="14"/>
                <w:szCs w:val="14"/>
              </w:rPr>
              <w:t>1,812</w:t>
            </w:r>
          </w:p>
        </w:tc>
        <w:tc>
          <w:tcPr>
            <w:tcW w:w="993" w:type="dxa"/>
            <w:tcBorders>
              <w:top w:val="single" w:sz="4" w:space="0" w:color="E02628"/>
              <w:left w:val="nil"/>
              <w:bottom w:val="single" w:sz="4" w:space="0" w:color="E02628"/>
              <w:right w:val="nil"/>
            </w:tcBorders>
            <w:shd w:val="clear" w:color="auto" w:fill="F4CACA" w:themeFill="accent5" w:themeFillTint="33"/>
            <w:noWrap/>
            <w:vAlign w:val="center"/>
            <w:hideMark/>
          </w:tcPr>
          <w:p w14:paraId="24EACE1C" w14:textId="77777777" w:rsidR="005463FC" w:rsidRDefault="005463FC" w:rsidP="005463FC">
            <w:pPr>
              <w:pStyle w:val="TableTextSmall"/>
              <w:jc w:val="center"/>
              <w:rPr>
                <w:rFonts w:ascii="Arial" w:hAnsi="Arial"/>
                <w:i/>
                <w:sz w:val="14"/>
                <w:szCs w:val="14"/>
                <w:lang w:eastAsia="en-AU"/>
              </w:rPr>
            </w:pPr>
            <w:r>
              <w:rPr>
                <w:rFonts w:ascii="Arial" w:hAnsi="Arial"/>
                <w:i/>
                <w:sz w:val="14"/>
                <w:szCs w:val="14"/>
              </w:rPr>
              <w:t>n/a</w:t>
            </w:r>
          </w:p>
        </w:tc>
        <w:tc>
          <w:tcPr>
            <w:tcW w:w="925" w:type="dxa"/>
            <w:tcBorders>
              <w:top w:val="single" w:sz="4" w:space="0" w:color="E02628"/>
              <w:left w:val="nil"/>
              <w:bottom w:val="single" w:sz="4" w:space="0" w:color="E02628"/>
              <w:right w:val="nil"/>
            </w:tcBorders>
            <w:shd w:val="clear" w:color="auto" w:fill="F4CACA" w:themeFill="accent5" w:themeFillTint="33"/>
            <w:noWrap/>
            <w:vAlign w:val="center"/>
            <w:hideMark/>
          </w:tcPr>
          <w:p w14:paraId="5EF1DE43" w14:textId="77777777" w:rsidR="005463FC" w:rsidRDefault="005463FC" w:rsidP="005463FC">
            <w:pPr>
              <w:pStyle w:val="TableTextSmall"/>
              <w:jc w:val="center"/>
              <w:rPr>
                <w:rFonts w:ascii="Arial" w:hAnsi="Arial"/>
                <w:i/>
                <w:sz w:val="14"/>
                <w:szCs w:val="14"/>
                <w:lang w:eastAsia="en-AU"/>
              </w:rPr>
            </w:pPr>
            <w:r>
              <w:rPr>
                <w:rFonts w:ascii="Arial" w:hAnsi="Arial"/>
                <w:i/>
                <w:sz w:val="14"/>
                <w:szCs w:val="14"/>
              </w:rPr>
              <w:t>150</w:t>
            </w:r>
          </w:p>
        </w:tc>
        <w:tc>
          <w:tcPr>
            <w:tcW w:w="892" w:type="dxa"/>
            <w:tcBorders>
              <w:top w:val="single" w:sz="4" w:space="0" w:color="E02628"/>
              <w:left w:val="nil"/>
              <w:bottom w:val="single" w:sz="4" w:space="0" w:color="E02628"/>
              <w:right w:val="nil"/>
            </w:tcBorders>
            <w:shd w:val="clear" w:color="auto" w:fill="F4CACA" w:themeFill="accent5" w:themeFillTint="33"/>
            <w:noWrap/>
            <w:vAlign w:val="center"/>
            <w:hideMark/>
          </w:tcPr>
          <w:p w14:paraId="7FE8A539" w14:textId="77777777" w:rsidR="005463FC" w:rsidRDefault="005463FC" w:rsidP="005463FC">
            <w:pPr>
              <w:pStyle w:val="TableTextSmall"/>
              <w:jc w:val="center"/>
              <w:rPr>
                <w:rFonts w:ascii="Arial" w:hAnsi="Arial"/>
                <w:i/>
                <w:sz w:val="14"/>
                <w:szCs w:val="14"/>
                <w:lang w:eastAsia="en-AU"/>
              </w:rPr>
            </w:pPr>
            <w:r>
              <w:rPr>
                <w:rFonts w:ascii="Arial" w:hAnsi="Arial"/>
                <w:i/>
                <w:sz w:val="14"/>
                <w:szCs w:val="14"/>
              </w:rPr>
              <w:t>n/a</w:t>
            </w:r>
          </w:p>
        </w:tc>
        <w:tc>
          <w:tcPr>
            <w:tcW w:w="1077" w:type="dxa"/>
            <w:tcBorders>
              <w:top w:val="single" w:sz="4" w:space="0" w:color="E02628"/>
              <w:left w:val="nil"/>
              <w:bottom w:val="single" w:sz="4" w:space="0" w:color="E02628"/>
              <w:right w:val="nil"/>
            </w:tcBorders>
            <w:shd w:val="clear" w:color="auto" w:fill="F4CACA" w:themeFill="accent5" w:themeFillTint="33"/>
            <w:vAlign w:val="center"/>
            <w:hideMark/>
          </w:tcPr>
          <w:p w14:paraId="1B1789B3" w14:textId="77777777" w:rsidR="005463FC" w:rsidRDefault="005463FC" w:rsidP="005463FC">
            <w:pPr>
              <w:pStyle w:val="TableTextSmall"/>
              <w:jc w:val="center"/>
              <w:rPr>
                <w:rFonts w:ascii="Arial" w:hAnsi="Arial"/>
                <w:i/>
                <w:sz w:val="14"/>
                <w:szCs w:val="14"/>
                <w:lang w:eastAsia="en-AU"/>
              </w:rPr>
            </w:pPr>
            <w:r>
              <w:rPr>
                <w:rFonts w:ascii="Arial" w:hAnsi="Arial"/>
                <w:i/>
                <w:sz w:val="14"/>
                <w:szCs w:val="14"/>
              </w:rPr>
              <w:t>34%</w:t>
            </w:r>
          </w:p>
        </w:tc>
      </w:tr>
      <w:tr w:rsidR="005463FC" w14:paraId="4C1E67EE" w14:textId="77777777" w:rsidTr="005463FC">
        <w:trPr>
          <w:trHeight w:val="227"/>
          <w:tblHeader/>
        </w:trPr>
        <w:tc>
          <w:tcPr>
            <w:tcW w:w="2750" w:type="dxa"/>
            <w:tcBorders>
              <w:top w:val="single" w:sz="4" w:space="0" w:color="E02628"/>
              <w:left w:val="nil"/>
              <w:bottom w:val="single" w:sz="4" w:space="0" w:color="E02628"/>
              <w:right w:val="nil"/>
            </w:tcBorders>
            <w:shd w:val="clear" w:color="auto" w:fill="E02628"/>
            <w:noWrap/>
            <w:vAlign w:val="center"/>
            <w:hideMark/>
          </w:tcPr>
          <w:p w14:paraId="3435D792" w14:textId="77777777" w:rsidR="005463FC" w:rsidRDefault="005463FC" w:rsidP="005463FC">
            <w:pPr>
              <w:pStyle w:val="TableColumnHeadingSmall"/>
              <w:rPr>
                <w:rFonts w:cstheme="minorHAnsi"/>
                <w:sz w:val="14"/>
                <w:szCs w:val="14"/>
                <w:lang w:eastAsia="en-AU"/>
              </w:rPr>
            </w:pPr>
            <w:r>
              <w:rPr>
                <w:rFonts w:cstheme="minorHAnsi"/>
                <w:sz w:val="14"/>
                <w:szCs w:val="14"/>
                <w:lang w:eastAsia="en-AU"/>
              </w:rPr>
              <w:t>Australian resident population</w:t>
            </w:r>
          </w:p>
        </w:tc>
        <w:tc>
          <w:tcPr>
            <w:tcW w:w="1077" w:type="dxa"/>
            <w:tcBorders>
              <w:top w:val="single" w:sz="4" w:space="0" w:color="E02628"/>
              <w:left w:val="nil"/>
              <w:bottom w:val="single" w:sz="4" w:space="0" w:color="E02628"/>
              <w:right w:val="nil"/>
            </w:tcBorders>
            <w:shd w:val="clear" w:color="auto" w:fill="E02628"/>
            <w:noWrap/>
            <w:hideMark/>
          </w:tcPr>
          <w:p w14:paraId="109BBE81" w14:textId="77777777" w:rsidR="005463FC" w:rsidRDefault="005463FC" w:rsidP="005463FC">
            <w:pPr>
              <w:pStyle w:val="TableColumnHeadingSmall"/>
              <w:jc w:val="center"/>
              <w:rPr>
                <w:rFonts w:cstheme="minorHAnsi"/>
                <w:sz w:val="14"/>
                <w:szCs w:val="14"/>
                <w:lang w:eastAsia="en-AU"/>
              </w:rPr>
            </w:pPr>
            <w:r>
              <w:rPr>
                <w:rFonts w:cstheme="minorHAnsi"/>
                <w:sz w:val="14"/>
                <w:szCs w:val="14"/>
              </w:rPr>
              <w:t>24,653,645</w:t>
            </w:r>
          </w:p>
        </w:tc>
        <w:tc>
          <w:tcPr>
            <w:tcW w:w="907" w:type="dxa"/>
            <w:tcBorders>
              <w:top w:val="single" w:sz="4" w:space="0" w:color="E02628"/>
              <w:left w:val="nil"/>
              <w:bottom w:val="single" w:sz="4" w:space="0" w:color="E02628"/>
              <w:right w:val="nil"/>
            </w:tcBorders>
            <w:shd w:val="clear" w:color="auto" w:fill="E02628"/>
            <w:noWrap/>
            <w:hideMark/>
          </w:tcPr>
          <w:p w14:paraId="41E812C3" w14:textId="77777777" w:rsidR="005463FC" w:rsidRDefault="005463FC" w:rsidP="005463FC">
            <w:pPr>
              <w:pStyle w:val="TableColumnHeadingSmall"/>
              <w:jc w:val="center"/>
              <w:rPr>
                <w:rFonts w:cstheme="minorHAnsi"/>
                <w:sz w:val="14"/>
                <w:szCs w:val="14"/>
                <w:lang w:eastAsia="en-AU"/>
              </w:rPr>
            </w:pPr>
            <w:r>
              <w:rPr>
                <w:rFonts w:cstheme="minorHAnsi"/>
                <w:sz w:val="14"/>
                <w:szCs w:val="14"/>
              </w:rPr>
              <w:t>39</w:t>
            </w:r>
          </w:p>
        </w:tc>
        <w:tc>
          <w:tcPr>
            <w:tcW w:w="855" w:type="dxa"/>
            <w:tcBorders>
              <w:top w:val="single" w:sz="4" w:space="0" w:color="E02628"/>
              <w:left w:val="nil"/>
              <w:bottom w:val="single" w:sz="4" w:space="0" w:color="E02628"/>
              <w:right w:val="nil"/>
            </w:tcBorders>
            <w:shd w:val="clear" w:color="auto" w:fill="E02628"/>
            <w:noWrap/>
            <w:hideMark/>
          </w:tcPr>
          <w:p w14:paraId="7F2489A5" w14:textId="77777777" w:rsidR="005463FC" w:rsidRDefault="005463FC" w:rsidP="005463FC">
            <w:pPr>
              <w:pStyle w:val="TableColumnHeadingSmall"/>
              <w:jc w:val="center"/>
              <w:rPr>
                <w:rFonts w:cstheme="minorHAnsi"/>
                <w:sz w:val="14"/>
                <w:szCs w:val="14"/>
                <w:lang w:eastAsia="en-AU"/>
              </w:rPr>
            </w:pPr>
            <w:r>
              <w:rPr>
                <w:rFonts w:cstheme="minorHAnsi"/>
                <w:sz w:val="14"/>
                <w:szCs w:val="14"/>
              </w:rPr>
              <w:t>4,681</w:t>
            </w:r>
          </w:p>
        </w:tc>
        <w:tc>
          <w:tcPr>
            <w:tcW w:w="993" w:type="dxa"/>
            <w:tcBorders>
              <w:top w:val="single" w:sz="4" w:space="0" w:color="E02628"/>
              <w:left w:val="nil"/>
              <w:bottom w:val="single" w:sz="4" w:space="0" w:color="E02628"/>
              <w:right w:val="nil"/>
            </w:tcBorders>
            <w:shd w:val="clear" w:color="auto" w:fill="E02628"/>
            <w:noWrap/>
            <w:hideMark/>
          </w:tcPr>
          <w:p w14:paraId="37C171BB" w14:textId="77777777" w:rsidR="005463FC" w:rsidRDefault="005463FC" w:rsidP="005463FC">
            <w:pPr>
              <w:pStyle w:val="TableColumnHeadingSmall"/>
              <w:jc w:val="center"/>
              <w:rPr>
                <w:rFonts w:cstheme="minorHAnsi"/>
                <w:sz w:val="14"/>
                <w:szCs w:val="14"/>
                <w:lang w:eastAsia="en-AU"/>
              </w:rPr>
            </w:pPr>
            <w:r>
              <w:rPr>
                <w:rFonts w:cstheme="minorHAnsi"/>
                <w:sz w:val="14"/>
                <w:szCs w:val="14"/>
              </w:rPr>
              <w:t>4,438</w:t>
            </w:r>
          </w:p>
        </w:tc>
        <w:tc>
          <w:tcPr>
            <w:tcW w:w="925" w:type="dxa"/>
            <w:tcBorders>
              <w:top w:val="single" w:sz="4" w:space="0" w:color="E02628"/>
              <w:left w:val="nil"/>
              <w:bottom w:val="single" w:sz="4" w:space="0" w:color="E02628"/>
              <w:right w:val="nil"/>
            </w:tcBorders>
            <w:shd w:val="clear" w:color="auto" w:fill="E02628"/>
            <w:noWrap/>
            <w:hideMark/>
          </w:tcPr>
          <w:p w14:paraId="1334F744" w14:textId="77777777" w:rsidR="005463FC" w:rsidRDefault="005463FC" w:rsidP="005463FC">
            <w:pPr>
              <w:pStyle w:val="TableColumnHeadingSmall"/>
              <w:jc w:val="center"/>
              <w:rPr>
                <w:rFonts w:cstheme="minorHAnsi"/>
                <w:sz w:val="14"/>
                <w:szCs w:val="14"/>
                <w:lang w:eastAsia="en-AU"/>
              </w:rPr>
            </w:pPr>
            <w:r>
              <w:rPr>
                <w:rFonts w:cstheme="minorHAnsi"/>
                <w:sz w:val="14"/>
                <w:szCs w:val="14"/>
              </w:rPr>
              <w:t>190</w:t>
            </w:r>
          </w:p>
        </w:tc>
        <w:tc>
          <w:tcPr>
            <w:tcW w:w="892" w:type="dxa"/>
            <w:tcBorders>
              <w:top w:val="single" w:sz="4" w:space="0" w:color="E02628"/>
              <w:left w:val="nil"/>
              <w:bottom w:val="single" w:sz="4" w:space="0" w:color="E02628"/>
              <w:right w:val="nil"/>
            </w:tcBorders>
            <w:shd w:val="clear" w:color="auto" w:fill="E02628"/>
            <w:noWrap/>
            <w:hideMark/>
          </w:tcPr>
          <w:p w14:paraId="71FEA77E" w14:textId="77777777" w:rsidR="005463FC" w:rsidRDefault="005463FC" w:rsidP="005463FC">
            <w:pPr>
              <w:pStyle w:val="TableColumnHeadingSmall"/>
              <w:jc w:val="center"/>
              <w:rPr>
                <w:rFonts w:cstheme="minorHAnsi"/>
                <w:sz w:val="14"/>
                <w:szCs w:val="14"/>
                <w:lang w:eastAsia="en-AU"/>
              </w:rPr>
            </w:pPr>
            <w:r>
              <w:rPr>
                <w:rFonts w:cstheme="minorHAnsi"/>
                <w:sz w:val="14"/>
                <w:szCs w:val="14"/>
              </w:rPr>
              <w:t>43</w:t>
            </w:r>
          </w:p>
        </w:tc>
        <w:tc>
          <w:tcPr>
            <w:tcW w:w="1077" w:type="dxa"/>
            <w:tcBorders>
              <w:top w:val="single" w:sz="4" w:space="0" w:color="E02628"/>
              <w:left w:val="nil"/>
              <w:bottom w:val="single" w:sz="4" w:space="0" w:color="E02628"/>
              <w:right w:val="nil"/>
            </w:tcBorders>
            <w:shd w:val="clear" w:color="auto" w:fill="E02628"/>
            <w:hideMark/>
          </w:tcPr>
          <w:p w14:paraId="516C8B07" w14:textId="77777777" w:rsidR="005463FC" w:rsidRDefault="005463FC" w:rsidP="005463FC">
            <w:pPr>
              <w:pStyle w:val="TableColumnHeadingSmall"/>
              <w:jc w:val="center"/>
              <w:rPr>
                <w:rFonts w:cstheme="minorHAnsi"/>
                <w:sz w:val="14"/>
                <w:szCs w:val="14"/>
                <w:lang w:eastAsia="en-AU"/>
              </w:rPr>
            </w:pPr>
            <w:r>
              <w:rPr>
                <w:rFonts w:cstheme="minorHAnsi"/>
                <w:sz w:val="14"/>
                <w:szCs w:val="14"/>
              </w:rPr>
              <w:t>41%</w:t>
            </w:r>
          </w:p>
        </w:tc>
      </w:tr>
    </w:tbl>
    <w:p w14:paraId="4585EDE0" w14:textId="77777777" w:rsidR="005463FC" w:rsidRDefault="005463FC" w:rsidP="005463FC">
      <w:pPr>
        <w:pStyle w:val="Sources"/>
        <w:keepNext/>
      </w:pPr>
      <w:r>
        <w:t xml:space="preserve">Notes: </w:t>
      </w:r>
    </w:p>
    <w:p w14:paraId="3E03911A" w14:textId="77777777" w:rsidR="005463FC" w:rsidRDefault="005463FC" w:rsidP="005463FC">
      <w:pPr>
        <w:pStyle w:val="Sources"/>
        <w:numPr>
          <w:ilvl w:val="0"/>
          <w:numId w:val="50"/>
        </w:numPr>
      </w:pPr>
      <w:r>
        <w:t>The average payment in 2016/17 is understated owing to the data maturity issues with FTB and family payment data. This has a particular impact on the average payments for people in the family non IS and other non IS classes; we would expect these amounts to ultimately be larger than the figures shown.</w:t>
      </w:r>
    </w:p>
    <w:p w14:paraId="29E26D69" w14:textId="77777777" w:rsidR="005463FC" w:rsidRDefault="005463FC" w:rsidP="005463FC">
      <w:pPr>
        <w:pStyle w:val="Sources"/>
        <w:numPr>
          <w:ilvl w:val="0"/>
          <w:numId w:val="50"/>
        </w:numPr>
      </w:pPr>
      <w:r>
        <w:t>Exited 4+ years refers to previous welfare recipients who have exited in the past 4 to 16 years</w:t>
      </w:r>
    </w:p>
    <w:p w14:paraId="6E8C1C40" w14:textId="77777777" w:rsidR="005463FC" w:rsidRDefault="005463FC" w:rsidP="005463FC">
      <w:pPr>
        <w:pStyle w:val="PwCNormal"/>
        <w:numPr>
          <w:ilvl w:val="0"/>
          <w:numId w:val="0"/>
        </w:numPr>
        <w:spacing w:before="240" w:after="60"/>
      </w:pPr>
      <w:r>
        <w:t>The above table shows the contribution of each class and population group to the total lifetime cost, which reflects the number of people in that class as well as their average lifetime cost. The average lifetime cost for people in each class is driven by the probability of an average person in that starting population entering, remaining in or leaving the welfare system in each future year; combined with the type and amount of payments they are likely to receive. A few comparative indicators have been included in the table to help explain the results:</w:t>
      </w:r>
    </w:p>
    <w:p w14:paraId="1024AB8E" w14:textId="77777777" w:rsidR="005463FC" w:rsidRDefault="005463FC" w:rsidP="005463FC">
      <w:pPr>
        <w:pStyle w:val="ListBullet"/>
        <w:numPr>
          <w:ilvl w:val="0"/>
          <w:numId w:val="49"/>
        </w:numPr>
      </w:pPr>
      <w:r>
        <w:t xml:space="preserve">The </w:t>
      </w:r>
      <w:r>
        <w:rPr>
          <w:b/>
        </w:rPr>
        <w:t xml:space="preserve">average age </w:t>
      </w:r>
      <w:r>
        <w:t>of the starting population is shown – younger people have a longer period over which they may receive benefits, but also have a greater potential to move out of the system and become self-reliant at some stage compared to older people. In addition to this, the age pension costs for younger people are further into the future and so are lower as they are discounted more. In general, the lower the average age of the population group, the lower the average lifetime cost.</w:t>
      </w:r>
    </w:p>
    <w:p w14:paraId="69D61411" w14:textId="77777777" w:rsidR="005463FC" w:rsidRDefault="005463FC" w:rsidP="005463FC">
      <w:pPr>
        <w:pStyle w:val="ListBullet"/>
        <w:numPr>
          <w:ilvl w:val="0"/>
          <w:numId w:val="49"/>
        </w:numPr>
      </w:pPr>
      <w:r>
        <w:t xml:space="preserve">The </w:t>
      </w:r>
      <w:r>
        <w:rPr>
          <w:b/>
        </w:rPr>
        <w:t>average payment received in 2016/17</w:t>
      </w:r>
      <w:r>
        <w:t xml:space="preserve"> by people in each class is shown – this is quite different by class, reflecting the nature and mix of the payments received by people in each class. The differences in payments received in the 2016/17 year broadly reflect the differences in the average lifetime cost by class. For example, the average payment in 2016/17 for those currently in the Parenting class is one of the highest compared to other classes, and this class is also estimated to have one of the highest average lifetime costs.</w:t>
      </w:r>
    </w:p>
    <w:p w14:paraId="54CCB3D4" w14:textId="77777777" w:rsidR="005463FC" w:rsidRDefault="005463FC" w:rsidP="005463FC">
      <w:pPr>
        <w:pStyle w:val="ListBullet"/>
        <w:numPr>
          <w:ilvl w:val="0"/>
          <w:numId w:val="49"/>
        </w:numPr>
      </w:pPr>
      <w:r>
        <w:t xml:space="preserve">The </w:t>
      </w:r>
      <w:r>
        <w:rPr>
          <w:b/>
        </w:rPr>
        <w:t>ratio of the</w:t>
      </w:r>
      <w:r>
        <w:t xml:space="preserve"> </w:t>
      </w:r>
      <w:r>
        <w:rPr>
          <w:b/>
        </w:rPr>
        <w:t>average lifetime cost to the annual payment</w:t>
      </w:r>
      <w:r>
        <w:t xml:space="preserve"> is shown for current welfare recipients, this ratio reflects:</w:t>
      </w:r>
    </w:p>
    <w:p w14:paraId="4C1BBC2F" w14:textId="529348DF" w:rsidR="005463FC" w:rsidRDefault="005463FC" w:rsidP="005463FC">
      <w:pPr>
        <w:pStyle w:val="ListBullet2"/>
        <w:numPr>
          <w:ilvl w:val="1"/>
          <w:numId w:val="49"/>
        </w:numPr>
      </w:pPr>
      <w:r>
        <w:t>the average number of years on benefit projected for people in that class</w:t>
      </w:r>
      <w:r w:rsidR="00E00E2E">
        <w:t xml:space="preserve">; </w:t>
      </w:r>
      <w:r>
        <w:t>and</w:t>
      </w:r>
    </w:p>
    <w:p w14:paraId="5F0F2DB1" w14:textId="77777777" w:rsidR="005463FC" w:rsidRDefault="005463FC" w:rsidP="005463FC">
      <w:pPr>
        <w:pStyle w:val="ListBullet2"/>
        <w:numPr>
          <w:ilvl w:val="1"/>
          <w:numId w:val="49"/>
        </w:numPr>
      </w:pPr>
      <w:r>
        <w:t>the extent to which future payment levels will change based on people transitioning into different classes or changing their circumstances.</w:t>
      </w:r>
    </w:p>
    <w:p w14:paraId="6458B83D" w14:textId="77777777" w:rsidR="005463FC" w:rsidRDefault="005463FC" w:rsidP="005463FC">
      <w:pPr>
        <w:pStyle w:val="ListBullet2"/>
        <w:numPr>
          <w:ilvl w:val="0"/>
          <w:numId w:val="0"/>
        </w:numPr>
        <w:tabs>
          <w:tab w:val="left" w:pos="720"/>
        </w:tabs>
        <w:ind w:left="284"/>
      </w:pPr>
      <w:r>
        <w:lastRenderedPageBreak/>
        <w:t xml:space="preserve">For example, the Age Pension class ratio of 12 would mainly reflect the number of years that the current population of age pensioners are likely to remain in receipt of payments, along with some variation in payment as people age and their circumstances change. </w:t>
      </w:r>
    </w:p>
    <w:p w14:paraId="3AA0ED4D" w14:textId="77777777" w:rsidR="005463FC" w:rsidRDefault="005463FC" w:rsidP="005463FC">
      <w:pPr>
        <w:pStyle w:val="ListBullet2"/>
        <w:numPr>
          <w:ilvl w:val="0"/>
          <w:numId w:val="0"/>
        </w:numPr>
        <w:tabs>
          <w:tab w:val="left" w:pos="720"/>
        </w:tabs>
        <w:ind w:left="284"/>
      </w:pPr>
      <w:r>
        <w:t xml:space="preserve">The ratio of 26 for studying payment recipients would reflect the fact that while many in this class will exit the system within a couple of years, this is swamped by the long term cost of those people who transition to other classes after studying, or those who return to the system at a later stage of their lives, in particular those who retire and go onto the Age Pension. </w:t>
      </w:r>
    </w:p>
    <w:p w14:paraId="4ABC8773" w14:textId="77777777" w:rsidR="005463FC" w:rsidRDefault="005463FC" w:rsidP="005463FC">
      <w:pPr>
        <w:pStyle w:val="ListBullet"/>
        <w:numPr>
          <w:ilvl w:val="0"/>
          <w:numId w:val="49"/>
        </w:numPr>
      </w:pPr>
      <w:r>
        <w:t xml:space="preserve">The expected </w:t>
      </w:r>
      <w:r>
        <w:rPr>
          <w:b/>
        </w:rPr>
        <w:t>proportion of future years in an income support class</w:t>
      </w:r>
      <w:r>
        <w:t xml:space="preserve"> is provided as an indicator of the extent to which people in each class are expected to be self-sufficient over the remainder of their lives. We can see that age pensioners and Disability Support Pensioners are expected to receive income support for most of their remaining lifetimes and that the proportions are lower for those in other classes, especially those not currently receiving welfare payments. In general, the higher this proportion, the higher the average lifetime cost.</w:t>
      </w:r>
    </w:p>
    <w:p w14:paraId="3DA536DF" w14:textId="77777777" w:rsidR="005463FC" w:rsidRDefault="005463FC" w:rsidP="005463FC">
      <w:pPr>
        <w:pStyle w:val="Heading4"/>
      </w:pPr>
      <w:r>
        <w:t>Contribution of payment categories to total lifetime cost</w:t>
      </w:r>
    </w:p>
    <w:p w14:paraId="0636D8AA" w14:textId="77777777" w:rsidR="005463FC" w:rsidRDefault="005463FC" w:rsidP="005463FC">
      <w:pPr>
        <w:pStyle w:val="PwCNormal"/>
        <w:numPr>
          <w:ilvl w:val="0"/>
          <w:numId w:val="0"/>
        </w:numPr>
      </w:pPr>
      <w:r>
        <w:t>The total lifetime cost is calculated as the net present value of future in-scope payments made to all people in the model population over the remainder of their natural lifetimes. Given that a large portion of the model population is likely to receive the Age Pension in the future, the total lifetime cost is dominated by the age pension. The chart below illustrates how each payment category contributes to total lifetime cost.</w:t>
      </w:r>
    </w:p>
    <w:p w14:paraId="0122A876" w14:textId="4CF10B8E" w:rsidR="005463FC" w:rsidRDefault="005463FC" w:rsidP="005463FC">
      <w:pPr>
        <w:pStyle w:val="Caption"/>
      </w:pPr>
      <w:r>
        <w:t xml:space="preserve">Figure </w:t>
      </w:r>
      <w:fldSimple w:instr=" SEQ Figure \* ARABIC ">
        <w:r w:rsidR="00C93C1A">
          <w:rPr>
            <w:noProof/>
          </w:rPr>
          <w:t>43</w:t>
        </w:r>
      </w:fldSimple>
      <w:r>
        <w:t>: Composition of lifetime cost ($billion) by payment category</w:t>
      </w:r>
    </w:p>
    <w:p w14:paraId="29A55AE9" w14:textId="77777777" w:rsidR="005463FC" w:rsidRDefault="005463FC" w:rsidP="005463FC">
      <w:pPr>
        <w:pStyle w:val="PwCNormal"/>
        <w:numPr>
          <w:ilvl w:val="0"/>
          <w:numId w:val="0"/>
        </w:numPr>
      </w:pPr>
      <w:r w:rsidRPr="00867915">
        <w:rPr>
          <w:noProof/>
          <w:lang w:eastAsia="en-AU"/>
        </w:rPr>
        <w:drawing>
          <wp:inline distT="0" distB="0" distL="0" distR="0" wp14:anchorId="146B2967" wp14:editId="555EF058">
            <wp:extent cx="3532997" cy="2160000"/>
            <wp:effectExtent l="0" t="0" r="0" b="0"/>
            <wp:docPr id="3872" name="Picture 3872" descr="This figure is a horizontal bar chart. The chart shows the total lifetime cost split by payment category. The vertical axis shows payment category. The horizontal axis shows lifetime cost in billions of dollars ranging from 0 to 3 trillion dollars. &#10;&#10;The lifetime costs by payment category were: 39 billion dollars for IS studying, 263 billion dollars for IS working age, 119 billion dollars for IS parents, 218 billion dollars for IS carers, 458 billion dollars for IS disability, 2.631 trillion dollars for IS aged, &lt;1 billion dollars for IS dependent, 321 billion dollars for Other – FTB, 151 billion dollars for Other –family, 43 billion dollars for Other – new parents, , 4 billion dollars for Other – health and disability, 83 billion dollars for Other – carer, 4 billion dollars for Other – study and skills, 1 billion dollars for Other – remote and regional, 236 billion dollars for Other – general allowances, 6 billion dollars for All other and 103 billion dollars for Rent assistance.&#10;" title="Composition of lifetime cost ($billion) by paymen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32997" cy="2160000"/>
                    </a:xfrm>
                    <a:prstGeom prst="rect">
                      <a:avLst/>
                    </a:prstGeom>
                    <a:noFill/>
                    <a:ln>
                      <a:noFill/>
                    </a:ln>
                  </pic:spPr>
                </pic:pic>
              </a:graphicData>
            </a:graphic>
          </wp:inline>
        </w:drawing>
      </w:r>
    </w:p>
    <w:p w14:paraId="479D5E48" w14:textId="77777777" w:rsidR="005463FC" w:rsidRDefault="005463FC" w:rsidP="005463FC">
      <w:pPr>
        <w:pStyle w:val="PwCNormal"/>
        <w:numPr>
          <w:ilvl w:val="0"/>
          <w:numId w:val="0"/>
        </w:numPr>
      </w:pPr>
      <w:r>
        <w:rPr>
          <w:noProof/>
          <w:lang w:eastAsia="en-AU"/>
        </w:rPr>
        <w:drawing>
          <wp:inline distT="0" distB="0" distL="0" distR="0" wp14:anchorId="5CF2D856" wp14:editId="01D4897A">
            <wp:extent cx="6267450" cy="349250"/>
            <wp:effectExtent l="0" t="0" r="0" b="0"/>
            <wp:docPr id="3873" name="Picture 3873"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23"/>
            <wp:cNvGraphicFramePr/>
            <a:graphic xmlns:a="http://schemas.openxmlformats.org/drawingml/2006/main">
              <a:graphicData uri="http://schemas.openxmlformats.org/drawingml/2006/picture">
                <pic:pic xmlns:pic="http://schemas.openxmlformats.org/drawingml/2006/picture">
                  <pic:nvPicPr>
                    <pic:cNvPr id="3142" name="Picture 3142"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2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4275" cy="354965"/>
                    </a:xfrm>
                    <a:prstGeom prst="rect">
                      <a:avLst/>
                    </a:prstGeom>
                    <a:noFill/>
                    <a:ln>
                      <a:noFill/>
                    </a:ln>
                  </pic:spPr>
                </pic:pic>
              </a:graphicData>
            </a:graphic>
          </wp:inline>
        </w:drawing>
      </w:r>
    </w:p>
    <w:p w14:paraId="7B36D9FD" w14:textId="77777777" w:rsidR="005463FC" w:rsidRDefault="005463FC" w:rsidP="005463FC">
      <w:pPr>
        <w:pStyle w:val="PwCNormal"/>
        <w:numPr>
          <w:ilvl w:val="0"/>
          <w:numId w:val="0"/>
        </w:numPr>
      </w:pPr>
      <w:r>
        <w:t>The largest contribution is from the Age Pension which represents 56% of the total lifetime cost. The next largest income support contributions are from the Disability Support Pension (10%) and working age (6%) payment categories.</w:t>
      </w:r>
    </w:p>
    <w:p w14:paraId="0255C1BD" w14:textId="77777777" w:rsidR="005463FC" w:rsidRDefault="005463FC" w:rsidP="005463FC">
      <w:pPr>
        <w:pStyle w:val="Heading4"/>
      </w:pPr>
      <w:r>
        <w:lastRenderedPageBreak/>
        <w:t>Contribution of each welfare class to total lifetime cost</w:t>
      </w:r>
    </w:p>
    <w:p w14:paraId="2EF628D5" w14:textId="77777777" w:rsidR="005463FC" w:rsidRDefault="005463FC" w:rsidP="005463FC">
      <w:pPr>
        <w:pStyle w:val="PwCNormal"/>
        <w:keepNext/>
        <w:numPr>
          <w:ilvl w:val="0"/>
          <w:numId w:val="0"/>
        </w:numPr>
      </w:pPr>
      <w:r>
        <w:t xml:space="preserve">The relative contributions of each class to the total lifetime cost are impacted by both the numbers of people in each class as well as the average cost for each person. </w:t>
      </w:r>
    </w:p>
    <w:p w14:paraId="34893D90" w14:textId="56551B8E" w:rsidR="005463FC" w:rsidRDefault="005463FC" w:rsidP="005463FC">
      <w:pPr>
        <w:pStyle w:val="Caption"/>
      </w:pPr>
      <w:r>
        <w:t xml:space="preserve">Figure </w:t>
      </w:r>
      <w:fldSimple w:instr=" SEQ Figure \* ARABIC ">
        <w:r w:rsidR="00C93C1A">
          <w:rPr>
            <w:noProof/>
          </w:rPr>
          <w:t>44</w:t>
        </w:r>
      </w:fldSimple>
      <w:r>
        <w:t>: Drivers of welfare class lifetime costs</w:t>
      </w:r>
    </w:p>
    <w:p w14:paraId="100B810D" w14:textId="77777777" w:rsidR="005463FC" w:rsidRDefault="005463FC" w:rsidP="005463FC">
      <w:pPr>
        <w:pStyle w:val="TableTextSmall"/>
        <w:keepNext/>
        <w:tabs>
          <w:tab w:val="left" w:pos="5387"/>
        </w:tabs>
        <w:ind w:left="737"/>
        <w:rPr>
          <w:i/>
          <w:sz w:val="20"/>
          <w:szCs w:val="20"/>
        </w:rPr>
      </w:pPr>
      <w:r>
        <w:rPr>
          <w:i/>
          <w:szCs w:val="16"/>
        </w:rPr>
        <w:t>Number of people in class</w:t>
      </w:r>
      <w:r>
        <w:rPr>
          <w:i/>
          <w:sz w:val="20"/>
          <w:szCs w:val="20"/>
        </w:rPr>
        <w:tab/>
      </w:r>
      <w:r>
        <w:rPr>
          <w:i/>
          <w:szCs w:val="16"/>
        </w:rPr>
        <w:t>Average lifetime cost</w:t>
      </w:r>
    </w:p>
    <w:p w14:paraId="24628AFE" w14:textId="77777777" w:rsidR="005463FC" w:rsidRDefault="005463FC" w:rsidP="005463FC">
      <w:pPr>
        <w:pStyle w:val="TableTextSmall"/>
        <w:keepNext/>
      </w:pPr>
      <w:r>
        <w:rPr>
          <w:noProof/>
          <w:lang w:eastAsia="en-AU"/>
        </w:rPr>
        <w:drawing>
          <wp:inline distT="0" distB="0" distL="0" distR="0" wp14:anchorId="3594CA85" wp14:editId="35F45C5A">
            <wp:extent cx="2902800" cy="2088000"/>
            <wp:effectExtent l="0" t="0" r="0" b="7620"/>
            <wp:docPr id="3875" name="Picture 3875" descr="This figure contains 2 horizontal bar charts. The left horizontal bar chart shows the number of individuals in the model population split by welfare class. The right horizontal bar chart shows the average lifetime costs of individuals for each welfare class, with each bar split into payment category components of the average lifetime cost.&#10;&#10;The left bar chart vertical axis shows welfare class. The left bar chart horizontal axis shows number of individuals ranging from 0 to 3,000,000 (note that this has been truncated). The number of individuals in the rest of the Australian population is much larger than other classes and has not been shown in full in the chart.&#10;&#10;The number of people in the model population for each welfare class is: 371,000 for studying, 1,301,000 for working age, 433,000 for parents, 277,000 for carers, 760,000 for disability support, 2,595,000 for pension age, 1,544,000 for Non IS Family, 203,000 for Non IS Carer, 557,000 for Non IS Other, 1,538,000 for previous welfare recipients that received welfare within the last 3 years, 2,951,000 for previous welfare recipients that have not received welfare in the last 3 years, and 12.12million for the rest of the Australian population.&#10;&#10;" title="Drivers of welfare class lifetim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02800" cy="2088000"/>
                    </a:xfrm>
                    <a:prstGeom prst="rect">
                      <a:avLst/>
                    </a:prstGeom>
                    <a:noFill/>
                    <a:ln>
                      <a:noFill/>
                    </a:ln>
                  </pic:spPr>
                </pic:pic>
              </a:graphicData>
            </a:graphic>
          </wp:inline>
        </w:drawing>
      </w:r>
      <w:r>
        <w:rPr>
          <w:noProof/>
          <w:lang w:eastAsia="en-AU"/>
        </w:rPr>
        <w:drawing>
          <wp:inline distT="0" distB="0" distL="0" distR="0" wp14:anchorId="746694C9" wp14:editId="7844862E">
            <wp:extent cx="2902800" cy="2088000"/>
            <wp:effectExtent l="0" t="0" r="0" b="7620"/>
            <wp:docPr id="3877" name="Picture 3877" descr="The right bar chart vertical axis shows welfare class. The right bar chart horizontal axis shows average lifetime cost ranging from $0 to $600,000. &#10;The bars for each welfare class are split into the average lifetime cost associated with the following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average lifetime cost for each welfare class is: $212,000 for studying, $316,000 for working age, $484,000 for parents, $449,000 for carers, $462,000 for disability support, $209,000 for pension age, $196,000 for Non IS Family, $207,000 for Non IS Carer, $129,000 for Non IS Other, $178,000 for previous welfare recipients that received welfare within the last 3 years, $156,000 for previous welfare recipients that have not received welfare in the last 3 years, and $149,000 for rest of Australian population.&#10;" title="Drivers of welfare class lifetim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02800" cy="2088000"/>
                    </a:xfrm>
                    <a:prstGeom prst="rect">
                      <a:avLst/>
                    </a:prstGeom>
                    <a:noFill/>
                    <a:ln>
                      <a:noFill/>
                    </a:ln>
                  </pic:spPr>
                </pic:pic>
              </a:graphicData>
            </a:graphic>
          </wp:inline>
        </w:drawing>
      </w:r>
      <w:r>
        <w:t xml:space="preserve"> </w:t>
      </w:r>
      <w:r>
        <w:rPr>
          <w:noProof/>
          <w:lang w:eastAsia="en-AU"/>
        </w:rPr>
        <w:drawing>
          <wp:inline distT="0" distB="0" distL="0" distR="0" wp14:anchorId="6CF10A66" wp14:editId="7ABEADFD">
            <wp:extent cx="6267450" cy="349250"/>
            <wp:effectExtent l="0" t="0" r="0" b="0"/>
            <wp:docPr id="3880" name="Picture 3880"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24"/>
            <wp:cNvGraphicFramePr/>
            <a:graphic xmlns:a="http://schemas.openxmlformats.org/drawingml/2006/main">
              <a:graphicData uri="http://schemas.openxmlformats.org/drawingml/2006/picture">
                <pic:pic xmlns:pic="http://schemas.openxmlformats.org/drawingml/2006/picture">
                  <pic:nvPicPr>
                    <pic:cNvPr id="3167" name="Picture 3167"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2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4275" cy="354965"/>
                    </a:xfrm>
                    <a:prstGeom prst="rect">
                      <a:avLst/>
                    </a:prstGeom>
                    <a:noFill/>
                    <a:ln>
                      <a:noFill/>
                    </a:ln>
                  </pic:spPr>
                </pic:pic>
              </a:graphicData>
            </a:graphic>
          </wp:inline>
        </w:drawing>
      </w:r>
    </w:p>
    <w:p w14:paraId="737AFFBF" w14:textId="77777777" w:rsidR="005463FC" w:rsidRDefault="005463FC" w:rsidP="005463FC">
      <w:pPr>
        <w:pStyle w:val="Sources"/>
        <w:keepNext/>
      </w:pPr>
      <w:r>
        <w:t>Notes:</w:t>
      </w:r>
    </w:p>
    <w:p w14:paraId="50B23B8C" w14:textId="77777777" w:rsidR="005463FC" w:rsidRDefault="005463FC" w:rsidP="005463FC">
      <w:pPr>
        <w:pStyle w:val="Sources"/>
        <w:rPr>
          <w:i/>
        </w:rPr>
      </w:pPr>
      <w:r>
        <w:t>1. The rest of the Australian population class contains 12.12m people and is not shown in full in this chart.</w:t>
      </w:r>
      <w:r>
        <w:rPr>
          <w:i/>
        </w:rPr>
        <w:t xml:space="preserve"> </w:t>
      </w:r>
    </w:p>
    <w:p w14:paraId="60A338C2" w14:textId="77777777" w:rsidR="005463FC" w:rsidRDefault="005463FC" w:rsidP="005463FC">
      <w:pPr>
        <w:pStyle w:val="Sources"/>
      </w:pPr>
      <w:r>
        <w:t>2. Exited 4+ years refers to previous welfare recipients who have exited in the past 4 to 16 years</w:t>
      </w:r>
    </w:p>
    <w:p w14:paraId="70C54E94" w14:textId="77777777" w:rsidR="005463FC" w:rsidRDefault="005463FC" w:rsidP="005463FC">
      <w:pPr>
        <w:pStyle w:val="PwCNormal-keepwithnext"/>
        <w:numPr>
          <w:ilvl w:val="0"/>
          <w:numId w:val="33"/>
        </w:numPr>
      </w:pPr>
      <w:r>
        <w:t xml:space="preserve">For </w:t>
      </w:r>
      <w:r>
        <w:rPr>
          <w:b/>
        </w:rPr>
        <w:t>current welfare recipients</w:t>
      </w:r>
      <w:r>
        <w:t>:</w:t>
      </w:r>
    </w:p>
    <w:p w14:paraId="5C647761" w14:textId="77777777" w:rsidR="005463FC" w:rsidRDefault="005463FC" w:rsidP="005463FC">
      <w:pPr>
        <w:pStyle w:val="ListBullet"/>
        <w:numPr>
          <w:ilvl w:val="0"/>
          <w:numId w:val="49"/>
        </w:numPr>
      </w:pPr>
      <w:r>
        <w:t>The largest contribution is from people in the Age Pension class ($542bn). This is primarily driven by the large number of people in this class, as the average lifetime cost per person is actually less than many other classes.</w:t>
      </w:r>
    </w:p>
    <w:p w14:paraId="1544A892" w14:textId="77777777" w:rsidR="005463FC" w:rsidRDefault="005463FC" w:rsidP="005463FC">
      <w:pPr>
        <w:pStyle w:val="ListBullet"/>
        <w:numPr>
          <w:ilvl w:val="0"/>
          <w:numId w:val="49"/>
        </w:numPr>
      </w:pPr>
      <w:r>
        <w:t>The other classes of current welfare recipients with particularly large contributions to the lifetime cost include:</w:t>
      </w:r>
    </w:p>
    <w:p w14:paraId="0603A4D6" w14:textId="77777777" w:rsidR="005463FC" w:rsidRDefault="005463FC" w:rsidP="005463FC">
      <w:pPr>
        <w:pStyle w:val="ListBullet2"/>
        <w:numPr>
          <w:ilvl w:val="1"/>
          <w:numId w:val="49"/>
        </w:numPr>
      </w:pPr>
      <w:r>
        <w:rPr>
          <w:i/>
        </w:rPr>
        <w:t>Working Age payment recipients ($411bn)</w:t>
      </w:r>
      <w:r>
        <w:t xml:space="preserve"> – this is driven by a combination of high numbers of people in the class, and a relatively high average lifetime cost per person.</w:t>
      </w:r>
    </w:p>
    <w:p w14:paraId="54D75745" w14:textId="77777777" w:rsidR="005463FC" w:rsidRDefault="005463FC" w:rsidP="005463FC">
      <w:pPr>
        <w:pStyle w:val="ListBullet2"/>
        <w:numPr>
          <w:ilvl w:val="1"/>
          <w:numId w:val="49"/>
        </w:numPr>
      </w:pPr>
      <w:r>
        <w:rPr>
          <w:i/>
        </w:rPr>
        <w:t>Disability Support Pension recipients ($351bn)</w:t>
      </w:r>
      <w:r>
        <w:t xml:space="preserve"> – this is mainly driven by a high average lifetime cost per person and to a lesser extent the numbers of people in the class.</w:t>
      </w:r>
    </w:p>
    <w:p w14:paraId="643BCE60" w14:textId="77777777" w:rsidR="005463FC" w:rsidRDefault="005463FC" w:rsidP="005463FC">
      <w:pPr>
        <w:pStyle w:val="ListBullet2"/>
        <w:numPr>
          <w:ilvl w:val="1"/>
          <w:numId w:val="49"/>
        </w:numPr>
      </w:pPr>
      <w:r>
        <w:rPr>
          <w:i/>
        </w:rPr>
        <w:t>Non IS Family payment recipients ($303bn)</w:t>
      </w:r>
      <w:r>
        <w:t xml:space="preserve"> – this is mainly driven by high numbers of people in the class</w:t>
      </w:r>
    </w:p>
    <w:p w14:paraId="656930AF" w14:textId="77777777" w:rsidR="005463FC" w:rsidRDefault="005463FC" w:rsidP="005463FC">
      <w:pPr>
        <w:pStyle w:val="ListBullet"/>
        <w:numPr>
          <w:ilvl w:val="0"/>
          <w:numId w:val="49"/>
        </w:numPr>
      </w:pPr>
      <w:r>
        <w:t>It can also be seen that, along with Disability Support Pension, the Parents and Carers classes also have a high average lifetime cost per person. This reflects a mix of drivers including long durations in an income support class and the people in these classes accessing a broad range of payments.</w:t>
      </w:r>
    </w:p>
    <w:p w14:paraId="0F7D946D" w14:textId="50AEDCF6" w:rsidR="005463FC" w:rsidRDefault="005463FC" w:rsidP="005463FC">
      <w:pPr>
        <w:pStyle w:val="ListBullet"/>
        <w:numPr>
          <w:ilvl w:val="0"/>
          <w:numId w:val="49"/>
        </w:numPr>
      </w:pPr>
      <w:r>
        <w:t>Despite having one of the lowest average lifetime costs per person, class</w:t>
      </w:r>
      <w:r>
        <w:rPr>
          <w:b/>
        </w:rPr>
        <w:t xml:space="preserve"> 12 Rest of Australian Population</w:t>
      </w:r>
      <w:r>
        <w:t xml:space="preserve"> accounts for </w:t>
      </w:r>
      <w:r>
        <w:rPr>
          <w:b/>
        </w:rPr>
        <w:t>39% of the total lifetime cost</w:t>
      </w:r>
      <w:r>
        <w:t xml:space="preserve"> for the model population. This is driven by the fact that this class makes up half of the model population and reflects the expectation that many Australians who are currently not relying on welfare will need to do so at some point in the future.</w:t>
      </w:r>
    </w:p>
    <w:p w14:paraId="5FB3CDD2" w14:textId="77777777" w:rsidR="005463FC" w:rsidRDefault="005463FC" w:rsidP="005463FC">
      <w:pPr>
        <w:pStyle w:val="Heading3"/>
      </w:pPr>
      <w:bookmarkStart w:id="162" w:name="_Toc498625177"/>
      <w:bookmarkStart w:id="163" w:name="_Toc506388220"/>
      <w:r>
        <w:t>Change since the previous valuation</w:t>
      </w:r>
      <w:bookmarkEnd w:id="162"/>
      <w:bookmarkEnd w:id="163"/>
    </w:p>
    <w:p w14:paraId="0FEBE249" w14:textId="77777777" w:rsidR="005463FC" w:rsidRDefault="005463FC" w:rsidP="005463FC">
      <w:pPr>
        <w:pStyle w:val="Heading4"/>
      </w:pPr>
      <w:r>
        <w:t>Introduction</w:t>
      </w:r>
    </w:p>
    <w:p w14:paraId="6754BAB2" w14:textId="77777777" w:rsidR="005463FC" w:rsidRDefault="005463FC" w:rsidP="005463FC">
      <w:pPr>
        <w:pStyle w:val="PwCNormal"/>
        <w:numPr>
          <w:ilvl w:val="0"/>
          <w:numId w:val="33"/>
        </w:numPr>
      </w:pPr>
      <w:r>
        <w:t>Over the time from one valuation to the next we do not expect the total lifetime cost to stay the same. Changes will occur for a number of reasons including:</w:t>
      </w:r>
    </w:p>
    <w:p w14:paraId="388B3700" w14:textId="77777777" w:rsidR="005463FC" w:rsidRDefault="005463FC" w:rsidP="005463FC">
      <w:pPr>
        <w:pStyle w:val="ListBullet"/>
        <w:numPr>
          <w:ilvl w:val="0"/>
          <w:numId w:val="49"/>
        </w:numPr>
      </w:pPr>
      <w:r>
        <w:t xml:space="preserve">changes to the size and composition of the population; </w:t>
      </w:r>
    </w:p>
    <w:p w14:paraId="4FC9C9E6" w14:textId="77777777" w:rsidR="005463FC" w:rsidRDefault="005463FC" w:rsidP="005463FC">
      <w:pPr>
        <w:pStyle w:val="ListBullet"/>
        <w:numPr>
          <w:ilvl w:val="0"/>
          <w:numId w:val="49"/>
        </w:numPr>
      </w:pPr>
      <w:r>
        <w:lastRenderedPageBreak/>
        <w:t>inflationary increases in the rates of payment (for instance, the basic fortnightly rate of the Age Pension for single people was $794.80 at 1 July 2016 and increased to $808.30 by 1 July 2017 – an increase of 1.7%);</w:t>
      </w:r>
    </w:p>
    <w:p w14:paraId="0B5360AA" w14:textId="77777777" w:rsidR="005463FC" w:rsidRDefault="005463FC" w:rsidP="005463FC">
      <w:pPr>
        <w:pStyle w:val="ListBullet"/>
        <w:numPr>
          <w:ilvl w:val="0"/>
          <w:numId w:val="49"/>
        </w:numPr>
      </w:pPr>
      <w:r>
        <w:t>changes to the welfare payments arising from policy changes; and</w:t>
      </w:r>
    </w:p>
    <w:p w14:paraId="18B000A6" w14:textId="77777777" w:rsidR="005463FC" w:rsidRDefault="005463FC" w:rsidP="005463FC">
      <w:pPr>
        <w:pStyle w:val="ListBullet"/>
        <w:numPr>
          <w:ilvl w:val="0"/>
          <w:numId w:val="49"/>
        </w:numPr>
      </w:pPr>
      <w:r>
        <w:t>changes to both the current and expected future utilisation of each part of the welfare system.</w:t>
      </w:r>
    </w:p>
    <w:p w14:paraId="33159E32" w14:textId="77777777" w:rsidR="005463FC" w:rsidRDefault="005463FC" w:rsidP="005463FC">
      <w:pPr>
        <w:pStyle w:val="Heading4"/>
      </w:pPr>
      <w:r>
        <w:t>Approach</w:t>
      </w:r>
    </w:p>
    <w:p w14:paraId="5F62BF5A" w14:textId="77777777" w:rsidR="005463FC" w:rsidRDefault="005463FC" w:rsidP="005463FC">
      <w:pPr>
        <w:pStyle w:val="PwCNormal"/>
        <w:numPr>
          <w:ilvl w:val="0"/>
          <w:numId w:val="33"/>
        </w:numPr>
      </w:pPr>
      <w:r>
        <w:t>In order to understand the overall change in the lifetime cost result we have considered each potential element of change in turn, exploring the change in results as the population information and each set of assumptions are updated to reflect the June 2017 valuation data, policy settings and model refinements.</w:t>
      </w:r>
    </w:p>
    <w:p w14:paraId="6A53BBB4" w14:textId="77777777" w:rsidR="005463FC" w:rsidRDefault="005463FC" w:rsidP="005463FC">
      <w:pPr>
        <w:pStyle w:val="PwCNormal"/>
        <w:numPr>
          <w:ilvl w:val="0"/>
          <w:numId w:val="33"/>
        </w:numPr>
      </w:pPr>
      <w:r>
        <w:t>Note that as all the valuation assumptions interact with each other this analysis is sensitive to the order in which the changes are made. For instance, the impact of updating the class movement assumptions for a class will be influenced by the numbers of people in that class and so will differ depending on the order in which the population information and class assumptions are updated.</w:t>
      </w:r>
    </w:p>
    <w:p w14:paraId="2954EAB1" w14:textId="77777777" w:rsidR="005463FC" w:rsidRDefault="005463FC" w:rsidP="005463FC">
      <w:pPr>
        <w:pStyle w:val="PwCNormal"/>
        <w:numPr>
          <w:ilvl w:val="0"/>
          <w:numId w:val="33"/>
        </w:numPr>
      </w:pPr>
      <w:r>
        <w:t>This sensitivity to ordering is greater for the areas of change which interact strongly with each other (notably the demographic assumptions, class movement assumptions and economic module) and for the areas where the changes have the greatest impact. Changes that are specific to individual payment categories are typically less sensitive to the ordering of change as lifetime cost results are explicitly assessed for each payment category and the effects are more easily isolated.</w:t>
      </w:r>
    </w:p>
    <w:p w14:paraId="39BC5D45" w14:textId="77777777" w:rsidR="005463FC" w:rsidRDefault="005463FC" w:rsidP="005463FC">
      <w:pPr>
        <w:pStyle w:val="PwCNormal"/>
        <w:numPr>
          <w:ilvl w:val="0"/>
          <w:numId w:val="1"/>
        </w:numPr>
      </w:pPr>
      <w:r>
        <w:t>In selecting an ordering we have recognised changes to the composition of the starting population first and then updated the assumptions about the future experience in the general order of the modelling sequence.</w:t>
      </w:r>
    </w:p>
    <w:p w14:paraId="0A52F929" w14:textId="77777777" w:rsidR="005463FC" w:rsidRDefault="005463FC" w:rsidP="005463FC">
      <w:pPr>
        <w:pStyle w:val="Heading4"/>
      </w:pPr>
      <w:r>
        <w:t>Change in overall lifetime cost</w:t>
      </w:r>
    </w:p>
    <w:p w14:paraId="2C2D4C3F" w14:textId="5F5F9B30" w:rsidR="005463FC" w:rsidRDefault="005463FC" w:rsidP="005463FC">
      <w:pPr>
        <w:pStyle w:val="PwCNormal"/>
        <w:keepNext/>
        <w:numPr>
          <w:ilvl w:val="0"/>
          <w:numId w:val="33"/>
        </w:numPr>
      </w:pPr>
      <w:r>
        <w:t xml:space="preserve">At this valuation, the total lifetime cost </w:t>
      </w:r>
      <w:r w:rsidRPr="00D52134">
        <w:t>has</w:t>
      </w:r>
      <w:r>
        <w:rPr>
          <w:b/>
        </w:rPr>
        <w:t xml:space="preserve"> increased by $167bn (3.7%).</w:t>
      </w:r>
      <w:r>
        <w:t xml:space="preserve"> The figure below shows a detailed breakdown of this movement in the total lifetime cost from the June 2016 to the June 2017 valuation. Population growth and inflation contributed an </w:t>
      </w:r>
      <w:r>
        <w:rPr>
          <w:b/>
        </w:rPr>
        <w:t>increase of 4.7%</w:t>
      </w:r>
      <w:r>
        <w:t xml:space="preserve">, whilst other changes including a reduction in the number of people accessing welfare payments contributed an overall </w:t>
      </w:r>
      <w:r>
        <w:rPr>
          <w:b/>
        </w:rPr>
        <w:t>decrease of 1.0%</w:t>
      </w:r>
      <w:r>
        <w:t>.</w:t>
      </w:r>
    </w:p>
    <w:p w14:paraId="60D2E91F" w14:textId="1A0EEFAE" w:rsidR="005463FC" w:rsidRDefault="005463FC" w:rsidP="005463FC">
      <w:pPr>
        <w:pStyle w:val="Caption"/>
      </w:pPr>
      <w:r>
        <w:t xml:space="preserve">Figure </w:t>
      </w:r>
      <w:fldSimple w:instr=" SEQ Figure \* ARABIC ">
        <w:r w:rsidR="00C93C1A">
          <w:rPr>
            <w:noProof/>
          </w:rPr>
          <w:t>45</w:t>
        </w:r>
      </w:fldSimple>
      <w:r>
        <w:t>: Explanation of change in lifetime cost</w:t>
      </w:r>
    </w:p>
    <w:p w14:paraId="16463B1B" w14:textId="77777777" w:rsidR="005463FC" w:rsidRDefault="005463FC" w:rsidP="005463FC">
      <w:pPr>
        <w:pStyle w:val="PwCNormal"/>
        <w:numPr>
          <w:ilvl w:val="0"/>
          <w:numId w:val="33"/>
        </w:numPr>
      </w:pPr>
      <w:r w:rsidRPr="00E50AED">
        <w:t xml:space="preserve"> </w:t>
      </w:r>
      <w:r w:rsidRPr="00E50AED">
        <w:rPr>
          <w:noProof/>
          <w:lang w:eastAsia="en-AU"/>
        </w:rPr>
        <w:drawing>
          <wp:inline distT="0" distB="0" distL="0" distR="0" wp14:anchorId="18D38BCD" wp14:editId="6F542DE0">
            <wp:extent cx="5832475" cy="2777369"/>
            <wp:effectExtent l="0" t="0" r="0" b="4445"/>
            <wp:docPr id="3881" name="Picture 3881" descr="This figure is a waterfall chart. The chart depicts the total change in lifetime cost between the June 2016 and June 2017 valuation split by the different contributing components. The vertical axis shows the change in the total lifetime cost, ranging from $0 to $ 250 billion. &#10;&#10;The horizontal axis has three sections. &#10;The first section shows the components that contribute to expected changes in the total lifetime cost. This section consists of the following columns: Population growth over FY16/17 (+$67bn), Inflation over FY16/17 (+$58bn) and Inflation of future payments (+$85bn). The second section shows the components that reflect changes to the welfare system. This section consists of the following columns: Policy changes to FY16/17 (increase) (+$27bn) and Policy changes to FY16/17 (decrease) (-$31bn). The section shows components that reflect emerging experience in the welfare system and any assumption changes. This section consists of the following columns: Welfare Utilization change (-$28bn), Lower future utilization (-$49bn), Higher average payments (+$46bn) and Updated Indexation assumptions (-$8bn). &#10;&#10;Further details about these sections are discussed in the accompanying text within the report.&#10;" title="Explanation of change in lifetim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2475" cy="2777369"/>
                    </a:xfrm>
                    <a:prstGeom prst="rect">
                      <a:avLst/>
                    </a:prstGeom>
                    <a:noFill/>
                    <a:ln>
                      <a:noFill/>
                    </a:ln>
                  </pic:spPr>
                </pic:pic>
              </a:graphicData>
            </a:graphic>
          </wp:inline>
        </w:drawing>
      </w:r>
    </w:p>
    <w:p w14:paraId="1F56436B" w14:textId="77777777" w:rsidR="005463FC" w:rsidRDefault="005463FC" w:rsidP="005463FC">
      <w:pPr>
        <w:pStyle w:val="Minorheading"/>
      </w:pPr>
      <w:r>
        <w:t>Expected Changes</w:t>
      </w:r>
    </w:p>
    <w:p w14:paraId="4B6513B9" w14:textId="77777777" w:rsidR="005463FC" w:rsidRDefault="005463FC" w:rsidP="005463FC">
      <w:pPr>
        <w:pStyle w:val="PwCNormal"/>
        <w:numPr>
          <w:ilvl w:val="0"/>
          <w:numId w:val="33"/>
        </w:numPr>
      </w:pPr>
      <w:r>
        <w:t xml:space="preserve">Each year, we expect the total lifetime cost to grow in line with the growth in the population and in line with inflation. </w:t>
      </w:r>
    </w:p>
    <w:p w14:paraId="7FB26E5B" w14:textId="77777777" w:rsidR="005463FC" w:rsidRDefault="005463FC" w:rsidP="005463FC">
      <w:pPr>
        <w:pStyle w:val="PwCNormal"/>
        <w:numPr>
          <w:ilvl w:val="0"/>
          <w:numId w:val="33"/>
        </w:numPr>
      </w:pPr>
      <w:r>
        <w:t>At the June 2017 valuation, the overall lifetime cost has</w:t>
      </w:r>
      <w:r>
        <w:rPr>
          <w:b/>
        </w:rPr>
        <w:t xml:space="preserve"> increased by $67bn (+1.5%)</w:t>
      </w:r>
      <w:r>
        <w:t xml:space="preserve"> due to growth in the Australian Population over the 2016/17 year. This includes</w:t>
      </w:r>
    </w:p>
    <w:p w14:paraId="7B408434" w14:textId="0DAA9D77" w:rsidR="005463FC" w:rsidRDefault="005463FC" w:rsidP="005463FC">
      <w:pPr>
        <w:pStyle w:val="ListBullet2"/>
        <w:numPr>
          <w:ilvl w:val="1"/>
          <w:numId w:val="49"/>
        </w:numPr>
        <w:rPr>
          <w:i/>
        </w:rPr>
      </w:pPr>
      <w:r w:rsidRPr="00DB68F2">
        <w:rPr>
          <w:i/>
        </w:rPr>
        <w:lastRenderedPageBreak/>
        <w:t xml:space="preserve">The combined impact of births, deaths and net migration over the 2016/17 year – </w:t>
      </w:r>
      <w:r w:rsidRPr="005463FC">
        <w:t>an estimated</w:t>
      </w:r>
      <w:r>
        <w:rPr>
          <w:i/>
        </w:rPr>
        <w:t xml:space="preserve"> </w:t>
      </w:r>
      <w:r w:rsidRPr="00DB68F2">
        <w:t>315,000 newborns, 162,000 deaths and 188,000 net migrants were allowed for in the estimation of the Australian Population. The combined effect of these population changes resulted in an extra 340,000 individuals</w:t>
      </w:r>
      <w:r>
        <w:t>.</w:t>
      </w:r>
    </w:p>
    <w:p w14:paraId="751CB580" w14:textId="439E9061" w:rsidR="005463FC" w:rsidRDefault="005463FC" w:rsidP="005463FC">
      <w:pPr>
        <w:pStyle w:val="ListBullet2"/>
        <w:numPr>
          <w:ilvl w:val="1"/>
          <w:numId w:val="49"/>
        </w:numPr>
      </w:pPr>
      <w:r>
        <w:rPr>
          <w:i/>
        </w:rPr>
        <w:t>Updated Australian Census</w:t>
      </w:r>
      <w:r>
        <w:t xml:space="preserve"> – at this valuation the latest Australian Census (2016) was used in the estimation of the Australian Population. The latest census included an additional 150,000 individuals compared to the initial population forecasts based on the 2011 Australian Census. Note, this change has not impacted the total lifetime cost but results in updated estimates to our understanding of the welfare system utilisation and the average lifetime cost for people who are not current welfare recipients.</w:t>
      </w:r>
    </w:p>
    <w:p w14:paraId="696BDE04" w14:textId="77777777" w:rsidR="005463FC" w:rsidRDefault="005463FC" w:rsidP="005463FC">
      <w:pPr>
        <w:pStyle w:val="PwCNormal"/>
        <w:numPr>
          <w:ilvl w:val="0"/>
          <w:numId w:val="33"/>
        </w:numPr>
      </w:pPr>
      <w:r>
        <w:t xml:space="preserve">The overall lifetime cost has further </w:t>
      </w:r>
      <w:r>
        <w:rPr>
          <w:b/>
        </w:rPr>
        <w:t>increased by $143bn (3.2%)</w:t>
      </w:r>
      <w:r>
        <w:t xml:space="preserve"> due to inflation. This includes:</w:t>
      </w:r>
    </w:p>
    <w:p w14:paraId="6A313CA8" w14:textId="77777777" w:rsidR="005463FC" w:rsidRDefault="005463FC" w:rsidP="005463FC">
      <w:pPr>
        <w:pStyle w:val="ListBullet"/>
        <w:numPr>
          <w:ilvl w:val="0"/>
          <w:numId w:val="49"/>
        </w:numPr>
      </w:pPr>
      <w:r>
        <w:rPr>
          <w:b/>
        </w:rPr>
        <w:t>Inflation over the 2016/17 year</w:t>
      </w:r>
      <w:r>
        <w:t xml:space="preserve"> – actual inflation of payments over the 2016/17 year was on average 1.3%;</w:t>
      </w:r>
    </w:p>
    <w:p w14:paraId="7DF0E6DF" w14:textId="4968F1C8" w:rsidR="005463FC" w:rsidRDefault="005463FC" w:rsidP="005463FC">
      <w:pPr>
        <w:pStyle w:val="ListBullet"/>
        <w:numPr>
          <w:ilvl w:val="0"/>
          <w:numId w:val="49"/>
        </w:numPr>
      </w:pPr>
      <w:r>
        <w:rPr>
          <w:b/>
        </w:rPr>
        <w:t xml:space="preserve">Inflation of future payments </w:t>
      </w:r>
      <w:r>
        <w:t>– this allows for the impact of the chang</w:t>
      </w:r>
      <w:r w:rsidR="00EC1651">
        <w:t>e in</w:t>
      </w:r>
      <w:r>
        <w:t xml:space="preserve"> pattern in projected future inflation from June 2017 (relative to the pattern from June 2016)</w:t>
      </w:r>
      <w:r w:rsidR="00EC1651">
        <w:t xml:space="preserve">, in which </w:t>
      </w:r>
      <w:r>
        <w:t>we move closer to the expected long term inflation rate</w:t>
      </w:r>
      <w:r w:rsidR="00EC1651">
        <w:t xml:space="preserve"> sooner into the projection. This</w:t>
      </w:r>
      <w:r>
        <w:t xml:space="preserve"> increases the lifetime cost by 1.9%.</w:t>
      </w:r>
    </w:p>
    <w:p w14:paraId="1DD60428" w14:textId="77777777" w:rsidR="005463FC" w:rsidRDefault="005463FC" w:rsidP="005463FC">
      <w:pPr>
        <w:pStyle w:val="Minorheading"/>
      </w:pPr>
      <w:r>
        <w:t>System changes</w:t>
      </w:r>
    </w:p>
    <w:p w14:paraId="366A31D9" w14:textId="77777777" w:rsidR="005463FC" w:rsidRDefault="005463FC" w:rsidP="005463FC">
      <w:pPr>
        <w:pStyle w:val="PwCNormal"/>
        <w:numPr>
          <w:ilvl w:val="0"/>
          <w:numId w:val="33"/>
        </w:numPr>
      </w:pPr>
      <w:r>
        <w:t xml:space="preserve">Changes to the welfare system may directly influence the entitlements of individuals and their welfare usage. Over recent years a number of policy changes have been legislated which have had an impact on total lifetime cost. At the June 2017 valuation, the estimated lifetime cost was </w:t>
      </w:r>
      <w:r>
        <w:rPr>
          <w:b/>
        </w:rPr>
        <w:t>reduced by $4bn (</w:t>
      </w:r>
      <w:r>
        <w:rPr>
          <w:b/>
        </w:rPr>
        <w:noBreakHyphen/>
        <w:t>0.1%)</w:t>
      </w:r>
      <w:r>
        <w:t xml:space="preserve"> to reflect the net effect of these policy changes. </w:t>
      </w:r>
    </w:p>
    <w:p w14:paraId="230717F8" w14:textId="77777777" w:rsidR="005463FC" w:rsidRDefault="005463FC" w:rsidP="005463FC">
      <w:pPr>
        <w:pStyle w:val="PwCNormal"/>
        <w:numPr>
          <w:ilvl w:val="0"/>
          <w:numId w:val="33"/>
        </w:numPr>
      </w:pPr>
      <w:r>
        <w:t>The estimated impact of each individual policy change is shown in the tables below:</w:t>
      </w:r>
    </w:p>
    <w:p w14:paraId="622F392B" w14:textId="77777777" w:rsidR="005463FC" w:rsidRDefault="005463FC" w:rsidP="005463FC">
      <w:pPr>
        <w:pStyle w:val="ListBullet"/>
        <w:numPr>
          <w:ilvl w:val="0"/>
          <w:numId w:val="49"/>
        </w:numPr>
      </w:pPr>
      <w:r>
        <w:rPr>
          <w:b/>
        </w:rPr>
        <w:t xml:space="preserve">New policy changes </w:t>
      </w:r>
      <w:r>
        <w:t>– for policy changes that were introduced over the 2016/17 year, the estimates represent the expected total impact of these policies on the overall lifetime cost.</w:t>
      </w:r>
    </w:p>
    <w:p w14:paraId="48B109AD" w14:textId="77777777" w:rsidR="005463FC" w:rsidRDefault="005463FC" w:rsidP="005463FC">
      <w:pPr>
        <w:pStyle w:val="ListBullet"/>
        <w:numPr>
          <w:ilvl w:val="0"/>
          <w:numId w:val="49"/>
        </w:numPr>
      </w:pPr>
      <w:r>
        <w:rPr>
          <w:b/>
        </w:rPr>
        <w:t xml:space="preserve">Prior policy changes </w:t>
      </w:r>
      <w:r>
        <w:t>– for policy changes that were introduced prior to the 2016/17 year, the estimates below represent updates to the initial estimate of the policy impact to reflect emerging experience observed in the latest year.</w:t>
      </w:r>
    </w:p>
    <w:p w14:paraId="4ACD10A2" w14:textId="77777777" w:rsidR="005463FC" w:rsidRDefault="005463FC" w:rsidP="005463FC">
      <w:pPr>
        <w:pStyle w:val="Caption"/>
      </w:pPr>
      <w:r>
        <w:lastRenderedPageBreak/>
        <w:t xml:space="preserve">Table </w:t>
      </w:r>
      <w:fldSimple w:instr=" SEQ Table \* ARABIC ">
        <w:r w:rsidR="00C93C1A">
          <w:rPr>
            <w:noProof/>
          </w:rPr>
          <w:t>15</w:t>
        </w:r>
      </w:fldSimple>
      <w:r>
        <w:t>: Impact of new policy changes</w:t>
      </w:r>
    </w:p>
    <w:tbl>
      <w:tblPr>
        <w:tblStyle w:val="ListTable3-Accent61"/>
        <w:tblW w:w="9973" w:type="dxa"/>
        <w:tblInd w:w="108" w:type="dxa"/>
        <w:tblLook w:val="04A0" w:firstRow="1" w:lastRow="0" w:firstColumn="1" w:lastColumn="0" w:noHBand="0" w:noVBand="1"/>
        <w:tblCaption w:val="Impact of new policy changes"/>
        <w:tblDescription w:val="This table summarises five new policy changes and provides a description of the policy change, along with the expected impact on the total lifetime cost. The new policy changes are estimated to decrease total lifetime cost of $0.7 billion.&#10;&#10;Further features of this table are discussed in the accompanying text within the report.&#10;"/>
      </w:tblPr>
      <w:tblGrid>
        <w:gridCol w:w="2127"/>
        <w:gridCol w:w="5953"/>
        <w:gridCol w:w="1893"/>
      </w:tblGrid>
      <w:tr w:rsidR="005463FC" w14:paraId="34E62FBD" w14:textId="77777777" w:rsidTr="005463F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127" w:type="dxa"/>
            <w:tcBorders>
              <w:top w:val="single" w:sz="4" w:space="0" w:color="E0301E" w:themeColor="accent6"/>
              <w:left w:val="single" w:sz="4" w:space="0" w:color="E0301E" w:themeColor="accent6"/>
            </w:tcBorders>
            <w:hideMark/>
          </w:tcPr>
          <w:p w14:paraId="3803E813" w14:textId="77777777" w:rsidR="005463FC" w:rsidRDefault="005463FC" w:rsidP="00C30540">
            <w:pPr>
              <w:pStyle w:val="TableColumnHeadingSmall"/>
            </w:pPr>
            <w:r>
              <w:t>New Policy Change</w:t>
            </w:r>
          </w:p>
        </w:tc>
        <w:tc>
          <w:tcPr>
            <w:tcW w:w="5953" w:type="dxa"/>
            <w:tcBorders>
              <w:top w:val="single" w:sz="4" w:space="0" w:color="E0301E" w:themeColor="accent6"/>
              <w:left w:val="nil"/>
              <w:bottom w:val="nil"/>
              <w:right w:val="nil"/>
            </w:tcBorders>
            <w:hideMark/>
          </w:tcPr>
          <w:p w14:paraId="08EAF6D9" w14:textId="47DB2602" w:rsidR="005463FC" w:rsidRDefault="005463FC" w:rsidP="00C30540">
            <w:pPr>
              <w:pStyle w:val="TableColumnHeadingSmall"/>
              <w:cnfStyle w:val="100000000000" w:firstRow="1" w:lastRow="0" w:firstColumn="0" w:lastColumn="0" w:oddVBand="0" w:evenVBand="0" w:oddHBand="0" w:evenHBand="0" w:firstRowFirstColumn="0" w:firstRowLastColumn="0" w:lastRowFirstColumn="0" w:lastRowLastColumn="0"/>
            </w:pPr>
            <w:r>
              <w:t>Description</w:t>
            </w:r>
            <w:r w:rsidR="001934C6">
              <w:t xml:space="preserve"> of policy change</w:t>
            </w:r>
          </w:p>
        </w:tc>
        <w:tc>
          <w:tcPr>
            <w:tcW w:w="1893" w:type="dxa"/>
            <w:tcBorders>
              <w:top w:val="single" w:sz="4" w:space="0" w:color="E0301E" w:themeColor="accent6"/>
              <w:left w:val="nil"/>
              <w:bottom w:val="nil"/>
              <w:right w:val="single" w:sz="4" w:space="0" w:color="E0301E" w:themeColor="accent6"/>
            </w:tcBorders>
            <w:hideMark/>
          </w:tcPr>
          <w:p w14:paraId="390CA36C" w14:textId="77777777" w:rsidR="005463FC" w:rsidRDefault="005463FC" w:rsidP="00C30540">
            <w:pPr>
              <w:pStyle w:val="TableColumnHeadingSmall"/>
              <w:cnfStyle w:val="100000000000" w:firstRow="1" w:lastRow="0" w:firstColumn="0" w:lastColumn="0" w:oddVBand="0" w:evenVBand="0" w:oddHBand="0" w:evenHBand="0" w:firstRowFirstColumn="0" w:firstRowLastColumn="0" w:lastRowFirstColumn="0" w:lastRowLastColumn="0"/>
            </w:pPr>
            <w:r>
              <w:t>Estimated impact on the total lifetime cost</w:t>
            </w:r>
          </w:p>
        </w:tc>
      </w:tr>
      <w:tr w:rsidR="005463FC" w14:paraId="2301BCA4" w14:textId="77777777" w:rsidTr="005463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E0301E" w:themeColor="accent6"/>
            </w:tcBorders>
            <w:hideMark/>
          </w:tcPr>
          <w:p w14:paraId="7DC246C4" w14:textId="77777777" w:rsidR="005463FC" w:rsidRDefault="005463FC" w:rsidP="00C30540">
            <w:pPr>
              <w:pStyle w:val="TableTextSmall"/>
              <w:keepNext/>
            </w:pPr>
            <w:r>
              <w:t>Child Care Subsidy</w:t>
            </w:r>
          </w:p>
        </w:tc>
        <w:tc>
          <w:tcPr>
            <w:tcW w:w="5953" w:type="dxa"/>
            <w:tcBorders>
              <w:left w:val="nil"/>
              <w:right w:val="nil"/>
            </w:tcBorders>
            <w:hideMark/>
          </w:tcPr>
          <w:p w14:paraId="2121B6A1" w14:textId="77777777" w:rsidR="005463FC" w:rsidRDefault="005463FC" w:rsidP="00C30540">
            <w:pPr>
              <w:pStyle w:val="TableTextSmall"/>
              <w:keepNext/>
              <w:cnfStyle w:val="000000100000" w:firstRow="0" w:lastRow="0" w:firstColumn="0" w:lastColumn="0" w:oddVBand="0" w:evenVBand="0" w:oddHBand="1" w:evenHBand="0" w:firstRowFirstColumn="0" w:firstRowLastColumn="0" w:lastRowFirstColumn="0" w:lastRowLastColumn="0"/>
            </w:pPr>
            <w:r>
              <w:t>Introduction of the Child Care Subsidy, and cessation of the Child Care Benefit and Child Care Rebate from July 2018.</w:t>
            </w:r>
          </w:p>
        </w:tc>
        <w:tc>
          <w:tcPr>
            <w:tcW w:w="1893" w:type="dxa"/>
            <w:tcBorders>
              <w:left w:val="nil"/>
              <w:right w:val="single" w:sz="4" w:space="0" w:color="E0301E" w:themeColor="accent6"/>
            </w:tcBorders>
            <w:hideMark/>
          </w:tcPr>
          <w:p w14:paraId="256807D8" w14:textId="77777777" w:rsidR="005463FC" w:rsidRDefault="005463FC" w:rsidP="00C30540">
            <w:pPr>
              <w:pStyle w:val="TableTextSmall"/>
              <w:keepNext/>
              <w:cnfStyle w:val="000000100000" w:firstRow="0" w:lastRow="0" w:firstColumn="0" w:lastColumn="0" w:oddVBand="0" w:evenVBand="0" w:oddHBand="1" w:evenHBand="0" w:firstRowFirstColumn="0" w:firstRowLastColumn="0" w:lastRowFirstColumn="0" w:lastRowLastColumn="0"/>
            </w:pPr>
            <w:r>
              <w:t>Increase of $26.9bn</w:t>
            </w:r>
          </w:p>
        </w:tc>
      </w:tr>
      <w:tr w:rsidR="005463FC" w14:paraId="15CEAB5B" w14:textId="77777777" w:rsidTr="005463FC">
        <w:trPr>
          <w:cantSplit/>
        </w:trPr>
        <w:tc>
          <w:tcPr>
            <w:cnfStyle w:val="001000000000" w:firstRow="0" w:lastRow="0" w:firstColumn="1" w:lastColumn="0" w:oddVBand="0" w:evenVBand="0" w:oddHBand="0" w:evenHBand="0" w:firstRowFirstColumn="0" w:firstRowLastColumn="0" w:lastRowFirstColumn="0" w:lastRowLastColumn="0"/>
            <w:tcW w:w="2127" w:type="dxa"/>
            <w:tcBorders>
              <w:top w:val="nil"/>
              <w:left w:val="single" w:sz="4" w:space="0" w:color="E0301E" w:themeColor="accent6"/>
              <w:bottom w:val="nil"/>
            </w:tcBorders>
            <w:hideMark/>
          </w:tcPr>
          <w:p w14:paraId="14AEAAE2" w14:textId="78C99DCC" w:rsidR="005463FC" w:rsidRDefault="005463FC" w:rsidP="00C30540">
            <w:pPr>
              <w:pStyle w:val="TableTextSmall"/>
              <w:keepNext/>
            </w:pPr>
            <w:r>
              <w:t>Income Limit of $80,000 for FTB Part A</w:t>
            </w:r>
            <w:r w:rsidR="00044693">
              <w:t xml:space="preserve"> supplement</w:t>
            </w:r>
          </w:p>
        </w:tc>
        <w:tc>
          <w:tcPr>
            <w:tcW w:w="5953" w:type="dxa"/>
            <w:tcBorders>
              <w:top w:val="nil"/>
              <w:left w:val="nil"/>
              <w:bottom w:val="nil"/>
              <w:right w:val="nil"/>
            </w:tcBorders>
            <w:hideMark/>
          </w:tcPr>
          <w:p w14:paraId="0BDE68A3" w14:textId="77777777" w:rsidR="005463FC" w:rsidRDefault="005463FC" w:rsidP="00C30540">
            <w:pPr>
              <w:pStyle w:val="TableTextSmall"/>
              <w:keepNext/>
              <w:cnfStyle w:val="000000000000" w:firstRow="0" w:lastRow="0" w:firstColumn="0" w:lastColumn="0" w:oddVBand="0" w:evenVBand="0" w:oddHBand="0" w:evenHBand="0" w:firstRowFirstColumn="0" w:firstRowLastColumn="0" w:lastRowFirstColumn="0" w:lastRowLastColumn="0"/>
            </w:pPr>
            <w:r>
              <w:t>Introduction of an income limit of $80,000 on the payment of the Family Tax Benefit Part A Supplement, from July 2017.</w:t>
            </w:r>
          </w:p>
        </w:tc>
        <w:tc>
          <w:tcPr>
            <w:tcW w:w="1893" w:type="dxa"/>
            <w:tcBorders>
              <w:top w:val="nil"/>
              <w:left w:val="nil"/>
              <w:bottom w:val="nil"/>
              <w:right w:val="single" w:sz="4" w:space="0" w:color="E0301E" w:themeColor="accent6"/>
            </w:tcBorders>
            <w:hideMark/>
          </w:tcPr>
          <w:p w14:paraId="6E60E218" w14:textId="77777777" w:rsidR="005463FC" w:rsidRDefault="005463FC" w:rsidP="00C30540">
            <w:pPr>
              <w:pStyle w:val="TableTextSmall"/>
              <w:keepNext/>
              <w:cnfStyle w:val="000000000000" w:firstRow="0" w:lastRow="0" w:firstColumn="0" w:lastColumn="0" w:oddVBand="0" w:evenVBand="0" w:oddHBand="0" w:evenHBand="0" w:firstRowFirstColumn="0" w:firstRowLastColumn="0" w:lastRowFirstColumn="0" w:lastRowLastColumn="0"/>
            </w:pPr>
            <w:r>
              <w:t>Decrease of $11.1bn</w:t>
            </w:r>
          </w:p>
        </w:tc>
      </w:tr>
      <w:tr w:rsidR="005463FC" w14:paraId="74B4FD81" w14:textId="77777777" w:rsidTr="005463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E0301E" w:themeColor="accent6"/>
            </w:tcBorders>
            <w:hideMark/>
          </w:tcPr>
          <w:p w14:paraId="3490869E" w14:textId="77777777" w:rsidR="005463FC" w:rsidRDefault="005463FC" w:rsidP="00C30540">
            <w:pPr>
              <w:pStyle w:val="TableTextSmall"/>
              <w:keepNext/>
            </w:pPr>
            <w:r>
              <w:t>Freeze of current Family Tax Benefit rates</w:t>
            </w:r>
          </w:p>
        </w:tc>
        <w:tc>
          <w:tcPr>
            <w:tcW w:w="5953" w:type="dxa"/>
            <w:tcBorders>
              <w:left w:val="nil"/>
              <w:right w:val="nil"/>
            </w:tcBorders>
            <w:hideMark/>
          </w:tcPr>
          <w:p w14:paraId="27893CF5" w14:textId="77777777" w:rsidR="005463FC" w:rsidRDefault="005463FC" w:rsidP="00C30540">
            <w:pPr>
              <w:pStyle w:val="TableTextSmall"/>
              <w:keepNext/>
              <w:cnfStyle w:val="000000100000" w:firstRow="0" w:lastRow="0" w:firstColumn="0" w:lastColumn="0" w:oddVBand="0" w:evenVBand="0" w:oddHBand="1" w:evenHBand="0" w:firstRowFirstColumn="0" w:firstRowLastColumn="0" w:lastRowFirstColumn="0" w:lastRowLastColumn="0"/>
            </w:pPr>
            <w:r>
              <w:t>Freeze of the current Family Tax Benefit (Part A and B) rates for two years, from 1 July 2017.</w:t>
            </w:r>
          </w:p>
        </w:tc>
        <w:tc>
          <w:tcPr>
            <w:tcW w:w="1893" w:type="dxa"/>
            <w:tcBorders>
              <w:left w:val="nil"/>
              <w:right w:val="single" w:sz="4" w:space="0" w:color="E0301E" w:themeColor="accent6"/>
            </w:tcBorders>
            <w:hideMark/>
          </w:tcPr>
          <w:p w14:paraId="56F44983" w14:textId="77777777" w:rsidR="005463FC" w:rsidRDefault="005463FC" w:rsidP="00C30540">
            <w:pPr>
              <w:pStyle w:val="TableTextSmall"/>
              <w:keepNext/>
              <w:cnfStyle w:val="000000100000" w:firstRow="0" w:lastRow="0" w:firstColumn="0" w:lastColumn="0" w:oddVBand="0" w:evenVBand="0" w:oddHBand="1" w:evenHBand="0" w:firstRowFirstColumn="0" w:firstRowLastColumn="0" w:lastRowFirstColumn="0" w:lastRowLastColumn="0"/>
            </w:pPr>
            <w:r>
              <w:t>Decrease of $11.6bn</w:t>
            </w:r>
          </w:p>
        </w:tc>
      </w:tr>
      <w:tr w:rsidR="005463FC" w14:paraId="3BCB8501" w14:textId="77777777" w:rsidTr="005463FC">
        <w:trPr>
          <w:cantSplit/>
        </w:trPr>
        <w:tc>
          <w:tcPr>
            <w:cnfStyle w:val="001000000000" w:firstRow="0" w:lastRow="0" w:firstColumn="1" w:lastColumn="0" w:oddVBand="0" w:evenVBand="0" w:oddHBand="0" w:evenHBand="0" w:firstRowFirstColumn="0" w:firstRowLastColumn="0" w:lastRowFirstColumn="0" w:lastRowLastColumn="0"/>
            <w:tcW w:w="2127" w:type="dxa"/>
            <w:tcBorders>
              <w:top w:val="nil"/>
              <w:left w:val="single" w:sz="4" w:space="0" w:color="E0301E" w:themeColor="accent6"/>
              <w:bottom w:val="nil"/>
            </w:tcBorders>
            <w:hideMark/>
          </w:tcPr>
          <w:p w14:paraId="5E6E32AD" w14:textId="7FAC7F02" w:rsidR="005463FC" w:rsidRDefault="005463FC" w:rsidP="00C30540">
            <w:pPr>
              <w:pStyle w:val="TableTextSmall"/>
              <w:keepNext/>
            </w:pPr>
            <w:r>
              <w:t>Freeze of</w:t>
            </w:r>
            <w:r w:rsidR="006A17CD">
              <w:t xml:space="preserve"> FTB</w:t>
            </w:r>
            <w:r>
              <w:t xml:space="preserve"> higher income free area</w:t>
            </w:r>
            <w:r w:rsidR="006A17CD">
              <w:t xml:space="preserve"> and primary earner income limit</w:t>
            </w:r>
          </w:p>
        </w:tc>
        <w:tc>
          <w:tcPr>
            <w:tcW w:w="5953" w:type="dxa"/>
            <w:tcBorders>
              <w:top w:val="nil"/>
              <w:left w:val="nil"/>
              <w:bottom w:val="nil"/>
              <w:right w:val="nil"/>
            </w:tcBorders>
            <w:hideMark/>
          </w:tcPr>
          <w:p w14:paraId="449AF795" w14:textId="4A0D9890" w:rsidR="005463FC" w:rsidRDefault="005463FC" w:rsidP="00C30540">
            <w:pPr>
              <w:pStyle w:val="TableTextSmall"/>
              <w:keepNext/>
              <w:cnfStyle w:val="000000000000" w:firstRow="0" w:lastRow="0" w:firstColumn="0" w:lastColumn="0" w:oddVBand="0" w:evenVBand="0" w:oddHBand="0" w:evenHBand="0" w:firstRowFirstColumn="0" w:firstRowLastColumn="0" w:lastRowFirstColumn="0" w:lastRowLastColumn="0"/>
            </w:pPr>
            <w:r>
              <w:t xml:space="preserve">Freeze of </w:t>
            </w:r>
            <w:r w:rsidR="006A17CD">
              <w:t xml:space="preserve">the </w:t>
            </w:r>
            <w:r>
              <w:t xml:space="preserve">higher income free area for </w:t>
            </w:r>
            <w:r w:rsidR="006A17CD">
              <w:t>Family Tax Benefit Part A, and the primary earner income limit for Family Tax Benefit Part B</w:t>
            </w:r>
            <w:r>
              <w:t xml:space="preserve"> at their current levels until 30 June 2020.</w:t>
            </w:r>
          </w:p>
        </w:tc>
        <w:tc>
          <w:tcPr>
            <w:tcW w:w="1893" w:type="dxa"/>
            <w:tcBorders>
              <w:top w:val="nil"/>
              <w:left w:val="nil"/>
              <w:bottom w:val="nil"/>
              <w:right w:val="single" w:sz="4" w:space="0" w:color="E0301E" w:themeColor="accent6"/>
            </w:tcBorders>
            <w:hideMark/>
          </w:tcPr>
          <w:p w14:paraId="0818D5B7" w14:textId="77777777" w:rsidR="005463FC" w:rsidRDefault="005463FC" w:rsidP="00C30540">
            <w:pPr>
              <w:pStyle w:val="TableTextSmall"/>
              <w:keepNext/>
              <w:cnfStyle w:val="000000000000" w:firstRow="0" w:lastRow="0" w:firstColumn="0" w:lastColumn="0" w:oddVBand="0" w:evenVBand="0" w:oddHBand="0" w:evenHBand="0" w:firstRowFirstColumn="0" w:firstRowLastColumn="0" w:lastRowFirstColumn="0" w:lastRowLastColumn="0"/>
            </w:pPr>
            <w:r>
              <w:t>Decrease of $1.8bn</w:t>
            </w:r>
          </w:p>
        </w:tc>
      </w:tr>
      <w:tr w:rsidR="005463FC" w14:paraId="496897A5" w14:textId="77777777" w:rsidTr="005463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E0301E" w:themeColor="accent6"/>
            </w:tcBorders>
            <w:hideMark/>
          </w:tcPr>
          <w:p w14:paraId="09BA41B2" w14:textId="77777777" w:rsidR="005463FC" w:rsidRDefault="005463FC" w:rsidP="00C30540">
            <w:pPr>
              <w:pStyle w:val="TableTextSmall"/>
              <w:keepNext/>
            </w:pPr>
            <w:r>
              <w:t>Closure of Carbon Tax Compensation</w:t>
            </w:r>
          </w:p>
        </w:tc>
        <w:tc>
          <w:tcPr>
            <w:tcW w:w="5953" w:type="dxa"/>
            <w:tcBorders>
              <w:left w:val="nil"/>
              <w:right w:val="nil"/>
            </w:tcBorders>
            <w:hideMark/>
          </w:tcPr>
          <w:p w14:paraId="49770455" w14:textId="77777777" w:rsidR="005463FC" w:rsidRDefault="005463FC" w:rsidP="00C30540">
            <w:pPr>
              <w:pStyle w:val="TableTextSmall"/>
              <w:keepNext/>
              <w:cnfStyle w:val="000000100000" w:firstRow="0" w:lastRow="0" w:firstColumn="0" w:lastColumn="0" w:oddVBand="0" w:evenVBand="0" w:oddHBand="1" w:evenHBand="0" w:firstRowFirstColumn="0" w:firstRowLastColumn="0" w:lastRowFirstColumn="0" w:lastRowLastColumn="0"/>
            </w:pPr>
            <w:r>
              <w:t>Closure of Carbon Tax compensation (the Energy Supplement) to new recipients of Family Tax Benefit and concession cards (including the Seniors Health Card) from March 2017.</w:t>
            </w:r>
          </w:p>
        </w:tc>
        <w:tc>
          <w:tcPr>
            <w:tcW w:w="1893" w:type="dxa"/>
            <w:tcBorders>
              <w:left w:val="nil"/>
              <w:right w:val="single" w:sz="4" w:space="0" w:color="E0301E" w:themeColor="accent6"/>
            </w:tcBorders>
            <w:hideMark/>
          </w:tcPr>
          <w:p w14:paraId="75EE1355" w14:textId="77777777" w:rsidR="005463FC" w:rsidRDefault="005463FC" w:rsidP="00C30540">
            <w:pPr>
              <w:pStyle w:val="TableTextSmall"/>
              <w:keepNext/>
              <w:cnfStyle w:val="000000100000" w:firstRow="0" w:lastRow="0" w:firstColumn="0" w:lastColumn="0" w:oddVBand="0" w:evenVBand="0" w:oddHBand="1" w:evenHBand="0" w:firstRowFirstColumn="0" w:firstRowLastColumn="0" w:lastRowFirstColumn="0" w:lastRowLastColumn="0"/>
            </w:pPr>
            <w:r>
              <w:t>Decrease of $3.1bn</w:t>
            </w:r>
          </w:p>
        </w:tc>
      </w:tr>
      <w:tr w:rsidR="005463FC" w14:paraId="64E75FCA" w14:textId="77777777" w:rsidTr="005463FC">
        <w:trPr>
          <w:cantSplit/>
        </w:trPr>
        <w:tc>
          <w:tcPr>
            <w:cnfStyle w:val="001000000000" w:firstRow="0" w:lastRow="0" w:firstColumn="1" w:lastColumn="0" w:oddVBand="0" w:evenVBand="0" w:oddHBand="0" w:evenHBand="0" w:firstRowFirstColumn="0" w:firstRowLastColumn="0" w:lastRowFirstColumn="0" w:lastRowLastColumn="0"/>
            <w:tcW w:w="2127" w:type="dxa"/>
            <w:tcBorders>
              <w:top w:val="nil"/>
              <w:left w:val="single" w:sz="4" w:space="0" w:color="E0301E" w:themeColor="accent6"/>
              <w:bottom w:val="single" w:sz="4" w:space="0" w:color="E0301E" w:themeColor="accent6"/>
            </w:tcBorders>
            <w:shd w:val="clear" w:color="auto" w:fill="F4CACA" w:themeFill="accent5" w:themeFillTint="33"/>
            <w:hideMark/>
          </w:tcPr>
          <w:p w14:paraId="4C8E60D8" w14:textId="77777777" w:rsidR="005463FC" w:rsidRDefault="005463FC" w:rsidP="00C30540">
            <w:pPr>
              <w:pStyle w:val="TableTextSmall"/>
              <w:keepNext/>
              <w:rPr>
                <w:i/>
              </w:rPr>
            </w:pPr>
            <w:r>
              <w:rPr>
                <w:i/>
              </w:rPr>
              <w:t>All new policy changes</w:t>
            </w:r>
          </w:p>
        </w:tc>
        <w:tc>
          <w:tcPr>
            <w:tcW w:w="5953" w:type="dxa"/>
            <w:tcBorders>
              <w:top w:val="nil"/>
              <w:left w:val="nil"/>
              <w:bottom w:val="single" w:sz="4" w:space="0" w:color="E0301E" w:themeColor="accent6"/>
              <w:right w:val="nil"/>
            </w:tcBorders>
            <w:shd w:val="clear" w:color="auto" w:fill="F4CACA" w:themeFill="accent5" w:themeFillTint="33"/>
          </w:tcPr>
          <w:p w14:paraId="0D261863" w14:textId="77777777" w:rsidR="005463FC" w:rsidRDefault="005463FC" w:rsidP="00C30540">
            <w:pPr>
              <w:pStyle w:val="TableTextSmall"/>
              <w:keepNext/>
              <w:cnfStyle w:val="000000000000" w:firstRow="0" w:lastRow="0" w:firstColumn="0" w:lastColumn="0" w:oddVBand="0" w:evenVBand="0" w:oddHBand="0" w:evenHBand="0" w:firstRowFirstColumn="0" w:firstRowLastColumn="0" w:lastRowFirstColumn="0" w:lastRowLastColumn="0"/>
              <w:rPr>
                <w:i/>
              </w:rPr>
            </w:pPr>
          </w:p>
        </w:tc>
        <w:tc>
          <w:tcPr>
            <w:tcW w:w="1893" w:type="dxa"/>
            <w:tcBorders>
              <w:top w:val="nil"/>
              <w:left w:val="nil"/>
              <w:bottom w:val="single" w:sz="4" w:space="0" w:color="E0301E" w:themeColor="accent6"/>
              <w:right w:val="single" w:sz="4" w:space="0" w:color="E0301E" w:themeColor="accent6"/>
            </w:tcBorders>
            <w:shd w:val="clear" w:color="auto" w:fill="F4CACA" w:themeFill="accent5" w:themeFillTint="33"/>
            <w:hideMark/>
          </w:tcPr>
          <w:p w14:paraId="0982403F" w14:textId="77777777" w:rsidR="005463FC" w:rsidRDefault="005463FC" w:rsidP="00C30540">
            <w:pPr>
              <w:pStyle w:val="TableTextSmall"/>
              <w:keepNext/>
              <w:cnfStyle w:val="000000000000" w:firstRow="0" w:lastRow="0" w:firstColumn="0" w:lastColumn="0" w:oddVBand="0" w:evenVBand="0" w:oddHBand="0" w:evenHBand="0" w:firstRowFirstColumn="0" w:firstRowLastColumn="0" w:lastRowFirstColumn="0" w:lastRowLastColumn="0"/>
              <w:rPr>
                <w:i/>
              </w:rPr>
            </w:pPr>
            <w:r>
              <w:rPr>
                <w:i/>
              </w:rPr>
              <w:t>Decrease of $0.7bn</w:t>
            </w:r>
          </w:p>
        </w:tc>
      </w:tr>
    </w:tbl>
    <w:p w14:paraId="3F489A40" w14:textId="06A2A88E" w:rsidR="002667F0" w:rsidRPr="004E4CB7" w:rsidRDefault="00C30540" w:rsidP="00C30540">
      <w:pPr>
        <w:pStyle w:val="Sources"/>
        <w:keepNext/>
        <w:keepLines/>
      </w:pPr>
      <w:r>
        <w:t>Note</w:t>
      </w:r>
      <w:r w:rsidR="004E4CB7" w:rsidRPr="00775468">
        <w:t xml:space="preserve">: </w:t>
      </w:r>
      <w:r>
        <w:t>G</w:t>
      </w:r>
      <w:r w:rsidR="002667F0" w:rsidRPr="004E4CB7">
        <w:t>randfathering for the Student Start-Up Scholarship was removed from July 2017. The lifetime cost impact of this grandfathering was expected to be relatively small in the context of this model (&lt;$1bn) and so the grandfathering was not explicitly modelled for the June 2016 valuation, when the removal of the Student Start-Up Scholarship was first recognised. As such we have also not modelled the impact of the removal of this grandfathering and so we have not shown an impact above.</w:t>
      </w:r>
    </w:p>
    <w:p w14:paraId="1B52BD59" w14:textId="77777777" w:rsidR="005463FC" w:rsidRDefault="005463FC" w:rsidP="005463FC">
      <w:pPr>
        <w:pStyle w:val="Caption"/>
      </w:pPr>
      <w:r>
        <w:t xml:space="preserve">Table </w:t>
      </w:r>
      <w:fldSimple w:instr=" SEQ Table \* ARABIC ">
        <w:r w:rsidR="00C93C1A">
          <w:rPr>
            <w:noProof/>
          </w:rPr>
          <w:t>16</w:t>
        </w:r>
      </w:fldSimple>
      <w:r>
        <w:t>: Impact of updates to the estimates of existing policy changes</w:t>
      </w:r>
    </w:p>
    <w:tbl>
      <w:tblPr>
        <w:tblStyle w:val="ListTable3-Accent61"/>
        <w:tblW w:w="9973" w:type="dxa"/>
        <w:tblInd w:w="108" w:type="dxa"/>
        <w:tblLook w:val="04A0" w:firstRow="1" w:lastRow="0" w:firstColumn="1" w:lastColumn="0" w:noHBand="0" w:noVBand="1"/>
        <w:tblCaption w:val="Impact of updates to the estimates of existing policy changes"/>
        <w:tblDescription w:val="This table displays details on the impact of the existing changes to the Pension Asset test and the estimated impact the policy change has on total lifetime cost."/>
      </w:tblPr>
      <w:tblGrid>
        <w:gridCol w:w="2127"/>
        <w:gridCol w:w="5953"/>
        <w:gridCol w:w="1893"/>
      </w:tblGrid>
      <w:tr w:rsidR="005463FC" w14:paraId="492039CF" w14:textId="77777777" w:rsidTr="005463F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127" w:type="dxa"/>
            <w:tcBorders>
              <w:top w:val="single" w:sz="4" w:space="0" w:color="E0301E" w:themeColor="accent6"/>
              <w:left w:val="single" w:sz="4" w:space="0" w:color="E0301E" w:themeColor="accent6"/>
            </w:tcBorders>
            <w:hideMark/>
          </w:tcPr>
          <w:p w14:paraId="5036C790" w14:textId="77777777" w:rsidR="005463FC" w:rsidRDefault="005463FC" w:rsidP="005463FC">
            <w:pPr>
              <w:pStyle w:val="TableColumnHeadingSmall"/>
            </w:pPr>
            <w:r>
              <w:t>Existing Policy Change</w:t>
            </w:r>
          </w:p>
        </w:tc>
        <w:tc>
          <w:tcPr>
            <w:tcW w:w="5953" w:type="dxa"/>
            <w:tcBorders>
              <w:top w:val="single" w:sz="4" w:space="0" w:color="E0301E" w:themeColor="accent6"/>
              <w:left w:val="nil"/>
              <w:bottom w:val="nil"/>
              <w:right w:val="nil"/>
            </w:tcBorders>
            <w:hideMark/>
          </w:tcPr>
          <w:p w14:paraId="6092BD0C" w14:textId="3D4DFFA8" w:rsidR="005463FC" w:rsidRDefault="005463FC" w:rsidP="005463FC">
            <w:pPr>
              <w:pStyle w:val="TableColumnHeadingSmall"/>
              <w:cnfStyle w:val="100000000000" w:firstRow="1" w:lastRow="0" w:firstColumn="0" w:lastColumn="0" w:oddVBand="0" w:evenVBand="0" w:oddHBand="0" w:evenHBand="0" w:firstRowFirstColumn="0" w:firstRowLastColumn="0" w:lastRowFirstColumn="0" w:lastRowLastColumn="0"/>
            </w:pPr>
            <w:r>
              <w:t>Description</w:t>
            </w:r>
            <w:r w:rsidR="001934C6">
              <w:t xml:space="preserve"> of policy change</w:t>
            </w:r>
          </w:p>
        </w:tc>
        <w:tc>
          <w:tcPr>
            <w:tcW w:w="1893" w:type="dxa"/>
            <w:tcBorders>
              <w:top w:val="single" w:sz="4" w:space="0" w:color="E0301E" w:themeColor="accent6"/>
              <w:left w:val="nil"/>
              <w:bottom w:val="nil"/>
              <w:right w:val="single" w:sz="4" w:space="0" w:color="E0301E" w:themeColor="accent6"/>
            </w:tcBorders>
            <w:hideMark/>
          </w:tcPr>
          <w:p w14:paraId="786B581D" w14:textId="77777777" w:rsidR="005463FC" w:rsidRDefault="005463FC" w:rsidP="005463FC">
            <w:pPr>
              <w:pStyle w:val="TableColumnHeadingSmall"/>
              <w:cnfStyle w:val="100000000000" w:firstRow="1" w:lastRow="0" w:firstColumn="0" w:lastColumn="0" w:oddVBand="0" w:evenVBand="0" w:oddHBand="0" w:evenHBand="0" w:firstRowFirstColumn="0" w:firstRowLastColumn="0" w:lastRowFirstColumn="0" w:lastRowLastColumn="0"/>
            </w:pPr>
            <w:r>
              <w:t>Estimated impact on the total lifetime cost</w:t>
            </w:r>
          </w:p>
        </w:tc>
      </w:tr>
      <w:tr w:rsidR="005463FC" w14:paraId="195D254B" w14:textId="77777777" w:rsidTr="005463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E0301E" w:themeColor="accent6"/>
            </w:tcBorders>
            <w:hideMark/>
          </w:tcPr>
          <w:p w14:paraId="74569BFA" w14:textId="77777777" w:rsidR="005463FC" w:rsidRDefault="005463FC" w:rsidP="005463FC">
            <w:pPr>
              <w:pStyle w:val="TableTextSmall"/>
              <w:keepNext/>
              <w:keepLines/>
            </w:pPr>
            <w:r>
              <w:t>Changes to the Pension Asset test</w:t>
            </w:r>
          </w:p>
        </w:tc>
        <w:tc>
          <w:tcPr>
            <w:tcW w:w="5953" w:type="dxa"/>
            <w:tcBorders>
              <w:left w:val="nil"/>
              <w:right w:val="nil"/>
            </w:tcBorders>
            <w:hideMark/>
          </w:tcPr>
          <w:p w14:paraId="39AAC799" w14:textId="77777777" w:rsidR="005463FC" w:rsidRDefault="005463FC" w:rsidP="005463FC">
            <w:pPr>
              <w:pStyle w:val="TableTextSmall"/>
              <w:keepNext/>
              <w:keepLines/>
              <w:cnfStyle w:val="000000100000" w:firstRow="0" w:lastRow="0" w:firstColumn="0" w:lastColumn="0" w:oddVBand="0" w:evenVBand="0" w:oddHBand="1" w:evenHBand="0" w:firstRowFirstColumn="0" w:firstRowLastColumn="0" w:lastRowFirstColumn="0" w:lastRowLastColumn="0"/>
            </w:pPr>
            <w:r>
              <w:t>From January 2017, the asset test free areas were increased, along with increases to the asset test taper rate. At this valuation, the estimated impact of this was refined to reflect experience observed in the latest year.</w:t>
            </w:r>
          </w:p>
        </w:tc>
        <w:tc>
          <w:tcPr>
            <w:tcW w:w="1893" w:type="dxa"/>
            <w:tcBorders>
              <w:left w:val="nil"/>
              <w:right w:val="single" w:sz="4" w:space="0" w:color="E0301E" w:themeColor="accent6"/>
            </w:tcBorders>
            <w:hideMark/>
          </w:tcPr>
          <w:p w14:paraId="67B80322" w14:textId="77777777" w:rsidR="005463FC" w:rsidRDefault="005463FC" w:rsidP="005463FC">
            <w:pPr>
              <w:pStyle w:val="TableTextSmall"/>
              <w:keepNext/>
              <w:keepLines/>
              <w:cnfStyle w:val="000000100000" w:firstRow="0" w:lastRow="0" w:firstColumn="0" w:lastColumn="0" w:oddVBand="0" w:evenVBand="0" w:oddHBand="1" w:evenHBand="0" w:firstRowFirstColumn="0" w:firstRowLastColumn="0" w:lastRowFirstColumn="0" w:lastRowLastColumn="0"/>
            </w:pPr>
            <w:r>
              <w:t>Decrease of $2.9bn</w:t>
            </w:r>
          </w:p>
        </w:tc>
      </w:tr>
      <w:tr w:rsidR="005463FC" w14:paraId="50370213" w14:textId="77777777" w:rsidTr="005463FC">
        <w:trPr>
          <w:cantSplit/>
        </w:trPr>
        <w:tc>
          <w:tcPr>
            <w:cnfStyle w:val="001000000000" w:firstRow="0" w:lastRow="0" w:firstColumn="1" w:lastColumn="0" w:oddVBand="0" w:evenVBand="0" w:oddHBand="0" w:evenHBand="0" w:firstRowFirstColumn="0" w:firstRowLastColumn="0" w:lastRowFirstColumn="0" w:lastRowLastColumn="0"/>
            <w:tcW w:w="2127" w:type="dxa"/>
            <w:tcBorders>
              <w:left w:val="single" w:sz="4" w:space="0" w:color="E0301E" w:themeColor="accent6"/>
            </w:tcBorders>
            <w:shd w:val="clear" w:color="auto" w:fill="F4CACA" w:themeFill="accent5" w:themeFillTint="33"/>
            <w:hideMark/>
          </w:tcPr>
          <w:p w14:paraId="256C5DFA" w14:textId="77777777" w:rsidR="005463FC" w:rsidRDefault="005463FC" w:rsidP="005463FC">
            <w:pPr>
              <w:pStyle w:val="TableTextSmall"/>
              <w:keepNext/>
              <w:keepLines/>
              <w:rPr>
                <w:i/>
              </w:rPr>
            </w:pPr>
            <w:r>
              <w:rPr>
                <w:i/>
              </w:rPr>
              <w:t>All updates</w:t>
            </w:r>
          </w:p>
        </w:tc>
        <w:tc>
          <w:tcPr>
            <w:tcW w:w="5953" w:type="dxa"/>
            <w:tcBorders>
              <w:left w:val="nil"/>
              <w:right w:val="nil"/>
            </w:tcBorders>
            <w:shd w:val="clear" w:color="auto" w:fill="F4CACA" w:themeFill="accent5" w:themeFillTint="33"/>
          </w:tcPr>
          <w:p w14:paraId="495E0E58" w14:textId="77777777" w:rsidR="005463FC" w:rsidRDefault="005463FC" w:rsidP="005463FC">
            <w:pPr>
              <w:pStyle w:val="TableTextSmall"/>
              <w:keepNext/>
              <w:keepLines/>
              <w:cnfStyle w:val="000000000000" w:firstRow="0" w:lastRow="0" w:firstColumn="0" w:lastColumn="0" w:oddVBand="0" w:evenVBand="0" w:oddHBand="0" w:evenHBand="0" w:firstRowFirstColumn="0" w:firstRowLastColumn="0" w:lastRowFirstColumn="0" w:lastRowLastColumn="0"/>
              <w:rPr>
                <w:i/>
                <w:highlight w:val="yellow"/>
              </w:rPr>
            </w:pPr>
          </w:p>
        </w:tc>
        <w:tc>
          <w:tcPr>
            <w:tcW w:w="1893" w:type="dxa"/>
            <w:tcBorders>
              <w:left w:val="nil"/>
              <w:right w:val="single" w:sz="4" w:space="0" w:color="E0301E" w:themeColor="accent6"/>
            </w:tcBorders>
            <w:shd w:val="clear" w:color="auto" w:fill="F4CACA" w:themeFill="accent5" w:themeFillTint="33"/>
            <w:hideMark/>
          </w:tcPr>
          <w:p w14:paraId="38592D98" w14:textId="77777777" w:rsidR="005463FC" w:rsidRDefault="005463FC" w:rsidP="005463FC">
            <w:pPr>
              <w:pStyle w:val="TableTextSmall"/>
              <w:keepNext/>
              <w:keepLines/>
              <w:cnfStyle w:val="000000000000" w:firstRow="0" w:lastRow="0" w:firstColumn="0" w:lastColumn="0" w:oddVBand="0" w:evenVBand="0" w:oddHBand="0" w:evenHBand="0" w:firstRowFirstColumn="0" w:firstRowLastColumn="0" w:lastRowFirstColumn="0" w:lastRowLastColumn="0"/>
              <w:rPr>
                <w:i/>
              </w:rPr>
            </w:pPr>
            <w:r>
              <w:rPr>
                <w:i/>
              </w:rPr>
              <w:t>Decrease of $2.9bn</w:t>
            </w:r>
          </w:p>
        </w:tc>
      </w:tr>
    </w:tbl>
    <w:p w14:paraId="69577548" w14:textId="77777777" w:rsidR="005463FC" w:rsidRDefault="005463FC" w:rsidP="005463FC">
      <w:pPr>
        <w:pStyle w:val="PwCNormal"/>
        <w:numPr>
          <w:ilvl w:val="0"/>
          <w:numId w:val="33"/>
        </w:numPr>
      </w:pPr>
      <w:r>
        <w:t>These policy changes can be grouped into those changes that have resulted in an increase in the liability (+$27bn) and those that have resulted in a decrease in the liability (-$31bn).</w:t>
      </w:r>
    </w:p>
    <w:p w14:paraId="5B3B37F3" w14:textId="77777777" w:rsidR="005463FC" w:rsidRDefault="005463FC" w:rsidP="005463FC">
      <w:pPr>
        <w:pStyle w:val="Minorheading"/>
      </w:pPr>
      <w:r>
        <w:t>Experience and assumptions</w:t>
      </w:r>
    </w:p>
    <w:p w14:paraId="09DE5B98" w14:textId="77777777" w:rsidR="005463FC" w:rsidRDefault="005463FC" w:rsidP="005463FC">
      <w:pPr>
        <w:pStyle w:val="PwCNormal"/>
        <w:numPr>
          <w:ilvl w:val="0"/>
          <w:numId w:val="33"/>
        </w:numPr>
      </w:pPr>
      <w:r>
        <w:t xml:space="preserve">The total lifetime cost will also change due to the impact of emerging experience observed over the year together with assumption changes which reflect this experience. In total, this contributed to a further </w:t>
      </w:r>
      <w:r>
        <w:rPr>
          <w:b/>
        </w:rPr>
        <w:t>$39bn (-0.9%) decrease</w:t>
      </w:r>
      <w:r>
        <w:t xml:space="preserve"> in the overall lifetime cost.</w:t>
      </w:r>
    </w:p>
    <w:p w14:paraId="326C826D" w14:textId="77777777" w:rsidR="005463FC" w:rsidRDefault="005463FC" w:rsidP="005463FC">
      <w:pPr>
        <w:pStyle w:val="PwCNormal"/>
        <w:numPr>
          <w:ilvl w:val="0"/>
          <w:numId w:val="33"/>
        </w:numPr>
      </w:pPr>
      <w:r>
        <w:t>We note that the impact of changes in demographics and class movement assumptions are closely inter</w:t>
      </w:r>
      <w:r>
        <w:noBreakHyphen/>
        <w:t>related owing to the iterative nature of the model; where changes in person characteristics influence class movements, which in turn further influence class movements in the following year. The long-term nature of the model also means that the impacts are highly geared, where quite subtle changes in single year assumptions can build up to material impacts when compounded over peoples’ full future lifetimes.</w:t>
      </w:r>
    </w:p>
    <w:p w14:paraId="07D46FE2" w14:textId="77777777" w:rsidR="005463FC" w:rsidRDefault="005463FC" w:rsidP="005463FC">
      <w:pPr>
        <w:pStyle w:val="PwCNormal"/>
        <w:numPr>
          <w:ilvl w:val="0"/>
          <w:numId w:val="33"/>
        </w:numPr>
      </w:pPr>
      <w:r>
        <w:t>At this valuation new welfare recipient characteristic variables were introduced with the intention of introducing greater differentiation of costs between groups within the valuation while having minimal impact on the total lifetime cost.</w:t>
      </w:r>
    </w:p>
    <w:p w14:paraId="7BD4F43C" w14:textId="77777777" w:rsidR="005463FC" w:rsidRDefault="005463FC" w:rsidP="005463FC">
      <w:pPr>
        <w:pStyle w:val="PwCNormal"/>
        <w:numPr>
          <w:ilvl w:val="0"/>
          <w:numId w:val="33"/>
        </w:numPr>
      </w:pPr>
      <w:r>
        <w:t>While this decrease is the net impact of a number of changes and interactions, the key drivers of the overall change are:</w:t>
      </w:r>
    </w:p>
    <w:p w14:paraId="33AA9869" w14:textId="77777777" w:rsidR="005463FC" w:rsidRDefault="005463FC" w:rsidP="005463FC">
      <w:pPr>
        <w:pStyle w:val="ListBullet"/>
        <w:numPr>
          <w:ilvl w:val="0"/>
          <w:numId w:val="49"/>
        </w:numPr>
        <w:rPr>
          <w:b/>
        </w:rPr>
      </w:pPr>
      <w:r>
        <w:rPr>
          <w:b/>
        </w:rPr>
        <w:t>Lower overall welfare utilisation ($28bn decrease)</w:t>
      </w:r>
      <w:r>
        <w:t xml:space="preserve"> – in general the proportion of people utilising welfare was lower this year than last year, and this has resulted in a decrease in the lifetime cost.</w:t>
      </w:r>
      <w:r w:rsidDel="00E43772">
        <w:t xml:space="preserve"> </w:t>
      </w:r>
    </w:p>
    <w:p w14:paraId="32A5BC4D" w14:textId="77777777" w:rsidR="005463FC" w:rsidRDefault="005463FC" w:rsidP="005463FC">
      <w:pPr>
        <w:pStyle w:val="ListBullet"/>
        <w:numPr>
          <w:ilvl w:val="0"/>
          <w:numId w:val="49"/>
        </w:numPr>
      </w:pPr>
      <w:r>
        <w:rPr>
          <w:b/>
        </w:rPr>
        <w:t xml:space="preserve">Lower assumed future utilisation of welfare ($49bn decrease) </w:t>
      </w:r>
      <w:r>
        <w:t>– the main drivers of this decrease include:</w:t>
      </w:r>
    </w:p>
    <w:p w14:paraId="1B35ACBE" w14:textId="076F9632" w:rsidR="005463FC" w:rsidRDefault="005463FC" w:rsidP="005463FC">
      <w:pPr>
        <w:pStyle w:val="ListBullet2"/>
        <w:numPr>
          <w:ilvl w:val="1"/>
          <w:numId w:val="49"/>
        </w:numPr>
      </w:pPr>
      <w:r w:rsidRPr="00C318FB">
        <w:rPr>
          <w:i/>
        </w:rPr>
        <w:t xml:space="preserve">Reduced </w:t>
      </w:r>
      <w:r w:rsidR="004F14F5">
        <w:rPr>
          <w:i/>
        </w:rPr>
        <w:t xml:space="preserve">future </w:t>
      </w:r>
      <w:r w:rsidRPr="00C318FB">
        <w:rPr>
          <w:i/>
        </w:rPr>
        <w:t xml:space="preserve">entries and movements to </w:t>
      </w:r>
      <w:r w:rsidR="00AC3251">
        <w:rPr>
          <w:i/>
        </w:rPr>
        <w:t>c</w:t>
      </w:r>
      <w:r w:rsidRPr="00C318FB">
        <w:rPr>
          <w:i/>
        </w:rPr>
        <w:t>lass 5 Disability Support ($</w:t>
      </w:r>
      <w:r w:rsidR="004F14F5">
        <w:rPr>
          <w:i/>
        </w:rPr>
        <w:t>13</w:t>
      </w:r>
      <w:r w:rsidRPr="00C318FB">
        <w:rPr>
          <w:i/>
        </w:rPr>
        <w:t xml:space="preserve">bn decrease) – </w:t>
      </w:r>
      <w:r>
        <w:t>in recent years, the tightening of DSP eligibility criteria has resulted in falling entries into the DSP welfare class. The falling trend was again observed over the latest year, and the valuation model assumptions were updated to allow for this.</w:t>
      </w:r>
      <w:r w:rsidR="004F14F5">
        <w:t xml:space="preserve"> The effect of the assumption change is to reduce transitions into DSP and instead leave welfare recipients in their previous classes for longer.</w:t>
      </w:r>
    </w:p>
    <w:p w14:paraId="7530B589" w14:textId="318F3132" w:rsidR="005463FC" w:rsidRDefault="004F14F5" w:rsidP="004F14F5">
      <w:pPr>
        <w:pStyle w:val="ListBullet2"/>
        <w:numPr>
          <w:ilvl w:val="1"/>
          <w:numId w:val="49"/>
        </w:numPr>
      </w:pPr>
      <w:r>
        <w:rPr>
          <w:i/>
        </w:rPr>
        <w:lastRenderedPageBreak/>
        <w:t xml:space="preserve">Reduced future entries and movements into other Income Support classes ($25bn decrease) – </w:t>
      </w:r>
      <w:r>
        <w:t xml:space="preserve">in particular, recent entries into Working Age and Age Pension have been lower and we have updated our valuation assumptions in response to this. </w:t>
      </w:r>
    </w:p>
    <w:p w14:paraId="68B131AB" w14:textId="4B19B72B" w:rsidR="005463FC" w:rsidRDefault="00892A8A" w:rsidP="005463FC">
      <w:pPr>
        <w:pStyle w:val="ListBullet2"/>
      </w:pPr>
      <w:r>
        <w:rPr>
          <w:i/>
        </w:rPr>
        <w:t xml:space="preserve">Higher </w:t>
      </w:r>
      <w:r w:rsidR="004F14F5">
        <w:rPr>
          <w:i/>
        </w:rPr>
        <w:t xml:space="preserve">future </w:t>
      </w:r>
      <w:r>
        <w:rPr>
          <w:i/>
        </w:rPr>
        <w:t>exits from</w:t>
      </w:r>
      <w:r w:rsidR="004F14F5">
        <w:rPr>
          <w:i/>
        </w:rPr>
        <w:t xml:space="preserve"> </w:t>
      </w:r>
      <w:r w:rsidR="00AC3251">
        <w:rPr>
          <w:i/>
        </w:rPr>
        <w:t>c</w:t>
      </w:r>
      <w:r w:rsidR="004F14F5">
        <w:rPr>
          <w:i/>
        </w:rPr>
        <w:t>lass 7 Non IS Family ($6bn decrease)</w:t>
      </w:r>
      <w:r w:rsidR="004F14F5">
        <w:t xml:space="preserve"> – in recent years, the tightening of FTB eligibility criteria has resulted in higher exits from the Non IS Family class out of the welfare system. This trend was again observed in the latest year, and the valuation model assumptions were updated in response to this.</w:t>
      </w:r>
    </w:p>
    <w:p w14:paraId="70CB5259" w14:textId="151F728A" w:rsidR="005463FC" w:rsidRDefault="004F14F5" w:rsidP="004F14F5">
      <w:pPr>
        <w:pStyle w:val="ListBullet2"/>
        <w:numPr>
          <w:ilvl w:val="1"/>
          <w:numId w:val="49"/>
        </w:numPr>
      </w:pPr>
      <w:r w:rsidRPr="004F14F5">
        <w:tab/>
        <w:t>The remaining impact ($5bn decrease) is the combined impact of smaller adjustments to the other valuation model assumptions in response to emerging experience, as well as the introduction of new model variables.</w:t>
      </w:r>
    </w:p>
    <w:p w14:paraId="43230962" w14:textId="77777777" w:rsidR="005463FC" w:rsidRDefault="005463FC" w:rsidP="005463FC">
      <w:pPr>
        <w:pStyle w:val="ListBullet"/>
      </w:pPr>
      <w:r w:rsidRPr="00F90155">
        <w:rPr>
          <w:b/>
        </w:rPr>
        <w:t>Higher average payments ($46bn increase)</w:t>
      </w:r>
      <w:r>
        <w:t xml:space="preserve"> – the </w:t>
      </w:r>
      <w:r w:rsidRPr="00F90155">
        <w:t>main drivers</w:t>
      </w:r>
      <w:r w:rsidRPr="00F90155">
        <w:rPr>
          <w:b/>
        </w:rPr>
        <w:t xml:space="preserve"> </w:t>
      </w:r>
      <w:r>
        <w:t>of this increase include:</w:t>
      </w:r>
    </w:p>
    <w:p w14:paraId="322BC18E" w14:textId="25D1BA5E" w:rsidR="005463FC" w:rsidRDefault="005463FC" w:rsidP="005463FC">
      <w:pPr>
        <w:pStyle w:val="ListBullet2"/>
        <w:numPr>
          <w:ilvl w:val="1"/>
          <w:numId w:val="49"/>
        </w:numPr>
      </w:pPr>
      <w:r>
        <w:rPr>
          <w:i/>
        </w:rPr>
        <w:t>Increased average payment size for the Age Pension ($61bn increase) –</w:t>
      </w:r>
      <w:r>
        <w:t xml:space="preserve"> we have increased the adopted average size assumptions for Age Pension in response to </w:t>
      </w:r>
      <w:r w:rsidR="004F14F5">
        <w:t>higher recent payment experience observed for new age pensioners</w:t>
      </w:r>
      <w:r>
        <w:t xml:space="preserve">. The increase in average size has a relatively small impact (2%) on the total liability for Age Pension payments. </w:t>
      </w:r>
    </w:p>
    <w:p w14:paraId="53AD2CF7" w14:textId="7279C77C" w:rsidR="005463FC" w:rsidRDefault="005463FC" w:rsidP="005463FC">
      <w:pPr>
        <w:pStyle w:val="ListBullet2"/>
        <w:numPr>
          <w:ilvl w:val="1"/>
          <w:numId w:val="49"/>
        </w:numPr>
      </w:pPr>
      <w:r>
        <w:t>Offset by</w:t>
      </w:r>
      <w:r>
        <w:rPr>
          <w:i/>
        </w:rPr>
        <w:t xml:space="preserve"> reduced utilisation of Family Tax Benefit ($14b</w:t>
      </w:r>
      <w:r w:rsidR="004F14F5">
        <w:rPr>
          <w:i/>
        </w:rPr>
        <w:t>n</w:t>
      </w:r>
      <w:r>
        <w:rPr>
          <w:i/>
        </w:rPr>
        <w:t xml:space="preserve"> decrease) – </w:t>
      </w:r>
      <w:r>
        <w:t>utilisation of FTB payments has been lower and our valuation model assumptions have been updated in response to this.</w:t>
      </w:r>
    </w:p>
    <w:p w14:paraId="35A2EB67" w14:textId="2928F3B4" w:rsidR="005463FC" w:rsidRDefault="005463FC" w:rsidP="005463FC">
      <w:pPr>
        <w:pStyle w:val="ListBullet"/>
        <w:numPr>
          <w:ilvl w:val="0"/>
          <w:numId w:val="49"/>
        </w:numPr>
      </w:pPr>
      <w:r>
        <w:rPr>
          <w:b/>
        </w:rPr>
        <w:t>Updated future indexation assumptions ($8bn decrease)</w:t>
      </w:r>
      <w:r>
        <w:t xml:space="preserve"> –updates to the assumed indexation of future payments resulted in an $8bn decrease in the estimated total lifetime cost. This reflects reductions in the short term MTAWE and CPI indexation assumptions in line with the </w:t>
      </w:r>
      <w:r w:rsidR="00807107">
        <w:t xml:space="preserve">Australian Government </w:t>
      </w:r>
      <w:r>
        <w:t>forecasts outlined in the 2017</w:t>
      </w:r>
      <w:r w:rsidR="0049533C">
        <w:t>/</w:t>
      </w:r>
      <w:r>
        <w:t xml:space="preserve">18 Commonwealth Budget as well as the fact that the long term inflation rate is now one year later. </w:t>
      </w:r>
    </w:p>
    <w:p w14:paraId="462DA8EE" w14:textId="77777777" w:rsidR="005463FC" w:rsidRDefault="005463FC" w:rsidP="005463FC">
      <w:pPr>
        <w:pStyle w:val="ListBullet"/>
        <w:numPr>
          <w:ilvl w:val="0"/>
          <w:numId w:val="0"/>
        </w:numPr>
        <w:tabs>
          <w:tab w:val="left" w:pos="720"/>
        </w:tabs>
        <w:ind w:left="284"/>
      </w:pPr>
      <w:r>
        <w:t xml:space="preserve">This indexation update has </w:t>
      </w:r>
      <w:r w:rsidRPr="004F14F5">
        <w:t>the biggest dollar impact on the</w:t>
      </w:r>
      <w:r>
        <w:t xml:space="preserve"> Age Pension payment category ($5bn) as this is the largest component of the lifetime cost.</w:t>
      </w:r>
    </w:p>
    <w:p w14:paraId="60B69C7C" w14:textId="77777777" w:rsidR="005463FC" w:rsidRDefault="005463FC" w:rsidP="005463FC">
      <w:pPr>
        <w:pStyle w:val="Heading3"/>
      </w:pPr>
      <w:bookmarkStart w:id="164" w:name="_Toc498625179"/>
      <w:bookmarkStart w:id="165" w:name="_Toc506388221"/>
      <w:r>
        <w:t>Summary of change in lifetime cost by welfare class</w:t>
      </w:r>
      <w:bookmarkEnd w:id="164"/>
      <w:bookmarkEnd w:id="165"/>
    </w:p>
    <w:p w14:paraId="589E1BB5" w14:textId="77777777" w:rsidR="005463FC" w:rsidRDefault="005463FC" w:rsidP="005463FC">
      <w:pPr>
        <w:pStyle w:val="PwCNormal"/>
        <w:numPr>
          <w:ilvl w:val="0"/>
          <w:numId w:val="33"/>
        </w:numPr>
      </w:pPr>
      <w:r>
        <w:t>The changes to the total lifetime cost described above will not impact people in each welfare class in the same way. For instance, certain policy changes will only affect particular classes, population growth may differ by class, and the observed trends in welfare utilisation and behaviour will also differ by class.</w:t>
      </w:r>
    </w:p>
    <w:p w14:paraId="4499E6B7" w14:textId="77777777" w:rsidR="005463FC" w:rsidRDefault="005463FC" w:rsidP="005463FC">
      <w:pPr>
        <w:pStyle w:val="PwCNormal"/>
        <w:numPr>
          <w:ilvl w:val="0"/>
          <w:numId w:val="33"/>
        </w:numPr>
      </w:pPr>
      <w:r>
        <w:t xml:space="preserve">Furthermore, when new predictive variables are introduced to the model, the impact is typically fairly neutral for the full population. However these new variables will result in more differentiation between those who are expected to have higher persistency in the welfare system, and those who are expected to have lower persistency in the welfare system. </w:t>
      </w:r>
    </w:p>
    <w:p w14:paraId="5F34CCE6" w14:textId="7EB8AD40" w:rsidR="005463FC" w:rsidRDefault="005463FC" w:rsidP="005463FC">
      <w:pPr>
        <w:pStyle w:val="PwCNormal"/>
        <w:numPr>
          <w:ilvl w:val="0"/>
          <w:numId w:val="33"/>
        </w:numPr>
      </w:pPr>
      <w:r>
        <w:t xml:space="preserve">At this valuation three new variables were introduced to the model; parental welfare dependence, a student’s current education sector (School, Vocational Education and Training, and Higher Education), and a variable describing barriers to work for </w:t>
      </w:r>
      <w:r w:rsidR="0033779C">
        <w:t xml:space="preserve">Working Age </w:t>
      </w:r>
      <w:r>
        <w:t>recipients. These three new variables will primarily impact the non-welfare recipient, Studying and Working Age classes, but will also have flow on impacts to other classes.</w:t>
      </w:r>
    </w:p>
    <w:p w14:paraId="07A58C45" w14:textId="77777777" w:rsidR="005463FC" w:rsidRDefault="005463FC" w:rsidP="005463FC">
      <w:pPr>
        <w:pStyle w:val="PwCNormal-keepwithnext"/>
        <w:numPr>
          <w:ilvl w:val="0"/>
          <w:numId w:val="33"/>
        </w:numPr>
      </w:pPr>
      <w:r>
        <w:lastRenderedPageBreak/>
        <w:t>The table below shows a class level summary of the changes in population and average lifetime cost. These contribute to the total change discussed above.</w:t>
      </w:r>
    </w:p>
    <w:p w14:paraId="7502D814" w14:textId="77777777" w:rsidR="005463FC" w:rsidRDefault="005463FC" w:rsidP="005463FC">
      <w:pPr>
        <w:pStyle w:val="Caption"/>
      </w:pPr>
      <w:r>
        <w:t xml:space="preserve">Table </w:t>
      </w:r>
      <w:r>
        <w:rPr>
          <w:b w:val="0"/>
          <w:bCs w:val="0"/>
        </w:rPr>
        <w:fldChar w:fldCharType="begin"/>
      </w:r>
      <w:r>
        <w:rPr>
          <w:b w:val="0"/>
          <w:bCs w:val="0"/>
        </w:rPr>
        <w:instrText xml:space="preserve"> SEQ Table \* ARABIC </w:instrText>
      </w:r>
      <w:r>
        <w:rPr>
          <w:b w:val="0"/>
          <w:bCs w:val="0"/>
        </w:rPr>
        <w:fldChar w:fldCharType="separate"/>
      </w:r>
      <w:r w:rsidR="00C93C1A">
        <w:rPr>
          <w:b w:val="0"/>
          <w:bCs w:val="0"/>
          <w:noProof/>
        </w:rPr>
        <w:t>17</w:t>
      </w:r>
      <w:r>
        <w:rPr>
          <w:b w:val="0"/>
          <w:bCs w:val="0"/>
          <w:noProof/>
        </w:rPr>
        <w:fldChar w:fldCharType="end"/>
      </w:r>
      <w:r>
        <w:t>: Summary of changes in lifetime cost by class</w:t>
      </w:r>
    </w:p>
    <w:tbl>
      <w:tblPr>
        <w:tblW w:w="0" w:type="dxa"/>
        <w:tblInd w:w="57" w:type="dxa"/>
        <w:tblLayout w:type="fixed"/>
        <w:tblCellMar>
          <w:left w:w="113" w:type="dxa"/>
          <w:right w:w="113" w:type="dxa"/>
        </w:tblCellMar>
        <w:tblLook w:val="04A0" w:firstRow="1" w:lastRow="0" w:firstColumn="1" w:lastColumn="0" w:noHBand="0" w:noVBand="1"/>
        <w:tblCaption w:val=" Summary of changes in lifetime cost by class"/>
        <w:tblDescription w:val="This table displays data for current welfare recipients in several categories, as well as previous welfare recipients and the rest of the Australian resident population. &#10;&#10;The rows of data given for current welfare recipients are: studying payments, working age payments, parenting payments, carer payments, disability support, age pensioners, family (non-income support), carer (non-income support) and other (non-income support), as well as a total for all current welfare recipients. Non welfare recipients are split by previous welfare recipients and rest of Australian population. A total for Australian resident population is also shown. &#10;&#10;For each category, there is data for the following columns, June 16 Lifetime cost (in billions), June 17 lifetime cost (in billions), dollar change in lifetime cost (in billions), the percentage change in lifetime cost, change in the lifetime cost due to a population change (in percentages), change in lifetime cost due to a chance in the average lifetime cost in both percentage and dollar terms.&#10;&#10;Further features of the data in this table are discussed in the accompanying text within the report.&#10;"/>
      </w:tblPr>
      <w:tblGrid>
        <w:gridCol w:w="2438"/>
        <w:gridCol w:w="964"/>
        <w:gridCol w:w="964"/>
        <w:gridCol w:w="907"/>
        <w:gridCol w:w="1020"/>
        <w:gridCol w:w="1134"/>
        <w:gridCol w:w="1247"/>
        <w:gridCol w:w="1247"/>
      </w:tblGrid>
      <w:tr w:rsidR="005463FC" w14:paraId="776E18A7" w14:textId="77777777" w:rsidTr="005463FC">
        <w:trPr>
          <w:trHeight w:val="1010"/>
          <w:tblHeader/>
        </w:trPr>
        <w:tc>
          <w:tcPr>
            <w:tcW w:w="2438" w:type="dxa"/>
            <w:tcBorders>
              <w:top w:val="single" w:sz="4" w:space="0" w:color="E02628"/>
              <w:left w:val="nil"/>
              <w:bottom w:val="single" w:sz="4" w:space="0" w:color="FFFFFF" w:themeColor="background1"/>
              <w:right w:val="single" w:sz="4" w:space="0" w:color="FFFFFF"/>
            </w:tcBorders>
            <w:shd w:val="clear" w:color="auto" w:fill="E02628"/>
          </w:tcPr>
          <w:p w14:paraId="09286D22" w14:textId="77777777" w:rsidR="005463FC" w:rsidRDefault="005463FC" w:rsidP="005463FC">
            <w:pPr>
              <w:pStyle w:val="TableColumnHeadingSmall"/>
            </w:pPr>
          </w:p>
          <w:p w14:paraId="6EEF5A2F" w14:textId="77777777" w:rsidR="005463FC" w:rsidRDefault="005463FC" w:rsidP="005463FC">
            <w:pPr>
              <w:pStyle w:val="TableColumnHeadingSmall"/>
            </w:pPr>
            <w:r>
              <w:t>Population segment</w:t>
            </w:r>
          </w:p>
        </w:tc>
        <w:tc>
          <w:tcPr>
            <w:tcW w:w="964" w:type="dxa"/>
            <w:tcBorders>
              <w:top w:val="single" w:sz="4" w:space="0" w:color="E02628"/>
              <w:left w:val="single" w:sz="4" w:space="0" w:color="FFFFFF"/>
              <w:bottom w:val="single" w:sz="4" w:space="0" w:color="FFFFFF" w:themeColor="background1"/>
              <w:right w:val="single" w:sz="4" w:space="0" w:color="E02628"/>
            </w:tcBorders>
            <w:shd w:val="clear" w:color="auto" w:fill="E02628"/>
          </w:tcPr>
          <w:p w14:paraId="6F63BD0D" w14:textId="77777777" w:rsidR="005463FC" w:rsidRDefault="005463FC" w:rsidP="005463FC">
            <w:pPr>
              <w:pStyle w:val="TableColumnHeadingSmall"/>
            </w:pPr>
          </w:p>
          <w:p w14:paraId="60587EDA" w14:textId="77777777" w:rsidR="005463FC" w:rsidRDefault="005463FC" w:rsidP="005463FC">
            <w:pPr>
              <w:pStyle w:val="TableColumnHeadingSmall"/>
            </w:pPr>
            <w:r>
              <w:t>Jun-16 Lifetime Cost ($bn)</w:t>
            </w:r>
          </w:p>
        </w:tc>
        <w:tc>
          <w:tcPr>
            <w:tcW w:w="964" w:type="dxa"/>
            <w:tcBorders>
              <w:top w:val="single" w:sz="4" w:space="0" w:color="E02628"/>
              <w:left w:val="single" w:sz="4" w:space="0" w:color="E02628"/>
              <w:bottom w:val="single" w:sz="4" w:space="0" w:color="FFFFFF" w:themeColor="background1"/>
              <w:right w:val="single" w:sz="4" w:space="0" w:color="FFFFFF"/>
            </w:tcBorders>
            <w:shd w:val="clear" w:color="auto" w:fill="E02628"/>
          </w:tcPr>
          <w:p w14:paraId="3E075706" w14:textId="77777777" w:rsidR="005463FC" w:rsidRDefault="005463FC" w:rsidP="005463FC">
            <w:pPr>
              <w:pStyle w:val="TableColumnHeadingSmall"/>
            </w:pPr>
          </w:p>
          <w:p w14:paraId="3AA25540" w14:textId="77777777" w:rsidR="005463FC" w:rsidRDefault="005463FC" w:rsidP="005463FC">
            <w:pPr>
              <w:pStyle w:val="TableColumnHeadingSmall"/>
            </w:pPr>
            <w:r>
              <w:t>Jun-17 Lifetime Cost ($bn)</w:t>
            </w:r>
          </w:p>
        </w:tc>
        <w:tc>
          <w:tcPr>
            <w:tcW w:w="907" w:type="dxa"/>
            <w:tcBorders>
              <w:top w:val="single" w:sz="4" w:space="0" w:color="E02628"/>
              <w:left w:val="single" w:sz="4" w:space="0" w:color="FFFFFF"/>
              <w:bottom w:val="single" w:sz="4" w:space="0" w:color="FFFFFF" w:themeColor="background1"/>
              <w:right w:val="single" w:sz="4" w:space="0" w:color="E02628"/>
            </w:tcBorders>
            <w:shd w:val="clear" w:color="auto" w:fill="E02628"/>
          </w:tcPr>
          <w:p w14:paraId="00AD4A73" w14:textId="77777777" w:rsidR="005463FC" w:rsidRDefault="005463FC" w:rsidP="005463FC">
            <w:pPr>
              <w:pStyle w:val="TableColumnHeadingSmall"/>
            </w:pPr>
          </w:p>
          <w:p w14:paraId="130DDB39" w14:textId="77777777" w:rsidR="005463FC" w:rsidRDefault="005463FC" w:rsidP="005463FC">
            <w:pPr>
              <w:pStyle w:val="TableColumnHeadingSmall"/>
            </w:pPr>
            <w:r>
              <w:t>Change in lifetime cost ($bn)</w:t>
            </w:r>
          </w:p>
        </w:tc>
        <w:tc>
          <w:tcPr>
            <w:tcW w:w="1020" w:type="dxa"/>
            <w:tcBorders>
              <w:top w:val="single" w:sz="4" w:space="0" w:color="E02628"/>
              <w:left w:val="single" w:sz="4" w:space="0" w:color="E02628"/>
              <w:bottom w:val="single" w:sz="4" w:space="0" w:color="FFFFFF" w:themeColor="background1"/>
              <w:right w:val="single" w:sz="4" w:space="0" w:color="FFFFFF"/>
            </w:tcBorders>
            <w:shd w:val="clear" w:color="auto" w:fill="E02628"/>
          </w:tcPr>
          <w:p w14:paraId="159FCB17" w14:textId="77777777" w:rsidR="005463FC" w:rsidRDefault="005463FC" w:rsidP="005463FC">
            <w:pPr>
              <w:pStyle w:val="TableColumnHeadingSmall"/>
            </w:pPr>
          </w:p>
          <w:p w14:paraId="2E3EE4DF" w14:textId="77777777" w:rsidR="005463FC" w:rsidRDefault="005463FC" w:rsidP="005463FC">
            <w:pPr>
              <w:pStyle w:val="TableColumnHeadingSmall"/>
            </w:pPr>
            <w:r>
              <w:t>Change in lifetime cost (%)</w:t>
            </w:r>
          </w:p>
        </w:tc>
        <w:tc>
          <w:tcPr>
            <w:tcW w:w="1134" w:type="dxa"/>
            <w:tcBorders>
              <w:top w:val="single" w:sz="4" w:space="0" w:color="E02628"/>
              <w:left w:val="single" w:sz="4" w:space="0" w:color="FFFFFF"/>
              <w:bottom w:val="single" w:sz="4" w:space="0" w:color="FFFFFF" w:themeColor="background1"/>
              <w:right w:val="single" w:sz="4" w:space="0" w:color="FFFFFF"/>
            </w:tcBorders>
            <w:shd w:val="clear" w:color="auto" w:fill="E02628"/>
          </w:tcPr>
          <w:p w14:paraId="3DDF00FD" w14:textId="77777777" w:rsidR="005463FC" w:rsidRDefault="005463FC" w:rsidP="005463FC">
            <w:pPr>
              <w:pStyle w:val="TableColumnHeadingSmall"/>
            </w:pPr>
          </w:p>
          <w:p w14:paraId="2F35AE0F" w14:textId="77777777" w:rsidR="005463FC" w:rsidRDefault="005463FC" w:rsidP="005463FC">
            <w:pPr>
              <w:pStyle w:val="TableColumnHeadingSmall"/>
            </w:pPr>
            <w:r>
              <w:t>Change in lifetime cost – population change component (%)</w:t>
            </w:r>
          </w:p>
        </w:tc>
        <w:tc>
          <w:tcPr>
            <w:tcW w:w="1247" w:type="dxa"/>
            <w:tcBorders>
              <w:top w:val="single" w:sz="4" w:space="0" w:color="E02628"/>
              <w:left w:val="single" w:sz="4" w:space="0" w:color="FFFFFF"/>
              <w:bottom w:val="single" w:sz="4" w:space="0" w:color="FFFFFF" w:themeColor="background1"/>
              <w:right w:val="single" w:sz="4" w:space="0" w:color="E02628"/>
            </w:tcBorders>
            <w:shd w:val="clear" w:color="auto" w:fill="E02628"/>
          </w:tcPr>
          <w:p w14:paraId="396343D3" w14:textId="77777777" w:rsidR="005463FC" w:rsidRDefault="005463FC" w:rsidP="005463FC">
            <w:pPr>
              <w:pStyle w:val="TableColumnHeadingSmall"/>
            </w:pPr>
          </w:p>
          <w:p w14:paraId="302DCF58" w14:textId="77777777" w:rsidR="005463FC" w:rsidRDefault="005463FC" w:rsidP="005463FC">
            <w:pPr>
              <w:pStyle w:val="TableColumnHeadingSmall"/>
            </w:pPr>
            <w:r>
              <w:t>Change in lifetime cost – ave lifetime cost change component (%)</w:t>
            </w:r>
          </w:p>
        </w:tc>
        <w:tc>
          <w:tcPr>
            <w:tcW w:w="1247" w:type="dxa"/>
            <w:tcBorders>
              <w:top w:val="single" w:sz="4" w:space="0" w:color="E02628"/>
              <w:left w:val="single" w:sz="4" w:space="0" w:color="E02628"/>
              <w:bottom w:val="single" w:sz="4" w:space="0" w:color="FFFFFF" w:themeColor="background1"/>
              <w:right w:val="single" w:sz="4" w:space="0" w:color="FFFFFF"/>
            </w:tcBorders>
            <w:shd w:val="clear" w:color="auto" w:fill="E02628"/>
          </w:tcPr>
          <w:p w14:paraId="687826B4" w14:textId="77777777" w:rsidR="005463FC" w:rsidRDefault="005463FC" w:rsidP="005463FC">
            <w:pPr>
              <w:pStyle w:val="TableColumnHeadingSmall"/>
            </w:pPr>
          </w:p>
          <w:p w14:paraId="6471A905" w14:textId="77777777" w:rsidR="005463FC" w:rsidRDefault="005463FC" w:rsidP="005463FC">
            <w:pPr>
              <w:pStyle w:val="TableColumnHeadingSmall"/>
            </w:pPr>
            <w:r>
              <w:t>Change in lifetime cost – ave lifetime cost change component ($’000)</w:t>
            </w:r>
          </w:p>
        </w:tc>
      </w:tr>
      <w:tr w:rsidR="005463FC" w14:paraId="0B3D429A" w14:textId="77777777" w:rsidTr="005463FC">
        <w:trPr>
          <w:trHeight w:val="227"/>
          <w:tblHeader/>
        </w:trPr>
        <w:tc>
          <w:tcPr>
            <w:tcW w:w="2438" w:type="dxa"/>
            <w:tcBorders>
              <w:top w:val="single" w:sz="4" w:space="0" w:color="FFFFFF" w:themeColor="background1"/>
              <w:left w:val="nil"/>
              <w:bottom w:val="single" w:sz="4" w:space="0" w:color="E02628"/>
              <w:right w:val="nil"/>
            </w:tcBorders>
            <w:shd w:val="clear" w:color="auto" w:fill="E02628"/>
            <w:noWrap/>
            <w:vAlign w:val="center"/>
            <w:hideMark/>
          </w:tcPr>
          <w:p w14:paraId="55B4B7D3" w14:textId="77777777" w:rsidR="005463FC" w:rsidRDefault="005463FC" w:rsidP="005463FC">
            <w:pPr>
              <w:pStyle w:val="TableColumnHeadingSmall"/>
              <w:rPr>
                <w:lang w:eastAsia="en-AU"/>
              </w:rPr>
            </w:pPr>
            <w:r>
              <w:rPr>
                <w:lang w:eastAsia="en-AU"/>
              </w:rPr>
              <w:t>Current welfare recipients</w:t>
            </w:r>
          </w:p>
        </w:tc>
        <w:tc>
          <w:tcPr>
            <w:tcW w:w="964" w:type="dxa"/>
            <w:tcBorders>
              <w:top w:val="single" w:sz="4" w:space="0" w:color="FFFFFF" w:themeColor="background1"/>
              <w:left w:val="nil"/>
              <w:bottom w:val="single" w:sz="4" w:space="0" w:color="E02628"/>
              <w:right w:val="nil"/>
            </w:tcBorders>
            <w:shd w:val="clear" w:color="auto" w:fill="E02628"/>
          </w:tcPr>
          <w:p w14:paraId="10FD0EEB" w14:textId="77777777" w:rsidR="005463FC" w:rsidRDefault="005463FC" w:rsidP="005463FC">
            <w:pPr>
              <w:pStyle w:val="TableColumnHeadingSmall"/>
            </w:pPr>
          </w:p>
        </w:tc>
        <w:tc>
          <w:tcPr>
            <w:tcW w:w="964" w:type="dxa"/>
            <w:tcBorders>
              <w:top w:val="single" w:sz="4" w:space="0" w:color="FFFFFF" w:themeColor="background1"/>
              <w:left w:val="nil"/>
              <w:bottom w:val="single" w:sz="4" w:space="0" w:color="E02628"/>
              <w:right w:val="nil"/>
            </w:tcBorders>
            <w:shd w:val="clear" w:color="auto" w:fill="E02628"/>
          </w:tcPr>
          <w:p w14:paraId="57320B1C" w14:textId="77777777" w:rsidR="005463FC" w:rsidRDefault="005463FC" w:rsidP="005463FC">
            <w:pPr>
              <w:pStyle w:val="TableColumnHeadingSmall"/>
            </w:pPr>
          </w:p>
        </w:tc>
        <w:tc>
          <w:tcPr>
            <w:tcW w:w="907" w:type="dxa"/>
            <w:tcBorders>
              <w:top w:val="single" w:sz="4" w:space="0" w:color="FFFFFF" w:themeColor="background1"/>
              <w:left w:val="nil"/>
              <w:bottom w:val="single" w:sz="4" w:space="0" w:color="E02628"/>
              <w:right w:val="nil"/>
            </w:tcBorders>
            <w:shd w:val="clear" w:color="auto" w:fill="E02628"/>
            <w:noWrap/>
          </w:tcPr>
          <w:p w14:paraId="35E124CA" w14:textId="77777777" w:rsidR="005463FC" w:rsidRDefault="005463FC" w:rsidP="005463FC">
            <w:pPr>
              <w:pStyle w:val="TableColumnHeadingSmall"/>
            </w:pPr>
          </w:p>
        </w:tc>
        <w:tc>
          <w:tcPr>
            <w:tcW w:w="1020" w:type="dxa"/>
            <w:tcBorders>
              <w:top w:val="single" w:sz="4" w:space="0" w:color="FFFFFF" w:themeColor="background1"/>
              <w:left w:val="nil"/>
              <w:bottom w:val="single" w:sz="4" w:space="0" w:color="E02628"/>
              <w:right w:val="nil"/>
            </w:tcBorders>
            <w:shd w:val="clear" w:color="auto" w:fill="E02628"/>
            <w:noWrap/>
          </w:tcPr>
          <w:p w14:paraId="194D1747" w14:textId="77777777" w:rsidR="005463FC" w:rsidRDefault="005463FC" w:rsidP="005463FC">
            <w:pPr>
              <w:pStyle w:val="TableColumnHeadingSmall"/>
            </w:pPr>
          </w:p>
        </w:tc>
        <w:tc>
          <w:tcPr>
            <w:tcW w:w="1134" w:type="dxa"/>
            <w:tcBorders>
              <w:top w:val="single" w:sz="4" w:space="0" w:color="FFFFFF" w:themeColor="background1"/>
              <w:left w:val="nil"/>
              <w:bottom w:val="single" w:sz="4" w:space="0" w:color="E02628"/>
              <w:right w:val="nil"/>
            </w:tcBorders>
            <w:shd w:val="clear" w:color="auto" w:fill="E02628"/>
            <w:noWrap/>
          </w:tcPr>
          <w:p w14:paraId="3D82B39E" w14:textId="77777777" w:rsidR="005463FC" w:rsidRDefault="005463FC" w:rsidP="005463FC">
            <w:pPr>
              <w:pStyle w:val="TableColumnHeadingSmall"/>
            </w:pPr>
          </w:p>
        </w:tc>
        <w:tc>
          <w:tcPr>
            <w:tcW w:w="1247" w:type="dxa"/>
            <w:tcBorders>
              <w:top w:val="single" w:sz="4" w:space="0" w:color="FFFFFF" w:themeColor="background1"/>
              <w:left w:val="nil"/>
              <w:bottom w:val="single" w:sz="4" w:space="0" w:color="E02628"/>
              <w:right w:val="single" w:sz="4" w:space="0" w:color="E0301E" w:themeColor="accent6"/>
            </w:tcBorders>
            <w:shd w:val="clear" w:color="auto" w:fill="E02628"/>
          </w:tcPr>
          <w:p w14:paraId="5A319069" w14:textId="77777777" w:rsidR="005463FC" w:rsidRDefault="005463FC" w:rsidP="005463FC">
            <w:pPr>
              <w:pStyle w:val="TableColumnHeadingSmall"/>
            </w:pPr>
          </w:p>
        </w:tc>
        <w:tc>
          <w:tcPr>
            <w:tcW w:w="1247" w:type="dxa"/>
            <w:tcBorders>
              <w:top w:val="single" w:sz="4" w:space="0" w:color="FFFFFF" w:themeColor="background1"/>
              <w:left w:val="single" w:sz="4" w:space="0" w:color="E0301E" w:themeColor="accent6"/>
              <w:bottom w:val="single" w:sz="4" w:space="0" w:color="E02628"/>
              <w:right w:val="nil"/>
            </w:tcBorders>
            <w:shd w:val="clear" w:color="auto" w:fill="E02628"/>
          </w:tcPr>
          <w:p w14:paraId="3A7DE815" w14:textId="77777777" w:rsidR="005463FC" w:rsidRDefault="005463FC" w:rsidP="005463FC">
            <w:pPr>
              <w:pStyle w:val="TableColumnHeadingSmall"/>
            </w:pPr>
          </w:p>
        </w:tc>
      </w:tr>
      <w:tr w:rsidR="005463FC" w14:paraId="56D28F5E"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4830C0AC" w14:textId="77777777" w:rsidR="005463FC" w:rsidRDefault="005463FC" w:rsidP="005463FC">
            <w:pPr>
              <w:pStyle w:val="TableTextSmall"/>
              <w:keepNext/>
              <w:keepLines/>
              <w:rPr>
                <w:lang w:eastAsia="en-AU"/>
              </w:rPr>
            </w:pPr>
            <w:r>
              <w:rPr>
                <w:lang w:eastAsia="en-AU"/>
              </w:rPr>
              <w:t>- 1 Studying</w:t>
            </w:r>
          </w:p>
        </w:tc>
        <w:tc>
          <w:tcPr>
            <w:tcW w:w="964" w:type="dxa"/>
            <w:tcBorders>
              <w:top w:val="single" w:sz="4" w:space="0" w:color="E02628"/>
              <w:left w:val="single" w:sz="4" w:space="0" w:color="E0301E" w:themeColor="accent6"/>
              <w:bottom w:val="single" w:sz="4" w:space="0" w:color="E02628"/>
              <w:right w:val="nil"/>
            </w:tcBorders>
            <w:shd w:val="clear" w:color="auto" w:fill="FFFFFF"/>
            <w:hideMark/>
          </w:tcPr>
          <w:p w14:paraId="115C5F34" w14:textId="77777777" w:rsidR="005463FC" w:rsidRDefault="005463FC" w:rsidP="005463FC">
            <w:pPr>
              <w:pStyle w:val="TableTextSmall"/>
              <w:keepNext/>
              <w:keepLines/>
              <w:jc w:val="center"/>
            </w:pPr>
            <w:r>
              <w:t>82</w:t>
            </w:r>
          </w:p>
        </w:tc>
        <w:tc>
          <w:tcPr>
            <w:tcW w:w="964" w:type="dxa"/>
            <w:tcBorders>
              <w:top w:val="single" w:sz="4" w:space="0" w:color="E02628"/>
              <w:left w:val="nil"/>
              <w:bottom w:val="single" w:sz="4" w:space="0" w:color="E02628"/>
              <w:right w:val="single" w:sz="4" w:space="0" w:color="E0301E" w:themeColor="accent6"/>
            </w:tcBorders>
            <w:shd w:val="clear" w:color="auto" w:fill="FFFFFF"/>
            <w:hideMark/>
          </w:tcPr>
          <w:p w14:paraId="1FBD03C4" w14:textId="77777777" w:rsidR="005463FC" w:rsidRDefault="005463FC" w:rsidP="005463FC">
            <w:pPr>
              <w:pStyle w:val="TableTextSmall"/>
              <w:keepNext/>
              <w:keepLines/>
              <w:jc w:val="center"/>
            </w:pPr>
            <w:r>
              <w:t>79</w:t>
            </w:r>
          </w:p>
        </w:tc>
        <w:tc>
          <w:tcPr>
            <w:tcW w:w="907" w:type="dxa"/>
            <w:tcBorders>
              <w:top w:val="single" w:sz="4" w:space="0" w:color="E02628"/>
              <w:left w:val="single" w:sz="4" w:space="0" w:color="E0301E" w:themeColor="accent6"/>
              <w:bottom w:val="single" w:sz="4" w:space="0" w:color="E02628"/>
              <w:right w:val="nil"/>
            </w:tcBorders>
            <w:shd w:val="clear" w:color="auto" w:fill="FFFFFF"/>
            <w:noWrap/>
            <w:hideMark/>
          </w:tcPr>
          <w:p w14:paraId="314640AF" w14:textId="77777777" w:rsidR="005463FC" w:rsidRDefault="005463FC" w:rsidP="005463FC">
            <w:pPr>
              <w:pStyle w:val="TableTextSmall"/>
              <w:keepNext/>
              <w:keepLines/>
              <w:jc w:val="center"/>
            </w:pPr>
            <w:r>
              <w:t>-3</w:t>
            </w:r>
          </w:p>
        </w:tc>
        <w:tc>
          <w:tcPr>
            <w:tcW w:w="1020" w:type="dxa"/>
            <w:tcBorders>
              <w:top w:val="single" w:sz="4" w:space="0" w:color="E02628"/>
              <w:left w:val="nil"/>
              <w:bottom w:val="single" w:sz="4" w:space="0" w:color="E02628"/>
              <w:right w:val="single" w:sz="4" w:space="0" w:color="E0301E" w:themeColor="accent6"/>
            </w:tcBorders>
            <w:shd w:val="clear" w:color="auto" w:fill="FFFFFF"/>
            <w:noWrap/>
            <w:hideMark/>
          </w:tcPr>
          <w:p w14:paraId="6F2C422D" w14:textId="77777777" w:rsidR="005463FC" w:rsidRDefault="005463FC" w:rsidP="005463FC">
            <w:pPr>
              <w:pStyle w:val="TableTextSmall"/>
              <w:keepNext/>
              <w:keepLines/>
              <w:jc w:val="center"/>
            </w:pPr>
            <w:r>
              <w:t>-3.7%</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0FF3B8EE" w14:textId="77777777" w:rsidR="005463FC" w:rsidRDefault="005463FC" w:rsidP="005463FC">
            <w:pPr>
              <w:pStyle w:val="TableTextSmall"/>
              <w:keepNext/>
              <w:keepLines/>
              <w:jc w:val="center"/>
            </w:pPr>
            <w:r>
              <w:t>-4.8%</w:t>
            </w:r>
          </w:p>
        </w:tc>
        <w:tc>
          <w:tcPr>
            <w:tcW w:w="1247" w:type="dxa"/>
            <w:tcBorders>
              <w:top w:val="single" w:sz="4" w:space="0" w:color="E02628"/>
              <w:left w:val="single" w:sz="4" w:space="0" w:color="E0301E" w:themeColor="accent6"/>
              <w:bottom w:val="single" w:sz="4" w:space="0" w:color="E02628"/>
              <w:right w:val="nil"/>
            </w:tcBorders>
            <w:shd w:val="clear" w:color="auto" w:fill="FFFFFF"/>
            <w:hideMark/>
          </w:tcPr>
          <w:p w14:paraId="140A2A40" w14:textId="77777777" w:rsidR="005463FC" w:rsidRDefault="005463FC" w:rsidP="005463FC">
            <w:pPr>
              <w:pStyle w:val="TableTextSmall"/>
              <w:keepNext/>
              <w:keepLines/>
              <w:jc w:val="center"/>
            </w:pPr>
            <w:r>
              <w:t>+1.1%</w:t>
            </w:r>
          </w:p>
        </w:tc>
        <w:tc>
          <w:tcPr>
            <w:tcW w:w="1247" w:type="dxa"/>
            <w:tcBorders>
              <w:top w:val="single" w:sz="4" w:space="0" w:color="E02628"/>
              <w:left w:val="nil"/>
              <w:bottom w:val="single" w:sz="4" w:space="0" w:color="E02628"/>
              <w:right w:val="nil"/>
            </w:tcBorders>
            <w:shd w:val="clear" w:color="auto" w:fill="FFFFFF"/>
            <w:hideMark/>
          </w:tcPr>
          <w:p w14:paraId="65039E08" w14:textId="77777777" w:rsidR="005463FC" w:rsidRDefault="005463FC" w:rsidP="005463FC">
            <w:pPr>
              <w:pStyle w:val="TableTextSmall"/>
              <w:keepNext/>
              <w:keepLines/>
              <w:jc w:val="center"/>
            </w:pPr>
            <w:r>
              <w:t>+2</w:t>
            </w:r>
          </w:p>
        </w:tc>
      </w:tr>
      <w:tr w:rsidR="005463FC" w14:paraId="0D71E18C"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66D2E9A7" w14:textId="77777777" w:rsidR="005463FC" w:rsidRDefault="005463FC" w:rsidP="005463FC">
            <w:pPr>
              <w:pStyle w:val="TableTextSmall"/>
              <w:keepNext/>
              <w:keepLines/>
              <w:rPr>
                <w:lang w:eastAsia="en-AU"/>
              </w:rPr>
            </w:pPr>
            <w:r>
              <w:rPr>
                <w:lang w:eastAsia="en-AU"/>
              </w:rPr>
              <w:t>- 2 Working age</w:t>
            </w:r>
          </w:p>
        </w:tc>
        <w:tc>
          <w:tcPr>
            <w:tcW w:w="964" w:type="dxa"/>
            <w:tcBorders>
              <w:top w:val="single" w:sz="4" w:space="0" w:color="E02628"/>
              <w:left w:val="single" w:sz="4" w:space="0" w:color="E0301E" w:themeColor="accent6"/>
              <w:bottom w:val="single" w:sz="4" w:space="0" w:color="E02628"/>
              <w:right w:val="nil"/>
            </w:tcBorders>
            <w:shd w:val="clear" w:color="auto" w:fill="FFFFFF"/>
            <w:hideMark/>
          </w:tcPr>
          <w:p w14:paraId="445AAA12" w14:textId="77777777" w:rsidR="005463FC" w:rsidRDefault="005463FC" w:rsidP="005463FC">
            <w:pPr>
              <w:pStyle w:val="TableTextSmall"/>
              <w:keepNext/>
              <w:keepLines/>
              <w:jc w:val="center"/>
            </w:pPr>
            <w:r>
              <w:t>401</w:t>
            </w:r>
          </w:p>
        </w:tc>
        <w:tc>
          <w:tcPr>
            <w:tcW w:w="964" w:type="dxa"/>
            <w:tcBorders>
              <w:top w:val="single" w:sz="4" w:space="0" w:color="E02628"/>
              <w:left w:val="nil"/>
              <w:bottom w:val="single" w:sz="4" w:space="0" w:color="E02628"/>
              <w:right w:val="single" w:sz="4" w:space="0" w:color="E0301E" w:themeColor="accent6"/>
            </w:tcBorders>
            <w:shd w:val="clear" w:color="auto" w:fill="FFFFFF"/>
            <w:hideMark/>
          </w:tcPr>
          <w:p w14:paraId="653B5EC9" w14:textId="77777777" w:rsidR="005463FC" w:rsidRDefault="005463FC" w:rsidP="005463FC">
            <w:pPr>
              <w:pStyle w:val="TableTextSmall"/>
              <w:keepNext/>
              <w:keepLines/>
              <w:jc w:val="center"/>
            </w:pPr>
            <w:r>
              <w:t>411</w:t>
            </w:r>
          </w:p>
        </w:tc>
        <w:tc>
          <w:tcPr>
            <w:tcW w:w="907" w:type="dxa"/>
            <w:tcBorders>
              <w:top w:val="single" w:sz="4" w:space="0" w:color="E02628"/>
              <w:left w:val="single" w:sz="4" w:space="0" w:color="E0301E" w:themeColor="accent6"/>
              <w:bottom w:val="single" w:sz="4" w:space="0" w:color="E02628"/>
              <w:right w:val="nil"/>
            </w:tcBorders>
            <w:shd w:val="clear" w:color="auto" w:fill="FFFFFF"/>
            <w:noWrap/>
            <w:hideMark/>
          </w:tcPr>
          <w:p w14:paraId="31B03497" w14:textId="77777777" w:rsidR="005463FC" w:rsidRDefault="005463FC" w:rsidP="005463FC">
            <w:pPr>
              <w:pStyle w:val="TableTextSmall"/>
              <w:keepNext/>
              <w:keepLines/>
              <w:jc w:val="center"/>
            </w:pPr>
            <w:r>
              <w:t>+10</w:t>
            </w:r>
          </w:p>
        </w:tc>
        <w:tc>
          <w:tcPr>
            <w:tcW w:w="1020" w:type="dxa"/>
            <w:tcBorders>
              <w:top w:val="single" w:sz="4" w:space="0" w:color="E02628"/>
              <w:left w:val="nil"/>
              <w:bottom w:val="single" w:sz="4" w:space="0" w:color="E02628"/>
              <w:right w:val="single" w:sz="4" w:space="0" w:color="E0301E" w:themeColor="accent6"/>
            </w:tcBorders>
            <w:shd w:val="clear" w:color="auto" w:fill="FFFFFF"/>
            <w:noWrap/>
            <w:hideMark/>
          </w:tcPr>
          <w:p w14:paraId="4FDE4A17" w14:textId="77777777" w:rsidR="005463FC" w:rsidRDefault="005463FC" w:rsidP="005463FC">
            <w:pPr>
              <w:pStyle w:val="TableTextSmall"/>
              <w:keepNext/>
              <w:keepLines/>
              <w:jc w:val="center"/>
            </w:pPr>
            <w:r>
              <w:t>+2.5%</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1DCD27E7" w14:textId="77777777" w:rsidR="005463FC" w:rsidRDefault="005463FC" w:rsidP="005463FC">
            <w:pPr>
              <w:pStyle w:val="TableTextSmall"/>
              <w:keepNext/>
              <w:keepLines/>
              <w:jc w:val="center"/>
            </w:pPr>
            <w:r>
              <w:t>-1.2%</w:t>
            </w:r>
          </w:p>
        </w:tc>
        <w:tc>
          <w:tcPr>
            <w:tcW w:w="1247" w:type="dxa"/>
            <w:tcBorders>
              <w:top w:val="single" w:sz="4" w:space="0" w:color="E02628"/>
              <w:left w:val="single" w:sz="4" w:space="0" w:color="E0301E" w:themeColor="accent6"/>
              <w:bottom w:val="single" w:sz="4" w:space="0" w:color="E02628"/>
              <w:right w:val="nil"/>
            </w:tcBorders>
            <w:shd w:val="clear" w:color="auto" w:fill="FFFFFF"/>
            <w:hideMark/>
          </w:tcPr>
          <w:p w14:paraId="628090B3" w14:textId="77777777" w:rsidR="005463FC" w:rsidRDefault="005463FC" w:rsidP="005463FC">
            <w:pPr>
              <w:pStyle w:val="TableTextSmall"/>
              <w:keepNext/>
              <w:keepLines/>
              <w:jc w:val="center"/>
            </w:pPr>
            <w:r>
              <w:t>+3.7%</w:t>
            </w:r>
          </w:p>
        </w:tc>
        <w:tc>
          <w:tcPr>
            <w:tcW w:w="1247" w:type="dxa"/>
            <w:tcBorders>
              <w:top w:val="single" w:sz="4" w:space="0" w:color="E02628"/>
              <w:left w:val="nil"/>
              <w:bottom w:val="single" w:sz="4" w:space="0" w:color="E02628"/>
              <w:right w:val="nil"/>
            </w:tcBorders>
            <w:shd w:val="clear" w:color="auto" w:fill="FFFFFF"/>
            <w:hideMark/>
          </w:tcPr>
          <w:p w14:paraId="793BFD50" w14:textId="77777777" w:rsidR="005463FC" w:rsidRDefault="005463FC" w:rsidP="005463FC">
            <w:pPr>
              <w:pStyle w:val="TableTextSmall"/>
              <w:keepNext/>
              <w:keepLines/>
              <w:jc w:val="center"/>
            </w:pPr>
            <w:r>
              <w:t>+11</w:t>
            </w:r>
          </w:p>
        </w:tc>
      </w:tr>
      <w:tr w:rsidR="005463FC" w14:paraId="10B4D494"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64E67885" w14:textId="77777777" w:rsidR="005463FC" w:rsidRDefault="005463FC" w:rsidP="005463FC">
            <w:pPr>
              <w:pStyle w:val="TableTextSmall"/>
              <w:keepNext/>
              <w:keepLines/>
              <w:rPr>
                <w:lang w:eastAsia="en-AU"/>
              </w:rPr>
            </w:pPr>
            <w:r>
              <w:rPr>
                <w:lang w:eastAsia="en-AU"/>
              </w:rPr>
              <w:t>- 3 Parenting</w:t>
            </w:r>
          </w:p>
        </w:tc>
        <w:tc>
          <w:tcPr>
            <w:tcW w:w="964" w:type="dxa"/>
            <w:tcBorders>
              <w:top w:val="single" w:sz="4" w:space="0" w:color="E02628"/>
              <w:left w:val="single" w:sz="4" w:space="0" w:color="E0301E" w:themeColor="accent6"/>
              <w:bottom w:val="single" w:sz="4" w:space="0" w:color="E02628"/>
              <w:right w:val="nil"/>
            </w:tcBorders>
            <w:shd w:val="clear" w:color="auto" w:fill="FFFFFF"/>
            <w:hideMark/>
          </w:tcPr>
          <w:p w14:paraId="78AA7D26" w14:textId="77777777" w:rsidR="005463FC" w:rsidRDefault="005463FC" w:rsidP="005463FC">
            <w:pPr>
              <w:pStyle w:val="TableTextSmall"/>
              <w:keepNext/>
              <w:keepLines/>
              <w:jc w:val="center"/>
            </w:pPr>
            <w:r>
              <w:t>207</w:t>
            </w:r>
          </w:p>
        </w:tc>
        <w:tc>
          <w:tcPr>
            <w:tcW w:w="964" w:type="dxa"/>
            <w:tcBorders>
              <w:top w:val="single" w:sz="4" w:space="0" w:color="E02628"/>
              <w:left w:val="nil"/>
              <w:bottom w:val="single" w:sz="4" w:space="0" w:color="E02628"/>
              <w:right w:val="single" w:sz="4" w:space="0" w:color="E0301E" w:themeColor="accent6"/>
            </w:tcBorders>
            <w:shd w:val="clear" w:color="auto" w:fill="FFFFFF"/>
            <w:hideMark/>
          </w:tcPr>
          <w:p w14:paraId="3F901E28" w14:textId="77777777" w:rsidR="005463FC" w:rsidRDefault="005463FC" w:rsidP="005463FC">
            <w:pPr>
              <w:pStyle w:val="TableTextSmall"/>
              <w:keepNext/>
              <w:keepLines/>
              <w:jc w:val="center"/>
            </w:pPr>
            <w:r>
              <w:t>210</w:t>
            </w:r>
          </w:p>
        </w:tc>
        <w:tc>
          <w:tcPr>
            <w:tcW w:w="907" w:type="dxa"/>
            <w:tcBorders>
              <w:top w:val="single" w:sz="4" w:space="0" w:color="E02628"/>
              <w:left w:val="single" w:sz="4" w:space="0" w:color="E0301E" w:themeColor="accent6"/>
              <w:bottom w:val="single" w:sz="4" w:space="0" w:color="E02628"/>
              <w:right w:val="nil"/>
            </w:tcBorders>
            <w:shd w:val="clear" w:color="auto" w:fill="FFFFFF"/>
            <w:noWrap/>
            <w:hideMark/>
          </w:tcPr>
          <w:p w14:paraId="16E1A80B" w14:textId="77777777" w:rsidR="005463FC" w:rsidRDefault="005463FC" w:rsidP="005463FC">
            <w:pPr>
              <w:pStyle w:val="TableTextSmall"/>
              <w:keepNext/>
              <w:keepLines/>
              <w:jc w:val="center"/>
            </w:pPr>
            <w:r>
              <w:t>+3</w:t>
            </w:r>
          </w:p>
        </w:tc>
        <w:tc>
          <w:tcPr>
            <w:tcW w:w="1020" w:type="dxa"/>
            <w:tcBorders>
              <w:top w:val="single" w:sz="4" w:space="0" w:color="E02628"/>
              <w:left w:val="nil"/>
              <w:bottom w:val="single" w:sz="4" w:space="0" w:color="E02628"/>
              <w:right w:val="single" w:sz="4" w:space="0" w:color="E0301E" w:themeColor="accent6"/>
            </w:tcBorders>
            <w:shd w:val="clear" w:color="auto" w:fill="FFFFFF"/>
            <w:noWrap/>
            <w:hideMark/>
          </w:tcPr>
          <w:p w14:paraId="69F87AB8" w14:textId="77777777" w:rsidR="005463FC" w:rsidRDefault="005463FC" w:rsidP="005463FC">
            <w:pPr>
              <w:pStyle w:val="TableTextSmall"/>
              <w:keepNext/>
              <w:keepLines/>
              <w:jc w:val="center"/>
            </w:pPr>
            <w:r>
              <w:t>+1.3%</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7C88E50B" w14:textId="77777777" w:rsidR="005463FC" w:rsidRDefault="005463FC" w:rsidP="005463FC">
            <w:pPr>
              <w:pStyle w:val="TableTextSmall"/>
              <w:keepNext/>
              <w:keepLines/>
              <w:jc w:val="center"/>
            </w:pPr>
            <w:r>
              <w:t>-0.9%</w:t>
            </w:r>
          </w:p>
        </w:tc>
        <w:tc>
          <w:tcPr>
            <w:tcW w:w="1247" w:type="dxa"/>
            <w:tcBorders>
              <w:top w:val="single" w:sz="4" w:space="0" w:color="E02628"/>
              <w:left w:val="single" w:sz="4" w:space="0" w:color="E0301E" w:themeColor="accent6"/>
              <w:bottom w:val="single" w:sz="4" w:space="0" w:color="E02628"/>
              <w:right w:val="nil"/>
            </w:tcBorders>
            <w:shd w:val="clear" w:color="auto" w:fill="FFFFFF"/>
            <w:hideMark/>
          </w:tcPr>
          <w:p w14:paraId="2AC7CF08" w14:textId="77777777" w:rsidR="005463FC" w:rsidRDefault="005463FC" w:rsidP="005463FC">
            <w:pPr>
              <w:pStyle w:val="TableTextSmall"/>
              <w:keepNext/>
              <w:keepLines/>
              <w:jc w:val="center"/>
            </w:pPr>
            <w:r>
              <w:t>+2.2%</w:t>
            </w:r>
          </w:p>
        </w:tc>
        <w:tc>
          <w:tcPr>
            <w:tcW w:w="1247" w:type="dxa"/>
            <w:tcBorders>
              <w:top w:val="single" w:sz="4" w:space="0" w:color="E02628"/>
              <w:left w:val="nil"/>
              <w:bottom w:val="single" w:sz="4" w:space="0" w:color="E02628"/>
              <w:right w:val="nil"/>
            </w:tcBorders>
            <w:shd w:val="clear" w:color="auto" w:fill="FFFFFF"/>
            <w:hideMark/>
          </w:tcPr>
          <w:p w14:paraId="4E5E3F72" w14:textId="77777777" w:rsidR="005463FC" w:rsidRDefault="005463FC" w:rsidP="005463FC">
            <w:pPr>
              <w:pStyle w:val="TableTextSmall"/>
              <w:keepNext/>
              <w:keepLines/>
              <w:jc w:val="center"/>
            </w:pPr>
            <w:r>
              <w:t>+11</w:t>
            </w:r>
          </w:p>
        </w:tc>
      </w:tr>
      <w:tr w:rsidR="005463FC" w14:paraId="05CE9C10"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044BF548" w14:textId="77777777" w:rsidR="005463FC" w:rsidRDefault="005463FC" w:rsidP="005463FC">
            <w:pPr>
              <w:pStyle w:val="TableTextSmall"/>
              <w:keepNext/>
              <w:keepLines/>
              <w:rPr>
                <w:lang w:eastAsia="en-AU"/>
              </w:rPr>
            </w:pPr>
            <w:r>
              <w:rPr>
                <w:lang w:eastAsia="en-AU"/>
              </w:rPr>
              <w:t>- 4 Carers</w:t>
            </w:r>
          </w:p>
        </w:tc>
        <w:tc>
          <w:tcPr>
            <w:tcW w:w="964" w:type="dxa"/>
            <w:tcBorders>
              <w:top w:val="single" w:sz="4" w:space="0" w:color="E02628"/>
              <w:left w:val="single" w:sz="4" w:space="0" w:color="E0301E" w:themeColor="accent6"/>
              <w:bottom w:val="single" w:sz="4" w:space="0" w:color="E02628"/>
              <w:right w:val="nil"/>
            </w:tcBorders>
            <w:shd w:val="clear" w:color="auto" w:fill="FFFFFF"/>
            <w:hideMark/>
          </w:tcPr>
          <w:p w14:paraId="710D7184" w14:textId="77777777" w:rsidR="005463FC" w:rsidRDefault="005463FC" w:rsidP="005463FC">
            <w:pPr>
              <w:pStyle w:val="TableTextSmall"/>
              <w:keepNext/>
              <w:keepLines/>
              <w:jc w:val="center"/>
            </w:pPr>
            <w:r>
              <w:t>119</w:t>
            </w:r>
          </w:p>
        </w:tc>
        <w:tc>
          <w:tcPr>
            <w:tcW w:w="964" w:type="dxa"/>
            <w:tcBorders>
              <w:top w:val="single" w:sz="4" w:space="0" w:color="E02628"/>
              <w:left w:val="nil"/>
              <w:bottom w:val="single" w:sz="4" w:space="0" w:color="E02628"/>
              <w:right w:val="single" w:sz="4" w:space="0" w:color="E0301E" w:themeColor="accent6"/>
            </w:tcBorders>
            <w:shd w:val="clear" w:color="auto" w:fill="FFFFFF"/>
            <w:hideMark/>
          </w:tcPr>
          <w:p w14:paraId="2BC8D528" w14:textId="77777777" w:rsidR="005463FC" w:rsidRDefault="005463FC" w:rsidP="005463FC">
            <w:pPr>
              <w:pStyle w:val="TableTextSmall"/>
              <w:keepNext/>
              <w:keepLines/>
              <w:jc w:val="center"/>
            </w:pPr>
            <w:r>
              <w:t>125</w:t>
            </w:r>
          </w:p>
        </w:tc>
        <w:tc>
          <w:tcPr>
            <w:tcW w:w="907" w:type="dxa"/>
            <w:tcBorders>
              <w:top w:val="single" w:sz="4" w:space="0" w:color="E02628"/>
              <w:left w:val="single" w:sz="4" w:space="0" w:color="E0301E" w:themeColor="accent6"/>
              <w:bottom w:val="single" w:sz="4" w:space="0" w:color="E02628"/>
              <w:right w:val="nil"/>
            </w:tcBorders>
            <w:shd w:val="clear" w:color="auto" w:fill="FFFFFF"/>
            <w:noWrap/>
            <w:hideMark/>
          </w:tcPr>
          <w:p w14:paraId="52A63147" w14:textId="77777777" w:rsidR="005463FC" w:rsidRDefault="005463FC" w:rsidP="005463FC">
            <w:pPr>
              <w:pStyle w:val="TableTextSmall"/>
              <w:keepNext/>
              <w:keepLines/>
              <w:jc w:val="center"/>
            </w:pPr>
            <w:r>
              <w:t>+6</w:t>
            </w:r>
          </w:p>
        </w:tc>
        <w:tc>
          <w:tcPr>
            <w:tcW w:w="1020" w:type="dxa"/>
            <w:tcBorders>
              <w:top w:val="single" w:sz="4" w:space="0" w:color="E02628"/>
              <w:left w:val="nil"/>
              <w:bottom w:val="single" w:sz="4" w:space="0" w:color="E02628"/>
              <w:right w:val="single" w:sz="4" w:space="0" w:color="E0301E" w:themeColor="accent6"/>
            </w:tcBorders>
            <w:shd w:val="clear" w:color="auto" w:fill="FFFFFF"/>
            <w:noWrap/>
            <w:hideMark/>
          </w:tcPr>
          <w:p w14:paraId="4CBD5126" w14:textId="77777777" w:rsidR="005463FC" w:rsidRDefault="005463FC" w:rsidP="005463FC">
            <w:pPr>
              <w:pStyle w:val="TableTextSmall"/>
              <w:keepNext/>
              <w:keepLines/>
              <w:jc w:val="center"/>
            </w:pPr>
            <w:r>
              <w:t>+4.7%</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15DF0F46" w14:textId="77777777" w:rsidR="005463FC" w:rsidRDefault="005463FC" w:rsidP="005463FC">
            <w:pPr>
              <w:pStyle w:val="TableTextSmall"/>
              <w:keepNext/>
              <w:keepLines/>
              <w:jc w:val="center"/>
            </w:pPr>
            <w:r>
              <w:t>+2.1%</w:t>
            </w:r>
          </w:p>
        </w:tc>
        <w:tc>
          <w:tcPr>
            <w:tcW w:w="1247" w:type="dxa"/>
            <w:tcBorders>
              <w:top w:val="single" w:sz="4" w:space="0" w:color="E02628"/>
              <w:left w:val="single" w:sz="4" w:space="0" w:color="E0301E" w:themeColor="accent6"/>
              <w:bottom w:val="single" w:sz="4" w:space="0" w:color="E02628"/>
              <w:right w:val="nil"/>
            </w:tcBorders>
            <w:shd w:val="clear" w:color="auto" w:fill="FFFFFF"/>
            <w:hideMark/>
          </w:tcPr>
          <w:p w14:paraId="2959BC8F" w14:textId="77777777" w:rsidR="005463FC" w:rsidRDefault="005463FC" w:rsidP="005463FC">
            <w:pPr>
              <w:pStyle w:val="TableTextSmall"/>
              <w:keepNext/>
              <w:keepLines/>
              <w:jc w:val="center"/>
            </w:pPr>
            <w:r>
              <w:t>+2.6%</w:t>
            </w:r>
          </w:p>
        </w:tc>
        <w:tc>
          <w:tcPr>
            <w:tcW w:w="1247" w:type="dxa"/>
            <w:tcBorders>
              <w:top w:val="single" w:sz="4" w:space="0" w:color="E02628"/>
              <w:left w:val="nil"/>
              <w:bottom w:val="single" w:sz="4" w:space="0" w:color="E02628"/>
              <w:right w:val="nil"/>
            </w:tcBorders>
            <w:shd w:val="clear" w:color="auto" w:fill="FFFFFF"/>
            <w:hideMark/>
          </w:tcPr>
          <w:p w14:paraId="72A38267" w14:textId="77777777" w:rsidR="005463FC" w:rsidRDefault="005463FC" w:rsidP="005463FC">
            <w:pPr>
              <w:pStyle w:val="TableTextSmall"/>
              <w:keepNext/>
              <w:keepLines/>
              <w:jc w:val="center"/>
            </w:pPr>
            <w:r>
              <w:t>+11</w:t>
            </w:r>
          </w:p>
        </w:tc>
      </w:tr>
      <w:tr w:rsidR="005463FC" w14:paraId="7724C8DB"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6245C1FD" w14:textId="77777777" w:rsidR="005463FC" w:rsidRDefault="005463FC" w:rsidP="005463FC">
            <w:pPr>
              <w:pStyle w:val="TableTextSmall"/>
              <w:keepNext/>
              <w:keepLines/>
              <w:rPr>
                <w:lang w:eastAsia="en-AU"/>
              </w:rPr>
            </w:pPr>
            <w:r>
              <w:rPr>
                <w:lang w:eastAsia="en-AU"/>
              </w:rPr>
              <w:t>- 5 Disability Support</w:t>
            </w:r>
          </w:p>
        </w:tc>
        <w:tc>
          <w:tcPr>
            <w:tcW w:w="964" w:type="dxa"/>
            <w:tcBorders>
              <w:top w:val="single" w:sz="4" w:space="0" w:color="E02628"/>
              <w:left w:val="single" w:sz="4" w:space="0" w:color="E0301E" w:themeColor="accent6"/>
              <w:bottom w:val="single" w:sz="4" w:space="0" w:color="E02628"/>
              <w:right w:val="nil"/>
            </w:tcBorders>
            <w:shd w:val="clear" w:color="auto" w:fill="FFFFFF"/>
            <w:hideMark/>
          </w:tcPr>
          <w:p w14:paraId="292FFF3F" w14:textId="77777777" w:rsidR="005463FC" w:rsidRDefault="005463FC" w:rsidP="005463FC">
            <w:pPr>
              <w:pStyle w:val="TableTextSmall"/>
              <w:keepNext/>
              <w:keepLines/>
              <w:jc w:val="center"/>
            </w:pPr>
            <w:r>
              <w:t>352</w:t>
            </w:r>
          </w:p>
        </w:tc>
        <w:tc>
          <w:tcPr>
            <w:tcW w:w="964" w:type="dxa"/>
            <w:tcBorders>
              <w:top w:val="single" w:sz="4" w:space="0" w:color="E02628"/>
              <w:left w:val="nil"/>
              <w:bottom w:val="single" w:sz="4" w:space="0" w:color="E02628"/>
              <w:right w:val="single" w:sz="4" w:space="0" w:color="E0301E" w:themeColor="accent6"/>
            </w:tcBorders>
            <w:shd w:val="clear" w:color="auto" w:fill="FFFFFF"/>
            <w:hideMark/>
          </w:tcPr>
          <w:p w14:paraId="315FE2CA" w14:textId="77777777" w:rsidR="005463FC" w:rsidRDefault="005463FC" w:rsidP="005463FC">
            <w:pPr>
              <w:pStyle w:val="TableTextSmall"/>
              <w:keepNext/>
              <w:keepLines/>
              <w:jc w:val="center"/>
            </w:pPr>
            <w:r>
              <w:t>351</w:t>
            </w:r>
          </w:p>
        </w:tc>
        <w:tc>
          <w:tcPr>
            <w:tcW w:w="907" w:type="dxa"/>
            <w:tcBorders>
              <w:top w:val="single" w:sz="4" w:space="0" w:color="E02628"/>
              <w:left w:val="single" w:sz="4" w:space="0" w:color="E0301E" w:themeColor="accent6"/>
              <w:bottom w:val="single" w:sz="4" w:space="0" w:color="E02628"/>
              <w:right w:val="nil"/>
            </w:tcBorders>
            <w:shd w:val="clear" w:color="auto" w:fill="FFFFFF"/>
            <w:noWrap/>
            <w:hideMark/>
          </w:tcPr>
          <w:p w14:paraId="468C1D20" w14:textId="77777777" w:rsidR="005463FC" w:rsidRDefault="005463FC" w:rsidP="005463FC">
            <w:pPr>
              <w:pStyle w:val="TableTextSmall"/>
              <w:keepNext/>
              <w:keepLines/>
              <w:jc w:val="center"/>
            </w:pPr>
            <w:r>
              <w:t>-1</w:t>
            </w:r>
          </w:p>
        </w:tc>
        <w:tc>
          <w:tcPr>
            <w:tcW w:w="1020" w:type="dxa"/>
            <w:tcBorders>
              <w:top w:val="single" w:sz="4" w:space="0" w:color="E02628"/>
              <w:left w:val="nil"/>
              <w:bottom w:val="single" w:sz="4" w:space="0" w:color="E02628"/>
              <w:right w:val="single" w:sz="4" w:space="0" w:color="E0301E" w:themeColor="accent6"/>
            </w:tcBorders>
            <w:shd w:val="clear" w:color="auto" w:fill="FFFFFF"/>
            <w:noWrap/>
            <w:hideMark/>
          </w:tcPr>
          <w:p w14:paraId="084621E1" w14:textId="77777777" w:rsidR="005463FC" w:rsidRDefault="005463FC" w:rsidP="005463FC">
            <w:pPr>
              <w:pStyle w:val="TableTextSmall"/>
              <w:keepNext/>
              <w:keepLines/>
              <w:jc w:val="center"/>
            </w:pPr>
            <w:r>
              <w:t>-0.2%</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058E72A2" w14:textId="77777777" w:rsidR="005463FC" w:rsidRDefault="005463FC" w:rsidP="005463FC">
            <w:pPr>
              <w:pStyle w:val="TableTextSmall"/>
              <w:keepNext/>
              <w:keepLines/>
              <w:jc w:val="center"/>
            </w:pPr>
            <w:r>
              <w:t>-2.8%</w:t>
            </w:r>
          </w:p>
        </w:tc>
        <w:tc>
          <w:tcPr>
            <w:tcW w:w="1247" w:type="dxa"/>
            <w:tcBorders>
              <w:top w:val="single" w:sz="4" w:space="0" w:color="E02628"/>
              <w:left w:val="single" w:sz="4" w:space="0" w:color="E0301E" w:themeColor="accent6"/>
              <w:bottom w:val="single" w:sz="4" w:space="0" w:color="E02628"/>
              <w:right w:val="nil"/>
            </w:tcBorders>
            <w:shd w:val="clear" w:color="auto" w:fill="FFFFFF"/>
            <w:hideMark/>
          </w:tcPr>
          <w:p w14:paraId="44D065AD" w14:textId="77777777" w:rsidR="005463FC" w:rsidRDefault="005463FC" w:rsidP="005463FC">
            <w:pPr>
              <w:pStyle w:val="TableTextSmall"/>
              <w:keepNext/>
              <w:keepLines/>
              <w:jc w:val="center"/>
            </w:pPr>
            <w:r>
              <w:t>+2.6%</w:t>
            </w:r>
          </w:p>
        </w:tc>
        <w:tc>
          <w:tcPr>
            <w:tcW w:w="1247" w:type="dxa"/>
            <w:tcBorders>
              <w:top w:val="single" w:sz="4" w:space="0" w:color="E02628"/>
              <w:left w:val="nil"/>
              <w:bottom w:val="single" w:sz="4" w:space="0" w:color="E02628"/>
              <w:right w:val="nil"/>
            </w:tcBorders>
            <w:shd w:val="clear" w:color="auto" w:fill="FFFFFF"/>
            <w:hideMark/>
          </w:tcPr>
          <w:p w14:paraId="09D979DD" w14:textId="77777777" w:rsidR="005463FC" w:rsidRDefault="005463FC" w:rsidP="005463FC">
            <w:pPr>
              <w:pStyle w:val="TableTextSmall"/>
              <w:keepNext/>
              <w:keepLines/>
              <w:jc w:val="center"/>
            </w:pPr>
            <w:r>
              <w:t>+12</w:t>
            </w:r>
          </w:p>
        </w:tc>
      </w:tr>
      <w:tr w:rsidR="005463FC" w14:paraId="3AE1E10D"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593A74E4" w14:textId="77777777" w:rsidR="005463FC" w:rsidRDefault="005463FC" w:rsidP="005463FC">
            <w:pPr>
              <w:pStyle w:val="TableTextSmall"/>
              <w:keepNext/>
              <w:keepLines/>
              <w:rPr>
                <w:lang w:eastAsia="en-AU"/>
              </w:rPr>
            </w:pPr>
            <w:r>
              <w:rPr>
                <w:lang w:eastAsia="en-AU"/>
              </w:rPr>
              <w:t>- 6 Pension Age</w:t>
            </w:r>
          </w:p>
        </w:tc>
        <w:tc>
          <w:tcPr>
            <w:tcW w:w="964" w:type="dxa"/>
            <w:tcBorders>
              <w:top w:val="single" w:sz="4" w:space="0" w:color="E02628"/>
              <w:left w:val="single" w:sz="4" w:space="0" w:color="E0301E" w:themeColor="accent6"/>
              <w:bottom w:val="single" w:sz="4" w:space="0" w:color="E02628"/>
              <w:right w:val="nil"/>
            </w:tcBorders>
            <w:shd w:val="clear" w:color="auto" w:fill="FFFFFF"/>
            <w:hideMark/>
          </w:tcPr>
          <w:p w14:paraId="32A32812" w14:textId="77777777" w:rsidR="005463FC" w:rsidRDefault="005463FC" w:rsidP="005463FC">
            <w:pPr>
              <w:pStyle w:val="TableTextSmall"/>
              <w:keepNext/>
              <w:keepLines/>
              <w:jc w:val="center"/>
            </w:pPr>
            <w:r>
              <w:t>518</w:t>
            </w:r>
          </w:p>
        </w:tc>
        <w:tc>
          <w:tcPr>
            <w:tcW w:w="964" w:type="dxa"/>
            <w:tcBorders>
              <w:top w:val="single" w:sz="4" w:space="0" w:color="E02628"/>
              <w:left w:val="nil"/>
              <w:bottom w:val="single" w:sz="4" w:space="0" w:color="E02628"/>
              <w:right w:val="single" w:sz="4" w:space="0" w:color="E0301E" w:themeColor="accent6"/>
            </w:tcBorders>
            <w:shd w:val="clear" w:color="auto" w:fill="FFFFFF"/>
            <w:hideMark/>
          </w:tcPr>
          <w:p w14:paraId="3844FAD4" w14:textId="77777777" w:rsidR="005463FC" w:rsidRDefault="005463FC" w:rsidP="005463FC">
            <w:pPr>
              <w:pStyle w:val="TableTextSmall"/>
              <w:keepNext/>
              <w:keepLines/>
              <w:jc w:val="center"/>
            </w:pPr>
            <w:r>
              <w:t>542</w:t>
            </w:r>
          </w:p>
        </w:tc>
        <w:tc>
          <w:tcPr>
            <w:tcW w:w="907" w:type="dxa"/>
            <w:tcBorders>
              <w:top w:val="single" w:sz="4" w:space="0" w:color="E02628"/>
              <w:left w:val="single" w:sz="4" w:space="0" w:color="E0301E" w:themeColor="accent6"/>
              <w:bottom w:val="single" w:sz="4" w:space="0" w:color="E02628"/>
              <w:right w:val="nil"/>
            </w:tcBorders>
            <w:shd w:val="clear" w:color="auto" w:fill="FFFFFF"/>
            <w:noWrap/>
            <w:hideMark/>
          </w:tcPr>
          <w:p w14:paraId="49576B03" w14:textId="77777777" w:rsidR="005463FC" w:rsidRDefault="005463FC" w:rsidP="005463FC">
            <w:pPr>
              <w:pStyle w:val="TableTextSmall"/>
              <w:keepNext/>
              <w:keepLines/>
              <w:jc w:val="center"/>
            </w:pPr>
            <w:r>
              <w:t>+24</w:t>
            </w:r>
          </w:p>
        </w:tc>
        <w:tc>
          <w:tcPr>
            <w:tcW w:w="1020" w:type="dxa"/>
            <w:tcBorders>
              <w:top w:val="single" w:sz="4" w:space="0" w:color="E02628"/>
              <w:left w:val="nil"/>
              <w:bottom w:val="single" w:sz="4" w:space="0" w:color="E02628"/>
              <w:right w:val="single" w:sz="4" w:space="0" w:color="E0301E" w:themeColor="accent6"/>
            </w:tcBorders>
            <w:shd w:val="clear" w:color="auto" w:fill="FFFFFF"/>
            <w:noWrap/>
            <w:hideMark/>
          </w:tcPr>
          <w:p w14:paraId="39B11D52" w14:textId="77777777" w:rsidR="005463FC" w:rsidRDefault="005463FC" w:rsidP="005463FC">
            <w:pPr>
              <w:pStyle w:val="TableTextSmall"/>
              <w:keepNext/>
              <w:keepLines/>
              <w:jc w:val="center"/>
            </w:pPr>
            <w:r>
              <w:t>+4.6%</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5ABE945A" w14:textId="77777777" w:rsidR="005463FC" w:rsidRDefault="005463FC" w:rsidP="005463FC">
            <w:pPr>
              <w:pStyle w:val="TableTextSmall"/>
              <w:keepNext/>
              <w:keepLines/>
              <w:jc w:val="center"/>
            </w:pPr>
            <w:r>
              <w:t>+1.7%</w:t>
            </w:r>
          </w:p>
        </w:tc>
        <w:tc>
          <w:tcPr>
            <w:tcW w:w="1247" w:type="dxa"/>
            <w:tcBorders>
              <w:top w:val="single" w:sz="4" w:space="0" w:color="E02628"/>
              <w:left w:val="single" w:sz="4" w:space="0" w:color="E0301E" w:themeColor="accent6"/>
              <w:bottom w:val="single" w:sz="4" w:space="0" w:color="E02628"/>
              <w:right w:val="nil"/>
            </w:tcBorders>
            <w:shd w:val="clear" w:color="auto" w:fill="FFFFFF"/>
            <w:hideMark/>
          </w:tcPr>
          <w:p w14:paraId="5C4E180F" w14:textId="77777777" w:rsidR="005463FC" w:rsidRDefault="005463FC" w:rsidP="005463FC">
            <w:pPr>
              <w:pStyle w:val="TableTextSmall"/>
              <w:keepNext/>
              <w:keepLines/>
              <w:jc w:val="center"/>
            </w:pPr>
            <w:r>
              <w:t>+2.8%</w:t>
            </w:r>
          </w:p>
        </w:tc>
        <w:tc>
          <w:tcPr>
            <w:tcW w:w="1247" w:type="dxa"/>
            <w:tcBorders>
              <w:top w:val="single" w:sz="4" w:space="0" w:color="E02628"/>
              <w:left w:val="nil"/>
              <w:bottom w:val="single" w:sz="4" w:space="0" w:color="E02628"/>
              <w:right w:val="nil"/>
            </w:tcBorders>
            <w:shd w:val="clear" w:color="auto" w:fill="FFFFFF"/>
            <w:hideMark/>
          </w:tcPr>
          <w:p w14:paraId="3AFDEFB6" w14:textId="77777777" w:rsidR="005463FC" w:rsidRDefault="005463FC" w:rsidP="005463FC">
            <w:pPr>
              <w:pStyle w:val="TableTextSmall"/>
              <w:keepNext/>
              <w:keepLines/>
              <w:jc w:val="center"/>
            </w:pPr>
            <w:r>
              <w:t>+6</w:t>
            </w:r>
          </w:p>
        </w:tc>
      </w:tr>
      <w:tr w:rsidR="005463FC" w14:paraId="1A328B55"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06837197" w14:textId="77777777" w:rsidR="005463FC" w:rsidRDefault="005463FC" w:rsidP="005463FC">
            <w:pPr>
              <w:pStyle w:val="TableTextSmall"/>
              <w:keepNext/>
              <w:keepLines/>
              <w:rPr>
                <w:lang w:eastAsia="en-AU"/>
              </w:rPr>
            </w:pPr>
            <w:r>
              <w:rPr>
                <w:lang w:eastAsia="en-AU"/>
              </w:rPr>
              <w:t>- 7 Non IS Family</w:t>
            </w:r>
          </w:p>
        </w:tc>
        <w:tc>
          <w:tcPr>
            <w:tcW w:w="964" w:type="dxa"/>
            <w:tcBorders>
              <w:top w:val="single" w:sz="4" w:space="0" w:color="E02628"/>
              <w:left w:val="single" w:sz="4" w:space="0" w:color="E0301E" w:themeColor="accent6"/>
              <w:bottom w:val="single" w:sz="4" w:space="0" w:color="E02628"/>
              <w:right w:val="nil"/>
            </w:tcBorders>
            <w:shd w:val="clear" w:color="auto" w:fill="FFFFFF"/>
            <w:hideMark/>
          </w:tcPr>
          <w:p w14:paraId="7BA9545E" w14:textId="77777777" w:rsidR="005463FC" w:rsidRDefault="005463FC" w:rsidP="005463FC">
            <w:pPr>
              <w:pStyle w:val="TableTextSmall"/>
              <w:keepNext/>
              <w:keepLines/>
              <w:jc w:val="center"/>
            </w:pPr>
            <w:r>
              <w:t>301</w:t>
            </w:r>
          </w:p>
        </w:tc>
        <w:tc>
          <w:tcPr>
            <w:tcW w:w="964" w:type="dxa"/>
            <w:tcBorders>
              <w:top w:val="single" w:sz="4" w:space="0" w:color="E02628"/>
              <w:left w:val="nil"/>
              <w:bottom w:val="single" w:sz="4" w:space="0" w:color="E02628"/>
              <w:right w:val="single" w:sz="4" w:space="0" w:color="E0301E" w:themeColor="accent6"/>
            </w:tcBorders>
            <w:shd w:val="clear" w:color="auto" w:fill="FFFFFF"/>
            <w:hideMark/>
          </w:tcPr>
          <w:p w14:paraId="2A1681ED" w14:textId="77777777" w:rsidR="005463FC" w:rsidRDefault="005463FC" w:rsidP="005463FC">
            <w:pPr>
              <w:pStyle w:val="TableTextSmall"/>
              <w:keepNext/>
              <w:keepLines/>
              <w:jc w:val="center"/>
            </w:pPr>
            <w:r>
              <w:t>303</w:t>
            </w:r>
          </w:p>
        </w:tc>
        <w:tc>
          <w:tcPr>
            <w:tcW w:w="907" w:type="dxa"/>
            <w:tcBorders>
              <w:top w:val="single" w:sz="4" w:space="0" w:color="E02628"/>
              <w:left w:val="single" w:sz="4" w:space="0" w:color="E0301E" w:themeColor="accent6"/>
              <w:bottom w:val="single" w:sz="4" w:space="0" w:color="E02628"/>
              <w:right w:val="nil"/>
            </w:tcBorders>
            <w:shd w:val="clear" w:color="auto" w:fill="FFFFFF"/>
            <w:noWrap/>
            <w:hideMark/>
          </w:tcPr>
          <w:p w14:paraId="3C832A9A" w14:textId="77777777" w:rsidR="005463FC" w:rsidRDefault="005463FC" w:rsidP="005463FC">
            <w:pPr>
              <w:pStyle w:val="TableTextSmall"/>
              <w:keepNext/>
              <w:keepLines/>
              <w:jc w:val="center"/>
            </w:pPr>
            <w:r>
              <w:t>+2</w:t>
            </w:r>
          </w:p>
        </w:tc>
        <w:tc>
          <w:tcPr>
            <w:tcW w:w="1020" w:type="dxa"/>
            <w:tcBorders>
              <w:top w:val="single" w:sz="4" w:space="0" w:color="E02628"/>
              <w:left w:val="nil"/>
              <w:bottom w:val="single" w:sz="4" w:space="0" w:color="E02628"/>
              <w:right w:val="single" w:sz="4" w:space="0" w:color="E0301E" w:themeColor="accent6"/>
            </w:tcBorders>
            <w:shd w:val="clear" w:color="auto" w:fill="FFFFFF"/>
            <w:noWrap/>
            <w:hideMark/>
          </w:tcPr>
          <w:p w14:paraId="0F06370E" w14:textId="77777777" w:rsidR="005463FC" w:rsidRDefault="005463FC" w:rsidP="005463FC">
            <w:pPr>
              <w:pStyle w:val="TableTextSmall"/>
              <w:keepNext/>
              <w:keepLines/>
              <w:jc w:val="center"/>
            </w:pPr>
            <w:r>
              <w:t>+0.8%</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7C7AD725" w14:textId="77777777" w:rsidR="005463FC" w:rsidRDefault="005463FC" w:rsidP="005463FC">
            <w:pPr>
              <w:pStyle w:val="TableTextSmall"/>
              <w:keepNext/>
              <w:keepLines/>
              <w:jc w:val="center"/>
            </w:pPr>
            <w:r>
              <w:t>-0.6%</w:t>
            </w:r>
          </w:p>
        </w:tc>
        <w:tc>
          <w:tcPr>
            <w:tcW w:w="1247" w:type="dxa"/>
            <w:tcBorders>
              <w:top w:val="single" w:sz="4" w:space="0" w:color="E02628"/>
              <w:left w:val="single" w:sz="4" w:space="0" w:color="E0301E" w:themeColor="accent6"/>
              <w:bottom w:val="single" w:sz="4" w:space="0" w:color="E02628"/>
              <w:right w:val="nil"/>
            </w:tcBorders>
            <w:shd w:val="clear" w:color="auto" w:fill="FFFFFF"/>
            <w:hideMark/>
          </w:tcPr>
          <w:p w14:paraId="0F9C9616" w14:textId="77777777" w:rsidR="005463FC" w:rsidRDefault="005463FC" w:rsidP="005463FC">
            <w:pPr>
              <w:pStyle w:val="TableTextSmall"/>
              <w:keepNext/>
              <w:keepLines/>
              <w:jc w:val="center"/>
            </w:pPr>
            <w:r>
              <w:t>+1.4%</w:t>
            </w:r>
          </w:p>
        </w:tc>
        <w:tc>
          <w:tcPr>
            <w:tcW w:w="1247" w:type="dxa"/>
            <w:tcBorders>
              <w:top w:val="single" w:sz="4" w:space="0" w:color="E02628"/>
              <w:left w:val="nil"/>
              <w:bottom w:val="single" w:sz="4" w:space="0" w:color="E02628"/>
              <w:right w:val="nil"/>
            </w:tcBorders>
            <w:shd w:val="clear" w:color="auto" w:fill="FFFFFF"/>
            <w:hideMark/>
          </w:tcPr>
          <w:p w14:paraId="05369659" w14:textId="77777777" w:rsidR="005463FC" w:rsidRDefault="005463FC" w:rsidP="005463FC">
            <w:pPr>
              <w:pStyle w:val="TableTextSmall"/>
              <w:keepNext/>
              <w:keepLines/>
              <w:jc w:val="center"/>
            </w:pPr>
            <w:r>
              <w:t>+3</w:t>
            </w:r>
          </w:p>
        </w:tc>
      </w:tr>
      <w:tr w:rsidR="005463FC" w14:paraId="56ED173E"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2017FBCC" w14:textId="77777777" w:rsidR="005463FC" w:rsidRDefault="005463FC" w:rsidP="005463FC">
            <w:pPr>
              <w:pStyle w:val="TableTextSmall"/>
              <w:keepNext/>
              <w:keepLines/>
              <w:rPr>
                <w:lang w:eastAsia="en-AU"/>
              </w:rPr>
            </w:pPr>
            <w:r>
              <w:rPr>
                <w:lang w:eastAsia="en-AU"/>
              </w:rPr>
              <w:t>- 8 Non IS Carer</w:t>
            </w:r>
          </w:p>
        </w:tc>
        <w:tc>
          <w:tcPr>
            <w:tcW w:w="964" w:type="dxa"/>
            <w:tcBorders>
              <w:top w:val="single" w:sz="4" w:space="0" w:color="E02628"/>
              <w:left w:val="single" w:sz="4" w:space="0" w:color="E0301E" w:themeColor="accent6"/>
              <w:bottom w:val="single" w:sz="4" w:space="0" w:color="E02628"/>
              <w:right w:val="nil"/>
            </w:tcBorders>
            <w:shd w:val="clear" w:color="auto" w:fill="FFFFFF"/>
            <w:hideMark/>
          </w:tcPr>
          <w:p w14:paraId="53237243" w14:textId="77777777" w:rsidR="005463FC" w:rsidRDefault="005463FC" w:rsidP="005463FC">
            <w:pPr>
              <w:pStyle w:val="TableTextSmall"/>
              <w:keepNext/>
              <w:keepLines/>
              <w:jc w:val="center"/>
            </w:pPr>
            <w:r>
              <w:t>41</w:t>
            </w:r>
          </w:p>
        </w:tc>
        <w:tc>
          <w:tcPr>
            <w:tcW w:w="964" w:type="dxa"/>
            <w:tcBorders>
              <w:top w:val="single" w:sz="4" w:space="0" w:color="E02628"/>
              <w:left w:val="nil"/>
              <w:bottom w:val="single" w:sz="4" w:space="0" w:color="E02628"/>
              <w:right w:val="single" w:sz="4" w:space="0" w:color="E0301E" w:themeColor="accent6"/>
            </w:tcBorders>
            <w:shd w:val="clear" w:color="auto" w:fill="FFFFFF"/>
            <w:hideMark/>
          </w:tcPr>
          <w:p w14:paraId="11E3542D" w14:textId="77777777" w:rsidR="005463FC" w:rsidRDefault="005463FC" w:rsidP="005463FC">
            <w:pPr>
              <w:pStyle w:val="TableTextSmall"/>
              <w:keepNext/>
              <w:keepLines/>
              <w:jc w:val="center"/>
            </w:pPr>
            <w:r>
              <w:t>42</w:t>
            </w:r>
          </w:p>
        </w:tc>
        <w:tc>
          <w:tcPr>
            <w:tcW w:w="907" w:type="dxa"/>
            <w:tcBorders>
              <w:top w:val="single" w:sz="4" w:space="0" w:color="E02628"/>
              <w:left w:val="single" w:sz="4" w:space="0" w:color="E0301E" w:themeColor="accent6"/>
              <w:bottom w:val="single" w:sz="4" w:space="0" w:color="E02628"/>
              <w:right w:val="nil"/>
            </w:tcBorders>
            <w:shd w:val="clear" w:color="auto" w:fill="FFFFFF"/>
            <w:noWrap/>
            <w:hideMark/>
          </w:tcPr>
          <w:p w14:paraId="59210209" w14:textId="77777777" w:rsidR="005463FC" w:rsidRDefault="005463FC" w:rsidP="005463FC">
            <w:pPr>
              <w:pStyle w:val="TableTextSmall"/>
              <w:keepNext/>
              <w:keepLines/>
              <w:jc w:val="center"/>
            </w:pPr>
            <w:r>
              <w:t>+1</w:t>
            </w:r>
          </w:p>
        </w:tc>
        <w:tc>
          <w:tcPr>
            <w:tcW w:w="1020" w:type="dxa"/>
            <w:tcBorders>
              <w:top w:val="single" w:sz="4" w:space="0" w:color="E02628"/>
              <w:left w:val="nil"/>
              <w:bottom w:val="single" w:sz="4" w:space="0" w:color="E02628"/>
              <w:right w:val="single" w:sz="4" w:space="0" w:color="E0301E" w:themeColor="accent6"/>
            </w:tcBorders>
            <w:shd w:val="clear" w:color="auto" w:fill="FFFFFF"/>
            <w:noWrap/>
            <w:hideMark/>
          </w:tcPr>
          <w:p w14:paraId="6257FC3E" w14:textId="77777777" w:rsidR="005463FC" w:rsidRDefault="005463FC" w:rsidP="005463FC">
            <w:pPr>
              <w:pStyle w:val="TableTextSmall"/>
              <w:keepNext/>
              <w:keepLines/>
              <w:jc w:val="center"/>
            </w:pPr>
            <w:r>
              <w:t>+1.4%</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6474C2B8" w14:textId="77777777" w:rsidR="005463FC" w:rsidRDefault="005463FC" w:rsidP="005463FC">
            <w:pPr>
              <w:pStyle w:val="TableTextSmall"/>
              <w:keepNext/>
              <w:keepLines/>
              <w:jc w:val="center"/>
            </w:pPr>
            <w:r>
              <w:t>+0.9%</w:t>
            </w:r>
          </w:p>
        </w:tc>
        <w:tc>
          <w:tcPr>
            <w:tcW w:w="1247" w:type="dxa"/>
            <w:tcBorders>
              <w:top w:val="single" w:sz="4" w:space="0" w:color="E02628"/>
              <w:left w:val="single" w:sz="4" w:space="0" w:color="E0301E" w:themeColor="accent6"/>
              <w:bottom w:val="single" w:sz="4" w:space="0" w:color="E02628"/>
              <w:right w:val="nil"/>
            </w:tcBorders>
            <w:shd w:val="clear" w:color="auto" w:fill="FFFFFF"/>
            <w:hideMark/>
          </w:tcPr>
          <w:p w14:paraId="6E5EF1C5" w14:textId="77777777" w:rsidR="005463FC" w:rsidRDefault="005463FC" w:rsidP="005463FC">
            <w:pPr>
              <w:pStyle w:val="TableTextSmall"/>
              <w:keepNext/>
              <w:keepLines/>
              <w:jc w:val="center"/>
            </w:pPr>
            <w:r>
              <w:t>+0.5%</w:t>
            </w:r>
          </w:p>
        </w:tc>
        <w:tc>
          <w:tcPr>
            <w:tcW w:w="1247" w:type="dxa"/>
            <w:tcBorders>
              <w:top w:val="single" w:sz="4" w:space="0" w:color="E02628"/>
              <w:left w:val="nil"/>
              <w:bottom w:val="single" w:sz="4" w:space="0" w:color="E02628"/>
              <w:right w:val="nil"/>
            </w:tcBorders>
            <w:shd w:val="clear" w:color="auto" w:fill="FFFFFF"/>
            <w:hideMark/>
          </w:tcPr>
          <w:p w14:paraId="4B6E061B" w14:textId="77777777" w:rsidR="005463FC" w:rsidRDefault="005463FC" w:rsidP="005463FC">
            <w:pPr>
              <w:pStyle w:val="TableTextSmall"/>
              <w:keepNext/>
              <w:keepLines/>
              <w:jc w:val="center"/>
            </w:pPr>
            <w:r>
              <w:t>+1</w:t>
            </w:r>
          </w:p>
        </w:tc>
      </w:tr>
      <w:tr w:rsidR="005463FC" w14:paraId="2763D38D"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60A192C4" w14:textId="77777777" w:rsidR="005463FC" w:rsidRDefault="005463FC" w:rsidP="005463FC">
            <w:pPr>
              <w:pStyle w:val="TableTextSmall"/>
              <w:keepNext/>
              <w:keepLines/>
              <w:rPr>
                <w:lang w:eastAsia="en-AU"/>
              </w:rPr>
            </w:pPr>
            <w:r>
              <w:rPr>
                <w:lang w:eastAsia="en-AU"/>
              </w:rPr>
              <w:t>- 9 Non IS Other</w:t>
            </w:r>
          </w:p>
        </w:tc>
        <w:tc>
          <w:tcPr>
            <w:tcW w:w="964" w:type="dxa"/>
            <w:tcBorders>
              <w:top w:val="single" w:sz="4" w:space="0" w:color="E02628"/>
              <w:left w:val="single" w:sz="4" w:space="0" w:color="E0301E" w:themeColor="accent6"/>
              <w:bottom w:val="single" w:sz="4" w:space="0" w:color="E02628"/>
              <w:right w:val="nil"/>
            </w:tcBorders>
            <w:shd w:val="clear" w:color="auto" w:fill="FFFFFF"/>
            <w:hideMark/>
          </w:tcPr>
          <w:p w14:paraId="318862F6" w14:textId="77777777" w:rsidR="005463FC" w:rsidRDefault="005463FC" w:rsidP="005463FC">
            <w:pPr>
              <w:pStyle w:val="TableTextSmall"/>
              <w:keepNext/>
              <w:keepLines/>
              <w:jc w:val="center"/>
            </w:pPr>
            <w:r>
              <w:t>74</w:t>
            </w:r>
          </w:p>
        </w:tc>
        <w:tc>
          <w:tcPr>
            <w:tcW w:w="964" w:type="dxa"/>
            <w:tcBorders>
              <w:top w:val="single" w:sz="4" w:space="0" w:color="E02628"/>
              <w:left w:val="nil"/>
              <w:bottom w:val="single" w:sz="4" w:space="0" w:color="E02628"/>
              <w:right w:val="single" w:sz="4" w:space="0" w:color="E0301E" w:themeColor="accent6"/>
            </w:tcBorders>
            <w:shd w:val="clear" w:color="auto" w:fill="FFFFFF"/>
            <w:hideMark/>
          </w:tcPr>
          <w:p w14:paraId="58495793" w14:textId="77777777" w:rsidR="005463FC" w:rsidRDefault="005463FC" w:rsidP="005463FC">
            <w:pPr>
              <w:pStyle w:val="TableTextSmall"/>
              <w:keepNext/>
              <w:keepLines/>
              <w:jc w:val="center"/>
            </w:pPr>
            <w:r>
              <w:t>72</w:t>
            </w:r>
          </w:p>
        </w:tc>
        <w:tc>
          <w:tcPr>
            <w:tcW w:w="907" w:type="dxa"/>
            <w:tcBorders>
              <w:top w:val="single" w:sz="4" w:space="0" w:color="E02628"/>
              <w:left w:val="single" w:sz="4" w:space="0" w:color="E0301E" w:themeColor="accent6"/>
              <w:bottom w:val="single" w:sz="4" w:space="0" w:color="E02628"/>
              <w:right w:val="nil"/>
            </w:tcBorders>
            <w:shd w:val="clear" w:color="auto" w:fill="FFFFFF"/>
            <w:noWrap/>
            <w:hideMark/>
          </w:tcPr>
          <w:p w14:paraId="10B184F0" w14:textId="77777777" w:rsidR="005463FC" w:rsidRDefault="005463FC" w:rsidP="005463FC">
            <w:pPr>
              <w:pStyle w:val="TableTextSmall"/>
              <w:keepNext/>
              <w:keepLines/>
              <w:jc w:val="center"/>
            </w:pPr>
            <w:r>
              <w:t>-2</w:t>
            </w:r>
          </w:p>
        </w:tc>
        <w:tc>
          <w:tcPr>
            <w:tcW w:w="1020" w:type="dxa"/>
            <w:tcBorders>
              <w:top w:val="single" w:sz="4" w:space="0" w:color="E02628"/>
              <w:left w:val="nil"/>
              <w:bottom w:val="single" w:sz="4" w:space="0" w:color="E02628"/>
              <w:right w:val="single" w:sz="4" w:space="0" w:color="E0301E" w:themeColor="accent6"/>
            </w:tcBorders>
            <w:shd w:val="clear" w:color="auto" w:fill="FFFFFF"/>
            <w:noWrap/>
            <w:hideMark/>
          </w:tcPr>
          <w:p w14:paraId="05459933" w14:textId="77777777" w:rsidR="005463FC" w:rsidRDefault="005463FC" w:rsidP="005463FC">
            <w:pPr>
              <w:pStyle w:val="TableTextSmall"/>
              <w:keepNext/>
              <w:keepLines/>
              <w:jc w:val="center"/>
            </w:pPr>
            <w:r>
              <w:t>-3.1%</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5A12DADF" w14:textId="77777777" w:rsidR="005463FC" w:rsidRDefault="005463FC" w:rsidP="005463FC">
            <w:pPr>
              <w:pStyle w:val="TableTextSmall"/>
              <w:keepNext/>
              <w:keepLines/>
              <w:jc w:val="center"/>
            </w:pPr>
            <w:r>
              <w:t>+2.5%</w:t>
            </w:r>
          </w:p>
        </w:tc>
        <w:tc>
          <w:tcPr>
            <w:tcW w:w="1247" w:type="dxa"/>
            <w:tcBorders>
              <w:top w:val="single" w:sz="4" w:space="0" w:color="E02628"/>
              <w:left w:val="single" w:sz="4" w:space="0" w:color="E0301E" w:themeColor="accent6"/>
              <w:bottom w:val="single" w:sz="4" w:space="0" w:color="E02628"/>
              <w:right w:val="nil"/>
            </w:tcBorders>
            <w:shd w:val="clear" w:color="auto" w:fill="FFFFFF"/>
            <w:hideMark/>
          </w:tcPr>
          <w:p w14:paraId="20637056" w14:textId="77777777" w:rsidR="005463FC" w:rsidRDefault="005463FC" w:rsidP="005463FC">
            <w:pPr>
              <w:pStyle w:val="TableTextSmall"/>
              <w:keepNext/>
              <w:keepLines/>
              <w:jc w:val="center"/>
            </w:pPr>
            <w:r>
              <w:t>-5.6%</w:t>
            </w:r>
          </w:p>
        </w:tc>
        <w:tc>
          <w:tcPr>
            <w:tcW w:w="1247" w:type="dxa"/>
            <w:tcBorders>
              <w:top w:val="single" w:sz="4" w:space="0" w:color="E02628"/>
              <w:left w:val="nil"/>
              <w:bottom w:val="single" w:sz="4" w:space="0" w:color="E02628"/>
              <w:right w:val="nil"/>
            </w:tcBorders>
            <w:shd w:val="clear" w:color="auto" w:fill="FFFFFF"/>
            <w:hideMark/>
          </w:tcPr>
          <w:p w14:paraId="21D9461F" w14:textId="77777777" w:rsidR="005463FC" w:rsidRDefault="005463FC" w:rsidP="005463FC">
            <w:pPr>
              <w:pStyle w:val="TableTextSmall"/>
              <w:keepNext/>
              <w:keepLines/>
              <w:jc w:val="center"/>
            </w:pPr>
            <w:r>
              <w:t>-7</w:t>
            </w:r>
          </w:p>
        </w:tc>
      </w:tr>
      <w:tr w:rsidR="005463FC" w14:paraId="55C8DAFF"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F4CACA" w:themeFill="accent5" w:themeFillTint="33"/>
            <w:noWrap/>
            <w:vAlign w:val="center"/>
            <w:hideMark/>
          </w:tcPr>
          <w:p w14:paraId="3BB79C38" w14:textId="77777777" w:rsidR="005463FC" w:rsidRDefault="005463FC" w:rsidP="005463FC">
            <w:pPr>
              <w:pStyle w:val="TableTextSmall"/>
              <w:keepNext/>
              <w:keepLines/>
              <w:rPr>
                <w:i/>
                <w:lang w:eastAsia="en-AU"/>
              </w:rPr>
            </w:pPr>
            <w:r>
              <w:rPr>
                <w:i/>
                <w:lang w:eastAsia="en-AU"/>
              </w:rPr>
              <w:t>Total current welfare recipients</w:t>
            </w:r>
          </w:p>
        </w:tc>
        <w:tc>
          <w:tcPr>
            <w:tcW w:w="964" w:type="dxa"/>
            <w:tcBorders>
              <w:top w:val="single" w:sz="4" w:space="0" w:color="E02628"/>
              <w:left w:val="single" w:sz="4" w:space="0" w:color="E0301E" w:themeColor="accent6"/>
              <w:bottom w:val="single" w:sz="4" w:space="0" w:color="E02628"/>
              <w:right w:val="nil"/>
            </w:tcBorders>
            <w:shd w:val="clear" w:color="auto" w:fill="F4CACA" w:themeFill="accent5" w:themeFillTint="33"/>
            <w:hideMark/>
          </w:tcPr>
          <w:p w14:paraId="0DF0DB93" w14:textId="77777777" w:rsidR="005463FC" w:rsidRDefault="005463FC" w:rsidP="005463FC">
            <w:pPr>
              <w:pStyle w:val="TableTextSmall"/>
              <w:keepNext/>
              <w:keepLines/>
              <w:jc w:val="center"/>
              <w:rPr>
                <w:i/>
              </w:rPr>
            </w:pPr>
            <w:r>
              <w:t>2,095</w:t>
            </w:r>
          </w:p>
        </w:tc>
        <w:tc>
          <w:tcPr>
            <w:tcW w:w="964" w:type="dxa"/>
            <w:tcBorders>
              <w:top w:val="single" w:sz="4" w:space="0" w:color="E02628"/>
              <w:left w:val="nil"/>
              <w:bottom w:val="single" w:sz="4" w:space="0" w:color="E02628"/>
              <w:right w:val="single" w:sz="4" w:space="0" w:color="E0301E" w:themeColor="accent6"/>
            </w:tcBorders>
            <w:shd w:val="clear" w:color="auto" w:fill="F4CACA" w:themeFill="accent5" w:themeFillTint="33"/>
            <w:hideMark/>
          </w:tcPr>
          <w:p w14:paraId="6C2457F6" w14:textId="77777777" w:rsidR="005463FC" w:rsidRDefault="005463FC" w:rsidP="005463FC">
            <w:pPr>
              <w:pStyle w:val="TableTextSmall"/>
              <w:keepNext/>
              <w:keepLines/>
              <w:jc w:val="center"/>
              <w:rPr>
                <w:i/>
              </w:rPr>
            </w:pPr>
            <w:r>
              <w:t>2,134</w:t>
            </w:r>
          </w:p>
        </w:tc>
        <w:tc>
          <w:tcPr>
            <w:tcW w:w="907" w:type="dxa"/>
            <w:tcBorders>
              <w:top w:val="single" w:sz="4" w:space="0" w:color="E02628"/>
              <w:left w:val="single" w:sz="4" w:space="0" w:color="E0301E" w:themeColor="accent6"/>
              <w:bottom w:val="single" w:sz="4" w:space="0" w:color="E02628"/>
              <w:right w:val="nil"/>
            </w:tcBorders>
            <w:shd w:val="clear" w:color="auto" w:fill="F4CACA" w:themeFill="accent5" w:themeFillTint="33"/>
            <w:noWrap/>
            <w:hideMark/>
          </w:tcPr>
          <w:p w14:paraId="494F7619" w14:textId="77777777" w:rsidR="005463FC" w:rsidRDefault="005463FC" w:rsidP="005463FC">
            <w:pPr>
              <w:pStyle w:val="TableTextSmall"/>
              <w:keepNext/>
              <w:keepLines/>
              <w:jc w:val="center"/>
              <w:rPr>
                <w:i/>
              </w:rPr>
            </w:pPr>
            <w:r>
              <w:t>+39</w:t>
            </w:r>
          </w:p>
        </w:tc>
        <w:tc>
          <w:tcPr>
            <w:tcW w:w="1020" w:type="dxa"/>
            <w:tcBorders>
              <w:top w:val="single" w:sz="4" w:space="0" w:color="E02628"/>
              <w:left w:val="nil"/>
              <w:bottom w:val="single" w:sz="4" w:space="0" w:color="E02628"/>
              <w:right w:val="single" w:sz="4" w:space="0" w:color="E0301E" w:themeColor="accent6"/>
            </w:tcBorders>
            <w:shd w:val="clear" w:color="auto" w:fill="F4CACA" w:themeFill="accent5" w:themeFillTint="33"/>
            <w:noWrap/>
            <w:hideMark/>
          </w:tcPr>
          <w:p w14:paraId="08726F22" w14:textId="77777777" w:rsidR="005463FC" w:rsidRDefault="005463FC" w:rsidP="005463FC">
            <w:pPr>
              <w:pStyle w:val="TableTextSmall"/>
              <w:keepNext/>
              <w:keepLines/>
              <w:jc w:val="center"/>
              <w:rPr>
                <w:i/>
              </w:rPr>
            </w:pPr>
            <w:r>
              <w:t>+1.9%</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F4CACA" w:themeFill="accent5" w:themeFillTint="33"/>
            <w:noWrap/>
            <w:hideMark/>
          </w:tcPr>
          <w:p w14:paraId="291E1ADC" w14:textId="0DDB69DD" w:rsidR="005463FC" w:rsidRDefault="005463FC" w:rsidP="004B0A8B">
            <w:pPr>
              <w:pStyle w:val="TableTextSmall"/>
              <w:keepNext/>
              <w:keepLines/>
              <w:jc w:val="center"/>
              <w:rPr>
                <w:i/>
              </w:rPr>
            </w:pPr>
            <w:r>
              <w:t>-</w:t>
            </w:r>
            <w:r w:rsidR="004B0A8B">
              <w:t>0.1</w:t>
            </w:r>
            <w:r>
              <w:t>%</w:t>
            </w:r>
          </w:p>
        </w:tc>
        <w:tc>
          <w:tcPr>
            <w:tcW w:w="1247" w:type="dxa"/>
            <w:tcBorders>
              <w:top w:val="single" w:sz="4" w:space="0" w:color="E02628"/>
              <w:left w:val="single" w:sz="4" w:space="0" w:color="E0301E" w:themeColor="accent6"/>
              <w:bottom w:val="single" w:sz="4" w:space="0" w:color="E02628"/>
              <w:right w:val="nil"/>
            </w:tcBorders>
            <w:shd w:val="clear" w:color="auto" w:fill="F4CACA" w:themeFill="accent5" w:themeFillTint="33"/>
            <w:hideMark/>
          </w:tcPr>
          <w:p w14:paraId="02F9238C" w14:textId="3578EF45" w:rsidR="005463FC" w:rsidRDefault="005463FC" w:rsidP="004B0A8B">
            <w:pPr>
              <w:pStyle w:val="TableTextSmall"/>
              <w:keepNext/>
              <w:keepLines/>
              <w:jc w:val="center"/>
              <w:rPr>
                <w:i/>
              </w:rPr>
            </w:pPr>
            <w:r>
              <w:t>+</w:t>
            </w:r>
            <w:r w:rsidR="004B0A8B">
              <w:t>1.9</w:t>
            </w:r>
            <w:r>
              <w:t>%</w:t>
            </w:r>
          </w:p>
        </w:tc>
        <w:tc>
          <w:tcPr>
            <w:tcW w:w="1247" w:type="dxa"/>
            <w:tcBorders>
              <w:top w:val="single" w:sz="4" w:space="0" w:color="E02628"/>
              <w:left w:val="nil"/>
              <w:bottom w:val="single" w:sz="4" w:space="0" w:color="E02628"/>
              <w:right w:val="nil"/>
            </w:tcBorders>
            <w:shd w:val="clear" w:color="auto" w:fill="F4CACA" w:themeFill="accent5" w:themeFillTint="33"/>
            <w:hideMark/>
          </w:tcPr>
          <w:p w14:paraId="2AD55920" w14:textId="7B7FF571" w:rsidR="005463FC" w:rsidRDefault="005463FC" w:rsidP="004B0A8B">
            <w:pPr>
              <w:pStyle w:val="TableTextSmall"/>
              <w:keepNext/>
              <w:keepLines/>
              <w:jc w:val="center"/>
              <w:rPr>
                <w:i/>
              </w:rPr>
            </w:pPr>
            <w:r>
              <w:t>+</w:t>
            </w:r>
            <w:r w:rsidR="004B0A8B">
              <w:t>5</w:t>
            </w:r>
          </w:p>
        </w:tc>
      </w:tr>
      <w:tr w:rsidR="005463FC" w14:paraId="6420650A"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E02628"/>
            <w:noWrap/>
            <w:vAlign w:val="center"/>
            <w:hideMark/>
          </w:tcPr>
          <w:p w14:paraId="1586463A" w14:textId="77777777" w:rsidR="005463FC" w:rsidRDefault="005463FC" w:rsidP="005463FC">
            <w:pPr>
              <w:pStyle w:val="TableColumnHeadingSmall"/>
              <w:rPr>
                <w:lang w:eastAsia="en-AU"/>
              </w:rPr>
            </w:pPr>
            <w:r>
              <w:rPr>
                <w:lang w:eastAsia="en-AU"/>
              </w:rPr>
              <w:t>Non welfare recipients</w:t>
            </w:r>
          </w:p>
        </w:tc>
        <w:tc>
          <w:tcPr>
            <w:tcW w:w="964" w:type="dxa"/>
            <w:tcBorders>
              <w:top w:val="single" w:sz="4" w:space="0" w:color="E02628"/>
              <w:left w:val="single" w:sz="4" w:space="0" w:color="E0301E" w:themeColor="accent6"/>
              <w:bottom w:val="single" w:sz="4" w:space="0" w:color="E02628"/>
              <w:right w:val="nil"/>
            </w:tcBorders>
            <w:shd w:val="clear" w:color="auto" w:fill="E02628"/>
          </w:tcPr>
          <w:p w14:paraId="5B40CD86" w14:textId="77777777" w:rsidR="005463FC" w:rsidRDefault="005463FC" w:rsidP="005463FC">
            <w:pPr>
              <w:pStyle w:val="TableColumnHeadingSmall"/>
              <w:jc w:val="center"/>
            </w:pPr>
          </w:p>
        </w:tc>
        <w:tc>
          <w:tcPr>
            <w:tcW w:w="964" w:type="dxa"/>
            <w:tcBorders>
              <w:top w:val="single" w:sz="4" w:space="0" w:color="E02628"/>
              <w:left w:val="nil"/>
              <w:bottom w:val="single" w:sz="4" w:space="0" w:color="E02628"/>
              <w:right w:val="single" w:sz="4" w:space="0" w:color="E0301E" w:themeColor="accent6"/>
            </w:tcBorders>
            <w:shd w:val="clear" w:color="auto" w:fill="E02628"/>
          </w:tcPr>
          <w:p w14:paraId="60197F32" w14:textId="77777777" w:rsidR="005463FC" w:rsidRDefault="005463FC" w:rsidP="005463FC">
            <w:pPr>
              <w:pStyle w:val="TableColumnHeadingSmall"/>
              <w:jc w:val="center"/>
            </w:pPr>
          </w:p>
        </w:tc>
        <w:tc>
          <w:tcPr>
            <w:tcW w:w="907" w:type="dxa"/>
            <w:tcBorders>
              <w:top w:val="single" w:sz="4" w:space="0" w:color="E02628"/>
              <w:left w:val="single" w:sz="4" w:space="0" w:color="E0301E" w:themeColor="accent6"/>
              <w:bottom w:val="single" w:sz="4" w:space="0" w:color="E02628"/>
              <w:right w:val="nil"/>
            </w:tcBorders>
            <w:shd w:val="clear" w:color="auto" w:fill="E02628"/>
            <w:noWrap/>
          </w:tcPr>
          <w:p w14:paraId="4D31821F" w14:textId="77777777" w:rsidR="005463FC" w:rsidRDefault="005463FC" w:rsidP="005463FC">
            <w:pPr>
              <w:pStyle w:val="TableColumnHeadingSmall"/>
              <w:jc w:val="center"/>
            </w:pPr>
          </w:p>
        </w:tc>
        <w:tc>
          <w:tcPr>
            <w:tcW w:w="1020" w:type="dxa"/>
            <w:tcBorders>
              <w:top w:val="single" w:sz="4" w:space="0" w:color="E02628"/>
              <w:left w:val="nil"/>
              <w:bottom w:val="single" w:sz="4" w:space="0" w:color="E02628"/>
              <w:right w:val="single" w:sz="4" w:space="0" w:color="E0301E" w:themeColor="accent6"/>
            </w:tcBorders>
            <w:shd w:val="clear" w:color="auto" w:fill="E02628"/>
            <w:noWrap/>
          </w:tcPr>
          <w:p w14:paraId="7F59BABF" w14:textId="77777777" w:rsidR="005463FC" w:rsidRDefault="005463FC" w:rsidP="005463FC">
            <w:pPr>
              <w:pStyle w:val="TableColumnHeadingSmall"/>
              <w:jc w:val="center"/>
            </w:pP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E02628"/>
            <w:noWrap/>
          </w:tcPr>
          <w:p w14:paraId="305E2946" w14:textId="77777777" w:rsidR="005463FC" w:rsidRDefault="005463FC" w:rsidP="005463FC">
            <w:pPr>
              <w:pStyle w:val="TableColumnHeadingSmall"/>
              <w:jc w:val="center"/>
            </w:pPr>
          </w:p>
        </w:tc>
        <w:tc>
          <w:tcPr>
            <w:tcW w:w="1247" w:type="dxa"/>
            <w:tcBorders>
              <w:top w:val="single" w:sz="4" w:space="0" w:color="E02628"/>
              <w:left w:val="single" w:sz="4" w:space="0" w:color="E0301E" w:themeColor="accent6"/>
              <w:bottom w:val="single" w:sz="4" w:space="0" w:color="E02628"/>
              <w:right w:val="nil"/>
            </w:tcBorders>
            <w:shd w:val="clear" w:color="auto" w:fill="E02628"/>
          </w:tcPr>
          <w:p w14:paraId="27622DE2" w14:textId="77777777" w:rsidR="005463FC" w:rsidRDefault="005463FC" w:rsidP="005463FC">
            <w:pPr>
              <w:pStyle w:val="TableColumnHeadingSmall"/>
              <w:jc w:val="center"/>
            </w:pPr>
          </w:p>
        </w:tc>
        <w:tc>
          <w:tcPr>
            <w:tcW w:w="1247" w:type="dxa"/>
            <w:tcBorders>
              <w:top w:val="single" w:sz="4" w:space="0" w:color="E02628"/>
              <w:left w:val="nil"/>
              <w:bottom w:val="single" w:sz="4" w:space="0" w:color="E02628"/>
              <w:right w:val="nil"/>
            </w:tcBorders>
            <w:shd w:val="clear" w:color="auto" w:fill="E02628"/>
          </w:tcPr>
          <w:p w14:paraId="7C870D91" w14:textId="77777777" w:rsidR="005463FC" w:rsidRDefault="005463FC" w:rsidP="005463FC">
            <w:pPr>
              <w:pStyle w:val="TableColumnHeadingSmall"/>
              <w:jc w:val="center"/>
            </w:pPr>
          </w:p>
        </w:tc>
      </w:tr>
      <w:tr w:rsidR="005463FC" w14:paraId="77F2842F"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49D12A17" w14:textId="77777777" w:rsidR="005463FC" w:rsidRDefault="005463FC" w:rsidP="005463FC">
            <w:pPr>
              <w:pStyle w:val="TableTextSmall"/>
              <w:keepNext/>
              <w:keepLines/>
              <w:rPr>
                <w:lang w:eastAsia="en-AU"/>
              </w:rPr>
            </w:pPr>
            <w:r>
              <w:rPr>
                <w:lang w:eastAsia="en-AU"/>
              </w:rPr>
              <w:t>- 10 Previous welfare recipients</w:t>
            </w:r>
          </w:p>
        </w:tc>
        <w:tc>
          <w:tcPr>
            <w:tcW w:w="964" w:type="dxa"/>
            <w:tcBorders>
              <w:top w:val="single" w:sz="4" w:space="0" w:color="E02628"/>
              <w:left w:val="single" w:sz="4" w:space="0" w:color="E0301E" w:themeColor="accent6"/>
              <w:bottom w:val="single" w:sz="4" w:space="0" w:color="E02628"/>
              <w:right w:val="nil"/>
            </w:tcBorders>
            <w:shd w:val="clear" w:color="auto" w:fill="FFFFFF"/>
            <w:hideMark/>
          </w:tcPr>
          <w:p w14:paraId="78489F0D" w14:textId="77777777" w:rsidR="005463FC" w:rsidRDefault="005463FC" w:rsidP="005463FC">
            <w:pPr>
              <w:pStyle w:val="TableTextSmall"/>
              <w:keepNext/>
              <w:keepLines/>
              <w:jc w:val="center"/>
            </w:pPr>
            <w:r>
              <w:t>653</w:t>
            </w:r>
          </w:p>
        </w:tc>
        <w:tc>
          <w:tcPr>
            <w:tcW w:w="964" w:type="dxa"/>
            <w:tcBorders>
              <w:top w:val="single" w:sz="4" w:space="0" w:color="E02628"/>
              <w:left w:val="nil"/>
              <w:bottom w:val="single" w:sz="4" w:space="0" w:color="E02628"/>
              <w:right w:val="single" w:sz="4" w:space="0" w:color="E0301E" w:themeColor="accent6"/>
            </w:tcBorders>
            <w:shd w:val="clear" w:color="auto" w:fill="FFFFFF"/>
            <w:hideMark/>
          </w:tcPr>
          <w:p w14:paraId="150AA8BE" w14:textId="77777777" w:rsidR="005463FC" w:rsidRDefault="005463FC" w:rsidP="005463FC">
            <w:pPr>
              <w:pStyle w:val="TableTextSmall"/>
              <w:keepNext/>
              <w:keepLines/>
              <w:jc w:val="center"/>
            </w:pPr>
            <w:r>
              <w:t>735</w:t>
            </w:r>
          </w:p>
        </w:tc>
        <w:tc>
          <w:tcPr>
            <w:tcW w:w="907" w:type="dxa"/>
            <w:tcBorders>
              <w:top w:val="single" w:sz="4" w:space="0" w:color="E02628"/>
              <w:left w:val="single" w:sz="4" w:space="0" w:color="E0301E" w:themeColor="accent6"/>
              <w:bottom w:val="single" w:sz="4" w:space="0" w:color="E02628"/>
              <w:right w:val="nil"/>
            </w:tcBorders>
            <w:shd w:val="clear" w:color="auto" w:fill="FFFFFF"/>
            <w:noWrap/>
            <w:hideMark/>
          </w:tcPr>
          <w:p w14:paraId="54F82D9B" w14:textId="77777777" w:rsidR="005463FC" w:rsidRDefault="005463FC" w:rsidP="005463FC">
            <w:pPr>
              <w:pStyle w:val="TableTextSmall"/>
              <w:keepNext/>
              <w:keepLines/>
              <w:jc w:val="center"/>
            </w:pPr>
            <w:r>
              <w:t>+82</w:t>
            </w:r>
          </w:p>
        </w:tc>
        <w:tc>
          <w:tcPr>
            <w:tcW w:w="1020" w:type="dxa"/>
            <w:tcBorders>
              <w:top w:val="single" w:sz="4" w:space="0" w:color="E02628"/>
              <w:left w:val="nil"/>
              <w:bottom w:val="single" w:sz="4" w:space="0" w:color="E02628"/>
              <w:right w:val="single" w:sz="4" w:space="0" w:color="E0301E" w:themeColor="accent6"/>
            </w:tcBorders>
            <w:shd w:val="clear" w:color="auto" w:fill="FFFFFF"/>
            <w:noWrap/>
            <w:hideMark/>
          </w:tcPr>
          <w:p w14:paraId="4FFA7012" w14:textId="77777777" w:rsidR="005463FC" w:rsidRDefault="005463FC" w:rsidP="005463FC">
            <w:pPr>
              <w:pStyle w:val="TableTextSmall"/>
              <w:keepNext/>
              <w:keepLines/>
              <w:jc w:val="center"/>
            </w:pPr>
            <w:r>
              <w:t>+12.6%</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55AA376F" w14:textId="77777777" w:rsidR="005463FC" w:rsidRDefault="005463FC" w:rsidP="005463FC">
            <w:pPr>
              <w:pStyle w:val="TableTextSmall"/>
              <w:keepNext/>
              <w:keepLines/>
              <w:jc w:val="center"/>
            </w:pPr>
            <w:r>
              <w:t>+7.3%</w:t>
            </w:r>
          </w:p>
        </w:tc>
        <w:tc>
          <w:tcPr>
            <w:tcW w:w="1247" w:type="dxa"/>
            <w:tcBorders>
              <w:top w:val="single" w:sz="4" w:space="0" w:color="E02628"/>
              <w:left w:val="single" w:sz="4" w:space="0" w:color="E0301E" w:themeColor="accent6"/>
              <w:bottom w:val="single" w:sz="4" w:space="0" w:color="E02628"/>
              <w:right w:val="nil"/>
            </w:tcBorders>
            <w:shd w:val="clear" w:color="auto" w:fill="FFFFFF"/>
            <w:hideMark/>
          </w:tcPr>
          <w:p w14:paraId="7E1D6F71" w14:textId="77777777" w:rsidR="005463FC" w:rsidRDefault="005463FC" w:rsidP="005463FC">
            <w:pPr>
              <w:pStyle w:val="TableTextSmall"/>
              <w:keepNext/>
              <w:keepLines/>
              <w:jc w:val="center"/>
            </w:pPr>
            <w:r>
              <w:t>+5.3%</w:t>
            </w:r>
          </w:p>
        </w:tc>
        <w:tc>
          <w:tcPr>
            <w:tcW w:w="1247" w:type="dxa"/>
            <w:tcBorders>
              <w:top w:val="single" w:sz="4" w:space="0" w:color="E02628"/>
              <w:left w:val="nil"/>
              <w:bottom w:val="single" w:sz="4" w:space="0" w:color="E02628"/>
              <w:right w:val="nil"/>
            </w:tcBorders>
            <w:shd w:val="clear" w:color="auto" w:fill="FFFFFF"/>
            <w:hideMark/>
          </w:tcPr>
          <w:p w14:paraId="4A494540" w14:textId="77777777" w:rsidR="005463FC" w:rsidRDefault="005463FC" w:rsidP="005463FC">
            <w:pPr>
              <w:pStyle w:val="TableTextSmall"/>
              <w:keepNext/>
              <w:keepLines/>
              <w:jc w:val="center"/>
            </w:pPr>
            <w:r>
              <w:t>+8</w:t>
            </w:r>
          </w:p>
        </w:tc>
      </w:tr>
      <w:tr w:rsidR="005463FC" w14:paraId="062C3911"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2DC5FA68" w14:textId="77777777" w:rsidR="005463FC" w:rsidRDefault="005463FC" w:rsidP="005463FC">
            <w:pPr>
              <w:pStyle w:val="TableTextSmall"/>
              <w:keepNext/>
              <w:keepLines/>
              <w:rPr>
                <w:lang w:eastAsia="en-AU"/>
              </w:rPr>
            </w:pPr>
            <w:r>
              <w:rPr>
                <w:lang w:eastAsia="en-AU"/>
              </w:rPr>
              <w:t>- 12 Rest of Australian Population</w:t>
            </w:r>
          </w:p>
        </w:tc>
        <w:tc>
          <w:tcPr>
            <w:tcW w:w="964" w:type="dxa"/>
            <w:tcBorders>
              <w:top w:val="single" w:sz="4" w:space="0" w:color="E02628"/>
              <w:left w:val="single" w:sz="4" w:space="0" w:color="E0301E" w:themeColor="accent6"/>
              <w:bottom w:val="single" w:sz="4" w:space="0" w:color="E02628"/>
              <w:right w:val="nil"/>
            </w:tcBorders>
            <w:shd w:val="clear" w:color="auto" w:fill="FFFFFF"/>
            <w:hideMark/>
          </w:tcPr>
          <w:p w14:paraId="1F244106" w14:textId="77777777" w:rsidR="005463FC" w:rsidRDefault="005463FC" w:rsidP="005463FC">
            <w:pPr>
              <w:pStyle w:val="TableTextSmall"/>
              <w:keepNext/>
              <w:keepLines/>
              <w:jc w:val="center"/>
            </w:pPr>
            <w:r>
              <w:t>1,766</w:t>
            </w:r>
          </w:p>
        </w:tc>
        <w:tc>
          <w:tcPr>
            <w:tcW w:w="964" w:type="dxa"/>
            <w:tcBorders>
              <w:top w:val="single" w:sz="4" w:space="0" w:color="E02628"/>
              <w:left w:val="nil"/>
              <w:bottom w:val="single" w:sz="4" w:space="0" w:color="E02628"/>
              <w:right w:val="single" w:sz="4" w:space="0" w:color="E0301E" w:themeColor="accent6"/>
            </w:tcBorders>
            <w:shd w:val="clear" w:color="auto" w:fill="FFFFFF"/>
            <w:hideMark/>
          </w:tcPr>
          <w:p w14:paraId="4CDF4378" w14:textId="77777777" w:rsidR="005463FC" w:rsidRDefault="005463FC" w:rsidP="005463FC">
            <w:pPr>
              <w:pStyle w:val="TableTextSmall"/>
              <w:keepNext/>
              <w:keepLines/>
              <w:jc w:val="center"/>
            </w:pPr>
            <w:r>
              <w:t>1,812</w:t>
            </w:r>
          </w:p>
        </w:tc>
        <w:tc>
          <w:tcPr>
            <w:tcW w:w="907" w:type="dxa"/>
            <w:tcBorders>
              <w:top w:val="single" w:sz="4" w:space="0" w:color="E02628"/>
              <w:left w:val="single" w:sz="4" w:space="0" w:color="E0301E" w:themeColor="accent6"/>
              <w:bottom w:val="single" w:sz="4" w:space="0" w:color="E02628"/>
              <w:right w:val="nil"/>
            </w:tcBorders>
            <w:shd w:val="clear" w:color="auto" w:fill="FFFFFF"/>
            <w:noWrap/>
            <w:hideMark/>
          </w:tcPr>
          <w:p w14:paraId="2C2C2697" w14:textId="77777777" w:rsidR="005463FC" w:rsidRDefault="005463FC" w:rsidP="005463FC">
            <w:pPr>
              <w:pStyle w:val="TableTextSmall"/>
              <w:keepNext/>
              <w:keepLines/>
              <w:jc w:val="center"/>
            </w:pPr>
            <w:r>
              <w:t>+46</w:t>
            </w:r>
          </w:p>
        </w:tc>
        <w:tc>
          <w:tcPr>
            <w:tcW w:w="1020" w:type="dxa"/>
            <w:tcBorders>
              <w:top w:val="single" w:sz="4" w:space="0" w:color="E02628"/>
              <w:left w:val="nil"/>
              <w:bottom w:val="single" w:sz="4" w:space="0" w:color="E02628"/>
              <w:right w:val="single" w:sz="4" w:space="0" w:color="E0301E" w:themeColor="accent6"/>
            </w:tcBorders>
            <w:shd w:val="clear" w:color="auto" w:fill="FFFFFF"/>
            <w:noWrap/>
            <w:hideMark/>
          </w:tcPr>
          <w:p w14:paraId="34D13A16" w14:textId="77777777" w:rsidR="005463FC" w:rsidRDefault="005463FC" w:rsidP="005463FC">
            <w:pPr>
              <w:pStyle w:val="TableTextSmall"/>
              <w:keepNext/>
              <w:keepLines/>
              <w:jc w:val="center"/>
            </w:pPr>
            <w:r>
              <w:t>+2.6%</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59AE1F8E" w14:textId="77777777" w:rsidR="005463FC" w:rsidRDefault="005463FC" w:rsidP="005463FC">
            <w:pPr>
              <w:pStyle w:val="TableTextSmall"/>
              <w:keepNext/>
              <w:keepLines/>
              <w:jc w:val="center"/>
            </w:pPr>
            <w:r>
              <w:t>+1.6%</w:t>
            </w:r>
          </w:p>
        </w:tc>
        <w:tc>
          <w:tcPr>
            <w:tcW w:w="1247" w:type="dxa"/>
            <w:tcBorders>
              <w:top w:val="single" w:sz="4" w:space="0" w:color="E02628"/>
              <w:left w:val="single" w:sz="4" w:space="0" w:color="E0301E" w:themeColor="accent6"/>
              <w:bottom w:val="single" w:sz="4" w:space="0" w:color="E02628"/>
              <w:right w:val="nil"/>
            </w:tcBorders>
            <w:shd w:val="clear" w:color="auto" w:fill="FFFFFF"/>
            <w:hideMark/>
          </w:tcPr>
          <w:p w14:paraId="07FD61F5" w14:textId="77777777" w:rsidR="005463FC" w:rsidRDefault="005463FC" w:rsidP="005463FC">
            <w:pPr>
              <w:pStyle w:val="TableTextSmall"/>
              <w:keepNext/>
              <w:keepLines/>
              <w:jc w:val="center"/>
            </w:pPr>
            <w:r>
              <w:t>+1.0%</w:t>
            </w:r>
          </w:p>
        </w:tc>
        <w:tc>
          <w:tcPr>
            <w:tcW w:w="1247" w:type="dxa"/>
            <w:tcBorders>
              <w:top w:val="single" w:sz="4" w:space="0" w:color="E02628"/>
              <w:left w:val="nil"/>
              <w:bottom w:val="single" w:sz="4" w:space="0" w:color="E02628"/>
              <w:right w:val="nil"/>
            </w:tcBorders>
            <w:shd w:val="clear" w:color="auto" w:fill="FFFFFF"/>
            <w:hideMark/>
          </w:tcPr>
          <w:p w14:paraId="1EA39F8A" w14:textId="77777777" w:rsidR="005463FC" w:rsidRDefault="005463FC" w:rsidP="005463FC">
            <w:pPr>
              <w:pStyle w:val="TableTextSmall"/>
              <w:keepNext/>
              <w:keepLines/>
              <w:jc w:val="center"/>
            </w:pPr>
            <w:r>
              <w:t>+1</w:t>
            </w:r>
          </w:p>
        </w:tc>
      </w:tr>
      <w:tr w:rsidR="005463FC" w14:paraId="1D514DA5"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F4CACA" w:themeFill="accent5" w:themeFillTint="33"/>
            <w:noWrap/>
            <w:vAlign w:val="center"/>
            <w:hideMark/>
          </w:tcPr>
          <w:p w14:paraId="69960309" w14:textId="77777777" w:rsidR="005463FC" w:rsidRDefault="005463FC" w:rsidP="005463FC">
            <w:pPr>
              <w:pStyle w:val="TableTextSmall"/>
              <w:keepNext/>
              <w:keepLines/>
              <w:rPr>
                <w:i/>
                <w:lang w:eastAsia="en-AU"/>
              </w:rPr>
            </w:pPr>
            <w:r>
              <w:rPr>
                <w:i/>
                <w:lang w:eastAsia="en-AU"/>
              </w:rPr>
              <w:t>Total non-welfare recipients</w:t>
            </w:r>
          </w:p>
        </w:tc>
        <w:tc>
          <w:tcPr>
            <w:tcW w:w="964" w:type="dxa"/>
            <w:tcBorders>
              <w:top w:val="single" w:sz="4" w:space="0" w:color="E02628"/>
              <w:left w:val="single" w:sz="4" w:space="0" w:color="E0301E" w:themeColor="accent6"/>
              <w:bottom w:val="single" w:sz="4" w:space="0" w:color="E02628"/>
              <w:right w:val="nil"/>
            </w:tcBorders>
            <w:shd w:val="clear" w:color="auto" w:fill="F4CACA" w:themeFill="accent5" w:themeFillTint="33"/>
            <w:hideMark/>
          </w:tcPr>
          <w:p w14:paraId="3AFF6383" w14:textId="77777777" w:rsidR="005463FC" w:rsidRDefault="005463FC" w:rsidP="005463FC">
            <w:pPr>
              <w:pStyle w:val="TableTextSmall"/>
              <w:keepNext/>
              <w:keepLines/>
              <w:jc w:val="center"/>
              <w:rPr>
                <w:i/>
              </w:rPr>
            </w:pPr>
            <w:r>
              <w:t>2,418</w:t>
            </w:r>
          </w:p>
        </w:tc>
        <w:tc>
          <w:tcPr>
            <w:tcW w:w="964" w:type="dxa"/>
            <w:tcBorders>
              <w:top w:val="single" w:sz="4" w:space="0" w:color="E02628"/>
              <w:left w:val="nil"/>
              <w:bottom w:val="single" w:sz="4" w:space="0" w:color="E02628"/>
              <w:right w:val="single" w:sz="4" w:space="0" w:color="E0301E" w:themeColor="accent6"/>
            </w:tcBorders>
            <w:shd w:val="clear" w:color="auto" w:fill="F4CACA" w:themeFill="accent5" w:themeFillTint="33"/>
            <w:hideMark/>
          </w:tcPr>
          <w:p w14:paraId="72995A00" w14:textId="77777777" w:rsidR="005463FC" w:rsidRDefault="005463FC" w:rsidP="005463FC">
            <w:pPr>
              <w:pStyle w:val="TableTextSmall"/>
              <w:keepNext/>
              <w:keepLines/>
              <w:jc w:val="center"/>
              <w:rPr>
                <w:i/>
              </w:rPr>
            </w:pPr>
            <w:r>
              <w:t>2,547</w:t>
            </w:r>
          </w:p>
        </w:tc>
        <w:tc>
          <w:tcPr>
            <w:tcW w:w="907" w:type="dxa"/>
            <w:tcBorders>
              <w:top w:val="single" w:sz="4" w:space="0" w:color="E02628"/>
              <w:left w:val="single" w:sz="4" w:space="0" w:color="E0301E" w:themeColor="accent6"/>
              <w:bottom w:val="single" w:sz="4" w:space="0" w:color="E02628"/>
              <w:right w:val="nil"/>
            </w:tcBorders>
            <w:shd w:val="clear" w:color="auto" w:fill="F4CACA" w:themeFill="accent5" w:themeFillTint="33"/>
            <w:noWrap/>
            <w:hideMark/>
          </w:tcPr>
          <w:p w14:paraId="001EA1CC" w14:textId="77777777" w:rsidR="005463FC" w:rsidRDefault="005463FC" w:rsidP="005463FC">
            <w:pPr>
              <w:pStyle w:val="TableTextSmall"/>
              <w:keepNext/>
              <w:keepLines/>
              <w:jc w:val="center"/>
              <w:rPr>
                <w:i/>
              </w:rPr>
            </w:pPr>
            <w:r>
              <w:t>+128</w:t>
            </w:r>
          </w:p>
        </w:tc>
        <w:tc>
          <w:tcPr>
            <w:tcW w:w="1020" w:type="dxa"/>
            <w:tcBorders>
              <w:top w:val="single" w:sz="4" w:space="0" w:color="E02628"/>
              <w:left w:val="nil"/>
              <w:bottom w:val="single" w:sz="4" w:space="0" w:color="E02628"/>
              <w:right w:val="single" w:sz="4" w:space="0" w:color="E0301E" w:themeColor="accent6"/>
            </w:tcBorders>
            <w:shd w:val="clear" w:color="auto" w:fill="F4CACA" w:themeFill="accent5" w:themeFillTint="33"/>
            <w:noWrap/>
            <w:hideMark/>
          </w:tcPr>
          <w:p w14:paraId="3231C2E3" w14:textId="77777777" w:rsidR="005463FC" w:rsidRDefault="005463FC" w:rsidP="005463FC">
            <w:pPr>
              <w:pStyle w:val="TableTextSmall"/>
              <w:keepNext/>
              <w:keepLines/>
              <w:jc w:val="center"/>
              <w:rPr>
                <w:i/>
              </w:rPr>
            </w:pPr>
            <w:r>
              <w:t>+5.3%</w:t>
            </w:r>
          </w:p>
        </w:tc>
        <w:tc>
          <w:tcPr>
            <w:tcW w:w="1134" w:type="dxa"/>
            <w:tcBorders>
              <w:top w:val="single" w:sz="4" w:space="0" w:color="E02628"/>
              <w:left w:val="single" w:sz="4" w:space="0" w:color="E0301E" w:themeColor="accent6"/>
              <w:bottom w:val="single" w:sz="4" w:space="0" w:color="E02628"/>
              <w:right w:val="single" w:sz="4" w:space="0" w:color="E0301E" w:themeColor="accent6"/>
            </w:tcBorders>
            <w:shd w:val="clear" w:color="auto" w:fill="F4CACA" w:themeFill="accent5" w:themeFillTint="33"/>
            <w:noWrap/>
            <w:hideMark/>
          </w:tcPr>
          <w:p w14:paraId="3A0E45A6" w14:textId="77777777" w:rsidR="005463FC" w:rsidRDefault="005463FC" w:rsidP="005463FC">
            <w:pPr>
              <w:pStyle w:val="TableTextSmall"/>
              <w:keepNext/>
              <w:keepLines/>
              <w:jc w:val="center"/>
              <w:rPr>
                <w:i/>
              </w:rPr>
            </w:pPr>
            <w:r>
              <w:t>+3.1%</w:t>
            </w:r>
          </w:p>
        </w:tc>
        <w:tc>
          <w:tcPr>
            <w:tcW w:w="1247" w:type="dxa"/>
            <w:tcBorders>
              <w:top w:val="single" w:sz="4" w:space="0" w:color="E02628"/>
              <w:left w:val="single" w:sz="4" w:space="0" w:color="E0301E" w:themeColor="accent6"/>
              <w:bottom w:val="single" w:sz="4" w:space="0" w:color="E02628"/>
              <w:right w:val="nil"/>
            </w:tcBorders>
            <w:shd w:val="clear" w:color="auto" w:fill="F4CACA" w:themeFill="accent5" w:themeFillTint="33"/>
            <w:hideMark/>
          </w:tcPr>
          <w:p w14:paraId="5092C898" w14:textId="77777777" w:rsidR="005463FC" w:rsidRDefault="005463FC" w:rsidP="005463FC">
            <w:pPr>
              <w:pStyle w:val="TableTextSmall"/>
              <w:keepNext/>
              <w:keepLines/>
              <w:jc w:val="center"/>
              <w:rPr>
                <w:i/>
              </w:rPr>
            </w:pPr>
            <w:r>
              <w:t>+2.2%</w:t>
            </w:r>
          </w:p>
        </w:tc>
        <w:tc>
          <w:tcPr>
            <w:tcW w:w="1247" w:type="dxa"/>
            <w:tcBorders>
              <w:top w:val="single" w:sz="4" w:space="0" w:color="E02628"/>
              <w:left w:val="nil"/>
              <w:bottom w:val="single" w:sz="4" w:space="0" w:color="E02628"/>
              <w:right w:val="nil"/>
            </w:tcBorders>
            <w:shd w:val="clear" w:color="auto" w:fill="F4CACA" w:themeFill="accent5" w:themeFillTint="33"/>
            <w:hideMark/>
          </w:tcPr>
          <w:p w14:paraId="2A266083" w14:textId="77777777" w:rsidR="005463FC" w:rsidRDefault="005463FC" w:rsidP="005463FC">
            <w:pPr>
              <w:pStyle w:val="TableTextSmall"/>
              <w:keepNext/>
              <w:keepLines/>
              <w:jc w:val="center"/>
              <w:rPr>
                <w:i/>
              </w:rPr>
            </w:pPr>
            <w:r>
              <w:t>+3</w:t>
            </w:r>
          </w:p>
        </w:tc>
      </w:tr>
      <w:tr w:rsidR="005463FC" w14:paraId="0BF8F252" w14:textId="77777777" w:rsidTr="005463FC">
        <w:trPr>
          <w:trHeight w:val="227"/>
          <w:tblHeader/>
        </w:trPr>
        <w:tc>
          <w:tcPr>
            <w:tcW w:w="2438" w:type="dxa"/>
            <w:tcBorders>
              <w:top w:val="single" w:sz="4" w:space="0" w:color="E02628"/>
              <w:left w:val="nil"/>
              <w:bottom w:val="single" w:sz="4" w:space="0" w:color="E02628"/>
              <w:right w:val="single" w:sz="4" w:space="0" w:color="E0301E" w:themeColor="accent6"/>
            </w:tcBorders>
            <w:shd w:val="clear" w:color="auto" w:fill="E02628"/>
            <w:noWrap/>
            <w:vAlign w:val="center"/>
            <w:hideMark/>
          </w:tcPr>
          <w:p w14:paraId="531C746E" w14:textId="77777777" w:rsidR="005463FC" w:rsidRDefault="005463FC" w:rsidP="005463FC">
            <w:pPr>
              <w:pStyle w:val="TableColumnHeadingSmall"/>
              <w:rPr>
                <w:lang w:eastAsia="en-AU"/>
              </w:rPr>
            </w:pPr>
            <w:r>
              <w:rPr>
                <w:lang w:eastAsia="en-AU"/>
              </w:rPr>
              <w:t>Australian resident population</w:t>
            </w:r>
          </w:p>
        </w:tc>
        <w:tc>
          <w:tcPr>
            <w:tcW w:w="964" w:type="dxa"/>
            <w:tcBorders>
              <w:top w:val="single" w:sz="4" w:space="0" w:color="E02628"/>
              <w:left w:val="single" w:sz="4" w:space="0" w:color="E0301E" w:themeColor="accent6"/>
              <w:bottom w:val="single" w:sz="4" w:space="0" w:color="E02628"/>
              <w:right w:val="nil"/>
            </w:tcBorders>
            <w:shd w:val="clear" w:color="auto" w:fill="E02628"/>
            <w:hideMark/>
          </w:tcPr>
          <w:p w14:paraId="05AB705D" w14:textId="77777777" w:rsidR="005463FC" w:rsidRDefault="005463FC" w:rsidP="005463FC">
            <w:pPr>
              <w:pStyle w:val="TableColumnHeadingSmall"/>
              <w:jc w:val="center"/>
            </w:pPr>
            <w:r>
              <w:t>4,514</w:t>
            </w:r>
          </w:p>
        </w:tc>
        <w:tc>
          <w:tcPr>
            <w:tcW w:w="964" w:type="dxa"/>
            <w:tcBorders>
              <w:top w:val="single" w:sz="4" w:space="0" w:color="E02628"/>
              <w:left w:val="nil"/>
              <w:bottom w:val="single" w:sz="4" w:space="0" w:color="E02628"/>
              <w:right w:val="single" w:sz="4" w:space="0" w:color="E0301E" w:themeColor="accent6"/>
            </w:tcBorders>
            <w:shd w:val="clear" w:color="auto" w:fill="E02628"/>
            <w:hideMark/>
          </w:tcPr>
          <w:p w14:paraId="1D024F71" w14:textId="77777777" w:rsidR="005463FC" w:rsidRDefault="005463FC" w:rsidP="005463FC">
            <w:pPr>
              <w:pStyle w:val="TableColumnHeadingSmall"/>
              <w:jc w:val="center"/>
            </w:pPr>
            <w:r>
              <w:t>4,681</w:t>
            </w:r>
          </w:p>
        </w:tc>
        <w:tc>
          <w:tcPr>
            <w:tcW w:w="907" w:type="dxa"/>
            <w:tcBorders>
              <w:top w:val="single" w:sz="4" w:space="0" w:color="E02628"/>
              <w:left w:val="single" w:sz="4" w:space="0" w:color="E0301E" w:themeColor="accent6"/>
              <w:bottom w:val="single" w:sz="4" w:space="0" w:color="E02628"/>
              <w:right w:val="single" w:sz="4" w:space="0" w:color="E0301E" w:themeColor="accent6"/>
            </w:tcBorders>
            <w:shd w:val="clear" w:color="auto" w:fill="E02628"/>
            <w:noWrap/>
            <w:hideMark/>
          </w:tcPr>
          <w:p w14:paraId="7CAE699B" w14:textId="77777777" w:rsidR="005463FC" w:rsidRDefault="005463FC" w:rsidP="005463FC">
            <w:pPr>
              <w:pStyle w:val="TableColumnHeadingSmall"/>
              <w:jc w:val="center"/>
            </w:pPr>
            <w:r>
              <w:t>+167</w:t>
            </w:r>
          </w:p>
        </w:tc>
        <w:tc>
          <w:tcPr>
            <w:tcW w:w="1020" w:type="dxa"/>
            <w:tcBorders>
              <w:top w:val="single" w:sz="4" w:space="0" w:color="E02628"/>
              <w:left w:val="single" w:sz="4" w:space="0" w:color="E0301E" w:themeColor="accent6"/>
              <w:bottom w:val="single" w:sz="4" w:space="0" w:color="E02628"/>
              <w:right w:val="single" w:sz="4" w:space="0" w:color="E0301E" w:themeColor="accent6"/>
            </w:tcBorders>
            <w:shd w:val="clear" w:color="auto" w:fill="E02628"/>
            <w:noWrap/>
            <w:hideMark/>
          </w:tcPr>
          <w:p w14:paraId="4A164B0E" w14:textId="77777777" w:rsidR="005463FC" w:rsidRDefault="005463FC" w:rsidP="005463FC">
            <w:pPr>
              <w:pStyle w:val="TableColumnHeadingSmall"/>
              <w:jc w:val="center"/>
            </w:pPr>
            <w:r>
              <w:t>+3.7%</w:t>
            </w:r>
          </w:p>
        </w:tc>
        <w:tc>
          <w:tcPr>
            <w:tcW w:w="1134" w:type="dxa"/>
            <w:tcBorders>
              <w:top w:val="single" w:sz="4" w:space="0" w:color="E02628"/>
              <w:left w:val="single" w:sz="4" w:space="0" w:color="E0301E" w:themeColor="accent6"/>
              <w:bottom w:val="single" w:sz="4" w:space="0" w:color="E02628"/>
              <w:right w:val="nil"/>
            </w:tcBorders>
            <w:shd w:val="clear" w:color="auto" w:fill="E02628"/>
            <w:noWrap/>
            <w:hideMark/>
          </w:tcPr>
          <w:p w14:paraId="544A39B7" w14:textId="76F7E5E9" w:rsidR="005463FC" w:rsidRDefault="005463FC" w:rsidP="004B0A8B">
            <w:pPr>
              <w:pStyle w:val="TableColumnHeadingSmall"/>
              <w:jc w:val="center"/>
            </w:pPr>
            <w:r>
              <w:t>+</w:t>
            </w:r>
            <w:r w:rsidR="004B0A8B">
              <w:t>2.0</w:t>
            </w:r>
            <w:r>
              <w:t>%</w:t>
            </w:r>
          </w:p>
        </w:tc>
        <w:tc>
          <w:tcPr>
            <w:tcW w:w="1247" w:type="dxa"/>
            <w:tcBorders>
              <w:top w:val="single" w:sz="4" w:space="0" w:color="E02628"/>
              <w:left w:val="nil"/>
              <w:bottom w:val="single" w:sz="4" w:space="0" w:color="E02628"/>
              <w:right w:val="single" w:sz="4" w:space="0" w:color="E0301E" w:themeColor="accent6"/>
            </w:tcBorders>
            <w:shd w:val="clear" w:color="auto" w:fill="E02628"/>
            <w:hideMark/>
          </w:tcPr>
          <w:p w14:paraId="3E951552" w14:textId="1F3C1136" w:rsidR="005463FC" w:rsidRDefault="005463FC" w:rsidP="004B0A8B">
            <w:pPr>
              <w:pStyle w:val="TableColumnHeadingSmall"/>
              <w:jc w:val="center"/>
            </w:pPr>
            <w:r>
              <w:t>+</w:t>
            </w:r>
            <w:r w:rsidR="004B0A8B">
              <w:t>1.7</w:t>
            </w:r>
            <w:r>
              <w:t>%</w:t>
            </w:r>
          </w:p>
        </w:tc>
        <w:tc>
          <w:tcPr>
            <w:tcW w:w="1247" w:type="dxa"/>
            <w:tcBorders>
              <w:top w:val="single" w:sz="4" w:space="0" w:color="E02628"/>
              <w:left w:val="single" w:sz="4" w:space="0" w:color="E0301E" w:themeColor="accent6"/>
              <w:bottom w:val="single" w:sz="4" w:space="0" w:color="E02628"/>
              <w:right w:val="nil"/>
            </w:tcBorders>
            <w:shd w:val="clear" w:color="auto" w:fill="E02628"/>
            <w:hideMark/>
          </w:tcPr>
          <w:p w14:paraId="785FBD95" w14:textId="5E6CF7F1" w:rsidR="005463FC" w:rsidRDefault="005463FC" w:rsidP="004B0A8B">
            <w:pPr>
              <w:pStyle w:val="TableColumnHeadingSmall"/>
              <w:jc w:val="center"/>
            </w:pPr>
            <w:r>
              <w:t>+</w:t>
            </w:r>
            <w:r w:rsidR="004B0A8B">
              <w:t>3</w:t>
            </w:r>
          </w:p>
        </w:tc>
      </w:tr>
    </w:tbl>
    <w:p w14:paraId="6874EA8F" w14:textId="77777777" w:rsidR="005463FC" w:rsidRDefault="005463FC" w:rsidP="005463FC">
      <w:pPr>
        <w:pStyle w:val="PwCNormal"/>
        <w:numPr>
          <w:ilvl w:val="0"/>
          <w:numId w:val="0"/>
        </w:numPr>
      </w:pPr>
      <w:r>
        <w:t>This change in average lifetime cost is further broken down below into the changes relating to inflation, policy changes, and other changes.</w:t>
      </w:r>
    </w:p>
    <w:p w14:paraId="685767AF" w14:textId="77777777" w:rsidR="005463FC" w:rsidRDefault="005463FC" w:rsidP="005463FC">
      <w:pPr>
        <w:pStyle w:val="Caption"/>
      </w:pPr>
      <w:r>
        <w:lastRenderedPageBreak/>
        <w:t xml:space="preserve">Table </w:t>
      </w:r>
      <w:fldSimple w:instr=" SEQ Table \* ARABIC ">
        <w:r w:rsidR="00C93C1A">
          <w:rPr>
            <w:noProof/>
          </w:rPr>
          <w:t>18</w:t>
        </w:r>
      </w:fldSimple>
      <w:r>
        <w:t>: Breakdown in average lifetime cost changes by class</w:t>
      </w:r>
    </w:p>
    <w:tbl>
      <w:tblPr>
        <w:tblW w:w="8455" w:type="dxa"/>
        <w:tblInd w:w="57" w:type="dxa"/>
        <w:tblLayout w:type="fixed"/>
        <w:tblCellMar>
          <w:left w:w="113" w:type="dxa"/>
          <w:right w:w="113" w:type="dxa"/>
        </w:tblCellMar>
        <w:tblLook w:val="04A0" w:firstRow="1" w:lastRow="0" w:firstColumn="1" w:lastColumn="0" w:noHBand="0" w:noVBand="1"/>
        <w:tblCaption w:val=" Breakdown in average lifetime cost changes by class"/>
        <w:tblDescription w:val="This table provides a summary of the changes in average lifetime cost by class. There are four data columns; Change in lifetime cost – average lifetime cost change component, impact of inflation on average lifetime cost, impact of policy changes on average lifetime cost and other changes impacting average lifetime cost all presented in thousands of dollars. &#10;&#10;Inflation changes had the highest impact on all classes (more than $2,000 change). &#10;&#10;Other changes had relatively large movements in the average lifetime cost of the Studying class (-$7,000) and the Non IS Other class (-$11,000).&#10;&#10;Further features of the data in this table are discussed in the accompanying text within the report.&#10;"/>
      </w:tblPr>
      <w:tblGrid>
        <w:gridCol w:w="2750"/>
        <w:gridCol w:w="1587"/>
        <w:gridCol w:w="1474"/>
        <w:gridCol w:w="1361"/>
        <w:gridCol w:w="1283"/>
      </w:tblGrid>
      <w:tr w:rsidR="005463FC" w14:paraId="6B9C9A57" w14:textId="77777777" w:rsidTr="005463FC">
        <w:trPr>
          <w:trHeight w:val="1010"/>
          <w:tblHeader/>
        </w:trPr>
        <w:tc>
          <w:tcPr>
            <w:tcW w:w="2750" w:type="dxa"/>
            <w:tcBorders>
              <w:top w:val="single" w:sz="4" w:space="0" w:color="E02628"/>
              <w:left w:val="nil"/>
              <w:bottom w:val="single" w:sz="4" w:space="0" w:color="FFFFFF" w:themeColor="background1"/>
              <w:right w:val="single" w:sz="4" w:space="0" w:color="FFFFFF"/>
            </w:tcBorders>
            <w:shd w:val="clear" w:color="auto" w:fill="E02628"/>
            <w:hideMark/>
          </w:tcPr>
          <w:p w14:paraId="7C318873" w14:textId="77777777" w:rsidR="005463FC" w:rsidRDefault="005463FC" w:rsidP="005463FC">
            <w:pPr>
              <w:pStyle w:val="TableColumnHeadingSmall"/>
            </w:pPr>
            <w:r>
              <w:t>Population segment</w:t>
            </w:r>
          </w:p>
        </w:tc>
        <w:tc>
          <w:tcPr>
            <w:tcW w:w="1587" w:type="dxa"/>
            <w:tcBorders>
              <w:top w:val="single" w:sz="4" w:space="0" w:color="E02628"/>
              <w:left w:val="single" w:sz="4" w:space="0" w:color="FFFFFF"/>
              <w:bottom w:val="single" w:sz="4" w:space="0" w:color="FFFFFF" w:themeColor="background1"/>
              <w:right w:val="single" w:sz="4" w:space="0" w:color="FFFFFF"/>
            </w:tcBorders>
            <w:shd w:val="clear" w:color="auto" w:fill="E02628"/>
            <w:hideMark/>
          </w:tcPr>
          <w:p w14:paraId="134CA8DA" w14:textId="77777777" w:rsidR="005463FC" w:rsidRDefault="005463FC" w:rsidP="005463FC">
            <w:pPr>
              <w:pStyle w:val="TableColumnHeadingSmall"/>
              <w:jc w:val="center"/>
            </w:pPr>
            <w:r>
              <w:t xml:space="preserve">Change in lifetime cost – ave lifetime cost change component </w:t>
            </w:r>
            <w:r>
              <w:br/>
              <w:t>($’000)</w:t>
            </w:r>
          </w:p>
        </w:tc>
        <w:tc>
          <w:tcPr>
            <w:tcW w:w="1474" w:type="dxa"/>
            <w:tcBorders>
              <w:top w:val="single" w:sz="4" w:space="0" w:color="E02628"/>
              <w:left w:val="single" w:sz="4" w:space="0" w:color="FFFFFF"/>
              <w:bottom w:val="single" w:sz="4" w:space="0" w:color="FFFFFF" w:themeColor="background1"/>
              <w:right w:val="single" w:sz="4" w:space="0" w:color="E0301E" w:themeColor="accent6"/>
            </w:tcBorders>
            <w:shd w:val="clear" w:color="auto" w:fill="E02628"/>
            <w:hideMark/>
          </w:tcPr>
          <w:p w14:paraId="7EF67D72" w14:textId="77777777" w:rsidR="005463FC" w:rsidRDefault="005463FC" w:rsidP="005463FC">
            <w:pPr>
              <w:pStyle w:val="TableColumnHeadingSmall"/>
              <w:jc w:val="center"/>
            </w:pPr>
            <w:r>
              <w:t xml:space="preserve">Impact of change in inflation on ave lifetime cost </w:t>
            </w:r>
            <w:r>
              <w:br/>
              <w:t>($’000)</w:t>
            </w:r>
          </w:p>
        </w:tc>
        <w:tc>
          <w:tcPr>
            <w:tcW w:w="1361" w:type="dxa"/>
            <w:tcBorders>
              <w:top w:val="single" w:sz="4" w:space="0" w:color="E02628"/>
              <w:left w:val="single" w:sz="4" w:space="0" w:color="E0301E" w:themeColor="accent6"/>
              <w:bottom w:val="single" w:sz="4" w:space="0" w:color="FFFFFF" w:themeColor="background1"/>
              <w:right w:val="single" w:sz="4" w:space="0" w:color="E0301E" w:themeColor="accent6"/>
            </w:tcBorders>
            <w:shd w:val="clear" w:color="auto" w:fill="E02628"/>
            <w:hideMark/>
          </w:tcPr>
          <w:p w14:paraId="51377ED7" w14:textId="77777777" w:rsidR="005463FC" w:rsidRDefault="005463FC" w:rsidP="005463FC">
            <w:pPr>
              <w:pStyle w:val="TableColumnHeadingSmall"/>
              <w:jc w:val="center"/>
            </w:pPr>
            <w:r>
              <w:t xml:space="preserve">Impact of policy changes on ave lifetime cost </w:t>
            </w:r>
            <w:r>
              <w:br/>
              <w:t>($’000)</w:t>
            </w:r>
          </w:p>
        </w:tc>
        <w:tc>
          <w:tcPr>
            <w:tcW w:w="1283" w:type="dxa"/>
            <w:tcBorders>
              <w:top w:val="single" w:sz="4" w:space="0" w:color="E02628"/>
              <w:left w:val="single" w:sz="4" w:space="0" w:color="E0301E" w:themeColor="accent6"/>
              <w:bottom w:val="single" w:sz="4" w:space="0" w:color="FFFFFF" w:themeColor="background1"/>
              <w:right w:val="single" w:sz="4" w:space="0" w:color="E0301E" w:themeColor="accent6"/>
            </w:tcBorders>
            <w:shd w:val="clear" w:color="auto" w:fill="E02628"/>
            <w:hideMark/>
          </w:tcPr>
          <w:p w14:paraId="5909E4D5" w14:textId="77777777" w:rsidR="005463FC" w:rsidRDefault="005463FC" w:rsidP="005463FC">
            <w:pPr>
              <w:pStyle w:val="TableColumnHeadingSmall"/>
              <w:jc w:val="center"/>
            </w:pPr>
            <w:r>
              <w:t xml:space="preserve">Impact of other changes on ave lifetime cost </w:t>
            </w:r>
            <w:r>
              <w:br/>
              <w:t>($’000)</w:t>
            </w:r>
          </w:p>
        </w:tc>
      </w:tr>
      <w:tr w:rsidR="005463FC" w14:paraId="64D7E89A" w14:textId="77777777" w:rsidTr="005463FC">
        <w:trPr>
          <w:trHeight w:val="227"/>
          <w:tblHeader/>
        </w:trPr>
        <w:tc>
          <w:tcPr>
            <w:tcW w:w="2750" w:type="dxa"/>
            <w:tcBorders>
              <w:top w:val="single" w:sz="4" w:space="0" w:color="FFFFFF" w:themeColor="background1"/>
              <w:left w:val="nil"/>
              <w:bottom w:val="single" w:sz="4" w:space="0" w:color="E02628"/>
              <w:right w:val="nil"/>
            </w:tcBorders>
            <w:shd w:val="clear" w:color="auto" w:fill="E02628"/>
            <w:noWrap/>
            <w:vAlign w:val="center"/>
            <w:hideMark/>
          </w:tcPr>
          <w:p w14:paraId="71D9E913" w14:textId="77777777" w:rsidR="005463FC" w:rsidRDefault="005463FC" w:rsidP="005463FC">
            <w:pPr>
              <w:pStyle w:val="TableColumnHeadingSmall"/>
              <w:rPr>
                <w:lang w:eastAsia="en-AU"/>
              </w:rPr>
            </w:pPr>
            <w:r>
              <w:rPr>
                <w:lang w:eastAsia="en-AU"/>
              </w:rPr>
              <w:t>Current welfare recipients</w:t>
            </w:r>
          </w:p>
        </w:tc>
        <w:tc>
          <w:tcPr>
            <w:tcW w:w="1587" w:type="dxa"/>
            <w:tcBorders>
              <w:top w:val="single" w:sz="4" w:space="0" w:color="FFFFFF" w:themeColor="background1"/>
              <w:left w:val="nil"/>
              <w:bottom w:val="single" w:sz="4" w:space="0" w:color="E02628"/>
              <w:right w:val="nil"/>
            </w:tcBorders>
            <w:shd w:val="clear" w:color="auto" w:fill="E02628"/>
            <w:noWrap/>
          </w:tcPr>
          <w:p w14:paraId="4FCF6647" w14:textId="77777777" w:rsidR="005463FC" w:rsidRDefault="005463FC" w:rsidP="005463FC">
            <w:pPr>
              <w:pStyle w:val="TableColumnHeadingSmall"/>
            </w:pPr>
          </w:p>
        </w:tc>
        <w:tc>
          <w:tcPr>
            <w:tcW w:w="1474" w:type="dxa"/>
            <w:tcBorders>
              <w:top w:val="single" w:sz="4" w:space="0" w:color="FFFFFF" w:themeColor="background1"/>
              <w:left w:val="nil"/>
              <w:bottom w:val="single" w:sz="4" w:space="0" w:color="E02628"/>
              <w:right w:val="nil"/>
            </w:tcBorders>
            <w:shd w:val="clear" w:color="auto" w:fill="E02628"/>
          </w:tcPr>
          <w:p w14:paraId="62938CAE" w14:textId="77777777" w:rsidR="005463FC" w:rsidRDefault="005463FC" w:rsidP="005463FC">
            <w:pPr>
              <w:pStyle w:val="TableColumnHeadingSmall"/>
            </w:pPr>
          </w:p>
        </w:tc>
        <w:tc>
          <w:tcPr>
            <w:tcW w:w="1361" w:type="dxa"/>
            <w:tcBorders>
              <w:top w:val="single" w:sz="4" w:space="0" w:color="FFFFFF" w:themeColor="background1"/>
              <w:left w:val="nil"/>
              <w:bottom w:val="single" w:sz="4" w:space="0" w:color="E02628"/>
              <w:right w:val="nil"/>
            </w:tcBorders>
            <w:shd w:val="clear" w:color="auto" w:fill="E02628"/>
          </w:tcPr>
          <w:p w14:paraId="5188D5B6" w14:textId="77777777" w:rsidR="005463FC" w:rsidRDefault="005463FC" w:rsidP="005463FC">
            <w:pPr>
              <w:pStyle w:val="TableColumnHeadingSmall"/>
            </w:pPr>
          </w:p>
        </w:tc>
        <w:tc>
          <w:tcPr>
            <w:tcW w:w="1283" w:type="dxa"/>
            <w:tcBorders>
              <w:top w:val="single" w:sz="4" w:space="0" w:color="FFFFFF" w:themeColor="background1"/>
              <w:left w:val="nil"/>
              <w:bottom w:val="single" w:sz="4" w:space="0" w:color="E02628"/>
              <w:right w:val="nil"/>
            </w:tcBorders>
            <w:shd w:val="clear" w:color="auto" w:fill="E02628"/>
          </w:tcPr>
          <w:p w14:paraId="097B938B" w14:textId="77777777" w:rsidR="005463FC" w:rsidRDefault="005463FC" w:rsidP="005463FC">
            <w:pPr>
              <w:pStyle w:val="TableColumnHeadingSmall"/>
            </w:pPr>
          </w:p>
        </w:tc>
      </w:tr>
      <w:tr w:rsidR="005463FC" w14:paraId="1AD34B54"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4A03431F" w14:textId="77777777" w:rsidR="005463FC" w:rsidRDefault="005463FC" w:rsidP="005463FC">
            <w:pPr>
              <w:pStyle w:val="TableTextSmall"/>
              <w:keepNext/>
              <w:rPr>
                <w:lang w:eastAsia="en-AU"/>
              </w:rPr>
            </w:pPr>
            <w:r>
              <w:rPr>
                <w:lang w:eastAsia="en-AU"/>
              </w:rPr>
              <w:t>- 1 Studying</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7A32DAAB" w14:textId="77777777" w:rsidR="005463FC" w:rsidRDefault="005463FC" w:rsidP="005463FC">
            <w:pPr>
              <w:pStyle w:val="TableTextSmall"/>
              <w:keepNext/>
              <w:jc w:val="center"/>
              <w:rPr>
                <w:color w:val="auto"/>
              </w:rPr>
            </w:pPr>
            <w:r w:rsidRPr="00310B20">
              <w:t>+2</w:t>
            </w:r>
          </w:p>
        </w:tc>
        <w:tc>
          <w:tcPr>
            <w:tcW w:w="1474" w:type="dxa"/>
            <w:tcBorders>
              <w:top w:val="single" w:sz="4" w:space="0" w:color="E02628"/>
              <w:left w:val="single" w:sz="4" w:space="0" w:color="E0301E" w:themeColor="accent6"/>
              <w:bottom w:val="single" w:sz="4" w:space="0" w:color="E02628"/>
              <w:right w:val="nil"/>
            </w:tcBorders>
            <w:shd w:val="clear" w:color="auto" w:fill="FFFFFF"/>
            <w:hideMark/>
          </w:tcPr>
          <w:p w14:paraId="0BFBCD3B" w14:textId="77777777" w:rsidR="005463FC" w:rsidRDefault="005463FC" w:rsidP="005463FC">
            <w:pPr>
              <w:pStyle w:val="TableTextSmall"/>
              <w:keepNext/>
              <w:jc w:val="center"/>
              <w:rPr>
                <w:color w:val="auto"/>
              </w:rPr>
            </w:pPr>
            <w:r w:rsidRPr="00310B20">
              <w:t>+9</w:t>
            </w:r>
          </w:p>
        </w:tc>
        <w:tc>
          <w:tcPr>
            <w:tcW w:w="1361" w:type="dxa"/>
            <w:tcBorders>
              <w:top w:val="single" w:sz="4" w:space="0" w:color="E02628"/>
              <w:left w:val="nil"/>
              <w:bottom w:val="single" w:sz="4" w:space="0" w:color="E02628"/>
              <w:right w:val="nil"/>
            </w:tcBorders>
            <w:shd w:val="clear" w:color="auto" w:fill="FFFFFF"/>
            <w:hideMark/>
          </w:tcPr>
          <w:p w14:paraId="55FD14B1" w14:textId="77777777" w:rsidR="005463FC" w:rsidRPr="00F5517B" w:rsidRDefault="005463FC" w:rsidP="005463FC">
            <w:pPr>
              <w:pStyle w:val="TableTextSmall"/>
              <w:jc w:val="center"/>
              <w:rPr>
                <w:color w:val="A6A6A6" w:themeColor="background1" w:themeShade="A6"/>
              </w:rPr>
            </w:pPr>
            <w:r w:rsidRPr="00F5517B">
              <w:rPr>
                <w:color w:val="A6A6A6" w:themeColor="background1" w:themeShade="A6"/>
              </w:rPr>
              <w:t>&lt;1</w:t>
            </w:r>
          </w:p>
        </w:tc>
        <w:tc>
          <w:tcPr>
            <w:tcW w:w="1283" w:type="dxa"/>
            <w:tcBorders>
              <w:top w:val="single" w:sz="4" w:space="0" w:color="E02628"/>
              <w:left w:val="nil"/>
              <w:bottom w:val="single" w:sz="4" w:space="0" w:color="E02628"/>
              <w:right w:val="nil"/>
            </w:tcBorders>
            <w:shd w:val="clear" w:color="auto" w:fill="FFFFFF"/>
            <w:hideMark/>
          </w:tcPr>
          <w:p w14:paraId="690FB658" w14:textId="77777777" w:rsidR="005463FC" w:rsidRDefault="005463FC" w:rsidP="005463FC">
            <w:pPr>
              <w:pStyle w:val="TableTextSmall"/>
              <w:keepNext/>
              <w:jc w:val="center"/>
              <w:rPr>
                <w:color w:val="auto"/>
              </w:rPr>
            </w:pPr>
            <w:r w:rsidRPr="00310B20">
              <w:t>-7</w:t>
            </w:r>
          </w:p>
        </w:tc>
      </w:tr>
      <w:tr w:rsidR="005463FC" w14:paraId="61C3C48B"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36FD8492" w14:textId="77777777" w:rsidR="005463FC" w:rsidRDefault="005463FC" w:rsidP="005463FC">
            <w:pPr>
              <w:pStyle w:val="TableTextSmall"/>
              <w:keepNext/>
              <w:rPr>
                <w:lang w:eastAsia="en-AU"/>
              </w:rPr>
            </w:pPr>
            <w:r>
              <w:rPr>
                <w:lang w:eastAsia="en-AU"/>
              </w:rPr>
              <w:t>- 2 Working age</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36D3B194" w14:textId="77777777" w:rsidR="005463FC" w:rsidRDefault="005463FC" w:rsidP="005463FC">
            <w:pPr>
              <w:pStyle w:val="TableTextSmall"/>
              <w:keepNext/>
              <w:jc w:val="center"/>
              <w:rPr>
                <w:color w:val="auto"/>
              </w:rPr>
            </w:pPr>
            <w:r w:rsidRPr="00310B20">
              <w:t>+11</w:t>
            </w:r>
          </w:p>
        </w:tc>
        <w:tc>
          <w:tcPr>
            <w:tcW w:w="1474" w:type="dxa"/>
            <w:tcBorders>
              <w:top w:val="single" w:sz="4" w:space="0" w:color="E02628"/>
              <w:left w:val="single" w:sz="4" w:space="0" w:color="E0301E" w:themeColor="accent6"/>
              <w:bottom w:val="single" w:sz="4" w:space="0" w:color="E02628"/>
              <w:right w:val="nil"/>
            </w:tcBorders>
            <w:shd w:val="clear" w:color="auto" w:fill="FFFFFF"/>
            <w:hideMark/>
          </w:tcPr>
          <w:p w14:paraId="72503AC0" w14:textId="77777777" w:rsidR="005463FC" w:rsidRDefault="005463FC" w:rsidP="005463FC">
            <w:pPr>
              <w:pStyle w:val="TableTextSmall"/>
              <w:keepNext/>
              <w:jc w:val="center"/>
              <w:rPr>
                <w:color w:val="auto"/>
              </w:rPr>
            </w:pPr>
            <w:r w:rsidRPr="00310B20">
              <w:t>+9</w:t>
            </w:r>
          </w:p>
        </w:tc>
        <w:tc>
          <w:tcPr>
            <w:tcW w:w="1361" w:type="dxa"/>
            <w:tcBorders>
              <w:top w:val="single" w:sz="4" w:space="0" w:color="E02628"/>
              <w:left w:val="nil"/>
              <w:bottom w:val="single" w:sz="4" w:space="0" w:color="E02628"/>
              <w:right w:val="nil"/>
            </w:tcBorders>
            <w:shd w:val="clear" w:color="auto" w:fill="FFFFFF"/>
            <w:hideMark/>
          </w:tcPr>
          <w:p w14:paraId="0AEADC9A" w14:textId="77777777" w:rsidR="005463FC" w:rsidRPr="00F5517B" w:rsidRDefault="005463FC" w:rsidP="005463FC">
            <w:pPr>
              <w:pStyle w:val="TableTextSmall"/>
              <w:jc w:val="center"/>
              <w:rPr>
                <w:color w:val="A6A6A6" w:themeColor="background1" w:themeShade="A6"/>
              </w:rPr>
            </w:pPr>
            <w:r w:rsidRPr="00F5517B">
              <w:rPr>
                <w:color w:val="A6A6A6" w:themeColor="background1" w:themeShade="A6"/>
              </w:rPr>
              <w:t>&lt;1</w:t>
            </w:r>
          </w:p>
        </w:tc>
        <w:tc>
          <w:tcPr>
            <w:tcW w:w="1283" w:type="dxa"/>
            <w:tcBorders>
              <w:top w:val="single" w:sz="4" w:space="0" w:color="E02628"/>
              <w:left w:val="nil"/>
              <w:bottom w:val="single" w:sz="4" w:space="0" w:color="E02628"/>
              <w:right w:val="nil"/>
            </w:tcBorders>
            <w:shd w:val="clear" w:color="auto" w:fill="FFFFFF"/>
            <w:hideMark/>
          </w:tcPr>
          <w:p w14:paraId="6F1DB55E" w14:textId="77777777" w:rsidR="005463FC" w:rsidRDefault="005463FC" w:rsidP="005463FC">
            <w:pPr>
              <w:pStyle w:val="TableTextSmall"/>
              <w:keepNext/>
              <w:jc w:val="center"/>
              <w:rPr>
                <w:color w:val="auto"/>
              </w:rPr>
            </w:pPr>
            <w:r w:rsidRPr="00310B20">
              <w:t>+3</w:t>
            </w:r>
          </w:p>
        </w:tc>
      </w:tr>
      <w:tr w:rsidR="005463FC" w14:paraId="319C3328"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2E57E9D4" w14:textId="77777777" w:rsidR="005463FC" w:rsidRDefault="005463FC" w:rsidP="005463FC">
            <w:pPr>
              <w:pStyle w:val="TableTextSmall"/>
              <w:keepNext/>
              <w:rPr>
                <w:lang w:eastAsia="en-AU"/>
              </w:rPr>
            </w:pPr>
            <w:r>
              <w:rPr>
                <w:lang w:eastAsia="en-AU"/>
              </w:rPr>
              <w:t>- 3 Parenting</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7DB241FA" w14:textId="77777777" w:rsidR="005463FC" w:rsidRDefault="005463FC" w:rsidP="005463FC">
            <w:pPr>
              <w:pStyle w:val="TableTextSmall"/>
              <w:keepNext/>
              <w:jc w:val="center"/>
              <w:rPr>
                <w:color w:val="auto"/>
              </w:rPr>
            </w:pPr>
            <w:r w:rsidRPr="00310B20">
              <w:t>+11</w:t>
            </w:r>
          </w:p>
        </w:tc>
        <w:tc>
          <w:tcPr>
            <w:tcW w:w="1474" w:type="dxa"/>
            <w:tcBorders>
              <w:top w:val="single" w:sz="4" w:space="0" w:color="E02628"/>
              <w:left w:val="single" w:sz="4" w:space="0" w:color="E0301E" w:themeColor="accent6"/>
              <w:bottom w:val="single" w:sz="4" w:space="0" w:color="E02628"/>
              <w:right w:val="nil"/>
            </w:tcBorders>
            <w:shd w:val="clear" w:color="auto" w:fill="FFFFFF"/>
            <w:hideMark/>
          </w:tcPr>
          <w:p w14:paraId="3A9A1D77" w14:textId="77777777" w:rsidR="005463FC" w:rsidRDefault="005463FC" w:rsidP="005463FC">
            <w:pPr>
              <w:pStyle w:val="TableTextSmall"/>
              <w:keepNext/>
              <w:jc w:val="center"/>
              <w:rPr>
                <w:color w:val="auto"/>
              </w:rPr>
            </w:pPr>
            <w:r w:rsidRPr="00310B20">
              <w:t>+12</w:t>
            </w:r>
          </w:p>
        </w:tc>
        <w:tc>
          <w:tcPr>
            <w:tcW w:w="1361" w:type="dxa"/>
            <w:tcBorders>
              <w:top w:val="single" w:sz="4" w:space="0" w:color="E02628"/>
              <w:left w:val="nil"/>
              <w:bottom w:val="single" w:sz="4" w:space="0" w:color="E02628"/>
              <w:right w:val="nil"/>
            </w:tcBorders>
            <w:shd w:val="clear" w:color="auto" w:fill="FFFFFF"/>
            <w:hideMark/>
          </w:tcPr>
          <w:p w14:paraId="45692BA2" w14:textId="77777777" w:rsidR="005463FC" w:rsidRDefault="005463FC" w:rsidP="005463FC">
            <w:pPr>
              <w:pStyle w:val="TableTextSmall"/>
              <w:keepNext/>
              <w:jc w:val="center"/>
              <w:rPr>
                <w:color w:val="auto"/>
              </w:rPr>
            </w:pPr>
            <w:r w:rsidRPr="00310B20">
              <w:t>-3</w:t>
            </w:r>
          </w:p>
        </w:tc>
        <w:tc>
          <w:tcPr>
            <w:tcW w:w="1283" w:type="dxa"/>
            <w:tcBorders>
              <w:top w:val="single" w:sz="4" w:space="0" w:color="E02628"/>
              <w:left w:val="nil"/>
              <w:bottom w:val="single" w:sz="4" w:space="0" w:color="E02628"/>
              <w:right w:val="nil"/>
            </w:tcBorders>
            <w:shd w:val="clear" w:color="auto" w:fill="FFFFFF"/>
            <w:hideMark/>
          </w:tcPr>
          <w:p w14:paraId="6EBBB1AD" w14:textId="77777777" w:rsidR="005463FC" w:rsidRDefault="005463FC" w:rsidP="005463FC">
            <w:pPr>
              <w:pStyle w:val="TableTextSmall"/>
              <w:keepNext/>
              <w:jc w:val="center"/>
              <w:rPr>
                <w:color w:val="auto"/>
              </w:rPr>
            </w:pPr>
            <w:r w:rsidRPr="00310B20">
              <w:t>+1</w:t>
            </w:r>
          </w:p>
        </w:tc>
      </w:tr>
      <w:tr w:rsidR="005463FC" w14:paraId="04F17837"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5063625E" w14:textId="77777777" w:rsidR="005463FC" w:rsidRDefault="005463FC" w:rsidP="005463FC">
            <w:pPr>
              <w:pStyle w:val="TableTextSmall"/>
              <w:keepNext/>
              <w:rPr>
                <w:lang w:eastAsia="en-AU"/>
              </w:rPr>
            </w:pPr>
            <w:r>
              <w:rPr>
                <w:lang w:eastAsia="en-AU"/>
              </w:rPr>
              <w:t>- 4 Carers</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0FC18C04" w14:textId="77777777" w:rsidR="005463FC" w:rsidRDefault="005463FC" w:rsidP="005463FC">
            <w:pPr>
              <w:pStyle w:val="TableTextSmall"/>
              <w:keepNext/>
              <w:jc w:val="center"/>
              <w:rPr>
                <w:color w:val="auto"/>
              </w:rPr>
            </w:pPr>
            <w:r w:rsidRPr="00310B20">
              <w:t>+11</w:t>
            </w:r>
          </w:p>
        </w:tc>
        <w:tc>
          <w:tcPr>
            <w:tcW w:w="1474" w:type="dxa"/>
            <w:tcBorders>
              <w:top w:val="single" w:sz="4" w:space="0" w:color="E02628"/>
              <w:left w:val="single" w:sz="4" w:space="0" w:color="E0301E" w:themeColor="accent6"/>
              <w:bottom w:val="single" w:sz="4" w:space="0" w:color="E02628"/>
              <w:right w:val="nil"/>
            </w:tcBorders>
            <w:shd w:val="clear" w:color="auto" w:fill="FFFFFF"/>
            <w:hideMark/>
          </w:tcPr>
          <w:p w14:paraId="0F251D18" w14:textId="77777777" w:rsidR="005463FC" w:rsidRDefault="005463FC" w:rsidP="005463FC">
            <w:pPr>
              <w:pStyle w:val="TableTextSmall"/>
              <w:keepNext/>
              <w:jc w:val="center"/>
              <w:rPr>
                <w:color w:val="auto"/>
              </w:rPr>
            </w:pPr>
            <w:r w:rsidRPr="00310B20">
              <w:t>+15</w:t>
            </w:r>
          </w:p>
        </w:tc>
        <w:tc>
          <w:tcPr>
            <w:tcW w:w="1361" w:type="dxa"/>
            <w:tcBorders>
              <w:top w:val="single" w:sz="4" w:space="0" w:color="E02628"/>
              <w:left w:val="nil"/>
              <w:bottom w:val="single" w:sz="4" w:space="0" w:color="E02628"/>
              <w:right w:val="nil"/>
            </w:tcBorders>
            <w:shd w:val="clear" w:color="auto" w:fill="FFFFFF"/>
            <w:hideMark/>
          </w:tcPr>
          <w:p w14:paraId="1DD9D892" w14:textId="77777777" w:rsidR="005463FC" w:rsidRPr="00F5517B" w:rsidRDefault="005463FC" w:rsidP="005463FC">
            <w:pPr>
              <w:pStyle w:val="TableTextSmall"/>
              <w:jc w:val="center"/>
              <w:rPr>
                <w:color w:val="A6A6A6" w:themeColor="background1" w:themeShade="A6"/>
              </w:rPr>
            </w:pPr>
            <w:r w:rsidRPr="00F5517B">
              <w:rPr>
                <w:color w:val="A6A6A6" w:themeColor="background1" w:themeShade="A6"/>
              </w:rPr>
              <w:t>&lt;1</w:t>
            </w:r>
          </w:p>
        </w:tc>
        <w:tc>
          <w:tcPr>
            <w:tcW w:w="1283" w:type="dxa"/>
            <w:tcBorders>
              <w:top w:val="single" w:sz="4" w:space="0" w:color="E02628"/>
              <w:left w:val="nil"/>
              <w:bottom w:val="single" w:sz="4" w:space="0" w:color="E02628"/>
              <w:right w:val="nil"/>
            </w:tcBorders>
            <w:shd w:val="clear" w:color="auto" w:fill="FFFFFF"/>
            <w:hideMark/>
          </w:tcPr>
          <w:p w14:paraId="49560B04" w14:textId="77777777" w:rsidR="005463FC" w:rsidRDefault="005463FC" w:rsidP="005463FC">
            <w:pPr>
              <w:pStyle w:val="TableTextSmall"/>
              <w:keepNext/>
              <w:jc w:val="center"/>
              <w:rPr>
                <w:color w:val="auto"/>
              </w:rPr>
            </w:pPr>
            <w:r w:rsidRPr="00310B20">
              <w:t>-3</w:t>
            </w:r>
          </w:p>
        </w:tc>
      </w:tr>
      <w:tr w:rsidR="005463FC" w14:paraId="74A26DC5"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3E9D8EB4" w14:textId="77777777" w:rsidR="005463FC" w:rsidRDefault="005463FC" w:rsidP="005463FC">
            <w:pPr>
              <w:pStyle w:val="TableTextSmall"/>
              <w:keepNext/>
              <w:rPr>
                <w:lang w:eastAsia="en-AU"/>
              </w:rPr>
            </w:pPr>
            <w:r>
              <w:rPr>
                <w:lang w:eastAsia="en-AU"/>
              </w:rPr>
              <w:t>- 5 Disability Support</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3D785620" w14:textId="77777777" w:rsidR="005463FC" w:rsidRDefault="005463FC" w:rsidP="005463FC">
            <w:pPr>
              <w:pStyle w:val="TableTextSmall"/>
              <w:keepNext/>
              <w:jc w:val="center"/>
              <w:rPr>
                <w:color w:val="auto"/>
              </w:rPr>
            </w:pPr>
            <w:r w:rsidRPr="00310B20">
              <w:t>+12</w:t>
            </w:r>
          </w:p>
        </w:tc>
        <w:tc>
          <w:tcPr>
            <w:tcW w:w="1474" w:type="dxa"/>
            <w:tcBorders>
              <w:top w:val="single" w:sz="4" w:space="0" w:color="E02628"/>
              <w:left w:val="single" w:sz="4" w:space="0" w:color="E0301E" w:themeColor="accent6"/>
              <w:bottom w:val="single" w:sz="4" w:space="0" w:color="E02628"/>
              <w:right w:val="nil"/>
            </w:tcBorders>
            <w:shd w:val="clear" w:color="auto" w:fill="FFFFFF"/>
            <w:hideMark/>
          </w:tcPr>
          <w:p w14:paraId="4C8CCF15" w14:textId="77777777" w:rsidR="005463FC" w:rsidRDefault="005463FC" w:rsidP="005463FC">
            <w:pPr>
              <w:pStyle w:val="TableTextSmall"/>
              <w:keepNext/>
              <w:jc w:val="center"/>
              <w:rPr>
                <w:color w:val="auto"/>
              </w:rPr>
            </w:pPr>
            <w:r w:rsidRPr="00310B20">
              <w:t>+16</w:t>
            </w:r>
          </w:p>
        </w:tc>
        <w:tc>
          <w:tcPr>
            <w:tcW w:w="1361" w:type="dxa"/>
            <w:tcBorders>
              <w:top w:val="single" w:sz="4" w:space="0" w:color="E02628"/>
              <w:left w:val="nil"/>
              <w:bottom w:val="single" w:sz="4" w:space="0" w:color="E02628"/>
              <w:right w:val="nil"/>
            </w:tcBorders>
            <w:shd w:val="clear" w:color="auto" w:fill="FFFFFF"/>
            <w:hideMark/>
          </w:tcPr>
          <w:p w14:paraId="50F14114" w14:textId="77777777" w:rsidR="005463FC" w:rsidRPr="00F5517B" w:rsidRDefault="005463FC" w:rsidP="005463FC">
            <w:pPr>
              <w:pStyle w:val="TableTextSmall"/>
              <w:jc w:val="center"/>
              <w:rPr>
                <w:color w:val="A6A6A6" w:themeColor="background1" w:themeShade="A6"/>
              </w:rPr>
            </w:pPr>
            <w:r w:rsidRPr="00F5517B">
              <w:rPr>
                <w:color w:val="A6A6A6" w:themeColor="background1" w:themeShade="A6"/>
              </w:rPr>
              <w:t>&lt;1</w:t>
            </w:r>
          </w:p>
        </w:tc>
        <w:tc>
          <w:tcPr>
            <w:tcW w:w="1283" w:type="dxa"/>
            <w:tcBorders>
              <w:top w:val="single" w:sz="4" w:space="0" w:color="E02628"/>
              <w:left w:val="nil"/>
              <w:bottom w:val="single" w:sz="4" w:space="0" w:color="E02628"/>
              <w:right w:val="nil"/>
            </w:tcBorders>
            <w:shd w:val="clear" w:color="auto" w:fill="FFFFFF"/>
            <w:hideMark/>
          </w:tcPr>
          <w:p w14:paraId="525A7E0C" w14:textId="77777777" w:rsidR="005463FC" w:rsidRDefault="005463FC" w:rsidP="005463FC">
            <w:pPr>
              <w:pStyle w:val="TableTextSmall"/>
              <w:keepNext/>
              <w:jc w:val="center"/>
              <w:rPr>
                <w:color w:val="auto"/>
              </w:rPr>
            </w:pPr>
            <w:r w:rsidRPr="00310B20">
              <w:t>-3</w:t>
            </w:r>
          </w:p>
        </w:tc>
      </w:tr>
      <w:tr w:rsidR="005463FC" w14:paraId="016CA3D8"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165A0F7C" w14:textId="77777777" w:rsidR="005463FC" w:rsidRDefault="005463FC" w:rsidP="005463FC">
            <w:pPr>
              <w:pStyle w:val="TableTextSmall"/>
              <w:keepNext/>
              <w:rPr>
                <w:lang w:eastAsia="en-AU"/>
              </w:rPr>
            </w:pPr>
            <w:r>
              <w:rPr>
                <w:lang w:eastAsia="en-AU"/>
              </w:rPr>
              <w:t>- 6 Pension Age</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1810D7B3" w14:textId="77777777" w:rsidR="005463FC" w:rsidRDefault="005463FC" w:rsidP="005463FC">
            <w:pPr>
              <w:pStyle w:val="TableTextSmall"/>
              <w:keepNext/>
              <w:jc w:val="center"/>
              <w:rPr>
                <w:color w:val="auto"/>
              </w:rPr>
            </w:pPr>
            <w:r w:rsidRPr="00310B20">
              <w:t>+6</w:t>
            </w:r>
          </w:p>
        </w:tc>
        <w:tc>
          <w:tcPr>
            <w:tcW w:w="1474" w:type="dxa"/>
            <w:tcBorders>
              <w:top w:val="single" w:sz="4" w:space="0" w:color="E02628"/>
              <w:left w:val="single" w:sz="4" w:space="0" w:color="E0301E" w:themeColor="accent6"/>
              <w:bottom w:val="single" w:sz="4" w:space="0" w:color="E02628"/>
              <w:right w:val="nil"/>
            </w:tcBorders>
            <w:shd w:val="clear" w:color="auto" w:fill="FFFFFF"/>
            <w:hideMark/>
          </w:tcPr>
          <w:p w14:paraId="592FA4B9" w14:textId="77777777" w:rsidR="005463FC" w:rsidRDefault="005463FC" w:rsidP="005463FC">
            <w:pPr>
              <w:pStyle w:val="TableTextSmall"/>
              <w:keepNext/>
              <w:jc w:val="center"/>
              <w:rPr>
                <w:color w:val="auto"/>
              </w:rPr>
            </w:pPr>
            <w:r w:rsidRPr="00310B20">
              <w:t>+7</w:t>
            </w:r>
          </w:p>
        </w:tc>
        <w:tc>
          <w:tcPr>
            <w:tcW w:w="1361" w:type="dxa"/>
            <w:tcBorders>
              <w:top w:val="single" w:sz="4" w:space="0" w:color="E02628"/>
              <w:left w:val="nil"/>
              <w:bottom w:val="single" w:sz="4" w:space="0" w:color="E02628"/>
              <w:right w:val="nil"/>
            </w:tcBorders>
            <w:shd w:val="clear" w:color="auto" w:fill="FFFFFF"/>
            <w:hideMark/>
          </w:tcPr>
          <w:p w14:paraId="13CF3DFA" w14:textId="77777777" w:rsidR="005463FC" w:rsidRPr="00F5517B" w:rsidRDefault="005463FC" w:rsidP="005463FC">
            <w:pPr>
              <w:pStyle w:val="TableTextSmall"/>
              <w:jc w:val="center"/>
              <w:rPr>
                <w:color w:val="A6A6A6" w:themeColor="background1" w:themeShade="A6"/>
              </w:rPr>
            </w:pPr>
            <w:r w:rsidRPr="00F5517B">
              <w:rPr>
                <w:color w:val="A6A6A6" w:themeColor="background1" w:themeShade="A6"/>
              </w:rPr>
              <w:t>&lt;1</w:t>
            </w:r>
          </w:p>
        </w:tc>
        <w:tc>
          <w:tcPr>
            <w:tcW w:w="1283" w:type="dxa"/>
            <w:tcBorders>
              <w:top w:val="single" w:sz="4" w:space="0" w:color="E02628"/>
              <w:left w:val="nil"/>
              <w:bottom w:val="single" w:sz="4" w:space="0" w:color="E02628"/>
              <w:right w:val="nil"/>
            </w:tcBorders>
            <w:shd w:val="clear" w:color="auto" w:fill="FFFFFF"/>
            <w:hideMark/>
          </w:tcPr>
          <w:p w14:paraId="10896176" w14:textId="77777777" w:rsidR="005463FC" w:rsidRPr="00F5517B" w:rsidRDefault="005463FC" w:rsidP="005463FC">
            <w:pPr>
              <w:pStyle w:val="TableTextSmall"/>
              <w:jc w:val="center"/>
              <w:rPr>
                <w:color w:val="A6A6A6" w:themeColor="background1" w:themeShade="A6"/>
              </w:rPr>
            </w:pPr>
            <w:r w:rsidRPr="00F5517B">
              <w:rPr>
                <w:color w:val="A6A6A6" w:themeColor="background1" w:themeShade="A6"/>
              </w:rPr>
              <w:t>&lt;1</w:t>
            </w:r>
          </w:p>
        </w:tc>
      </w:tr>
      <w:tr w:rsidR="005463FC" w14:paraId="4B171021"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3FD63CE2" w14:textId="77777777" w:rsidR="005463FC" w:rsidRDefault="005463FC" w:rsidP="005463FC">
            <w:pPr>
              <w:pStyle w:val="TableTextSmall"/>
              <w:keepNext/>
              <w:rPr>
                <w:lang w:eastAsia="en-AU"/>
              </w:rPr>
            </w:pPr>
            <w:r>
              <w:rPr>
                <w:lang w:eastAsia="en-AU"/>
              </w:rPr>
              <w:t>- 7 Non IS Family</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18EA7269" w14:textId="77777777" w:rsidR="005463FC" w:rsidRDefault="005463FC" w:rsidP="005463FC">
            <w:pPr>
              <w:pStyle w:val="TableTextSmall"/>
              <w:keepNext/>
              <w:jc w:val="center"/>
              <w:rPr>
                <w:color w:val="auto"/>
              </w:rPr>
            </w:pPr>
            <w:r w:rsidRPr="00310B20">
              <w:t>+3</w:t>
            </w:r>
          </w:p>
        </w:tc>
        <w:tc>
          <w:tcPr>
            <w:tcW w:w="1474" w:type="dxa"/>
            <w:tcBorders>
              <w:top w:val="single" w:sz="4" w:space="0" w:color="E02628"/>
              <w:left w:val="single" w:sz="4" w:space="0" w:color="E0301E" w:themeColor="accent6"/>
              <w:bottom w:val="single" w:sz="4" w:space="0" w:color="E02628"/>
              <w:right w:val="nil"/>
            </w:tcBorders>
            <w:shd w:val="clear" w:color="auto" w:fill="FFFFFF"/>
            <w:hideMark/>
          </w:tcPr>
          <w:p w14:paraId="7533EFF2" w14:textId="77777777" w:rsidR="005463FC" w:rsidRDefault="005463FC" w:rsidP="005463FC">
            <w:pPr>
              <w:pStyle w:val="TableTextSmall"/>
              <w:keepNext/>
              <w:jc w:val="center"/>
              <w:rPr>
                <w:color w:val="auto"/>
              </w:rPr>
            </w:pPr>
            <w:r w:rsidRPr="00310B20">
              <w:t>+4</w:t>
            </w:r>
          </w:p>
        </w:tc>
        <w:tc>
          <w:tcPr>
            <w:tcW w:w="1361" w:type="dxa"/>
            <w:tcBorders>
              <w:top w:val="single" w:sz="4" w:space="0" w:color="E02628"/>
              <w:left w:val="nil"/>
              <w:bottom w:val="single" w:sz="4" w:space="0" w:color="E02628"/>
              <w:right w:val="nil"/>
            </w:tcBorders>
            <w:shd w:val="clear" w:color="auto" w:fill="FFFFFF"/>
            <w:hideMark/>
          </w:tcPr>
          <w:p w14:paraId="648913E4" w14:textId="77777777" w:rsidR="005463FC" w:rsidRPr="00F5517B" w:rsidRDefault="005463FC" w:rsidP="005463FC">
            <w:pPr>
              <w:pStyle w:val="TableTextSmall"/>
              <w:jc w:val="center"/>
              <w:rPr>
                <w:color w:val="A6A6A6" w:themeColor="background1" w:themeShade="A6"/>
              </w:rPr>
            </w:pPr>
            <w:r w:rsidRPr="00F5517B">
              <w:rPr>
                <w:color w:val="A6A6A6" w:themeColor="background1" w:themeShade="A6"/>
              </w:rPr>
              <w:t>&lt;1</w:t>
            </w:r>
          </w:p>
        </w:tc>
        <w:tc>
          <w:tcPr>
            <w:tcW w:w="1283" w:type="dxa"/>
            <w:tcBorders>
              <w:top w:val="single" w:sz="4" w:space="0" w:color="E02628"/>
              <w:left w:val="nil"/>
              <w:bottom w:val="single" w:sz="4" w:space="0" w:color="E02628"/>
              <w:right w:val="nil"/>
            </w:tcBorders>
            <w:shd w:val="clear" w:color="auto" w:fill="FFFFFF"/>
            <w:hideMark/>
          </w:tcPr>
          <w:p w14:paraId="79CD1121" w14:textId="77777777" w:rsidR="005463FC" w:rsidRPr="00470608" w:rsidRDefault="005463FC" w:rsidP="005463FC">
            <w:pPr>
              <w:pStyle w:val="TableTextSmall"/>
              <w:keepNext/>
              <w:jc w:val="center"/>
              <w:rPr>
                <w:color w:val="A6A6A6" w:themeColor="background1" w:themeShade="A6"/>
              </w:rPr>
            </w:pPr>
            <w:r w:rsidRPr="00310B20">
              <w:t>-2</w:t>
            </w:r>
          </w:p>
        </w:tc>
      </w:tr>
      <w:tr w:rsidR="005463FC" w14:paraId="7BD60317"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4ED2A69E" w14:textId="77777777" w:rsidR="005463FC" w:rsidRDefault="005463FC" w:rsidP="005463FC">
            <w:pPr>
              <w:pStyle w:val="TableTextSmall"/>
              <w:keepNext/>
              <w:rPr>
                <w:lang w:eastAsia="en-AU"/>
              </w:rPr>
            </w:pPr>
            <w:r>
              <w:rPr>
                <w:lang w:eastAsia="en-AU"/>
              </w:rPr>
              <w:t>- 8 Non IS Carer</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024ED312" w14:textId="77777777" w:rsidR="005463FC" w:rsidRDefault="005463FC" w:rsidP="005463FC">
            <w:pPr>
              <w:pStyle w:val="TableTextSmall"/>
              <w:keepNext/>
              <w:jc w:val="center"/>
              <w:rPr>
                <w:color w:val="auto"/>
              </w:rPr>
            </w:pPr>
            <w:r w:rsidRPr="00310B20">
              <w:t>+1</w:t>
            </w:r>
          </w:p>
        </w:tc>
        <w:tc>
          <w:tcPr>
            <w:tcW w:w="1474" w:type="dxa"/>
            <w:tcBorders>
              <w:top w:val="single" w:sz="4" w:space="0" w:color="E02628"/>
              <w:left w:val="single" w:sz="4" w:space="0" w:color="E0301E" w:themeColor="accent6"/>
              <w:bottom w:val="single" w:sz="4" w:space="0" w:color="E02628"/>
              <w:right w:val="nil"/>
            </w:tcBorders>
            <w:shd w:val="clear" w:color="auto" w:fill="FFFFFF"/>
            <w:hideMark/>
          </w:tcPr>
          <w:p w14:paraId="2503FA96" w14:textId="77777777" w:rsidR="005463FC" w:rsidRDefault="005463FC" w:rsidP="005463FC">
            <w:pPr>
              <w:pStyle w:val="TableTextSmall"/>
              <w:keepNext/>
              <w:jc w:val="center"/>
              <w:rPr>
                <w:color w:val="auto"/>
              </w:rPr>
            </w:pPr>
            <w:r w:rsidRPr="00310B20">
              <w:t>+2</w:t>
            </w:r>
          </w:p>
        </w:tc>
        <w:tc>
          <w:tcPr>
            <w:tcW w:w="1361" w:type="dxa"/>
            <w:tcBorders>
              <w:top w:val="single" w:sz="4" w:space="0" w:color="E02628"/>
              <w:left w:val="nil"/>
              <w:bottom w:val="single" w:sz="4" w:space="0" w:color="E02628"/>
              <w:right w:val="nil"/>
            </w:tcBorders>
            <w:shd w:val="clear" w:color="auto" w:fill="FFFFFF"/>
            <w:hideMark/>
          </w:tcPr>
          <w:p w14:paraId="24B103F2" w14:textId="77777777" w:rsidR="005463FC" w:rsidRPr="00F5517B" w:rsidRDefault="005463FC" w:rsidP="005463FC">
            <w:pPr>
              <w:pStyle w:val="TableTextSmall"/>
              <w:jc w:val="center"/>
              <w:rPr>
                <w:color w:val="A6A6A6" w:themeColor="background1" w:themeShade="A6"/>
              </w:rPr>
            </w:pPr>
            <w:r w:rsidRPr="00F5517B">
              <w:rPr>
                <w:color w:val="A6A6A6" w:themeColor="background1" w:themeShade="A6"/>
              </w:rPr>
              <w:t>&lt;1</w:t>
            </w:r>
          </w:p>
        </w:tc>
        <w:tc>
          <w:tcPr>
            <w:tcW w:w="1283" w:type="dxa"/>
            <w:tcBorders>
              <w:top w:val="single" w:sz="4" w:space="0" w:color="E02628"/>
              <w:left w:val="nil"/>
              <w:bottom w:val="single" w:sz="4" w:space="0" w:color="E02628"/>
              <w:right w:val="nil"/>
            </w:tcBorders>
            <w:shd w:val="clear" w:color="auto" w:fill="FFFFFF"/>
            <w:hideMark/>
          </w:tcPr>
          <w:p w14:paraId="35F10EEA" w14:textId="77777777" w:rsidR="005463FC" w:rsidRPr="00F5517B" w:rsidRDefault="005463FC" w:rsidP="005463FC">
            <w:pPr>
              <w:pStyle w:val="TableTextSmall"/>
              <w:jc w:val="center"/>
              <w:rPr>
                <w:color w:val="A6A6A6" w:themeColor="background1" w:themeShade="A6"/>
              </w:rPr>
            </w:pPr>
            <w:r w:rsidRPr="00F5517B">
              <w:rPr>
                <w:color w:val="A6A6A6" w:themeColor="background1" w:themeShade="A6"/>
              </w:rPr>
              <w:t>&lt;1</w:t>
            </w:r>
          </w:p>
        </w:tc>
      </w:tr>
      <w:tr w:rsidR="005463FC" w14:paraId="6D94F211"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5C41929F" w14:textId="77777777" w:rsidR="005463FC" w:rsidRDefault="005463FC" w:rsidP="005463FC">
            <w:pPr>
              <w:pStyle w:val="TableTextSmall"/>
              <w:keepNext/>
              <w:rPr>
                <w:lang w:eastAsia="en-AU"/>
              </w:rPr>
            </w:pPr>
            <w:r>
              <w:rPr>
                <w:lang w:eastAsia="en-AU"/>
              </w:rPr>
              <w:t>- 9 Non IS Other</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5AA2D4F9" w14:textId="77777777" w:rsidR="005463FC" w:rsidRDefault="005463FC" w:rsidP="005463FC">
            <w:pPr>
              <w:pStyle w:val="TableTextSmall"/>
              <w:keepNext/>
              <w:jc w:val="center"/>
              <w:rPr>
                <w:color w:val="auto"/>
              </w:rPr>
            </w:pPr>
            <w:r w:rsidRPr="00310B20">
              <w:t>-7</w:t>
            </w:r>
          </w:p>
        </w:tc>
        <w:tc>
          <w:tcPr>
            <w:tcW w:w="1474" w:type="dxa"/>
            <w:tcBorders>
              <w:top w:val="single" w:sz="4" w:space="0" w:color="E02628"/>
              <w:left w:val="single" w:sz="4" w:space="0" w:color="E0301E" w:themeColor="accent6"/>
              <w:bottom w:val="single" w:sz="4" w:space="0" w:color="E02628"/>
              <w:right w:val="nil"/>
            </w:tcBorders>
            <w:shd w:val="clear" w:color="auto" w:fill="FFFFFF"/>
            <w:hideMark/>
          </w:tcPr>
          <w:p w14:paraId="33D12DEC" w14:textId="77777777" w:rsidR="005463FC" w:rsidRDefault="005463FC" w:rsidP="005463FC">
            <w:pPr>
              <w:pStyle w:val="TableTextSmall"/>
              <w:keepNext/>
              <w:jc w:val="center"/>
              <w:rPr>
                <w:color w:val="auto"/>
              </w:rPr>
            </w:pPr>
            <w:r w:rsidRPr="00310B20">
              <w:t>+3</w:t>
            </w:r>
          </w:p>
        </w:tc>
        <w:tc>
          <w:tcPr>
            <w:tcW w:w="1361" w:type="dxa"/>
            <w:tcBorders>
              <w:top w:val="single" w:sz="4" w:space="0" w:color="E02628"/>
              <w:left w:val="nil"/>
              <w:bottom w:val="single" w:sz="4" w:space="0" w:color="E02628"/>
              <w:right w:val="nil"/>
            </w:tcBorders>
            <w:shd w:val="clear" w:color="auto" w:fill="FFFFFF"/>
            <w:hideMark/>
          </w:tcPr>
          <w:p w14:paraId="7ADB8BED" w14:textId="77777777" w:rsidR="005463FC" w:rsidRPr="00F5517B" w:rsidRDefault="005463FC" w:rsidP="005463FC">
            <w:pPr>
              <w:pStyle w:val="TableTextSmall"/>
              <w:jc w:val="center"/>
              <w:rPr>
                <w:color w:val="A6A6A6" w:themeColor="background1" w:themeShade="A6"/>
              </w:rPr>
            </w:pPr>
            <w:r w:rsidRPr="00F5517B">
              <w:rPr>
                <w:color w:val="A6A6A6" w:themeColor="background1" w:themeShade="A6"/>
              </w:rPr>
              <w:t>&lt;1</w:t>
            </w:r>
          </w:p>
        </w:tc>
        <w:tc>
          <w:tcPr>
            <w:tcW w:w="1283" w:type="dxa"/>
            <w:tcBorders>
              <w:top w:val="single" w:sz="4" w:space="0" w:color="E02628"/>
              <w:left w:val="nil"/>
              <w:bottom w:val="single" w:sz="4" w:space="0" w:color="E02628"/>
              <w:right w:val="nil"/>
            </w:tcBorders>
            <w:shd w:val="clear" w:color="auto" w:fill="FFFFFF"/>
            <w:hideMark/>
          </w:tcPr>
          <w:p w14:paraId="5393F117" w14:textId="77777777" w:rsidR="005463FC" w:rsidRDefault="005463FC" w:rsidP="005463FC">
            <w:pPr>
              <w:pStyle w:val="TableTextSmall"/>
              <w:keepNext/>
              <w:jc w:val="center"/>
              <w:rPr>
                <w:color w:val="auto"/>
              </w:rPr>
            </w:pPr>
            <w:r w:rsidRPr="00310B20">
              <w:t>-11</w:t>
            </w:r>
          </w:p>
        </w:tc>
      </w:tr>
      <w:tr w:rsidR="005463FC" w14:paraId="2AF9C026"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F4CACA" w:themeFill="accent5" w:themeFillTint="33"/>
            <w:noWrap/>
            <w:vAlign w:val="center"/>
            <w:hideMark/>
          </w:tcPr>
          <w:p w14:paraId="061779E7" w14:textId="77777777" w:rsidR="005463FC" w:rsidRDefault="005463FC" w:rsidP="005463FC">
            <w:pPr>
              <w:pStyle w:val="TableTextSmall"/>
              <w:keepNext/>
              <w:rPr>
                <w:lang w:eastAsia="en-AU"/>
              </w:rPr>
            </w:pPr>
            <w:r>
              <w:rPr>
                <w:i/>
                <w:lang w:eastAsia="en-AU"/>
              </w:rPr>
              <w:t>Total current welfare recipients</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F4CACA" w:themeFill="accent5" w:themeFillTint="33"/>
            <w:noWrap/>
            <w:hideMark/>
          </w:tcPr>
          <w:p w14:paraId="4DAC52FB" w14:textId="77777777" w:rsidR="005463FC" w:rsidRDefault="005463FC" w:rsidP="005463FC">
            <w:pPr>
              <w:pStyle w:val="TableTextSmall"/>
              <w:keepNext/>
              <w:jc w:val="center"/>
              <w:rPr>
                <w:i/>
                <w:color w:val="auto"/>
              </w:rPr>
            </w:pPr>
            <w:r w:rsidRPr="00310B20">
              <w:t>+5</w:t>
            </w:r>
          </w:p>
        </w:tc>
        <w:tc>
          <w:tcPr>
            <w:tcW w:w="1474" w:type="dxa"/>
            <w:tcBorders>
              <w:top w:val="single" w:sz="4" w:space="0" w:color="E02628"/>
              <w:left w:val="single" w:sz="4" w:space="0" w:color="E0301E" w:themeColor="accent6"/>
              <w:bottom w:val="single" w:sz="4" w:space="0" w:color="E02628"/>
              <w:right w:val="nil"/>
            </w:tcBorders>
            <w:shd w:val="clear" w:color="auto" w:fill="F4CACA" w:themeFill="accent5" w:themeFillTint="33"/>
            <w:hideMark/>
          </w:tcPr>
          <w:p w14:paraId="66F84CA2" w14:textId="77777777" w:rsidR="005463FC" w:rsidRDefault="005463FC" w:rsidP="005463FC">
            <w:pPr>
              <w:pStyle w:val="TableTextSmall"/>
              <w:keepNext/>
              <w:jc w:val="center"/>
              <w:rPr>
                <w:i/>
                <w:color w:val="auto"/>
              </w:rPr>
            </w:pPr>
            <w:r w:rsidRPr="00310B20">
              <w:t>+8</w:t>
            </w:r>
          </w:p>
        </w:tc>
        <w:tc>
          <w:tcPr>
            <w:tcW w:w="1361" w:type="dxa"/>
            <w:tcBorders>
              <w:top w:val="single" w:sz="4" w:space="0" w:color="E02628"/>
              <w:left w:val="nil"/>
              <w:bottom w:val="single" w:sz="4" w:space="0" w:color="E02628"/>
              <w:right w:val="nil"/>
            </w:tcBorders>
            <w:shd w:val="clear" w:color="auto" w:fill="F4CACA" w:themeFill="accent5" w:themeFillTint="33"/>
            <w:hideMark/>
          </w:tcPr>
          <w:p w14:paraId="5EA0E0CE" w14:textId="77777777" w:rsidR="005463FC" w:rsidRPr="00F5517B" w:rsidRDefault="005463FC" w:rsidP="005463FC">
            <w:pPr>
              <w:pStyle w:val="TableTextSmall"/>
              <w:jc w:val="center"/>
              <w:rPr>
                <w:i/>
                <w:color w:val="A6A6A6" w:themeColor="background1" w:themeShade="A6"/>
              </w:rPr>
            </w:pPr>
            <w:r w:rsidRPr="00F5517B">
              <w:rPr>
                <w:color w:val="A6A6A6" w:themeColor="background1" w:themeShade="A6"/>
              </w:rPr>
              <w:t>&lt;1</w:t>
            </w:r>
          </w:p>
        </w:tc>
        <w:tc>
          <w:tcPr>
            <w:tcW w:w="1283" w:type="dxa"/>
            <w:tcBorders>
              <w:top w:val="single" w:sz="4" w:space="0" w:color="E02628"/>
              <w:left w:val="nil"/>
              <w:bottom w:val="single" w:sz="4" w:space="0" w:color="E02628"/>
              <w:right w:val="nil"/>
            </w:tcBorders>
            <w:shd w:val="clear" w:color="auto" w:fill="F4CACA" w:themeFill="accent5" w:themeFillTint="33"/>
            <w:hideMark/>
          </w:tcPr>
          <w:p w14:paraId="5CDD25A3" w14:textId="1570C2A7" w:rsidR="005463FC" w:rsidRPr="00470608" w:rsidRDefault="005463FC" w:rsidP="004B0A8B">
            <w:pPr>
              <w:pStyle w:val="TableTextSmall"/>
              <w:keepNext/>
              <w:jc w:val="center"/>
              <w:rPr>
                <w:i/>
                <w:color w:val="A6A6A6" w:themeColor="background1" w:themeShade="A6"/>
              </w:rPr>
            </w:pPr>
            <w:r w:rsidRPr="00310B20">
              <w:t>-</w:t>
            </w:r>
            <w:r w:rsidR="004B0A8B">
              <w:t>2</w:t>
            </w:r>
          </w:p>
        </w:tc>
      </w:tr>
      <w:tr w:rsidR="005463FC" w14:paraId="77C8724B"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E02628"/>
            <w:noWrap/>
            <w:vAlign w:val="center"/>
            <w:hideMark/>
          </w:tcPr>
          <w:p w14:paraId="4A4D34CA" w14:textId="77777777" w:rsidR="005463FC" w:rsidRDefault="005463FC" w:rsidP="005463FC">
            <w:pPr>
              <w:pStyle w:val="TableColumnHeadingSmall"/>
              <w:rPr>
                <w:lang w:eastAsia="en-AU"/>
              </w:rPr>
            </w:pPr>
            <w:r>
              <w:rPr>
                <w:lang w:eastAsia="en-AU"/>
              </w:rPr>
              <w:t>Non welfare recipients</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E02628"/>
            <w:noWrap/>
          </w:tcPr>
          <w:p w14:paraId="0EEF1210" w14:textId="77777777" w:rsidR="005463FC" w:rsidRDefault="005463FC" w:rsidP="005463FC">
            <w:pPr>
              <w:pStyle w:val="TableColumnHeadingSmall"/>
              <w:jc w:val="center"/>
              <w:rPr>
                <w:color w:val="auto"/>
              </w:rPr>
            </w:pPr>
          </w:p>
        </w:tc>
        <w:tc>
          <w:tcPr>
            <w:tcW w:w="1474" w:type="dxa"/>
            <w:tcBorders>
              <w:top w:val="single" w:sz="4" w:space="0" w:color="E02628"/>
              <w:left w:val="single" w:sz="4" w:space="0" w:color="E0301E" w:themeColor="accent6"/>
              <w:bottom w:val="single" w:sz="4" w:space="0" w:color="E02628"/>
              <w:right w:val="nil"/>
            </w:tcBorders>
            <w:shd w:val="clear" w:color="auto" w:fill="E02628"/>
          </w:tcPr>
          <w:p w14:paraId="049499C7" w14:textId="77777777" w:rsidR="005463FC" w:rsidRDefault="005463FC" w:rsidP="005463FC">
            <w:pPr>
              <w:pStyle w:val="TableColumnHeadingSmall"/>
              <w:jc w:val="center"/>
              <w:rPr>
                <w:color w:val="auto"/>
              </w:rPr>
            </w:pPr>
          </w:p>
        </w:tc>
        <w:tc>
          <w:tcPr>
            <w:tcW w:w="1361" w:type="dxa"/>
            <w:tcBorders>
              <w:top w:val="single" w:sz="4" w:space="0" w:color="E02628"/>
              <w:left w:val="nil"/>
              <w:bottom w:val="single" w:sz="4" w:space="0" w:color="E02628"/>
              <w:right w:val="nil"/>
            </w:tcBorders>
            <w:shd w:val="clear" w:color="auto" w:fill="E02628"/>
          </w:tcPr>
          <w:p w14:paraId="53DC0FFA" w14:textId="77777777" w:rsidR="005463FC" w:rsidRDefault="005463FC" w:rsidP="005463FC">
            <w:pPr>
              <w:pStyle w:val="TableColumnHeadingSmall"/>
              <w:jc w:val="center"/>
              <w:rPr>
                <w:color w:val="auto"/>
              </w:rPr>
            </w:pPr>
          </w:p>
        </w:tc>
        <w:tc>
          <w:tcPr>
            <w:tcW w:w="1283" w:type="dxa"/>
            <w:tcBorders>
              <w:top w:val="single" w:sz="4" w:space="0" w:color="E02628"/>
              <w:left w:val="nil"/>
              <w:bottom w:val="single" w:sz="4" w:space="0" w:color="E02628"/>
              <w:right w:val="nil"/>
            </w:tcBorders>
            <w:shd w:val="clear" w:color="auto" w:fill="E02628"/>
          </w:tcPr>
          <w:p w14:paraId="3C5DDBDD" w14:textId="77777777" w:rsidR="005463FC" w:rsidRDefault="005463FC" w:rsidP="005463FC">
            <w:pPr>
              <w:pStyle w:val="TableColumnHeadingSmall"/>
              <w:jc w:val="center"/>
              <w:rPr>
                <w:color w:val="auto"/>
              </w:rPr>
            </w:pPr>
          </w:p>
        </w:tc>
      </w:tr>
      <w:tr w:rsidR="005463FC" w14:paraId="57498F6E"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5FD58C3F" w14:textId="77777777" w:rsidR="005463FC" w:rsidRDefault="005463FC" w:rsidP="005463FC">
            <w:pPr>
              <w:pStyle w:val="TableTextSmall"/>
              <w:keepNext/>
              <w:rPr>
                <w:lang w:eastAsia="en-AU"/>
              </w:rPr>
            </w:pPr>
            <w:r>
              <w:rPr>
                <w:lang w:eastAsia="en-AU"/>
              </w:rPr>
              <w:t>- 10 Previous welfare recipients</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1E724766" w14:textId="77777777" w:rsidR="005463FC" w:rsidRDefault="005463FC" w:rsidP="005463FC">
            <w:pPr>
              <w:pStyle w:val="TableTextSmall"/>
              <w:keepNext/>
              <w:jc w:val="center"/>
              <w:rPr>
                <w:color w:val="auto"/>
              </w:rPr>
            </w:pPr>
            <w:r w:rsidRPr="00310B20">
              <w:t>+8</w:t>
            </w:r>
          </w:p>
        </w:tc>
        <w:tc>
          <w:tcPr>
            <w:tcW w:w="1474" w:type="dxa"/>
            <w:tcBorders>
              <w:top w:val="single" w:sz="4" w:space="0" w:color="E02628"/>
              <w:left w:val="single" w:sz="4" w:space="0" w:color="E0301E" w:themeColor="accent6"/>
              <w:bottom w:val="single" w:sz="4" w:space="0" w:color="E02628"/>
              <w:right w:val="nil"/>
            </w:tcBorders>
            <w:shd w:val="clear" w:color="auto" w:fill="FFFFFF"/>
            <w:hideMark/>
          </w:tcPr>
          <w:p w14:paraId="2129C6DC" w14:textId="77777777" w:rsidR="005463FC" w:rsidRDefault="005463FC" w:rsidP="005463FC">
            <w:pPr>
              <w:pStyle w:val="TableTextSmall"/>
              <w:keepNext/>
              <w:jc w:val="center"/>
              <w:rPr>
                <w:color w:val="auto"/>
              </w:rPr>
            </w:pPr>
            <w:r w:rsidRPr="00310B20">
              <w:t>+5</w:t>
            </w:r>
          </w:p>
        </w:tc>
        <w:tc>
          <w:tcPr>
            <w:tcW w:w="1361" w:type="dxa"/>
            <w:tcBorders>
              <w:top w:val="single" w:sz="4" w:space="0" w:color="E02628"/>
              <w:left w:val="nil"/>
              <w:bottom w:val="single" w:sz="4" w:space="0" w:color="E02628"/>
              <w:right w:val="nil"/>
            </w:tcBorders>
            <w:shd w:val="clear" w:color="auto" w:fill="FFFFFF"/>
            <w:hideMark/>
          </w:tcPr>
          <w:p w14:paraId="5ABE9F3E" w14:textId="77777777" w:rsidR="005463FC" w:rsidRPr="00F5517B" w:rsidRDefault="005463FC" w:rsidP="005463FC">
            <w:pPr>
              <w:pStyle w:val="TableTextSmall"/>
              <w:jc w:val="center"/>
              <w:rPr>
                <w:color w:val="A6A6A6" w:themeColor="background1" w:themeShade="A6"/>
              </w:rPr>
            </w:pPr>
            <w:r w:rsidRPr="00F5517B">
              <w:rPr>
                <w:color w:val="A6A6A6" w:themeColor="background1" w:themeShade="A6"/>
              </w:rPr>
              <w:t>&lt;1</w:t>
            </w:r>
          </w:p>
        </w:tc>
        <w:tc>
          <w:tcPr>
            <w:tcW w:w="1283" w:type="dxa"/>
            <w:tcBorders>
              <w:top w:val="single" w:sz="4" w:space="0" w:color="E02628"/>
              <w:left w:val="nil"/>
              <w:bottom w:val="single" w:sz="4" w:space="0" w:color="E02628"/>
              <w:right w:val="nil"/>
            </w:tcBorders>
            <w:shd w:val="clear" w:color="auto" w:fill="FFFFFF"/>
            <w:hideMark/>
          </w:tcPr>
          <w:p w14:paraId="5DEFE5A3" w14:textId="77777777" w:rsidR="005463FC" w:rsidRDefault="005463FC" w:rsidP="005463FC">
            <w:pPr>
              <w:pStyle w:val="TableTextSmall"/>
              <w:keepNext/>
              <w:jc w:val="center"/>
              <w:rPr>
                <w:color w:val="auto"/>
              </w:rPr>
            </w:pPr>
            <w:r w:rsidRPr="00310B20">
              <w:t>+3</w:t>
            </w:r>
          </w:p>
        </w:tc>
      </w:tr>
      <w:tr w:rsidR="005463FC" w14:paraId="6C1B51CD"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FFFFFF"/>
            <w:noWrap/>
            <w:vAlign w:val="center"/>
            <w:hideMark/>
          </w:tcPr>
          <w:p w14:paraId="3C105A69" w14:textId="77777777" w:rsidR="005463FC" w:rsidRDefault="005463FC" w:rsidP="005463FC">
            <w:pPr>
              <w:pStyle w:val="TableTextSmall"/>
              <w:keepNext/>
              <w:rPr>
                <w:lang w:eastAsia="en-AU"/>
              </w:rPr>
            </w:pPr>
            <w:r>
              <w:rPr>
                <w:lang w:eastAsia="en-AU"/>
              </w:rPr>
              <w:t>- 12 Rest of Australian Population</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FFFFFF"/>
            <w:noWrap/>
            <w:hideMark/>
          </w:tcPr>
          <w:p w14:paraId="5A6933C0" w14:textId="77777777" w:rsidR="005463FC" w:rsidRDefault="005463FC" w:rsidP="005463FC">
            <w:pPr>
              <w:pStyle w:val="TableTextSmall"/>
              <w:keepNext/>
              <w:jc w:val="center"/>
              <w:rPr>
                <w:color w:val="auto"/>
              </w:rPr>
            </w:pPr>
            <w:r w:rsidRPr="00310B20">
              <w:t>+1</w:t>
            </w:r>
          </w:p>
        </w:tc>
        <w:tc>
          <w:tcPr>
            <w:tcW w:w="1474" w:type="dxa"/>
            <w:tcBorders>
              <w:top w:val="single" w:sz="4" w:space="0" w:color="E02628"/>
              <w:left w:val="single" w:sz="4" w:space="0" w:color="E0301E" w:themeColor="accent6"/>
              <w:bottom w:val="single" w:sz="4" w:space="0" w:color="E02628"/>
              <w:right w:val="nil"/>
            </w:tcBorders>
            <w:shd w:val="clear" w:color="auto" w:fill="FFFFFF"/>
            <w:hideMark/>
          </w:tcPr>
          <w:p w14:paraId="10F34324" w14:textId="77777777" w:rsidR="005463FC" w:rsidRDefault="005463FC" w:rsidP="005463FC">
            <w:pPr>
              <w:pStyle w:val="TableTextSmall"/>
              <w:keepNext/>
              <w:jc w:val="center"/>
              <w:rPr>
                <w:color w:val="auto"/>
              </w:rPr>
            </w:pPr>
            <w:r w:rsidRPr="00310B20">
              <w:t>+4</w:t>
            </w:r>
          </w:p>
        </w:tc>
        <w:tc>
          <w:tcPr>
            <w:tcW w:w="1361" w:type="dxa"/>
            <w:tcBorders>
              <w:top w:val="single" w:sz="4" w:space="0" w:color="E02628"/>
              <w:left w:val="nil"/>
              <w:bottom w:val="single" w:sz="4" w:space="0" w:color="E02628"/>
              <w:right w:val="nil"/>
            </w:tcBorders>
            <w:shd w:val="clear" w:color="auto" w:fill="FFFFFF"/>
            <w:hideMark/>
          </w:tcPr>
          <w:p w14:paraId="5F636F41" w14:textId="77777777" w:rsidR="005463FC" w:rsidRPr="00F5517B" w:rsidRDefault="005463FC" w:rsidP="005463FC">
            <w:pPr>
              <w:pStyle w:val="TableTextSmall"/>
              <w:jc w:val="center"/>
              <w:rPr>
                <w:color w:val="A6A6A6" w:themeColor="background1" w:themeShade="A6"/>
              </w:rPr>
            </w:pPr>
            <w:r w:rsidRPr="00F5517B">
              <w:rPr>
                <w:color w:val="A6A6A6" w:themeColor="background1" w:themeShade="A6"/>
              </w:rPr>
              <w:t>&lt;1</w:t>
            </w:r>
          </w:p>
        </w:tc>
        <w:tc>
          <w:tcPr>
            <w:tcW w:w="1283" w:type="dxa"/>
            <w:tcBorders>
              <w:top w:val="single" w:sz="4" w:space="0" w:color="E02628"/>
              <w:left w:val="nil"/>
              <w:bottom w:val="single" w:sz="4" w:space="0" w:color="E02628"/>
              <w:right w:val="nil"/>
            </w:tcBorders>
            <w:shd w:val="clear" w:color="auto" w:fill="FFFFFF"/>
            <w:hideMark/>
          </w:tcPr>
          <w:p w14:paraId="04AFECC7" w14:textId="77777777" w:rsidR="005463FC" w:rsidRDefault="005463FC" w:rsidP="005463FC">
            <w:pPr>
              <w:pStyle w:val="TableTextSmall"/>
              <w:keepNext/>
              <w:jc w:val="center"/>
              <w:rPr>
                <w:color w:val="auto"/>
              </w:rPr>
            </w:pPr>
            <w:r w:rsidRPr="00310B20">
              <w:t>-3</w:t>
            </w:r>
          </w:p>
        </w:tc>
      </w:tr>
      <w:tr w:rsidR="005463FC" w14:paraId="5C33BF93"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F4CACA" w:themeFill="accent5" w:themeFillTint="33"/>
            <w:noWrap/>
            <w:vAlign w:val="center"/>
            <w:hideMark/>
          </w:tcPr>
          <w:p w14:paraId="6F1E188F" w14:textId="77777777" w:rsidR="005463FC" w:rsidRDefault="005463FC" w:rsidP="005463FC">
            <w:pPr>
              <w:pStyle w:val="TableTextSmall"/>
              <w:keepNext/>
              <w:rPr>
                <w:i/>
                <w:lang w:eastAsia="en-AU"/>
              </w:rPr>
            </w:pPr>
            <w:r>
              <w:rPr>
                <w:i/>
                <w:lang w:eastAsia="en-AU"/>
              </w:rPr>
              <w:t>Total non-welfare recipients</w:t>
            </w:r>
          </w:p>
        </w:tc>
        <w:tc>
          <w:tcPr>
            <w:tcW w:w="1587" w:type="dxa"/>
            <w:tcBorders>
              <w:top w:val="single" w:sz="4" w:space="0" w:color="E02628"/>
              <w:left w:val="single" w:sz="4" w:space="0" w:color="E0301E" w:themeColor="accent6"/>
              <w:bottom w:val="single" w:sz="4" w:space="0" w:color="E02628"/>
              <w:right w:val="single" w:sz="4" w:space="0" w:color="E0301E" w:themeColor="accent6"/>
            </w:tcBorders>
            <w:shd w:val="clear" w:color="auto" w:fill="F4CACA" w:themeFill="accent5" w:themeFillTint="33"/>
            <w:noWrap/>
            <w:hideMark/>
          </w:tcPr>
          <w:p w14:paraId="70A12626" w14:textId="77777777" w:rsidR="005463FC" w:rsidRDefault="005463FC" w:rsidP="005463FC">
            <w:pPr>
              <w:pStyle w:val="TableTextSmall"/>
              <w:keepNext/>
              <w:jc w:val="center"/>
              <w:rPr>
                <w:i/>
                <w:color w:val="auto"/>
              </w:rPr>
            </w:pPr>
            <w:r w:rsidRPr="00310B20">
              <w:t>+3</w:t>
            </w:r>
          </w:p>
        </w:tc>
        <w:tc>
          <w:tcPr>
            <w:tcW w:w="1474" w:type="dxa"/>
            <w:tcBorders>
              <w:top w:val="single" w:sz="4" w:space="0" w:color="E02628"/>
              <w:left w:val="single" w:sz="4" w:space="0" w:color="E0301E" w:themeColor="accent6"/>
              <w:bottom w:val="single" w:sz="4" w:space="0" w:color="E02628"/>
              <w:right w:val="nil"/>
            </w:tcBorders>
            <w:shd w:val="clear" w:color="auto" w:fill="F4CACA" w:themeFill="accent5" w:themeFillTint="33"/>
            <w:hideMark/>
          </w:tcPr>
          <w:p w14:paraId="714177E9" w14:textId="77777777" w:rsidR="005463FC" w:rsidRDefault="005463FC" w:rsidP="005463FC">
            <w:pPr>
              <w:pStyle w:val="TableTextSmall"/>
              <w:keepNext/>
              <w:jc w:val="center"/>
              <w:rPr>
                <w:i/>
                <w:color w:val="auto"/>
              </w:rPr>
            </w:pPr>
            <w:r w:rsidRPr="00310B20">
              <w:t>+4</w:t>
            </w:r>
          </w:p>
        </w:tc>
        <w:tc>
          <w:tcPr>
            <w:tcW w:w="1361" w:type="dxa"/>
            <w:tcBorders>
              <w:top w:val="single" w:sz="4" w:space="0" w:color="E02628"/>
              <w:left w:val="nil"/>
              <w:bottom w:val="single" w:sz="4" w:space="0" w:color="E02628"/>
              <w:right w:val="nil"/>
            </w:tcBorders>
            <w:shd w:val="clear" w:color="auto" w:fill="F4CACA" w:themeFill="accent5" w:themeFillTint="33"/>
            <w:hideMark/>
          </w:tcPr>
          <w:p w14:paraId="77A22C70" w14:textId="77777777" w:rsidR="005463FC" w:rsidRPr="00F5517B" w:rsidRDefault="005463FC" w:rsidP="005463FC">
            <w:pPr>
              <w:pStyle w:val="TableTextSmall"/>
              <w:jc w:val="center"/>
              <w:rPr>
                <w:i/>
                <w:color w:val="A6A6A6" w:themeColor="background1" w:themeShade="A6"/>
              </w:rPr>
            </w:pPr>
            <w:r w:rsidRPr="00F5517B">
              <w:rPr>
                <w:color w:val="A6A6A6" w:themeColor="background1" w:themeShade="A6"/>
              </w:rPr>
              <w:t>&lt;1</w:t>
            </w:r>
          </w:p>
        </w:tc>
        <w:tc>
          <w:tcPr>
            <w:tcW w:w="1283" w:type="dxa"/>
            <w:tcBorders>
              <w:top w:val="single" w:sz="4" w:space="0" w:color="E02628"/>
              <w:left w:val="nil"/>
              <w:bottom w:val="single" w:sz="4" w:space="0" w:color="E02628"/>
              <w:right w:val="nil"/>
            </w:tcBorders>
            <w:shd w:val="clear" w:color="auto" w:fill="F4CACA" w:themeFill="accent5" w:themeFillTint="33"/>
            <w:hideMark/>
          </w:tcPr>
          <w:p w14:paraId="238FBC33" w14:textId="77777777" w:rsidR="005463FC" w:rsidRPr="00470608" w:rsidRDefault="005463FC" w:rsidP="005463FC">
            <w:pPr>
              <w:pStyle w:val="TableTextSmall"/>
              <w:keepNext/>
              <w:jc w:val="center"/>
              <w:rPr>
                <w:i/>
                <w:color w:val="A6A6A6" w:themeColor="background1" w:themeShade="A6"/>
              </w:rPr>
            </w:pPr>
            <w:r w:rsidRPr="00310B20">
              <w:t>-1</w:t>
            </w:r>
          </w:p>
        </w:tc>
      </w:tr>
      <w:tr w:rsidR="005463FC" w14:paraId="107AF50F" w14:textId="77777777" w:rsidTr="005463FC">
        <w:trPr>
          <w:trHeight w:val="227"/>
          <w:tblHeader/>
        </w:trPr>
        <w:tc>
          <w:tcPr>
            <w:tcW w:w="2750" w:type="dxa"/>
            <w:tcBorders>
              <w:top w:val="single" w:sz="4" w:space="0" w:color="E02628"/>
              <w:left w:val="nil"/>
              <w:bottom w:val="single" w:sz="4" w:space="0" w:color="E02628"/>
              <w:right w:val="single" w:sz="4" w:space="0" w:color="E0301E" w:themeColor="accent6"/>
            </w:tcBorders>
            <w:shd w:val="clear" w:color="auto" w:fill="E02628"/>
            <w:noWrap/>
            <w:vAlign w:val="center"/>
            <w:hideMark/>
          </w:tcPr>
          <w:p w14:paraId="48495C71" w14:textId="77777777" w:rsidR="005463FC" w:rsidRDefault="005463FC" w:rsidP="005463FC">
            <w:pPr>
              <w:pStyle w:val="TableColumnHeadingSmall"/>
            </w:pPr>
            <w:r>
              <w:t>Australian resident population</w:t>
            </w:r>
          </w:p>
        </w:tc>
        <w:tc>
          <w:tcPr>
            <w:tcW w:w="1587" w:type="dxa"/>
            <w:tcBorders>
              <w:top w:val="single" w:sz="4" w:space="0" w:color="E02628"/>
              <w:left w:val="single" w:sz="4" w:space="0" w:color="E0301E" w:themeColor="accent6"/>
              <w:bottom w:val="single" w:sz="4" w:space="0" w:color="E02628"/>
              <w:right w:val="nil"/>
            </w:tcBorders>
            <w:shd w:val="clear" w:color="auto" w:fill="E02628"/>
            <w:noWrap/>
            <w:hideMark/>
          </w:tcPr>
          <w:p w14:paraId="416C466C" w14:textId="77777777" w:rsidR="005463FC" w:rsidRDefault="005463FC" w:rsidP="005463FC">
            <w:pPr>
              <w:pStyle w:val="TableColumnHeadingSmall"/>
              <w:jc w:val="center"/>
            </w:pPr>
            <w:r w:rsidRPr="00310B20">
              <w:t>+3</w:t>
            </w:r>
          </w:p>
        </w:tc>
        <w:tc>
          <w:tcPr>
            <w:tcW w:w="1474" w:type="dxa"/>
            <w:tcBorders>
              <w:top w:val="single" w:sz="4" w:space="0" w:color="E02628"/>
              <w:left w:val="nil"/>
              <w:bottom w:val="single" w:sz="4" w:space="0" w:color="E02628"/>
              <w:right w:val="nil"/>
            </w:tcBorders>
            <w:shd w:val="clear" w:color="auto" w:fill="E02628"/>
            <w:hideMark/>
          </w:tcPr>
          <w:p w14:paraId="71D6823C" w14:textId="77777777" w:rsidR="005463FC" w:rsidRDefault="005463FC" w:rsidP="005463FC">
            <w:pPr>
              <w:pStyle w:val="TableColumnHeadingSmall"/>
              <w:jc w:val="center"/>
            </w:pPr>
            <w:r w:rsidRPr="00310B20">
              <w:t>+5</w:t>
            </w:r>
          </w:p>
        </w:tc>
        <w:tc>
          <w:tcPr>
            <w:tcW w:w="1361" w:type="dxa"/>
            <w:tcBorders>
              <w:top w:val="single" w:sz="4" w:space="0" w:color="E02628"/>
              <w:left w:val="nil"/>
              <w:bottom w:val="single" w:sz="4" w:space="0" w:color="E02628"/>
              <w:right w:val="nil"/>
            </w:tcBorders>
            <w:shd w:val="clear" w:color="auto" w:fill="E02628"/>
            <w:hideMark/>
          </w:tcPr>
          <w:p w14:paraId="4D4F324E" w14:textId="77777777" w:rsidR="005463FC" w:rsidRPr="00F5517B" w:rsidRDefault="005463FC" w:rsidP="005463FC">
            <w:pPr>
              <w:pStyle w:val="TableTextSmall"/>
              <w:jc w:val="center"/>
              <w:rPr>
                <w:color w:val="A6A6A6" w:themeColor="background1" w:themeShade="A6"/>
              </w:rPr>
            </w:pPr>
            <w:r w:rsidRPr="00F5517B">
              <w:rPr>
                <w:color w:val="A6A6A6" w:themeColor="background1" w:themeShade="A6"/>
              </w:rPr>
              <w:t>&lt;1</w:t>
            </w:r>
          </w:p>
        </w:tc>
        <w:tc>
          <w:tcPr>
            <w:tcW w:w="1283" w:type="dxa"/>
            <w:tcBorders>
              <w:top w:val="single" w:sz="4" w:space="0" w:color="E02628"/>
              <w:left w:val="nil"/>
              <w:bottom w:val="single" w:sz="4" w:space="0" w:color="E02628"/>
              <w:right w:val="nil"/>
            </w:tcBorders>
            <w:shd w:val="clear" w:color="auto" w:fill="E02628"/>
            <w:hideMark/>
          </w:tcPr>
          <w:p w14:paraId="7249B393" w14:textId="21E83BF0" w:rsidR="005463FC" w:rsidRDefault="005463FC" w:rsidP="004B0A8B">
            <w:pPr>
              <w:pStyle w:val="TableColumnHeadingSmall"/>
              <w:jc w:val="center"/>
            </w:pPr>
            <w:r w:rsidRPr="00310B20">
              <w:t>-</w:t>
            </w:r>
            <w:r w:rsidR="004B0A8B">
              <w:t>2</w:t>
            </w:r>
          </w:p>
        </w:tc>
      </w:tr>
    </w:tbl>
    <w:p w14:paraId="5817EE3B" w14:textId="77777777" w:rsidR="005463FC" w:rsidRDefault="005463FC" w:rsidP="005463FC">
      <w:pPr>
        <w:pStyle w:val="PwCNormal"/>
        <w:numPr>
          <w:ilvl w:val="0"/>
          <w:numId w:val="0"/>
        </w:numPr>
      </w:pPr>
      <w:r>
        <w:t xml:space="preserve">From the tables above we can see that at this valuation, the majority of the $167bn increase in total lifetime cost comes from </w:t>
      </w:r>
      <w:r>
        <w:rPr>
          <w:b/>
        </w:rPr>
        <w:t>non</w:t>
      </w:r>
      <w:r>
        <w:rPr>
          <w:b/>
        </w:rPr>
        <w:noBreakHyphen/>
        <w:t>welfare recipients</w:t>
      </w:r>
      <w:r>
        <w:t xml:space="preserve"> (classes 10 and 12), with a </w:t>
      </w:r>
      <w:r>
        <w:rPr>
          <w:b/>
        </w:rPr>
        <w:t>$128bn increase</w:t>
      </w:r>
      <w:r>
        <w:t xml:space="preserve"> in their estimated total lifetime cost. This increase was driven by a 3.1% increase in the population in these classes, as well as a 2.2% increase in the estimated average lifetime cost per person.</w:t>
      </w:r>
    </w:p>
    <w:p w14:paraId="291B269A" w14:textId="77777777" w:rsidR="005463FC" w:rsidRDefault="005463FC" w:rsidP="005463FC">
      <w:pPr>
        <w:pStyle w:val="PwCNormal"/>
        <w:numPr>
          <w:ilvl w:val="0"/>
          <w:numId w:val="33"/>
        </w:numPr>
      </w:pPr>
      <w:r>
        <w:t xml:space="preserve">At this valuation, the estimated total lifetime cost for </w:t>
      </w:r>
      <w:r>
        <w:rPr>
          <w:b/>
        </w:rPr>
        <w:t>current welfare recipients</w:t>
      </w:r>
      <w:r>
        <w:t xml:space="preserve"> (classes 1 to 9) </w:t>
      </w:r>
      <w:r>
        <w:rPr>
          <w:b/>
        </w:rPr>
        <w:t xml:space="preserve">increased by $39bn. </w:t>
      </w:r>
      <w:r>
        <w:t>This increase was made up of 0.4% reduction in the population in these classes and a 2.3% increase in the estimated average lifetime cost per person.</w:t>
      </w:r>
    </w:p>
    <w:p w14:paraId="11A49B45" w14:textId="77777777" w:rsidR="005463FC" w:rsidRDefault="005463FC" w:rsidP="005463FC">
      <w:pPr>
        <w:kinsoku/>
        <w:overflowPunct/>
        <w:autoSpaceDE/>
        <w:autoSpaceDN/>
        <w:adjustRightInd/>
        <w:snapToGrid/>
        <w:rPr>
          <w:rFonts w:ascii="Times New Roman" w:hAnsi="Times New Roman" w:cs="Times New Roman"/>
          <w:color w:val="auto"/>
          <w:sz w:val="24"/>
          <w:szCs w:val="24"/>
          <w:lang w:eastAsia="en-AU"/>
        </w:rPr>
      </w:pPr>
      <w:r>
        <w:t>The increases in the estimated average lifetime cost per person can largely be attributed to inflation of future payments, an increase in the average size of the Age Pension, and partially offset by reduced entries into class 5 Disability Support and class 6 Age Pensions.</w:t>
      </w:r>
      <w:r>
        <w:rPr>
          <w:rFonts w:ascii="Times New Roman" w:hAnsi="Times New Roman" w:cs="Times New Roman"/>
          <w:color w:val="auto"/>
          <w:sz w:val="24"/>
          <w:szCs w:val="24"/>
          <w:lang w:eastAsia="en-AU"/>
        </w:rPr>
        <w:t xml:space="preserve"> </w:t>
      </w:r>
    </w:p>
    <w:p w14:paraId="72E557D1" w14:textId="77777777" w:rsidR="005463FC" w:rsidRPr="00E3495C" w:rsidRDefault="005463FC" w:rsidP="005463FC">
      <w:pPr>
        <w:pStyle w:val="Heading3"/>
      </w:pPr>
      <w:bookmarkStart w:id="166" w:name="_Toc498625181"/>
      <w:bookmarkStart w:id="167" w:name="_Toc506388222"/>
      <w:r w:rsidRPr="00E3495C">
        <w:t>Changes since</w:t>
      </w:r>
      <w:r>
        <w:t xml:space="preserve"> the</w:t>
      </w:r>
      <w:r w:rsidRPr="00E3495C">
        <w:t xml:space="preserve"> baselin</w:t>
      </w:r>
      <w:r>
        <w:t>e valuation</w:t>
      </w:r>
      <w:bookmarkEnd w:id="166"/>
      <w:bookmarkEnd w:id="167"/>
    </w:p>
    <w:p w14:paraId="6366DE24" w14:textId="77777777" w:rsidR="005463FC" w:rsidRDefault="005463FC" w:rsidP="005463FC">
      <w:pPr>
        <w:pStyle w:val="PwCNormal"/>
        <w:numPr>
          <w:ilvl w:val="0"/>
          <w:numId w:val="0"/>
        </w:numPr>
        <w:rPr>
          <w:snapToGrid/>
        </w:rPr>
      </w:pPr>
      <w:r>
        <w:t>This is the second valuation since the baseline valuation. The figure below shows the cumulative movement in the estimated lifetime cost since the baseline valuation.</w:t>
      </w:r>
    </w:p>
    <w:p w14:paraId="7C64F699" w14:textId="77777777" w:rsidR="005463FC" w:rsidRDefault="005463FC" w:rsidP="005463FC">
      <w:pPr>
        <w:pStyle w:val="PwCNormal"/>
        <w:numPr>
          <w:ilvl w:val="0"/>
          <w:numId w:val="0"/>
        </w:numPr>
      </w:pPr>
      <w:r>
        <w:t xml:space="preserve">Typically we would expect the estimated lifetime cost to </w:t>
      </w:r>
      <w:r w:rsidRPr="00AA75C5">
        <w:t>increase from</w:t>
      </w:r>
      <w:r>
        <w:t xml:space="preserve"> year to year due to general population growth and inflation. However the changes in the lifetime co</w:t>
      </w:r>
      <w:r w:rsidRPr="00AA75C5">
        <w:t>st may also vary</w:t>
      </w:r>
      <w:r>
        <w:t xml:space="preserve"> each year due to model changes, policy changes, and changes in welfare utilisation and experience. These are discussed in detail in the following section.</w:t>
      </w:r>
    </w:p>
    <w:p w14:paraId="48553E86" w14:textId="231A0900" w:rsidR="005463FC" w:rsidRDefault="005463FC" w:rsidP="005463FC">
      <w:pPr>
        <w:pStyle w:val="Caption"/>
      </w:pPr>
      <w:r>
        <w:lastRenderedPageBreak/>
        <w:t xml:space="preserve">Figure </w:t>
      </w:r>
      <w:fldSimple w:instr=" SEQ Figure \* ARABIC ">
        <w:r w:rsidR="00C93C1A">
          <w:rPr>
            <w:noProof/>
          </w:rPr>
          <w:t>46</w:t>
        </w:r>
      </w:fldSimple>
      <w:r>
        <w:t>: Changes since the baseline valuation</w:t>
      </w:r>
    </w:p>
    <w:p w14:paraId="094C66BC" w14:textId="77777777" w:rsidR="005463FC" w:rsidRDefault="005463FC" w:rsidP="005463FC">
      <w:pPr>
        <w:pStyle w:val="PwCNormal"/>
        <w:numPr>
          <w:ilvl w:val="0"/>
          <w:numId w:val="33"/>
        </w:numPr>
      </w:pPr>
      <w:r w:rsidRPr="00E50AED">
        <w:t xml:space="preserve"> </w:t>
      </w:r>
      <w:r w:rsidRPr="00172324">
        <w:rPr>
          <w:noProof/>
          <w:lang w:eastAsia="en-AU"/>
        </w:rPr>
        <w:drawing>
          <wp:inline distT="0" distB="0" distL="0" distR="0" wp14:anchorId="4DD22F77" wp14:editId="077D230A">
            <wp:extent cx="5832475" cy="3013510"/>
            <wp:effectExtent l="0" t="0" r="0" b="0"/>
            <wp:docPr id="3882" name="Picture 3882" descr="This figure is a waterfall chart. The chart depicts changes to the total lifetime cost since the baseline valuation at June 2015, split by various contributing components. The vertical axis shows total lifetime cost, ranging from $4,200 to $5,000 billion. &#10;&#10;The horizontal axis is split into five sections. &#10;The first section shows the lifetime cost at the June 2015 valuation ($4,764bn). The second section shows components contributing to the changes from the June 2015 valuation to the June 2016 valuation. This section consists of the following columns: population growth over FY15/16 (+$59bn), indexation of payments (+$38bn), model refinement (-$181bn), policy changes (-$28bn), welfare utilization change (-$8bn) and experience and assumptions (-$131bn). The third section shows the lifetime cost at the June 2016 valuation ($4,514bn). The fourth section shows the components contributing to changes from the June 2016 valuation to the June 2017 valuation. This section consists of the following columns: population growth over FY16/17 (+$67bn), indexation of payments (+$135bn), model refinement ($0bn), policy changes (-$4bn), welfare utilization change (-$28bn) and experience and assumptions (-$3bn). The fifth section shows the lifetime cost at the June 2017 valuation ($4,681bn).&#10;&#10;Further details about these sections are discussed in the accompanying text within the report.&#10;" title="Changes since the baseline 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832475" cy="3013510"/>
                    </a:xfrm>
                    <a:prstGeom prst="rect">
                      <a:avLst/>
                    </a:prstGeom>
                    <a:noFill/>
                    <a:ln>
                      <a:noFill/>
                    </a:ln>
                  </pic:spPr>
                </pic:pic>
              </a:graphicData>
            </a:graphic>
          </wp:inline>
        </w:drawing>
      </w:r>
    </w:p>
    <w:p w14:paraId="530DFBC9" w14:textId="77777777" w:rsidR="005463FC" w:rsidRDefault="005463FC" w:rsidP="005463FC">
      <w:pPr>
        <w:pStyle w:val="Sources"/>
      </w:pPr>
      <w:r>
        <w:t>Notes:</w:t>
      </w:r>
    </w:p>
    <w:p w14:paraId="5A811E6B" w14:textId="00C88BC5" w:rsidR="005463FC" w:rsidRDefault="00EC1651" w:rsidP="005463FC">
      <w:pPr>
        <w:pStyle w:val="Sources"/>
      </w:pPr>
      <w:r>
        <w:t>The movements from June 2015 to June 2016 are drawn from the previous valuation however the presentation of this change has been modified to better align with this year’s description of the change in results.</w:t>
      </w:r>
    </w:p>
    <w:p w14:paraId="2678C4E4" w14:textId="77777777" w:rsidR="005463FC" w:rsidRDefault="005463FC" w:rsidP="005463FC">
      <w:pPr>
        <w:pStyle w:val="Heading4"/>
      </w:pPr>
      <w:r>
        <w:t>Population growth</w:t>
      </w:r>
    </w:p>
    <w:p w14:paraId="02262664" w14:textId="75F2BD68" w:rsidR="005463FC" w:rsidRPr="00901019" w:rsidRDefault="005463FC" w:rsidP="005463FC">
      <w:pPr>
        <w:pStyle w:val="PwCNormal"/>
        <w:numPr>
          <w:ilvl w:val="0"/>
          <w:numId w:val="33"/>
        </w:numPr>
      </w:pPr>
      <w:r>
        <w:t>From year to year, we would expect the Australian population to grow through births, deaths, and net migration, with a corresponding increase in the estimated total lifetime cost. Historically the Austra</w:t>
      </w:r>
      <w:r w:rsidRPr="00901019">
        <w:t>lian population has grown between 1</w:t>
      </w:r>
      <w:r w:rsidR="0049533C">
        <w:t xml:space="preserve"> to </w:t>
      </w:r>
      <w:r w:rsidRPr="00901019">
        <w:t xml:space="preserve">2% each year. </w:t>
      </w:r>
    </w:p>
    <w:p w14:paraId="0C9B695A" w14:textId="77777777" w:rsidR="005463FC" w:rsidRPr="00901019" w:rsidRDefault="005463FC" w:rsidP="005463FC">
      <w:pPr>
        <w:pStyle w:val="PwCNormal"/>
        <w:numPr>
          <w:ilvl w:val="0"/>
          <w:numId w:val="33"/>
        </w:numPr>
      </w:pPr>
      <w:r w:rsidRPr="00901019">
        <w:t xml:space="preserve">Since the baseline valuation, the impact of the change in the Australian Population has increased the total lifetime cost by </w:t>
      </w:r>
      <w:r w:rsidRPr="00901019">
        <w:rPr>
          <w:b/>
        </w:rPr>
        <w:t xml:space="preserve">$59bn </w:t>
      </w:r>
      <w:r w:rsidRPr="00901019">
        <w:t xml:space="preserve">at the June 2016 valuation, and by </w:t>
      </w:r>
      <w:r w:rsidRPr="00901019">
        <w:rPr>
          <w:b/>
        </w:rPr>
        <w:t xml:space="preserve">$67bn </w:t>
      </w:r>
      <w:r w:rsidRPr="00901019">
        <w:t>at the June 2017 valuation.</w:t>
      </w:r>
    </w:p>
    <w:p w14:paraId="41255CD1" w14:textId="77777777" w:rsidR="005463FC" w:rsidRDefault="005463FC" w:rsidP="005463FC">
      <w:pPr>
        <w:pStyle w:val="Heading4"/>
      </w:pPr>
      <w:r>
        <w:t>Indexation of payments</w:t>
      </w:r>
    </w:p>
    <w:p w14:paraId="51669475" w14:textId="38D7F8DA" w:rsidR="005463FC" w:rsidRDefault="005463FC" w:rsidP="005463FC">
      <w:pPr>
        <w:pStyle w:val="PwCNormal"/>
        <w:numPr>
          <w:ilvl w:val="0"/>
          <w:numId w:val="33"/>
        </w:numPr>
      </w:pPr>
      <w:r>
        <w:t>From year to year, welfare payments are expected to increase based on relevant inflation indices, such as Male Total Average Weekly Earnings (MTAWE) and Consumer Price Index (CPI). As a result, we would also expect a corresponding increase in the total lifetime cost at each valuation. The long term inflation rate is expected to be approximately 2</w:t>
      </w:r>
      <w:r w:rsidR="00FE30F6">
        <w:t xml:space="preserve"> to </w:t>
      </w:r>
      <w:r>
        <w:t xml:space="preserve">4%.The future outlook for inflation is revised at each valuation based on </w:t>
      </w:r>
      <w:r w:rsidR="00807107">
        <w:t xml:space="preserve">Australian Government </w:t>
      </w:r>
      <w:r>
        <w:t>forecasts.</w:t>
      </w:r>
    </w:p>
    <w:p w14:paraId="675A358D" w14:textId="77777777" w:rsidR="005463FC" w:rsidRDefault="005463FC" w:rsidP="005463FC">
      <w:pPr>
        <w:pStyle w:val="PwCNormal"/>
        <w:numPr>
          <w:ilvl w:val="0"/>
          <w:numId w:val="33"/>
        </w:numPr>
      </w:pPr>
      <w:r>
        <w:t xml:space="preserve">Since the baseline valuation, the impact of payment indexation has resulted in an overall </w:t>
      </w:r>
      <w:r>
        <w:rPr>
          <w:b/>
        </w:rPr>
        <w:t>$38bn increase</w:t>
      </w:r>
      <w:r>
        <w:t xml:space="preserve"> at the June 2016 valuation, and a </w:t>
      </w:r>
      <w:r>
        <w:rPr>
          <w:b/>
        </w:rPr>
        <w:t>$135bn increase</w:t>
      </w:r>
      <w:r>
        <w:t xml:space="preserve"> at the June 2017 valuation. Inflation over the 2015/16 year was much lower than expected, resulting in a smaller indexation impact compared to that observed at the June 2017 valuation.</w:t>
      </w:r>
    </w:p>
    <w:p w14:paraId="0AC55564" w14:textId="77777777" w:rsidR="005463FC" w:rsidRDefault="005463FC" w:rsidP="005463FC">
      <w:pPr>
        <w:pStyle w:val="Heading4"/>
      </w:pPr>
      <w:r>
        <w:t>Model refinements</w:t>
      </w:r>
    </w:p>
    <w:p w14:paraId="4F6997C6" w14:textId="77777777" w:rsidR="005463FC" w:rsidRDefault="005463FC" w:rsidP="005463FC">
      <w:pPr>
        <w:pStyle w:val="PwCNormal"/>
        <w:numPr>
          <w:ilvl w:val="0"/>
          <w:numId w:val="33"/>
        </w:numPr>
      </w:pPr>
      <w:r>
        <w:t>Over the last two valuations, refinements were made to the model with the aim to introduce greater differentiation of costs between groups, for example to differentiate better between those who are expected to have high persistency in the welfare system, and those who are expected to have lower persistency.</w:t>
      </w:r>
    </w:p>
    <w:p w14:paraId="20F0547C" w14:textId="0750959B" w:rsidR="005463FC" w:rsidRDefault="005463FC" w:rsidP="005463FC">
      <w:pPr>
        <w:pStyle w:val="PwCNormal"/>
        <w:numPr>
          <w:ilvl w:val="0"/>
          <w:numId w:val="33"/>
        </w:numPr>
      </w:pPr>
      <w:r>
        <w:t xml:space="preserve">At the June 2016 valuation significant model refinements were made, with the introduction of new welfare recipient characteristic variables, as well as the economic module. Overall these refinements resulted in an </w:t>
      </w:r>
      <w:r>
        <w:rPr>
          <w:b/>
        </w:rPr>
        <w:t>$181bn decrease</w:t>
      </w:r>
      <w:r>
        <w:t xml:space="preserve"> in the total lifetime cost, of which the majority related to the introduction of the economic module, and the associated change in the long term unemployment rate assumption.</w:t>
      </w:r>
    </w:p>
    <w:p w14:paraId="3EE5CC73" w14:textId="363B6935" w:rsidR="005463FC" w:rsidRDefault="005463FC" w:rsidP="005463FC">
      <w:pPr>
        <w:pStyle w:val="PwCNormal"/>
        <w:numPr>
          <w:ilvl w:val="0"/>
          <w:numId w:val="33"/>
        </w:numPr>
      </w:pPr>
      <w:r>
        <w:t xml:space="preserve">At the June 2017 valuation three new variables were introduced to the model; </w:t>
      </w:r>
      <w:r>
        <w:rPr>
          <w:b/>
        </w:rPr>
        <w:t>parental welfare dependence</w:t>
      </w:r>
      <w:r>
        <w:t xml:space="preserve">, a student’s current </w:t>
      </w:r>
      <w:r>
        <w:rPr>
          <w:b/>
        </w:rPr>
        <w:t>education sector</w:t>
      </w:r>
      <w:r>
        <w:t xml:space="preserve">, and a variable describing </w:t>
      </w:r>
      <w:r>
        <w:rPr>
          <w:b/>
        </w:rPr>
        <w:t>barriers to work</w:t>
      </w:r>
      <w:r>
        <w:t xml:space="preserve"> for </w:t>
      </w:r>
      <w:r w:rsidR="0033779C">
        <w:t xml:space="preserve">Working Age </w:t>
      </w:r>
      <w:r>
        <w:t xml:space="preserve">recipients. These three variables will primarily affect non-welfare recipients, and those in the Studying and Working age </w:t>
      </w:r>
      <w:r>
        <w:lastRenderedPageBreak/>
        <w:t>classes respectively, but will also have flow on impacts to the other classes. Whilst these variables will enable better differentiation between welfare recipients, these have minimal impact on the valuation result overall.</w:t>
      </w:r>
    </w:p>
    <w:p w14:paraId="10E1227C" w14:textId="77777777" w:rsidR="005463FC" w:rsidRDefault="005463FC" w:rsidP="005463FC">
      <w:pPr>
        <w:pStyle w:val="Heading4"/>
      </w:pPr>
      <w:r>
        <w:t>Policy Changes</w:t>
      </w:r>
    </w:p>
    <w:p w14:paraId="27F4A632" w14:textId="77777777" w:rsidR="005463FC" w:rsidRDefault="005463FC" w:rsidP="005463FC">
      <w:pPr>
        <w:pStyle w:val="PwCNormal"/>
        <w:numPr>
          <w:ilvl w:val="0"/>
          <w:numId w:val="33"/>
        </w:numPr>
      </w:pPr>
      <w:r>
        <w:t xml:space="preserve">Over the last two valuations, a number of policy changes have been legislated which influence the payment design and eligibility of welfare benefits. As these policy changes affect the behaviour and utilisation of the welfare system, where possible we have made explicit allowances for the impact of these policy changes. </w:t>
      </w:r>
    </w:p>
    <w:p w14:paraId="6F989A03" w14:textId="77777777" w:rsidR="005463FC" w:rsidRDefault="005463FC" w:rsidP="005463FC">
      <w:pPr>
        <w:pStyle w:val="PwCNormal"/>
        <w:numPr>
          <w:ilvl w:val="0"/>
          <w:numId w:val="33"/>
        </w:numPr>
      </w:pPr>
      <w:r>
        <w:t xml:space="preserve">Since the baseline valuation, the impact of policy changes has resulted in a </w:t>
      </w:r>
      <w:r>
        <w:rPr>
          <w:b/>
        </w:rPr>
        <w:t>$28bn decrease</w:t>
      </w:r>
      <w:r>
        <w:t xml:space="preserve"> at the June 2016 valuation, and a further </w:t>
      </w:r>
      <w:r>
        <w:rPr>
          <w:b/>
        </w:rPr>
        <w:t>$4bn decrease</w:t>
      </w:r>
      <w:r>
        <w:t xml:space="preserve"> at the June 2017 valuation.</w:t>
      </w:r>
    </w:p>
    <w:p w14:paraId="4C595ABA" w14:textId="77777777" w:rsidR="005463FC" w:rsidRDefault="005463FC" w:rsidP="005463FC">
      <w:pPr>
        <w:pStyle w:val="PwCNormal"/>
        <w:numPr>
          <w:ilvl w:val="0"/>
          <w:numId w:val="33"/>
        </w:numPr>
      </w:pPr>
      <w:r>
        <w:t>At the June 2016 valuation a number of policy changes were legislated, including the reduction in the income limit for FTB Part B, the removal of FTB Part B for couple families with a youngest child aged 13 and over, cessation of the Large Family Supplement, changes affecting Family Day Care services, and replacing the Student Start-up Scholarship with the Student Start-up Loan. Each of these resulted in a decrease in the lifetime cost.</w:t>
      </w:r>
    </w:p>
    <w:p w14:paraId="1AFA724E" w14:textId="757F0F90" w:rsidR="005463FC" w:rsidRDefault="005463FC" w:rsidP="005463FC">
      <w:pPr>
        <w:pStyle w:val="PwCNormal"/>
        <w:numPr>
          <w:ilvl w:val="0"/>
          <w:numId w:val="33"/>
        </w:numPr>
      </w:pPr>
      <w:r>
        <w:t>At the June 2017 valuation, a substantial increase due to the introduction of the Child Care Subsidy was more than offset by the introduction of the $80,000 income limit for claiming</w:t>
      </w:r>
      <w:r w:rsidR="00457E7D">
        <w:t xml:space="preserve"> the</w:t>
      </w:r>
      <w:r>
        <w:t xml:space="preserve"> Family Tax Benefit Part A </w:t>
      </w:r>
      <w:r w:rsidR="00457E7D">
        <w:t xml:space="preserve">supplement </w:t>
      </w:r>
      <w:r>
        <w:t>and the two year freeze on FTB rates.</w:t>
      </w:r>
    </w:p>
    <w:p w14:paraId="14FFE0EC" w14:textId="77777777" w:rsidR="005463FC" w:rsidRDefault="005463FC" w:rsidP="005463FC">
      <w:pPr>
        <w:pStyle w:val="Heading4"/>
      </w:pPr>
      <w:r>
        <w:t>Welfare Utilisation Change</w:t>
      </w:r>
    </w:p>
    <w:p w14:paraId="37647542" w14:textId="77777777" w:rsidR="005463FC" w:rsidRDefault="005463FC" w:rsidP="005463FC">
      <w:pPr>
        <w:pStyle w:val="PwCNormal"/>
        <w:numPr>
          <w:ilvl w:val="0"/>
          <w:numId w:val="33"/>
        </w:numPr>
      </w:pPr>
      <w:r>
        <w:t>The general welfare system utilisation of the population will also change over time. In general, the proportion of people utilising welfare over the period since the baseline valuation has been lower than previous levels.  This has resulted in a reduction in the total lifetime cost of $8bn at the June 2016 valuation and a reduction of $28bn at the June 2017 valuation.</w:t>
      </w:r>
    </w:p>
    <w:p w14:paraId="23F32F4F" w14:textId="77777777" w:rsidR="005463FC" w:rsidRDefault="005463FC" w:rsidP="005463FC">
      <w:pPr>
        <w:pStyle w:val="Heading4"/>
      </w:pPr>
      <w:r>
        <w:t>Experience and Assumptions</w:t>
      </w:r>
    </w:p>
    <w:p w14:paraId="436AA45E" w14:textId="77777777" w:rsidR="005463FC" w:rsidRDefault="005463FC" w:rsidP="005463FC">
      <w:pPr>
        <w:pStyle w:val="PwCNormal"/>
        <w:numPr>
          <w:ilvl w:val="0"/>
          <w:numId w:val="33"/>
        </w:numPr>
      </w:pPr>
      <w:r>
        <w:t>At each valuation, where relevant, assumptions relating to characteristics, class movements, payment utilisation and average sizes are updated to reflect recent experience.</w:t>
      </w:r>
    </w:p>
    <w:p w14:paraId="6D308C9A" w14:textId="77777777" w:rsidR="005463FC" w:rsidRDefault="005463FC" w:rsidP="005463FC">
      <w:pPr>
        <w:pStyle w:val="PwCNormal"/>
        <w:numPr>
          <w:ilvl w:val="0"/>
          <w:numId w:val="33"/>
        </w:numPr>
      </w:pPr>
      <w:r>
        <w:t xml:space="preserve">At the June 2016 valuation, updates for experience resulted in a </w:t>
      </w:r>
      <w:r>
        <w:rPr>
          <w:b/>
        </w:rPr>
        <w:t>$131bn decrease</w:t>
      </w:r>
      <w:r>
        <w:t xml:space="preserve"> in the total lifetime cost. This was primarily driven by a falling trend in the proportion of women with children (affecting the Parenting and Family classes), reduced entries into the Working Age class, other changes to class movements, and partially offset by an increase in the average size of Working Age payments (over and above indexation).</w:t>
      </w:r>
    </w:p>
    <w:p w14:paraId="7A8EE3B5" w14:textId="77777777" w:rsidR="005463FC" w:rsidRPr="008E34A6" w:rsidRDefault="005463FC" w:rsidP="005463FC">
      <w:pPr>
        <w:kinsoku/>
        <w:overflowPunct/>
        <w:autoSpaceDE/>
        <w:autoSpaceDN/>
        <w:adjustRightInd/>
        <w:snapToGrid/>
        <w:rPr>
          <w:rFonts w:ascii="Times New Roman" w:hAnsi="Times New Roman" w:cs="Times New Roman"/>
          <w:color w:val="auto"/>
          <w:sz w:val="24"/>
          <w:szCs w:val="24"/>
          <w:lang w:eastAsia="en-AU"/>
        </w:rPr>
      </w:pPr>
      <w:r>
        <w:t xml:space="preserve">At the June 2017 valuation, updates for experience resulted in a </w:t>
      </w:r>
      <w:r>
        <w:rPr>
          <w:b/>
        </w:rPr>
        <w:t>$3bn decrease</w:t>
      </w:r>
      <w:r>
        <w:t>. This has primarily been driven by reduced entries and movements into some Income Support classes offset by increases to the Age Pension average size in response to higher recent payment experience for new age pensioners.</w:t>
      </w:r>
    </w:p>
    <w:p w14:paraId="56C28905" w14:textId="77777777" w:rsidR="005463FC" w:rsidRDefault="005463FC" w:rsidP="005463FC">
      <w:pPr>
        <w:pStyle w:val="Heading3"/>
        <w:rPr>
          <w:snapToGrid/>
        </w:rPr>
      </w:pPr>
      <w:bookmarkStart w:id="168" w:name="_Toc498625182"/>
      <w:bookmarkStart w:id="169" w:name="_Toc506388223"/>
      <w:r>
        <w:t>Forecasts</w:t>
      </w:r>
      <w:bookmarkEnd w:id="168"/>
      <w:bookmarkEnd w:id="169"/>
    </w:p>
    <w:p w14:paraId="000F5ECF" w14:textId="77777777" w:rsidR="005463FC" w:rsidRDefault="005463FC" w:rsidP="005463FC">
      <w:pPr>
        <w:pStyle w:val="Heading4"/>
      </w:pPr>
      <w:r>
        <w:t>Lifetime cost</w:t>
      </w:r>
    </w:p>
    <w:p w14:paraId="68B4E471" w14:textId="77777777" w:rsidR="005463FC" w:rsidRDefault="005463FC" w:rsidP="005463FC">
      <w:pPr>
        <w:pStyle w:val="PwCNormal"/>
        <w:numPr>
          <w:ilvl w:val="0"/>
          <w:numId w:val="33"/>
        </w:numPr>
      </w:pPr>
      <w:r>
        <w:t xml:space="preserve">Lifetime cost forecasts are expectations of lifetime cost at future valuation dates. They provide useful benchmarks for future years’ valuations. As each subsequent valuation is performed, the differences to the benchmark can be examined to understand how the lifetime cost results differ from expectations. </w:t>
      </w:r>
    </w:p>
    <w:p w14:paraId="7EACBA8F" w14:textId="77777777" w:rsidR="005463FC" w:rsidRDefault="005463FC" w:rsidP="005463FC">
      <w:pPr>
        <w:pStyle w:val="PwCNormal"/>
        <w:numPr>
          <w:ilvl w:val="0"/>
          <w:numId w:val="33"/>
        </w:numPr>
      </w:pPr>
      <w:r>
        <w:t>Based on the current valuation we have developed a partial forecast of lifetime cost at the next five years for the people in the 30 June 2017 population. At 30 June 2018 we will be able to reassess the lifetime cost and explain the movements in the lifetime cost assessment. We will also be able to show the additional components of lifetime cost being added for new members of the population, including new birth and migrants.</w:t>
      </w:r>
    </w:p>
    <w:p w14:paraId="437E02ED" w14:textId="50729158" w:rsidR="005463FC" w:rsidRDefault="005463FC" w:rsidP="005463FC">
      <w:pPr>
        <w:pStyle w:val="Caption"/>
      </w:pPr>
      <w:r>
        <w:lastRenderedPageBreak/>
        <w:t xml:space="preserve"> Figure </w:t>
      </w:r>
      <w:fldSimple w:instr=" SEQ Figure \* ARABIC ">
        <w:r w:rsidR="00C93C1A">
          <w:rPr>
            <w:noProof/>
          </w:rPr>
          <w:t>47</w:t>
        </w:r>
      </w:fldSimple>
      <w:r>
        <w:t>: Projected Lifetime cost ($billion)</w:t>
      </w:r>
    </w:p>
    <w:p w14:paraId="5443050E" w14:textId="77777777" w:rsidR="005463FC" w:rsidRDefault="005463FC" w:rsidP="005463FC">
      <w:r>
        <w:rPr>
          <w:noProof/>
          <w:lang w:eastAsia="en-AU"/>
        </w:rPr>
        <w:drawing>
          <wp:inline distT="0" distB="0" distL="0" distR="0" wp14:anchorId="5AA9C10E" wp14:editId="5479A0D0">
            <wp:extent cx="3596640" cy="2164080"/>
            <wp:effectExtent l="0" t="0" r="3810" b="7620"/>
            <wp:docPr id="3883" name="Picture 3883" descr="This figure is a standard column chart that shows projected lifetime cost. The vertical axis shows the lifetime cost, ranging from $0bn to $6,000bn. The horizontal axis is split into six financial years ending 30 June from 2017 to 2022. &#10;&#10;The chart shows the projected lifetime cost in future financial years: $4,681bn in 2017, $4,839bn in 2018, $5,001bn in 2019, $5,167bn in 2020, $5,339bn in 2021, $5,514bn in 2022. &#10;&#10;The key features of this chart are described in the accompanying text within the report.&#10;" title="Projected Lifetime cost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96640" cy="2164080"/>
                    </a:xfrm>
                    <a:prstGeom prst="rect">
                      <a:avLst/>
                    </a:prstGeom>
                    <a:noFill/>
                    <a:ln>
                      <a:noFill/>
                    </a:ln>
                  </pic:spPr>
                </pic:pic>
              </a:graphicData>
            </a:graphic>
          </wp:inline>
        </w:drawing>
      </w:r>
    </w:p>
    <w:p w14:paraId="2A25C473" w14:textId="77777777" w:rsidR="005463FC" w:rsidRDefault="005463FC" w:rsidP="005463FC">
      <w:pPr>
        <w:pStyle w:val="Heading4"/>
      </w:pPr>
      <w:r>
        <w:t>People in each class</w:t>
      </w:r>
    </w:p>
    <w:p w14:paraId="05EE4BDE" w14:textId="77777777" w:rsidR="005463FC" w:rsidRDefault="005463FC" w:rsidP="005463FC">
      <w:pPr>
        <w:pStyle w:val="PwCNormal"/>
        <w:keepNext/>
        <w:numPr>
          <w:ilvl w:val="0"/>
          <w:numId w:val="33"/>
        </w:numPr>
      </w:pPr>
      <w:r>
        <w:t>The chart below looks at the actual and projected numbers of people in each welfare class. The red and orange bars show the actual number of people in each class for the year ending 30 June 2017, as well as the expected numbers of people in each active class over the period June 2018 to June 2022. We’ve also included information from the previous June 2016 valuation for comparison: the grey bar shows the actual number of people in each class for the year ending 30 June 2016; whilst the black/grey outline bars show the projected numbers based on the June 2016 valuation.</w:t>
      </w:r>
    </w:p>
    <w:p w14:paraId="21E14031" w14:textId="563EC81D" w:rsidR="005463FC" w:rsidRDefault="005463FC" w:rsidP="005463FC">
      <w:pPr>
        <w:pStyle w:val="Caption"/>
      </w:pPr>
      <w:r>
        <w:t xml:space="preserve">Figure </w:t>
      </w:r>
      <w:r>
        <w:fldChar w:fldCharType="begin"/>
      </w:r>
      <w:r>
        <w:rPr>
          <w:bCs w:val="0"/>
        </w:rPr>
        <w:instrText xml:space="preserve"> SEQ Figure \* ARABIC </w:instrText>
      </w:r>
      <w:r>
        <w:fldChar w:fldCharType="separate"/>
      </w:r>
      <w:r w:rsidR="00C93C1A">
        <w:rPr>
          <w:bCs w:val="0"/>
          <w:noProof/>
        </w:rPr>
        <w:t>48</w:t>
      </w:r>
      <w:r>
        <w:fldChar w:fldCharType="end"/>
      </w:r>
      <w:r>
        <w:t>: Actual and Projected numbers of people in each active welfare class</w:t>
      </w:r>
    </w:p>
    <w:p w14:paraId="596868A6" w14:textId="77777777" w:rsidR="005463FC" w:rsidRDefault="005463FC" w:rsidP="005463FC">
      <w:pPr>
        <w:pStyle w:val="PwCNormal"/>
        <w:numPr>
          <w:ilvl w:val="0"/>
          <w:numId w:val="0"/>
        </w:numPr>
      </w:pPr>
      <w:r>
        <w:rPr>
          <w:noProof/>
          <w:lang w:eastAsia="en-AU"/>
        </w:rPr>
        <w:drawing>
          <wp:inline distT="0" distB="0" distL="0" distR="0" wp14:anchorId="2B55317E" wp14:editId="67307A3A">
            <wp:extent cx="6105600" cy="3135600"/>
            <wp:effectExtent l="0" t="0" r="0" b="8255"/>
            <wp:docPr id="3884" name="Picture 3884" descr="This figure is a grouped column chart. The chart shows the projected number of individuals in each active welfare class for each financial year for the next 6 years. The vertical axis shows the number of individuals ranging from 0 to 3 million. The horizontal axis shows welfare class for active welfare classes 1 to 9.&#10;&#10;For each welfare class on the horizontal axis, there are 7 columns grouped together. The 7 columns show the actual number of people in the class at 30 June 2016 and 30 June 2017 as well as the projected number of people in the class for at each 30 June 2018, 30 June 2019, 30 June 2020, 30 June 2021 and 30 June 2022.&#10;&#10;The expected number of people in each active welfare class at 30 June 2022 from the Jun16 valuation is: 359,000 for Studying, 1,288,000 for Working age, 462,000 for Parents, 359,000 for Carers, 825,000 for Disability Support, 2,759,000 for Pension age, 1,536,000 for Non-IS Family, 219,000 for Non-IS Carer and 634,000 for Non-IS Other.&#10;&#10;The expected number of people in each active welfare class at 30 June 2022 from the Jun17 valuation is: 365,000 for Studying, 1,271,000 for Working age, 441,000 for Parents, 342,000 for Carers, 778,000 for Disability Support, 2,684,000 for Pension age, 1,519,000 for Non-IS Family, 224,000 for Non-IS Carer and 566,000 for Non-IS Other. &#10;&#10;Further features shown in the chart are discussed in the accompanying text within the report.&#10;" title="Actual and Projected numbers of people in each active welfar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5600" cy="3135600"/>
                    </a:xfrm>
                    <a:prstGeom prst="rect">
                      <a:avLst/>
                    </a:prstGeom>
                    <a:noFill/>
                    <a:ln>
                      <a:noFill/>
                    </a:ln>
                  </pic:spPr>
                </pic:pic>
              </a:graphicData>
            </a:graphic>
          </wp:inline>
        </w:drawing>
      </w:r>
    </w:p>
    <w:p w14:paraId="158381C6" w14:textId="77777777" w:rsidR="005463FC" w:rsidRDefault="005463FC" w:rsidP="005463FC">
      <w:pPr>
        <w:pStyle w:val="Sources"/>
      </w:pPr>
      <w:r>
        <w:t>Notes:</w:t>
      </w:r>
    </w:p>
    <w:p w14:paraId="711637C2" w14:textId="77777777" w:rsidR="005463FC" w:rsidRDefault="005463FC" w:rsidP="005463FC">
      <w:pPr>
        <w:pStyle w:val="Sources"/>
        <w:numPr>
          <w:ilvl w:val="0"/>
          <w:numId w:val="45"/>
        </w:numPr>
      </w:pPr>
      <w:r>
        <w:t>The actual numbers will be slightly higher than this as the population is expected to grow through migration and births. Over this five year timeframe migration will have the bigger impact as most people only enter the payment system in their own right in their teenage years and therefore births over this period will not impact the upcoming short-term welfare use.</w:t>
      </w:r>
    </w:p>
    <w:p w14:paraId="7C65FB78" w14:textId="77777777" w:rsidR="005463FC" w:rsidRDefault="005463FC" w:rsidP="005463FC">
      <w:pPr>
        <w:pStyle w:val="Sources"/>
        <w:numPr>
          <w:ilvl w:val="0"/>
          <w:numId w:val="45"/>
        </w:numPr>
        <w:ind w:left="709"/>
      </w:pPr>
      <w:r>
        <w:t>Consequently the Department should use this information with care and consider making adjustments for the undercount before using them for purposes such as planning or budgeting.</w:t>
      </w:r>
    </w:p>
    <w:p w14:paraId="6F6D1D4E" w14:textId="77777777" w:rsidR="005463FC" w:rsidRDefault="005463FC" w:rsidP="005463FC">
      <w:pPr>
        <w:pStyle w:val="Sources"/>
        <w:numPr>
          <w:ilvl w:val="0"/>
          <w:numId w:val="45"/>
        </w:numPr>
        <w:ind w:left="709"/>
      </w:pPr>
      <w:r>
        <w:t>We have adjusted the actual population in the chart above to allow for the main impact of the data maturity issue described in s</w:t>
      </w:r>
      <w:r w:rsidRPr="00600456">
        <w:t xml:space="preserve">ection </w:t>
      </w:r>
      <w:r w:rsidRPr="00600456">
        <w:fldChar w:fldCharType="begin"/>
      </w:r>
      <w:r w:rsidRPr="00600456">
        <w:instrText xml:space="preserve"> REF _Ref498423273 \r \h </w:instrText>
      </w:r>
      <w:r>
        <w:instrText xml:space="preserve"> \* MERGEFORMAT </w:instrText>
      </w:r>
      <w:r w:rsidRPr="00600456">
        <w:fldChar w:fldCharType="separate"/>
      </w:r>
      <w:r w:rsidR="00C93C1A">
        <w:t>4.3</w:t>
      </w:r>
      <w:r w:rsidRPr="00600456">
        <w:fldChar w:fldCharType="end"/>
      </w:r>
      <w:r w:rsidRPr="00600456">
        <w:t>.</w:t>
      </w:r>
      <w:r>
        <w:t xml:space="preserve"> We have also excluded projected deaths during the year from the projections. These adjustments are to allow a more consistent comparison between the actual and projected numbers.</w:t>
      </w:r>
    </w:p>
    <w:p w14:paraId="480A3D22" w14:textId="77777777" w:rsidR="005463FC" w:rsidRDefault="005463FC" w:rsidP="005463FC">
      <w:pPr>
        <w:pStyle w:val="PwCNormal"/>
        <w:keepNext/>
        <w:numPr>
          <w:ilvl w:val="0"/>
          <w:numId w:val="0"/>
        </w:numPr>
      </w:pPr>
      <w:r>
        <w:lastRenderedPageBreak/>
        <w:t>Key features:</w:t>
      </w:r>
    </w:p>
    <w:p w14:paraId="4BD82EAC" w14:textId="77777777" w:rsidR="005463FC" w:rsidRDefault="005463FC" w:rsidP="005463FC">
      <w:pPr>
        <w:pStyle w:val="Bullet1"/>
        <w:numPr>
          <w:ilvl w:val="0"/>
          <w:numId w:val="46"/>
        </w:numPr>
      </w:pPr>
      <w:r>
        <w:t>The total projected numbers of people from the June 2017 valuation (the red and orange bars), are generally lower than the projections from the previous June 2016 valuation (the black/grey outline bars). This is reflective of the recent decrease in entries and increase in exits which will act to reduce the total number of welfare recipients if this experience continues.</w:t>
      </w:r>
    </w:p>
    <w:p w14:paraId="3F8356D9" w14:textId="77777777" w:rsidR="005463FC" w:rsidRDefault="005463FC" w:rsidP="005463FC">
      <w:pPr>
        <w:pStyle w:val="Bullet1"/>
        <w:numPr>
          <w:ilvl w:val="0"/>
          <w:numId w:val="46"/>
        </w:numPr>
      </w:pPr>
      <w:r>
        <w:t>In particular decreases in the projection can be seen for the Pension Age and Disability Support classes, relative to the June 2016 projection. This is reflective of the decreasing entries into these classes observed over the last year.</w:t>
      </w:r>
    </w:p>
    <w:p w14:paraId="2CA79EEC" w14:textId="7E1F6D5C" w:rsidR="005463FC" w:rsidRDefault="005463FC" w:rsidP="005463FC">
      <w:pPr>
        <w:pStyle w:val="Bullet1"/>
        <w:numPr>
          <w:ilvl w:val="0"/>
          <w:numId w:val="46"/>
        </w:numPr>
      </w:pPr>
      <w:r>
        <w:t>Despite the decrease noted above, the number of age pensioners is still projected to increase, although at a lower rate than was expected based on the June 2016 valuation. This increase reflects the increasing population of people above age 65 as a result of improved longevity. A decrease in the number of people in the pension age class can be observed in the June 2018 projection due to the impact of the pensions asset</w:t>
      </w:r>
      <w:r w:rsidR="00647550">
        <w:t>s</w:t>
      </w:r>
      <w:r>
        <w:t xml:space="preserve"> test changes. In addition the </w:t>
      </w:r>
      <w:r w:rsidR="0033779C">
        <w:t xml:space="preserve">Age Pension </w:t>
      </w:r>
      <w:r>
        <w:t>age increases to 65.5 from 1 July 2017 which acts to reduce the projected entries into age pension in 2017/18.</w:t>
      </w:r>
    </w:p>
    <w:p w14:paraId="35888047" w14:textId="77777777" w:rsidR="005463FC" w:rsidRDefault="005463FC" w:rsidP="005463FC">
      <w:pPr>
        <w:pStyle w:val="Bullet1"/>
        <w:numPr>
          <w:ilvl w:val="0"/>
          <w:numId w:val="46"/>
        </w:numPr>
      </w:pPr>
      <w:r>
        <w:t xml:space="preserve">The number of people in the Carers class has been growing from year to year and we expect this to continue in the future. As the population ages and there are a higher number of older people needing care, there may be more demand for this payment. Note also that this class includes a group of people over pension age who may be caring for ageing partners. </w:t>
      </w:r>
    </w:p>
    <w:p w14:paraId="50ADF4A4" w14:textId="77777777" w:rsidR="005463FC" w:rsidRDefault="005463FC" w:rsidP="005463FC">
      <w:pPr>
        <w:pStyle w:val="Bullet1"/>
        <w:numPr>
          <w:ilvl w:val="0"/>
          <w:numId w:val="46"/>
        </w:numPr>
      </w:pPr>
      <w:r>
        <w:t xml:space="preserve">The number of people in the Working Age class is projected to be fairly stable over time. </w:t>
      </w:r>
    </w:p>
    <w:p w14:paraId="3C8F110B" w14:textId="77777777" w:rsidR="005463FC" w:rsidRDefault="005463FC" w:rsidP="005463FC">
      <w:pPr>
        <w:pStyle w:val="Bullet1"/>
        <w:numPr>
          <w:ilvl w:val="0"/>
          <w:numId w:val="46"/>
        </w:numPr>
      </w:pPr>
      <w:r>
        <w:t>The numbers of people studying are expected to reduce as there are fewer people in their late teens and early 20s today than was the case in the recent past.</w:t>
      </w:r>
    </w:p>
    <w:p w14:paraId="578DA830" w14:textId="77777777" w:rsidR="005463FC" w:rsidRDefault="005463FC" w:rsidP="005463FC">
      <w:pPr>
        <w:pStyle w:val="Bullet1"/>
        <w:numPr>
          <w:ilvl w:val="0"/>
          <w:numId w:val="46"/>
        </w:numPr>
      </w:pPr>
      <w:r>
        <w:t>A few interesting features can be seen in the projection of the Non IS Other class when compared to the June 2016 projection. For the projections for both valuations, an increase in numbers can be seen over the first projection year (i.e. an increase is seen in the June 2017 projection for the previous valuation, and an increase is seen in the June 2018 projection for the current valuation). This is likely due to an additional maturity issue in the data, whereby there are a number of people with new children who had not claimed FTB at the time of the data extract, but who are modelled as having a high chance of receiving FTB very soon due to their family circumstances. We also note that the overall projection of numbers in this class has decreased compared to the June 2016 valuation projection. This is largely driven by the closure of carbon tax compensation to new recipients of concession cards from March 2017, which is expected to result in decreased numbers of people above retirement age in Non IS Other.</w:t>
      </w:r>
    </w:p>
    <w:p w14:paraId="707A276E" w14:textId="0E64D802" w:rsidR="005463FC" w:rsidRPr="00D633F8" w:rsidRDefault="005463FC" w:rsidP="005463FC">
      <w:pPr>
        <w:pStyle w:val="Heading3"/>
      </w:pPr>
      <w:bookmarkStart w:id="170" w:name="_Toc498625184"/>
      <w:bookmarkStart w:id="171" w:name="_Toc506388224"/>
      <w:r w:rsidRPr="00D633F8">
        <w:t>Areas of sensitivity and uncertainty</w:t>
      </w:r>
      <w:bookmarkEnd w:id="170"/>
      <w:bookmarkEnd w:id="171"/>
    </w:p>
    <w:p w14:paraId="194799AE" w14:textId="77777777" w:rsidR="005463FC" w:rsidRPr="00D633F8" w:rsidRDefault="005463FC" w:rsidP="005463FC">
      <w:pPr>
        <w:pStyle w:val="Heading4"/>
      </w:pPr>
      <w:r w:rsidRPr="00D633F8">
        <w:t>Limitations of the valuation</w:t>
      </w:r>
    </w:p>
    <w:p w14:paraId="6ADF5F48" w14:textId="77777777" w:rsidR="005463FC" w:rsidRPr="00D633F8" w:rsidRDefault="005463FC" w:rsidP="005463FC">
      <w:pPr>
        <w:pStyle w:val="PwCNormal"/>
        <w:numPr>
          <w:ilvl w:val="0"/>
          <w:numId w:val="33"/>
        </w:numPr>
      </w:pPr>
      <w:r w:rsidRPr="00D633F8">
        <w:t>The valuation explores the cost of future welfare payments over the remaining natural lifetimes of the model population on the basis that the currently legislated policy persists over that timeframe. Whilst this exercise is intended to provide useful information it is important to understand its limitations.</w:t>
      </w:r>
    </w:p>
    <w:p w14:paraId="16573A68" w14:textId="77777777" w:rsidR="005463FC" w:rsidRPr="00D633F8" w:rsidRDefault="005463FC" w:rsidP="005463FC">
      <w:pPr>
        <w:pStyle w:val="PwCNormal"/>
        <w:numPr>
          <w:ilvl w:val="0"/>
          <w:numId w:val="33"/>
        </w:numPr>
      </w:pPr>
      <w:r w:rsidRPr="00D633F8">
        <w:t>The payment system changes frequently. Hence the scenario contemplated in the valuation of current policy continuing will be unlikely to eventuate in practice. As time progresses further into the future, the potential for different policies to be put in place is greater and so differences between actual and projected payments are likely to be larger.</w:t>
      </w:r>
    </w:p>
    <w:p w14:paraId="2B6854F7" w14:textId="3AA8F8CA" w:rsidR="005463FC" w:rsidRPr="00D633F8" w:rsidRDefault="005463FC" w:rsidP="005463FC">
      <w:pPr>
        <w:pStyle w:val="PwCNormal"/>
        <w:numPr>
          <w:ilvl w:val="0"/>
          <w:numId w:val="33"/>
        </w:numPr>
      </w:pPr>
      <w:r w:rsidRPr="00D633F8">
        <w:t xml:space="preserve">The valuation explores the use of the welfare system allowing for expected demographic changes and considering the broader economic environment. Other external factors may influence the demands on the system. These factors extend as far as changing patterns of life and work; changes in the composition of households; changes in </w:t>
      </w:r>
      <w:r w:rsidR="00ED6565">
        <w:t xml:space="preserve">the </w:t>
      </w:r>
      <w:r w:rsidRPr="00D633F8">
        <w:t>mix of industries and work opportunities; impacts of trends in population health and healthcare driving changes in demand for supports and behavioural changes from individuals and in terms of the informal supports provided between members of different generations. The extremely long term nature of the projected payments within the model means that all these factors and others that we have not yet contemplated are likely to influence the use of the welfare system in future years and hence impact the liabilities. We have not considered such trends explicitly.</w:t>
      </w:r>
    </w:p>
    <w:p w14:paraId="5C904F83" w14:textId="77777777" w:rsidR="005463FC" w:rsidRPr="00D633F8" w:rsidRDefault="005463FC" w:rsidP="005463FC">
      <w:pPr>
        <w:pStyle w:val="Heading4"/>
      </w:pPr>
      <w:r w:rsidRPr="00D633F8">
        <w:lastRenderedPageBreak/>
        <w:t>Uncertainty</w:t>
      </w:r>
    </w:p>
    <w:p w14:paraId="27472EE1" w14:textId="77777777" w:rsidR="005463FC" w:rsidRPr="00D633F8" w:rsidRDefault="005463FC" w:rsidP="005463FC">
      <w:pPr>
        <w:pStyle w:val="PwCNormal"/>
        <w:numPr>
          <w:ilvl w:val="0"/>
          <w:numId w:val="33"/>
        </w:numPr>
      </w:pPr>
      <w:r w:rsidRPr="00D633F8">
        <w:t xml:space="preserve">For each person, their actual life outcomes and the welfare payments received are uncertain. This is reflected in the assumption sets adopted in the valuation model which are probabilities of different events occurring throughout people’s lives and the likely costs of the resultant life trajectories. For each group of people and the population as a whole the valuation results presented above represent the mean of the lifetime costs derived from the range of modelled future outcomes. </w:t>
      </w:r>
    </w:p>
    <w:p w14:paraId="70DE42DB" w14:textId="77777777" w:rsidR="005463FC" w:rsidRPr="00D633F8" w:rsidRDefault="005463FC" w:rsidP="005463FC">
      <w:pPr>
        <w:pStyle w:val="PwCNormal"/>
        <w:numPr>
          <w:ilvl w:val="0"/>
          <w:numId w:val="33"/>
        </w:numPr>
      </w:pPr>
      <w:r w:rsidRPr="00D633F8">
        <w:t>Many of the assumptions underlying the actuarial valuation are developed by considering patterns of past use of the welfare system. In some cases the past experience has been volatile and in others the experience has varied from year to year, most likely as a result of policy changes. Some policy changes are recent and not fully reflected in the observed experience; people may also behave differently in the future than they have in the past. These considerations mean that the assumptions are inherently uncertain and the actual future experience may differ from that modelled.</w:t>
      </w:r>
    </w:p>
    <w:p w14:paraId="19B7B296" w14:textId="77777777" w:rsidR="005463FC" w:rsidRPr="00D633F8" w:rsidRDefault="005463FC" w:rsidP="005463FC">
      <w:pPr>
        <w:pStyle w:val="PwCNormal"/>
        <w:numPr>
          <w:ilvl w:val="0"/>
          <w:numId w:val="0"/>
        </w:numPr>
      </w:pPr>
      <w:r w:rsidRPr="00D633F8">
        <w:t>The long term nature of the lifetime cost results means they are highly sensitive to some of the assumptions. In particular:</w:t>
      </w:r>
    </w:p>
    <w:p w14:paraId="374AF50A" w14:textId="77777777" w:rsidR="005463FC" w:rsidRPr="00D633F8" w:rsidRDefault="005463FC" w:rsidP="005463FC">
      <w:pPr>
        <w:pStyle w:val="ListBullet"/>
      </w:pPr>
      <w:r w:rsidRPr="00D633F8">
        <w:t>The assumed mortality rates and mortality improvements have a systemic impact on the whole population. Small changes to future mortality rates mean that, on average, people receive the age pension for a different length of time and this can impact the lifetime costs materially.</w:t>
      </w:r>
    </w:p>
    <w:p w14:paraId="51A76496" w14:textId="77777777" w:rsidR="005463FC" w:rsidRPr="00D633F8" w:rsidRDefault="005463FC" w:rsidP="005463FC">
      <w:pPr>
        <w:pStyle w:val="ListBullet"/>
      </w:pPr>
      <w:r w:rsidRPr="00D633F8">
        <w:t>The inflation and discounting assumptions also have an extremely large impact on the lifetime cost results. Many of the payments are not received until many years into the future and for some of the population are concentrated in the latter part of people’s lives. This means small changes in the indexation and discount rates can have a large impact on the lifetime cost.</w:t>
      </w:r>
    </w:p>
    <w:p w14:paraId="1DCAB42C" w14:textId="77777777" w:rsidR="005463FC" w:rsidRPr="00D633F8" w:rsidRDefault="005463FC" w:rsidP="005463FC">
      <w:pPr>
        <w:pStyle w:val="ListContinue"/>
      </w:pPr>
      <w:r w:rsidRPr="00D633F8">
        <w:t>The impact is greatest for changes to the discount rate as this impacts all future payments over all timeframes. It is greater for changes to MTAWE than changes in the CPI as the payments that occur later in people’s lives are indexed by MTAWE and hence have a longer average duration.</w:t>
      </w:r>
    </w:p>
    <w:p w14:paraId="046EC21F" w14:textId="77777777" w:rsidR="005463FC" w:rsidRPr="0057506F" w:rsidRDefault="005463FC" w:rsidP="005463FC">
      <w:pPr>
        <w:pStyle w:val="PwCNormal"/>
        <w:numPr>
          <w:ilvl w:val="0"/>
          <w:numId w:val="33"/>
        </w:numPr>
      </w:pPr>
      <w:r w:rsidRPr="00D633F8">
        <w:t>An important part of the analysis has been to use risk based assumptions to achieve a differentiation in the lifetime cost results for different groups of the population, with these being more reflective of their underlying risk profile, to the extent that this is captured within the variables modelled.</w:t>
      </w:r>
    </w:p>
    <w:p w14:paraId="2819D357" w14:textId="77777777" w:rsidR="005463FC" w:rsidRPr="00D633F8" w:rsidRDefault="005463FC" w:rsidP="005463FC">
      <w:pPr>
        <w:pStyle w:val="PwCNormal"/>
        <w:numPr>
          <w:ilvl w:val="0"/>
          <w:numId w:val="33"/>
        </w:numPr>
      </w:pPr>
      <w:r w:rsidRPr="00D633F8">
        <w:t xml:space="preserve">Whilst the use of risk characteristic variables improves the explanatory power of the modelling, the analysis demonstrates that not all of the variation in welfare utilisation for different people can be explained by the risk characteristics included. Although there may be opportunities to continue to include some further variables in future valuations there will be a limit to the extent to which variation between groups and individuals can be explained. </w:t>
      </w:r>
    </w:p>
    <w:p w14:paraId="01CD6D4D" w14:textId="77777777" w:rsidR="005463FC" w:rsidRPr="00D633F8" w:rsidRDefault="005463FC" w:rsidP="005463FC">
      <w:pPr>
        <w:pStyle w:val="PwCNormal"/>
        <w:numPr>
          <w:ilvl w:val="0"/>
          <w:numId w:val="33"/>
        </w:numPr>
      </w:pPr>
      <w:r w:rsidRPr="00D633F8">
        <w:t>A number of the risk based characteristics are dynamic in nature. Examples in the valuation include educational attainment, partial capacity to work, partnering status, number and age profile of children, and details of care recipients. Quite small variation in adopted parameters can have a significant compounding effect over the long periods of time projected. An important validation step has been to check the reasonableness of the distributions of these parameters across the projected population into future years. What represents reasonable is ultimately a subjective judgement. Where possible we have attempted to validate with other external reference points. Changes in profile may also impact on the predictive strength of the characteristic over time. For example, obtaining a university degree may not be as powerful an influence on lifetime earnings and employment as it was for earlier generations, due to a greater proportion of the population obtaining a degree and the changing composition of the economy.</w:t>
      </w:r>
    </w:p>
    <w:p w14:paraId="40E6DB65" w14:textId="77777777" w:rsidR="005463FC" w:rsidRPr="00D633F8" w:rsidRDefault="005463FC" w:rsidP="005463FC">
      <w:pPr>
        <w:pStyle w:val="PwCNormal"/>
        <w:numPr>
          <w:ilvl w:val="0"/>
          <w:numId w:val="33"/>
        </w:numPr>
      </w:pPr>
      <w:r w:rsidRPr="00D633F8">
        <w:t>Similarly, the class and payment utilisation variables which are used to project future welfare utilisation are themselves dynamic and the lifetime cost is sensitive to variations in these assumptions and there is uncertainty as to how well the adopted assumptions reflect the likely future experience of the population under the current policy settings.</w:t>
      </w:r>
    </w:p>
    <w:p w14:paraId="737B82EA" w14:textId="77777777" w:rsidR="005463FC" w:rsidRDefault="005463FC" w:rsidP="005463FC">
      <w:pPr>
        <w:pStyle w:val="PwCNormal"/>
        <w:numPr>
          <w:ilvl w:val="0"/>
          <w:numId w:val="0"/>
        </w:numPr>
      </w:pPr>
      <w:r w:rsidRPr="00D633F8">
        <w:t xml:space="preserve">By its nature the lifetime cost assessment for the rest of the Australian population group may be even more uncertain than the lifetime cost for people currently and recently in receipt of Commonwealth payments. This comprises those segments of the population who have either never been in receipt of Commonwealth payments or who have not been in the last three years. As a result, less is known about the current situation and characteristics of people in these segments. Furthermore their projected future consumption of welfare is generally further into the future than for current and recent welfare recipients. The further out into the future the costs are projected, the more uncertain they become for the range of reasons discussed above. </w:t>
      </w:r>
    </w:p>
    <w:p w14:paraId="645A37F4" w14:textId="77777777" w:rsidR="005463FC" w:rsidRPr="00D633F8" w:rsidRDefault="005463FC" w:rsidP="005463FC">
      <w:pPr>
        <w:pStyle w:val="PwCNormal"/>
        <w:numPr>
          <w:ilvl w:val="0"/>
          <w:numId w:val="0"/>
        </w:numPr>
      </w:pPr>
      <w:r w:rsidRPr="00D633F8">
        <w:lastRenderedPageBreak/>
        <w:t>We have illustrated the sensitivity to the key valuation model assumptions in the section below.</w:t>
      </w:r>
    </w:p>
    <w:p w14:paraId="742169AC" w14:textId="77777777" w:rsidR="005463FC" w:rsidRPr="00D633F8" w:rsidRDefault="005463FC" w:rsidP="005463FC">
      <w:pPr>
        <w:pStyle w:val="Heading4"/>
      </w:pPr>
      <w:r w:rsidRPr="00D633F8">
        <w:t>Sensitivity</w:t>
      </w:r>
    </w:p>
    <w:p w14:paraId="40DFEA1D" w14:textId="77777777" w:rsidR="005463FC" w:rsidRPr="00D633F8" w:rsidRDefault="005463FC" w:rsidP="005463FC">
      <w:pPr>
        <w:pStyle w:val="PwCNormal"/>
        <w:keepNext/>
        <w:keepLines/>
        <w:numPr>
          <w:ilvl w:val="0"/>
          <w:numId w:val="0"/>
        </w:numPr>
      </w:pPr>
      <w:r w:rsidRPr="00D633F8">
        <w:t>The lifetime cost results are sensitive to the underlying assumptions. To illustrate these sensitivities we have tested a range of alternate assumptions and the results are presented below.</w:t>
      </w:r>
    </w:p>
    <w:p w14:paraId="69253379" w14:textId="77777777" w:rsidR="005463FC" w:rsidRPr="00305908" w:rsidRDefault="005463FC" w:rsidP="005463FC">
      <w:pPr>
        <w:pStyle w:val="Caption"/>
      </w:pPr>
      <w:r w:rsidRPr="00305908">
        <w:t xml:space="preserve">Table </w:t>
      </w:r>
      <w:fldSimple w:instr=" SEQ Table \* ARABIC ">
        <w:r w:rsidR="00C93C1A">
          <w:rPr>
            <w:noProof/>
          </w:rPr>
          <w:t>19</w:t>
        </w:r>
      </w:fldSimple>
      <w:r w:rsidRPr="00305908">
        <w:t>: Sensitivity of current liabilities to changes in assumptions</w:t>
      </w:r>
    </w:p>
    <w:tbl>
      <w:tblPr>
        <w:tblStyle w:val="Tables-APBase"/>
        <w:tblW w:w="4905" w:type="pct"/>
        <w:tblBorders>
          <w:bottom w:val="single" w:sz="4" w:space="0" w:color="E0301E"/>
          <w:insideH w:val="single" w:sz="4" w:space="0" w:color="E0301E"/>
        </w:tblBorders>
        <w:tblLayout w:type="fixed"/>
        <w:tblLook w:val="04A0" w:firstRow="1" w:lastRow="0" w:firstColumn="1" w:lastColumn="0" w:noHBand="0" w:noVBand="1"/>
        <w:tblCaption w:val=" Sensitivity of current liabilities to changes in assumptions"/>
        <w:tblDescription w:val="This table lists the sensitivity of current liabilities to changes in assumptions. It details the changes in lifetime costs if certain assumptions change. It has six columns - the assumption set, the sensitivity test performed, the non-pension component of change in lifetime cost, the pension component of change in lifetime cost, the total change in lifetime cost and the % change in lifetime cost. The sets tested were mortality, economic, aged pension, entry and exit rates and economic module.&#10;&#10;The largest change in total lifetime cost occurred in the “Discount rate reduces 1% to +5%” test. The total increase in lifetime cost was $1,616bn (+34.5%).&#10;&#10;Further features of the data in this table are discussed in the accompanying text within the report.&#10;"/>
      </w:tblPr>
      <w:tblGrid>
        <w:gridCol w:w="1278"/>
        <w:gridCol w:w="3759"/>
        <w:gridCol w:w="1532"/>
        <w:gridCol w:w="1383"/>
        <w:gridCol w:w="1077"/>
        <w:gridCol w:w="860"/>
      </w:tblGrid>
      <w:tr w:rsidR="005463FC" w:rsidRPr="009210D0" w14:paraId="6EB16817" w14:textId="77777777" w:rsidTr="00D106BD">
        <w:trPr>
          <w:cnfStyle w:val="100000000000" w:firstRow="1" w:lastRow="0" w:firstColumn="0" w:lastColumn="0" w:oddVBand="0" w:evenVBand="0" w:oddHBand="0" w:evenHBand="0" w:firstRowFirstColumn="0" w:firstRowLastColumn="0" w:lastRowFirstColumn="0" w:lastRowLastColumn="0"/>
          <w:trHeight w:val="397"/>
        </w:trPr>
        <w:tc>
          <w:tcPr>
            <w:cnfStyle w:val="000000000100" w:firstRow="0" w:lastRow="0" w:firstColumn="0" w:lastColumn="0" w:oddVBand="0" w:evenVBand="0" w:oddHBand="0" w:evenHBand="0" w:firstRowFirstColumn="1" w:firstRowLastColumn="0" w:lastRowFirstColumn="0" w:lastRowLastColumn="0"/>
            <w:tcW w:w="1192" w:type="dxa"/>
            <w:tcBorders>
              <w:top w:val="single" w:sz="4" w:space="0" w:color="FFFFFF"/>
              <w:left w:val="single" w:sz="4" w:space="0" w:color="FFFFFF"/>
              <w:bottom w:val="single" w:sz="4" w:space="0" w:color="E0301E"/>
              <w:right w:val="single" w:sz="4" w:space="0" w:color="FFFFFF"/>
            </w:tcBorders>
            <w:shd w:val="clear" w:color="auto" w:fill="E0301E"/>
            <w:vAlign w:val="center"/>
            <w:hideMark/>
          </w:tcPr>
          <w:p w14:paraId="53349A19" w14:textId="77777777" w:rsidR="005463FC" w:rsidRPr="00305908" w:rsidRDefault="005463FC" w:rsidP="005463FC">
            <w:pPr>
              <w:pStyle w:val="TableColumnHeadingSmall"/>
            </w:pPr>
            <w:r w:rsidRPr="00305908">
              <w:t>Assumption set</w:t>
            </w:r>
          </w:p>
        </w:tc>
        <w:tc>
          <w:tcPr>
            <w:tcW w:w="3505" w:type="dxa"/>
            <w:tcBorders>
              <w:top w:val="single" w:sz="4" w:space="0" w:color="FFFFFF"/>
              <w:left w:val="single" w:sz="4" w:space="0" w:color="FFFFFF"/>
              <w:bottom w:val="single" w:sz="4" w:space="0" w:color="E0301E"/>
              <w:right w:val="single" w:sz="4" w:space="0" w:color="FFFFFF"/>
            </w:tcBorders>
            <w:shd w:val="clear" w:color="auto" w:fill="E0301E"/>
            <w:vAlign w:val="center"/>
            <w:hideMark/>
          </w:tcPr>
          <w:p w14:paraId="24089590" w14:textId="77777777" w:rsidR="005463FC" w:rsidRPr="00305908" w:rsidRDefault="005463FC" w:rsidP="005463FC">
            <w:pPr>
              <w:pStyle w:val="TableColumnHeadingSmall"/>
              <w:cnfStyle w:val="100000000000" w:firstRow="1" w:lastRow="0" w:firstColumn="0" w:lastColumn="0" w:oddVBand="0" w:evenVBand="0" w:oddHBand="0" w:evenHBand="0" w:firstRowFirstColumn="0" w:firstRowLastColumn="0" w:lastRowFirstColumn="0" w:lastRowLastColumn="0"/>
            </w:pPr>
            <w:r w:rsidRPr="00305908">
              <w:t>Sensitivity test</w:t>
            </w:r>
          </w:p>
        </w:tc>
        <w:tc>
          <w:tcPr>
            <w:tcW w:w="1429" w:type="dxa"/>
            <w:tcBorders>
              <w:top w:val="single" w:sz="4" w:space="0" w:color="FFFFFF"/>
              <w:left w:val="single" w:sz="4" w:space="0" w:color="FFFFFF"/>
              <w:bottom w:val="single" w:sz="4" w:space="0" w:color="E0301E"/>
              <w:right w:val="single" w:sz="4" w:space="0" w:color="FFFFFF"/>
            </w:tcBorders>
            <w:shd w:val="clear" w:color="auto" w:fill="E0301E"/>
            <w:vAlign w:val="center"/>
          </w:tcPr>
          <w:p w14:paraId="785E7F0A" w14:textId="77777777" w:rsidR="005463FC" w:rsidRPr="00305908" w:rsidRDefault="005463FC" w:rsidP="005463FC">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305908">
              <w:t>Change in lifetime cost, non-Age Pension component</w:t>
            </w:r>
          </w:p>
        </w:tc>
        <w:tc>
          <w:tcPr>
            <w:tcW w:w="1290" w:type="dxa"/>
            <w:tcBorders>
              <w:top w:val="single" w:sz="4" w:space="0" w:color="FFFFFF"/>
              <w:left w:val="single" w:sz="4" w:space="0" w:color="FFFFFF"/>
              <w:bottom w:val="single" w:sz="4" w:space="0" w:color="E0301E"/>
              <w:right w:val="single" w:sz="4" w:space="0" w:color="FFFFFF"/>
            </w:tcBorders>
            <w:shd w:val="clear" w:color="auto" w:fill="E0301E"/>
            <w:vAlign w:val="center"/>
          </w:tcPr>
          <w:p w14:paraId="5C3C98A5" w14:textId="77777777" w:rsidR="005463FC" w:rsidRPr="00305908" w:rsidRDefault="005463FC" w:rsidP="005463FC">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305908">
              <w:t>Change in lifetime cost, Age Pension component</w:t>
            </w:r>
          </w:p>
        </w:tc>
        <w:tc>
          <w:tcPr>
            <w:tcW w:w="1004" w:type="dxa"/>
            <w:tcBorders>
              <w:top w:val="single" w:sz="4" w:space="0" w:color="FFFFFF"/>
              <w:left w:val="single" w:sz="4" w:space="0" w:color="FFFFFF"/>
              <w:bottom w:val="single" w:sz="4" w:space="0" w:color="E0301E"/>
              <w:right w:val="single" w:sz="4" w:space="0" w:color="FFFFFF"/>
            </w:tcBorders>
            <w:shd w:val="clear" w:color="auto" w:fill="E0301E"/>
            <w:vAlign w:val="center"/>
          </w:tcPr>
          <w:p w14:paraId="1BB8CF14" w14:textId="77777777" w:rsidR="005463FC" w:rsidRPr="00305908" w:rsidRDefault="005463FC" w:rsidP="005463FC">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305908">
              <w:t>Total change in lifetime cost ($)</w:t>
            </w:r>
          </w:p>
        </w:tc>
        <w:tc>
          <w:tcPr>
            <w:tcW w:w="802" w:type="dxa"/>
            <w:tcBorders>
              <w:top w:val="single" w:sz="4" w:space="0" w:color="FFFFFF"/>
              <w:left w:val="single" w:sz="4" w:space="0" w:color="FFFFFF"/>
              <w:bottom w:val="single" w:sz="4" w:space="0" w:color="E0301E"/>
              <w:right w:val="single" w:sz="4" w:space="0" w:color="FFFFFF"/>
            </w:tcBorders>
            <w:shd w:val="clear" w:color="auto" w:fill="E0301E"/>
            <w:vAlign w:val="center"/>
          </w:tcPr>
          <w:p w14:paraId="1BED03A4" w14:textId="77777777" w:rsidR="005463FC" w:rsidRPr="007E596C" w:rsidRDefault="005463FC" w:rsidP="005463FC">
            <w:pPr>
              <w:pStyle w:val="TableColumnHeadingSmall"/>
              <w:jc w:val="center"/>
              <w:cnfStyle w:val="100000000000" w:firstRow="1" w:lastRow="0" w:firstColumn="0" w:lastColumn="0" w:oddVBand="0" w:evenVBand="0" w:oddHBand="0" w:evenHBand="0" w:firstRowFirstColumn="0" w:firstRowLastColumn="0" w:lastRowFirstColumn="0" w:lastRowLastColumn="0"/>
            </w:pPr>
            <w:r w:rsidRPr="00305908">
              <w:t>Total change in lifetime cost (%)</w:t>
            </w:r>
          </w:p>
        </w:tc>
      </w:tr>
      <w:tr w:rsidR="005463FC" w:rsidRPr="009210D0" w14:paraId="28010417"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hideMark/>
          </w:tcPr>
          <w:p w14:paraId="26F33F6E" w14:textId="77777777" w:rsidR="005463FC" w:rsidRPr="00D633F8" w:rsidRDefault="005463FC" w:rsidP="005463FC">
            <w:pPr>
              <w:pStyle w:val="TableTextSmall"/>
            </w:pPr>
            <w:r w:rsidRPr="00D633F8">
              <w:t xml:space="preserve">Mortality </w:t>
            </w:r>
          </w:p>
        </w:tc>
        <w:tc>
          <w:tcPr>
            <w:tcW w:w="3505" w:type="dxa"/>
            <w:tcBorders>
              <w:top w:val="single" w:sz="4" w:space="0" w:color="E0301E"/>
              <w:left w:val="single" w:sz="4" w:space="0" w:color="FFFFFF"/>
              <w:bottom w:val="single" w:sz="4" w:space="0" w:color="E0301E"/>
              <w:right w:val="single" w:sz="4" w:space="0" w:color="E0301E" w:themeColor="accent6"/>
            </w:tcBorders>
            <w:hideMark/>
          </w:tcPr>
          <w:p w14:paraId="5CD52937" w14:textId="77777777" w:rsidR="005463FC" w:rsidRPr="00D633F8" w:rsidRDefault="005463FC" w:rsidP="005463FC">
            <w:pPr>
              <w:pStyle w:val="TableTextSmall"/>
            </w:pPr>
            <w:r w:rsidRPr="00D633F8">
              <w:t xml:space="preserve">Removal of mortality adjustments for specific population groups </w:t>
            </w:r>
          </w:p>
        </w:tc>
        <w:tc>
          <w:tcPr>
            <w:tcW w:w="1429" w:type="dxa"/>
            <w:tcBorders>
              <w:top w:val="single" w:sz="4" w:space="0" w:color="E0301E"/>
              <w:left w:val="single" w:sz="4" w:space="0" w:color="E0301E" w:themeColor="accent6"/>
              <w:bottom w:val="single" w:sz="4" w:space="0" w:color="E0301E"/>
              <w:right w:val="nil"/>
            </w:tcBorders>
          </w:tcPr>
          <w:p w14:paraId="789AFD0B" w14:textId="77777777" w:rsidR="005463FC" w:rsidRPr="007026B2" w:rsidRDefault="005463FC" w:rsidP="005463FC">
            <w:pPr>
              <w:pStyle w:val="TableTextSmall"/>
              <w:jc w:val="center"/>
            </w:pPr>
            <w:r w:rsidRPr="007026B2">
              <w:t>+$53bn</w:t>
            </w:r>
          </w:p>
        </w:tc>
        <w:tc>
          <w:tcPr>
            <w:tcW w:w="1290" w:type="dxa"/>
            <w:tcBorders>
              <w:top w:val="single" w:sz="4" w:space="0" w:color="E0301E"/>
              <w:left w:val="nil"/>
              <w:bottom w:val="single" w:sz="4" w:space="0" w:color="E0301E"/>
              <w:right w:val="single" w:sz="4" w:space="0" w:color="E0301E" w:themeColor="accent6"/>
            </w:tcBorders>
          </w:tcPr>
          <w:p w14:paraId="6CEA7592" w14:textId="77777777" w:rsidR="005463FC" w:rsidRPr="007026B2" w:rsidRDefault="005463FC" w:rsidP="005463FC">
            <w:pPr>
              <w:pStyle w:val="TableTextSmall"/>
              <w:jc w:val="center"/>
            </w:pPr>
            <w:r w:rsidRPr="007026B2">
              <w:t>+$34bn</w:t>
            </w:r>
          </w:p>
        </w:tc>
        <w:tc>
          <w:tcPr>
            <w:tcW w:w="1004" w:type="dxa"/>
            <w:tcBorders>
              <w:top w:val="single" w:sz="4" w:space="0" w:color="E0301E"/>
              <w:left w:val="single" w:sz="4" w:space="0" w:color="E0301E" w:themeColor="accent6"/>
              <w:bottom w:val="single" w:sz="4" w:space="0" w:color="E0301E"/>
              <w:right w:val="nil"/>
            </w:tcBorders>
          </w:tcPr>
          <w:p w14:paraId="79AD5580" w14:textId="77777777" w:rsidR="005463FC" w:rsidRPr="007026B2" w:rsidRDefault="005463FC" w:rsidP="005463FC">
            <w:pPr>
              <w:pStyle w:val="TableTextSmall"/>
              <w:jc w:val="center"/>
            </w:pPr>
            <w:r w:rsidRPr="007026B2">
              <w:t>+86bn</w:t>
            </w:r>
          </w:p>
        </w:tc>
        <w:tc>
          <w:tcPr>
            <w:tcW w:w="802" w:type="dxa"/>
            <w:tcBorders>
              <w:top w:val="single" w:sz="4" w:space="0" w:color="E0301E"/>
              <w:left w:val="nil"/>
              <w:bottom w:val="single" w:sz="4" w:space="0" w:color="E0301E"/>
              <w:right w:val="single" w:sz="4" w:space="0" w:color="FFFFFF"/>
            </w:tcBorders>
            <w:hideMark/>
          </w:tcPr>
          <w:p w14:paraId="09B60C42" w14:textId="77777777" w:rsidR="005463FC" w:rsidRPr="007026B2" w:rsidRDefault="005463FC" w:rsidP="005463FC">
            <w:pPr>
              <w:pStyle w:val="TableTextSmall"/>
              <w:jc w:val="center"/>
            </w:pPr>
            <w:r w:rsidRPr="007026B2">
              <w:t>+1.8%</w:t>
            </w:r>
          </w:p>
        </w:tc>
      </w:tr>
      <w:tr w:rsidR="005463FC" w:rsidRPr="009210D0" w14:paraId="595B46FF"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hideMark/>
          </w:tcPr>
          <w:p w14:paraId="4A069E1A" w14:textId="77777777" w:rsidR="005463FC" w:rsidRPr="00D633F8" w:rsidRDefault="005463FC" w:rsidP="005463FC">
            <w:pPr>
              <w:pStyle w:val="TableTextSmall"/>
            </w:pPr>
            <w:r w:rsidRPr="00D633F8">
              <w:t xml:space="preserve">Mortality </w:t>
            </w:r>
          </w:p>
        </w:tc>
        <w:tc>
          <w:tcPr>
            <w:tcW w:w="3505" w:type="dxa"/>
            <w:tcBorders>
              <w:top w:val="single" w:sz="4" w:space="0" w:color="E0301E"/>
              <w:left w:val="single" w:sz="4" w:space="0" w:color="FFFFFF"/>
              <w:bottom w:val="single" w:sz="4" w:space="0" w:color="E0301E"/>
              <w:right w:val="single" w:sz="4" w:space="0" w:color="E0301E" w:themeColor="accent6"/>
            </w:tcBorders>
            <w:hideMark/>
          </w:tcPr>
          <w:p w14:paraId="7AEC2AAD" w14:textId="77777777" w:rsidR="005463FC" w:rsidRPr="00D633F8" w:rsidRDefault="005463FC" w:rsidP="005463FC">
            <w:pPr>
              <w:pStyle w:val="TableTextSmall"/>
            </w:pPr>
            <w:r w:rsidRPr="00D633F8">
              <w:t>Increase future mortality improvements by 25%</w:t>
            </w:r>
          </w:p>
        </w:tc>
        <w:tc>
          <w:tcPr>
            <w:tcW w:w="1429" w:type="dxa"/>
            <w:tcBorders>
              <w:top w:val="single" w:sz="4" w:space="0" w:color="E0301E"/>
              <w:left w:val="single" w:sz="4" w:space="0" w:color="E0301E" w:themeColor="accent6"/>
              <w:bottom w:val="single" w:sz="4" w:space="0" w:color="E0301E"/>
              <w:right w:val="nil"/>
            </w:tcBorders>
          </w:tcPr>
          <w:p w14:paraId="512E29E1" w14:textId="77777777" w:rsidR="005463FC" w:rsidRPr="007026B2" w:rsidRDefault="005463FC" w:rsidP="005463FC">
            <w:pPr>
              <w:pStyle w:val="TableTextSmall"/>
              <w:jc w:val="center"/>
            </w:pPr>
            <w:r w:rsidRPr="007026B2">
              <w:t>+$18bn</w:t>
            </w:r>
          </w:p>
        </w:tc>
        <w:tc>
          <w:tcPr>
            <w:tcW w:w="1290" w:type="dxa"/>
            <w:tcBorders>
              <w:top w:val="single" w:sz="4" w:space="0" w:color="E0301E"/>
              <w:left w:val="nil"/>
              <w:bottom w:val="single" w:sz="4" w:space="0" w:color="E0301E"/>
              <w:right w:val="single" w:sz="4" w:space="0" w:color="E0301E" w:themeColor="accent6"/>
            </w:tcBorders>
          </w:tcPr>
          <w:p w14:paraId="73098077" w14:textId="77777777" w:rsidR="005463FC" w:rsidRPr="007026B2" w:rsidRDefault="005463FC" w:rsidP="005463FC">
            <w:pPr>
              <w:pStyle w:val="TableTextSmall"/>
              <w:jc w:val="center"/>
            </w:pPr>
            <w:r w:rsidRPr="007026B2">
              <w:t>+$106bn</w:t>
            </w:r>
          </w:p>
        </w:tc>
        <w:tc>
          <w:tcPr>
            <w:tcW w:w="1004" w:type="dxa"/>
            <w:tcBorders>
              <w:top w:val="single" w:sz="4" w:space="0" w:color="E0301E"/>
              <w:left w:val="single" w:sz="4" w:space="0" w:color="E0301E" w:themeColor="accent6"/>
              <w:bottom w:val="single" w:sz="4" w:space="0" w:color="E0301E"/>
              <w:right w:val="nil"/>
            </w:tcBorders>
          </w:tcPr>
          <w:p w14:paraId="4E924C5E" w14:textId="77777777" w:rsidR="005463FC" w:rsidRPr="007026B2" w:rsidRDefault="005463FC" w:rsidP="005463FC">
            <w:pPr>
              <w:pStyle w:val="TableTextSmall"/>
              <w:jc w:val="center"/>
            </w:pPr>
            <w:r w:rsidRPr="007026B2">
              <w:t>+$124bn</w:t>
            </w:r>
          </w:p>
        </w:tc>
        <w:tc>
          <w:tcPr>
            <w:tcW w:w="802" w:type="dxa"/>
            <w:tcBorders>
              <w:top w:val="single" w:sz="4" w:space="0" w:color="E0301E"/>
              <w:left w:val="nil"/>
              <w:bottom w:val="single" w:sz="4" w:space="0" w:color="E0301E"/>
              <w:right w:val="single" w:sz="4" w:space="0" w:color="FFFFFF"/>
            </w:tcBorders>
            <w:hideMark/>
          </w:tcPr>
          <w:p w14:paraId="5D8884CB" w14:textId="77777777" w:rsidR="005463FC" w:rsidRPr="007026B2" w:rsidRDefault="005463FC" w:rsidP="005463FC">
            <w:pPr>
              <w:pStyle w:val="TableTextSmall"/>
              <w:jc w:val="center"/>
            </w:pPr>
            <w:r w:rsidRPr="007026B2">
              <w:t>+2.7%</w:t>
            </w:r>
          </w:p>
        </w:tc>
      </w:tr>
      <w:tr w:rsidR="005463FC" w:rsidRPr="009210D0" w14:paraId="2229F9E5"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hideMark/>
          </w:tcPr>
          <w:p w14:paraId="1DBF8A04" w14:textId="77777777" w:rsidR="005463FC" w:rsidRPr="00D633F8" w:rsidRDefault="005463FC" w:rsidP="005463FC">
            <w:pPr>
              <w:pStyle w:val="TableTextSmall"/>
            </w:pPr>
            <w:r w:rsidRPr="00D633F8">
              <w:t xml:space="preserve">Mortality </w:t>
            </w:r>
          </w:p>
        </w:tc>
        <w:tc>
          <w:tcPr>
            <w:tcW w:w="3505" w:type="dxa"/>
            <w:tcBorders>
              <w:top w:val="single" w:sz="4" w:space="0" w:color="E0301E"/>
              <w:left w:val="single" w:sz="4" w:space="0" w:color="FFFFFF"/>
              <w:bottom w:val="single" w:sz="4" w:space="0" w:color="E0301E"/>
              <w:right w:val="single" w:sz="4" w:space="0" w:color="E0301E" w:themeColor="accent6"/>
            </w:tcBorders>
            <w:hideMark/>
          </w:tcPr>
          <w:p w14:paraId="581E8C13" w14:textId="77777777" w:rsidR="005463FC" w:rsidRPr="00D633F8" w:rsidRDefault="005463FC" w:rsidP="005463FC">
            <w:pPr>
              <w:pStyle w:val="TableTextSmall"/>
            </w:pPr>
            <w:r w:rsidRPr="00D633F8">
              <w:t xml:space="preserve">Remove future mortality improvements </w:t>
            </w:r>
          </w:p>
        </w:tc>
        <w:tc>
          <w:tcPr>
            <w:tcW w:w="1429" w:type="dxa"/>
            <w:tcBorders>
              <w:top w:val="single" w:sz="4" w:space="0" w:color="E0301E"/>
              <w:left w:val="single" w:sz="4" w:space="0" w:color="E0301E" w:themeColor="accent6"/>
              <w:bottom w:val="single" w:sz="4" w:space="0" w:color="E0301E"/>
              <w:right w:val="nil"/>
            </w:tcBorders>
          </w:tcPr>
          <w:p w14:paraId="26F09FD4" w14:textId="77777777" w:rsidR="005463FC" w:rsidRPr="007026B2" w:rsidRDefault="005463FC" w:rsidP="005463FC">
            <w:pPr>
              <w:pStyle w:val="TableTextSmall"/>
              <w:jc w:val="center"/>
            </w:pPr>
            <w:r w:rsidRPr="007026B2">
              <w:t>-$97bn</w:t>
            </w:r>
          </w:p>
        </w:tc>
        <w:tc>
          <w:tcPr>
            <w:tcW w:w="1290" w:type="dxa"/>
            <w:tcBorders>
              <w:top w:val="single" w:sz="4" w:space="0" w:color="E0301E"/>
              <w:left w:val="nil"/>
              <w:bottom w:val="single" w:sz="4" w:space="0" w:color="E0301E"/>
              <w:right w:val="single" w:sz="4" w:space="0" w:color="E0301E" w:themeColor="accent6"/>
            </w:tcBorders>
          </w:tcPr>
          <w:p w14:paraId="78304335" w14:textId="77777777" w:rsidR="005463FC" w:rsidRPr="007026B2" w:rsidRDefault="005463FC" w:rsidP="005463FC">
            <w:pPr>
              <w:pStyle w:val="TableTextSmall"/>
              <w:jc w:val="center"/>
            </w:pPr>
            <w:r w:rsidRPr="007026B2">
              <w:t>-$541bn</w:t>
            </w:r>
          </w:p>
        </w:tc>
        <w:tc>
          <w:tcPr>
            <w:tcW w:w="1004" w:type="dxa"/>
            <w:tcBorders>
              <w:top w:val="single" w:sz="4" w:space="0" w:color="E0301E"/>
              <w:left w:val="single" w:sz="4" w:space="0" w:color="E0301E" w:themeColor="accent6"/>
              <w:bottom w:val="single" w:sz="4" w:space="0" w:color="E0301E"/>
              <w:right w:val="nil"/>
            </w:tcBorders>
          </w:tcPr>
          <w:p w14:paraId="6E8F351F" w14:textId="77777777" w:rsidR="005463FC" w:rsidRPr="007026B2" w:rsidRDefault="005463FC" w:rsidP="005463FC">
            <w:pPr>
              <w:pStyle w:val="TableTextSmall"/>
              <w:jc w:val="center"/>
            </w:pPr>
            <w:r w:rsidRPr="007026B2">
              <w:t>-$638bn</w:t>
            </w:r>
          </w:p>
        </w:tc>
        <w:tc>
          <w:tcPr>
            <w:tcW w:w="802" w:type="dxa"/>
            <w:tcBorders>
              <w:top w:val="single" w:sz="4" w:space="0" w:color="E0301E"/>
              <w:left w:val="nil"/>
              <w:bottom w:val="single" w:sz="4" w:space="0" w:color="E0301E"/>
              <w:right w:val="single" w:sz="4" w:space="0" w:color="FFFFFF"/>
            </w:tcBorders>
            <w:hideMark/>
          </w:tcPr>
          <w:p w14:paraId="06F5E39F" w14:textId="77777777" w:rsidR="005463FC" w:rsidRPr="007026B2" w:rsidRDefault="005463FC" w:rsidP="005463FC">
            <w:pPr>
              <w:pStyle w:val="TableTextSmall"/>
              <w:jc w:val="center"/>
            </w:pPr>
            <w:r w:rsidRPr="007026B2">
              <w:t>-13.6%</w:t>
            </w:r>
          </w:p>
        </w:tc>
      </w:tr>
      <w:tr w:rsidR="005463FC" w:rsidRPr="009210D0" w14:paraId="6D1017C2"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hideMark/>
          </w:tcPr>
          <w:p w14:paraId="3F648355" w14:textId="77777777" w:rsidR="005463FC" w:rsidRPr="00D633F8" w:rsidRDefault="005463FC" w:rsidP="005463FC">
            <w:pPr>
              <w:pStyle w:val="TableTextSmall"/>
            </w:pPr>
            <w:r w:rsidRPr="00D633F8">
              <w:t xml:space="preserve">Economic </w:t>
            </w:r>
          </w:p>
        </w:tc>
        <w:tc>
          <w:tcPr>
            <w:tcW w:w="3505" w:type="dxa"/>
            <w:tcBorders>
              <w:top w:val="single" w:sz="4" w:space="0" w:color="E0301E"/>
              <w:left w:val="single" w:sz="4" w:space="0" w:color="FFFFFF"/>
              <w:bottom w:val="single" w:sz="4" w:space="0" w:color="E0301E"/>
              <w:right w:val="single" w:sz="4" w:space="0" w:color="E0301E" w:themeColor="accent6"/>
            </w:tcBorders>
            <w:hideMark/>
          </w:tcPr>
          <w:p w14:paraId="0E0F361D" w14:textId="77777777" w:rsidR="005463FC" w:rsidRPr="00D633F8" w:rsidRDefault="005463FC" w:rsidP="005463FC">
            <w:pPr>
              <w:pStyle w:val="TableTextSmall"/>
            </w:pPr>
            <w:r w:rsidRPr="00D633F8">
              <w:t xml:space="preserve">Discount rate increases 1% to +7% </w:t>
            </w:r>
          </w:p>
        </w:tc>
        <w:tc>
          <w:tcPr>
            <w:tcW w:w="1429" w:type="dxa"/>
            <w:tcBorders>
              <w:top w:val="single" w:sz="4" w:space="0" w:color="E0301E"/>
              <w:left w:val="single" w:sz="4" w:space="0" w:color="E0301E" w:themeColor="accent6"/>
              <w:bottom w:val="single" w:sz="4" w:space="0" w:color="E0301E"/>
              <w:right w:val="nil"/>
            </w:tcBorders>
          </w:tcPr>
          <w:p w14:paraId="789BAF07" w14:textId="77777777" w:rsidR="005463FC" w:rsidRPr="00D8460F" w:rsidRDefault="005463FC" w:rsidP="005463FC">
            <w:pPr>
              <w:pStyle w:val="TableTextSmall"/>
              <w:jc w:val="center"/>
            </w:pPr>
            <w:r w:rsidRPr="00D8460F">
              <w:t>-$</w:t>
            </w:r>
            <w:r>
              <w:t>330</w:t>
            </w:r>
            <w:r w:rsidRPr="00D8460F">
              <w:t>bn</w:t>
            </w:r>
          </w:p>
        </w:tc>
        <w:tc>
          <w:tcPr>
            <w:tcW w:w="1290" w:type="dxa"/>
            <w:tcBorders>
              <w:top w:val="single" w:sz="4" w:space="0" w:color="E0301E"/>
              <w:left w:val="nil"/>
              <w:bottom w:val="single" w:sz="4" w:space="0" w:color="E0301E"/>
              <w:right w:val="single" w:sz="4" w:space="0" w:color="E0301E" w:themeColor="accent6"/>
            </w:tcBorders>
          </w:tcPr>
          <w:p w14:paraId="07969E1A" w14:textId="77777777" w:rsidR="005463FC" w:rsidRPr="00D8460F" w:rsidRDefault="005463FC" w:rsidP="005463FC">
            <w:pPr>
              <w:pStyle w:val="TableTextSmall"/>
              <w:jc w:val="center"/>
            </w:pPr>
            <w:r w:rsidRPr="00D8460F">
              <w:t>-$</w:t>
            </w:r>
            <w:r>
              <w:t>714</w:t>
            </w:r>
            <w:r w:rsidRPr="00D8460F">
              <w:t>bn</w:t>
            </w:r>
          </w:p>
        </w:tc>
        <w:tc>
          <w:tcPr>
            <w:tcW w:w="1004" w:type="dxa"/>
            <w:tcBorders>
              <w:top w:val="single" w:sz="4" w:space="0" w:color="E0301E"/>
              <w:left w:val="single" w:sz="4" w:space="0" w:color="E0301E" w:themeColor="accent6"/>
              <w:bottom w:val="single" w:sz="4" w:space="0" w:color="E0301E"/>
              <w:right w:val="nil"/>
            </w:tcBorders>
          </w:tcPr>
          <w:p w14:paraId="383BF6FB" w14:textId="77777777" w:rsidR="005463FC" w:rsidRPr="00D8460F" w:rsidRDefault="005463FC" w:rsidP="005463FC">
            <w:pPr>
              <w:pStyle w:val="TableTextSmall"/>
              <w:jc w:val="center"/>
            </w:pPr>
            <w:r w:rsidRPr="00D8460F">
              <w:t>-$</w:t>
            </w:r>
            <w:r>
              <w:t>1,044</w:t>
            </w:r>
            <w:r w:rsidRPr="00D8460F">
              <w:t>bn</w:t>
            </w:r>
          </w:p>
        </w:tc>
        <w:tc>
          <w:tcPr>
            <w:tcW w:w="802" w:type="dxa"/>
            <w:tcBorders>
              <w:top w:val="single" w:sz="4" w:space="0" w:color="E0301E"/>
              <w:left w:val="nil"/>
              <w:bottom w:val="single" w:sz="4" w:space="0" w:color="E0301E"/>
              <w:right w:val="single" w:sz="4" w:space="0" w:color="FFFFFF"/>
            </w:tcBorders>
            <w:hideMark/>
          </w:tcPr>
          <w:p w14:paraId="6F7EC31D" w14:textId="77777777" w:rsidR="005463FC" w:rsidRPr="00D8460F" w:rsidRDefault="005463FC" w:rsidP="005463FC">
            <w:pPr>
              <w:pStyle w:val="TableTextSmall"/>
              <w:jc w:val="center"/>
            </w:pPr>
            <w:r w:rsidRPr="00D8460F">
              <w:t>-2</w:t>
            </w:r>
            <w:r>
              <w:t>2</w:t>
            </w:r>
            <w:r w:rsidRPr="00D8460F">
              <w:t>.</w:t>
            </w:r>
            <w:r>
              <w:t>3</w:t>
            </w:r>
            <w:r w:rsidRPr="00D8460F">
              <w:t>%</w:t>
            </w:r>
          </w:p>
        </w:tc>
      </w:tr>
      <w:tr w:rsidR="005463FC" w:rsidRPr="009210D0" w14:paraId="5E624693"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hideMark/>
          </w:tcPr>
          <w:p w14:paraId="1D6C60CB" w14:textId="77777777" w:rsidR="005463FC" w:rsidRPr="00D633F8" w:rsidRDefault="005463FC" w:rsidP="005463FC">
            <w:pPr>
              <w:pStyle w:val="TableTextSmall"/>
            </w:pPr>
            <w:r w:rsidRPr="00D633F8">
              <w:t xml:space="preserve">Economic </w:t>
            </w:r>
          </w:p>
        </w:tc>
        <w:tc>
          <w:tcPr>
            <w:tcW w:w="3505" w:type="dxa"/>
            <w:tcBorders>
              <w:top w:val="single" w:sz="4" w:space="0" w:color="E0301E"/>
              <w:left w:val="single" w:sz="4" w:space="0" w:color="FFFFFF"/>
              <w:bottom w:val="single" w:sz="4" w:space="0" w:color="E0301E"/>
              <w:right w:val="single" w:sz="4" w:space="0" w:color="E0301E" w:themeColor="accent6"/>
            </w:tcBorders>
            <w:hideMark/>
          </w:tcPr>
          <w:p w14:paraId="61CA1433" w14:textId="77777777" w:rsidR="005463FC" w:rsidRPr="00D633F8" w:rsidRDefault="005463FC" w:rsidP="005463FC">
            <w:pPr>
              <w:pStyle w:val="TableTextSmall"/>
            </w:pPr>
            <w:r w:rsidRPr="00D633F8">
              <w:t xml:space="preserve">Discount rate reduces 1% to +5% </w:t>
            </w:r>
          </w:p>
        </w:tc>
        <w:tc>
          <w:tcPr>
            <w:tcW w:w="1429" w:type="dxa"/>
            <w:tcBorders>
              <w:top w:val="single" w:sz="4" w:space="0" w:color="E0301E"/>
              <w:left w:val="single" w:sz="4" w:space="0" w:color="E0301E" w:themeColor="accent6"/>
              <w:bottom w:val="single" w:sz="4" w:space="0" w:color="E0301E"/>
              <w:right w:val="nil"/>
            </w:tcBorders>
          </w:tcPr>
          <w:p w14:paraId="2075DB2B" w14:textId="77777777" w:rsidR="005463FC" w:rsidRPr="00D8460F" w:rsidRDefault="005463FC" w:rsidP="005463FC">
            <w:pPr>
              <w:pStyle w:val="TableTextSmall"/>
              <w:jc w:val="center"/>
            </w:pPr>
            <w:r w:rsidRPr="00D8460F">
              <w:t>+$</w:t>
            </w:r>
            <w:r>
              <w:t>454</w:t>
            </w:r>
            <w:r w:rsidRPr="00D8460F">
              <w:t>bn</w:t>
            </w:r>
          </w:p>
        </w:tc>
        <w:tc>
          <w:tcPr>
            <w:tcW w:w="1290" w:type="dxa"/>
            <w:tcBorders>
              <w:top w:val="single" w:sz="4" w:space="0" w:color="E0301E"/>
              <w:left w:val="nil"/>
              <w:bottom w:val="single" w:sz="4" w:space="0" w:color="E0301E"/>
              <w:right w:val="single" w:sz="4" w:space="0" w:color="E0301E" w:themeColor="accent6"/>
            </w:tcBorders>
          </w:tcPr>
          <w:p w14:paraId="6465D703" w14:textId="77777777" w:rsidR="005463FC" w:rsidRPr="00D8460F" w:rsidRDefault="005463FC" w:rsidP="005463FC">
            <w:pPr>
              <w:pStyle w:val="TableTextSmall"/>
              <w:jc w:val="center"/>
            </w:pPr>
            <w:r w:rsidRPr="00D8460F">
              <w:t>+$1,</w:t>
            </w:r>
            <w:r>
              <w:t>162</w:t>
            </w:r>
            <w:r w:rsidRPr="00D8460F">
              <w:t>bn</w:t>
            </w:r>
          </w:p>
        </w:tc>
        <w:tc>
          <w:tcPr>
            <w:tcW w:w="1004" w:type="dxa"/>
            <w:tcBorders>
              <w:top w:val="single" w:sz="4" w:space="0" w:color="E0301E"/>
              <w:left w:val="single" w:sz="4" w:space="0" w:color="E0301E" w:themeColor="accent6"/>
              <w:bottom w:val="single" w:sz="4" w:space="0" w:color="E0301E"/>
              <w:right w:val="nil"/>
            </w:tcBorders>
          </w:tcPr>
          <w:p w14:paraId="31F6787D" w14:textId="77777777" w:rsidR="005463FC" w:rsidRPr="00D8460F" w:rsidRDefault="005463FC" w:rsidP="005463FC">
            <w:pPr>
              <w:pStyle w:val="TableTextSmall"/>
              <w:jc w:val="center"/>
            </w:pPr>
            <w:r w:rsidRPr="00D8460F">
              <w:t>+$1,</w:t>
            </w:r>
            <w:r>
              <w:t>616</w:t>
            </w:r>
            <w:r w:rsidRPr="00D8460F">
              <w:t>bn</w:t>
            </w:r>
          </w:p>
        </w:tc>
        <w:tc>
          <w:tcPr>
            <w:tcW w:w="802" w:type="dxa"/>
            <w:tcBorders>
              <w:top w:val="single" w:sz="4" w:space="0" w:color="E0301E"/>
              <w:left w:val="nil"/>
              <w:bottom w:val="single" w:sz="4" w:space="0" w:color="E0301E"/>
              <w:right w:val="single" w:sz="4" w:space="0" w:color="FFFFFF"/>
            </w:tcBorders>
            <w:hideMark/>
          </w:tcPr>
          <w:p w14:paraId="57792A8D" w14:textId="77777777" w:rsidR="005463FC" w:rsidRPr="00D8460F" w:rsidRDefault="005463FC" w:rsidP="005463FC">
            <w:pPr>
              <w:pStyle w:val="TableTextSmall"/>
              <w:jc w:val="center"/>
            </w:pPr>
            <w:r w:rsidRPr="00D8460F">
              <w:t>+3</w:t>
            </w:r>
            <w:r>
              <w:t>4</w:t>
            </w:r>
            <w:r w:rsidRPr="00D8460F">
              <w:t>.</w:t>
            </w:r>
            <w:r>
              <w:t>5</w:t>
            </w:r>
            <w:r w:rsidRPr="00D8460F">
              <w:t>%</w:t>
            </w:r>
          </w:p>
        </w:tc>
      </w:tr>
      <w:tr w:rsidR="005463FC" w:rsidRPr="009210D0" w14:paraId="3D9DE8F4"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hideMark/>
          </w:tcPr>
          <w:p w14:paraId="7B3A700F" w14:textId="77777777" w:rsidR="005463FC" w:rsidRPr="00D633F8" w:rsidRDefault="005463FC" w:rsidP="005463FC">
            <w:pPr>
              <w:pStyle w:val="TableTextSmall"/>
            </w:pPr>
            <w:r w:rsidRPr="00D633F8">
              <w:t xml:space="preserve">Economic </w:t>
            </w:r>
          </w:p>
        </w:tc>
        <w:tc>
          <w:tcPr>
            <w:tcW w:w="3505" w:type="dxa"/>
            <w:tcBorders>
              <w:top w:val="single" w:sz="4" w:space="0" w:color="E0301E"/>
              <w:left w:val="single" w:sz="4" w:space="0" w:color="FFFFFF"/>
              <w:bottom w:val="single" w:sz="4" w:space="0" w:color="E0301E"/>
              <w:right w:val="single" w:sz="4" w:space="0" w:color="E0301E" w:themeColor="accent6"/>
            </w:tcBorders>
            <w:hideMark/>
          </w:tcPr>
          <w:p w14:paraId="0BE9D68E" w14:textId="77777777" w:rsidR="005463FC" w:rsidRPr="00D633F8" w:rsidRDefault="005463FC" w:rsidP="005463FC">
            <w:pPr>
              <w:pStyle w:val="TableTextSmall"/>
            </w:pPr>
            <w:r w:rsidRPr="00D633F8">
              <w:t>Long term CPI assumption increases by 1% (from 2.5% to 3.5%, starting from 2024/25)</w:t>
            </w:r>
          </w:p>
        </w:tc>
        <w:tc>
          <w:tcPr>
            <w:tcW w:w="1429" w:type="dxa"/>
            <w:tcBorders>
              <w:top w:val="single" w:sz="4" w:space="0" w:color="E0301E"/>
              <w:left w:val="single" w:sz="4" w:space="0" w:color="E0301E" w:themeColor="accent6"/>
              <w:bottom w:val="single" w:sz="4" w:space="0" w:color="E0301E"/>
              <w:right w:val="nil"/>
            </w:tcBorders>
            <w:shd w:val="clear" w:color="auto" w:fill="auto"/>
          </w:tcPr>
          <w:p w14:paraId="24D8B6AA" w14:textId="77777777" w:rsidR="005463FC" w:rsidRPr="008A4528" w:rsidRDefault="005463FC" w:rsidP="005463FC">
            <w:pPr>
              <w:pStyle w:val="TableTextSmall"/>
              <w:jc w:val="center"/>
            </w:pPr>
            <w:r w:rsidRPr="008A4528">
              <w:t>+$164bn</w:t>
            </w:r>
          </w:p>
        </w:tc>
        <w:tc>
          <w:tcPr>
            <w:tcW w:w="1290" w:type="dxa"/>
            <w:tcBorders>
              <w:top w:val="single" w:sz="4" w:space="0" w:color="E0301E"/>
              <w:left w:val="nil"/>
              <w:bottom w:val="single" w:sz="4" w:space="0" w:color="E0301E"/>
              <w:right w:val="single" w:sz="4" w:space="0" w:color="E0301E" w:themeColor="accent6"/>
            </w:tcBorders>
            <w:shd w:val="clear" w:color="auto" w:fill="auto"/>
          </w:tcPr>
          <w:p w14:paraId="28E470A0" w14:textId="77777777" w:rsidR="005463FC" w:rsidRPr="008A4528" w:rsidRDefault="005463FC" w:rsidP="005463FC">
            <w:pPr>
              <w:pStyle w:val="TableTextSmall"/>
              <w:jc w:val="center"/>
            </w:pPr>
            <w:r w:rsidRPr="008A4528">
              <w:t>-</w:t>
            </w:r>
          </w:p>
        </w:tc>
        <w:tc>
          <w:tcPr>
            <w:tcW w:w="1004" w:type="dxa"/>
            <w:tcBorders>
              <w:top w:val="single" w:sz="4" w:space="0" w:color="E0301E"/>
              <w:left w:val="single" w:sz="4" w:space="0" w:color="E0301E" w:themeColor="accent6"/>
              <w:bottom w:val="single" w:sz="4" w:space="0" w:color="E0301E"/>
              <w:right w:val="nil"/>
            </w:tcBorders>
            <w:shd w:val="clear" w:color="auto" w:fill="auto"/>
          </w:tcPr>
          <w:p w14:paraId="5EC16DEF" w14:textId="77777777" w:rsidR="005463FC" w:rsidRPr="008A4528" w:rsidRDefault="005463FC" w:rsidP="005463FC">
            <w:pPr>
              <w:pStyle w:val="TableTextSmall"/>
              <w:jc w:val="center"/>
            </w:pPr>
            <w:r w:rsidRPr="008A4528">
              <w:t>+$164bn</w:t>
            </w:r>
          </w:p>
        </w:tc>
        <w:tc>
          <w:tcPr>
            <w:tcW w:w="802" w:type="dxa"/>
            <w:tcBorders>
              <w:top w:val="single" w:sz="4" w:space="0" w:color="E0301E"/>
              <w:left w:val="nil"/>
              <w:bottom w:val="single" w:sz="4" w:space="0" w:color="E0301E"/>
              <w:right w:val="single" w:sz="4" w:space="0" w:color="FFFFFF"/>
            </w:tcBorders>
            <w:shd w:val="clear" w:color="auto" w:fill="auto"/>
            <w:hideMark/>
          </w:tcPr>
          <w:p w14:paraId="3DA3526D" w14:textId="77777777" w:rsidR="005463FC" w:rsidRPr="008A4528" w:rsidRDefault="005463FC" w:rsidP="005463FC">
            <w:pPr>
              <w:pStyle w:val="TableTextSmall"/>
              <w:jc w:val="center"/>
            </w:pPr>
            <w:r w:rsidRPr="008A4528">
              <w:t>+3.5%</w:t>
            </w:r>
          </w:p>
        </w:tc>
      </w:tr>
      <w:tr w:rsidR="005463FC" w:rsidRPr="009210D0" w14:paraId="55076FE1"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hideMark/>
          </w:tcPr>
          <w:p w14:paraId="6DFEABCF" w14:textId="77777777" w:rsidR="005463FC" w:rsidRPr="00D633F8" w:rsidRDefault="005463FC" w:rsidP="005463FC">
            <w:pPr>
              <w:pStyle w:val="TableTextSmall"/>
            </w:pPr>
            <w:r w:rsidRPr="00D633F8">
              <w:t xml:space="preserve">Economic </w:t>
            </w:r>
          </w:p>
        </w:tc>
        <w:tc>
          <w:tcPr>
            <w:tcW w:w="3505" w:type="dxa"/>
            <w:tcBorders>
              <w:top w:val="single" w:sz="4" w:space="0" w:color="E0301E"/>
              <w:left w:val="single" w:sz="4" w:space="0" w:color="FFFFFF"/>
              <w:bottom w:val="single" w:sz="4" w:space="0" w:color="E0301E"/>
              <w:right w:val="single" w:sz="4" w:space="0" w:color="E0301E" w:themeColor="accent6"/>
            </w:tcBorders>
            <w:hideMark/>
          </w:tcPr>
          <w:p w14:paraId="5E1215DD" w14:textId="77777777" w:rsidR="005463FC" w:rsidRPr="00D633F8" w:rsidRDefault="005463FC" w:rsidP="005463FC">
            <w:pPr>
              <w:pStyle w:val="TableTextSmall"/>
            </w:pPr>
            <w:r w:rsidRPr="00D633F8">
              <w:t>Long term CPI assumption reduces by 1% (from 2.5% to 1.5%, starting from 2024/25)</w:t>
            </w:r>
          </w:p>
        </w:tc>
        <w:tc>
          <w:tcPr>
            <w:tcW w:w="1429" w:type="dxa"/>
            <w:tcBorders>
              <w:top w:val="single" w:sz="4" w:space="0" w:color="E0301E"/>
              <w:left w:val="single" w:sz="4" w:space="0" w:color="E0301E" w:themeColor="accent6"/>
              <w:bottom w:val="single" w:sz="4" w:space="0" w:color="E0301E"/>
              <w:right w:val="nil"/>
            </w:tcBorders>
          </w:tcPr>
          <w:p w14:paraId="76DDAE40" w14:textId="77777777" w:rsidR="005463FC" w:rsidRPr="008A4528" w:rsidRDefault="005463FC" w:rsidP="005463FC">
            <w:pPr>
              <w:pStyle w:val="TableTextSmall"/>
              <w:jc w:val="center"/>
            </w:pPr>
            <w:r w:rsidRPr="008A4528">
              <w:t>-$125bn</w:t>
            </w:r>
          </w:p>
        </w:tc>
        <w:tc>
          <w:tcPr>
            <w:tcW w:w="1290" w:type="dxa"/>
            <w:tcBorders>
              <w:top w:val="single" w:sz="4" w:space="0" w:color="E0301E"/>
              <w:left w:val="nil"/>
              <w:bottom w:val="single" w:sz="4" w:space="0" w:color="E0301E"/>
              <w:right w:val="single" w:sz="4" w:space="0" w:color="E0301E" w:themeColor="accent6"/>
            </w:tcBorders>
          </w:tcPr>
          <w:p w14:paraId="3172CDD4" w14:textId="77777777" w:rsidR="005463FC" w:rsidRPr="008A4528" w:rsidRDefault="005463FC" w:rsidP="005463FC">
            <w:pPr>
              <w:pStyle w:val="TableTextSmall"/>
              <w:jc w:val="center"/>
            </w:pPr>
            <w:r w:rsidRPr="008A4528">
              <w:t>-</w:t>
            </w:r>
          </w:p>
        </w:tc>
        <w:tc>
          <w:tcPr>
            <w:tcW w:w="1004" w:type="dxa"/>
            <w:tcBorders>
              <w:top w:val="single" w:sz="4" w:space="0" w:color="E0301E"/>
              <w:left w:val="single" w:sz="4" w:space="0" w:color="E0301E" w:themeColor="accent6"/>
              <w:bottom w:val="single" w:sz="4" w:space="0" w:color="E0301E"/>
              <w:right w:val="nil"/>
            </w:tcBorders>
          </w:tcPr>
          <w:p w14:paraId="1C4F0C2B" w14:textId="77777777" w:rsidR="005463FC" w:rsidRPr="008A4528" w:rsidRDefault="005463FC" w:rsidP="005463FC">
            <w:pPr>
              <w:pStyle w:val="TableTextSmall"/>
              <w:jc w:val="center"/>
            </w:pPr>
            <w:r w:rsidRPr="008A4528">
              <w:t>-$125bn</w:t>
            </w:r>
          </w:p>
        </w:tc>
        <w:tc>
          <w:tcPr>
            <w:tcW w:w="802" w:type="dxa"/>
            <w:tcBorders>
              <w:top w:val="single" w:sz="4" w:space="0" w:color="E0301E"/>
              <w:left w:val="nil"/>
              <w:bottom w:val="single" w:sz="4" w:space="0" w:color="E0301E"/>
              <w:right w:val="single" w:sz="4" w:space="0" w:color="FFFFFF"/>
            </w:tcBorders>
            <w:hideMark/>
          </w:tcPr>
          <w:p w14:paraId="1F929268" w14:textId="77777777" w:rsidR="005463FC" w:rsidRPr="008A4528" w:rsidRDefault="005463FC" w:rsidP="005463FC">
            <w:pPr>
              <w:pStyle w:val="TableTextSmall"/>
              <w:jc w:val="center"/>
            </w:pPr>
            <w:r w:rsidRPr="008A4528">
              <w:t>-2.7%</w:t>
            </w:r>
          </w:p>
        </w:tc>
      </w:tr>
      <w:tr w:rsidR="005463FC" w:rsidRPr="009210D0" w14:paraId="513808DA"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hideMark/>
          </w:tcPr>
          <w:p w14:paraId="195BEB40" w14:textId="77777777" w:rsidR="005463FC" w:rsidRPr="00D633F8" w:rsidRDefault="005463FC" w:rsidP="005463FC">
            <w:pPr>
              <w:pStyle w:val="TableTextSmall"/>
            </w:pPr>
            <w:r w:rsidRPr="00D633F8">
              <w:t xml:space="preserve">Economic </w:t>
            </w:r>
          </w:p>
        </w:tc>
        <w:tc>
          <w:tcPr>
            <w:tcW w:w="3505" w:type="dxa"/>
            <w:tcBorders>
              <w:top w:val="single" w:sz="4" w:space="0" w:color="E0301E"/>
              <w:left w:val="single" w:sz="4" w:space="0" w:color="FFFFFF"/>
              <w:bottom w:val="single" w:sz="4" w:space="0" w:color="E0301E"/>
              <w:right w:val="single" w:sz="4" w:space="0" w:color="E0301E" w:themeColor="accent6"/>
            </w:tcBorders>
            <w:hideMark/>
          </w:tcPr>
          <w:p w14:paraId="765CA7ED" w14:textId="77777777" w:rsidR="005463FC" w:rsidRPr="00D633F8" w:rsidRDefault="005463FC" w:rsidP="005463FC">
            <w:pPr>
              <w:pStyle w:val="TableTextSmall"/>
            </w:pPr>
            <w:r w:rsidRPr="00D633F8">
              <w:t>Long term MTAWE assumption increases by 1% (from 4% to 5%, starting from 2024/25)</w:t>
            </w:r>
          </w:p>
        </w:tc>
        <w:tc>
          <w:tcPr>
            <w:tcW w:w="1429" w:type="dxa"/>
            <w:tcBorders>
              <w:top w:val="single" w:sz="4" w:space="0" w:color="E0301E"/>
              <w:left w:val="single" w:sz="4" w:space="0" w:color="E0301E" w:themeColor="accent6"/>
              <w:bottom w:val="single" w:sz="4" w:space="0" w:color="E0301E"/>
              <w:right w:val="nil"/>
            </w:tcBorders>
          </w:tcPr>
          <w:p w14:paraId="5BA31958" w14:textId="77777777" w:rsidR="005463FC" w:rsidRPr="008A4528" w:rsidRDefault="005463FC" w:rsidP="005463FC">
            <w:pPr>
              <w:pStyle w:val="TableTextSmall"/>
              <w:jc w:val="center"/>
            </w:pPr>
            <w:r w:rsidRPr="008A4528">
              <w:t>+$151bn</w:t>
            </w:r>
          </w:p>
        </w:tc>
        <w:tc>
          <w:tcPr>
            <w:tcW w:w="1290" w:type="dxa"/>
            <w:tcBorders>
              <w:top w:val="single" w:sz="4" w:space="0" w:color="E0301E"/>
              <w:left w:val="nil"/>
              <w:bottom w:val="single" w:sz="4" w:space="0" w:color="E0301E"/>
              <w:right w:val="single" w:sz="4" w:space="0" w:color="E0301E" w:themeColor="accent6"/>
            </w:tcBorders>
          </w:tcPr>
          <w:p w14:paraId="1B1034B0" w14:textId="77777777" w:rsidR="005463FC" w:rsidRPr="008A4528" w:rsidRDefault="005463FC" w:rsidP="005463FC">
            <w:pPr>
              <w:pStyle w:val="TableTextSmall"/>
              <w:jc w:val="center"/>
            </w:pPr>
            <w:r w:rsidRPr="008A4528">
              <w:t>+$954bn</w:t>
            </w:r>
          </w:p>
        </w:tc>
        <w:tc>
          <w:tcPr>
            <w:tcW w:w="1004" w:type="dxa"/>
            <w:tcBorders>
              <w:top w:val="single" w:sz="4" w:space="0" w:color="E0301E"/>
              <w:left w:val="single" w:sz="4" w:space="0" w:color="E0301E" w:themeColor="accent6"/>
              <w:bottom w:val="single" w:sz="4" w:space="0" w:color="E0301E"/>
              <w:right w:val="nil"/>
            </w:tcBorders>
          </w:tcPr>
          <w:p w14:paraId="57C2171B" w14:textId="77777777" w:rsidR="005463FC" w:rsidRPr="008A4528" w:rsidRDefault="005463FC" w:rsidP="005463FC">
            <w:pPr>
              <w:pStyle w:val="TableTextSmall"/>
              <w:jc w:val="center"/>
            </w:pPr>
            <w:r w:rsidRPr="008A4528">
              <w:t>+$1,105bn</w:t>
            </w:r>
          </w:p>
        </w:tc>
        <w:tc>
          <w:tcPr>
            <w:tcW w:w="802" w:type="dxa"/>
            <w:tcBorders>
              <w:top w:val="single" w:sz="4" w:space="0" w:color="E0301E"/>
              <w:left w:val="nil"/>
              <w:bottom w:val="single" w:sz="4" w:space="0" w:color="E0301E"/>
              <w:right w:val="single" w:sz="4" w:space="0" w:color="FFFFFF"/>
            </w:tcBorders>
            <w:hideMark/>
          </w:tcPr>
          <w:p w14:paraId="4BFD5879" w14:textId="77777777" w:rsidR="005463FC" w:rsidRPr="008A4528" w:rsidRDefault="005463FC" w:rsidP="005463FC">
            <w:pPr>
              <w:pStyle w:val="TableTextSmall"/>
              <w:jc w:val="center"/>
            </w:pPr>
            <w:r w:rsidRPr="008A4528">
              <w:t>+23.6%</w:t>
            </w:r>
          </w:p>
        </w:tc>
      </w:tr>
      <w:tr w:rsidR="005463FC" w:rsidRPr="009210D0" w14:paraId="4B399F45"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hideMark/>
          </w:tcPr>
          <w:p w14:paraId="6DB86670" w14:textId="77777777" w:rsidR="005463FC" w:rsidRPr="00D633F8" w:rsidRDefault="005463FC" w:rsidP="005463FC">
            <w:pPr>
              <w:pStyle w:val="TableTextSmall"/>
            </w:pPr>
            <w:r w:rsidRPr="00D633F8">
              <w:t xml:space="preserve">Economic </w:t>
            </w:r>
          </w:p>
        </w:tc>
        <w:tc>
          <w:tcPr>
            <w:tcW w:w="3505" w:type="dxa"/>
            <w:tcBorders>
              <w:top w:val="single" w:sz="4" w:space="0" w:color="E0301E"/>
              <w:left w:val="single" w:sz="4" w:space="0" w:color="FFFFFF"/>
              <w:bottom w:val="single" w:sz="4" w:space="0" w:color="E0301E"/>
              <w:right w:val="single" w:sz="4" w:space="0" w:color="E0301E" w:themeColor="accent6"/>
            </w:tcBorders>
            <w:hideMark/>
          </w:tcPr>
          <w:p w14:paraId="563ECF52" w14:textId="77777777" w:rsidR="005463FC" w:rsidRPr="00D633F8" w:rsidRDefault="005463FC" w:rsidP="005463FC">
            <w:pPr>
              <w:pStyle w:val="TableTextSmall"/>
            </w:pPr>
            <w:r w:rsidRPr="00D633F8">
              <w:t>Long term MTAWE assumption reduces by 1% (from 4% to 3%, starting from 2024/25)</w:t>
            </w:r>
          </w:p>
        </w:tc>
        <w:tc>
          <w:tcPr>
            <w:tcW w:w="1429" w:type="dxa"/>
            <w:tcBorders>
              <w:top w:val="single" w:sz="4" w:space="0" w:color="E0301E"/>
              <w:left w:val="single" w:sz="4" w:space="0" w:color="E0301E" w:themeColor="accent6"/>
              <w:bottom w:val="single" w:sz="4" w:space="0" w:color="E0301E"/>
              <w:right w:val="nil"/>
            </w:tcBorders>
          </w:tcPr>
          <w:p w14:paraId="42A467B6" w14:textId="77777777" w:rsidR="005463FC" w:rsidRPr="008A4528" w:rsidRDefault="005463FC" w:rsidP="005463FC">
            <w:pPr>
              <w:pStyle w:val="TableTextSmall"/>
              <w:jc w:val="center"/>
            </w:pPr>
            <w:r w:rsidRPr="008A4528">
              <w:t>-$111bn</w:t>
            </w:r>
          </w:p>
        </w:tc>
        <w:tc>
          <w:tcPr>
            <w:tcW w:w="1290" w:type="dxa"/>
            <w:tcBorders>
              <w:top w:val="single" w:sz="4" w:space="0" w:color="E0301E"/>
              <w:left w:val="nil"/>
              <w:bottom w:val="single" w:sz="4" w:space="0" w:color="E0301E"/>
              <w:right w:val="single" w:sz="4" w:space="0" w:color="E0301E" w:themeColor="accent6"/>
            </w:tcBorders>
          </w:tcPr>
          <w:p w14:paraId="382B92AD" w14:textId="77777777" w:rsidR="005463FC" w:rsidRPr="008A4528" w:rsidRDefault="005463FC" w:rsidP="005463FC">
            <w:pPr>
              <w:pStyle w:val="TableTextSmall"/>
              <w:jc w:val="center"/>
            </w:pPr>
            <w:r w:rsidRPr="008A4528">
              <w:t>-$615bn</w:t>
            </w:r>
          </w:p>
        </w:tc>
        <w:tc>
          <w:tcPr>
            <w:tcW w:w="1004" w:type="dxa"/>
            <w:tcBorders>
              <w:top w:val="single" w:sz="4" w:space="0" w:color="E0301E"/>
              <w:left w:val="single" w:sz="4" w:space="0" w:color="E0301E" w:themeColor="accent6"/>
              <w:bottom w:val="single" w:sz="4" w:space="0" w:color="E0301E"/>
              <w:right w:val="nil"/>
            </w:tcBorders>
          </w:tcPr>
          <w:p w14:paraId="7AA6BD5A" w14:textId="77777777" w:rsidR="005463FC" w:rsidRPr="008A4528" w:rsidRDefault="005463FC" w:rsidP="005463FC">
            <w:pPr>
              <w:pStyle w:val="TableTextSmall"/>
              <w:jc w:val="center"/>
            </w:pPr>
            <w:r w:rsidRPr="008A4528">
              <w:t>-$726bn</w:t>
            </w:r>
          </w:p>
        </w:tc>
        <w:tc>
          <w:tcPr>
            <w:tcW w:w="802" w:type="dxa"/>
            <w:tcBorders>
              <w:top w:val="single" w:sz="4" w:space="0" w:color="E0301E"/>
              <w:left w:val="nil"/>
              <w:bottom w:val="single" w:sz="4" w:space="0" w:color="E0301E"/>
              <w:right w:val="single" w:sz="4" w:space="0" w:color="FFFFFF"/>
            </w:tcBorders>
            <w:hideMark/>
          </w:tcPr>
          <w:p w14:paraId="69BB22F9" w14:textId="77777777" w:rsidR="005463FC" w:rsidRPr="008A4528" w:rsidRDefault="005463FC" w:rsidP="005463FC">
            <w:pPr>
              <w:pStyle w:val="TableTextSmall"/>
              <w:jc w:val="center"/>
            </w:pPr>
            <w:r w:rsidRPr="008A4528">
              <w:t>-15.5%</w:t>
            </w:r>
          </w:p>
        </w:tc>
      </w:tr>
      <w:tr w:rsidR="005463FC" w:rsidRPr="009210D0" w14:paraId="2C277F54"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hideMark/>
          </w:tcPr>
          <w:p w14:paraId="7C9FFAB8" w14:textId="77777777" w:rsidR="005463FC" w:rsidRPr="00D633F8" w:rsidRDefault="005463FC" w:rsidP="005463FC">
            <w:pPr>
              <w:pStyle w:val="TableTextSmall"/>
            </w:pPr>
            <w:r w:rsidRPr="00D633F8">
              <w:t xml:space="preserve">Age pension </w:t>
            </w:r>
          </w:p>
        </w:tc>
        <w:tc>
          <w:tcPr>
            <w:tcW w:w="3505" w:type="dxa"/>
            <w:tcBorders>
              <w:top w:val="single" w:sz="4" w:space="0" w:color="E0301E"/>
              <w:left w:val="single" w:sz="4" w:space="0" w:color="FFFFFF"/>
              <w:bottom w:val="single" w:sz="4" w:space="0" w:color="E0301E"/>
              <w:right w:val="single" w:sz="4" w:space="0" w:color="E0301E" w:themeColor="accent6"/>
            </w:tcBorders>
            <w:hideMark/>
          </w:tcPr>
          <w:p w14:paraId="20627130" w14:textId="77777777" w:rsidR="005463FC" w:rsidRPr="00D633F8" w:rsidRDefault="005463FC" w:rsidP="005463FC">
            <w:pPr>
              <w:pStyle w:val="TableTextSmall"/>
            </w:pPr>
            <w:r w:rsidRPr="00D633F8">
              <w:t>Adjustment to reflect an expected increase in future numbers of part pensioners is removed</w:t>
            </w:r>
          </w:p>
        </w:tc>
        <w:tc>
          <w:tcPr>
            <w:tcW w:w="1429" w:type="dxa"/>
            <w:tcBorders>
              <w:top w:val="single" w:sz="4" w:space="0" w:color="E0301E"/>
              <w:left w:val="single" w:sz="4" w:space="0" w:color="E0301E" w:themeColor="accent6"/>
              <w:bottom w:val="single" w:sz="4" w:space="0" w:color="E0301E"/>
              <w:right w:val="nil"/>
            </w:tcBorders>
          </w:tcPr>
          <w:p w14:paraId="7B9CFA27" w14:textId="77777777" w:rsidR="005463FC" w:rsidRPr="009210D0" w:rsidRDefault="005463FC" w:rsidP="005463FC">
            <w:pPr>
              <w:pStyle w:val="TableTextSmall"/>
              <w:jc w:val="center"/>
              <w:rPr>
                <w:highlight w:val="yellow"/>
              </w:rPr>
            </w:pPr>
            <w:r w:rsidRPr="005C103B">
              <w:t>+$</w:t>
            </w:r>
            <w:r>
              <w:t>3</w:t>
            </w:r>
            <w:r w:rsidRPr="005C103B">
              <w:t>bn</w:t>
            </w:r>
          </w:p>
        </w:tc>
        <w:tc>
          <w:tcPr>
            <w:tcW w:w="1290" w:type="dxa"/>
            <w:tcBorders>
              <w:top w:val="single" w:sz="4" w:space="0" w:color="E0301E"/>
              <w:left w:val="nil"/>
              <w:bottom w:val="single" w:sz="4" w:space="0" w:color="E0301E"/>
              <w:right w:val="single" w:sz="4" w:space="0" w:color="E0301E" w:themeColor="accent6"/>
            </w:tcBorders>
          </w:tcPr>
          <w:p w14:paraId="5035A174" w14:textId="77777777" w:rsidR="005463FC" w:rsidRPr="005C103B" w:rsidRDefault="005463FC" w:rsidP="005463FC">
            <w:pPr>
              <w:pStyle w:val="TableTextSmall"/>
              <w:jc w:val="center"/>
            </w:pPr>
            <w:r w:rsidRPr="005C103B">
              <w:t>+$30bn</w:t>
            </w:r>
          </w:p>
        </w:tc>
        <w:tc>
          <w:tcPr>
            <w:tcW w:w="1004" w:type="dxa"/>
            <w:tcBorders>
              <w:top w:val="single" w:sz="4" w:space="0" w:color="E0301E"/>
              <w:left w:val="single" w:sz="4" w:space="0" w:color="E0301E" w:themeColor="accent6"/>
              <w:bottom w:val="single" w:sz="4" w:space="0" w:color="E0301E"/>
              <w:right w:val="nil"/>
            </w:tcBorders>
          </w:tcPr>
          <w:p w14:paraId="347FBF93" w14:textId="77777777" w:rsidR="005463FC" w:rsidRPr="005C103B" w:rsidRDefault="005463FC" w:rsidP="005463FC">
            <w:pPr>
              <w:pStyle w:val="TableTextSmall"/>
              <w:jc w:val="center"/>
            </w:pPr>
            <w:r w:rsidRPr="005C103B">
              <w:t>+$33bn</w:t>
            </w:r>
          </w:p>
        </w:tc>
        <w:tc>
          <w:tcPr>
            <w:tcW w:w="802" w:type="dxa"/>
            <w:tcBorders>
              <w:top w:val="single" w:sz="4" w:space="0" w:color="E0301E"/>
              <w:left w:val="nil"/>
              <w:bottom w:val="single" w:sz="4" w:space="0" w:color="E0301E"/>
              <w:right w:val="single" w:sz="4" w:space="0" w:color="FFFFFF"/>
            </w:tcBorders>
            <w:hideMark/>
          </w:tcPr>
          <w:p w14:paraId="23E53B7A" w14:textId="77777777" w:rsidR="005463FC" w:rsidRPr="005C103B" w:rsidRDefault="005463FC" w:rsidP="005463FC">
            <w:pPr>
              <w:pStyle w:val="TableTextSmall"/>
              <w:jc w:val="center"/>
            </w:pPr>
            <w:r w:rsidRPr="005C103B">
              <w:t>+0.7%</w:t>
            </w:r>
          </w:p>
        </w:tc>
      </w:tr>
      <w:tr w:rsidR="005463FC" w:rsidRPr="007026B2" w14:paraId="006C35B1"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hideMark/>
          </w:tcPr>
          <w:p w14:paraId="024C825A" w14:textId="77777777" w:rsidR="005463FC" w:rsidRPr="00D633F8" w:rsidRDefault="005463FC" w:rsidP="005463FC">
            <w:pPr>
              <w:pStyle w:val="TableTextSmall"/>
            </w:pPr>
            <w:r w:rsidRPr="00D633F8">
              <w:t xml:space="preserve">Entry and exit rates </w:t>
            </w:r>
          </w:p>
        </w:tc>
        <w:tc>
          <w:tcPr>
            <w:tcW w:w="3505" w:type="dxa"/>
            <w:tcBorders>
              <w:top w:val="single" w:sz="4" w:space="0" w:color="E0301E"/>
              <w:left w:val="single" w:sz="4" w:space="0" w:color="FFFFFF"/>
              <w:bottom w:val="single" w:sz="4" w:space="0" w:color="E0301E"/>
              <w:right w:val="single" w:sz="4" w:space="0" w:color="E0301E" w:themeColor="accent6"/>
            </w:tcBorders>
            <w:hideMark/>
          </w:tcPr>
          <w:p w14:paraId="4C315916" w14:textId="77777777" w:rsidR="005463FC" w:rsidRPr="00D633F8" w:rsidRDefault="005463FC" w:rsidP="005463FC">
            <w:pPr>
              <w:pStyle w:val="TableTextSmall"/>
            </w:pPr>
            <w:r w:rsidRPr="00D633F8">
              <w:t>Rates of movement from the rest of the population to the active classes increase by 10% for ages up to retirement age</w:t>
            </w:r>
          </w:p>
        </w:tc>
        <w:tc>
          <w:tcPr>
            <w:tcW w:w="1429" w:type="dxa"/>
            <w:tcBorders>
              <w:top w:val="single" w:sz="4" w:space="0" w:color="E0301E"/>
              <w:left w:val="single" w:sz="4" w:space="0" w:color="E0301E" w:themeColor="accent6"/>
              <w:bottom w:val="single" w:sz="4" w:space="0" w:color="E0301E"/>
              <w:right w:val="nil"/>
            </w:tcBorders>
          </w:tcPr>
          <w:p w14:paraId="1C338926" w14:textId="77777777" w:rsidR="005463FC" w:rsidRPr="007026B2" w:rsidRDefault="005463FC" w:rsidP="005463FC">
            <w:pPr>
              <w:pStyle w:val="TableTextSmall"/>
              <w:jc w:val="center"/>
            </w:pPr>
            <w:r w:rsidRPr="007026B2">
              <w:t>+$82bn</w:t>
            </w:r>
          </w:p>
        </w:tc>
        <w:tc>
          <w:tcPr>
            <w:tcW w:w="1290" w:type="dxa"/>
            <w:tcBorders>
              <w:top w:val="single" w:sz="4" w:space="0" w:color="E0301E"/>
              <w:left w:val="nil"/>
              <w:bottom w:val="single" w:sz="4" w:space="0" w:color="E0301E"/>
              <w:right w:val="single" w:sz="4" w:space="0" w:color="E0301E" w:themeColor="accent6"/>
            </w:tcBorders>
          </w:tcPr>
          <w:p w14:paraId="00212D5B" w14:textId="77777777" w:rsidR="005463FC" w:rsidRPr="007026B2" w:rsidRDefault="005463FC" w:rsidP="005463FC">
            <w:pPr>
              <w:pStyle w:val="TableTextSmall"/>
              <w:jc w:val="center"/>
            </w:pPr>
            <w:r w:rsidRPr="007026B2">
              <w:t>+$21bn</w:t>
            </w:r>
          </w:p>
        </w:tc>
        <w:tc>
          <w:tcPr>
            <w:tcW w:w="1004" w:type="dxa"/>
            <w:tcBorders>
              <w:top w:val="single" w:sz="4" w:space="0" w:color="E0301E"/>
              <w:left w:val="single" w:sz="4" w:space="0" w:color="E0301E" w:themeColor="accent6"/>
              <w:bottom w:val="single" w:sz="4" w:space="0" w:color="E0301E"/>
              <w:right w:val="nil"/>
            </w:tcBorders>
          </w:tcPr>
          <w:p w14:paraId="13D5B887" w14:textId="77777777" w:rsidR="005463FC" w:rsidRPr="007026B2" w:rsidRDefault="005463FC" w:rsidP="005463FC">
            <w:pPr>
              <w:pStyle w:val="TableTextSmall"/>
              <w:jc w:val="center"/>
            </w:pPr>
            <w:r w:rsidRPr="007026B2">
              <w:t>+$103bn</w:t>
            </w:r>
          </w:p>
        </w:tc>
        <w:tc>
          <w:tcPr>
            <w:tcW w:w="802" w:type="dxa"/>
            <w:tcBorders>
              <w:top w:val="single" w:sz="4" w:space="0" w:color="E0301E"/>
              <w:left w:val="nil"/>
              <w:bottom w:val="single" w:sz="4" w:space="0" w:color="E0301E"/>
              <w:right w:val="single" w:sz="4" w:space="0" w:color="FFFFFF"/>
            </w:tcBorders>
            <w:hideMark/>
          </w:tcPr>
          <w:p w14:paraId="0914DCED" w14:textId="77777777" w:rsidR="005463FC" w:rsidRPr="007026B2" w:rsidRDefault="005463FC" w:rsidP="005463FC">
            <w:pPr>
              <w:pStyle w:val="TableTextSmall"/>
              <w:jc w:val="center"/>
            </w:pPr>
            <w:r w:rsidRPr="007026B2">
              <w:t>+2.2%</w:t>
            </w:r>
          </w:p>
        </w:tc>
      </w:tr>
      <w:tr w:rsidR="005463FC" w:rsidRPr="007026B2" w14:paraId="502005ED"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hideMark/>
          </w:tcPr>
          <w:p w14:paraId="525478CF" w14:textId="77777777" w:rsidR="005463FC" w:rsidRPr="00D633F8" w:rsidRDefault="005463FC" w:rsidP="005463FC">
            <w:pPr>
              <w:pStyle w:val="TableTextSmall"/>
            </w:pPr>
            <w:r w:rsidRPr="00D633F8">
              <w:t xml:space="preserve">Entry and exit rates </w:t>
            </w:r>
          </w:p>
        </w:tc>
        <w:tc>
          <w:tcPr>
            <w:tcW w:w="3505" w:type="dxa"/>
            <w:tcBorders>
              <w:top w:val="single" w:sz="4" w:space="0" w:color="E0301E"/>
              <w:left w:val="single" w:sz="4" w:space="0" w:color="FFFFFF"/>
              <w:bottom w:val="single" w:sz="4" w:space="0" w:color="E0301E"/>
              <w:right w:val="single" w:sz="4" w:space="0" w:color="E0301E" w:themeColor="accent6"/>
            </w:tcBorders>
            <w:hideMark/>
          </w:tcPr>
          <w:p w14:paraId="0DAB815D" w14:textId="77777777" w:rsidR="005463FC" w:rsidRPr="00D633F8" w:rsidRDefault="005463FC" w:rsidP="005463FC">
            <w:pPr>
              <w:pStyle w:val="TableTextSmall"/>
            </w:pPr>
            <w:r w:rsidRPr="00D633F8">
              <w:t>Rates of movement from the rest of the population to the active classes increase by 10% for retirement age and above</w:t>
            </w:r>
          </w:p>
        </w:tc>
        <w:tc>
          <w:tcPr>
            <w:tcW w:w="1429" w:type="dxa"/>
            <w:tcBorders>
              <w:top w:val="single" w:sz="4" w:space="0" w:color="E0301E"/>
              <w:left w:val="single" w:sz="4" w:space="0" w:color="E0301E" w:themeColor="accent6"/>
              <w:bottom w:val="single" w:sz="4" w:space="0" w:color="E0301E"/>
              <w:right w:val="nil"/>
            </w:tcBorders>
          </w:tcPr>
          <w:p w14:paraId="078E8DFA" w14:textId="77777777" w:rsidR="005463FC" w:rsidRPr="007026B2" w:rsidRDefault="005463FC" w:rsidP="005463FC">
            <w:pPr>
              <w:pStyle w:val="TableTextSmall"/>
              <w:jc w:val="center"/>
            </w:pPr>
            <w:r w:rsidRPr="007026B2">
              <w:t>+$</w:t>
            </w:r>
            <w:r>
              <w:t>8</w:t>
            </w:r>
            <w:r w:rsidRPr="007026B2">
              <w:t>bn</w:t>
            </w:r>
          </w:p>
        </w:tc>
        <w:tc>
          <w:tcPr>
            <w:tcW w:w="1290" w:type="dxa"/>
            <w:tcBorders>
              <w:top w:val="single" w:sz="4" w:space="0" w:color="E0301E"/>
              <w:left w:val="nil"/>
              <w:bottom w:val="single" w:sz="4" w:space="0" w:color="E0301E"/>
              <w:right w:val="single" w:sz="4" w:space="0" w:color="E0301E" w:themeColor="accent6"/>
            </w:tcBorders>
          </w:tcPr>
          <w:p w14:paraId="02E96459" w14:textId="77777777" w:rsidR="005463FC" w:rsidRPr="007026B2" w:rsidRDefault="005463FC" w:rsidP="005463FC">
            <w:pPr>
              <w:pStyle w:val="TableTextSmall"/>
              <w:jc w:val="center"/>
            </w:pPr>
            <w:r w:rsidRPr="007026B2">
              <w:t>+$77bn</w:t>
            </w:r>
          </w:p>
        </w:tc>
        <w:tc>
          <w:tcPr>
            <w:tcW w:w="1004" w:type="dxa"/>
            <w:tcBorders>
              <w:top w:val="single" w:sz="4" w:space="0" w:color="E0301E"/>
              <w:left w:val="single" w:sz="4" w:space="0" w:color="E0301E" w:themeColor="accent6"/>
              <w:bottom w:val="single" w:sz="4" w:space="0" w:color="E0301E"/>
              <w:right w:val="nil"/>
            </w:tcBorders>
          </w:tcPr>
          <w:p w14:paraId="4EBB6A78" w14:textId="77777777" w:rsidR="005463FC" w:rsidRPr="007026B2" w:rsidRDefault="005463FC" w:rsidP="005463FC">
            <w:pPr>
              <w:pStyle w:val="TableTextSmall"/>
              <w:jc w:val="center"/>
            </w:pPr>
            <w:r w:rsidRPr="007026B2">
              <w:t>+$84bn</w:t>
            </w:r>
          </w:p>
        </w:tc>
        <w:tc>
          <w:tcPr>
            <w:tcW w:w="802" w:type="dxa"/>
            <w:tcBorders>
              <w:top w:val="single" w:sz="4" w:space="0" w:color="E0301E"/>
              <w:left w:val="nil"/>
              <w:bottom w:val="single" w:sz="4" w:space="0" w:color="E0301E"/>
              <w:right w:val="single" w:sz="4" w:space="0" w:color="FFFFFF"/>
            </w:tcBorders>
            <w:hideMark/>
          </w:tcPr>
          <w:p w14:paraId="06F06A05" w14:textId="77777777" w:rsidR="005463FC" w:rsidRPr="007026B2" w:rsidRDefault="005463FC" w:rsidP="005463FC">
            <w:pPr>
              <w:pStyle w:val="TableTextSmall"/>
              <w:jc w:val="center"/>
            </w:pPr>
            <w:r w:rsidRPr="007026B2">
              <w:t>+1.8%</w:t>
            </w:r>
          </w:p>
        </w:tc>
      </w:tr>
      <w:tr w:rsidR="005463FC" w:rsidRPr="009210D0" w14:paraId="018FD7E6"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hideMark/>
          </w:tcPr>
          <w:p w14:paraId="77903334" w14:textId="77777777" w:rsidR="005463FC" w:rsidRPr="00D633F8" w:rsidRDefault="005463FC" w:rsidP="005463FC">
            <w:pPr>
              <w:pStyle w:val="TableTextSmall"/>
            </w:pPr>
            <w:r w:rsidRPr="00D633F8">
              <w:t xml:space="preserve">Entry and exit rates </w:t>
            </w:r>
          </w:p>
        </w:tc>
        <w:tc>
          <w:tcPr>
            <w:tcW w:w="3505" w:type="dxa"/>
            <w:tcBorders>
              <w:top w:val="single" w:sz="4" w:space="0" w:color="E0301E"/>
              <w:left w:val="single" w:sz="4" w:space="0" w:color="FFFFFF"/>
              <w:bottom w:val="single" w:sz="4" w:space="0" w:color="E0301E"/>
              <w:right w:val="single" w:sz="4" w:space="0" w:color="E0301E" w:themeColor="accent6"/>
            </w:tcBorders>
            <w:hideMark/>
          </w:tcPr>
          <w:p w14:paraId="7209577C" w14:textId="77777777" w:rsidR="005463FC" w:rsidRPr="00D633F8" w:rsidRDefault="005463FC" w:rsidP="005463FC">
            <w:pPr>
              <w:pStyle w:val="TableTextSmall"/>
            </w:pPr>
            <w:r w:rsidRPr="00D633F8">
              <w:t>Rates of movement from the active classes to the rest of the population increase by 10%</w:t>
            </w:r>
          </w:p>
        </w:tc>
        <w:tc>
          <w:tcPr>
            <w:tcW w:w="1429" w:type="dxa"/>
            <w:tcBorders>
              <w:top w:val="single" w:sz="4" w:space="0" w:color="E0301E"/>
              <w:left w:val="single" w:sz="4" w:space="0" w:color="E0301E" w:themeColor="accent6"/>
              <w:bottom w:val="single" w:sz="4" w:space="0" w:color="E0301E"/>
              <w:right w:val="nil"/>
            </w:tcBorders>
          </w:tcPr>
          <w:p w14:paraId="6B6E2B27" w14:textId="77777777" w:rsidR="005463FC" w:rsidRPr="007026B2" w:rsidRDefault="005463FC" w:rsidP="005463FC">
            <w:pPr>
              <w:pStyle w:val="TableTextSmall"/>
              <w:jc w:val="center"/>
            </w:pPr>
            <w:r w:rsidRPr="007026B2">
              <w:t>-$37bn</w:t>
            </w:r>
          </w:p>
        </w:tc>
        <w:tc>
          <w:tcPr>
            <w:tcW w:w="1290" w:type="dxa"/>
            <w:tcBorders>
              <w:top w:val="single" w:sz="4" w:space="0" w:color="E0301E"/>
              <w:left w:val="nil"/>
              <w:bottom w:val="single" w:sz="4" w:space="0" w:color="E0301E"/>
              <w:right w:val="single" w:sz="4" w:space="0" w:color="E0301E" w:themeColor="accent6"/>
            </w:tcBorders>
          </w:tcPr>
          <w:p w14:paraId="7C7A61CA" w14:textId="77777777" w:rsidR="005463FC" w:rsidRPr="007026B2" w:rsidRDefault="005463FC" w:rsidP="005463FC">
            <w:pPr>
              <w:pStyle w:val="TableTextSmall"/>
              <w:jc w:val="center"/>
            </w:pPr>
            <w:r w:rsidRPr="007026B2">
              <w:t>-$10bn</w:t>
            </w:r>
          </w:p>
        </w:tc>
        <w:tc>
          <w:tcPr>
            <w:tcW w:w="1004" w:type="dxa"/>
            <w:tcBorders>
              <w:top w:val="single" w:sz="4" w:space="0" w:color="E0301E"/>
              <w:left w:val="single" w:sz="4" w:space="0" w:color="E0301E" w:themeColor="accent6"/>
              <w:bottom w:val="single" w:sz="4" w:space="0" w:color="E0301E"/>
              <w:right w:val="nil"/>
            </w:tcBorders>
          </w:tcPr>
          <w:p w14:paraId="7E066E80" w14:textId="77777777" w:rsidR="005463FC" w:rsidRPr="007026B2" w:rsidRDefault="005463FC" w:rsidP="005463FC">
            <w:pPr>
              <w:pStyle w:val="TableTextSmall"/>
              <w:jc w:val="center"/>
            </w:pPr>
            <w:r w:rsidRPr="007026B2">
              <w:t>-$47bn</w:t>
            </w:r>
          </w:p>
        </w:tc>
        <w:tc>
          <w:tcPr>
            <w:tcW w:w="802" w:type="dxa"/>
            <w:tcBorders>
              <w:top w:val="single" w:sz="4" w:space="0" w:color="E0301E"/>
              <w:left w:val="nil"/>
              <w:bottom w:val="single" w:sz="4" w:space="0" w:color="E0301E"/>
              <w:right w:val="single" w:sz="4" w:space="0" w:color="FFFFFF"/>
            </w:tcBorders>
            <w:hideMark/>
          </w:tcPr>
          <w:p w14:paraId="57CA28E6" w14:textId="77777777" w:rsidR="005463FC" w:rsidRPr="007026B2" w:rsidRDefault="005463FC" w:rsidP="005463FC">
            <w:pPr>
              <w:pStyle w:val="TableTextSmall"/>
              <w:jc w:val="center"/>
            </w:pPr>
            <w:r w:rsidRPr="007026B2">
              <w:t>-1.0%</w:t>
            </w:r>
          </w:p>
        </w:tc>
      </w:tr>
      <w:tr w:rsidR="005463FC" w:rsidRPr="009210D0" w14:paraId="332899F9"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tcPr>
          <w:p w14:paraId="065A4BF4" w14:textId="77777777" w:rsidR="005463FC" w:rsidRPr="00D633F8" w:rsidRDefault="005463FC" w:rsidP="005463FC">
            <w:pPr>
              <w:pStyle w:val="TableTextSmall"/>
            </w:pPr>
            <w:r w:rsidRPr="00D633F8">
              <w:t>Economic module</w:t>
            </w:r>
          </w:p>
        </w:tc>
        <w:tc>
          <w:tcPr>
            <w:tcW w:w="3505" w:type="dxa"/>
            <w:tcBorders>
              <w:top w:val="single" w:sz="4" w:space="0" w:color="E0301E"/>
              <w:left w:val="single" w:sz="4" w:space="0" w:color="FFFFFF"/>
              <w:bottom w:val="single" w:sz="4" w:space="0" w:color="E0301E"/>
              <w:right w:val="single" w:sz="4" w:space="0" w:color="E0301E" w:themeColor="accent6"/>
            </w:tcBorders>
          </w:tcPr>
          <w:p w14:paraId="5120885D" w14:textId="6918A618" w:rsidR="005463FC" w:rsidRPr="00D633F8" w:rsidRDefault="005463FC" w:rsidP="00EC1651">
            <w:pPr>
              <w:pStyle w:val="TableTextSmall"/>
            </w:pPr>
            <w:r w:rsidRPr="00D633F8">
              <w:t>Long term unemployment rate of 4% (1%</w:t>
            </w:r>
            <w:r w:rsidR="00EC1651">
              <w:t> </w:t>
            </w:r>
            <w:r w:rsidRPr="00D633F8">
              <w:t>decrease from base assumption)</w:t>
            </w:r>
          </w:p>
        </w:tc>
        <w:tc>
          <w:tcPr>
            <w:tcW w:w="1429" w:type="dxa"/>
            <w:tcBorders>
              <w:top w:val="single" w:sz="4" w:space="0" w:color="E0301E"/>
              <w:left w:val="single" w:sz="4" w:space="0" w:color="E0301E" w:themeColor="accent6"/>
              <w:bottom w:val="single" w:sz="4" w:space="0" w:color="E0301E"/>
              <w:right w:val="nil"/>
            </w:tcBorders>
          </w:tcPr>
          <w:p w14:paraId="681C2A03" w14:textId="77777777" w:rsidR="005463FC" w:rsidRPr="007026B2" w:rsidRDefault="005463FC" w:rsidP="005463FC">
            <w:pPr>
              <w:pStyle w:val="TableTextSmall"/>
              <w:jc w:val="center"/>
            </w:pPr>
            <w:r w:rsidRPr="007026B2">
              <w:t>-$85bn</w:t>
            </w:r>
          </w:p>
        </w:tc>
        <w:tc>
          <w:tcPr>
            <w:tcW w:w="1290" w:type="dxa"/>
            <w:tcBorders>
              <w:top w:val="single" w:sz="4" w:space="0" w:color="E0301E"/>
              <w:left w:val="nil"/>
              <w:bottom w:val="single" w:sz="4" w:space="0" w:color="E0301E"/>
              <w:right w:val="single" w:sz="4" w:space="0" w:color="E0301E" w:themeColor="accent6"/>
            </w:tcBorders>
          </w:tcPr>
          <w:p w14:paraId="1B84A7F5" w14:textId="77777777" w:rsidR="005463FC" w:rsidRPr="007026B2" w:rsidRDefault="005463FC" w:rsidP="005463FC">
            <w:pPr>
              <w:pStyle w:val="TableTextSmall"/>
              <w:jc w:val="center"/>
            </w:pPr>
            <w:r w:rsidRPr="007026B2">
              <w:t>-$44bn</w:t>
            </w:r>
          </w:p>
        </w:tc>
        <w:tc>
          <w:tcPr>
            <w:tcW w:w="1004" w:type="dxa"/>
            <w:tcBorders>
              <w:top w:val="single" w:sz="4" w:space="0" w:color="E0301E"/>
              <w:left w:val="single" w:sz="4" w:space="0" w:color="E0301E" w:themeColor="accent6"/>
              <w:bottom w:val="single" w:sz="4" w:space="0" w:color="E0301E"/>
              <w:right w:val="nil"/>
            </w:tcBorders>
          </w:tcPr>
          <w:p w14:paraId="4B2C26F0" w14:textId="77777777" w:rsidR="005463FC" w:rsidRPr="007026B2" w:rsidRDefault="005463FC" w:rsidP="005463FC">
            <w:pPr>
              <w:pStyle w:val="TableTextSmall"/>
              <w:jc w:val="center"/>
            </w:pPr>
            <w:r w:rsidRPr="007026B2">
              <w:t>-$129bn</w:t>
            </w:r>
          </w:p>
        </w:tc>
        <w:tc>
          <w:tcPr>
            <w:tcW w:w="802" w:type="dxa"/>
            <w:tcBorders>
              <w:top w:val="single" w:sz="4" w:space="0" w:color="E0301E"/>
              <w:left w:val="nil"/>
              <w:bottom w:val="single" w:sz="4" w:space="0" w:color="E0301E"/>
              <w:right w:val="single" w:sz="4" w:space="0" w:color="FFFFFF"/>
            </w:tcBorders>
          </w:tcPr>
          <w:p w14:paraId="77DEA338" w14:textId="77777777" w:rsidR="005463FC" w:rsidRPr="007026B2" w:rsidRDefault="005463FC" w:rsidP="005463FC">
            <w:pPr>
              <w:pStyle w:val="TableTextSmall"/>
              <w:jc w:val="center"/>
            </w:pPr>
            <w:r w:rsidRPr="007026B2">
              <w:t>-2.7%</w:t>
            </w:r>
          </w:p>
        </w:tc>
      </w:tr>
      <w:tr w:rsidR="005463FC" w:rsidRPr="009210D0" w14:paraId="142574F8"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tcPr>
          <w:p w14:paraId="37A7BE66" w14:textId="77777777" w:rsidR="005463FC" w:rsidRPr="00D633F8" w:rsidRDefault="005463FC" w:rsidP="005463FC">
            <w:pPr>
              <w:pStyle w:val="TableTextSmall"/>
            </w:pPr>
            <w:r w:rsidRPr="00D633F8">
              <w:t>Economic module</w:t>
            </w:r>
          </w:p>
        </w:tc>
        <w:tc>
          <w:tcPr>
            <w:tcW w:w="3505" w:type="dxa"/>
            <w:tcBorders>
              <w:top w:val="single" w:sz="4" w:space="0" w:color="E0301E"/>
              <w:left w:val="single" w:sz="4" w:space="0" w:color="FFFFFF"/>
              <w:bottom w:val="single" w:sz="4" w:space="0" w:color="E0301E"/>
              <w:right w:val="single" w:sz="4" w:space="0" w:color="E0301E" w:themeColor="accent6"/>
            </w:tcBorders>
          </w:tcPr>
          <w:p w14:paraId="394019D5" w14:textId="7B2FFF7F" w:rsidR="005463FC" w:rsidRPr="007026B2" w:rsidRDefault="005463FC" w:rsidP="00EC1651">
            <w:pPr>
              <w:pStyle w:val="TableTextSmall"/>
            </w:pPr>
            <w:r w:rsidRPr="007026B2">
              <w:t>Long term unemployment rate of 6% (1%</w:t>
            </w:r>
            <w:r w:rsidR="00EC1651">
              <w:t> </w:t>
            </w:r>
            <w:r w:rsidRPr="007026B2">
              <w:t>increase from base assumption)</w:t>
            </w:r>
          </w:p>
        </w:tc>
        <w:tc>
          <w:tcPr>
            <w:tcW w:w="1429" w:type="dxa"/>
            <w:tcBorders>
              <w:top w:val="single" w:sz="4" w:space="0" w:color="E0301E"/>
              <w:left w:val="single" w:sz="4" w:space="0" w:color="E0301E" w:themeColor="accent6"/>
              <w:bottom w:val="single" w:sz="4" w:space="0" w:color="E0301E"/>
              <w:right w:val="nil"/>
            </w:tcBorders>
          </w:tcPr>
          <w:p w14:paraId="6B2BE4DB" w14:textId="77777777" w:rsidR="005463FC" w:rsidRPr="007026B2" w:rsidRDefault="005463FC" w:rsidP="005463FC">
            <w:pPr>
              <w:pStyle w:val="TableTextSmall"/>
              <w:jc w:val="center"/>
            </w:pPr>
            <w:r w:rsidRPr="007026B2">
              <w:t>+$99bn</w:t>
            </w:r>
          </w:p>
        </w:tc>
        <w:tc>
          <w:tcPr>
            <w:tcW w:w="1290" w:type="dxa"/>
            <w:tcBorders>
              <w:top w:val="single" w:sz="4" w:space="0" w:color="E0301E"/>
              <w:left w:val="nil"/>
              <w:bottom w:val="single" w:sz="4" w:space="0" w:color="E0301E"/>
              <w:right w:val="single" w:sz="4" w:space="0" w:color="E0301E" w:themeColor="accent6"/>
            </w:tcBorders>
          </w:tcPr>
          <w:p w14:paraId="0DF795A8" w14:textId="77777777" w:rsidR="005463FC" w:rsidRPr="007026B2" w:rsidRDefault="005463FC" w:rsidP="005463FC">
            <w:pPr>
              <w:pStyle w:val="TableTextSmall"/>
              <w:jc w:val="center"/>
            </w:pPr>
            <w:r w:rsidRPr="007026B2">
              <w:t>+$43bn</w:t>
            </w:r>
          </w:p>
        </w:tc>
        <w:tc>
          <w:tcPr>
            <w:tcW w:w="1004" w:type="dxa"/>
            <w:tcBorders>
              <w:top w:val="single" w:sz="4" w:space="0" w:color="E0301E"/>
              <w:left w:val="single" w:sz="4" w:space="0" w:color="E0301E" w:themeColor="accent6"/>
              <w:bottom w:val="single" w:sz="4" w:space="0" w:color="E0301E"/>
              <w:right w:val="nil"/>
            </w:tcBorders>
          </w:tcPr>
          <w:p w14:paraId="6E34F750" w14:textId="77777777" w:rsidR="005463FC" w:rsidRPr="007026B2" w:rsidRDefault="005463FC" w:rsidP="005463FC">
            <w:pPr>
              <w:pStyle w:val="TableTextSmall"/>
              <w:jc w:val="center"/>
            </w:pPr>
            <w:r w:rsidRPr="007026B2">
              <w:t>+$141bn</w:t>
            </w:r>
          </w:p>
        </w:tc>
        <w:tc>
          <w:tcPr>
            <w:tcW w:w="802" w:type="dxa"/>
            <w:tcBorders>
              <w:top w:val="single" w:sz="4" w:space="0" w:color="E0301E"/>
              <w:left w:val="nil"/>
              <w:bottom w:val="single" w:sz="4" w:space="0" w:color="E0301E"/>
              <w:right w:val="single" w:sz="4" w:space="0" w:color="FFFFFF"/>
            </w:tcBorders>
          </w:tcPr>
          <w:p w14:paraId="0100BB7E" w14:textId="77777777" w:rsidR="005463FC" w:rsidRPr="007026B2" w:rsidRDefault="005463FC" w:rsidP="005463FC">
            <w:pPr>
              <w:pStyle w:val="TableTextSmall"/>
              <w:jc w:val="center"/>
            </w:pPr>
            <w:r w:rsidRPr="007026B2">
              <w:t>+3.0%</w:t>
            </w:r>
          </w:p>
        </w:tc>
      </w:tr>
      <w:tr w:rsidR="005463FC" w:rsidRPr="009210D0" w14:paraId="17985B8A" w14:textId="77777777" w:rsidTr="00D106BD">
        <w:trPr>
          <w:trHeight w:val="284"/>
        </w:trPr>
        <w:tc>
          <w:tcPr>
            <w:tcW w:w="1192" w:type="dxa"/>
            <w:tcBorders>
              <w:top w:val="single" w:sz="4" w:space="0" w:color="E0301E"/>
              <w:left w:val="single" w:sz="4" w:space="0" w:color="FFFFFF"/>
              <w:bottom w:val="single" w:sz="4" w:space="0" w:color="E0301E"/>
              <w:right w:val="single" w:sz="4" w:space="0" w:color="FFFFFF"/>
            </w:tcBorders>
          </w:tcPr>
          <w:p w14:paraId="7C04F74D" w14:textId="77777777" w:rsidR="005463FC" w:rsidRPr="00D633F8" w:rsidRDefault="005463FC" w:rsidP="005463FC">
            <w:pPr>
              <w:pStyle w:val="TableTextSmall"/>
            </w:pPr>
            <w:r w:rsidRPr="00D633F8">
              <w:t>Economic module</w:t>
            </w:r>
          </w:p>
        </w:tc>
        <w:tc>
          <w:tcPr>
            <w:tcW w:w="3505" w:type="dxa"/>
            <w:tcBorders>
              <w:top w:val="single" w:sz="4" w:space="0" w:color="E0301E"/>
              <w:left w:val="single" w:sz="4" w:space="0" w:color="FFFFFF"/>
              <w:bottom w:val="single" w:sz="4" w:space="0" w:color="E0301E"/>
              <w:right w:val="single" w:sz="4" w:space="0" w:color="E0301E" w:themeColor="accent6"/>
            </w:tcBorders>
          </w:tcPr>
          <w:p w14:paraId="65904CEE" w14:textId="216308F8" w:rsidR="005463FC" w:rsidRPr="007026B2" w:rsidRDefault="005463FC" w:rsidP="00EC1651">
            <w:pPr>
              <w:pStyle w:val="TableTextSmall"/>
            </w:pPr>
            <w:r w:rsidRPr="007026B2">
              <w:t>Long term unemployment rate of 7% (2%</w:t>
            </w:r>
            <w:r w:rsidR="00EC1651">
              <w:t> </w:t>
            </w:r>
            <w:r w:rsidRPr="007026B2">
              <w:t>increase from base assumption)</w:t>
            </w:r>
          </w:p>
        </w:tc>
        <w:tc>
          <w:tcPr>
            <w:tcW w:w="1429" w:type="dxa"/>
            <w:tcBorders>
              <w:top w:val="single" w:sz="4" w:space="0" w:color="E0301E"/>
              <w:left w:val="single" w:sz="4" w:space="0" w:color="E0301E" w:themeColor="accent6"/>
              <w:bottom w:val="single" w:sz="4" w:space="0" w:color="E0301E"/>
              <w:right w:val="nil"/>
            </w:tcBorders>
          </w:tcPr>
          <w:p w14:paraId="6BE423BF" w14:textId="77777777" w:rsidR="005463FC" w:rsidRPr="007026B2" w:rsidRDefault="005463FC" w:rsidP="005463FC">
            <w:pPr>
              <w:pStyle w:val="TableTextSmall"/>
              <w:jc w:val="center"/>
            </w:pPr>
            <w:r w:rsidRPr="007026B2">
              <w:t>+$218bn</w:t>
            </w:r>
          </w:p>
        </w:tc>
        <w:tc>
          <w:tcPr>
            <w:tcW w:w="1290" w:type="dxa"/>
            <w:tcBorders>
              <w:top w:val="single" w:sz="4" w:space="0" w:color="E0301E"/>
              <w:left w:val="nil"/>
              <w:bottom w:val="single" w:sz="4" w:space="0" w:color="E0301E"/>
              <w:right w:val="single" w:sz="4" w:space="0" w:color="E0301E" w:themeColor="accent6"/>
            </w:tcBorders>
          </w:tcPr>
          <w:p w14:paraId="2A3C35B2" w14:textId="77777777" w:rsidR="005463FC" w:rsidRPr="007026B2" w:rsidRDefault="005463FC" w:rsidP="005463FC">
            <w:pPr>
              <w:pStyle w:val="TableTextSmall"/>
              <w:jc w:val="center"/>
            </w:pPr>
            <w:r w:rsidRPr="007026B2">
              <w:t>+$85bn</w:t>
            </w:r>
          </w:p>
        </w:tc>
        <w:tc>
          <w:tcPr>
            <w:tcW w:w="1004" w:type="dxa"/>
            <w:tcBorders>
              <w:top w:val="single" w:sz="4" w:space="0" w:color="E0301E"/>
              <w:left w:val="single" w:sz="4" w:space="0" w:color="E0301E" w:themeColor="accent6"/>
              <w:bottom w:val="single" w:sz="4" w:space="0" w:color="E0301E"/>
              <w:right w:val="nil"/>
            </w:tcBorders>
          </w:tcPr>
          <w:p w14:paraId="62E4C94D" w14:textId="77777777" w:rsidR="005463FC" w:rsidRPr="007026B2" w:rsidRDefault="005463FC" w:rsidP="005463FC">
            <w:pPr>
              <w:pStyle w:val="TableTextSmall"/>
              <w:jc w:val="center"/>
            </w:pPr>
            <w:r w:rsidRPr="007026B2">
              <w:t>+$303bn</w:t>
            </w:r>
          </w:p>
        </w:tc>
        <w:tc>
          <w:tcPr>
            <w:tcW w:w="802" w:type="dxa"/>
            <w:tcBorders>
              <w:top w:val="single" w:sz="4" w:space="0" w:color="E0301E"/>
              <w:left w:val="nil"/>
              <w:bottom w:val="single" w:sz="4" w:space="0" w:color="E0301E"/>
              <w:right w:val="single" w:sz="4" w:space="0" w:color="FFFFFF"/>
            </w:tcBorders>
          </w:tcPr>
          <w:p w14:paraId="7E0B6E6E" w14:textId="77777777" w:rsidR="005463FC" w:rsidRPr="007026B2" w:rsidRDefault="005463FC" w:rsidP="005463FC">
            <w:pPr>
              <w:pStyle w:val="TableTextSmall"/>
              <w:jc w:val="center"/>
            </w:pPr>
            <w:r w:rsidRPr="007026B2">
              <w:t>+6.5%</w:t>
            </w:r>
          </w:p>
        </w:tc>
      </w:tr>
    </w:tbl>
    <w:p w14:paraId="4AFC6E10" w14:textId="77777777" w:rsidR="005463FC" w:rsidRPr="00D633F8" w:rsidRDefault="005463FC" w:rsidP="005463FC">
      <w:pPr>
        <w:pStyle w:val="Minorheading"/>
      </w:pPr>
      <w:r w:rsidRPr="00D633F8">
        <w:t>Age pension sensitivities</w:t>
      </w:r>
    </w:p>
    <w:p w14:paraId="511726BD" w14:textId="7F95E91C" w:rsidR="005463FC" w:rsidRPr="00D633F8" w:rsidRDefault="00C02F8E" w:rsidP="005463FC">
      <w:pPr>
        <w:pStyle w:val="PwCNormal"/>
        <w:numPr>
          <w:ilvl w:val="0"/>
          <w:numId w:val="0"/>
        </w:numPr>
      </w:pPr>
      <w:r>
        <w:t>A</w:t>
      </w:r>
      <w:r w:rsidR="005463FC" w:rsidRPr="00D633F8">
        <w:t>ge pension costs may vary in future as a result of the expected future trend of an increased number of part pensioners over time as people reach retirement with more superannuation assets.</w:t>
      </w:r>
    </w:p>
    <w:p w14:paraId="00361314" w14:textId="77777777" w:rsidR="005463FC" w:rsidRPr="0057506F" w:rsidRDefault="005463FC" w:rsidP="005463FC">
      <w:pPr>
        <w:pStyle w:val="PwCNormal"/>
        <w:numPr>
          <w:ilvl w:val="0"/>
          <w:numId w:val="0"/>
        </w:numPr>
      </w:pPr>
      <w:r w:rsidRPr="00D633F8">
        <w:t>We have allowed for this trend in the valuation results through making an explicit adjustment to increase the proportion of part pensioners entering the Age Pension class in future years. To illustrate the sensitivity to this assumption we have assessed the change in lifetime costs that would occur if we had not ma</w:t>
      </w:r>
      <w:r w:rsidRPr="00C90240">
        <w:t xml:space="preserve">de the adjustment. Removing the adjustment would increase the liabilities by 0.7% (that is, applying this adjustment has reduced the lifetime cost by 0.7%). </w:t>
      </w:r>
    </w:p>
    <w:p w14:paraId="58F31A4F" w14:textId="77777777" w:rsidR="00A27E2A" w:rsidRDefault="00A27E2A" w:rsidP="00A27E2A">
      <w:pPr>
        <w:pStyle w:val="Minorheading"/>
        <w:rPr>
          <w:snapToGrid/>
        </w:rPr>
      </w:pPr>
      <w:r>
        <w:t xml:space="preserve">Simulation run differences </w:t>
      </w:r>
    </w:p>
    <w:p w14:paraId="330476B7" w14:textId="64C3EFAB" w:rsidR="005C3251" w:rsidRDefault="005C3251" w:rsidP="005C3251">
      <w:pPr>
        <w:pStyle w:val="PwCNormal"/>
        <w:numPr>
          <w:ilvl w:val="0"/>
          <w:numId w:val="33"/>
        </w:numPr>
      </w:pPr>
      <w:r>
        <w:t xml:space="preserve">The valuation is based on a simulation method which </w:t>
      </w:r>
      <w:r w:rsidR="006A68F3">
        <w:t>generates</w:t>
      </w:r>
      <w:r>
        <w:t xml:space="preserve"> a possible future scenario for each individual</w:t>
      </w:r>
      <w:r w:rsidR="006A68F3">
        <w:t>, based on random numbers</w:t>
      </w:r>
      <w:r>
        <w:t xml:space="preserve">. </w:t>
      </w:r>
    </w:p>
    <w:p w14:paraId="4D4B1D6D" w14:textId="77777777" w:rsidR="005C3251" w:rsidRDefault="005C3251" w:rsidP="005C3251">
      <w:pPr>
        <w:pStyle w:val="PwCNormal"/>
        <w:numPr>
          <w:ilvl w:val="0"/>
          <w:numId w:val="33"/>
        </w:numPr>
      </w:pPr>
      <w:r>
        <w:t xml:space="preserve">The overall and class level results presented in this report are based on a simulation run of one simulation per person. We considered this number of simulations sufficient owing to the substantial numbers of people within </w:t>
      </w:r>
      <w:r>
        <w:lastRenderedPageBreak/>
        <w:t xml:space="preserve">each of these population groups. Where results are presented for smaller groups of people, such as the average lifetime cost of cohorts with different characteristics, the model has been run with a minimum of 100,000 simulations in total (for instance, this is equivalent to 100 simulations per person for a group of 1,000 people or lower numbers per person for larger groups). </w:t>
      </w:r>
    </w:p>
    <w:p w14:paraId="55B4BB5C" w14:textId="77777777" w:rsidR="005C3251" w:rsidRDefault="005C3251" w:rsidP="005C3251">
      <w:pPr>
        <w:pStyle w:val="PwCNormal"/>
        <w:numPr>
          <w:ilvl w:val="0"/>
          <w:numId w:val="33"/>
        </w:numPr>
      </w:pPr>
      <w:r>
        <w:t xml:space="preserve">If the model is re-run using an alternative set of random numbers then the simulated future scenario for each individual will change. However, as discussed above, we would expect that the overall results and class level results would only change by a small proportion. Hence, simulation run differences are expected to be a much less significant source of uncertainty in the overall results than the uncertainty associated with the model assumptions (as illustrated in the sensitivities table). </w:t>
      </w:r>
    </w:p>
    <w:p w14:paraId="11848D52" w14:textId="77777777" w:rsidR="005C3251" w:rsidRDefault="005C3251" w:rsidP="005C3251">
      <w:pPr>
        <w:pStyle w:val="PwCNormal"/>
        <w:numPr>
          <w:ilvl w:val="0"/>
          <w:numId w:val="33"/>
        </w:numPr>
      </w:pPr>
      <w:r>
        <w:t xml:space="preserve">In order to test this we have run the model one hundred times using different sets of random numbers. The average lifetime cost for the entire population produced from these 100 runs is depicted in the frequency chart below. </w:t>
      </w:r>
    </w:p>
    <w:p w14:paraId="252E2E8D" w14:textId="418FF6FF" w:rsidR="005C3251" w:rsidRDefault="005C3251" w:rsidP="005C3251">
      <w:pPr>
        <w:pStyle w:val="PwCNormal"/>
        <w:numPr>
          <w:ilvl w:val="0"/>
          <w:numId w:val="33"/>
        </w:numPr>
        <w:rPr>
          <w:rFonts w:asciiTheme="majorHAnsi" w:hAnsiTheme="majorHAnsi"/>
          <w:b/>
          <w:bCs/>
          <w:color w:val="E0301E"/>
          <w:szCs w:val="18"/>
        </w:rPr>
      </w:pPr>
      <w:r>
        <w:rPr>
          <w:rFonts w:asciiTheme="majorHAnsi" w:hAnsiTheme="majorHAnsi"/>
          <w:b/>
          <w:bCs/>
          <w:color w:val="E0301E"/>
          <w:szCs w:val="18"/>
        </w:rPr>
        <w:t xml:space="preserve">Figure </w:t>
      </w:r>
      <w:r>
        <w:rPr>
          <w:rFonts w:asciiTheme="majorHAnsi" w:hAnsiTheme="majorHAnsi"/>
          <w:b/>
          <w:bCs/>
          <w:color w:val="E0301E"/>
          <w:szCs w:val="18"/>
        </w:rPr>
        <w:fldChar w:fldCharType="begin"/>
      </w:r>
      <w:r>
        <w:rPr>
          <w:rFonts w:asciiTheme="majorHAnsi" w:hAnsiTheme="majorHAnsi"/>
          <w:b/>
          <w:bCs/>
          <w:color w:val="E0301E"/>
          <w:szCs w:val="18"/>
        </w:rPr>
        <w:instrText xml:space="preserve"> SEQ Figure \* ARABIC </w:instrText>
      </w:r>
      <w:r>
        <w:rPr>
          <w:rFonts w:asciiTheme="majorHAnsi" w:hAnsiTheme="majorHAnsi"/>
          <w:b/>
          <w:bCs/>
          <w:color w:val="E0301E"/>
          <w:szCs w:val="18"/>
        </w:rPr>
        <w:fldChar w:fldCharType="separate"/>
      </w:r>
      <w:r w:rsidR="00C93C1A">
        <w:rPr>
          <w:rFonts w:asciiTheme="majorHAnsi" w:hAnsiTheme="majorHAnsi"/>
          <w:b/>
          <w:bCs/>
          <w:noProof/>
          <w:color w:val="E0301E"/>
          <w:szCs w:val="18"/>
        </w:rPr>
        <w:t>49</w:t>
      </w:r>
      <w:r>
        <w:rPr>
          <w:rFonts w:asciiTheme="majorHAnsi" w:hAnsiTheme="majorHAnsi"/>
          <w:b/>
          <w:bCs/>
          <w:color w:val="E0301E"/>
          <w:szCs w:val="18"/>
        </w:rPr>
        <w:fldChar w:fldCharType="end"/>
      </w:r>
      <w:r>
        <w:rPr>
          <w:rFonts w:asciiTheme="majorHAnsi" w:hAnsiTheme="majorHAnsi"/>
          <w:b/>
          <w:bCs/>
          <w:color w:val="E0301E"/>
          <w:szCs w:val="18"/>
        </w:rPr>
        <w:t>: Distribution of average lifetime cost across 100 simulations</w:t>
      </w:r>
    </w:p>
    <w:tbl>
      <w:tblPr>
        <w:tblStyle w:val="Tables-APBase"/>
        <w:tblW w:w="48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503"/>
        <w:gridCol w:w="3175"/>
      </w:tblGrid>
      <w:tr w:rsidR="005C3251" w14:paraId="1A9E0A61" w14:textId="77777777" w:rsidTr="00F602A0">
        <w:trPr>
          <w:trHeight w:val="3402"/>
          <w:tblHeader/>
        </w:trPr>
        <w:tc>
          <w:tcPr>
            <w:tcW w:w="6096" w:type="dxa"/>
            <w:hideMark/>
          </w:tcPr>
          <w:p w14:paraId="77BC8DB1" w14:textId="77777777" w:rsidR="005C3251" w:rsidRDefault="005C3251" w:rsidP="00F602A0">
            <w:pPr>
              <w:pStyle w:val="TableTextSmall"/>
            </w:pPr>
            <w:r>
              <w:rPr>
                <w:noProof/>
                <w:lang w:eastAsia="en-AU"/>
              </w:rPr>
              <w:drawing>
                <wp:inline distT="0" distB="0" distL="0" distR="0" wp14:anchorId="45FB7254" wp14:editId="6B6691BB">
                  <wp:extent cx="3744595" cy="2025015"/>
                  <wp:effectExtent l="0" t="0" r="0" b="0"/>
                  <wp:docPr id="1024" name="Picture 1024" descr="This figure is a line graph showing the distribution of the overall average lifetime cost for the whole population based on 100 simulations.&#10;&#10;This figure shows that the reported average lifetime cost is about $189,870, the 5% percentile is about $189,840, and the 95% percentile is about $189,940.&#10;&#10;Further features shown in the chart are discussed in the accompanying text within the report.&#10;" title="Distribution of average lifetime cost across 100 sim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7" cstate="print">
                            <a:extLst>
                              <a:ext uri="{28A0092B-C50C-407E-A947-70E740481C1C}">
                                <a14:useLocalDpi xmlns:a14="http://schemas.microsoft.com/office/drawing/2010/main" val="0"/>
                              </a:ext>
                            </a:extLst>
                          </a:blip>
                          <a:srcRect b="6339"/>
                          <a:stretch>
                            <a:fillRect/>
                          </a:stretch>
                        </pic:blipFill>
                        <pic:spPr bwMode="auto">
                          <a:xfrm>
                            <a:off x="0" y="0"/>
                            <a:ext cx="3744595" cy="2025015"/>
                          </a:xfrm>
                          <a:prstGeom prst="rect">
                            <a:avLst/>
                          </a:prstGeom>
                          <a:noFill/>
                          <a:ln>
                            <a:noFill/>
                          </a:ln>
                        </pic:spPr>
                      </pic:pic>
                    </a:graphicData>
                  </a:graphic>
                </wp:inline>
              </w:drawing>
            </w:r>
          </w:p>
        </w:tc>
        <w:tc>
          <w:tcPr>
            <w:tcW w:w="2976" w:type="dxa"/>
          </w:tcPr>
          <w:p w14:paraId="1794C187" w14:textId="77777777" w:rsidR="005C3251" w:rsidRDefault="005C3251" w:rsidP="00F602A0">
            <w:pPr>
              <w:pStyle w:val="TableTextSmall"/>
            </w:pPr>
          </w:p>
          <w:p w14:paraId="40D12632" w14:textId="77777777" w:rsidR="005C3251" w:rsidRDefault="005C3251" w:rsidP="00F602A0">
            <w:pPr>
              <w:pStyle w:val="TableTextSmall"/>
            </w:pPr>
          </w:p>
          <w:p w14:paraId="32B310F3" w14:textId="77777777" w:rsidR="005C3251" w:rsidRDefault="005C3251" w:rsidP="00F602A0">
            <w:pPr>
              <w:pStyle w:val="TableTextSmall"/>
            </w:pPr>
            <w:r>
              <w:rPr>
                <w:noProof/>
                <w:lang w:eastAsia="en-AU"/>
              </w:rPr>
              <w:drawing>
                <wp:inline distT="0" distB="0" distL="0" distR="0" wp14:anchorId="5BD9BA63" wp14:editId="4BEBFE5F">
                  <wp:extent cx="1818005" cy="1382395"/>
                  <wp:effectExtent l="0" t="0" r="0" b="0"/>
                  <wp:docPr id="1029" name="Picture 1029"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108" cstate="print">
                            <a:extLst>
                              <a:ext uri="{28A0092B-C50C-407E-A947-70E740481C1C}">
                                <a14:useLocalDpi xmlns:a14="http://schemas.microsoft.com/office/drawing/2010/main" val="0"/>
                              </a:ext>
                            </a:extLst>
                          </a:blip>
                          <a:srcRect l="61281" r="2" b="23750"/>
                          <a:stretch>
                            <a:fillRect/>
                          </a:stretch>
                        </pic:blipFill>
                        <pic:spPr bwMode="auto">
                          <a:xfrm>
                            <a:off x="0" y="0"/>
                            <a:ext cx="1818005" cy="1382395"/>
                          </a:xfrm>
                          <a:prstGeom prst="rect">
                            <a:avLst/>
                          </a:prstGeom>
                          <a:noFill/>
                          <a:ln>
                            <a:noFill/>
                          </a:ln>
                        </pic:spPr>
                      </pic:pic>
                    </a:graphicData>
                  </a:graphic>
                </wp:inline>
              </w:drawing>
            </w:r>
          </w:p>
        </w:tc>
      </w:tr>
    </w:tbl>
    <w:p w14:paraId="3C00E562" w14:textId="77777777" w:rsidR="005C3251" w:rsidRDefault="005C3251" w:rsidP="005C3251">
      <w:pPr>
        <w:pStyle w:val="PwCNormal"/>
        <w:numPr>
          <w:ilvl w:val="0"/>
          <w:numId w:val="33"/>
        </w:numPr>
      </w:pPr>
      <w:r>
        <w:t>The average lifetime cost presented in the results is illustrated by a solid blue line and the dotted lines show the 5</w:t>
      </w:r>
      <w:r>
        <w:rPr>
          <w:vertAlign w:val="superscript"/>
        </w:rPr>
        <w:t>th</w:t>
      </w:r>
      <w:r>
        <w:t xml:space="preserve"> percentile and the 95</w:t>
      </w:r>
      <w:r>
        <w:rPr>
          <w:vertAlign w:val="superscript"/>
        </w:rPr>
        <w:t>th</w:t>
      </w:r>
      <w:r>
        <w:t xml:space="preserve"> percentile of the distribution. The difference between the 95</w:t>
      </w:r>
      <w:r>
        <w:rPr>
          <w:vertAlign w:val="superscript"/>
        </w:rPr>
        <w:t>th</w:t>
      </w:r>
      <w:r>
        <w:t xml:space="preserve"> and 5</w:t>
      </w:r>
      <w:r>
        <w:rPr>
          <w:vertAlign w:val="superscript"/>
        </w:rPr>
        <w:t>th</w:t>
      </w:r>
      <w:r>
        <w:t xml:space="preserve"> percentile is used as a measure which provides information on the variability arising from the randomness within the simulations. </w:t>
      </w:r>
    </w:p>
    <w:p w14:paraId="096CB8A5" w14:textId="77777777" w:rsidR="005C3251" w:rsidRDefault="005C3251" w:rsidP="005C3251">
      <w:pPr>
        <w:pStyle w:val="PwCNormal"/>
        <w:numPr>
          <w:ilvl w:val="0"/>
          <w:numId w:val="33"/>
        </w:numPr>
      </w:pPr>
      <w:r>
        <w:t xml:space="preserve">This difference measure is $0.1k when looking at the average lifetime cost of the full population; this is less than 0.1% of the average lifetime cost of $190,000. This is equivalent to a difference of $2bn when considered for the total lifetime cost of $4,681 billion rather than for the average lifetime cost of $190,000. </w:t>
      </w:r>
    </w:p>
    <w:p w14:paraId="2AF455D4" w14:textId="77777777" w:rsidR="005C3251" w:rsidRDefault="005C3251" w:rsidP="00D67024">
      <w:pPr>
        <w:pStyle w:val="PwCNormal"/>
        <w:keepNext/>
        <w:numPr>
          <w:ilvl w:val="0"/>
          <w:numId w:val="33"/>
        </w:numPr>
      </w:pPr>
      <w:r>
        <w:lastRenderedPageBreak/>
        <w:t>Similar analysis at a class level was also conducted and the results are tabulated below. In all cases, the variation between the 5</w:t>
      </w:r>
      <w:r>
        <w:rPr>
          <w:vertAlign w:val="superscript"/>
        </w:rPr>
        <w:t>th</w:t>
      </w:r>
      <w:r>
        <w:t xml:space="preserve"> and 95</w:t>
      </w:r>
      <w:r>
        <w:rPr>
          <w:vertAlign w:val="superscript"/>
        </w:rPr>
        <w:t>th</w:t>
      </w:r>
      <w:r>
        <w:t xml:space="preserve"> percentiles was $1.1k or less.</w:t>
      </w:r>
    </w:p>
    <w:p w14:paraId="7A8D6F38" w14:textId="77777777" w:rsidR="005C3251" w:rsidRDefault="005C3251" w:rsidP="00D67024">
      <w:pPr>
        <w:pStyle w:val="PwCNormal"/>
        <w:keepNext/>
        <w:numPr>
          <w:ilvl w:val="0"/>
          <w:numId w:val="33"/>
        </w:numPr>
        <w:rPr>
          <w:rFonts w:asciiTheme="majorHAnsi" w:hAnsiTheme="majorHAnsi"/>
          <w:b/>
          <w:bCs/>
          <w:color w:val="E0301E"/>
          <w:sz w:val="16"/>
          <w:szCs w:val="18"/>
        </w:rPr>
      </w:pPr>
      <w:r>
        <w:rPr>
          <w:rFonts w:asciiTheme="majorHAnsi" w:hAnsiTheme="majorHAnsi"/>
          <w:b/>
          <w:bCs/>
          <w:color w:val="E0301E"/>
          <w:szCs w:val="18"/>
        </w:rPr>
        <w:t xml:space="preserve">Table </w:t>
      </w:r>
      <w:r>
        <w:rPr>
          <w:rFonts w:asciiTheme="majorHAnsi" w:hAnsiTheme="majorHAnsi"/>
          <w:b/>
          <w:bCs/>
          <w:color w:val="E0301E"/>
          <w:szCs w:val="18"/>
        </w:rPr>
        <w:fldChar w:fldCharType="begin"/>
      </w:r>
      <w:r>
        <w:rPr>
          <w:rFonts w:asciiTheme="majorHAnsi" w:hAnsiTheme="majorHAnsi"/>
          <w:b/>
          <w:bCs/>
          <w:color w:val="E0301E"/>
          <w:szCs w:val="18"/>
        </w:rPr>
        <w:instrText xml:space="preserve"> SEQ Table \* ARABIC </w:instrText>
      </w:r>
      <w:r>
        <w:rPr>
          <w:rFonts w:asciiTheme="majorHAnsi" w:hAnsiTheme="majorHAnsi"/>
          <w:b/>
          <w:bCs/>
          <w:color w:val="E0301E"/>
          <w:szCs w:val="18"/>
        </w:rPr>
        <w:fldChar w:fldCharType="separate"/>
      </w:r>
      <w:r w:rsidR="00C93C1A">
        <w:rPr>
          <w:rFonts w:asciiTheme="majorHAnsi" w:hAnsiTheme="majorHAnsi"/>
          <w:b/>
          <w:bCs/>
          <w:noProof/>
          <w:color w:val="E0301E"/>
          <w:szCs w:val="18"/>
        </w:rPr>
        <w:t>20</w:t>
      </w:r>
      <w:r>
        <w:rPr>
          <w:rFonts w:asciiTheme="majorHAnsi" w:hAnsiTheme="majorHAnsi"/>
          <w:b/>
          <w:bCs/>
          <w:color w:val="E0301E"/>
          <w:szCs w:val="18"/>
        </w:rPr>
        <w:fldChar w:fldCharType="end"/>
      </w:r>
      <w:r>
        <w:rPr>
          <w:rFonts w:asciiTheme="majorHAnsi" w:hAnsiTheme="majorHAnsi"/>
          <w:b/>
          <w:bCs/>
          <w:color w:val="E0301E"/>
          <w:szCs w:val="18"/>
        </w:rPr>
        <w:t>: Average lifetime cost distribution statistics from 100 simulations compared to reported results</w:t>
      </w:r>
    </w:p>
    <w:tbl>
      <w:tblPr>
        <w:tblW w:w="0" w:type="dxa"/>
        <w:tblInd w:w="108" w:type="dxa"/>
        <w:tblLayout w:type="fixed"/>
        <w:tblLook w:val="04A0" w:firstRow="1" w:lastRow="0" w:firstColumn="1" w:lastColumn="0" w:noHBand="0" w:noVBand="1"/>
        <w:tblCaption w:val="Average lifetime cost distribution statistics from 100 simulations compared to reported results"/>
        <w:tblDescription w:val="This table displays key statistics for lifetime costs from 100 simulation runs by welfare class. The columns show the welfare class, reported total lifetime cost, reported average lifetime cost, average lifetime cost – 5th percentile of 100 simulations, average lifetime cost – 95th percentile of 100 simulations, and simulation variability measure (95th less 5th percentile). The rows show 11 welfare classes as well as the total lifetime cost of all classes.&#10;&#10;Further features of the data in this table are discussed in the accompanying text within the report.&#10;&#10;"/>
      </w:tblPr>
      <w:tblGrid>
        <w:gridCol w:w="817"/>
        <w:gridCol w:w="1647"/>
        <w:gridCol w:w="1648"/>
        <w:gridCol w:w="1648"/>
        <w:gridCol w:w="1648"/>
        <w:gridCol w:w="1648"/>
      </w:tblGrid>
      <w:tr w:rsidR="005C3251" w14:paraId="3C7F8DE8" w14:textId="77777777" w:rsidTr="00F602A0">
        <w:trPr>
          <w:trHeight w:val="845"/>
        </w:trPr>
        <w:tc>
          <w:tcPr>
            <w:tcW w:w="817" w:type="dxa"/>
            <w:tcBorders>
              <w:top w:val="single" w:sz="4" w:space="0" w:color="C0504D"/>
              <w:left w:val="single" w:sz="4" w:space="0" w:color="C0504D"/>
              <w:bottom w:val="single" w:sz="4" w:space="0" w:color="E6B8B7"/>
              <w:right w:val="nil"/>
            </w:tcBorders>
            <w:shd w:val="clear" w:color="auto" w:fill="FF0000"/>
            <w:vAlign w:val="center"/>
            <w:hideMark/>
          </w:tcPr>
          <w:p w14:paraId="1EF0A2F1" w14:textId="77777777" w:rsidR="005C3251" w:rsidRDefault="005C3251" w:rsidP="00D67024">
            <w:pPr>
              <w:pStyle w:val="TableColumnHeadingSmall"/>
              <w:rPr>
                <w:rFonts w:cstheme="minorHAnsi"/>
              </w:rPr>
            </w:pPr>
            <w:r>
              <w:rPr>
                <w:rFonts w:cstheme="minorHAnsi"/>
              </w:rPr>
              <w:t>Class</w:t>
            </w:r>
          </w:p>
        </w:tc>
        <w:tc>
          <w:tcPr>
            <w:tcW w:w="1647" w:type="dxa"/>
            <w:tcBorders>
              <w:top w:val="single" w:sz="4" w:space="0" w:color="C0504D"/>
              <w:left w:val="single" w:sz="4" w:space="0" w:color="E6B8B7"/>
              <w:bottom w:val="single" w:sz="4" w:space="0" w:color="E6B8B7"/>
              <w:right w:val="single" w:sz="4" w:space="0" w:color="E6B8B7"/>
            </w:tcBorders>
            <w:shd w:val="clear" w:color="auto" w:fill="FF0000"/>
            <w:vAlign w:val="center"/>
            <w:hideMark/>
          </w:tcPr>
          <w:p w14:paraId="10A7CB19" w14:textId="77777777" w:rsidR="005C3251" w:rsidRDefault="005C3251" w:rsidP="00D67024">
            <w:pPr>
              <w:pStyle w:val="TableColumnHeadingSmall"/>
              <w:jc w:val="center"/>
              <w:rPr>
                <w:rFonts w:cstheme="minorHAnsi"/>
              </w:rPr>
            </w:pPr>
            <w:r>
              <w:rPr>
                <w:rFonts w:cstheme="minorHAnsi"/>
              </w:rPr>
              <w:t>Reported Total Lifetime Cost</w:t>
            </w:r>
          </w:p>
        </w:tc>
        <w:tc>
          <w:tcPr>
            <w:tcW w:w="1648" w:type="dxa"/>
            <w:tcBorders>
              <w:top w:val="single" w:sz="4" w:space="0" w:color="C0504D"/>
              <w:left w:val="nil"/>
              <w:bottom w:val="single" w:sz="4" w:space="0" w:color="E6B8B7"/>
              <w:right w:val="single" w:sz="4" w:space="0" w:color="E6B8B7"/>
            </w:tcBorders>
            <w:shd w:val="clear" w:color="auto" w:fill="FF0000"/>
            <w:vAlign w:val="center"/>
            <w:hideMark/>
          </w:tcPr>
          <w:p w14:paraId="102745DE" w14:textId="77777777" w:rsidR="005C3251" w:rsidRDefault="005C3251" w:rsidP="00D67024">
            <w:pPr>
              <w:pStyle w:val="TableColumnHeadingSmall"/>
              <w:jc w:val="center"/>
              <w:rPr>
                <w:rFonts w:cstheme="minorHAnsi"/>
              </w:rPr>
            </w:pPr>
            <w:r>
              <w:rPr>
                <w:rFonts w:cstheme="minorHAnsi"/>
              </w:rPr>
              <w:t>Reported Average Lifetime Cost</w:t>
            </w:r>
          </w:p>
        </w:tc>
        <w:tc>
          <w:tcPr>
            <w:tcW w:w="1648" w:type="dxa"/>
            <w:tcBorders>
              <w:top w:val="single" w:sz="4" w:space="0" w:color="C0504D"/>
              <w:left w:val="nil"/>
              <w:bottom w:val="single" w:sz="4" w:space="0" w:color="E6B8B7"/>
              <w:right w:val="single" w:sz="4" w:space="0" w:color="E6B8B7"/>
            </w:tcBorders>
            <w:shd w:val="clear" w:color="auto" w:fill="FF0000"/>
            <w:vAlign w:val="center"/>
            <w:hideMark/>
          </w:tcPr>
          <w:p w14:paraId="4DB00993" w14:textId="77777777" w:rsidR="005C3251" w:rsidRDefault="005C3251" w:rsidP="00D67024">
            <w:pPr>
              <w:pStyle w:val="TableColumnHeadingSmall"/>
              <w:jc w:val="center"/>
              <w:rPr>
                <w:rFonts w:cstheme="minorHAnsi"/>
              </w:rPr>
            </w:pPr>
            <w:r>
              <w:rPr>
                <w:rFonts w:cstheme="minorHAnsi"/>
              </w:rPr>
              <w:t>Average Lifetime Cost - 5th Percentile of 100 Simulations</w:t>
            </w:r>
          </w:p>
        </w:tc>
        <w:tc>
          <w:tcPr>
            <w:tcW w:w="1648" w:type="dxa"/>
            <w:tcBorders>
              <w:top w:val="single" w:sz="4" w:space="0" w:color="C0504D"/>
              <w:left w:val="nil"/>
              <w:bottom w:val="single" w:sz="4" w:space="0" w:color="E6B8B7"/>
              <w:right w:val="single" w:sz="4" w:space="0" w:color="E6B8B7"/>
            </w:tcBorders>
            <w:shd w:val="clear" w:color="auto" w:fill="FF0000"/>
            <w:vAlign w:val="center"/>
            <w:hideMark/>
          </w:tcPr>
          <w:p w14:paraId="756C2185" w14:textId="77777777" w:rsidR="005C3251" w:rsidRDefault="005C3251" w:rsidP="00D67024">
            <w:pPr>
              <w:pStyle w:val="TableColumnHeadingSmall"/>
              <w:jc w:val="center"/>
              <w:rPr>
                <w:rFonts w:cstheme="minorHAnsi"/>
              </w:rPr>
            </w:pPr>
            <w:r>
              <w:rPr>
                <w:rFonts w:cstheme="minorHAnsi"/>
              </w:rPr>
              <w:t>Average Lifetime Cost - 95th Percentile of 100 Simulations</w:t>
            </w:r>
          </w:p>
        </w:tc>
        <w:tc>
          <w:tcPr>
            <w:tcW w:w="1648" w:type="dxa"/>
            <w:tcBorders>
              <w:top w:val="single" w:sz="4" w:space="0" w:color="C0504D"/>
              <w:left w:val="nil"/>
              <w:bottom w:val="single" w:sz="4" w:space="0" w:color="E6B8B7"/>
              <w:right w:val="single" w:sz="4" w:space="0" w:color="C0504D"/>
            </w:tcBorders>
            <w:shd w:val="clear" w:color="auto" w:fill="FF0000"/>
            <w:vAlign w:val="center"/>
            <w:hideMark/>
          </w:tcPr>
          <w:p w14:paraId="504ED258" w14:textId="77777777" w:rsidR="005C3251" w:rsidRDefault="005C3251" w:rsidP="00D67024">
            <w:pPr>
              <w:pStyle w:val="TableColumnHeadingSmall"/>
              <w:jc w:val="center"/>
              <w:rPr>
                <w:rFonts w:cstheme="minorHAnsi"/>
              </w:rPr>
            </w:pPr>
            <w:r>
              <w:rPr>
                <w:rFonts w:cstheme="minorHAnsi"/>
              </w:rPr>
              <w:t>Simulation Variability Measure</w:t>
            </w:r>
          </w:p>
          <w:p w14:paraId="7AE84A83" w14:textId="77777777" w:rsidR="005C3251" w:rsidRDefault="005C3251" w:rsidP="00D67024">
            <w:pPr>
              <w:pStyle w:val="TableColumnHeadingSmall"/>
              <w:jc w:val="center"/>
              <w:rPr>
                <w:rFonts w:cstheme="minorHAnsi"/>
              </w:rPr>
            </w:pPr>
            <w:r>
              <w:rPr>
                <w:rFonts w:cstheme="minorHAnsi"/>
              </w:rPr>
              <w:t>(95th less 5th Percentile)</w:t>
            </w:r>
          </w:p>
        </w:tc>
      </w:tr>
      <w:tr w:rsidR="005C3251" w14:paraId="214BA331" w14:textId="77777777" w:rsidTr="00F602A0">
        <w:trPr>
          <w:trHeight w:val="290"/>
        </w:trPr>
        <w:tc>
          <w:tcPr>
            <w:tcW w:w="817" w:type="dxa"/>
            <w:tcBorders>
              <w:top w:val="nil"/>
              <w:left w:val="single" w:sz="4" w:space="0" w:color="C0504D"/>
              <w:bottom w:val="nil"/>
              <w:right w:val="nil"/>
            </w:tcBorders>
            <w:shd w:val="clear" w:color="auto" w:fill="FF0000"/>
            <w:noWrap/>
            <w:vAlign w:val="center"/>
            <w:hideMark/>
          </w:tcPr>
          <w:p w14:paraId="0473E31D" w14:textId="77777777" w:rsidR="005C3251" w:rsidRDefault="005C3251" w:rsidP="00D67024">
            <w:pPr>
              <w:keepNext/>
              <w:kinsoku/>
              <w:overflowPunct/>
              <w:autoSpaceDE/>
              <w:adjustRightInd/>
              <w:snapToGrid/>
              <w:jc w:val="center"/>
              <w:rPr>
                <w:rFonts w:cstheme="minorHAnsi"/>
                <w:b/>
                <w:bCs/>
                <w:color w:val="FFFFFF"/>
                <w:sz w:val="16"/>
                <w:szCs w:val="16"/>
                <w:lang w:eastAsia="en-AU"/>
              </w:rPr>
            </w:pPr>
            <w:r>
              <w:rPr>
                <w:rFonts w:cstheme="minorHAnsi"/>
                <w:b/>
                <w:bCs/>
                <w:color w:val="FFFFFF"/>
                <w:sz w:val="16"/>
                <w:szCs w:val="16"/>
                <w:lang w:eastAsia="en-AU"/>
              </w:rPr>
              <w:t>1</w:t>
            </w:r>
          </w:p>
        </w:tc>
        <w:tc>
          <w:tcPr>
            <w:tcW w:w="1647" w:type="dxa"/>
            <w:tcBorders>
              <w:top w:val="nil"/>
              <w:left w:val="nil"/>
              <w:bottom w:val="single" w:sz="4" w:space="0" w:color="E6B8B7"/>
              <w:right w:val="single" w:sz="4" w:space="0" w:color="E6B8B7"/>
            </w:tcBorders>
            <w:noWrap/>
            <w:vAlign w:val="center"/>
            <w:hideMark/>
          </w:tcPr>
          <w:p w14:paraId="6CDC7D3D" w14:textId="77777777" w:rsidR="005C3251" w:rsidRDefault="005C3251" w:rsidP="00D67024">
            <w:pPr>
              <w:pStyle w:val="TableTextSmall"/>
              <w:keepNext/>
              <w:jc w:val="center"/>
              <w:rPr>
                <w:rFonts w:cstheme="minorHAnsi"/>
                <w:szCs w:val="16"/>
              </w:rPr>
            </w:pPr>
            <w:r>
              <w:rPr>
                <w:rFonts w:cstheme="minorHAnsi"/>
                <w:szCs w:val="16"/>
              </w:rPr>
              <w:t>$79bn</w:t>
            </w:r>
          </w:p>
        </w:tc>
        <w:tc>
          <w:tcPr>
            <w:tcW w:w="1648" w:type="dxa"/>
            <w:tcBorders>
              <w:top w:val="nil"/>
              <w:left w:val="nil"/>
              <w:bottom w:val="single" w:sz="4" w:space="0" w:color="E6B8B7"/>
              <w:right w:val="single" w:sz="4" w:space="0" w:color="E6B8B7"/>
            </w:tcBorders>
            <w:noWrap/>
            <w:vAlign w:val="center"/>
            <w:hideMark/>
          </w:tcPr>
          <w:p w14:paraId="61BD85B8" w14:textId="77777777" w:rsidR="005C3251" w:rsidRDefault="005C3251" w:rsidP="00D67024">
            <w:pPr>
              <w:pStyle w:val="TableTextSmall"/>
              <w:keepNext/>
              <w:jc w:val="center"/>
              <w:rPr>
                <w:rFonts w:cstheme="minorHAnsi"/>
                <w:szCs w:val="16"/>
              </w:rPr>
            </w:pPr>
            <w:r>
              <w:rPr>
                <w:rFonts w:cstheme="minorHAnsi"/>
                <w:szCs w:val="16"/>
              </w:rPr>
              <w:t>$212.3k</w:t>
            </w:r>
          </w:p>
        </w:tc>
        <w:tc>
          <w:tcPr>
            <w:tcW w:w="1648" w:type="dxa"/>
            <w:tcBorders>
              <w:top w:val="nil"/>
              <w:left w:val="nil"/>
              <w:bottom w:val="single" w:sz="4" w:space="0" w:color="E6B8B7"/>
              <w:right w:val="single" w:sz="4" w:space="0" w:color="E6B8B7"/>
            </w:tcBorders>
            <w:noWrap/>
            <w:vAlign w:val="center"/>
            <w:hideMark/>
          </w:tcPr>
          <w:p w14:paraId="3EBFC7B9" w14:textId="77777777" w:rsidR="005C3251" w:rsidRDefault="005C3251" w:rsidP="00D67024">
            <w:pPr>
              <w:pStyle w:val="TableTextSmall"/>
              <w:keepNext/>
              <w:jc w:val="center"/>
              <w:rPr>
                <w:rFonts w:cstheme="minorHAnsi"/>
                <w:szCs w:val="16"/>
              </w:rPr>
            </w:pPr>
            <w:r>
              <w:rPr>
                <w:rFonts w:cstheme="minorHAnsi"/>
                <w:szCs w:val="16"/>
              </w:rPr>
              <w:t>$211.9k</w:t>
            </w:r>
          </w:p>
        </w:tc>
        <w:tc>
          <w:tcPr>
            <w:tcW w:w="1648" w:type="dxa"/>
            <w:tcBorders>
              <w:top w:val="nil"/>
              <w:left w:val="nil"/>
              <w:bottom w:val="single" w:sz="4" w:space="0" w:color="E6B8B7"/>
              <w:right w:val="single" w:sz="4" w:space="0" w:color="E6B8B7"/>
            </w:tcBorders>
            <w:noWrap/>
            <w:vAlign w:val="center"/>
            <w:hideMark/>
          </w:tcPr>
          <w:p w14:paraId="5E5DE2EA" w14:textId="77777777" w:rsidR="005C3251" w:rsidRDefault="005C3251" w:rsidP="00D67024">
            <w:pPr>
              <w:pStyle w:val="TableTextSmall"/>
              <w:keepNext/>
              <w:jc w:val="center"/>
              <w:rPr>
                <w:rFonts w:cstheme="minorHAnsi"/>
                <w:szCs w:val="16"/>
              </w:rPr>
            </w:pPr>
            <w:r>
              <w:rPr>
                <w:rFonts w:cstheme="minorHAnsi"/>
                <w:szCs w:val="16"/>
              </w:rPr>
              <w:t>$212.8k</w:t>
            </w:r>
          </w:p>
        </w:tc>
        <w:tc>
          <w:tcPr>
            <w:tcW w:w="1648" w:type="dxa"/>
            <w:tcBorders>
              <w:top w:val="nil"/>
              <w:left w:val="nil"/>
              <w:bottom w:val="single" w:sz="4" w:space="0" w:color="E6B8B7"/>
              <w:right w:val="single" w:sz="4" w:space="0" w:color="C0504D"/>
            </w:tcBorders>
            <w:noWrap/>
            <w:vAlign w:val="center"/>
            <w:hideMark/>
          </w:tcPr>
          <w:p w14:paraId="52D71BA0"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$0.9k</w:t>
            </w:r>
          </w:p>
        </w:tc>
      </w:tr>
      <w:tr w:rsidR="005C3251" w14:paraId="581DCB70" w14:textId="77777777" w:rsidTr="00F602A0">
        <w:trPr>
          <w:trHeight w:val="290"/>
        </w:trPr>
        <w:tc>
          <w:tcPr>
            <w:tcW w:w="817" w:type="dxa"/>
            <w:tcBorders>
              <w:top w:val="nil"/>
              <w:left w:val="single" w:sz="4" w:space="0" w:color="C0504D"/>
              <w:bottom w:val="nil"/>
              <w:right w:val="nil"/>
            </w:tcBorders>
            <w:shd w:val="clear" w:color="auto" w:fill="FF0000"/>
            <w:noWrap/>
            <w:vAlign w:val="center"/>
            <w:hideMark/>
          </w:tcPr>
          <w:p w14:paraId="6DC04F03" w14:textId="77777777" w:rsidR="005C3251" w:rsidRDefault="005C3251" w:rsidP="00D67024">
            <w:pPr>
              <w:keepNext/>
              <w:kinsoku/>
              <w:overflowPunct/>
              <w:autoSpaceDE/>
              <w:adjustRightInd/>
              <w:snapToGrid/>
              <w:jc w:val="center"/>
              <w:rPr>
                <w:rFonts w:cstheme="minorHAnsi"/>
                <w:b/>
                <w:bCs/>
                <w:color w:val="FFFFFF"/>
                <w:sz w:val="16"/>
                <w:szCs w:val="16"/>
                <w:lang w:eastAsia="en-AU"/>
              </w:rPr>
            </w:pPr>
            <w:r>
              <w:rPr>
                <w:rFonts w:cstheme="minorHAnsi"/>
                <w:b/>
                <w:bCs/>
                <w:color w:val="FFFFFF"/>
                <w:sz w:val="16"/>
                <w:szCs w:val="16"/>
                <w:lang w:eastAsia="en-AU"/>
              </w:rPr>
              <w:t>2</w:t>
            </w:r>
          </w:p>
        </w:tc>
        <w:tc>
          <w:tcPr>
            <w:tcW w:w="1647" w:type="dxa"/>
            <w:tcBorders>
              <w:top w:val="nil"/>
              <w:left w:val="nil"/>
              <w:bottom w:val="single" w:sz="4" w:space="0" w:color="E6B8B7"/>
              <w:right w:val="single" w:sz="4" w:space="0" w:color="E6B8B7"/>
            </w:tcBorders>
            <w:noWrap/>
            <w:vAlign w:val="center"/>
            <w:hideMark/>
          </w:tcPr>
          <w:p w14:paraId="05A4197C" w14:textId="77777777" w:rsidR="005C3251" w:rsidRDefault="005C3251" w:rsidP="00D67024">
            <w:pPr>
              <w:pStyle w:val="TableTextSmall"/>
              <w:keepNext/>
              <w:jc w:val="center"/>
              <w:rPr>
                <w:rFonts w:cstheme="minorHAnsi"/>
                <w:szCs w:val="16"/>
              </w:rPr>
            </w:pPr>
            <w:r>
              <w:rPr>
                <w:rFonts w:cstheme="minorHAnsi"/>
                <w:szCs w:val="16"/>
              </w:rPr>
              <w:t>$411bn</w:t>
            </w:r>
          </w:p>
        </w:tc>
        <w:tc>
          <w:tcPr>
            <w:tcW w:w="1648" w:type="dxa"/>
            <w:tcBorders>
              <w:top w:val="nil"/>
              <w:left w:val="nil"/>
              <w:bottom w:val="single" w:sz="4" w:space="0" w:color="E6B8B7"/>
              <w:right w:val="single" w:sz="4" w:space="0" w:color="E6B8B7"/>
            </w:tcBorders>
            <w:noWrap/>
            <w:vAlign w:val="center"/>
            <w:hideMark/>
          </w:tcPr>
          <w:p w14:paraId="03725309" w14:textId="77777777" w:rsidR="005C3251" w:rsidRDefault="005C3251" w:rsidP="00D67024">
            <w:pPr>
              <w:pStyle w:val="TableTextSmall"/>
              <w:keepNext/>
              <w:jc w:val="center"/>
              <w:rPr>
                <w:rFonts w:cstheme="minorHAnsi"/>
                <w:szCs w:val="16"/>
              </w:rPr>
            </w:pPr>
            <w:r>
              <w:rPr>
                <w:rFonts w:cstheme="minorHAnsi"/>
                <w:szCs w:val="16"/>
              </w:rPr>
              <w:t>$315.5k</w:t>
            </w:r>
          </w:p>
        </w:tc>
        <w:tc>
          <w:tcPr>
            <w:tcW w:w="1648" w:type="dxa"/>
            <w:tcBorders>
              <w:top w:val="nil"/>
              <w:left w:val="nil"/>
              <w:bottom w:val="single" w:sz="4" w:space="0" w:color="E6B8B7"/>
              <w:right w:val="single" w:sz="4" w:space="0" w:color="E6B8B7"/>
            </w:tcBorders>
            <w:noWrap/>
            <w:vAlign w:val="center"/>
            <w:hideMark/>
          </w:tcPr>
          <w:p w14:paraId="53E84175" w14:textId="77777777" w:rsidR="005C3251" w:rsidRDefault="005C3251" w:rsidP="00D67024">
            <w:pPr>
              <w:pStyle w:val="TableTextSmall"/>
              <w:keepNext/>
              <w:jc w:val="center"/>
              <w:rPr>
                <w:rFonts w:cstheme="minorHAnsi"/>
                <w:szCs w:val="16"/>
              </w:rPr>
            </w:pPr>
            <w:r>
              <w:rPr>
                <w:rFonts w:cstheme="minorHAnsi"/>
                <w:szCs w:val="16"/>
              </w:rPr>
              <w:t>$315.1k</w:t>
            </w:r>
          </w:p>
        </w:tc>
        <w:tc>
          <w:tcPr>
            <w:tcW w:w="1648" w:type="dxa"/>
            <w:tcBorders>
              <w:top w:val="nil"/>
              <w:left w:val="nil"/>
              <w:bottom w:val="single" w:sz="4" w:space="0" w:color="E6B8B7"/>
              <w:right w:val="single" w:sz="4" w:space="0" w:color="E6B8B7"/>
            </w:tcBorders>
            <w:noWrap/>
            <w:vAlign w:val="center"/>
            <w:hideMark/>
          </w:tcPr>
          <w:p w14:paraId="10240065" w14:textId="77777777" w:rsidR="005C3251" w:rsidRDefault="005C3251" w:rsidP="00D67024">
            <w:pPr>
              <w:pStyle w:val="TableTextSmall"/>
              <w:keepNext/>
              <w:jc w:val="center"/>
              <w:rPr>
                <w:rFonts w:cstheme="minorHAnsi"/>
                <w:szCs w:val="16"/>
              </w:rPr>
            </w:pPr>
            <w:r>
              <w:rPr>
                <w:rFonts w:cstheme="minorHAnsi"/>
                <w:szCs w:val="16"/>
              </w:rPr>
              <w:t>$315.5k</w:t>
            </w:r>
          </w:p>
        </w:tc>
        <w:tc>
          <w:tcPr>
            <w:tcW w:w="1648" w:type="dxa"/>
            <w:tcBorders>
              <w:top w:val="nil"/>
              <w:left w:val="nil"/>
              <w:bottom w:val="single" w:sz="4" w:space="0" w:color="E6B8B7"/>
              <w:right w:val="single" w:sz="4" w:space="0" w:color="C0504D"/>
            </w:tcBorders>
            <w:noWrap/>
            <w:vAlign w:val="center"/>
            <w:hideMark/>
          </w:tcPr>
          <w:p w14:paraId="502FE2D4"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$0.4k</w:t>
            </w:r>
          </w:p>
        </w:tc>
      </w:tr>
      <w:tr w:rsidR="005C3251" w14:paraId="781B884D" w14:textId="77777777" w:rsidTr="00F602A0">
        <w:trPr>
          <w:trHeight w:val="290"/>
        </w:trPr>
        <w:tc>
          <w:tcPr>
            <w:tcW w:w="817" w:type="dxa"/>
            <w:tcBorders>
              <w:top w:val="nil"/>
              <w:left w:val="single" w:sz="4" w:space="0" w:color="C0504D"/>
              <w:bottom w:val="nil"/>
              <w:right w:val="nil"/>
            </w:tcBorders>
            <w:shd w:val="clear" w:color="auto" w:fill="FF0000"/>
            <w:noWrap/>
            <w:vAlign w:val="center"/>
            <w:hideMark/>
          </w:tcPr>
          <w:p w14:paraId="0A125B29" w14:textId="77777777" w:rsidR="005C3251" w:rsidRDefault="005C3251" w:rsidP="00D67024">
            <w:pPr>
              <w:keepNext/>
              <w:kinsoku/>
              <w:overflowPunct/>
              <w:autoSpaceDE/>
              <w:adjustRightInd/>
              <w:snapToGrid/>
              <w:jc w:val="center"/>
              <w:rPr>
                <w:rFonts w:cstheme="minorHAnsi"/>
                <w:b/>
                <w:bCs/>
                <w:color w:val="FFFFFF"/>
                <w:sz w:val="16"/>
                <w:szCs w:val="16"/>
                <w:lang w:eastAsia="en-AU"/>
              </w:rPr>
            </w:pPr>
            <w:r>
              <w:rPr>
                <w:rFonts w:cstheme="minorHAnsi"/>
                <w:b/>
                <w:bCs/>
                <w:color w:val="FFFFFF"/>
                <w:sz w:val="16"/>
                <w:szCs w:val="16"/>
                <w:lang w:eastAsia="en-AU"/>
              </w:rPr>
              <w:t>3</w:t>
            </w:r>
          </w:p>
        </w:tc>
        <w:tc>
          <w:tcPr>
            <w:tcW w:w="1647" w:type="dxa"/>
            <w:tcBorders>
              <w:top w:val="nil"/>
              <w:left w:val="nil"/>
              <w:bottom w:val="single" w:sz="4" w:space="0" w:color="E6B8B7"/>
              <w:right w:val="single" w:sz="4" w:space="0" w:color="E6B8B7"/>
            </w:tcBorders>
            <w:noWrap/>
            <w:vAlign w:val="center"/>
            <w:hideMark/>
          </w:tcPr>
          <w:p w14:paraId="7D3FF4B4" w14:textId="77777777" w:rsidR="005C3251" w:rsidRDefault="005C3251" w:rsidP="00D67024">
            <w:pPr>
              <w:pStyle w:val="TableTextSmall"/>
              <w:keepNext/>
              <w:jc w:val="center"/>
              <w:rPr>
                <w:rFonts w:cstheme="minorHAnsi"/>
                <w:szCs w:val="16"/>
              </w:rPr>
            </w:pPr>
            <w:r>
              <w:rPr>
                <w:rFonts w:cstheme="minorHAnsi"/>
                <w:szCs w:val="16"/>
              </w:rPr>
              <w:t>$210bn</w:t>
            </w:r>
          </w:p>
        </w:tc>
        <w:tc>
          <w:tcPr>
            <w:tcW w:w="1648" w:type="dxa"/>
            <w:tcBorders>
              <w:top w:val="nil"/>
              <w:left w:val="nil"/>
              <w:bottom w:val="single" w:sz="4" w:space="0" w:color="E6B8B7"/>
              <w:right w:val="single" w:sz="4" w:space="0" w:color="E6B8B7"/>
            </w:tcBorders>
            <w:noWrap/>
            <w:vAlign w:val="center"/>
            <w:hideMark/>
          </w:tcPr>
          <w:p w14:paraId="199BA22B" w14:textId="77777777" w:rsidR="005C3251" w:rsidRDefault="005C3251" w:rsidP="00D67024">
            <w:pPr>
              <w:pStyle w:val="TableTextSmall"/>
              <w:keepNext/>
              <w:jc w:val="center"/>
              <w:rPr>
                <w:rFonts w:cstheme="minorHAnsi"/>
                <w:szCs w:val="16"/>
              </w:rPr>
            </w:pPr>
            <w:r>
              <w:rPr>
                <w:rFonts w:cstheme="minorHAnsi"/>
                <w:szCs w:val="16"/>
              </w:rPr>
              <w:t>$485.3k</w:t>
            </w:r>
          </w:p>
        </w:tc>
        <w:tc>
          <w:tcPr>
            <w:tcW w:w="1648" w:type="dxa"/>
            <w:tcBorders>
              <w:top w:val="nil"/>
              <w:left w:val="nil"/>
              <w:bottom w:val="single" w:sz="4" w:space="0" w:color="E6B8B7"/>
              <w:right w:val="single" w:sz="4" w:space="0" w:color="E6B8B7"/>
            </w:tcBorders>
            <w:noWrap/>
            <w:vAlign w:val="center"/>
            <w:hideMark/>
          </w:tcPr>
          <w:p w14:paraId="02A8FA01" w14:textId="77777777" w:rsidR="005C3251" w:rsidRDefault="005C3251" w:rsidP="00D67024">
            <w:pPr>
              <w:pStyle w:val="TableTextSmall"/>
              <w:keepNext/>
              <w:jc w:val="center"/>
              <w:rPr>
                <w:rFonts w:cstheme="minorHAnsi"/>
                <w:szCs w:val="16"/>
              </w:rPr>
            </w:pPr>
            <w:r>
              <w:rPr>
                <w:rFonts w:cstheme="minorHAnsi"/>
                <w:szCs w:val="16"/>
              </w:rPr>
              <w:t>$485.4k</w:t>
            </w:r>
          </w:p>
        </w:tc>
        <w:tc>
          <w:tcPr>
            <w:tcW w:w="1648" w:type="dxa"/>
            <w:tcBorders>
              <w:top w:val="nil"/>
              <w:left w:val="nil"/>
              <w:bottom w:val="single" w:sz="4" w:space="0" w:color="E6B8B7"/>
              <w:right w:val="single" w:sz="4" w:space="0" w:color="E6B8B7"/>
            </w:tcBorders>
            <w:noWrap/>
            <w:vAlign w:val="center"/>
            <w:hideMark/>
          </w:tcPr>
          <w:p w14:paraId="278BBC8D" w14:textId="77777777" w:rsidR="005C3251" w:rsidRDefault="005C3251" w:rsidP="00D67024">
            <w:pPr>
              <w:pStyle w:val="TableTextSmall"/>
              <w:keepNext/>
              <w:jc w:val="center"/>
              <w:rPr>
                <w:rFonts w:cstheme="minorHAnsi"/>
                <w:szCs w:val="16"/>
              </w:rPr>
            </w:pPr>
            <w:r>
              <w:rPr>
                <w:rFonts w:cstheme="minorHAnsi"/>
                <w:szCs w:val="16"/>
              </w:rPr>
              <w:t>$486.5k</w:t>
            </w:r>
          </w:p>
        </w:tc>
        <w:tc>
          <w:tcPr>
            <w:tcW w:w="1648" w:type="dxa"/>
            <w:tcBorders>
              <w:top w:val="nil"/>
              <w:left w:val="nil"/>
              <w:bottom w:val="single" w:sz="4" w:space="0" w:color="E6B8B7"/>
              <w:right w:val="single" w:sz="4" w:space="0" w:color="C0504D"/>
            </w:tcBorders>
            <w:noWrap/>
            <w:vAlign w:val="center"/>
            <w:hideMark/>
          </w:tcPr>
          <w:p w14:paraId="36CD2BF1"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$1.1k</w:t>
            </w:r>
          </w:p>
        </w:tc>
      </w:tr>
      <w:tr w:rsidR="005C3251" w14:paraId="4D2C51C5" w14:textId="77777777" w:rsidTr="00F602A0">
        <w:trPr>
          <w:trHeight w:val="290"/>
        </w:trPr>
        <w:tc>
          <w:tcPr>
            <w:tcW w:w="817" w:type="dxa"/>
            <w:tcBorders>
              <w:top w:val="nil"/>
              <w:left w:val="single" w:sz="4" w:space="0" w:color="C0504D"/>
              <w:bottom w:val="nil"/>
              <w:right w:val="nil"/>
            </w:tcBorders>
            <w:shd w:val="clear" w:color="auto" w:fill="FF0000"/>
            <w:noWrap/>
            <w:vAlign w:val="center"/>
            <w:hideMark/>
          </w:tcPr>
          <w:p w14:paraId="5348E450" w14:textId="77777777" w:rsidR="005C3251" w:rsidRDefault="005C3251" w:rsidP="00D67024">
            <w:pPr>
              <w:keepNext/>
              <w:kinsoku/>
              <w:overflowPunct/>
              <w:autoSpaceDE/>
              <w:adjustRightInd/>
              <w:snapToGrid/>
              <w:jc w:val="center"/>
              <w:rPr>
                <w:rFonts w:cstheme="minorHAnsi"/>
                <w:b/>
                <w:bCs/>
                <w:color w:val="FFFFFF"/>
                <w:sz w:val="16"/>
                <w:szCs w:val="16"/>
                <w:lang w:eastAsia="en-AU"/>
              </w:rPr>
            </w:pPr>
            <w:r>
              <w:rPr>
                <w:rFonts w:cstheme="minorHAnsi"/>
                <w:b/>
                <w:bCs/>
                <w:color w:val="FFFFFF"/>
                <w:sz w:val="16"/>
                <w:szCs w:val="16"/>
                <w:lang w:eastAsia="en-AU"/>
              </w:rPr>
              <w:t>4</w:t>
            </w:r>
          </w:p>
        </w:tc>
        <w:tc>
          <w:tcPr>
            <w:tcW w:w="1647" w:type="dxa"/>
            <w:tcBorders>
              <w:top w:val="nil"/>
              <w:left w:val="nil"/>
              <w:bottom w:val="single" w:sz="4" w:space="0" w:color="E6B8B7"/>
              <w:right w:val="single" w:sz="4" w:space="0" w:color="E6B8B7"/>
            </w:tcBorders>
            <w:noWrap/>
            <w:vAlign w:val="center"/>
            <w:hideMark/>
          </w:tcPr>
          <w:p w14:paraId="2E6BB219" w14:textId="77777777" w:rsidR="005C3251" w:rsidRDefault="005C3251" w:rsidP="00D67024">
            <w:pPr>
              <w:pStyle w:val="TableTextSmall"/>
              <w:keepNext/>
              <w:jc w:val="center"/>
              <w:rPr>
                <w:rFonts w:cstheme="minorHAnsi"/>
                <w:szCs w:val="16"/>
              </w:rPr>
            </w:pPr>
            <w:r>
              <w:rPr>
                <w:rFonts w:cstheme="minorHAnsi"/>
                <w:szCs w:val="16"/>
              </w:rPr>
              <w:t>$125bn</w:t>
            </w:r>
          </w:p>
        </w:tc>
        <w:tc>
          <w:tcPr>
            <w:tcW w:w="1648" w:type="dxa"/>
            <w:tcBorders>
              <w:top w:val="nil"/>
              <w:left w:val="nil"/>
              <w:bottom w:val="single" w:sz="4" w:space="0" w:color="E6B8B7"/>
              <w:right w:val="single" w:sz="4" w:space="0" w:color="E6B8B7"/>
            </w:tcBorders>
            <w:noWrap/>
            <w:vAlign w:val="center"/>
            <w:hideMark/>
          </w:tcPr>
          <w:p w14:paraId="749C252C" w14:textId="77777777" w:rsidR="005C3251" w:rsidRDefault="005C3251" w:rsidP="00D67024">
            <w:pPr>
              <w:pStyle w:val="TableTextSmall"/>
              <w:keepNext/>
              <w:jc w:val="center"/>
              <w:rPr>
                <w:rFonts w:cstheme="minorHAnsi"/>
                <w:szCs w:val="16"/>
              </w:rPr>
            </w:pPr>
            <w:r>
              <w:rPr>
                <w:rFonts w:cstheme="minorHAnsi"/>
                <w:szCs w:val="16"/>
              </w:rPr>
              <w:t>$449.2k</w:t>
            </w:r>
          </w:p>
        </w:tc>
        <w:tc>
          <w:tcPr>
            <w:tcW w:w="1648" w:type="dxa"/>
            <w:tcBorders>
              <w:top w:val="nil"/>
              <w:left w:val="nil"/>
              <w:bottom w:val="single" w:sz="4" w:space="0" w:color="E6B8B7"/>
              <w:right w:val="single" w:sz="4" w:space="0" w:color="E6B8B7"/>
            </w:tcBorders>
            <w:noWrap/>
            <w:vAlign w:val="center"/>
            <w:hideMark/>
          </w:tcPr>
          <w:p w14:paraId="254AFCC0" w14:textId="77777777" w:rsidR="005C3251" w:rsidRDefault="005C3251" w:rsidP="00D67024">
            <w:pPr>
              <w:pStyle w:val="TableTextSmall"/>
              <w:keepNext/>
              <w:jc w:val="center"/>
              <w:rPr>
                <w:rFonts w:cstheme="minorHAnsi"/>
                <w:szCs w:val="16"/>
              </w:rPr>
            </w:pPr>
            <w:r>
              <w:rPr>
                <w:rFonts w:cstheme="minorHAnsi"/>
                <w:szCs w:val="16"/>
              </w:rPr>
              <w:t>$448.9k</w:t>
            </w:r>
          </w:p>
        </w:tc>
        <w:tc>
          <w:tcPr>
            <w:tcW w:w="1648" w:type="dxa"/>
            <w:tcBorders>
              <w:top w:val="nil"/>
              <w:left w:val="nil"/>
              <w:bottom w:val="single" w:sz="4" w:space="0" w:color="E6B8B7"/>
              <w:right w:val="single" w:sz="4" w:space="0" w:color="E6B8B7"/>
            </w:tcBorders>
            <w:noWrap/>
            <w:vAlign w:val="center"/>
            <w:hideMark/>
          </w:tcPr>
          <w:p w14:paraId="48CF1DA7" w14:textId="77777777" w:rsidR="005C3251" w:rsidRDefault="005C3251" w:rsidP="00D67024">
            <w:pPr>
              <w:pStyle w:val="TableTextSmall"/>
              <w:keepNext/>
              <w:jc w:val="center"/>
              <w:rPr>
                <w:rFonts w:cstheme="minorHAnsi"/>
                <w:szCs w:val="16"/>
              </w:rPr>
            </w:pPr>
            <w:r>
              <w:rPr>
                <w:rFonts w:cstheme="minorHAnsi"/>
                <w:szCs w:val="16"/>
              </w:rPr>
              <w:t>$449.9k</w:t>
            </w:r>
          </w:p>
        </w:tc>
        <w:tc>
          <w:tcPr>
            <w:tcW w:w="1648" w:type="dxa"/>
            <w:tcBorders>
              <w:top w:val="nil"/>
              <w:left w:val="nil"/>
              <w:bottom w:val="single" w:sz="4" w:space="0" w:color="E6B8B7"/>
              <w:right w:val="single" w:sz="4" w:space="0" w:color="C0504D"/>
            </w:tcBorders>
            <w:noWrap/>
            <w:vAlign w:val="center"/>
            <w:hideMark/>
          </w:tcPr>
          <w:p w14:paraId="4CB16995"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$1.0k</w:t>
            </w:r>
          </w:p>
        </w:tc>
      </w:tr>
      <w:tr w:rsidR="005C3251" w14:paraId="4747FE40" w14:textId="77777777" w:rsidTr="00F602A0">
        <w:trPr>
          <w:trHeight w:val="290"/>
        </w:trPr>
        <w:tc>
          <w:tcPr>
            <w:tcW w:w="817" w:type="dxa"/>
            <w:tcBorders>
              <w:top w:val="nil"/>
              <w:left w:val="single" w:sz="4" w:space="0" w:color="C0504D"/>
              <w:bottom w:val="nil"/>
              <w:right w:val="nil"/>
            </w:tcBorders>
            <w:shd w:val="clear" w:color="auto" w:fill="FF0000"/>
            <w:noWrap/>
            <w:vAlign w:val="center"/>
            <w:hideMark/>
          </w:tcPr>
          <w:p w14:paraId="3849C7D6" w14:textId="77777777" w:rsidR="005C3251" w:rsidRDefault="005C3251" w:rsidP="00D67024">
            <w:pPr>
              <w:keepNext/>
              <w:kinsoku/>
              <w:overflowPunct/>
              <w:autoSpaceDE/>
              <w:adjustRightInd/>
              <w:snapToGrid/>
              <w:jc w:val="center"/>
              <w:rPr>
                <w:rFonts w:cstheme="minorHAnsi"/>
                <w:b/>
                <w:bCs/>
                <w:color w:val="FFFFFF"/>
                <w:sz w:val="16"/>
                <w:szCs w:val="16"/>
                <w:lang w:eastAsia="en-AU"/>
              </w:rPr>
            </w:pPr>
            <w:r>
              <w:rPr>
                <w:rFonts w:cstheme="minorHAnsi"/>
                <w:b/>
                <w:bCs/>
                <w:color w:val="FFFFFF"/>
                <w:sz w:val="16"/>
                <w:szCs w:val="16"/>
                <w:lang w:eastAsia="en-AU"/>
              </w:rPr>
              <w:t>5</w:t>
            </w:r>
          </w:p>
        </w:tc>
        <w:tc>
          <w:tcPr>
            <w:tcW w:w="1647" w:type="dxa"/>
            <w:tcBorders>
              <w:top w:val="nil"/>
              <w:left w:val="nil"/>
              <w:bottom w:val="single" w:sz="4" w:space="0" w:color="E6B8B7"/>
              <w:right w:val="single" w:sz="4" w:space="0" w:color="E6B8B7"/>
            </w:tcBorders>
            <w:noWrap/>
            <w:vAlign w:val="center"/>
            <w:hideMark/>
          </w:tcPr>
          <w:p w14:paraId="01842B59" w14:textId="77777777" w:rsidR="005C3251" w:rsidRDefault="005C3251" w:rsidP="00D67024">
            <w:pPr>
              <w:pStyle w:val="TableTextSmall"/>
              <w:keepNext/>
              <w:jc w:val="center"/>
              <w:rPr>
                <w:rFonts w:cstheme="minorHAnsi"/>
                <w:szCs w:val="16"/>
              </w:rPr>
            </w:pPr>
            <w:r>
              <w:rPr>
                <w:rFonts w:cstheme="minorHAnsi"/>
                <w:szCs w:val="16"/>
              </w:rPr>
              <w:t>$351bn</w:t>
            </w:r>
          </w:p>
        </w:tc>
        <w:tc>
          <w:tcPr>
            <w:tcW w:w="1648" w:type="dxa"/>
            <w:tcBorders>
              <w:top w:val="nil"/>
              <w:left w:val="nil"/>
              <w:bottom w:val="single" w:sz="4" w:space="0" w:color="E6B8B7"/>
              <w:right w:val="single" w:sz="4" w:space="0" w:color="E6B8B7"/>
            </w:tcBorders>
            <w:noWrap/>
            <w:vAlign w:val="center"/>
            <w:hideMark/>
          </w:tcPr>
          <w:p w14:paraId="467F9733" w14:textId="77777777" w:rsidR="005C3251" w:rsidRDefault="005C3251" w:rsidP="00D67024">
            <w:pPr>
              <w:pStyle w:val="TableTextSmall"/>
              <w:keepNext/>
              <w:jc w:val="center"/>
              <w:rPr>
                <w:rFonts w:cstheme="minorHAnsi"/>
                <w:szCs w:val="16"/>
              </w:rPr>
            </w:pPr>
            <w:r>
              <w:rPr>
                <w:rFonts w:cstheme="minorHAnsi"/>
                <w:szCs w:val="16"/>
              </w:rPr>
              <w:t>$461.8k</w:t>
            </w:r>
          </w:p>
        </w:tc>
        <w:tc>
          <w:tcPr>
            <w:tcW w:w="1648" w:type="dxa"/>
            <w:tcBorders>
              <w:top w:val="nil"/>
              <w:left w:val="nil"/>
              <w:bottom w:val="single" w:sz="4" w:space="0" w:color="E6B8B7"/>
              <w:right w:val="single" w:sz="4" w:space="0" w:color="E6B8B7"/>
            </w:tcBorders>
            <w:noWrap/>
            <w:vAlign w:val="center"/>
            <w:hideMark/>
          </w:tcPr>
          <w:p w14:paraId="27D85D44" w14:textId="77777777" w:rsidR="005C3251" w:rsidRDefault="005C3251" w:rsidP="00D67024">
            <w:pPr>
              <w:pStyle w:val="TableTextSmall"/>
              <w:keepNext/>
              <w:jc w:val="center"/>
              <w:rPr>
                <w:rFonts w:cstheme="minorHAnsi"/>
                <w:szCs w:val="16"/>
              </w:rPr>
            </w:pPr>
            <w:r>
              <w:rPr>
                <w:rFonts w:cstheme="minorHAnsi"/>
                <w:szCs w:val="16"/>
              </w:rPr>
              <w:t>$461.2k</w:t>
            </w:r>
          </w:p>
        </w:tc>
        <w:tc>
          <w:tcPr>
            <w:tcW w:w="1648" w:type="dxa"/>
            <w:tcBorders>
              <w:top w:val="nil"/>
              <w:left w:val="nil"/>
              <w:bottom w:val="single" w:sz="4" w:space="0" w:color="E6B8B7"/>
              <w:right w:val="single" w:sz="4" w:space="0" w:color="E6B8B7"/>
            </w:tcBorders>
            <w:noWrap/>
            <w:vAlign w:val="center"/>
            <w:hideMark/>
          </w:tcPr>
          <w:p w14:paraId="327EC18F" w14:textId="77777777" w:rsidR="005C3251" w:rsidRDefault="005C3251" w:rsidP="00D67024">
            <w:pPr>
              <w:pStyle w:val="TableTextSmall"/>
              <w:keepNext/>
              <w:jc w:val="center"/>
              <w:rPr>
                <w:rFonts w:cstheme="minorHAnsi"/>
                <w:szCs w:val="16"/>
              </w:rPr>
            </w:pPr>
            <w:r>
              <w:rPr>
                <w:rFonts w:cstheme="minorHAnsi"/>
                <w:szCs w:val="16"/>
              </w:rPr>
              <w:t>$461.9k</w:t>
            </w:r>
          </w:p>
        </w:tc>
        <w:tc>
          <w:tcPr>
            <w:tcW w:w="1648" w:type="dxa"/>
            <w:tcBorders>
              <w:top w:val="nil"/>
              <w:left w:val="nil"/>
              <w:bottom w:val="single" w:sz="4" w:space="0" w:color="E6B8B7"/>
              <w:right w:val="single" w:sz="4" w:space="0" w:color="C0504D"/>
            </w:tcBorders>
            <w:noWrap/>
            <w:vAlign w:val="center"/>
            <w:hideMark/>
          </w:tcPr>
          <w:p w14:paraId="43D46C35"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$0.7k</w:t>
            </w:r>
          </w:p>
        </w:tc>
      </w:tr>
      <w:tr w:rsidR="005C3251" w14:paraId="2618BF36" w14:textId="77777777" w:rsidTr="00F602A0">
        <w:trPr>
          <w:trHeight w:val="290"/>
        </w:trPr>
        <w:tc>
          <w:tcPr>
            <w:tcW w:w="817" w:type="dxa"/>
            <w:tcBorders>
              <w:top w:val="nil"/>
              <w:left w:val="single" w:sz="4" w:space="0" w:color="C0504D"/>
              <w:bottom w:val="nil"/>
              <w:right w:val="nil"/>
            </w:tcBorders>
            <w:shd w:val="clear" w:color="auto" w:fill="FF0000"/>
            <w:noWrap/>
            <w:vAlign w:val="center"/>
            <w:hideMark/>
          </w:tcPr>
          <w:p w14:paraId="2FF1C4A7" w14:textId="77777777" w:rsidR="005C3251" w:rsidRDefault="005C3251" w:rsidP="00D67024">
            <w:pPr>
              <w:keepNext/>
              <w:kinsoku/>
              <w:overflowPunct/>
              <w:autoSpaceDE/>
              <w:adjustRightInd/>
              <w:snapToGrid/>
              <w:jc w:val="center"/>
              <w:rPr>
                <w:rFonts w:cstheme="minorHAnsi"/>
                <w:b/>
                <w:bCs/>
                <w:color w:val="FFFFFF"/>
                <w:sz w:val="16"/>
                <w:szCs w:val="16"/>
                <w:lang w:eastAsia="en-AU"/>
              </w:rPr>
            </w:pPr>
            <w:r>
              <w:rPr>
                <w:rFonts w:cstheme="minorHAnsi"/>
                <w:b/>
                <w:bCs/>
                <w:color w:val="FFFFFF"/>
                <w:sz w:val="16"/>
                <w:szCs w:val="16"/>
                <w:lang w:eastAsia="en-AU"/>
              </w:rPr>
              <w:t>6</w:t>
            </w:r>
          </w:p>
        </w:tc>
        <w:tc>
          <w:tcPr>
            <w:tcW w:w="1647" w:type="dxa"/>
            <w:tcBorders>
              <w:top w:val="nil"/>
              <w:left w:val="nil"/>
              <w:bottom w:val="single" w:sz="4" w:space="0" w:color="E6B8B7"/>
              <w:right w:val="single" w:sz="4" w:space="0" w:color="E6B8B7"/>
            </w:tcBorders>
            <w:noWrap/>
            <w:vAlign w:val="center"/>
            <w:hideMark/>
          </w:tcPr>
          <w:p w14:paraId="6912079E" w14:textId="77777777" w:rsidR="005C3251" w:rsidRDefault="005C3251" w:rsidP="00D67024">
            <w:pPr>
              <w:pStyle w:val="TableTextSmall"/>
              <w:keepNext/>
              <w:jc w:val="center"/>
              <w:rPr>
                <w:rFonts w:cstheme="minorHAnsi"/>
                <w:szCs w:val="16"/>
              </w:rPr>
            </w:pPr>
            <w:r>
              <w:rPr>
                <w:rFonts w:cstheme="minorHAnsi"/>
                <w:szCs w:val="16"/>
              </w:rPr>
              <w:t>$542bn</w:t>
            </w:r>
          </w:p>
        </w:tc>
        <w:tc>
          <w:tcPr>
            <w:tcW w:w="1648" w:type="dxa"/>
            <w:tcBorders>
              <w:top w:val="nil"/>
              <w:left w:val="nil"/>
              <w:bottom w:val="single" w:sz="4" w:space="0" w:color="E6B8B7"/>
              <w:right w:val="single" w:sz="4" w:space="0" w:color="E6B8B7"/>
            </w:tcBorders>
            <w:noWrap/>
            <w:vAlign w:val="center"/>
            <w:hideMark/>
          </w:tcPr>
          <w:p w14:paraId="73BB2724" w14:textId="77777777" w:rsidR="005C3251" w:rsidRDefault="005C3251" w:rsidP="00D67024">
            <w:pPr>
              <w:pStyle w:val="TableTextSmall"/>
              <w:keepNext/>
              <w:jc w:val="center"/>
              <w:rPr>
                <w:rFonts w:cstheme="minorHAnsi"/>
                <w:szCs w:val="16"/>
              </w:rPr>
            </w:pPr>
            <w:r>
              <w:rPr>
                <w:rFonts w:cstheme="minorHAnsi"/>
                <w:szCs w:val="16"/>
              </w:rPr>
              <w:t>$208.8k</w:t>
            </w:r>
          </w:p>
        </w:tc>
        <w:tc>
          <w:tcPr>
            <w:tcW w:w="1648" w:type="dxa"/>
            <w:tcBorders>
              <w:top w:val="nil"/>
              <w:left w:val="nil"/>
              <w:bottom w:val="single" w:sz="4" w:space="0" w:color="E6B8B7"/>
              <w:right w:val="single" w:sz="4" w:space="0" w:color="E6B8B7"/>
            </w:tcBorders>
            <w:noWrap/>
            <w:vAlign w:val="center"/>
            <w:hideMark/>
          </w:tcPr>
          <w:p w14:paraId="6DD97BBF" w14:textId="77777777" w:rsidR="005C3251" w:rsidRDefault="005C3251" w:rsidP="00D67024">
            <w:pPr>
              <w:pStyle w:val="TableTextSmall"/>
              <w:keepNext/>
              <w:jc w:val="center"/>
              <w:rPr>
                <w:rFonts w:cstheme="minorHAnsi"/>
                <w:szCs w:val="16"/>
              </w:rPr>
            </w:pPr>
            <w:r>
              <w:rPr>
                <w:rFonts w:cstheme="minorHAnsi"/>
                <w:szCs w:val="16"/>
              </w:rPr>
              <w:t>$208.7k</w:t>
            </w:r>
          </w:p>
        </w:tc>
        <w:tc>
          <w:tcPr>
            <w:tcW w:w="1648" w:type="dxa"/>
            <w:tcBorders>
              <w:top w:val="nil"/>
              <w:left w:val="nil"/>
              <w:bottom w:val="single" w:sz="4" w:space="0" w:color="E6B8B7"/>
              <w:right w:val="single" w:sz="4" w:space="0" w:color="E6B8B7"/>
            </w:tcBorders>
            <w:noWrap/>
            <w:vAlign w:val="center"/>
            <w:hideMark/>
          </w:tcPr>
          <w:p w14:paraId="4B6D4F57" w14:textId="77777777" w:rsidR="005C3251" w:rsidRDefault="005C3251" w:rsidP="00D67024">
            <w:pPr>
              <w:pStyle w:val="TableTextSmall"/>
              <w:keepNext/>
              <w:jc w:val="center"/>
              <w:rPr>
                <w:rFonts w:cstheme="minorHAnsi"/>
                <w:szCs w:val="16"/>
              </w:rPr>
            </w:pPr>
            <w:r>
              <w:rPr>
                <w:rFonts w:cstheme="minorHAnsi"/>
                <w:szCs w:val="16"/>
              </w:rPr>
              <w:t>$208.9k</w:t>
            </w:r>
          </w:p>
        </w:tc>
        <w:tc>
          <w:tcPr>
            <w:tcW w:w="1648" w:type="dxa"/>
            <w:tcBorders>
              <w:top w:val="nil"/>
              <w:left w:val="nil"/>
              <w:bottom w:val="single" w:sz="4" w:space="0" w:color="E6B8B7"/>
              <w:right w:val="single" w:sz="4" w:space="0" w:color="C0504D"/>
            </w:tcBorders>
            <w:noWrap/>
            <w:vAlign w:val="center"/>
            <w:hideMark/>
          </w:tcPr>
          <w:p w14:paraId="3B89874F"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$0.2k</w:t>
            </w:r>
          </w:p>
        </w:tc>
      </w:tr>
      <w:tr w:rsidR="005C3251" w14:paraId="58D73EF5" w14:textId="77777777" w:rsidTr="00F602A0">
        <w:trPr>
          <w:trHeight w:val="290"/>
        </w:trPr>
        <w:tc>
          <w:tcPr>
            <w:tcW w:w="817" w:type="dxa"/>
            <w:tcBorders>
              <w:top w:val="nil"/>
              <w:left w:val="single" w:sz="4" w:space="0" w:color="C0504D"/>
              <w:bottom w:val="nil"/>
              <w:right w:val="nil"/>
            </w:tcBorders>
            <w:shd w:val="clear" w:color="auto" w:fill="FF0000"/>
            <w:noWrap/>
            <w:vAlign w:val="center"/>
            <w:hideMark/>
          </w:tcPr>
          <w:p w14:paraId="1E6C4878" w14:textId="77777777" w:rsidR="005C3251" w:rsidRDefault="005C3251" w:rsidP="00D67024">
            <w:pPr>
              <w:keepNext/>
              <w:kinsoku/>
              <w:overflowPunct/>
              <w:autoSpaceDE/>
              <w:adjustRightInd/>
              <w:snapToGrid/>
              <w:jc w:val="center"/>
              <w:rPr>
                <w:rFonts w:cstheme="minorHAnsi"/>
                <w:b/>
                <w:bCs/>
                <w:color w:val="FFFFFF"/>
                <w:sz w:val="16"/>
                <w:szCs w:val="16"/>
                <w:lang w:eastAsia="en-AU"/>
              </w:rPr>
            </w:pPr>
            <w:r>
              <w:rPr>
                <w:rFonts w:cstheme="minorHAnsi"/>
                <w:b/>
                <w:bCs/>
                <w:color w:val="FFFFFF"/>
                <w:sz w:val="16"/>
                <w:szCs w:val="16"/>
                <w:lang w:eastAsia="en-AU"/>
              </w:rPr>
              <w:t>7</w:t>
            </w:r>
          </w:p>
        </w:tc>
        <w:tc>
          <w:tcPr>
            <w:tcW w:w="1647" w:type="dxa"/>
            <w:tcBorders>
              <w:top w:val="nil"/>
              <w:left w:val="nil"/>
              <w:bottom w:val="single" w:sz="4" w:space="0" w:color="E6B8B7"/>
              <w:right w:val="single" w:sz="4" w:space="0" w:color="E6B8B7"/>
            </w:tcBorders>
            <w:noWrap/>
            <w:vAlign w:val="center"/>
            <w:hideMark/>
          </w:tcPr>
          <w:p w14:paraId="3B24F2DE" w14:textId="77777777" w:rsidR="005C3251" w:rsidRDefault="005C3251" w:rsidP="00D67024">
            <w:pPr>
              <w:pStyle w:val="TableTextSmall"/>
              <w:keepNext/>
              <w:jc w:val="center"/>
              <w:rPr>
                <w:rFonts w:cstheme="minorHAnsi"/>
                <w:szCs w:val="16"/>
              </w:rPr>
            </w:pPr>
            <w:r>
              <w:rPr>
                <w:rFonts w:cstheme="minorHAnsi"/>
                <w:szCs w:val="16"/>
              </w:rPr>
              <w:t>$303bn</w:t>
            </w:r>
          </w:p>
        </w:tc>
        <w:tc>
          <w:tcPr>
            <w:tcW w:w="1648" w:type="dxa"/>
            <w:tcBorders>
              <w:top w:val="nil"/>
              <w:left w:val="nil"/>
              <w:bottom w:val="single" w:sz="4" w:space="0" w:color="E6B8B7"/>
              <w:right w:val="single" w:sz="4" w:space="0" w:color="E6B8B7"/>
            </w:tcBorders>
            <w:noWrap/>
            <w:vAlign w:val="center"/>
            <w:hideMark/>
          </w:tcPr>
          <w:p w14:paraId="13860F3C" w14:textId="77777777" w:rsidR="005C3251" w:rsidRDefault="005C3251" w:rsidP="00D67024">
            <w:pPr>
              <w:pStyle w:val="TableTextSmall"/>
              <w:keepNext/>
              <w:jc w:val="center"/>
              <w:rPr>
                <w:rFonts w:cstheme="minorHAnsi"/>
                <w:szCs w:val="16"/>
              </w:rPr>
            </w:pPr>
            <w:r>
              <w:rPr>
                <w:rFonts w:cstheme="minorHAnsi"/>
                <w:szCs w:val="16"/>
              </w:rPr>
              <w:t>$196.5k</w:t>
            </w:r>
          </w:p>
        </w:tc>
        <w:tc>
          <w:tcPr>
            <w:tcW w:w="1648" w:type="dxa"/>
            <w:tcBorders>
              <w:top w:val="nil"/>
              <w:left w:val="nil"/>
              <w:bottom w:val="single" w:sz="4" w:space="0" w:color="E6B8B7"/>
              <w:right w:val="single" w:sz="4" w:space="0" w:color="E6B8B7"/>
            </w:tcBorders>
            <w:noWrap/>
            <w:vAlign w:val="center"/>
            <w:hideMark/>
          </w:tcPr>
          <w:p w14:paraId="19032972" w14:textId="77777777" w:rsidR="005C3251" w:rsidRDefault="005C3251" w:rsidP="00D67024">
            <w:pPr>
              <w:pStyle w:val="TableTextSmall"/>
              <w:keepNext/>
              <w:jc w:val="center"/>
              <w:rPr>
                <w:rFonts w:cstheme="minorHAnsi"/>
                <w:szCs w:val="16"/>
              </w:rPr>
            </w:pPr>
            <w:r>
              <w:rPr>
                <w:rFonts w:cstheme="minorHAnsi"/>
                <w:szCs w:val="16"/>
              </w:rPr>
              <w:t>$196.2k</w:t>
            </w:r>
          </w:p>
        </w:tc>
        <w:tc>
          <w:tcPr>
            <w:tcW w:w="1648" w:type="dxa"/>
            <w:tcBorders>
              <w:top w:val="nil"/>
              <w:left w:val="nil"/>
              <w:bottom w:val="single" w:sz="4" w:space="0" w:color="E6B8B7"/>
              <w:right w:val="single" w:sz="4" w:space="0" w:color="E6B8B7"/>
            </w:tcBorders>
            <w:noWrap/>
            <w:vAlign w:val="center"/>
            <w:hideMark/>
          </w:tcPr>
          <w:p w14:paraId="2959BA2E" w14:textId="77777777" w:rsidR="005C3251" w:rsidRDefault="005C3251" w:rsidP="00D67024">
            <w:pPr>
              <w:pStyle w:val="TableTextSmall"/>
              <w:keepNext/>
              <w:jc w:val="center"/>
              <w:rPr>
                <w:rFonts w:cstheme="minorHAnsi"/>
                <w:szCs w:val="16"/>
              </w:rPr>
            </w:pPr>
            <w:r>
              <w:rPr>
                <w:rFonts w:cstheme="minorHAnsi"/>
                <w:szCs w:val="16"/>
              </w:rPr>
              <w:t>$196.6k</w:t>
            </w:r>
          </w:p>
        </w:tc>
        <w:tc>
          <w:tcPr>
            <w:tcW w:w="1648" w:type="dxa"/>
            <w:tcBorders>
              <w:top w:val="nil"/>
              <w:left w:val="nil"/>
              <w:bottom w:val="single" w:sz="4" w:space="0" w:color="E6B8B7"/>
              <w:right w:val="single" w:sz="4" w:space="0" w:color="C0504D"/>
            </w:tcBorders>
            <w:noWrap/>
            <w:vAlign w:val="center"/>
            <w:hideMark/>
          </w:tcPr>
          <w:p w14:paraId="7248404A"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$0.4k</w:t>
            </w:r>
          </w:p>
        </w:tc>
      </w:tr>
      <w:tr w:rsidR="005C3251" w14:paraId="39DA3B12" w14:textId="77777777" w:rsidTr="00F602A0">
        <w:trPr>
          <w:trHeight w:val="290"/>
        </w:trPr>
        <w:tc>
          <w:tcPr>
            <w:tcW w:w="817" w:type="dxa"/>
            <w:tcBorders>
              <w:top w:val="nil"/>
              <w:left w:val="single" w:sz="4" w:space="0" w:color="C0504D"/>
              <w:bottom w:val="nil"/>
              <w:right w:val="nil"/>
            </w:tcBorders>
            <w:shd w:val="clear" w:color="auto" w:fill="FF0000"/>
            <w:noWrap/>
            <w:vAlign w:val="center"/>
            <w:hideMark/>
          </w:tcPr>
          <w:p w14:paraId="54972262" w14:textId="77777777" w:rsidR="005C3251" w:rsidRDefault="005C3251" w:rsidP="00D67024">
            <w:pPr>
              <w:keepNext/>
              <w:kinsoku/>
              <w:overflowPunct/>
              <w:autoSpaceDE/>
              <w:adjustRightInd/>
              <w:snapToGrid/>
              <w:jc w:val="center"/>
              <w:rPr>
                <w:rFonts w:cstheme="minorHAnsi"/>
                <w:b/>
                <w:bCs/>
                <w:color w:val="FFFFFF"/>
                <w:sz w:val="16"/>
                <w:szCs w:val="16"/>
                <w:lang w:eastAsia="en-AU"/>
              </w:rPr>
            </w:pPr>
            <w:r>
              <w:rPr>
                <w:rFonts w:cstheme="minorHAnsi"/>
                <w:b/>
                <w:bCs/>
                <w:color w:val="FFFFFF"/>
                <w:sz w:val="16"/>
                <w:szCs w:val="16"/>
                <w:lang w:eastAsia="en-AU"/>
              </w:rPr>
              <w:t>8</w:t>
            </w:r>
          </w:p>
        </w:tc>
        <w:tc>
          <w:tcPr>
            <w:tcW w:w="1647" w:type="dxa"/>
            <w:tcBorders>
              <w:top w:val="nil"/>
              <w:left w:val="nil"/>
              <w:bottom w:val="single" w:sz="4" w:space="0" w:color="E6B8B7"/>
              <w:right w:val="single" w:sz="4" w:space="0" w:color="E6B8B7"/>
            </w:tcBorders>
            <w:noWrap/>
            <w:vAlign w:val="center"/>
            <w:hideMark/>
          </w:tcPr>
          <w:p w14:paraId="450EDA39" w14:textId="77777777" w:rsidR="005C3251" w:rsidRDefault="005C3251" w:rsidP="00D67024">
            <w:pPr>
              <w:pStyle w:val="TableTextSmall"/>
              <w:keepNext/>
              <w:jc w:val="center"/>
              <w:rPr>
                <w:rFonts w:cstheme="minorHAnsi"/>
                <w:szCs w:val="16"/>
              </w:rPr>
            </w:pPr>
            <w:r>
              <w:rPr>
                <w:rFonts w:cstheme="minorHAnsi"/>
                <w:szCs w:val="16"/>
              </w:rPr>
              <w:t>$42bn</w:t>
            </w:r>
          </w:p>
        </w:tc>
        <w:tc>
          <w:tcPr>
            <w:tcW w:w="1648" w:type="dxa"/>
            <w:tcBorders>
              <w:top w:val="nil"/>
              <w:left w:val="nil"/>
              <w:bottom w:val="single" w:sz="4" w:space="0" w:color="E6B8B7"/>
              <w:right w:val="single" w:sz="4" w:space="0" w:color="E6B8B7"/>
            </w:tcBorders>
            <w:noWrap/>
            <w:vAlign w:val="center"/>
            <w:hideMark/>
          </w:tcPr>
          <w:p w14:paraId="65D6A7A1" w14:textId="77777777" w:rsidR="005C3251" w:rsidRDefault="005C3251" w:rsidP="00D67024">
            <w:pPr>
              <w:pStyle w:val="TableTextSmall"/>
              <w:keepNext/>
              <w:jc w:val="center"/>
              <w:rPr>
                <w:rFonts w:cstheme="minorHAnsi"/>
                <w:szCs w:val="16"/>
              </w:rPr>
            </w:pPr>
            <w:r>
              <w:rPr>
                <w:rFonts w:cstheme="minorHAnsi"/>
                <w:szCs w:val="16"/>
              </w:rPr>
              <w:t>$207.1k</w:t>
            </w:r>
          </w:p>
        </w:tc>
        <w:tc>
          <w:tcPr>
            <w:tcW w:w="1648" w:type="dxa"/>
            <w:tcBorders>
              <w:top w:val="nil"/>
              <w:left w:val="nil"/>
              <w:bottom w:val="single" w:sz="4" w:space="0" w:color="E6B8B7"/>
              <w:right w:val="single" w:sz="4" w:space="0" w:color="E6B8B7"/>
            </w:tcBorders>
            <w:noWrap/>
            <w:vAlign w:val="center"/>
            <w:hideMark/>
          </w:tcPr>
          <w:p w14:paraId="76E9AD0B" w14:textId="77777777" w:rsidR="005C3251" w:rsidRDefault="005C3251" w:rsidP="00D67024">
            <w:pPr>
              <w:pStyle w:val="TableTextSmall"/>
              <w:keepNext/>
              <w:jc w:val="center"/>
              <w:rPr>
                <w:rFonts w:cstheme="minorHAnsi"/>
                <w:szCs w:val="16"/>
              </w:rPr>
            </w:pPr>
            <w:r>
              <w:rPr>
                <w:rFonts w:cstheme="minorHAnsi"/>
                <w:szCs w:val="16"/>
              </w:rPr>
              <w:t>$206.9k</w:t>
            </w:r>
          </w:p>
        </w:tc>
        <w:tc>
          <w:tcPr>
            <w:tcW w:w="1648" w:type="dxa"/>
            <w:tcBorders>
              <w:top w:val="nil"/>
              <w:left w:val="nil"/>
              <w:bottom w:val="single" w:sz="4" w:space="0" w:color="E6B8B7"/>
              <w:right w:val="single" w:sz="4" w:space="0" w:color="E6B8B7"/>
            </w:tcBorders>
            <w:noWrap/>
            <w:vAlign w:val="center"/>
            <w:hideMark/>
          </w:tcPr>
          <w:p w14:paraId="7DA06BDD" w14:textId="77777777" w:rsidR="005C3251" w:rsidRDefault="005C3251" w:rsidP="00D67024">
            <w:pPr>
              <w:pStyle w:val="TableTextSmall"/>
              <w:keepNext/>
              <w:jc w:val="center"/>
              <w:rPr>
                <w:rFonts w:cstheme="minorHAnsi"/>
                <w:szCs w:val="16"/>
              </w:rPr>
            </w:pPr>
            <w:r>
              <w:rPr>
                <w:rFonts w:cstheme="minorHAnsi"/>
                <w:szCs w:val="16"/>
              </w:rPr>
              <w:t>$207.9k</w:t>
            </w:r>
          </w:p>
        </w:tc>
        <w:tc>
          <w:tcPr>
            <w:tcW w:w="1648" w:type="dxa"/>
            <w:tcBorders>
              <w:top w:val="nil"/>
              <w:left w:val="nil"/>
              <w:bottom w:val="single" w:sz="4" w:space="0" w:color="E6B8B7"/>
              <w:right w:val="single" w:sz="4" w:space="0" w:color="C0504D"/>
            </w:tcBorders>
            <w:noWrap/>
            <w:vAlign w:val="center"/>
            <w:hideMark/>
          </w:tcPr>
          <w:p w14:paraId="0E56FAA5"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$1.0k</w:t>
            </w:r>
          </w:p>
        </w:tc>
      </w:tr>
      <w:tr w:rsidR="005C3251" w14:paraId="4CCEB0F1" w14:textId="77777777" w:rsidTr="00F602A0">
        <w:trPr>
          <w:trHeight w:val="290"/>
        </w:trPr>
        <w:tc>
          <w:tcPr>
            <w:tcW w:w="817" w:type="dxa"/>
            <w:tcBorders>
              <w:top w:val="nil"/>
              <w:left w:val="single" w:sz="4" w:space="0" w:color="C0504D"/>
              <w:bottom w:val="nil"/>
              <w:right w:val="nil"/>
            </w:tcBorders>
            <w:shd w:val="clear" w:color="auto" w:fill="FF0000"/>
            <w:noWrap/>
            <w:vAlign w:val="center"/>
            <w:hideMark/>
          </w:tcPr>
          <w:p w14:paraId="0419050C" w14:textId="77777777" w:rsidR="005C3251" w:rsidRDefault="005C3251" w:rsidP="00D67024">
            <w:pPr>
              <w:keepNext/>
              <w:kinsoku/>
              <w:overflowPunct/>
              <w:autoSpaceDE/>
              <w:adjustRightInd/>
              <w:snapToGrid/>
              <w:jc w:val="center"/>
              <w:rPr>
                <w:rFonts w:cstheme="minorHAnsi"/>
                <w:b/>
                <w:bCs/>
                <w:color w:val="FFFFFF"/>
                <w:sz w:val="16"/>
                <w:szCs w:val="16"/>
                <w:lang w:eastAsia="en-AU"/>
              </w:rPr>
            </w:pPr>
            <w:r>
              <w:rPr>
                <w:rFonts w:cstheme="minorHAnsi"/>
                <w:b/>
                <w:bCs/>
                <w:color w:val="FFFFFF"/>
                <w:sz w:val="16"/>
                <w:szCs w:val="16"/>
                <w:lang w:eastAsia="en-AU"/>
              </w:rPr>
              <w:t>9</w:t>
            </w:r>
          </w:p>
        </w:tc>
        <w:tc>
          <w:tcPr>
            <w:tcW w:w="1647" w:type="dxa"/>
            <w:tcBorders>
              <w:top w:val="nil"/>
              <w:left w:val="nil"/>
              <w:bottom w:val="single" w:sz="4" w:space="0" w:color="E6B8B7"/>
              <w:right w:val="single" w:sz="4" w:space="0" w:color="E6B8B7"/>
            </w:tcBorders>
            <w:noWrap/>
            <w:vAlign w:val="center"/>
            <w:hideMark/>
          </w:tcPr>
          <w:p w14:paraId="4EE3593A" w14:textId="77777777" w:rsidR="005C3251" w:rsidRDefault="005C3251" w:rsidP="00D67024">
            <w:pPr>
              <w:pStyle w:val="TableTextSmall"/>
              <w:keepNext/>
              <w:jc w:val="center"/>
              <w:rPr>
                <w:rFonts w:cstheme="minorHAnsi"/>
                <w:szCs w:val="16"/>
              </w:rPr>
            </w:pPr>
            <w:r>
              <w:rPr>
                <w:rFonts w:cstheme="minorHAnsi"/>
                <w:szCs w:val="16"/>
              </w:rPr>
              <w:t>$72bn</w:t>
            </w:r>
          </w:p>
        </w:tc>
        <w:tc>
          <w:tcPr>
            <w:tcW w:w="1648" w:type="dxa"/>
            <w:tcBorders>
              <w:top w:val="nil"/>
              <w:left w:val="nil"/>
              <w:bottom w:val="single" w:sz="4" w:space="0" w:color="E6B8B7"/>
              <w:right w:val="single" w:sz="4" w:space="0" w:color="E6B8B7"/>
            </w:tcBorders>
            <w:noWrap/>
            <w:vAlign w:val="center"/>
            <w:hideMark/>
          </w:tcPr>
          <w:p w14:paraId="02E2E4EF" w14:textId="77777777" w:rsidR="005C3251" w:rsidRDefault="005C3251" w:rsidP="00D67024">
            <w:pPr>
              <w:pStyle w:val="TableTextSmall"/>
              <w:keepNext/>
              <w:jc w:val="center"/>
              <w:rPr>
                <w:rFonts w:cstheme="minorHAnsi"/>
                <w:szCs w:val="16"/>
              </w:rPr>
            </w:pPr>
            <w:r>
              <w:rPr>
                <w:rFonts w:cstheme="minorHAnsi"/>
                <w:szCs w:val="16"/>
              </w:rPr>
              <w:t>$129.2k</w:t>
            </w:r>
          </w:p>
        </w:tc>
        <w:tc>
          <w:tcPr>
            <w:tcW w:w="1648" w:type="dxa"/>
            <w:tcBorders>
              <w:top w:val="nil"/>
              <w:left w:val="nil"/>
              <w:bottom w:val="single" w:sz="4" w:space="0" w:color="E6B8B7"/>
              <w:right w:val="single" w:sz="4" w:space="0" w:color="E6B8B7"/>
            </w:tcBorders>
            <w:noWrap/>
            <w:vAlign w:val="center"/>
            <w:hideMark/>
          </w:tcPr>
          <w:p w14:paraId="557556A7" w14:textId="77777777" w:rsidR="005C3251" w:rsidRDefault="005C3251" w:rsidP="00D67024">
            <w:pPr>
              <w:pStyle w:val="TableTextSmall"/>
              <w:keepNext/>
              <w:jc w:val="center"/>
              <w:rPr>
                <w:rFonts w:cstheme="minorHAnsi"/>
                <w:szCs w:val="16"/>
              </w:rPr>
            </w:pPr>
            <w:r>
              <w:rPr>
                <w:rFonts w:cstheme="minorHAnsi"/>
                <w:szCs w:val="16"/>
              </w:rPr>
              <w:t>$129.0k</w:t>
            </w:r>
          </w:p>
        </w:tc>
        <w:tc>
          <w:tcPr>
            <w:tcW w:w="1648" w:type="dxa"/>
            <w:tcBorders>
              <w:top w:val="nil"/>
              <w:left w:val="nil"/>
              <w:bottom w:val="single" w:sz="4" w:space="0" w:color="E6B8B7"/>
              <w:right w:val="single" w:sz="4" w:space="0" w:color="E6B8B7"/>
            </w:tcBorders>
            <w:noWrap/>
            <w:vAlign w:val="center"/>
            <w:hideMark/>
          </w:tcPr>
          <w:p w14:paraId="118A167F" w14:textId="77777777" w:rsidR="005C3251" w:rsidRDefault="005C3251" w:rsidP="00D67024">
            <w:pPr>
              <w:pStyle w:val="TableTextSmall"/>
              <w:keepNext/>
              <w:jc w:val="center"/>
              <w:rPr>
                <w:rFonts w:cstheme="minorHAnsi"/>
                <w:szCs w:val="16"/>
              </w:rPr>
            </w:pPr>
            <w:r>
              <w:rPr>
                <w:rFonts w:cstheme="minorHAnsi"/>
                <w:szCs w:val="16"/>
              </w:rPr>
              <w:t>$129.6k</w:t>
            </w:r>
          </w:p>
        </w:tc>
        <w:tc>
          <w:tcPr>
            <w:tcW w:w="1648" w:type="dxa"/>
            <w:tcBorders>
              <w:top w:val="nil"/>
              <w:left w:val="nil"/>
              <w:bottom w:val="single" w:sz="4" w:space="0" w:color="E6B8B7"/>
              <w:right w:val="single" w:sz="4" w:space="0" w:color="C0504D"/>
            </w:tcBorders>
            <w:noWrap/>
            <w:vAlign w:val="center"/>
            <w:hideMark/>
          </w:tcPr>
          <w:p w14:paraId="798DB7BC"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$0.6k</w:t>
            </w:r>
          </w:p>
        </w:tc>
      </w:tr>
      <w:tr w:rsidR="005C3251" w14:paraId="1CB25751" w14:textId="77777777" w:rsidTr="00F602A0">
        <w:trPr>
          <w:trHeight w:val="290"/>
        </w:trPr>
        <w:tc>
          <w:tcPr>
            <w:tcW w:w="817" w:type="dxa"/>
            <w:tcBorders>
              <w:top w:val="nil"/>
              <w:left w:val="single" w:sz="4" w:space="0" w:color="C0504D"/>
              <w:bottom w:val="nil"/>
              <w:right w:val="nil"/>
            </w:tcBorders>
            <w:shd w:val="clear" w:color="auto" w:fill="FF0000"/>
            <w:noWrap/>
            <w:vAlign w:val="center"/>
            <w:hideMark/>
          </w:tcPr>
          <w:p w14:paraId="3066DAF4" w14:textId="77777777" w:rsidR="005C3251" w:rsidRDefault="005C3251" w:rsidP="00D67024">
            <w:pPr>
              <w:keepNext/>
              <w:kinsoku/>
              <w:overflowPunct/>
              <w:autoSpaceDE/>
              <w:adjustRightInd/>
              <w:snapToGrid/>
              <w:jc w:val="center"/>
              <w:rPr>
                <w:rFonts w:cstheme="minorHAnsi"/>
                <w:b/>
                <w:bCs/>
                <w:color w:val="FFFFFF"/>
                <w:sz w:val="16"/>
                <w:szCs w:val="16"/>
                <w:lang w:eastAsia="en-AU"/>
              </w:rPr>
            </w:pPr>
            <w:r>
              <w:rPr>
                <w:rFonts w:cstheme="minorHAnsi"/>
                <w:b/>
                <w:bCs/>
                <w:color w:val="FFFFFF"/>
                <w:sz w:val="16"/>
                <w:szCs w:val="16"/>
                <w:lang w:eastAsia="en-AU"/>
              </w:rPr>
              <w:t>10</w:t>
            </w:r>
          </w:p>
        </w:tc>
        <w:tc>
          <w:tcPr>
            <w:tcW w:w="1647" w:type="dxa"/>
            <w:tcBorders>
              <w:top w:val="nil"/>
              <w:left w:val="nil"/>
              <w:bottom w:val="single" w:sz="4" w:space="0" w:color="E6B8B7"/>
              <w:right w:val="single" w:sz="4" w:space="0" w:color="E6B8B7"/>
            </w:tcBorders>
            <w:noWrap/>
            <w:vAlign w:val="center"/>
            <w:hideMark/>
          </w:tcPr>
          <w:p w14:paraId="74EA8E77"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$735bn</w:t>
            </w:r>
          </w:p>
        </w:tc>
        <w:tc>
          <w:tcPr>
            <w:tcW w:w="1648" w:type="dxa"/>
            <w:tcBorders>
              <w:top w:val="nil"/>
              <w:left w:val="nil"/>
              <w:bottom w:val="single" w:sz="4" w:space="0" w:color="E6B8B7"/>
              <w:right w:val="single" w:sz="4" w:space="0" w:color="E6B8B7"/>
            </w:tcBorders>
            <w:noWrap/>
            <w:vAlign w:val="center"/>
            <w:hideMark/>
          </w:tcPr>
          <w:p w14:paraId="6568648A"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$163.7k</w:t>
            </w:r>
          </w:p>
        </w:tc>
        <w:tc>
          <w:tcPr>
            <w:tcW w:w="1648" w:type="dxa"/>
            <w:tcBorders>
              <w:top w:val="nil"/>
              <w:left w:val="nil"/>
              <w:bottom w:val="single" w:sz="4" w:space="0" w:color="E6B8B7"/>
              <w:right w:val="single" w:sz="4" w:space="0" w:color="E6B8B7"/>
            </w:tcBorders>
            <w:noWrap/>
            <w:vAlign w:val="center"/>
            <w:hideMark/>
          </w:tcPr>
          <w:p w14:paraId="70E5DEF7"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$163.6k</w:t>
            </w:r>
          </w:p>
        </w:tc>
        <w:tc>
          <w:tcPr>
            <w:tcW w:w="1648" w:type="dxa"/>
            <w:tcBorders>
              <w:top w:val="nil"/>
              <w:left w:val="nil"/>
              <w:bottom w:val="single" w:sz="4" w:space="0" w:color="E6B8B7"/>
              <w:right w:val="single" w:sz="4" w:space="0" w:color="E6B8B7"/>
            </w:tcBorders>
            <w:noWrap/>
            <w:vAlign w:val="center"/>
            <w:hideMark/>
          </w:tcPr>
          <w:p w14:paraId="3DA7ABF5"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$163.8k</w:t>
            </w:r>
          </w:p>
        </w:tc>
        <w:tc>
          <w:tcPr>
            <w:tcW w:w="1648" w:type="dxa"/>
            <w:tcBorders>
              <w:top w:val="nil"/>
              <w:left w:val="nil"/>
              <w:bottom w:val="single" w:sz="4" w:space="0" w:color="E6B8B7"/>
              <w:right w:val="single" w:sz="4" w:space="0" w:color="C0504D"/>
            </w:tcBorders>
            <w:noWrap/>
            <w:vAlign w:val="center"/>
            <w:hideMark/>
          </w:tcPr>
          <w:p w14:paraId="647CA427"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$0.2k</w:t>
            </w:r>
          </w:p>
        </w:tc>
      </w:tr>
      <w:tr w:rsidR="005C3251" w14:paraId="2D31EBB9" w14:textId="77777777" w:rsidTr="00F602A0">
        <w:trPr>
          <w:trHeight w:val="290"/>
        </w:trPr>
        <w:tc>
          <w:tcPr>
            <w:tcW w:w="817" w:type="dxa"/>
            <w:tcBorders>
              <w:top w:val="nil"/>
              <w:left w:val="single" w:sz="4" w:space="0" w:color="C0504D"/>
              <w:bottom w:val="single" w:sz="4" w:space="0" w:color="E6B8B7"/>
              <w:right w:val="nil"/>
            </w:tcBorders>
            <w:shd w:val="clear" w:color="auto" w:fill="FF0000"/>
            <w:noWrap/>
            <w:vAlign w:val="center"/>
            <w:hideMark/>
          </w:tcPr>
          <w:p w14:paraId="00CC8E87" w14:textId="77777777" w:rsidR="005C3251" w:rsidRDefault="005C3251" w:rsidP="00D67024">
            <w:pPr>
              <w:keepNext/>
              <w:kinsoku/>
              <w:overflowPunct/>
              <w:autoSpaceDE/>
              <w:adjustRightInd/>
              <w:snapToGrid/>
              <w:jc w:val="center"/>
              <w:rPr>
                <w:rFonts w:cstheme="minorHAnsi"/>
                <w:b/>
                <w:bCs/>
                <w:color w:val="FFFFFF"/>
                <w:sz w:val="16"/>
                <w:szCs w:val="16"/>
                <w:lang w:eastAsia="en-AU"/>
              </w:rPr>
            </w:pPr>
            <w:r>
              <w:rPr>
                <w:rFonts w:cstheme="minorHAnsi"/>
                <w:b/>
                <w:bCs/>
                <w:color w:val="FFFFFF"/>
                <w:sz w:val="16"/>
                <w:szCs w:val="16"/>
                <w:lang w:eastAsia="en-AU"/>
              </w:rPr>
              <w:t>12</w:t>
            </w:r>
          </w:p>
        </w:tc>
        <w:tc>
          <w:tcPr>
            <w:tcW w:w="1647" w:type="dxa"/>
            <w:tcBorders>
              <w:top w:val="nil"/>
              <w:left w:val="nil"/>
              <w:bottom w:val="nil"/>
              <w:right w:val="single" w:sz="4" w:space="0" w:color="E6B8B7"/>
            </w:tcBorders>
            <w:noWrap/>
            <w:vAlign w:val="center"/>
            <w:hideMark/>
          </w:tcPr>
          <w:p w14:paraId="42848B30"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$1,812bn</w:t>
            </w:r>
          </w:p>
        </w:tc>
        <w:tc>
          <w:tcPr>
            <w:tcW w:w="1648" w:type="dxa"/>
            <w:tcBorders>
              <w:top w:val="nil"/>
              <w:left w:val="nil"/>
              <w:bottom w:val="nil"/>
              <w:right w:val="single" w:sz="4" w:space="0" w:color="E6B8B7"/>
            </w:tcBorders>
            <w:noWrap/>
            <w:vAlign w:val="center"/>
            <w:hideMark/>
          </w:tcPr>
          <w:p w14:paraId="71DC887A"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$149.5k</w:t>
            </w:r>
          </w:p>
        </w:tc>
        <w:tc>
          <w:tcPr>
            <w:tcW w:w="1648" w:type="dxa"/>
            <w:tcBorders>
              <w:top w:val="nil"/>
              <w:left w:val="nil"/>
              <w:bottom w:val="nil"/>
              <w:right w:val="single" w:sz="4" w:space="0" w:color="E6B8B7"/>
            </w:tcBorders>
            <w:noWrap/>
            <w:vAlign w:val="center"/>
            <w:hideMark/>
          </w:tcPr>
          <w:p w14:paraId="346CA609"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$149.4k</w:t>
            </w:r>
          </w:p>
        </w:tc>
        <w:tc>
          <w:tcPr>
            <w:tcW w:w="1648" w:type="dxa"/>
            <w:tcBorders>
              <w:top w:val="nil"/>
              <w:left w:val="nil"/>
              <w:bottom w:val="nil"/>
              <w:right w:val="single" w:sz="4" w:space="0" w:color="E6B8B7"/>
            </w:tcBorders>
            <w:noWrap/>
            <w:vAlign w:val="center"/>
            <w:hideMark/>
          </w:tcPr>
          <w:p w14:paraId="472A6888"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$149.5k</w:t>
            </w:r>
          </w:p>
        </w:tc>
        <w:tc>
          <w:tcPr>
            <w:tcW w:w="1648" w:type="dxa"/>
            <w:tcBorders>
              <w:top w:val="nil"/>
              <w:left w:val="nil"/>
              <w:bottom w:val="nil"/>
              <w:right w:val="single" w:sz="4" w:space="0" w:color="C0504D"/>
            </w:tcBorders>
            <w:noWrap/>
            <w:vAlign w:val="center"/>
            <w:hideMark/>
          </w:tcPr>
          <w:p w14:paraId="40F90B43" w14:textId="77777777" w:rsidR="005C3251" w:rsidRDefault="005C3251" w:rsidP="00D67024">
            <w:pPr>
              <w:keepNext/>
              <w:kinsoku/>
              <w:overflowPunct/>
              <w:autoSpaceDE/>
              <w:adjustRightInd/>
              <w:snapToGrid/>
              <w:jc w:val="center"/>
              <w:rPr>
                <w:rFonts w:cstheme="minorHAnsi"/>
                <w:sz w:val="16"/>
                <w:szCs w:val="16"/>
                <w:lang w:eastAsia="en-AU"/>
              </w:rPr>
            </w:pPr>
            <w:r>
              <w:rPr>
                <w:rFonts w:cstheme="minorHAnsi"/>
                <w:sz w:val="16"/>
                <w:szCs w:val="16"/>
                <w:lang w:eastAsia="en-AU"/>
              </w:rPr>
              <w:t>$0.1k</w:t>
            </w:r>
          </w:p>
        </w:tc>
      </w:tr>
      <w:tr w:rsidR="005C3251" w14:paraId="5CBEDAC8" w14:textId="77777777" w:rsidTr="00F602A0">
        <w:trPr>
          <w:trHeight w:val="290"/>
        </w:trPr>
        <w:tc>
          <w:tcPr>
            <w:tcW w:w="817" w:type="dxa"/>
            <w:tcBorders>
              <w:top w:val="nil"/>
              <w:left w:val="single" w:sz="4" w:space="0" w:color="C0504D"/>
              <w:bottom w:val="single" w:sz="4" w:space="0" w:color="C0504D"/>
              <w:right w:val="nil"/>
            </w:tcBorders>
            <w:shd w:val="clear" w:color="auto" w:fill="FF0000"/>
            <w:noWrap/>
            <w:vAlign w:val="center"/>
            <w:hideMark/>
          </w:tcPr>
          <w:p w14:paraId="6F2CDEA3" w14:textId="77777777" w:rsidR="005C3251" w:rsidRDefault="005C3251" w:rsidP="00D67024">
            <w:pPr>
              <w:keepNext/>
              <w:kinsoku/>
              <w:overflowPunct/>
              <w:autoSpaceDE/>
              <w:adjustRightInd/>
              <w:snapToGrid/>
              <w:jc w:val="center"/>
              <w:rPr>
                <w:rFonts w:cstheme="minorHAnsi"/>
                <w:b/>
                <w:bCs/>
                <w:color w:val="FFFFFF"/>
                <w:sz w:val="16"/>
                <w:szCs w:val="16"/>
                <w:lang w:eastAsia="en-AU"/>
              </w:rPr>
            </w:pPr>
            <w:r>
              <w:rPr>
                <w:rFonts w:cstheme="minorHAnsi"/>
                <w:b/>
                <w:bCs/>
                <w:color w:val="FFFFFF"/>
                <w:sz w:val="16"/>
                <w:szCs w:val="16"/>
                <w:lang w:eastAsia="en-AU"/>
              </w:rPr>
              <w:t>All</w:t>
            </w:r>
          </w:p>
        </w:tc>
        <w:tc>
          <w:tcPr>
            <w:tcW w:w="1647" w:type="dxa"/>
            <w:tcBorders>
              <w:top w:val="single" w:sz="4" w:space="0" w:color="C0504D"/>
              <w:left w:val="single" w:sz="4" w:space="0" w:color="C0504D"/>
              <w:bottom w:val="single" w:sz="4" w:space="0" w:color="C0504D"/>
              <w:right w:val="single" w:sz="4" w:space="0" w:color="C0504D"/>
            </w:tcBorders>
            <w:shd w:val="clear" w:color="auto" w:fill="F2DCDB"/>
            <w:noWrap/>
            <w:vAlign w:val="center"/>
            <w:hideMark/>
          </w:tcPr>
          <w:p w14:paraId="27660987" w14:textId="77777777" w:rsidR="005C3251" w:rsidRDefault="005C3251" w:rsidP="00D67024">
            <w:pPr>
              <w:keepNext/>
              <w:kinsoku/>
              <w:overflowPunct/>
              <w:autoSpaceDE/>
              <w:adjustRightInd/>
              <w:snapToGrid/>
              <w:jc w:val="center"/>
              <w:rPr>
                <w:rFonts w:cstheme="minorHAnsi"/>
                <w:b/>
                <w:bCs/>
                <w:sz w:val="16"/>
                <w:szCs w:val="16"/>
                <w:lang w:eastAsia="en-AU"/>
              </w:rPr>
            </w:pPr>
            <w:r>
              <w:rPr>
                <w:rFonts w:cstheme="minorHAnsi"/>
                <w:b/>
                <w:bCs/>
                <w:sz w:val="16"/>
                <w:szCs w:val="16"/>
                <w:lang w:eastAsia="en-AU"/>
              </w:rPr>
              <w:t>4,681bn</w:t>
            </w:r>
          </w:p>
        </w:tc>
        <w:tc>
          <w:tcPr>
            <w:tcW w:w="1648" w:type="dxa"/>
            <w:tcBorders>
              <w:top w:val="single" w:sz="4" w:space="0" w:color="C0504D"/>
              <w:left w:val="nil"/>
              <w:bottom w:val="single" w:sz="4" w:space="0" w:color="C0504D"/>
              <w:right w:val="single" w:sz="4" w:space="0" w:color="C0504D"/>
            </w:tcBorders>
            <w:shd w:val="clear" w:color="auto" w:fill="F2DCDB"/>
            <w:noWrap/>
            <w:vAlign w:val="center"/>
            <w:hideMark/>
          </w:tcPr>
          <w:p w14:paraId="108852B1" w14:textId="77777777" w:rsidR="005C3251" w:rsidRDefault="005C3251" w:rsidP="00D67024">
            <w:pPr>
              <w:keepNext/>
              <w:kinsoku/>
              <w:overflowPunct/>
              <w:autoSpaceDE/>
              <w:adjustRightInd/>
              <w:snapToGrid/>
              <w:jc w:val="center"/>
              <w:rPr>
                <w:rFonts w:cstheme="minorHAnsi"/>
                <w:b/>
                <w:bCs/>
                <w:sz w:val="16"/>
                <w:szCs w:val="16"/>
                <w:lang w:eastAsia="en-AU"/>
              </w:rPr>
            </w:pPr>
            <w:r>
              <w:rPr>
                <w:rFonts w:cstheme="minorHAnsi"/>
                <w:b/>
                <w:bCs/>
                <w:sz w:val="16"/>
                <w:szCs w:val="16"/>
                <w:lang w:eastAsia="en-AU"/>
              </w:rPr>
              <w:t>$189.9k</w:t>
            </w:r>
          </w:p>
        </w:tc>
        <w:tc>
          <w:tcPr>
            <w:tcW w:w="1648" w:type="dxa"/>
            <w:tcBorders>
              <w:top w:val="single" w:sz="4" w:space="0" w:color="C0504D"/>
              <w:left w:val="nil"/>
              <w:bottom w:val="single" w:sz="4" w:space="0" w:color="C0504D"/>
              <w:right w:val="single" w:sz="4" w:space="0" w:color="C0504D"/>
            </w:tcBorders>
            <w:shd w:val="clear" w:color="auto" w:fill="F2DCDB"/>
            <w:noWrap/>
            <w:vAlign w:val="center"/>
            <w:hideMark/>
          </w:tcPr>
          <w:p w14:paraId="58D91130" w14:textId="77777777" w:rsidR="005C3251" w:rsidRDefault="005C3251" w:rsidP="00D67024">
            <w:pPr>
              <w:keepNext/>
              <w:kinsoku/>
              <w:overflowPunct/>
              <w:autoSpaceDE/>
              <w:adjustRightInd/>
              <w:snapToGrid/>
              <w:jc w:val="center"/>
              <w:rPr>
                <w:rFonts w:cstheme="minorHAnsi"/>
                <w:b/>
                <w:bCs/>
                <w:sz w:val="16"/>
                <w:szCs w:val="16"/>
                <w:lang w:eastAsia="en-AU"/>
              </w:rPr>
            </w:pPr>
            <w:r>
              <w:rPr>
                <w:rFonts w:cstheme="minorHAnsi"/>
                <w:b/>
                <w:bCs/>
                <w:sz w:val="16"/>
                <w:szCs w:val="16"/>
                <w:lang w:eastAsia="en-AU"/>
              </w:rPr>
              <w:t>$189.8k</w:t>
            </w:r>
          </w:p>
        </w:tc>
        <w:tc>
          <w:tcPr>
            <w:tcW w:w="1648" w:type="dxa"/>
            <w:tcBorders>
              <w:top w:val="single" w:sz="4" w:space="0" w:color="C0504D"/>
              <w:left w:val="nil"/>
              <w:bottom w:val="single" w:sz="4" w:space="0" w:color="C0504D"/>
              <w:right w:val="single" w:sz="4" w:space="0" w:color="C0504D"/>
            </w:tcBorders>
            <w:shd w:val="clear" w:color="auto" w:fill="F2DCDB"/>
            <w:noWrap/>
            <w:vAlign w:val="center"/>
            <w:hideMark/>
          </w:tcPr>
          <w:p w14:paraId="1A7543D1" w14:textId="77777777" w:rsidR="005C3251" w:rsidRDefault="005C3251" w:rsidP="00D67024">
            <w:pPr>
              <w:keepNext/>
              <w:kinsoku/>
              <w:overflowPunct/>
              <w:autoSpaceDE/>
              <w:adjustRightInd/>
              <w:snapToGrid/>
              <w:jc w:val="center"/>
              <w:rPr>
                <w:rFonts w:cstheme="minorHAnsi"/>
                <w:b/>
                <w:bCs/>
                <w:sz w:val="16"/>
                <w:szCs w:val="16"/>
                <w:lang w:eastAsia="en-AU"/>
              </w:rPr>
            </w:pPr>
            <w:r>
              <w:rPr>
                <w:rFonts w:cstheme="minorHAnsi"/>
                <w:b/>
                <w:bCs/>
                <w:sz w:val="16"/>
                <w:szCs w:val="16"/>
                <w:lang w:eastAsia="en-AU"/>
              </w:rPr>
              <w:t>$189.9k</w:t>
            </w:r>
          </w:p>
        </w:tc>
        <w:tc>
          <w:tcPr>
            <w:tcW w:w="1648" w:type="dxa"/>
            <w:tcBorders>
              <w:top w:val="single" w:sz="4" w:space="0" w:color="C0504D"/>
              <w:left w:val="nil"/>
              <w:bottom w:val="single" w:sz="4" w:space="0" w:color="C0504D"/>
              <w:right w:val="single" w:sz="4" w:space="0" w:color="C0504D"/>
            </w:tcBorders>
            <w:shd w:val="clear" w:color="auto" w:fill="F2DCDB"/>
            <w:noWrap/>
            <w:vAlign w:val="center"/>
            <w:hideMark/>
          </w:tcPr>
          <w:p w14:paraId="1FB7798D" w14:textId="77777777" w:rsidR="005C3251" w:rsidRDefault="005C3251" w:rsidP="00D67024">
            <w:pPr>
              <w:keepNext/>
              <w:kinsoku/>
              <w:overflowPunct/>
              <w:autoSpaceDE/>
              <w:adjustRightInd/>
              <w:snapToGrid/>
              <w:jc w:val="center"/>
              <w:rPr>
                <w:rFonts w:cstheme="minorHAnsi"/>
                <w:b/>
                <w:bCs/>
                <w:sz w:val="16"/>
                <w:szCs w:val="16"/>
                <w:lang w:eastAsia="en-AU"/>
              </w:rPr>
            </w:pPr>
            <w:r>
              <w:rPr>
                <w:rFonts w:cstheme="minorHAnsi"/>
                <w:b/>
                <w:bCs/>
                <w:sz w:val="16"/>
                <w:szCs w:val="16"/>
                <w:lang w:eastAsia="en-AU"/>
              </w:rPr>
              <w:t>$0.1k</w:t>
            </w:r>
          </w:p>
        </w:tc>
      </w:tr>
    </w:tbl>
    <w:p w14:paraId="20DC0C37" w14:textId="77777777" w:rsidR="005C3251" w:rsidRDefault="005C3251" w:rsidP="005C3251">
      <w:pPr>
        <w:pStyle w:val="Sources"/>
      </w:pPr>
      <w:r>
        <w:t>Note that the average lifetime costs are shown to the nearest $100 so that the small differences due to simulation randomness can be seen. We have rounded the results to the nearest $1,000 for the remainder of the report in light of the uncertainty highlighted here.</w:t>
      </w:r>
    </w:p>
    <w:p w14:paraId="08E95B57" w14:textId="67A39607" w:rsidR="00217E9B" w:rsidRPr="00EC5113" w:rsidRDefault="005C3251" w:rsidP="00217E9B">
      <w:pPr>
        <w:pStyle w:val="PwCNormal"/>
      </w:pPr>
      <w:r>
        <w:t>This analysis validates the choice of using one simulation per person when developing the overall and class level</w:t>
      </w:r>
      <w:r w:rsidR="003A7E00">
        <w:t xml:space="preserve"> results</w:t>
      </w:r>
      <w:r w:rsidR="00217E9B">
        <w:t>. In particular, these</w:t>
      </w:r>
      <w:r>
        <w:t xml:space="preserve"> results confirm that the uncertainty arising from the simulation process itself are </w:t>
      </w:r>
      <w:r w:rsidR="00E84DE4">
        <w:t xml:space="preserve">small and likely </w:t>
      </w:r>
      <w:r>
        <w:t>much less</w:t>
      </w:r>
      <w:r w:rsidR="00E84DE4">
        <w:t xml:space="preserve"> </w:t>
      </w:r>
      <w:r>
        <w:t xml:space="preserve">than the uncertainty associated with the model assumptions. </w:t>
      </w:r>
    </w:p>
    <w:p w14:paraId="3586A7C1" w14:textId="09BF7625" w:rsidR="005463FC" w:rsidRPr="00603001" w:rsidRDefault="005463FC" w:rsidP="00090263">
      <w:pPr>
        <w:pStyle w:val="Minorheading"/>
      </w:pPr>
      <w:r w:rsidRPr="00603001">
        <w:t xml:space="preserve">Economic </w:t>
      </w:r>
      <w:r>
        <w:t>module sensitivities</w:t>
      </w:r>
    </w:p>
    <w:p w14:paraId="09DE6784" w14:textId="77777777" w:rsidR="005463FC" w:rsidRPr="0057506F" w:rsidRDefault="005463FC" w:rsidP="005463FC">
      <w:pPr>
        <w:pStyle w:val="PwCNormal"/>
        <w:numPr>
          <w:ilvl w:val="0"/>
          <w:numId w:val="1"/>
        </w:numPr>
      </w:pPr>
      <w:r w:rsidRPr="00EC326F">
        <w:t xml:space="preserve">The selection of a long term unemployment rate of 5% is a key area of judgement and has a significant impact on the lifetime cost. </w:t>
      </w:r>
      <w:r>
        <w:t xml:space="preserve">The scenarios above show impacts on the total lifetime cost ranging from a reduction of $129bn based on the lowest unemployment rate scenario, to an increase of $303bn based on the highest unemployment rate scenario. </w:t>
      </w:r>
    </w:p>
    <w:p w14:paraId="3435F0FF" w14:textId="77777777" w:rsidR="005463FC" w:rsidRDefault="005463FC" w:rsidP="005463FC">
      <w:pPr>
        <w:pStyle w:val="PwCNormal"/>
        <w:numPr>
          <w:ilvl w:val="0"/>
          <w:numId w:val="1"/>
        </w:numPr>
      </w:pPr>
    </w:p>
    <w:p w14:paraId="32AB5A1F" w14:textId="77777777" w:rsidR="00895C8D" w:rsidRDefault="00895C8D" w:rsidP="00895C8D">
      <w:pPr>
        <w:pStyle w:val="PwCNormal"/>
        <w:sectPr w:rsidR="00895C8D" w:rsidSect="009D2617">
          <w:headerReference w:type="even" r:id="rId109"/>
          <w:headerReference w:type="first" r:id="rId110"/>
          <w:footerReference w:type="first" r:id="rId111"/>
          <w:pgSz w:w="11907" w:h="16840" w:code="9"/>
          <w:pgMar w:top="1588" w:right="1021" w:bottom="1418" w:left="1021" w:header="567" w:footer="567" w:gutter="0"/>
          <w:cols w:space="227"/>
          <w:docGrid w:linePitch="360"/>
        </w:sectPr>
      </w:pPr>
    </w:p>
    <w:p w14:paraId="79364629" w14:textId="6AC815AA" w:rsidR="00DF2C65" w:rsidRPr="00A1077D" w:rsidRDefault="0000452C" w:rsidP="00895C8D">
      <w:pPr>
        <w:pStyle w:val="Heading2"/>
      </w:pPr>
      <w:bookmarkStart w:id="172" w:name="_Ref498433566"/>
      <w:bookmarkStart w:id="173" w:name="_Toc506388225"/>
      <w:r w:rsidRPr="00A1077D">
        <w:lastRenderedPageBreak/>
        <w:t xml:space="preserve">Results for </w:t>
      </w:r>
      <w:r w:rsidR="0090298C" w:rsidRPr="00A1077D">
        <w:t xml:space="preserve">income support </w:t>
      </w:r>
      <w:r w:rsidR="00EF2B1A" w:rsidRPr="00A1077D">
        <w:t>recipient</w:t>
      </w:r>
      <w:r w:rsidRPr="00A1077D">
        <w:t>s</w:t>
      </w:r>
      <w:bookmarkEnd w:id="157"/>
      <w:bookmarkEnd w:id="158"/>
      <w:bookmarkEnd w:id="159"/>
      <w:bookmarkEnd w:id="172"/>
      <w:bookmarkEnd w:id="173"/>
    </w:p>
    <w:p w14:paraId="4C2BD3A5" w14:textId="7B7F4DD4" w:rsidR="00EE42CA" w:rsidRDefault="00F35D1F" w:rsidP="00A95F9A">
      <w:pPr>
        <w:pStyle w:val="PwCNormal"/>
        <w:numPr>
          <w:ilvl w:val="0"/>
          <w:numId w:val="0"/>
        </w:numPr>
      </w:pPr>
      <w:r w:rsidRPr="001E518A">
        <w:t>In th</w:t>
      </w:r>
      <w:r w:rsidR="00EE42CA">
        <w:t>is section and the next two</w:t>
      </w:r>
      <w:r w:rsidRPr="001E518A">
        <w:t xml:space="preserve"> section</w:t>
      </w:r>
      <w:r w:rsidR="00B74B42">
        <w:t>s</w:t>
      </w:r>
      <w:r w:rsidRPr="001E518A">
        <w:t>, for each welfare class</w:t>
      </w:r>
      <w:r w:rsidR="00D544F2" w:rsidRPr="001E518A">
        <w:t>,</w:t>
      </w:r>
      <w:r w:rsidR="00E907D2" w:rsidRPr="001E518A">
        <w:t xml:space="preserve"> we present</w:t>
      </w:r>
      <w:r w:rsidRPr="001E518A">
        <w:t xml:space="preserve"> information regarding the profile of the people in that class and a breakdown of </w:t>
      </w:r>
      <w:r w:rsidR="00C24D68" w:rsidRPr="001E518A">
        <w:t xml:space="preserve">the </w:t>
      </w:r>
      <w:r w:rsidRPr="001E518A">
        <w:t>payments received during 201</w:t>
      </w:r>
      <w:r w:rsidR="001E518A" w:rsidRPr="001E518A">
        <w:t>6/17</w:t>
      </w:r>
      <w:r w:rsidRPr="001E518A">
        <w:t xml:space="preserve">. We then discuss the key considerations </w:t>
      </w:r>
      <w:r w:rsidR="00C24D68" w:rsidRPr="001E518A">
        <w:t>for the setting of the main class movement and payment type assumptions that influence the future outcomes for the class</w:t>
      </w:r>
      <w:r w:rsidRPr="001E518A">
        <w:t>.</w:t>
      </w:r>
      <w:r w:rsidR="00CD4A84" w:rsidRPr="001E518A">
        <w:t xml:space="preserve"> </w:t>
      </w:r>
      <w:r w:rsidR="00C24D68" w:rsidRPr="001E518A">
        <w:t>Finally, w</w:t>
      </w:r>
      <w:r w:rsidRPr="001E518A">
        <w:t>e present results based on the application of the assumptions</w:t>
      </w:r>
      <w:r w:rsidR="00D544F2" w:rsidRPr="001E518A">
        <w:t xml:space="preserve"> </w:t>
      </w:r>
      <w:r w:rsidR="00C24D68" w:rsidRPr="001E518A">
        <w:t>to the people currently in the class using</w:t>
      </w:r>
      <w:r w:rsidR="00D544F2" w:rsidRPr="001E518A">
        <w:t xml:space="preserve"> the valuation model</w:t>
      </w:r>
      <w:r w:rsidRPr="001E518A">
        <w:t>.</w:t>
      </w:r>
    </w:p>
    <w:p w14:paraId="53D18EC7" w14:textId="10066BF6" w:rsidR="000B0B54" w:rsidRPr="00A95F9A" w:rsidRDefault="00A95F9A" w:rsidP="000B0B54">
      <w:pPr>
        <w:pStyle w:val="PwCNormal"/>
        <w:numPr>
          <w:ilvl w:val="0"/>
          <w:numId w:val="0"/>
        </w:numPr>
      </w:pPr>
      <w:r>
        <w:t>This section covers the income support classes.</w:t>
      </w:r>
      <w:bookmarkStart w:id="174" w:name="_Toc441829017"/>
      <w:bookmarkStart w:id="175" w:name="_Toc441832547"/>
      <w:bookmarkStart w:id="176" w:name="_Toc437881485"/>
      <w:bookmarkStart w:id="177" w:name="_Toc437690671"/>
      <w:bookmarkStart w:id="178" w:name="_Toc437704626"/>
      <w:bookmarkStart w:id="179" w:name="_Toc437858583"/>
      <w:bookmarkStart w:id="180" w:name="_Toc437864133"/>
      <w:bookmarkStart w:id="181" w:name="_Toc437881486"/>
      <w:bookmarkStart w:id="182" w:name="_Toc455502434"/>
      <w:bookmarkStart w:id="183" w:name="_Toc455499413"/>
      <w:bookmarkStart w:id="184" w:name="_Ref437528791"/>
      <w:bookmarkStart w:id="185" w:name="_Ref437368381"/>
      <w:bookmarkEnd w:id="174"/>
      <w:bookmarkEnd w:id="175"/>
      <w:bookmarkEnd w:id="176"/>
      <w:bookmarkEnd w:id="177"/>
      <w:bookmarkEnd w:id="178"/>
      <w:bookmarkEnd w:id="179"/>
      <w:bookmarkEnd w:id="180"/>
      <w:bookmarkEnd w:id="181"/>
    </w:p>
    <w:p w14:paraId="3F245F62" w14:textId="3E766630" w:rsidR="00F7320D" w:rsidRDefault="00F7320D" w:rsidP="00964D65">
      <w:pPr>
        <w:pStyle w:val="Heading3"/>
        <w:numPr>
          <w:ilvl w:val="2"/>
          <w:numId w:val="35"/>
        </w:numPr>
      </w:pPr>
      <w:bookmarkStart w:id="186" w:name="_Toc506388226"/>
      <w:r w:rsidRPr="001F343E">
        <w:t>Studying Payment recipients</w:t>
      </w:r>
      <w:bookmarkEnd w:id="182"/>
      <w:bookmarkEnd w:id="183"/>
      <w:bookmarkEnd w:id="184"/>
      <w:bookmarkEnd w:id="1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outlines key points from this report section."/>
      </w:tblPr>
      <w:tblGrid>
        <w:gridCol w:w="9401"/>
      </w:tblGrid>
      <w:tr w:rsidR="00BF6497" w:rsidRPr="009210D0" w14:paraId="02567125" w14:textId="77777777" w:rsidTr="00A703D8">
        <w:trPr>
          <w:trHeight w:val="1260"/>
          <w:tblHeader/>
        </w:trPr>
        <w:tc>
          <w:tcPr>
            <w:tcW w:w="9401" w:type="dxa"/>
            <w:shd w:val="clear" w:color="auto" w:fill="F3ABA4" w:themeFill="accent6" w:themeFillTint="66"/>
          </w:tcPr>
          <w:p w14:paraId="52D3B2CD" w14:textId="6BBE1A14" w:rsidR="00A95F9A" w:rsidRPr="006B0F86" w:rsidRDefault="008D4D1B" w:rsidP="00A95F9A">
            <w:pPr>
              <w:pStyle w:val="PwCNormal"/>
              <w:numPr>
                <w:ilvl w:val="0"/>
                <w:numId w:val="1"/>
              </w:numPr>
              <w:rPr>
                <w:b/>
              </w:rPr>
            </w:pPr>
            <w:r>
              <w:rPr>
                <w:b/>
              </w:rPr>
              <w:t>Key points</w:t>
            </w:r>
          </w:p>
          <w:p w14:paraId="1E7F53D7" w14:textId="6168766F" w:rsidR="00A95F9A" w:rsidRPr="006B0F86" w:rsidRDefault="00A95F9A" w:rsidP="00A95F9A">
            <w:pPr>
              <w:pStyle w:val="PwCNormal"/>
              <w:numPr>
                <w:ilvl w:val="0"/>
                <w:numId w:val="0"/>
              </w:numPr>
            </w:pPr>
            <w:r w:rsidRPr="006B0F86">
              <w:t>There were 37</w:t>
            </w:r>
            <w:r w:rsidR="001D5C14">
              <w:t>1</w:t>
            </w:r>
            <w:r w:rsidRPr="006B0F86">
              <w:t>,000 people in the Studying class in 2017</w:t>
            </w:r>
            <w:r>
              <w:t>, who were mostly</w:t>
            </w:r>
            <w:r w:rsidRPr="006B0F86">
              <w:t xml:space="preserve"> aged 18 </w:t>
            </w:r>
            <w:r>
              <w:t>to</w:t>
            </w:r>
            <w:r w:rsidRPr="006B0F86">
              <w:t xml:space="preserve"> 30. The majority of </w:t>
            </w:r>
            <w:r>
              <w:t>people in this class</w:t>
            </w:r>
            <w:r w:rsidRPr="006B0F86">
              <w:t xml:space="preserve"> enter the Studying class as their first welfare class, and </w:t>
            </w:r>
            <w:r>
              <w:t xml:space="preserve">go on to </w:t>
            </w:r>
            <w:r w:rsidRPr="006B0F86">
              <w:t xml:space="preserve">either leave the system or move to the Working Age class after finishing </w:t>
            </w:r>
            <w:r>
              <w:t xml:space="preserve">their </w:t>
            </w:r>
            <w:r w:rsidRPr="006B0F86">
              <w:t>stud</w:t>
            </w:r>
            <w:r>
              <w:t>ies</w:t>
            </w:r>
            <w:r w:rsidRPr="006B0F86">
              <w:t>.</w:t>
            </w:r>
          </w:p>
          <w:p w14:paraId="15C03221" w14:textId="7F9477C2" w:rsidR="00A95F9A" w:rsidRPr="006B0F86" w:rsidRDefault="00A95F9A" w:rsidP="00A95F9A">
            <w:pPr>
              <w:pStyle w:val="Bullet1"/>
            </w:pPr>
            <w:r w:rsidRPr="006B0F86">
              <w:t xml:space="preserve">Over the last </w:t>
            </w:r>
            <w:r w:rsidR="00722399">
              <w:t>five</w:t>
            </w:r>
            <w:r w:rsidR="00722399" w:rsidRPr="006B0F86">
              <w:t xml:space="preserve"> </w:t>
            </w:r>
            <w:r w:rsidRPr="006B0F86">
              <w:t xml:space="preserve">years an increasing proportion of individuals </w:t>
            </w:r>
            <w:r>
              <w:t xml:space="preserve">have </w:t>
            </w:r>
            <w:r w:rsidRPr="006B0F86">
              <w:t>exit</w:t>
            </w:r>
            <w:r>
              <w:t>ed</w:t>
            </w:r>
            <w:r w:rsidRPr="006B0F86">
              <w:t xml:space="preserve"> the system rather than </w:t>
            </w:r>
            <w:r>
              <w:t>transitioning</w:t>
            </w:r>
            <w:r w:rsidRPr="006B0F86">
              <w:t xml:space="preserve"> to the Working Age class </w:t>
            </w:r>
            <w:r>
              <w:t>after finishing their studies</w:t>
            </w:r>
            <w:r w:rsidRPr="006B0F86">
              <w:t>.</w:t>
            </w:r>
          </w:p>
          <w:p w14:paraId="094FD95C" w14:textId="77777777" w:rsidR="00A95F9A" w:rsidRPr="006B0F86" w:rsidRDefault="00A95F9A" w:rsidP="00A95F9A">
            <w:pPr>
              <w:pStyle w:val="Bullet1"/>
            </w:pPr>
            <w:r w:rsidRPr="006B0F86">
              <w:t>The replacement of the Student Start-up Scholarship with the Student Start-up Loan has led to lower average payment sizes in 201</w:t>
            </w:r>
            <w:r>
              <w:t>5/1</w:t>
            </w:r>
            <w:r w:rsidRPr="006B0F86">
              <w:t>6 and 201</w:t>
            </w:r>
            <w:r>
              <w:t>6/1</w:t>
            </w:r>
            <w:r w:rsidRPr="006B0F86">
              <w:t>7.</w:t>
            </w:r>
          </w:p>
          <w:p w14:paraId="575248D5" w14:textId="77777777" w:rsidR="00A95F9A" w:rsidRPr="006B0F86" w:rsidRDefault="00A95F9A" w:rsidP="00A95F9A">
            <w:pPr>
              <w:pStyle w:val="Bullet1"/>
            </w:pPr>
            <w:r w:rsidRPr="006B0F86">
              <w:t xml:space="preserve">Students completing higher education </w:t>
            </w:r>
            <w:r>
              <w:t xml:space="preserve">have typically </w:t>
            </w:r>
            <w:r w:rsidRPr="006B0F86">
              <w:t>spen</w:t>
            </w:r>
            <w:r>
              <w:t>t</w:t>
            </w:r>
            <w:r w:rsidRPr="006B0F86">
              <w:t xml:space="preserve"> longer in the Studying class but have </w:t>
            </w:r>
            <w:r>
              <w:t xml:space="preserve">had </w:t>
            </w:r>
            <w:r w:rsidRPr="006B0F86">
              <w:t xml:space="preserve">a higher chance </w:t>
            </w:r>
            <w:r>
              <w:t>of exiting</w:t>
            </w:r>
            <w:r w:rsidRPr="006B0F86">
              <w:t xml:space="preserve"> the </w:t>
            </w:r>
            <w:r>
              <w:t xml:space="preserve">welfare </w:t>
            </w:r>
            <w:r w:rsidRPr="006B0F86">
              <w:t xml:space="preserve">system </w:t>
            </w:r>
            <w:r>
              <w:t xml:space="preserve">completely </w:t>
            </w:r>
            <w:r w:rsidRPr="006B0F86">
              <w:t>upon leaving the class</w:t>
            </w:r>
            <w:r>
              <w:t>,</w:t>
            </w:r>
            <w:r w:rsidRPr="006B0F86">
              <w:t xml:space="preserve"> when compared to secondary school students or vocational education and training students.</w:t>
            </w:r>
          </w:p>
          <w:p w14:paraId="7B7CEB29" w14:textId="0AC0E5E1" w:rsidR="00BF6497" w:rsidRPr="006B0F86" w:rsidRDefault="00A95F9A" w:rsidP="00A95F9A">
            <w:pPr>
              <w:pStyle w:val="ListBullet"/>
            </w:pPr>
            <w:r>
              <w:t>Students whose parents have a more intensive history of welfare use tend to spend longer in the Studying class and have a higher chance of transitioning to another form of income support when leaving the Studying class.</w:t>
            </w:r>
          </w:p>
        </w:tc>
      </w:tr>
    </w:tbl>
    <w:p w14:paraId="58CCC07C" w14:textId="77777777" w:rsidR="00A703D8" w:rsidRPr="001F343E" w:rsidRDefault="00A703D8" w:rsidP="00A703D8">
      <w:pPr>
        <w:pStyle w:val="Heading4"/>
      </w:pPr>
      <w:bookmarkStart w:id="187" w:name="_Toc455503967"/>
      <w:bookmarkStart w:id="188" w:name="_Toc455502435"/>
      <w:bookmarkStart w:id="189" w:name="_Toc455499414"/>
      <w:bookmarkStart w:id="190" w:name="_Toc455502438"/>
      <w:bookmarkStart w:id="191" w:name="_Toc455499417"/>
      <w:bookmarkStart w:id="192" w:name="_Ref466371631"/>
      <w:bookmarkStart w:id="193" w:name="_Ref466420409"/>
      <w:r w:rsidRPr="001F343E">
        <w:t>What does the data tell us about people receiving Studying payments?</w:t>
      </w:r>
      <w:bookmarkEnd w:id="187"/>
      <w:bookmarkEnd w:id="188"/>
      <w:bookmarkEnd w:id="189"/>
    </w:p>
    <w:p w14:paraId="420128AB" w14:textId="112416A0" w:rsidR="00A703D8" w:rsidRDefault="00A703D8" w:rsidP="00A703D8">
      <w:pPr>
        <w:pStyle w:val="PwCNormal"/>
        <w:numPr>
          <w:ilvl w:val="0"/>
          <w:numId w:val="0"/>
        </w:numPr>
      </w:pPr>
      <w:r w:rsidRPr="007B732E">
        <w:t>There were 371,</w:t>
      </w:r>
      <w:r w:rsidR="00B513F7">
        <w:t>000</w:t>
      </w:r>
      <w:r w:rsidR="00B513F7" w:rsidRPr="007B732E">
        <w:t xml:space="preserve"> </w:t>
      </w:r>
      <w:r w:rsidRPr="007B732E">
        <w:t xml:space="preserve">people (4.6% of current welfare recipients) in the Studying class in the 2017 model population. This represents 1.5% of the population of Australia which is a decrease from 1.6% at the previous valuation. </w:t>
      </w:r>
    </w:p>
    <w:p w14:paraId="4181F6DF" w14:textId="77777777" w:rsidR="00A703D8" w:rsidRPr="0057506F" w:rsidRDefault="00A703D8" w:rsidP="00A703D8">
      <w:pPr>
        <w:pStyle w:val="PwCNormal"/>
        <w:numPr>
          <w:ilvl w:val="0"/>
          <w:numId w:val="0"/>
        </w:numPr>
      </w:pPr>
      <w:r w:rsidRPr="007B732E">
        <w:t>The following chart shows a breakdown of the number of people in the Studying class by age, gender and payment type.</w:t>
      </w:r>
    </w:p>
    <w:p w14:paraId="31E89F2E" w14:textId="3084BFE8" w:rsidR="00A703D8" w:rsidRPr="00074B15" w:rsidRDefault="00A703D8" w:rsidP="00A703D8">
      <w:pPr>
        <w:pStyle w:val="Caption"/>
      </w:pPr>
      <w:r w:rsidRPr="00074B15">
        <w:t xml:space="preserve">Figure </w:t>
      </w:r>
      <w:fldSimple w:instr=" SEQ Figure \* ARABIC ">
        <w:r w:rsidR="00C93C1A">
          <w:rPr>
            <w:noProof/>
          </w:rPr>
          <w:t>50</w:t>
        </w:r>
      </w:fldSimple>
      <w:r w:rsidRPr="00074B15">
        <w:t xml:space="preserve">: 2017 profile of people in </w:t>
      </w:r>
      <w:r w:rsidR="00871E70">
        <w:t>c</w:t>
      </w:r>
      <w:r w:rsidRPr="00074B15">
        <w:t>lass 1 – Studying (age/gender/payment type)</w:t>
      </w:r>
      <w:r w:rsidRPr="00074B15">
        <w:rPr>
          <w:b w:val="0"/>
          <w:bCs w:val="0"/>
        </w:rPr>
        <w:t xml:space="preserve"> </w:t>
      </w:r>
    </w:p>
    <w:tbl>
      <w:tblPr>
        <w:tblStyle w:val="Tables-APBase"/>
        <w:tblW w:w="46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386"/>
        <w:gridCol w:w="2889"/>
      </w:tblGrid>
      <w:tr w:rsidR="00A703D8" w:rsidRPr="009210D0" w14:paraId="3898C600" w14:textId="77777777" w:rsidTr="00A703D8">
        <w:trPr>
          <w:trHeight w:val="3402"/>
          <w:tblHeader/>
        </w:trPr>
        <w:tc>
          <w:tcPr>
            <w:tcW w:w="5955" w:type="dxa"/>
            <w:hideMark/>
          </w:tcPr>
          <w:p w14:paraId="442F7D34" w14:textId="6FC30191" w:rsidR="00A703D8" w:rsidRPr="009C7C87" w:rsidRDefault="00A804A0" w:rsidP="00A703D8">
            <w:pPr>
              <w:pStyle w:val="TableTextSmall"/>
              <w:keepNext/>
              <w:rPr>
                <w:lang w:eastAsia="en-AU"/>
              </w:rPr>
            </w:pPr>
            <w:r w:rsidRPr="008B2763">
              <w:rPr>
                <w:noProof/>
                <w:lang w:eastAsia="en-AU"/>
              </w:rPr>
              <w:drawing>
                <wp:inline distT="0" distB="0" distL="0" distR="0" wp14:anchorId="5AA588BC" wp14:editId="0B58C5AE">
                  <wp:extent cx="3502492" cy="2160000"/>
                  <wp:effectExtent l="0" t="0" r="3175" b="0"/>
                  <wp:docPr id="3852" name="Picture 3852" descr="This figure is a horizontal bar chart showing the number of people in the Studying class at Jun17 by age for males and females separately. The vertical axis shows age with the data shown ranging from 12 to 78. The horizontal axis shows the number of people ranging from 0 to 30,000. The number of males at each age are shown by the horizontal bars to the left of the vertical axis and the number of females at each age are shown by horizontal bars to the right.&#10;&#10;The bars for each given age and gender are split into the number of people associated with the following Studying payment types: ABSTUDY, Austudy and Youth Allowance (Studying).&#10;&#10;The chart is based on the 371,000 individuals who were in the studying class at 30 June 2017. &#10;&#10;The highest number of males in the Studying class are seen for those aged 19 - 23. Above these ages, the number of men drops sharply with age. There are around 2000 males aged 30 and less than 100 males at each age between 59 and 64.&#10;&#10;The number of females at each age in the Studying class follows a similar pattern by age as for males.  However, between ages 17 and 25, there are between 1000 and 5,000 more females in each age bucket compared to males. Above age 25, there is a less significant distinction between the number of males and females, but there tends to be more females than males at each age.&#10;&#10;For both males and females aged under 22, the vast majority are recipients of Youth Allowance (Studying) with a small number receiving ABSTUDY. Above age 22, almost all clients receive Austudy.&#10;&#10;The features shown in the chart are discussed further in the accompanying text within the report.&#10;&#10;" title="2017 profile of people in class 1 – Studying (age/gender/payment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502492" cy="2160000"/>
                          </a:xfrm>
                          <a:prstGeom prst="rect">
                            <a:avLst/>
                          </a:prstGeom>
                          <a:noFill/>
                          <a:ln>
                            <a:noFill/>
                          </a:ln>
                        </pic:spPr>
                      </pic:pic>
                    </a:graphicData>
                  </a:graphic>
                </wp:inline>
              </w:drawing>
            </w:r>
          </w:p>
        </w:tc>
        <w:tc>
          <w:tcPr>
            <w:tcW w:w="2694" w:type="dxa"/>
          </w:tcPr>
          <w:p w14:paraId="6CE31765" w14:textId="77777777" w:rsidR="00A703D8" w:rsidRPr="0057506F" w:rsidRDefault="00A703D8" w:rsidP="00A703D8">
            <w:pPr>
              <w:pStyle w:val="TableTextSmall"/>
              <w:keepNext/>
              <w:rPr>
                <w:lang w:eastAsia="en-AU"/>
              </w:rPr>
            </w:pPr>
          </w:p>
          <w:p w14:paraId="5F055FEC" w14:textId="77777777" w:rsidR="00A703D8" w:rsidRPr="0057506F" w:rsidRDefault="00A703D8" w:rsidP="00A703D8">
            <w:pPr>
              <w:pStyle w:val="TableTextSmall"/>
              <w:keepNext/>
              <w:rPr>
                <w:lang w:eastAsia="en-AU"/>
              </w:rPr>
            </w:pPr>
          </w:p>
          <w:p w14:paraId="6C3DBFAB" w14:textId="77777777" w:rsidR="00A703D8" w:rsidRPr="0057506F" w:rsidRDefault="00A703D8" w:rsidP="00A703D8">
            <w:pPr>
              <w:pStyle w:val="TableTextSmall"/>
              <w:keepNext/>
              <w:rPr>
                <w:lang w:eastAsia="en-AU"/>
              </w:rPr>
            </w:pPr>
          </w:p>
          <w:p w14:paraId="17EEE248" w14:textId="77777777" w:rsidR="00A703D8" w:rsidRPr="0057506F" w:rsidRDefault="00A703D8" w:rsidP="00A703D8">
            <w:pPr>
              <w:pStyle w:val="TableTextSmall"/>
              <w:keepNext/>
              <w:rPr>
                <w:lang w:eastAsia="en-AU"/>
              </w:rPr>
            </w:pPr>
            <w:r w:rsidRPr="009C7C87">
              <w:rPr>
                <w:noProof/>
                <w:lang w:eastAsia="en-AU"/>
              </w:rPr>
              <w:drawing>
                <wp:inline distT="0" distB="0" distL="0" distR="0" wp14:anchorId="2AFDD87E" wp14:editId="18F8AD21">
                  <wp:extent cx="1199159" cy="508000"/>
                  <wp:effectExtent l="0" t="0" r="1270" b="6350"/>
                  <wp:docPr id="3090" name="Picture 3090"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5632" t="8661" r="12997" b="63386"/>
                          <a:stretch/>
                        </pic:blipFill>
                        <pic:spPr bwMode="auto">
                          <a:xfrm>
                            <a:off x="0" y="0"/>
                            <a:ext cx="1222383" cy="517839"/>
                          </a:xfrm>
                          <a:prstGeom prst="rect">
                            <a:avLst/>
                          </a:prstGeom>
                          <a:noFill/>
                          <a:ln>
                            <a:noFill/>
                          </a:ln>
                          <a:extLst>
                            <a:ext uri="{53640926-AAD7-44D8-BBD7-CCE9431645EC}">
                              <a14:shadowObscured xmlns:a14="http://schemas.microsoft.com/office/drawing/2010/main"/>
                            </a:ext>
                          </a:extLst>
                        </pic:spPr>
                      </pic:pic>
                    </a:graphicData>
                  </a:graphic>
                </wp:inline>
              </w:drawing>
            </w:r>
          </w:p>
          <w:p w14:paraId="426BB202" w14:textId="77777777" w:rsidR="00A703D8" w:rsidRPr="009210D0" w:rsidRDefault="00A703D8" w:rsidP="00A703D8">
            <w:pPr>
              <w:pStyle w:val="TableTextSmall"/>
              <w:keepNext/>
              <w:rPr>
                <w:highlight w:val="yellow"/>
                <w:lang w:eastAsia="en-AU"/>
              </w:rPr>
            </w:pPr>
          </w:p>
        </w:tc>
      </w:tr>
    </w:tbl>
    <w:p w14:paraId="57F0CE95" w14:textId="77777777" w:rsidR="00A703D8" w:rsidRPr="007B732E" w:rsidRDefault="00A703D8" w:rsidP="00964D65">
      <w:pPr>
        <w:pStyle w:val="PwCNormal"/>
        <w:numPr>
          <w:ilvl w:val="0"/>
          <w:numId w:val="33"/>
        </w:numPr>
      </w:pPr>
      <w:r w:rsidRPr="007B732E">
        <w:t xml:space="preserve">From the chart, we can see that there are a mix of both men and </w:t>
      </w:r>
      <w:r w:rsidRPr="007B732E">
        <w:rPr>
          <w:snapToGrid/>
          <w:lang w:eastAsia="en-AU"/>
        </w:rPr>
        <w:t>women</w:t>
      </w:r>
      <w:r w:rsidRPr="007B732E">
        <w:t xml:space="preserve">, albeit with more </w:t>
      </w:r>
      <w:r w:rsidRPr="007B732E">
        <w:rPr>
          <w:snapToGrid/>
          <w:lang w:eastAsia="en-AU"/>
        </w:rPr>
        <w:t xml:space="preserve">women </w:t>
      </w:r>
      <w:r w:rsidRPr="007B732E">
        <w:t>at younger ages. The people in the class are mostly in the age range 15 to 30, although there are some people receiving these payments at most ages through to retirement age.</w:t>
      </w:r>
    </w:p>
    <w:p w14:paraId="4C320923" w14:textId="27201329" w:rsidR="00A703D8" w:rsidRPr="007B732E" w:rsidRDefault="00A703D8" w:rsidP="00964D65">
      <w:pPr>
        <w:pStyle w:val="PwCNormal"/>
        <w:numPr>
          <w:ilvl w:val="0"/>
          <w:numId w:val="33"/>
        </w:numPr>
      </w:pPr>
      <w:r w:rsidRPr="007B732E">
        <w:lastRenderedPageBreak/>
        <w:t xml:space="preserve">The vast majority of people in the Studying class are on Youth Allowance (if aged up to 24) or Austudy (if over 24 years old). There are a small number of Indigenous </w:t>
      </w:r>
      <w:r w:rsidR="0031733E">
        <w:t>Australians</w:t>
      </w:r>
      <w:r w:rsidR="0031733E" w:rsidRPr="007B732E">
        <w:t xml:space="preserve"> </w:t>
      </w:r>
      <w:r w:rsidRPr="007B732E">
        <w:t>on ABSTUDY across all ages.</w:t>
      </w:r>
    </w:p>
    <w:p w14:paraId="369569D8" w14:textId="77777777" w:rsidR="00A703D8" w:rsidRPr="00266A91" w:rsidRDefault="00A703D8" w:rsidP="00A703D8">
      <w:pPr>
        <w:pStyle w:val="Minorheading"/>
      </w:pPr>
      <w:r w:rsidRPr="00266A91">
        <w:t>Movements into</w:t>
      </w:r>
      <w:r>
        <w:t xml:space="preserve"> and out of</w:t>
      </w:r>
      <w:r w:rsidRPr="00266A91">
        <w:t xml:space="preserve"> this class</w:t>
      </w:r>
    </w:p>
    <w:p w14:paraId="1D0A4D0D" w14:textId="19E46E76" w:rsidR="00A703D8" w:rsidRPr="00A716AE" w:rsidRDefault="00A703D8" w:rsidP="00A703D8">
      <w:pPr>
        <w:pStyle w:val="PwCNormal"/>
        <w:numPr>
          <w:ilvl w:val="0"/>
          <w:numId w:val="1"/>
        </w:numPr>
      </w:pPr>
      <w:r w:rsidRPr="00266A91">
        <w:t xml:space="preserve">Over the last </w:t>
      </w:r>
      <w:r w:rsidR="007A314E">
        <w:t>three</w:t>
      </w:r>
      <w:r w:rsidRPr="00266A91">
        <w:t xml:space="preserve"> years, an average of 140,</w:t>
      </w:r>
      <w:r w:rsidR="002069F7">
        <w:t>6</w:t>
      </w:r>
      <w:r>
        <w:t>00</w:t>
      </w:r>
      <w:r w:rsidRPr="00266A91">
        <w:t xml:space="preserve"> people (around 3</w:t>
      </w:r>
      <w:r>
        <w:t>6</w:t>
      </w:r>
      <w:r w:rsidRPr="00266A91">
        <w:t xml:space="preserve">% of the people in this class) per annum enter this class from another welfare class or from outside the welfare system. </w:t>
      </w:r>
      <w:r w:rsidRPr="00A716AE">
        <w:t>Over this same period</w:t>
      </w:r>
      <w:r w:rsidR="002E4244">
        <w:t>,</w:t>
      </w:r>
      <w:r w:rsidRPr="00A716AE">
        <w:t xml:space="preserve"> an average of </w:t>
      </w:r>
      <w:r w:rsidR="002069F7">
        <w:t>147,7</w:t>
      </w:r>
      <w:r w:rsidRPr="00266A91">
        <w:t>00 people (</w:t>
      </w:r>
      <w:r>
        <w:t xml:space="preserve">around </w:t>
      </w:r>
      <w:r w:rsidRPr="00266A91">
        <w:t>38</w:t>
      </w:r>
      <w:r>
        <w:t>%</w:t>
      </w:r>
      <w:r w:rsidRPr="00A716AE">
        <w:t xml:space="preserve"> of people in this class) per annum have transitioned out of the </w:t>
      </w:r>
      <w:r>
        <w:t>Studying</w:t>
      </w:r>
      <w:r w:rsidRPr="00A716AE">
        <w:t xml:space="preserve"> class.</w:t>
      </w:r>
    </w:p>
    <w:p w14:paraId="2F3AAD70" w14:textId="77777777" w:rsidR="00A703D8" w:rsidRPr="00266A91" w:rsidRDefault="00A703D8" w:rsidP="00A703D8">
      <w:pPr>
        <w:pStyle w:val="PwCNormal"/>
        <w:numPr>
          <w:ilvl w:val="0"/>
          <w:numId w:val="1"/>
        </w:numPr>
      </w:pPr>
      <w:r w:rsidRPr="00A716AE">
        <w:t>The following chart shows the breakdown of these transitions by previous</w:t>
      </w:r>
      <w:r>
        <w:t>/destination class and year of transition.</w:t>
      </w:r>
      <w:r w:rsidRPr="00266A91">
        <w:t xml:space="preserve"> </w:t>
      </w:r>
    </w:p>
    <w:p w14:paraId="791C60A0" w14:textId="148BCC90" w:rsidR="00A703D8" w:rsidRPr="0057506F" w:rsidRDefault="00A703D8" w:rsidP="00A703D8">
      <w:pPr>
        <w:pStyle w:val="Caption"/>
      </w:pPr>
      <w:r w:rsidRPr="00A716AE">
        <w:t xml:space="preserve">Figure </w:t>
      </w:r>
      <w:fldSimple w:instr=" SEQ Figure \* ARABIC ">
        <w:r w:rsidR="00C93C1A">
          <w:rPr>
            <w:noProof/>
          </w:rPr>
          <w:t>51</w:t>
        </w:r>
      </w:fldSimple>
      <w:r w:rsidRPr="00A716AE">
        <w:t>: Number of peo</w:t>
      </w:r>
      <w:r>
        <w:t xml:space="preserve">ple entering and exiting </w:t>
      </w:r>
      <w:r w:rsidR="00871E70">
        <w:t>c</w:t>
      </w:r>
      <w:r>
        <w:t>lass 1</w:t>
      </w:r>
      <w:r w:rsidRPr="00A716AE">
        <w:t xml:space="preserve"> – </w:t>
      </w:r>
      <w:r>
        <w:t>Studying</w:t>
      </w:r>
    </w:p>
    <w:p w14:paraId="50B3CA24" w14:textId="77777777" w:rsidR="00A703D8" w:rsidRPr="0057506F" w:rsidRDefault="00A703D8" w:rsidP="00A703D8">
      <w:r w:rsidRPr="00FB3584">
        <w:rPr>
          <w:noProof/>
          <w:lang w:eastAsia="en-AU"/>
        </w:rPr>
        <w:drawing>
          <wp:inline distT="0" distB="0" distL="0" distR="0" wp14:anchorId="7BEC2E72" wp14:editId="272442F6">
            <wp:extent cx="5832475" cy="2018658"/>
            <wp:effectExtent l="0" t="0" r="0" b="1270"/>
            <wp:docPr id="292" name="Picture 292" descr="This figure is a stacked column chart with ten columns. The vertical axis displays  the number of people ranging from 0 to 200,000. &#10;&#10;The horizontal axis is split into two sections; the first five columns show the numbers of entrants into the Studying class and the second five columns show the number of exits from the Studying class. In each section, the set of five columns represent the last five financial years; 2013, 2014, 2015, 2016 and 2017. &#10;&#10;For the first section, the columns showing the number of entrants into the Studying class for each financial year are split into previous class. These classes include; 2 Working Age, 3 Parents, 4 Carers, 5 Disability Support, 6 Pension Age, 7 Non-IS Family, 8 Non-IS Carer, 9 Non-IS Other, 10 Previous Welfare Recipient, 11 Dead and 12 Rest of the Australian Population. &#10;&#10;The chart shows that the number of entries into Class 1 were; 123,000 in 2013, 145,000 in 2014, 148,000 in 2015, 146,000 in 2016 and 128,000 in 2017. The majority of entrants come from Class 12 Rest of the Australian Population, Class 10 Previous Welfare Recipient or Class 2 Working Age. &#10;&#10;For the second section, the columns showing the number of exits from the Studying class for each financial year are split into destination class. These classes include; 2 Working Age, 3 Parents, 4 Carers, 5 Disability Support, 6 Pension Age, 7 Non-IS Family, 8 Non-IS Carer, 9 Non-IS Other, 10 Previous Welfare Recipient, 11 Dead and 12 Rest of the Australian Population. &#10;&#10;The chart shows that the number of exits out of Class 1 were; 178,000 in 2013, 145,000 in 2014, 145,000 in 2015, 148,000 in 2016 and 151,000 in 2017. The majority of individuals who exit move to Class 2 Working Age or Class 10 Previous Welfare Recipient.&#10;&#10;Further discussion of the key features shown in the chart can be found in the accompanying text within the report. &#10;" title="Number of people entering and exiting class 1 –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32475" cy="2018658"/>
                    </a:xfrm>
                    <a:prstGeom prst="rect">
                      <a:avLst/>
                    </a:prstGeom>
                    <a:noFill/>
                    <a:ln>
                      <a:noFill/>
                    </a:ln>
                  </pic:spPr>
                </pic:pic>
              </a:graphicData>
            </a:graphic>
          </wp:inline>
        </w:drawing>
      </w:r>
    </w:p>
    <w:p w14:paraId="1C5EB633" w14:textId="77777777" w:rsidR="00A703D8" w:rsidRPr="0057506F" w:rsidRDefault="00A703D8" w:rsidP="00A703D8">
      <w:pPr>
        <w:pStyle w:val="PwCNormal"/>
        <w:numPr>
          <w:ilvl w:val="0"/>
          <w:numId w:val="0"/>
        </w:numPr>
        <w:jc w:val="center"/>
      </w:pPr>
      <w:r w:rsidRPr="00FB3584">
        <w:rPr>
          <w:noProof/>
          <w:lang w:eastAsia="en-AU"/>
        </w:rPr>
        <w:drawing>
          <wp:inline distT="0" distB="0" distL="0" distR="0" wp14:anchorId="69EF2EA0" wp14:editId="7F5FDA01">
            <wp:extent cx="5385600" cy="468000"/>
            <wp:effectExtent l="0" t="0" r="0" b="8255"/>
            <wp:docPr id="192" name="Picture 192" descr="Class key: studying, working age, parents, carers, disability support, pension age, non-income support family, non-income support carer, non-income support other, previous welfare recipient, rest of the Australian population and dead. &#10;" title="Class Key for 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78808450" w14:textId="77777777" w:rsidR="00A703D8" w:rsidRDefault="00A703D8" w:rsidP="00A703D8">
      <w:pPr>
        <w:pStyle w:val="PwCNormal"/>
        <w:numPr>
          <w:ilvl w:val="0"/>
          <w:numId w:val="0"/>
        </w:numPr>
      </w:pPr>
      <w:r>
        <w:t>W</w:t>
      </w:r>
      <w:r w:rsidRPr="00266A91">
        <w:t>e can see that most people enter this class directly from outside the welfare system, many of whom have never received welfare payments before. This is not unexpected, given the age profile and nature of benefits in this class. Of the people who enter this class from within the welfare system, most people come from the Working Age class.</w:t>
      </w:r>
    </w:p>
    <w:p w14:paraId="7560DD55" w14:textId="782FE6A4" w:rsidR="00A703D8" w:rsidRDefault="00A703D8" w:rsidP="00964D65">
      <w:pPr>
        <w:pStyle w:val="PwCNormal"/>
        <w:numPr>
          <w:ilvl w:val="0"/>
          <w:numId w:val="33"/>
        </w:numPr>
      </w:pPr>
      <w:r>
        <w:t>P</w:t>
      </w:r>
      <w:r w:rsidRPr="00266A91">
        <w:t xml:space="preserve">eople in this class </w:t>
      </w:r>
      <w:r>
        <w:t xml:space="preserve">also </w:t>
      </w:r>
      <w:r w:rsidRPr="00266A91">
        <w:t xml:space="preserve">show a high level of mobility; </w:t>
      </w:r>
      <w:r w:rsidR="0009637C">
        <w:t>as can be seen by the high numbers of entries and exits relative to the total number of people in the class</w:t>
      </w:r>
      <w:r>
        <w:t xml:space="preserve">. Of those exiting the class, most people generally transition to the Working Age class or </w:t>
      </w:r>
      <w:r w:rsidRPr="00266A91">
        <w:t>transition out of the welfare system.</w:t>
      </w:r>
    </w:p>
    <w:p w14:paraId="2017F1DA" w14:textId="060047FF" w:rsidR="00A703D8" w:rsidRDefault="00A703D8" w:rsidP="00964D65">
      <w:pPr>
        <w:pStyle w:val="PwCNormal"/>
        <w:numPr>
          <w:ilvl w:val="0"/>
          <w:numId w:val="33"/>
        </w:numPr>
      </w:pPr>
      <w:r>
        <w:t xml:space="preserve">Since 2014, entries into the Studying class have increased while exits have reduced. Prior to 2014, families were able to claim Family Tax Benefit (FTB) A for their children up to age 21 provided they were not receiving </w:t>
      </w:r>
      <w:r w:rsidR="00845D12">
        <w:t>Y</w:t>
      </w:r>
      <w:r>
        <w:t xml:space="preserve">outh </w:t>
      </w:r>
      <w:r w:rsidR="00845D12">
        <w:t>A</w:t>
      </w:r>
      <w:r>
        <w:t xml:space="preserve">llowance. In most circumstances families were able to receive higher payments through FTB payments rather than </w:t>
      </w:r>
      <w:r w:rsidR="00845D12">
        <w:t>Youth A</w:t>
      </w:r>
      <w:r>
        <w:t>llowance payments. Since 2014, families were only able to claim FTB A for children up to age 17 who had completed year 12 equivalent and age 19 for children still in secondary study, which has likely caused a higher utilisation of Studying benefits.</w:t>
      </w:r>
    </w:p>
    <w:p w14:paraId="51A6084B" w14:textId="77777777" w:rsidR="00A703D8" w:rsidRPr="00266A91" w:rsidRDefault="00A703D8" w:rsidP="00964D65">
      <w:pPr>
        <w:pStyle w:val="PwCNormal"/>
        <w:numPr>
          <w:ilvl w:val="0"/>
          <w:numId w:val="33"/>
        </w:numPr>
      </w:pPr>
      <w:r>
        <w:t>Entry rates into the Studying class have reduced in 2017 due to lower numbers of people entering from the Working Age and Rest of Population classes, although</w:t>
      </w:r>
      <w:r w:rsidRPr="00224D9E">
        <w:t xml:space="preserve"> </w:t>
      </w:r>
      <w:r>
        <w:t>i</w:t>
      </w:r>
      <w:r w:rsidRPr="009744DF">
        <w:t>t should be noted that the latest year’s data in the chart above will be affected by maturity issues and may be understated.</w:t>
      </w:r>
    </w:p>
    <w:p w14:paraId="699905C0" w14:textId="77777777" w:rsidR="00A703D8" w:rsidRPr="00751FA8" w:rsidRDefault="00A703D8" w:rsidP="00A703D8">
      <w:pPr>
        <w:pStyle w:val="Minorheading"/>
      </w:pPr>
      <w:r w:rsidRPr="00751FA8">
        <w:lastRenderedPageBreak/>
        <w:t>Payments received</w:t>
      </w:r>
    </w:p>
    <w:p w14:paraId="2E7E9528" w14:textId="77777777" w:rsidR="00A703D8" w:rsidRPr="00751FA8" w:rsidRDefault="00A703D8" w:rsidP="00A703D8">
      <w:pPr>
        <w:pStyle w:val="PwCNormal-keepwithnext"/>
        <w:numPr>
          <w:ilvl w:val="0"/>
          <w:numId w:val="1"/>
        </w:numPr>
      </w:pPr>
      <w:r w:rsidRPr="00751FA8">
        <w:t>During 2016/17, people in this class received a total of $3.0 billion. This is 2.7% of the total payments made in 2016/17. The charts below show the average amount paid in a year to each person in this class.</w:t>
      </w:r>
    </w:p>
    <w:p w14:paraId="492CE36B" w14:textId="52335A6C" w:rsidR="00A703D8" w:rsidRPr="00751FA8" w:rsidRDefault="00A703D8" w:rsidP="00A703D8">
      <w:pPr>
        <w:pStyle w:val="Caption"/>
      </w:pPr>
      <w:r w:rsidRPr="00AC6BDE">
        <w:t xml:space="preserve">Figure </w:t>
      </w:r>
      <w:fldSimple w:instr=" SEQ Figure \* ARABIC ">
        <w:r w:rsidR="00C93C1A">
          <w:rPr>
            <w:noProof/>
          </w:rPr>
          <w:t>52</w:t>
        </w:r>
      </w:fldSimple>
      <w:r w:rsidRPr="00AC6BDE">
        <w:t xml:space="preserve">: Average payments per person in </w:t>
      </w:r>
      <w:r w:rsidR="00871E70">
        <w:t>c</w:t>
      </w:r>
      <w:r w:rsidRPr="00AC6BDE">
        <w:t>lass 1 – Studying (restated to 2016/17 $ values)</w:t>
      </w:r>
    </w:p>
    <w:p w14:paraId="5A1D4913" w14:textId="77777777" w:rsidR="00A703D8" w:rsidRPr="0057506F" w:rsidRDefault="00A703D8" w:rsidP="00A703D8">
      <w:pPr>
        <w:pStyle w:val="Caption"/>
      </w:pPr>
      <w:r w:rsidRPr="00284965">
        <w:rPr>
          <w:noProof/>
          <w:lang w:eastAsia="en-AU"/>
        </w:rPr>
        <w:drawing>
          <wp:inline distT="0" distB="0" distL="0" distR="0" wp14:anchorId="0440A7EA" wp14:editId="2B43ED24">
            <wp:extent cx="5832475" cy="1899843"/>
            <wp:effectExtent l="0" t="0" r="0" b="5715"/>
            <wp:docPr id="216" name="Picture 216" descr="This figure is a stacked column chart with ten columns. The vertical axis displays the average payment per person in the Studying Class, ranging from $0 to $10,000.&#10;&#10;The horizontal axis is split into two sections; the first five columns for males and the second five columns for females. Each set of five columns represent the last five financial years; 2013, 2014, 2015, 2016 and 2017. &#10;&#10;In both sections, the columns for each financial year showing total average payment per person are split into the following payment categories; IS studying, IS working age, IS parents, IS carer, IS disability, IS age, IS dependant, Other – FTB, Other –family, Other – new parents, Other – health and disability, Other – carer, Other – study and skills, Other – remote and regional, Other – general allowances, All other and Rent assistance.&#10;&#10;For males the approximate average payment per person in Class 1 was: $8,300 for 2013; $8,600 for 2014; $8,400 for 2015; $8,200 for 2016; and $7,800 for 2017.&#10;&#10;For females the approximate average payment per person in Class 1 was: $8,800 for 2013; $9,000 for 2014; $8,800 for 2015; $8,700 for 2016; and $8,200 for 2017.&#10;&#10;The majority of payments for both males and females were from the IS Studying and Other Study &amp; Skills payment categories.&#10;&#10;The key features of this chart are described in the accompanying text within the report.&#10;" title="Average payments per person in class 1 – Studying (restated to 2016/17 $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32475" cy="1899843"/>
                    </a:xfrm>
                    <a:prstGeom prst="rect">
                      <a:avLst/>
                    </a:prstGeom>
                    <a:noFill/>
                    <a:ln>
                      <a:noFill/>
                    </a:ln>
                  </pic:spPr>
                </pic:pic>
              </a:graphicData>
            </a:graphic>
          </wp:inline>
        </w:drawing>
      </w:r>
    </w:p>
    <w:p w14:paraId="30894980" w14:textId="77777777" w:rsidR="00A703D8" w:rsidRPr="0057506F" w:rsidRDefault="00A703D8" w:rsidP="00A703D8">
      <w:pPr>
        <w:pStyle w:val="PwCNormal"/>
        <w:numPr>
          <w:ilvl w:val="0"/>
          <w:numId w:val="0"/>
        </w:numPr>
        <w:ind w:firstLine="720"/>
      </w:pPr>
      <w:r w:rsidRPr="00284965">
        <w:rPr>
          <w:noProof/>
          <w:lang w:eastAsia="en-AU"/>
        </w:rPr>
        <w:drawing>
          <wp:inline distT="0" distB="0" distL="0" distR="0" wp14:anchorId="3B7AB26C" wp14:editId="4FB5D95B">
            <wp:extent cx="4868545" cy="465455"/>
            <wp:effectExtent l="0" t="0" r="0" b="0"/>
            <wp:docPr id="1083" name="Picture 1083"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for 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68545" cy="465455"/>
                    </a:xfrm>
                    <a:prstGeom prst="rect">
                      <a:avLst/>
                    </a:prstGeom>
                    <a:noFill/>
                    <a:ln>
                      <a:noFill/>
                    </a:ln>
                  </pic:spPr>
                </pic:pic>
              </a:graphicData>
            </a:graphic>
          </wp:inline>
        </w:drawing>
      </w:r>
    </w:p>
    <w:p w14:paraId="1DD5870C" w14:textId="275F2D21" w:rsidR="00A703D8" w:rsidRPr="00751FA8" w:rsidRDefault="00A703D8" w:rsidP="00964D65">
      <w:pPr>
        <w:pStyle w:val="PwCNormal"/>
        <w:numPr>
          <w:ilvl w:val="0"/>
          <w:numId w:val="33"/>
        </w:numPr>
      </w:pPr>
      <w:bookmarkStart w:id="194" w:name="_Toc455503968"/>
      <w:bookmarkStart w:id="195" w:name="_Toc455502436"/>
      <w:bookmarkStart w:id="196" w:name="_Toc455499415"/>
      <w:bookmarkStart w:id="197" w:name="_Toc455503969"/>
      <w:bookmarkStart w:id="198" w:name="_Toc455502437"/>
      <w:bookmarkStart w:id="199" w:name="_Toc455499416"/>
      <w:r w:rsidRPr="00751FA8">
        <w:t>During 2016/17, the average payment made was $8,100</w:t>
      </w:r>
      <w:r>
        <w:t xml:space="preserve"> (compared to $8,</w:t>
      </w:r>
      <w:r w:rsidR="003465C0">
        <w:t>500</w:t>
      </w:r>
      <w:r>
        <w:t xml:space="preserve"> last year)</w:t>
      </w:r>
      <w:r w:rsidRPr="00751FA8">
        <w:t xml:space="preserve"> with slightly higher average payments being made to women as a result of them being more likely to also be claiming FTB and other family payments alongside the main study payment and study supplements.</w:t>
      </w:r>
      <w:r>
        <w:t xml:space="preserve"> </w:t>
      </w:r>
      <w:r w:rsidR="003465C0">
        <w:t xml:space="preserve">This reduction has been largely driven by lower </w:t>
      </w:r>
      <w:r w:rsidR="003465C0" w:rsidRPr="00CB1FB3">
        <w:t>Other Study &amp; Skills</w:t>
      </w:r>
      <w:r w:rsidR="003465C0">
        <w:t xml:space="preserve"> payments, which reduced from $1,200 to $900 over the last year. In particular</w:t>
      </w:r>
      <w:r w:rsidR="002E4244">
        <w:t>,</w:t>
      </w:r>
      <w:r w:rsidR="003465C0">
        <w:t xml:space="preserve"> fewer people in the Studying class have utilised </w:t>
      </w:r>
      <w:r w:rsidR="003465C0" w:rsidRPr="00CB1FB3">
        <w:t>Other Study &amp; Skills</w:t>
      </w:r>
      <w:r w:rsidR="003465C0">
        <w:t xml:space="preserve"> payments since the Student Start-up Scholarship (SSS) was replaced with the Student Start-up Loan (SSL) in January 2016.</w:t>
      </w:r>
    </w:p>
    <w:p w14:paraId="23AA9F25" w14:textId="77777777" w:rsidR="00A703D8" w:rsidRPr="00A22D5B" w:rsidRDefault="00A703D8" w:rsidP="00A703D8">
      <w:pPr>
        <w:pStyle w:val="Heading4"/>
      </w:pPr>
      <w:r w:rsidRPr="00A22D5B">
        <w:t>Changes in model fitting this valuation</w:t>
      </w:r>
      <w:bookmarkEnd w:id="194"/>
      <w:bookmarkEnd w:id="195"/>
      <w:bookmarkEnd w:id="196"/>
    </w:p>
    <w:p w14:paraId="63A8025D" w14:textId="77777777" w:rsidR="00A703D8" w:rsidRDefault="00A703D8" w:rsidP="00964D65">
      <w:pPr>
        <w:pStyle w:val="PwCNormal"/>
        <w:numPr>
          <w:ilvl w:val="0"/>
          <w:numId w:val="33"/>
        </w:numPr>
      </w:pPr>
      <w:r>
        <w:t xml:space="preserve">This year we have enhanced the Studying model assumptions to allow for the intergenerational and education sector variables. Use of welfare by a person’s parents during childhood was seen to be correlated with higher continuance on income support payments, and higher likelihood of remaining on income support after finishing study. </w:t>
      </w:r>
    </w:p>
    <w:p w14:paraId="3F6FA544" w14:textId="772DC060" w:rsidR="00A703D8" w:rsidRDefault="00A703D8" w:rsidP="00964D65">
      <w:pPr>
        <w:pStyle w:val="PwCNormal"/>
        <w:numPr>
          <w:ilvl w:val="0"/>
          <w:numId w:val="33"/>
        </w:numPr>
      </w:pPr>
      <w:r>
        <w:t>Those with an education sector indicating that they were currently undertaking higher education were also seen to be correlated with higher continuance on income support payments. Those currently undertaking vocational education training or secondary education were seen to be correlated with a</w:t>
      </w:r>
      <w:r w:rsidR="002E4244">
        <w:t xml:space="preserve"> higher proportion moving into c</w:t>
      </w:r>
      <w:r>
        <w:t xml:space="preserve">lass </w:t>
      </w:r>
      <w:r w:rsidR="002F0CBF">
        <w:t>‘</w:t>
      </w:r>
      <w:r>
        <w:t>2 Working Age</w:t>
      </w:r>
      <w:r w:rsidR="002F0CBF">
        <w:t>’</w:t>
      </w:r>
      <w:r>
        <w:t xml:space="preserve"> when leaving </w:t>
      </w:r>
      <w:r w:rsidR="002E4244">
        <w:t>c</w:t>
      </w:r>
      <w:r>
        <w:t xml:space="preserve">lass </w:t>
      </w:r>
      <w:r w:rsidR="002F0CBF">
        <w:t>‘</w:t>
      </w:r>
      <w:r>
        <w:t>1 Studying</w:t>
      </w:r>
      <w:r w:rsidR="002F0CBF">
        <w:t>’</w:t>
      </w:r>
      <w:r>
        <w:t xml:space="preserve">. </w:t>
      </w:r>
    </w:p>
    <w:p w14:paraId="392408BB" w14:textId="77777777" w:rsidR="00A703D8" w:rsidRPr="00336CE9" w:rsidRDefault="00A703D8" w:rsidP="00A703D8">
      <w:pPr>
        <w:pStyle w:val="Heading4"/>
      </w:pPr>
      <w:r w:rsidRPr="00336CE9">
        <w:t>What does the model show for people in the Studying class?</w:t>
      </w:r>
      <w:bookmarkEnd w:id="197"/>
      <w:bookmarkEnd w:id="198"/>
      <w:bookmarkEnd w:id="199"/>
    </w:p>
    <w:p w14:paraId="366FBE68" w14:textId="77777777" w:rsidR="00A703D8" w:rsidRPr="00336CE9" w:rsidRDefault="00A703D8" w:rsidP="00A703D8">
      <w:pPr>
        <w:pStyle w:val="Minorheading"/>
      </w:pPr>
      <w:r w:rsidRPr="00336CE9">
        <w:t>Lifetime costs</w:t>
      </w:r>
    </w:p>
    <w:p w14:paraId="33E59261" w14:textId="77777777" w:rsidR="007D6F1D" w:rsidRDefault="007D6F1D" w:rsidP="00964D65">
      <w:pPr>
        <w:pStyle w:val="PwCNormal"/>
        <w:numPr>
          <w:ilvl w:val="0"/>
          <w:numId w:val="33"/>
        </w:numPr>
      </w:pPr>
      <w:bookmarkStart w:id="200" w:name="_Ref466030874"/>
      <w:r w:rsidRPr="00336CE9">
        <w:t xml:space="preserve">We estimated the lifetime cost for the people in this class to be </w:t>
      </w:r>
      <w:r w:rsidRPr="00336CE9">
        <w:rPr>
          <w:b/>
        </w:rPr>
        <w:t>$79bn</w:t>
      </w:r>
      <w:r w:rsidRPr="00336CE9">
        <w:t xml:space="preserve"> (or </w:t>
      </w:r>
      <w:r>
        <w:rPr>
          <w:b/>
        </w:rPr>
        <w:t>1.7</w:t>
      </w:r>
      <w:r w:rsidRPr="00336CE9">
        <w:rPr>
          <w:b/>
        </w:rPr>
        <w:t>%</w:t>
      </w:r>
      <w:r w:rsidRPr="00336CE9">
        <w:t xml:space="preserve"> of the total lifetime cost). The average lifetime cost for people in this class is </w:t>
      </w:r>
      <w:r w:rsidRPr="00336CE9">
        <w:rPr>
          <w:b/>
        </w:rPr>
        <w:t>$212,000</w:t>
      </w:r>
      <w:r w:rsidRPr="00336CE9">
        <w:t xml:space="preserve">. The variation by age and gender </w:t>
      </w:r>
      <w:r>
        <w:t xml:space="preserve">is </w:t>
      </w:r>
      <w:r w:rsidRPr="00336CE9">
        <w:t xml:space="preserve">illustrated in the figure below. </w:t>
      </w:r>
    </w:p>
    <w:p w14:paraId="2C6DE101" w14:textId="1720BE39" w:rsidR="00A703D8" w:rsidRPr="00336CE9" w:rsidRDefault="00A703D8" w:rsidP="00A703D8">
      <w:pPr>
        <w:pStyle w:val="Caption"/>
      </w:pPr>
      <w:r w:rsidRPr="00336CE9">
        <w:lastRenderedPageBreak/>
        <w:t xml:space="preserve">Figure </w:t>
      </w:r>
      <w:fldSimple w:instr=" SEQ Figure \* ARABIC ">
        <w:r w:rsidR="00C93C1A">
          <w:rPr>
            <w:noProof/>
          </w:rPr>
          <w:t>53</w:t>
        </w:r>
      </w:fldSimple>
      <w:bookmarkEnd w:id="200"/>
      <w:r w:rsidRPr="00336CE9">
        <w:t>: Average lifetime cost by age and gender (</w:t>
      </w:r>
      <w:r w:rsidR="00871E70">
        <w:t>c</w:t>
      </w:r>
      <w:r w:rsidRPr="00336CE9">
        <w:t>lass 1)</w:t>
      </w:r>
    </w:p>
    <w:tbl>
      <w:tblPr>
        <w:tblStyle w:val="Tables-APBase"/>
        <w:tblW w:w="512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2 charts"/>
      </w:tblPr>
      <w:tblGrid>
        <w:gridCol w:w="6689"/>
        <w:gridCol w:w="3648"/>
      </w:tblGrid>
      <w:tr w:rsidR="00A703D8" w:rsidRPr="009210D0" w14:paraId="47CA9746" w14:textId="77777777" w:rsidTr="00434D82">
        <w:trPr>
          <w:trHeight w:val="3402"/>
          <w:tblHeader/>
        </w:trPr>
        <w:tc>
          <w:tcPr>
            <w:tcW w:w="6237" w:type="dxa"/>
            <w:hideMark/>
          </w:tcPr>
          <w:p w14:paraId="0E5DA920" w14:textId="50290A1A" w:rsidR="00A703D8" w:rsidRPr="00336CE9" w:rsidRDefault="00434D82" w:rsidP="00A703D8">
            <w:pPr>
              <w:pStyle w:val="TableTextSmall"/>
              <w:keepNext/>
              <w:rPr>
                <w:lang w:eastAsia="en-AU"/>
              </w:rPr>
            </w:pPr>
            <w:r w:rsidRPr="00434D82">
              <w:rPr>
                <w:lang w:eastAsia="en-AU"/>
              </w:rPr>
              <w:t xml:space="preserve"> </w:t>
            </w:r>
            <w:r w:rsidRPr="00434D82">
              <w:rPr>
                <w:noProof/>
                <w:lang w:eastAsia="en-AU"/>
              </w:rPr>
              <w:drawing>
                <wp:inline distT="0" distB="0" distL="0" distR="0" wp14:anchorId="02FCCFF3" wp14:editId="4127B238">
                  <wp:extent cx="3724664" cy="2160000"/>
                  <wp:effectExtent l="0" t="0" r="0" b="0"/>
                  <wp:docPr id="8" name="Picture 8" descr="This figure is a horizontal bar chart showing average lifetime cost by age for males and females separately. The vertical axis shows age with the data shown ranging from 16 to 61. The horizontal axis shows the average lifetime cost with the data shown ranging from $0 to $5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 IS disability, IS age, IS dependent, Other – FTB, Other –family, Other – new parents, Other – health and disability, Other – carer, Other – study and skills, Other – remote and regional, Other – general allowances, All other and Rent assistance.&#10;&#10;The chart is based on the 371,000 individuals who were in the studying class at 30 June 2017 but includes only those age groups containing at least 100 individuals.&#10;&#10;For males, the highest average lifetime costs (of approximately $270,000) are seen for people aged 50 and over. The average lifetime cost then drops down steadily with age to approximately $155,000 for men aged 20 to 24. Average cost then increases sharply for men aged 16. &#10;&#10;The average lifetime cost for females is approximately $70,000 more than males for ages 16 to 40 which is largely due to the FTB component being higher for females. Across these ages, the average lifetime cost for females has smaller working age and disability support components than males however the parenting and carer components are larger. Above age 40, females have a higher average lifetime cost than males, largely due to a higher larger age pension component. The average lifetime cost of females aged 60 is approximately $320,000.&#10;&#10;The features shown in the chart are discussed further in the accompanying text within the report.&#10;" title="Average lifetime cost by age and gender (cla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724664" cy="2160000"/>
                          </a:xfrm>
                          <a:prstGeom prst="rect">
                            <a:avLst/>
                          </a:prstGeom>
                          <a:noFill/>
                          <a:ln>
                            <a:noFill/>
                          </a:ln>
                        </pic:spPr>
                      </pic:pic>
                    </a:graphicData>
                  </a:graphic>
                </wp:inline>
              </w:drawing>
            </w:r>
          </w:p>
        </w:tc>
        <w:tc>
          <w:tcPr>
            <w:tcW w:w="3402" w:type="dxa"/>
          </w:tcPr>
          <w:p w14:paraId="3A2DE839" w14:textId="77777777" w:rsidR="00A703D8" w:rsidRPr="00336CE9" w:rsidRDefault="00A703D8" w:rsidP="00A703D8">
            <w:pPr>
              <w:pStyle w:val="TableTextSmall"/>
              <w:keepNext/>
              <w:rPr>
                <w:lang w:eastAsia="en-AU"/>
              </w:rPr>
            </w:pPr>
          </w:p>
          <w:p w14:paraId="0E32A402" w14:textId="77777777" w:rsidR="00A703D8" w:rsidRPr="00336CE9" w:rsidRDefault="00A703D8" w:rsidP="00A703D8">
            <w:pPr>
              <w:pStyle w:val="TableTextSmall"/>
              <w:keepNext/>
              <w:rPr>
                <w:lang w:eastAsia="en-AU"/>
              </w:rPr>
            </w:pPr>
            <w:r w:rsidRPr="00336CE9">
              <w:rPr>
                <w:noProof/>
                <w:lang w:eastAsia="en-AU"/>
              </w:rPr>
              <w:drawing>
                <wp:inline distT="0" distB="0" distL="0" distR="0" wp14:anchorId="55DF2F8A" wp14:editId="5605E009">
                  <wp:extent cx="1082771" cy="1620000"/>
                  <wp:effectExtent l="0" t="0" r="0" b="0"/>
                  <wp:docPr id="1063" name="Picture 1063"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2771" cy="1620000"/>
                          </a:xfrm>
                          <a:prstGeom prst="rect">
                            <a:avLst/>
                          </a:prstGeom>
                          <a:noFill/>
                          <a:ln>
                            <a:noFill/>
                          </a:ln>
                        </pic:spPr>
                      </pic:pic>
                    </a:graphicData>
                  </a:graphic>
                </wp:inline>
              </w:drawing>
            </w:r>
          </w:p>
        </w:tc>
      </w:tr>
    </w:tbl>
    <w:p w14:paraId="421A3B43" w14:textId="77777777" w:rsidR="00A703D8" w:rsidRPr="00EE238B" w:rsidRDefault="00A703D8" w:rsidP="00964D65">
      <w:pPr>
        <w:pStyle w:val="PwCNormal"/>
        <w:numPr>
          <w:ilvl w:val="0"/>
          <w:numId w:val="33"/>
        </w:numPr>
      </w:pPr>
      <w:r w:rsidRPr="00EE238B">
        <w:t>This is the lowest average lifetime cost of the pre-retirement income support classes, despite the people in this class generally being younger and thus having a longer future lifetime.</w:t>
      </w:r>
    </w:p>
    <w:p w14:paraId="03604339" w14:textId="77777777" w:rsidR="00A703D8" w:rsidRPr="00EE238B" w:rsidRDefault="00A703D8" w:rsidP="00A703D8">
      <w:pPr>
        <w:pStyle w:val="PwCNormal"/>
        <w:numPr>
          <w:ilvl w:val="0"/>
          <w:numId w:val="0"/>
        </w:numPr>
      </w:pPr>
      <w:r w:rsidRPr="00EE238B">
        <w:t>We can see that the most substantial part of this cost is for the age pension. This component of the average lifetime cost is lower for younger people as their time of retirement is further away and because younger people are more likely to exit and may later draw a lower level of age pension.</w:t>
      </w:r>
    </w:p>
    <w:p w14:paraId="1EFF98EE" w14:textId="72BE1CE9" w:rsidR="00A703D8" w:rsidRPr="00EE238B" w:rsidRDefault="00A703D8" w:rsidP="00A703D8">
      <w:pPr>
        <w:pStyle w:val="PwCNormal"/>
        <w:numPr>
          <w:ilvl w:val="0"/>
          <w:numId w:val="0"/>
        </w:numPr>
      </w:pPr>
      <w:r w:rsidRPr="00EE238B">
        <w:t xml:space="preserve">The next most apparent feature is the difference between the average lifetime costs for men and women. Women have higher costs through most of the age range as they are more likely to receive FTB or other family payments. For both men and women there are additional cost components for all the main income support payment types reflecting the probability of people moving from the current Studying class onto these payments. There are some differences between the genders, in particular reflecting the differential chances of moving onto </w:t>
      </w:r>
      <w:r w:rsidR="0070204F">
        <w:t>P</w:t>
      </w:r>
      <w:r w:rsidRPr="00EE238B">
        <w:t xml:space="preserve">arenting payments versus </w:t>
      </w:r>
      <w:r w:rsidR="0070204F">
        <w:t>W</w:t>
      </w:r>
      <w:r w:rsidRPr="00EE238B">
        <w:t xml:space="preserve">orking </w:t>
      </w:r>
      <w:r w:rsidR="0070204F">
        <w:t>A</w:t>
      </w:r>
      <w:r w:rsidRPr="00EE238B">
        <w:t>ge payments.</w:t>
      </w:r>
    </w:p>
    <w:p w14:paraId="4BA1FB4B" w14:textId="50182C3A" w:rsidR="000E7587" w:rsidRDefault="000E7587" w:rsidP="001B78F7">
      <w:pPr>
        <w:pStyle w:val="PwCNormal"/>
        <w:numPr>
          <w:ilvl w:val="0"/>
          <w:numId w:val="0"/>
        </w:numPr>
      </w:pPr>
      <w:r w:rsidRPr="001B78F7">
        <w:t xml:space="preserve">To further explore differences in the average lifetime costs for people within class 1, we have prepared the table below, which shows the average lifetime cost for </w:t>
      </w:r>
      <w:r w:rsidR="00E133E7" w:rsidRPr="001B78F7">
        <w:t>18</w:t>
      </w:r>
      <w:r w:rsidR="00710E45" w:rsidRPr="001B78F7">
        <w:t xml:space="preserve"> to </w:t>
      </w:r>
      <w:r w:rsidRPr="001B78F7">
        <w:t>2</w:t>
      </w:r>
      <w:r w:rsidR="00E133E7" w:rsidRPr="001B78F7">
        <w:t>5</w:t>
      </w:r>
      <w:r w:rsidRPr="001B78F7">
        <w:t xml:space="preserve"> year olds currently receiving studying payments, split by key characteristics. We have selected a </w:t>
      </w:r>
      <w:r w:rsidR="000131CD">
        <w:t xml:space="preserve">set </w:t>
      </w:r>
      <w:r w:rsidRPr="001B78F7">
        <w:t>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w:t>
      </w:r>
      <w:r w:rsidR="00003814">
        <w:t xml:space="preserve"> Further, the variations and relativities to the average lifetime cost that have been shown may differ for other age bands.</w:t>
      </w:r>
    </w:p>
    <w:p w14:paraId="20324138" w14:textId="7EBE1647" w:rsidR="000E7587" w:rsidRPr="003719FC" w:rsidRDefault="000E7587" w:rsidP="000E7587">
      <w:pPr>
        <w:pStyle w:val="Caption"/>
      </w:pPr>
      <w:r w:rsidRPr="003719FC">
        <w:lastRenderedPageBreak/>
        <w:t xml:space="preserve">Table </w:t>
      </w:r>
      <w:fldSimple w:instr=" SEQ Table \* ARABIC ">
        <w:r w:rsidR="00C93C1A">
          <w:rPr>
            <w:noProof/>
          </w:rPr>
          <w:t>21</w:t>
        </w:r>
      </w:fldSimple>
      <w:r w:rsidRPr="003719FC">
        <w:t xml:space="preserve">: </w:t>
      </w:r>
      <w:r>
        <w:t xml:space="preserve">Average lifetime cost for </w:t>
      </w:r>
      <w:r w:rsidR="00E133E7">
        <w:t>18</w:t>
      </w:r>
      <w:r w:rsidR="00710E45">
        <w:t xml:space="preserve"> to </w:t>
      </w:r>
      <w:r>
        <w:t>2</w:t>
      </w:r>
      <w:r w:rsidR="00E133E7">
        <w:t>5</w:t>
      </w:r>
      <w:r>
        <w:t xml:space="preserve"> year old studying payment recipients split by key characteristics</w:t>
      </w:r>
    </w:p>
    <w:tbl>
      <w:tblPr>
        <w:tblStyle w:val="ListTable3-Accent61"/>
        <w:tblW w:w="9781" w:type="dxa"/>
        <w:tblInd w:w="108" w:type="dxa"/>
        <w:tblLayout w:type="fixed"/>
        <w:tblLook w:val="04A0" w:firstRow="1" w:lastRow="0" w:firstColumn="1" w:lastColumn="0" w:noHBand="0" w:noVBand="1"/>
        <w:tblCaption w:val="Average lifetime cost for 18 to 25 year old studying payment recipients split by key characteristics"/>
        <w:tblDescription w:val="This table displays data for average lifetime costs of 18 to 25 year olds on studying payments by key characteristics. The columns show the number of people, number of people as % of cohort, average lifetime cost, and average lifetime cost relative to the whole cohort. The rows show data for six different key characteristics, education sector, education hierarchy, earnings, payment type, level of parental welfare dependence, and indigenous status. This is further divided by their respective categories. &#10;&#10;Further features of the data in this table are discussed in the accompanying text within the report.&#10;"/>
      </w:tblPr>
      <w:tblGrid>
        <w:gridCol w:w="3828"/>
        <w:gridCol w:w="1134"/>
        <w:gridCol w:w="1606"/>
        <w:gridCol w:w="1606"/>
        <w:gridCol w:w="1607"/>
      </w:tblGrid>
      <w:tr w:rsidR="000E7587" w:rsidRPr="00660D81" w14:paraId="491D603F" w14:textId="77777777" w:rsidTr="00E42ACF">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100" w:firstRow="0" w:lastRow="0" w:firstColumn="1" w:lastColumn="0" w:oddVBand="0" w:evenVBand="0" w:oddHBand="0" w:evenHBand="0" w:firstRowFirstColumn="1" w:firstRowLastColumn="0" w:lastRowFirstColumn="0" w:lastRowLastColumn="0"/>
            <w:tcW w:w="3828" w:type="dxa"/>
            <w:tcBorders>
              <w:bottom w:val="single" w:sz="4" w:space="0" w:color="E0301E" w:themeColor="accent6"/>
            </w:tcBorders>
            <w:noWrap/>
            <w:hideMark/>
          </w:tcPr>
          <w:p w14:paraId="42FCB412" w14:textId="77777777" w:rsidR="000E7587" w:rsidRPr="00660D81" w:rsidRDefault="000E7587" w:rsidP="00FD7158">
            <w:pPr>
              <w:pStyle w:val="TableTextSmall"/>
              <w:keepNext/>
              <w:rPr>
                <w:rFonts w:asciiTheme="majorHAnsi" w:hAnsiTheme="majorHAnsi"/>
                <w:bCs w:val="0"/>
                <w:color w:val="FFFFFF" w:themeColor="background1"/>
                <w:lang w:eastAsia="en-AU"/>
              </w:rPr>
            </w:pPr>
          </w:p>
        </w:tc>
        <w:tc>
          <w:tcPr>
            <w:tcW w:w="1134" w:type="dxa"/>
            <w:tcBorders>
              <w:bottom w:val="single" w:sz="4" w:space="0" w:color="E0301E" w:themeColor="accent6"/>
            </w:tcBorders>
            <w:noWrap/>
            <w:hideMark/>
          </w:tcPr>
          <w:p w14:paraId="7394EF40" w14:textId="77777777" w:rsidR="000E7587" w:rsidRPr="005D3A6D" w:rsidRDefault="000E7587" w:rsidP="00FD7158">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5D3A6D">
              <w:rPr>
                <w:rFonts w:ascii="Arial" w:hAnsi="Arial"/>
                <w:color w:val="FFFFFF"/>
                <w:szCs w:val="16"/>
              </w:rPr>
              <w:t>Number of people</w:t>
            </w:r>
          </w:p>
        </w:tc>
        <w:tc>
          <w:tcPr>
            <w:tcW w:w="1606" w:type="dxa"/>
            <w:tcBorders>
              <w:bottom w:val="single" w:sz="4" w:space="0" w:color="E0301E" w:themeColor="accent6"/>
            </w:tcBorders>
            <w:hideMark/>
          </w:tcPr>
          <w:p w14:paraId="33AB6CDA" w14:textId="77777777" w:rsidR="000E7587" w:rsidRPr="005D3A6D" w:rsidRDefault="000E7587" w:rsidP="00FD7158">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5D3A6D">
              <w:rPr>
                <w:rFonts w:ascii="Arial" w:hAnsi="Arial"/>
                <w:color w:val="FFFFFF"/>
                <w:szCs w:val="16"/>
              </w:rPr>
              <w:t>Number of people as % of cohort</w:t>
            </w:r>
          </w:p>
        </w:tc>
        <w:tc>
          <w:tcPr>
            <w:tcW w:w="1606" w:type="dxa"/>
            <w:tcBorders>
              <w:bottom w:val="single" w:sz="4" w:space="0" w:color="E0301E" w:themeColor="accent6"/>
            </w:tcBorders>
            <w:hideMark/>
          </w:tcPr>
          <w:p w14:paraId="527BB1C0" w14:textId="77777777" w:rsidR="000E7587" w:rsidRPr="005D3A6D" w:rsidRDefault="000E7587" w:rsidP="00FD7158">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5D3A6D">
              <w:rPr>
                <w:rFonts w:ascii="Arial" w:hAnsi="Arial"/>
                <w:color w:val="FFFFFF"/>
                <w:szCs w:val="16"/>
              </w:rPr>
              <w:t>Average lifetime cost</w:t>
            </w:r>
            <w:r>
              <w:rPr>
                <w:rFonts w:ascii="Arial" w:hAnsi="Arial"/>
                <w:color w:val="FFFFFF"/>
                <w:szCs w:val="16"/>
              </w:rPr>
              <w:t xml:space="preserve"> ($)</w:t>
            </w:r>
          </w:p>
        </w:tc>
        <w:tc>
          <w:tcPr>
            <w:tcW w:w="1607" w:type="dxa"/>
            <w:tcBorders>
              <w:bottom w:val="single" w:sz="4" w:space="0" w:color="E0301E" w:themeColor="accent6"/>
            </w:tcBorders>
          </w:tcPr>
          <w:p w14:paraId="6E5EE252" w14:textId="77777777" w:rsidR="000E7587" w:rsidRPr="005D3A6D" w:rsidRDefault="000E7587" w:rsidP="00FD7158">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5D3A6D">
              <w:rPr>
                <w:rFonts w:ascii="Arial" w:hAnsi="Arial"/>
                <w:color w:val="FFFFFF"/>
                <w:szCs w:val="16"/>
              </w:rPr>
              <w:t>Average lifetime cost relative to cohort</w:t>
            </w:r>
          </w:p>
        </w:tc>
      </w:tr>
      <w:tr w:rsidR="0069611A" w:rsidRPr="00660D81" w14:paraId="38855120"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shd w:val="clear" w:color="auto" w:fill="F7DCE1" w:themeFill="accent4" w:themeFillTint="33"/>
            <w:noWrap/>
            <w:vAlign w:val="bottom"/>
            <w:hideMark/>
          </w:tcPr>
          <w:p w14:paraId="07021F7E" w14:textId="4D9EE203" w:rsidR="0069611A" w:rsidRPr="00781FA5" w:rsidRDefault="0069611A" w:rsidP="0069611A">
            <w:pPr>
              <w:pStyle w:val="TableTextSmall"/>
              <w:keepNext/>
              <w:rPr>
                <w:rFonts w:asciiTheme="majorHAnsi" w:hAnsiTheme="majorHAnsi"/>
                <w:bCs w:val="0"/>
                <w:color w:val="595959" w:themeColor="text1" w:themeTint="A6"/>
                <w:lang w:eastAsia="en-AU"/>
              </w:rPr>
            </w:pPr>
            <w:r w:rsidRPr="00781FA5">
              <w:rPr>
                <w:rFonts w:ascii="Arial" w:hAnsi="Arial"/>
                <w:color w:val="595959"/>
                <w:szCs w:val="16"/>
              </w:rPr>
              <w:t>Total</w:t>
            </w:r>
          </w:p>
        </w:tc>
        <w:tc>
          <w:tcPr>
            <w:tcW w:w="1134" w:type="dxa"/>
            <w:shd w:val="clear" w:color="auto" w:fill="F7DCE1" w:themeFill="accent4" w:themeFillTint="33"/>
            <w:noWrap/>
            <w:vAlign w:val="bottom"/>
            <w:hideMark/>
          </w:tcPr>
          <w:p w14:paraId="777EC6A3" w14:textId="63516701" w:rsidR="0069611A" w:rsidRPr="005D3A6D"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285,000</w:t>
            </w:r>
          </w:p>
        </w:tc>
        <w:tc>
          <w:tcPr>
            <w:tcW w:w="1606" w:type="dxa"/>
            <w:shd w:val="clear" w:color="auto" w:fill="F7DCE1" w:themeFill="accent4" w:themeFillTint="33"/>
            <w:noWrap/>
            <w:vAlign w:val="bottom"/>
            <w:hideMark/>
          </w:tcPr>
          <w:p w14:paraId="55975F50" w14:textId="44E96A01" w:rsidR="0069611A" w:rsidRPr="00660D81"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c>
          <w:tcPr>
            <w:tcW w:w="1606" w:type="dxa"/>
            <w:shd w:val="clear" w:color="auto" w:fill="F7DCE1" w:themeFill="accent4" w:themeFillTint="33"/>
            <w:noWrap/>
            <w:vAlign w:val="bottom"/>
          </w:tcPr>
          <w:p w14:paraId="2B3062E5" w14:textId="5D699BB3" w:rsidR="0069611A" w:rsidRPr="00660D81"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204,000</w:t>
            </w:r>
          </w:p>
        </w:tc>
        <w:tc>
          <w:tcPr>
            <w:tcW w:w="1607" w:type="dxa"/>
            <w:shd w:val="clear" w:color="auto" w:fill="F7DCE1" w:themeFill="accent4" w:themeFillTint="33"/>
            <w:vAlign w:val="bottom"/>
          </w:tcPr>
          <w:p w14:paraId="7A4EB511" w14:textId="3787103F" w:rsidR="0069611A" w:rsidRPr="00660D81"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r>
      <w:tr w:rsidR="0069611A" w:rsidRPr="00660D81" w14:paraId="5194F117" w14:textId="77777777" w:rsidTr="0069611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bottom w:val="nil"/>
            </w:tcBorders>
            <w:noWrap/>
            <w:vAlign w:val="bottom"/>
            <w:hideMark/>
          </w:tcPr>
          <w:p w14:paraId="6D860D84" w14:textId="2193F060" w:rsidR="0069611A" w:rsidRPr="00781FA5" w:rsidRDefault="0069611A" w:rsidP="0069611A">
            <w:pPr>
              <w:pStyle w:val="TableTextSmall"/>
              <w:keepNext/>
              <w:rPr>
                <w:rFonts w:asciiTheme="majorHAnsi" w:hAnsiTheme="majorHAnsi"/>
                <w:bCs w:val="0"/>
                <w:i/>
                <w:color w:val="595959" w:themeColor="text1" w:themeTint="A6"/>
                <w:lang w:eastAsia="en-AU"/>
              </w:rPr>
            </w:pPr>
            <w:r w:rsidRPr="00781FA5">
              <w:rPr>
                <w:rFonts w:ascii="Arial" w:hAnsi="Arial"/>
                <w:color w:val="595959"/>
                <w:szCs w:val="16"/>
              </w:rPr>
              <w:t>Education sector</w:t>
            </w:r>
          </w:p>
        </w:tc>
        <w:tc>
          <w:tcPr>
            <w:tcW w:w="1134" w:type="dxa"/>
            <w:tcBorders>
              <w:top w:val="single" w:sz="4" w:space="0" w:color="E0301E" w:themeColor="accent6"/>
              <w:bottom w:val="nil"/>
            </w:tcBorders>
            <w:shd w:val="clear" w:color="auto" w:fill="auto"/>
            <w:noWrap/>
            <w:vAlign w:val="bottom"/>
            <w:hideMark/>
          </w:tcPr>
          <w:p w14:paraId="4AC17970" w14:textId="77777777" w:rsidR="0069611A" w:rsidRPr="005D3A6D"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p>
        </w:tc>
        <w:tc>
          <w:tcPr>
            <w:tcW w:w="1606" w:type="dxa"/>
            <w:tcBorders>
              <w:top w:val="single" w:sz="4" w:space="0" w:color="E0301E" w:themeColor="accent6"/>
              <w:bottom w:val="nil"/>
            </w:tcBorders>
            <w:noWrap/>
            <w:vAlign w:val="bottom"/>
            <w:hideMark/>
          </w:tcPr>
          <w:p w14:paraId="7B5C9A85" w14:textId="77777777" w:rsidR="0069611A" w:rsidRPr="00660D81"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6" w:type="dxa"/>
            <w:tcBorders>
              <w:top w:val="single" w:sz="4" w:space="0" w:color="E0301E" w:themeColor="accent6"/>
              <w:bottom w:val="nil"/>
            </w:tcBorders>
            <w:noWrap/>
            <w:vAlign w:val="bottom"/>
          </w:tcPr>
          <w:p w14:paraId="2AA0E28B" w14:textId="77777777" w:rsidR="0069611A" w:rsidRPr="00660D81"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7" w:type="dxa"/>
            <w:tcBorders>
              <w:top w:val="single" w:sz="4" w:space="0" w:color="E0301E" w:themeColor="accent6"/>
              <w:bottom w:val="nil"/>
            </w:tcBorders>
            <w:vAlign w:val="bottom"/>
          </w:tcPr>
          <w:p w14:paraId="791FBCA5" w14:textId="77777777" w:rsidR="0069611A" w:rsidRPr="00660D81"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r>
      <w:tr w:rsidR="0069611A" w:rsidRPr="00660D81" w14:paraId="5C9D4C45"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hideMark/>
          </w:tcPr>
          <w:p w14:paraId="59F1CF9A" w14:textId="43794A3F" w:rsidR="0069611A" w:rsidRPr="00781FA5" w:rsidRDefault="0069611A" w:rsidP="0069611A">
            <w:pPr>
              <w:pStyle w:val="TableTextSmall"/>
              <w:keepNext/>
              <w:rPr>
                <w:rFonts w:asciiTheme="majorHAnsi" w:hAnsiTheme="majorHAnsi"/>
                <w:b w:val="0"/>
                <w:bCs w:val="0"/>
                <w:i/>
                <w:color w:val="595959" w:themeColor="text1" w:themeTint="A6"/>
                <w:lang w:eastAsia="en-AU"/>
              </w:rPr>
            </w:pPr>
            <w:r w:rsidRPr="00781FA5">
              <w:rPr>
                <w:rFonts w:ascii="Arial" w:hAnsi="Arial"/>
                <w:i/>
                <w:iCs/>
                <w:color w:val="595959"/>
                <w:szCs w:val="16"/>
              </w:rPr>
              <w:t xml:space="preserve">    - Higher education</w:t>
            </w:r>
          </w:p>
        </w:tc>
        <w:tc>
          <w:tcPr>
            <w:tcW w:w="1134" w:type="dxa"/>
            <w:tcBorders>
              <w:top w:val="nil"/>
              <w:bottom w:val="nil"/>
            </w:tcBorders>
            <w:shd w:val="clear" w:color="auto" w:fill="auto"/>
            <w:noWrap/>
            <w:vAlign w:val="bottom"/>
            <w:hideMark/>
          </w:tcPr>
          <w:p w14:paraId="2CB63564" w14:textId="1F2235A5" w:rsidR="0069611A" w:rsidRPr="005D3A6D"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lang w:eastAsia="en-AU"/>
              </w:rPr>
            </w:pPr>
            <w:r>
              <w:rPr>
                <w:rFonts w:ascii="Arial" w:hAnsi="Arial"/>
                <w:color w:val="595959"/>
                <w:szCs w:val="16"/>
              </w:rPr>
              <w:t>237,000</w:t>
            </w:r>
          </w:p>
        </w:tc>
        <w:tc>
          <w:tcPr>
            <w:tcW w:w="1606" w:type="dxa"/>
            <w:tcBorders>
              <w:top w:val="nil"/>
              <w:bottom w:val="nil"/>
            </w:tcBorders>
            <w:noWrap/>
            <w:vAlign w:val="bottom"/>
            <w:hideMark/>
          </w:tcPr>
          <w:p w14:paraId="652B0D20" w14:textId="7E70BDD9" w:rsidR="0069611A" w:rsidRPr="00660D81"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84%</w:t>
            </w:r>
          </w:p>
        </w:tc>
        <w:tc>
          <w:tcPr>
            <w:tcW w:w="1606" w:type="dxa"/>
            <w:tcBorders>
              <w:top w:val="nil"/>
              <w:bottom w:val="nil"/>
            </w:tcBorders>
            <w:noWrap/>
            <w:vAlign w:val="bottom"/>
          </w:tcPr>
          <w:p w14:paraId="3FA36F9F" w14:textId="53872225" w:rsidR="0069611A" w:rsidRPr="00660D81"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198,000</w:t>
            </w:r>
          </w:p>
        </w:tc>
        <w:tc>
          <w:tcPr>
            <w:tcW w:w="1607" w:type="dxa"/>
            <w:tcBorders>
              <w:top w:val="nil"/>
              <w:bottom w:val="nil"/>
            </w:tcBorders>
            <w:vAlign w:val="bottom"/>
          </w:tcPr>
          <w:p w14:paraId="7BFE0F49" w14:textId="0235B671" w:rsidR="0069611A" w:rsidRPr="00660D81"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97%</w:t>
            </w:r>
          </w:p>
        </w:tc>
      </w:tr>
      <w:tr w:rsidR="0069611A" w:rsidRPr="00660D81" w14:paraId="560914AB" w14:textId="77777777" w:rsidTr="0069611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hideMark/>
          </w:tcPr>
          <w:p w14:paraId="1983CA83" w14:textId="443DC576" w:rsidR="0069611A" w:rsidRPr="00781FA5" w:rsidRDefault="0069611A" w:rsidP="0069611A">
            <w:pPr>
              <w:pStyle w:val="TableTextSmall"/>
              <w:keepNext/>
              <w:rPr>
                <w:rFonts w:asciiTheme="majorHAnsi" w:hAnsiTheme="majorHAnsi"/>
                <w:b w:val="0"/>
                <w:bCs w:val="0"/>
                <w:i/>
                <w:color w:val="595959" w:themeColor="text1" w:themeTint="A6"/>
                <w:lang w:eastAsia="en-AU"/>
              </w:rPr>
            </w:pPr>
            <w:r w:rsidRPr="00781FA5">
              <w:rPr>
                <w:rFonts w:ascii="Arial" w:hAnsi="Arial"/>
                <w:i/>
                <w:iCs/>
                <w:color w:val="595959"/>
                <w:szCs w:val="16"/>
              </w:rPr>
              <w:t xml:space="preserve">    - School</w:t>
            </w:r>
          </w:p>
        </w:tc>
        <w:tc>
          <w:tcPr>
            <w:tcW w:w="1134" w:type="dxa"/>
            <w:tcBorders>
              <w:top w:val="nil"/>
              <w:bottom w:val="nil"/>
            </w:tcBorders>
            <w:shd w:val="clear" w:color="auto" w:fill="auto"/>
            <w:noWrap/>
            <w:vAlign w:val="bottom"/>
            <w:hideMark/>
          </w:tcPr>
          <w:p w14:paraId="6FFCB617" w14:textId="10CD0F12" w:rsidR="0069611A" w:rsidRPr="005D3A6D"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r>
              <w:rPr>
                <w:rFonts w:ascii="Arial" w:hAnsi="Arial"/>
                <w:color w:val="595959"/>
                <w:szCs w:val="16"/>
              </w:rPr>
              <w:t>9,000</w:t>
            </w:r>
          </w:p>
        </w:tc>
        <w:tc>
          <w:tcPr>
            <w:tcW w:w="1606" w:type="dxa"/>
            <w:tcBorders>
              <w:top w:val="nil"/>
              <w:bottom w:val="nil"/>
            </w:tcBorders>
            <w:noWrap/>
            <w:vAlign w:val="bottom"/>
            <w:hideMark/>
          </w:tcPr>
          <w:p w14:paraId="4CE27A87" w14:textId="25C7D8CB" w:rsidR="0069611A" w:rsidRPr="00660D81"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color w:val="595959"/>
                <w:szCs w:val="16"/>
              </w:rPr>
              <w:t>3%</w:t>
            </w:r>
          </w:p>
        </w:tc>
        <w:tc>
          <w:tcPr>
            <w:tcW w:w="1606" w:type="dxa"/>
            <w:tcBorders>
              <w:top w:val="nil"/>
              <w:bottom w:val="nil"/>
            </w:tcBorders>
            <w:noWrap/>
            <w:vAlign w:val="bottom"/>
          </w:tcPr>
          <w:p w14:paraId="278375B8" w14:textId="61A4CE16" w:rsidR="0069611A" w:rsidRPr="00660D81"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color w:val="595959"/>
                <w:szCs w:val="16"/>
              </w:rPr>
              <w:t>245,000</w:t>
            </w:r>
          </w:p>
        </w:tc>
        <w:tc>
          <w:tcPr>
            <w:tcW w:w="1607" w:type="dxa"/>
            <w:tcBorders>
              <w:top w:val="nil"/>
              <w:bottom w:val="nil"/>
            </w:tcBorders>
            <w:vAlign w:val="bottom"/>
          </w:tcPr>
          <w:p w14:paraId="7947E42A" w14:textId="0A831550" w:rsidR="0069611A" w:rsidRPr="00660D81"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r>
              <w:rPr>
                <w:rFonts w:ascii="Arial" w:hAnsi="Arial"/>
                <w:color w:val="595959"/>
                <w:szCs w:val="16"/>
              </w:rPr>
              <w:t>120%</w:t>
            </w:r>
          </w:p>
        </w:tc>
      </w:tr>
      <w:tr w:rsidR="0069611A" w:rsidRPr="00660D81" w14:paraId="694F276E"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vAlign w:val="bottom"/>
          </w:tcPr>
          <w:p w14:paraId="356AD63D" w14:textId="3906A838"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VET</w:t>
            </w:r>
          </w:p>
        </w:tc>
        <w:tc>
          <w:tcPr>
            <w:tcW w:w="1134" w:type="dxa"/>
            <w:tcBorders>
              <w:top w:val="nil"/>
            </w:tcBorders>
            <w:shd w:val="clear" w:color="auto" w:fill="auto"/>
            <w:noWrap/>
            <w:vAlign w:val="bottom"/>
          </w:tcPr>
          <w:p w14:paraId="5EA9AE23" w14:textId="4F705099"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38,000</w:t>
            </w:r>
          </w:p>
        </w:tc>
        <w:tc>
          <w:tcPr>
            <w:tcW w:w="1606" w:type="dxa"/>
            <w:tcBorders>
              <w:top w:val="nil"/>
            </w:tcBorders>
            <w:noWrap/>
            <w:vAlign w:val="bottom"/>
          </w:tcPr>
          <w:p w14:paraId="2E8A5599" w14:textId="22D0D8C6"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13%</w:t>
            </w:r>
          </w:p>
        </w:tc>
        <w:tc>
          <w:tcPr>
            <w:tcW w:w="1606" w:type="dxa"/>
            <w:tcBorders>
              <w:top w:val="nil"/>
            </w:tcBorders>
            <w:noWrap/>
            <w:vAlign w:val="bottom"/>
          </w:tcPr>
          <w:p w14:paraId="0C02A31B" w14:textId="61D55715"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229,000</w:t>
            </w:r>
          </w:p>
        </w:tc>
        <w:tc>
          <w:tcPr>
            <w:tcW w:w="1607" w:type="dxa"/>
            <w:tcBorders>
              <w:top w:val="nil"/>
            </w:tcBorders>
            <w:vAlign w:val="bottom"/>
          </w:tcPr>
          <w:p w14:paraId="5C37F216" w14:textId="507AA33C"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112%</w:t>
            </w:r>
          </w:p>
        </w:tc>
      </w:tr>
      <w:tr w:rsidR="0069611A" w:rsidRPr="00660D81" w14:paraId="199A14C7"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bottom w:val="nil"/>
            </w:tcBorders>
            <w:noWrap/>
            <w:vAlign w:val="bottom"/>
          </w:tcPr>
          <w:p w14:paraId="1CA8A751" w14:textId="05EF745D" w:rsidR="0069611A" w:rsidRPr="00781FA5" w:rsidRDefault="0069611A" w:rsidP="0069611A">
            <w:pPr>
              <w:pStyle w:val="TableTextSmall"/>
              <w:keepNext/>
              <w:rPr>
                <w:rFonts w:asciiTheme="majorHAnsi" w:hAnsiTheme="majorHAnsi"/>
                <w:i/>
                <w:color w:val="595959" w:themeColor="text1" w:themeTint="A6"/>
              </w:rPr>
            </w:pPr>
            <w:r w:rsidRPr="00781FA5">
              <w:rPr>
                <w:rFonts w:ascii="Arial" w:hAnsi="Arial"/>
                <w:color w:val="595959"/>
                <w:szCs w:val="16"/>
              </w:rPr>
              <w:t>Education hierarchy</w:t>
            </w:r>
          </w:p>
        </w:tc>
        <w:tc>
          <w:tcPr>
            <w:tcW w:w="1134" w:type="dxa"/>
            <w:tcBorders>
              <w:top w:val="single" w:sz="4" w:space="0" w:color="E0301E" w:themeColor="accent6"/>
              <w:bottom w:val="nil"/>
            </w:tcBorders>
            <w:shd w:val="clear" w:color="auto" w:fill="auto"/>
            <w:noWrap/>
            <w:vAlign w:val="bottom"/>
          </w:tcPr>
          <w:p w14:paraId="0D2787AD"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408CA2A2"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6E47EFD3"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top w:val="single" w:sz="4" w:space="0" w:color="E0301E" w:themeColor="accent6"/>
              <w:bottom w:val="nil"/>
            </w:tcBorders>
            <w:vAlign w:val="bottom"/>
          </w:tcPr>
          <w:p w14:paraId="58C85CB9"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60D81" w14:paraId="49D45D36"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471BDB87" w14:textId="4E4FC6A9"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Year 10 or less</w:t>
            </w:r>
          </w:p>
        </w:tc>
        <w:tc>
          <w:tcPr>
            <w:tcW w:w="1134" w:type="dxa"/>
            <w:tcBorders>
              <w:top w:val="nil"/>
              <w:bottom w:val="nil"/>
            </w:tcBorders>
            <w:shd w:val="clear" w:color="auto" w:fill="auto"/>
            <w:noWrap/>
            <w:vAlign w:val="bottom"/>
          </w:tcPr>
          <w:p w14:paraId="12C19D97" w14:textId="6585280B"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8,000</w:t>
            </w:r>
          </w:p>
        </w:tc>
        <w:tc>
          <w:tcPr>
            <w:tcW w:w="1606" w:type="dxa"/>
            <w:tcBorders>
              <w:top w:val="nil"/>
              <w:bottom w:val="nil"/>
            </w:tcBorders>
            <w:noWrap/>
            <w:vAlign w:val="bottom"/>
          </w:tcPr>
          <w:p w14:paraId="28C771A3" w14:textId="405E285B"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w:t>
            </w:r>
          </w:p>
        </w:tc>
        <w:tc>
          <w:tcPr>
            <w:tcW w:w="1606" w:type="dxa"/>
            <w:tcBorders>
              <w:top w:val="nil"/>
              <w:bottom w:val="nil"/>
            </w:tcBorders>
            <w:noWrap/>
            <w:vAlign w:val="bottom"/>
          </w:tcPr>
          <w:p w14:paraId="065F5482" w14:textId="0BD51023"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243,000</w:t>
            </w:r>
          </w:p>
        </w:tc>
        <w:tc>
          <w:tcPr>
            <w:tcW w:w="1607" w:type="dxa"/>
            <w:tcBorders>
              <w:top w:val="nil"/>
              <w:bottom w:val="nil"/>
            </w:tcBorders>
            <w:vAlign w:val="bottom"/>
          </w:tcPr>
          <w:p w14:paraId="1239ADFC" w14:textId="07D8D24E"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119%</w:t>
            </w:r>
          </w:p>
        </w:tc>
      </w:tr>
      <w:tr w:rsidR="0069611A" w:rsidRPr="00660D81" w14:paraId="5F42244B"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7308B116" w14:textId="22E48ADC"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Year 11</w:t>
            </w:r>
          </w:p>
        </w:tc>
        <w:tc>
          <w:tcPr>
            <w:tcW w:w="1134" w:type="dxa"/>
            <w:tcBorders>
              <w:top w:val="nil"/>
              <w:bottom w:val="nil"/>
            </w:tcBorders>
            <w:shd w:val="clear" w:color="auto" w:fill="auto"/>
            <w:noWrap/>
            <w:vAlign w:val="bottom"/>
          </w:tcPr>
          <w:p w14:paraId="2F7E9C58" w14:textId="34AFCC6D"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10,000</w:t>
            </w:r>
          </w:p>
        </w:tc>
        <w:tc>
          <w:tcPr>
            <w:tcW w:w="1606" w:type="dxa"/>
            <w:tcBorders>
              <w:top w:val="nil"/>
              <w:bottom w:val="nil"/>
            </w:tcBorders>
            <w:noWrap/>
            <w:vAlign w:val="bottom"/>
          </w:tcPr>
          <w:p w14:paraId="27409F7B" w14:textId="57423568"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w:t>
            </w:r>
          </w:p>
        </w:tc>
        <w:tc>
          <w:tcPr>
            <w:tcW w:w="1606" w:type="dxa"/>
            <w:tcBorders>
              <w:top w:val="nil"/>
              <w:bottom w:val="nil"/>
            </w:tcBorders>
            <w:noWrap/>
            <w:vAlign w:val="bottom"/>
          </w:tcPr>
          <w:p w14:paraId="7532FE68" w14:textId="2408A7AB"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233,000</w:t>
            </w:r>
          </w:p>
        </w:tc>
        <w:tc>
          <w:tcPr>
            <w:tcW w:w="1607" w:type="dxa"/>
            <w:tcBorders>
              <w:top w:val="nil"/>
              <w:bottom w:val="nil"/>
            </w:tcBorders>
            <w:vAlign w:val="bottom"/>
          </w:tcPr>
          <w:p w14:paraId="4056DBFC" w14:textId="7B1520D6"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114%</w:t>
            </w:r>
          </w:p>
        </w:tc>
      </w:tr>
      <w:tr w:rsidR="0069611A" w:rsidRPr="00660D81" w14:paraId="477A3587"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0777319C" w14:textId="7914192C"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Year 12</w:t>
            </w:r>
          </w:p>
        </w:tc>
        <w:tc>
          <w:tcPr>
            <w:tcW w:w="1134" w:type="dxa"/>
            <w:tcBorders>
              <w:top w:val="nil"/>
              <w:bottom w:val="nil"/>
            </w:tcBorders>
            <w:shd w:val="clear" w:color="auto" w:fill="auto"/>
            <w:noWrap/>
            <w:vAlign w:val="bottom"/>
          </w:tcPr>
          <w:p w14:paraId="02B6D16B" w14:textId="13169EA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225,000</w:t>
            </w:r>
          </w:p>
        </w:tc>
        <w:tc>
          <w:tcPr>
            <w:tcW w:w="1606" w:type="dxa"/>
            <w:tcBorders>
              <w:top w:val="nil"/>
              <w:bottom w:val="nil"/>
            </w:tcBorders>
            <w:noWrap/>
            <w:vAlign w:val="bottom"/>
          </w:tcPr>
          <w:p w14:paraId="3A8C9BA3" w14:textId="65D13546"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79%</w:t>
            </w:r>
          </w:p>
        </w:tc>
        <w:tc>
          <w:tcPr>
            <w:tcW w:w="1606" w:type="dxa"/>
            <w:tcBorders>
              <w:top w:val="nil"/>
              <w:bottom w:val="nil"/>
            </w:tcBorders>
            <w:noWrap/>
            <w:vAlign w:val="bottom"/>
          </w:tcPr>
          <w:p w14:paraId="3F3B84AC" w14:textId="7499AA26"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198,000</w:t>
            </w:r>
          </w:p>
        </w:tc>
        <w:tc>
          <w:tcPr>
            <w:tcW w:w="1607" w:type="dxa"/>
            <w:tcBorders>
              <w:top w:val="nil"/>
              <w:bottom w:val="nil"/>
            </w:tcBorders>
            <w:vAlign w:val="bottom"/>
          </w:tcPr>
          <w:p w14:paraId="695D9DC3" w14:textId="4621701C"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97%</w:t>
            </w:r>
          </w:p>
        </w:tc>
      </w:tr>
      <w:tr w:rsidR="0069611A" w:rsidRPr="00660D81" w14:paraId="459A1187"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36646744" w14:textId="10EF1D82"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Certificate</w:t>
            </w:r>
          </w:p>
        </w:tc>
        <w:tc>
          <w:tcPr>
            <w:tcW w:w="1134" w:type="dxa"/>
            <w:tcBorders>
              <w:top w:val="nil"/>
              <w:bottom w:val="nil"/>
            </w:tcBorders>
            <w:shd w:val="clear" w:color="auto" w:fill="auto"/>
            <w:noWrap/>
            <w:vAlign w:val="bottom"/>
          </w:tcPr>
          <w:p w14:paraId="44DA72C5" w14:textId="404BADF6"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19,000</w:t>
            </w:r>
          </w:p>
        </w:tc>
        <w:tc>
          <w:tcPr>
            <w:tcW w:w="1606" w:type="dxa"/>
            <w:tcBorders>
              <w:top w:val="nil"/>
              <w:bottom w:val="nil"/>
            </w:tcBorders>
            <w:noWrap/>
            <w:vAlign w:val="bottom"/>
          </w:tcPr>
          <w:p w14:paraId="0B71CBF5" w14:textId="325D96E0"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7%</w:t>
            </w:r>
          </w:p>
        </w:tc>
        <w:tc>
          <w:tcPr>
            <w:tcW w:w="1606" w:type="dxa"/>
            <w:tcBorders>
              <w:top w:val="nil"/>
              <w:bottom w:val="nil"/>
            </w:tcBorders>
            <w:noWrap/>
            <w:vAlign w:val="bottom"/>
          </w:tcPr>
          <w:p w14:paraId="27AA280F" w14:textId="0BD6C934"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247,000</w:t>
            </w:r>
          </w:p>
        </w:tc>
        <w:tc>
          <w:tcPr>
            <w:tcW w:w="1607" w:type="dxa"/>
            <w:tcBorders>
              <w:top w:val="nil"/>
              <w:bottom w:val="nil"/>
            </w:tcBorders>
            <w:vAlign w:val="bottom"/>
          </w:tcPr>
          <w:p w14:paraId="45CF87D0" w14:textId="49F17A00"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122%</w:t>
            </w:r>
          </w:p>
        </w:tc>
      </w:tr>
      <w:tr w:rsidR="0069611A" w:rsidRPr="00660D81" w14:paraId="6332FE83"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429F2F26" w14:textId="67E156AE"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Diploma</w:t>
            </w:r>
          </w:p>
        </w:tc>
        <w:tc>
          <w:tcPr>
            <w:tcW w:w="1134" w:type="dxa"/>
            <w:tcBorders>
              <w:top w:val="nil"/>
              <w:bottom w:val="nil"/>
            </w:tcBorders>
            <w:shd w:val="clear" w:color="auto" w:fill="auto"/>
            <w:noWrap/>
            <w:vAlign w:val="bottom"/>
          </w:tcPr>
          <w:p w14:paraId="6FE0AD1A" w14:textId="4AC73CE2"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14,000</w:t>
            </w:r>
          </w:p>
        </w:tc>
        <w:tc>
          <w:tcPr>
            <w:tcW w:w="1606" w:type="dxa"/>
            <w:tcBorders>
              <w:top w:val="nil"/>
              <w:bottom w:val="nil"/>
            </w:tcBorders>
            <w:noWrap/>
            <w:vAlign w:val="bottom"/>
          </w:tcPr>
          <w:p w14:paraId="195DB8A8" w14:textId="5877849D"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w:t>
            </w:r>
          </w:p>
        </w:tc>
        <w:tc>
          <w:tcPr>
            <w:tcW w:w="1606" w:type="dxa"/>
            <w:tcBorders>
              <w:top w:val="nil"/>
              <w:bottom w:val="nil"/>
            </w:tcBorders>
            <w:noWrap/>
            <w:vAlign w:val="bottom"/>
          </w:tcPr>
          <w:p w14:paraId="3B81C266" w14:textId="4FE22EFC"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203,000</w:t>
            </w:r>
          </w:p>
        </w:tc>
        <w:tc>
          <w:tcPr>
            <w:tcW w:w="1607" w:type="dxa"/>
            <w:tcBorders>
              <w:top w:val="nil"/>
              <w:bottom w:val="nil"/>
            </w:tcBorders>
            <w:vAlign w:val="bottom"/>
          </w:tcPr>
          <w:p w14:paraId="7C0B93D3" w14:textId="33316359"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100%</w:t>
            </w:r>
          </w:p>
        </w:tc>
      </w:tr>
      <w:tr w:rsidR="0069611A" w:rsidRPr="00660D81" w14:paraId="09CC3E68"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365AC0FB" w14:textId="18E8E949"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Bachelors/Postgraduate</w:t>
            </w:r>
          </w:p>
        </w:tc>
        <w:tc>
          <w:tcPr>
            <w:tcW w:w="1134" w:type="dxa"/>
            <w:tcBorders>
              <w:top w:val="nil"/>
              <w:bottom w:val="nil"/>
            </w:tcBorders>
            <w:shd w:val="clear" w:color="auto" w:fill="auto"/>
            <w:noWrap/>
            <w:vAlign w:val="bottom"/>
          </w:tcPr>
          <w:p w14:paraId="52AA2B68" w14:textId="3A4A4F84"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9,000</w:t>
            </w:r>
          </w:p>
        </w:tc>
        <w:tc>
          <w:tcPr>
            <w:tcW w:w="1606" w:type="dxa"/>
            <w:tcBorders>
              <w:top w:val="nil"/>
              <w:bottom w:val="nil"/>
            </w:tcBorders>
            <w:noWrap/>
            <w:vAlign w:val="bottom"/>
          </w:tcPr>
          <w:p w14:paraId="655026E5" w14:textId="4FD9450E"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w:t>
            </w:r>
          </w:p>
        </w:tc>
        <w:tc>
          <w:tcPr>
            <w:tcW w:w="1606" w:type="dxa"/>
            <w:tcBorders>
              <w:top w:val="nil"/>
              <w:bottom w:val="nil"/>
            </w:tcBorders>
            <w:noWrap/>
            <w:vAlign w:val="bottom"/>
          </w:tcPr>
          <w:p w14:paraId="4EF11188" w14:textId="08BD1318"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185,000</w:t>
            </w:r>
          </w:p>
        </w:tc>
        <w:tc>
          <w:tcPr>
            <w:tcW w:w="1607" w:type="dxa"/>
            <w:tcBorders>
              <w:top w:val="nil"/>
              <w:bottom w:val="nil"/>
            </w:tcBorders>
            <w:vAlign w:val="bottom"/>
          </w:tcPr>
          <w:p w14:paraId="113A6F4B" w14:textId="58923750"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91%</w:t>
            </w:r>
          </w:p>
        </w:tc>
      </w:tr>
      <w:tr w:rsidR="0069611A" w:rsidRPr="00660D81" w14:paraId="40F45D26"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vAlign w:val="bottom"/>
          </w:tcPr>
          <w:p w14:paraId="6A008BC7" w14:textId="6261B0FB" w:rsidR="0069611A" w:rsidRPr="00781FA5" w:rsidRDefault="0069611A" w:rsidP="0069611A">
            <w:pPr>
              <w:pStyle w:val="TableTextSmall"/>
              <w:keepNext/>
              <w:rPr>
                <w:rFonts w:asciiTheme="majorHAnsi" w:hAnsiTheme="majorHAnsi"/>
                <w:i/>
                <w:color w:val="595959" w:themeColor="text1" w:themeTint="A6"/>
              </w:rPr>
            </w:pPr>
            <w:r w:rsidRPr="00781FA5">
              <w:rPr>
                <w:rFonts w:ascii="Arial" w:hAnsi="Arial"/>
                <w:color w:val="595959"/>
                <w:szCs w:val="16"/>
              </w:rPr>
              <w:t>Earnings</w:t>
            </w:r>
          </w:p>
        </w:tc>
        <w:tc>
          <w:tcPr>
            <w:tcW w:w="1134" w:type="dxa"/>
            <w:tcBorders>
              <w:bottom w:val="nil"/>
            </w:tcBorders>
            <w:shd w:val="clear" w:color="auto" w:fill="auto"/>
            <w:noWrap/>
            <w:vAlign w:val="bottom"/>
          </w:tcPr>
          <w:p w14:paraId="31FF3DF1" w14:textId="7777777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27F80890" w14:textId="7777777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716D571F" w14:textId="7777777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tcBorders>
            <w:vAlign w:val="bottom"/>
          </w:tcPr>
          <w:p w14:paraId="0AB4462A" w14:textId="7777777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60D81" w14:paraId="5A6D0092"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79A654DE" w14:textId="58CF89F0"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No earnings</w:t>
            </w:r>
          </w:p>
        </w:tc>
        <w:tc>
          <w:tcPr>
            <w:tcW w:w="1134" w:type="dxa"/>
            <w:tcBorders>
              <w:top w:val="nil"/>
              <w:bottom w:val="nil"/>
            </w:tcBorders>
            <w:shd w:val="clear" w:color="auto" w:fill="auto"/>
            <w:noWrap/>
            <w:vAlign w:val="bottom"/>
          </w:tcPr>
          <w:p w14:paraId="7D12AF39" w14:textId="2CEBA696"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127,000</w:t>
            </w:r>
          </w:p>
        </w:tc>
        <w:tc>
          <w:tcPr>
            <w:tcW w:w="1606" w:type="dxa"/>
            <w:tcBorders>
              <w:top w:val="nil"/>
              <w:bottom w:val="nil"/>
            </w:tcBorders>
            <w:noWrap/>
            <w:vAlign w:val="bottom"/>
          </w:tcPr>
          <w:p w14:paraId="50D9112C" w14:textId="67629FA2"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45%</w:t>
            </w:r>
          </w:p>
        </w:tc>
        <w:tc>
          <w:tcPr>
            <w:tcW w:w="1606" w:type="dxa"/>
            <w:tcBorders>
              <w:top w:val="nil"/>
              <w:bottom w:val="nil"/>
            </w:tcBorders>
            <w:noWrap/>
            <w:vAlign w:val="bottom"/>
          </w:tcPr>
          <w:p w14:paraId="32749B61" w14:textId="7C60EFB8"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205,000</w:t>
            </w:r>
          </w:p>
        </w:tc>
        <w:tc>
          <w:tcPr>
            <w:tcW w:w="1607" w:type="dxa"/>
            <w:tcBorders>
              <w:top w:val="nil"/>
              <w:bottom w:val="nil"/>
            </w:tcBorders>
            <w:vAlign w:val="bottom"/>
          </w:tcPr>
          <w:p w14:paraId="3E799C46" w14:textId="2DD9691F"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101%</w:t>
            </w:r>
          </w:p>
        </w:tc>
      </w:tr>
      <w:tr w:rsidR="0069611A" w:rsidRPr="00660D81" w14:paraId="730E646C"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vAlign w:val="bottom"/>
          </w:tcPr>
          <w:p w14:paraId="22BBC465" w14:textId="3B4087F6"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Has earnings</w:t>
            </w:r>
          </w:p>
        </w:tc>
        <w:tc>
          <w:tcPr>
            <w:tcW w:w="1134" w:type="dxa"/>
            <w:tcBorders>
              <w:top w:val="nil"/>
            </w:tcBorders>
            <w:shd w:val="clear" w:color="auto" w:fill="auto"/>
            <w:noWrap/>
            <w:vAlign w:val="bottom"/>
          </w:tcPr>
          <w:p w14:paraId="186A2AFD" w14:textId="35ACBFCF"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158,000</w:t>
            </w:r>
          </w:p>
        </w:tc>
        <w:tc>
          <w:tcPr>
            <w:tcW w:w="1606" w:type="dxa"/>
            <w:tcBorders>
              <w:top w:val="nil"/>
            </w:tcBorders>
            <w:noWrap/>
            <w:vAlign w:val="bottom"/>
          </w:tcPr>
          <w:p w14:paraId="3BFFECA6" w14:textId="3F474111"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55%</w:t>
            </w:r>
          </w:p>
        </w:tc>
        <w:tc>
          <w:tcPr>
            <w:tcW w:w="1606" w:type="dxa"/>
            <w:tcBorders>
              <w:top w:val="nil"/>
            </w:tcBorders>
            <w:noWrap/>
            <w:vAlign w:val="bottom"/>
          </w:tcPr>
          <w:p w14:paraId="642673BE" w14:textId="08A286BC"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202,000</w:t>
            </w:r>
          </w:p>
        </w:tc>
        <w:tc>
          <w:tcPr>
            <w:tcW w:w="1607" w:type="dxa"/>
            <w:tcBorders>
              <w:top w:val="nil"/>
            </w:tcBorders>
            <w:vAlign w:val="bottom"/>
          </w:tcPr>
          <w:p w14:paraId="32333F41" w14:textId="5E177DD0"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99%</w:t>
            </w:r>
          </w:p>
        </w:tc>
      </w:tr>
      <w:tr w:rsidR="0069611A" w:rsidRPr="00660D81" w14:paraId="602D7008"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vAlign w:val="bottom"/>
          </w:tcPr>
          <w:p w14:paraId="0A2F6BD6" w14:textId="79874328" w:rsidR="0069611A" w:rsidRPr="00781FA5" w:rsidRDefault="0069611A" w:rsidP="0069611A">
            <w:pPr>
              <w:pStyle w:val="TableTextSmall"/>
              <w:keepNext/>
              <w:rPr>
                <w:rFonts w:asciiTheme="majorHAnsi" w:hAnsiTheme="majorHAnsi"/>
                <w:i/>
                <w:color w:val="595959" w:themeColor="text1" w:themeTint="A6"/>
              </w:rPr>
            </w:pPr>
            <w:r w:rsidRPr="00781FA5">
              <w:rPr>
                <w:rFonts w:ascii="Arial" w:hAnsi="Arial"/>
                <w:color w:val="595959"/>
                <w:szCs w:val="16"/>
              </w:rPr>
              <w:t>Payment type</w:t>
            </w:r>
          </w:p>
        </w:tc>
        <w:tc>
          <w:tcPr>
            <w:tcW w:w="1134" w:type="dxa"/>
            <w:tcBorders>
              <w:bottom w:val="nil"/>
            </w:tcBorders>
            <w:shd w:val="clear" w:color="auto" w:fill="auto"/>
            <w:noWrap/>
            <w:vAlign w:val="bottom"/>
          </w:tcPr>
          <w:p w14:paraId="5848BA19"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79182440"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2E339CEB"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bottom w:val="nil"/>
            </w:tcBorders>
            <w:vAlign w:val="bottom"/>
          </w:tcPr>
          <w:p w14:paraId="0D17ABFB"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60D81" w14:paraId="11310086"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4A2FD76B" w14:textId="55284F24"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Austudy</w:t>
            </w:r>
          </w:p>
        </w:tc>
        <w:tc>
          <w:tcPr>
            <w:tcW w:w="1134" w:type="dxa"/>
            <w:tcBorders>
              <w:top w:val="nil"/>
              <w:bottom w:val="nil"/>
            </w:tcBorders>
            <w:shd w:val="clear" w:color="auto" w:fill="auto"/>
            <w:noWrap/>
            <w:vAlign w:val="bottom"/>
          </w:tcPr>
          <w:p w14:paraId="28680F05" w14:textId="0670EA6E"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3,000</w:t>
            </w:r>
          </w:p>
        </w:tc>
        <w:tc>
          <w:tcPr>
            <w:tcW w:w="1606" w:type="dxa"/>
            <w:tcBorders>
              <w:top w:val="nil"/>
              <w:bottom w:val="nil"/>
            </w:tcBorders>
            <w:noWrap/>
            <w:vAlign w:val="bottom"/>
          </w:tcPr>
          <w:p w14:paraId="3B1502EA" w14:textId="34DE22FA"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w:t>
            </w:r>
          </w:p>
        </w:tc>
        <w:tc>
          <w:tcPr>
            <w:tcW w:w="1606" w:type="dxa"/>
            <w:tcBorders>
              <w:top w:val="nil"/>
              <w:bottom w:val="nil"/>
            </w:tcBorders>
            <w:noWrap/>
            <w:vAlign w:val="bottom"/>
          </w:tcPr>
          <w:p w14:paraId="301DAB84" w14:textId="46427226"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207,000</w:t>
            </w:r>
          </w:p>
        </w:tc>
        <w:tc>
          <w:tcPr>
            <w:tcW w:w="1607" w:type="dxa"/>
            <w:tcBorders>
              <w:top w:val="nil"/>
              <w:bottom w:val="nil"/>
            </w:tcBorders>
            <w:vAlign w:val="bottom"/>
          </w:tcPr>
          <w:p w14:paraId="7D49BEFE" w14:textId="7E21F09F"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102%</w:t>
            </w:r>
          </w:p>
        </w:tc>
      </w:tr>
      <w:tr w:rsidR="0069611A" w:rsidRPr="00660D81" w14:paraId="534FF2B7"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1FEDDE09" w14:textId="77EB3BA7"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ABSTUDY</w:t>
            </w:r>
          </w:p>
        </w:tc>
        <w:tc>
          <w:tcPr>
            <w:tcW w:w="1134" w:type="dxa"/>
            <w:tcBorders>
              <w:top w:val="nil"/>
              <w:bottom w:val="nil"/>
            </w:tcBorders>
            <w:shd w:val="clear" w:color="auto" w:fill="auto"/>
            <w:noWrap/>
            <w:vAlign w:val="bottom"/>
          </w:tcPr>
          <w:p w14:paraId="036BD272" w14:textId="165C5CEC"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7,000</w:t>
            </w:r>
          </w:p>
        </w:tc>
        <w:tc>
          <w:tcPr>
            <w:tcW w:w="1606" w:type="dxa"/>
            <w:tcBorders>
              <w:top w:val="nil"/>
              <w:bottom w:val="nil"/>
            </w:tcBorders>
            <w:noWrap/>
            <w:vAlign w:val="bottom"/>
          </w:tcPr>
          <w:p w14:paraId="5A75045A" w14:textId="706588E5"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w:t>
            </w:r>
          </w:p>
        </w:tc>
        <w:tc>
          <w:tcPr>
            <w:tcW w:w="1606" w:type="dxa"/>
            <w:tcBorders>
              <w:top w:val="nil"/>
              <w:bottom w:val="nil"/>
            </w:tcBorders>
            <w:noWrap/>
            <w:vAlign w:val="bottom"/>
          </w:tcPr>
          <w:p w14:paraId="5634DF97" w14:textId="7718F546"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340,000</w:t>
            </w:r>
          </w:p>
        </w:tc>
        <w:tc>
          <w:tcPr>
            <w:tcW w:w="1607" w:type="dxa"/>
            <w:tcBorders>
              <w:top w:val="nil"/>
              <w:bottom w:val="nil"/>
            </w:tcBorders>
            <w:vAlign w:val="bottom"/>
          </w:tcPr>
          <w:p w14:paraId="4572771A" w14:textId="138685D4"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167%</w:t>
            </w:r>
          </w:p>
        </w:tc>
      </w:tr>
      <w:tr w:rsidR="0069611A" w:rsidRPr="00660D81" w14:paraId="5D0163D0"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vAlign w:val="bottom"/>
          </w:tcPr>
          <w:p w14:paraId="3D1F4141" w14:textId="67C810D8"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Youth Allowance (Student)</w:t>
            </w:r>
          </w:p>
        </w:tc>
        <w:tc>
          <w:tcPr>
            <w:tcW w:w="1134" w:type="dxa"/>
            <w:tcBorders>
              <w:top w:val="nil"/>
            </w:tcBorders>
            <w:shd w:val="clear" w:color="auto" w:fill="auto"/>
            <w:noWrap/>
            <w:vAlign w:val="bottom"/>
          </w:tcPr>
          <w:p w14:paraId="73172E3B" w14:textId="013B2C4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275,000</w:t>
            </w:r>
          </w:p>
        </w:tc>
        <w:tc>
          <w:tcPr>
            <w:tcW w:w="1606" w:type="dxa"/>
            <w:tcBorders>
              <w:top w:val="nil"/>
            </w:tcBorders>
            <w:noWrap/>
            <w:vAlign w:val="bottom"/>
          </w:tcPr>
          <w:p w14:paraId="5B55828C" w14:textId="561E524B"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97%</w:t>
            </w:r>
          </w:p>
        </w:tc>
        <w:tc>
          <w:tcPr>
            <w:tcW w:w="1606" w:type="dxa"/>
            <w:tcBorders>
              <w:top w:val="nil"/>
            </w:tcBorders>
            <w:noWrap/>
            <w:vAlign w:val="bottom"/>
          </w:tcPr>
          <w:p w14:paraId="7A7E0B19" w14:textId="2AC8D22F"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200,000</w:t>
            </w:r>
          </w:p>
        </w:tc>
        <w:tc>
          <w:tcPr>
            <w:tcW w:w="1607" w:type="dxa"/>
            <w:tcBorders>
              <w:top w:val="nil"/>
            </w:tcBorders>
            <w:vAlign w:val="bottom"/>
          </w:tcPr>
          <w:p w14:paraId="507CC0E8" w14:textId="75342971"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98%</w:t>
            </w:r>
          </w:p>
        </w:tc>
      </w:tr>
      <w:tr w:rsidR="0069611A" w:rsidRPr="00660D81" w14:paraId="01B27504"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vAlign w:val="bottom"/>
          </w:tcPr>
          <w:p w14:paraId="195F131C" w14:textId="6A897D86" w:rsidR="0069611A" w:rsidRPr="00781FA5" w:rsidRDefault="0069611A" w:rsidP="0069611A">
            <w:pPr>
              <w:pStyle w:val="TableTextSmall"/>
              <w:keepNext/>
              <w:rPr>
                <w:rFonts w:asciiTheme="majorHAnsi" w:hAnsiTheme="majorHAnsi"/>
                <w:i/>
                <w:color w:val="595959" w:themeColor="text1" w:themeTint="A6"/>
              </w:rPr>
            </w:pPr>
            <w:r w:rsidRPr="00781FA5">
              <w:rPr>
                <w:rFonts w:ascii="Arial" w:hAnsi="Arial"/>
                <w:color w:val="595959"/>
                <w:szCs w:val="16"/>
              </w:rPr>
              <w:t>Level of parental welfare dependence</w:t>
            </w:r>
          </w:p>
        </w:tc>
        <w:tc>
          <w:tcPr>
            <w:tcW w:w="1134" w:type="dxa"/>
            <w:tcBorders>
              <w:bottom w:val="nil"/>
            </w:tcBorders>
            <w:shd w:val="clear" w:color="auto" w:fill="auto"/>
            <w:noWrap/>
            <w:vAlign w:val="bottom"/>
          </w:tcPr>
          <w:p w14:paraId="6F6CC5E7"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3AF1199E"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4E708F0D"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bottom w:val="nil"/>
            </w:tcBorders>
            <w:vAlign w:val="bottom"/>
          </w:tcPr>
          <w:p w14:paraId="4F2CB898"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60D81" w14:paraId="2F8BB09F"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363FCD1B" w14:textId="37A16681"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None (0%)</w:t>
            </w:r>
          </w:p>
        </w:tc>
        <w:tc>
          <w:tcPr>
            <w:tcW w:w="1134" w:type="dxa"/>
            <w:tcBorders>
              <w:top w:val="nil"/>
              <w:bottom w:val="nil"/>
            </w:tcBorders>
            <w:shd w:val="clear" w:color="auto" w:fill="auto"/>
            <w:noWrap/>
            <w:vAlign w:val="bottom"/>
          </w:tcPr>
          <w:p w14:paraId="48AC568F" w14:textId="45E6411F"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134,000</w:t>
            </w:r>
          </w:p>
        </w:tc>
        <w:tc>
          <w:tcPr>
            <w:tcW w:w="1606" w:type="dxa"/>
            <w:tcBorders>
              <w:top w:val="nil"/>
              <w:bottom w:val="nil"/>
            </w:tcBorders>
            <w:noWrap/>
            <w:vAlign w:val="bottom"/>
          </w:tcPr>
          <w:p w14:paraId="16817CF3" w14:textId="2D5D2F6F"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47%</w:t>
            </w:r>
          </w:p>
        </w:tc>
        <w:tc>
          <w:tcPr>
            <w:tcW w:w="1606" w:type="dxa"/>
            <w:tcBorders>
              <w:top w:val="nil"/>
              <w:bottom w:val="nil"/>
            </w:tcBorders>
            <w:noWrap/>
            <w:vAlign w:val="bottom"/>
          </w:tcPr>
          <w:p w14:paraId="00A33752" w14:textId="6D26C21E"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193,000</w:t>
            </w:r>
          </w:p>
        </w:tc>
        <w:tc>
          <w:tcPr>
            <w:tcW w:w="1607" w:type="dxa"/>
            <w:tcBorders>
              <w:top w:val="nil"/>
              <w:bottom w:val="nil"/>
            </w:tcBorders>
            <w:vAlign w:val="bottom"/>
          </w:tcPr>
          <w:p w14:paraId="108DEB61" w14:textId="02F1F2A9"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95%</w:t>
            </w:r>
          </w:p>
        </w:tc>
      </w:tr>
      <w:tr w:rsidR="0069611A" w:rsidRPr="00660D81" w14:paraId="05FCE64A"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1D039493" w14:textId="2B49EC80"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Some (1%-35%)</w:t>
            </w:r>
          </w:p>
        </w:tc>
        <w:tc>
          <w:tcPr>
            <w:tcW w:w="1134" w:type="dxa"/>
            <w:tcBorders>
              <w:top w:val="nil"/>
              <w:bottom w:val="nil"/>
            </w:tcBorders>
            <w:shd w:val="clear" w:color="auto" w:fill="auto"/>
            <w:noWrap/>
            <w:vAlign w:val="bottom"/>
          </w:tcPr>
          <w:p w14:paraId="2D678E34" w14:textId="4E02A2FF"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69,000</w:t>
            </w:r>
          </w:p>
        </w:tc>
        <w:tc>
          <w:tcPr>
            <w:tcW w:w="1606" w:type="dxa"/>
            <w:tcBorders>
              <w:top w:val="nil"/>
              <w:bottom w:val="nil"/>
            </w:tcBorders>
            <w:noWrap/>
            <w:vAlign w:val="bottom"/>
          </w:tcPr>
          <w:p w14:paraId="78C724F6" w14:textId="5633E8D4"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24%</w:t>
            </w:r>
          </w:p>
        </w:tc>
        <w:tc>
          <w:tcPr>
            <w:tcW w:w="1606" w:type="dxa"/>
            <w:tcBorders>
              <w:top w:val="nil"/>
              <w:bottom w:val="nil"/>
            </w:tcBorders>
            <w:noWrap/>
            <w:vAlign w:val="bottom"/>
          </w:tcPr>
          <w:p w14:paraId="0AE1DF2E" w14:textId="16F6F751"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205,000</w:t>
            </w:r>
          </w:p>
        </w:tc>
        <w:tc>
          <w:tcPr>
            <w:tcW w:w="1607" w:type="dxa"/>
            <w:tcBorders>
              <w:top w:val="nil"/>
              <w:bottom w:val="nil"/>
            </w:tcBorders>
            <w:vAlign w:val="bottom"/>
          </w:tcPr>
          <w:p w14:paraId="163B8F80" w14:textId="1B7AA191"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101%</w:t>
            </w:r>
          </w:p>
        </w:tc>
      </w:tr>
      <w:tr w:rsidR="0069611A" w:rsidRPr="00660D81" w14:paraId="0A70C23C"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521B4E9E" w14:textId="465F3B86"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High (36%-80%)</w:t>
            </w:r>
          </w:p>
        </w:tc>
        <w:tc>
          <w:tcPr>
            <w:tcW w:w="1134" w:type="dxa"/>
            <w:tcBorders>
              <w:top w:val="nil"/>
              <w:bottom w:val="nil"/>
            </w:tcBorders>
            <w:shd w:val="clear" w:color="auto" w:fill="auto"/>
            <w:noWrap/>
            <w:vAlign w:val="bottom"/>
          </w:tcPr>
          <w:p w14:paraId="7CA3E3E7" w14:textId="4E7B502E"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47,000</w:t>
            </w:r>
          </w:p>
        </w:tc>
        <w:tc>
          <w:tcPr>
            <w:tcW w:w="1606" w:type="dxa"/>
            <w:tcBorders>
              <w:top w:val="nil"/>
              <w:bottom w:val="nil"/>
            </w:tcBorders>
            <w:noWrap/>
            <w:vAlign w:val="bottom"/>
          </w:tcPr>
          <w:p w14:paraId="366B1353" w14:textId="6BBFE002"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17%</w:t>
            </w:r>
          </w:p>
        </w:tc>
        <w:tc>
          <w:tcPr>
            <w:tcW w:w="1606" w:type="dxa"/>
            <w:tcBorders>
              <w:top w:val="nil"/>
              <w:bottom w:val="nil"/>
            </w:tcBorders>
            <w:noWrap/>
            <w:vAlign w:val="bottom"/>
          </w:tcPr>
          <w:p w14:paraId="44D11B1D" w14:textId="4A94F890"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215,000</w:t>
            </w:r>
          </w:p>
        </w:tc>
        <w:tc>
          <w:tcPr>
            <w:tcW w:w="1607" w:type="dxa"/>
            <w:tcBorders>
              <w:top w:val="nil"/>
              <w:bottom w:val="nil"/>
            </w:tcBorders>
            <w:vAlign w:val="bottom"/>
          </w:tcPr>
          <w:p w14:paraId="2509F7B6" w14:textId="501091B1"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106%</w:t>
            </w:r>
          </w:p>
        </w:tc>
      </w:tr>
      <w:tr w:rsidR="0069611A" w:rsidRPr="00660D81" w14:paraId="3748C734"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vAlign w:val="bottom"/>
          </w:tcPr>
          <w:p w14:paraId="22D8255B" w14:textId="24F94B79" w:rsidR="0069611A" w:rsidRPr="00781FA5" w:rsidRDefault="0069611A" w:rsidP="0069611A">
            <w:pPr>
              <w:pStyle w:val="TableTextSmall"/>
              <w:keepNext/>
              <w:rPr>
                <w:rFonts w:asciiTheme="majorHAnsi" w:hAnsiTheme="majorHAnsi"/>
                <w:b w:val="0"/>
                <w:i/>
                <w:color w:val="595959" w:themeColor="text1" w:themeTint="A6"/>
              </w:rPr>
            </w:pPr>
            <w:r w:rsidRPr="00781FA5">
              <w:rPr>
                <w:rFonts w:ascii="Arial" w:hAnsi="Arial"/>
                <w:i/>
                <w:iCs/>
                <w:color w:val="595959"/>
                <w:szCs w:val="16"/>
              </w:rPr>
              <w:t xml:space="preserve">    - Very high (81%+)</w:t>
            </w:r>
          </w:p>
        </w:tc>
        <w:tc>
          <w:tcPr>
            <w:tcW w:w="1134" w:type="dxa"/>
            <w:tcBorders>
              <w:top w:val="nil"/>
            </w:tcBorders>
            <w:shd w:val="clear" w:color="auto" w:fill="auto"/>
            <w:noWrap/>
            <w:vAlign w:val="bottom"/>
          </w:tcPr>
          <w:p w14:paraId="591DD851" w14:textId="0AD119AE"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34,000</w:t>
            </w:r>
          </w:p>
        </w:tc>
        <w:tc>
          <w:tcPr>
            <w:tcW w:w="1606" w:type="dxa"/>
            <w:tcBorders>
              <w:top w:val="nil"/>
            </w:tcBorders>
            <w:noWrap/>
            <w:vAlign w:val="bottom"/>
          </w:tcPr>
          <w:p w14:paraId="69008778" w14:textId="12D2EEF2"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12%</w:t>
            </w:r>
          </w:p>
        </w:tc>
        <w:tc>
          <w:tcPr>
            <w:tcW w:w="1606" w:type="dxa"/>
            <w:tcBorders>
              <w:top w:val="nil"/>
            </w:tcBorders>
            <w:noWrap/>
            <w:vAlign w:val="bottom"/>
          </w:tcPr>
          <w:p w14:paraId="545A03F3" w14:textId="26B203ED"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227,000</w:t>
            </w:r>
          </w:p>
        </w:tc>
        <w:tc>
          <w:tcPr>
            <w:tcW w:w="1607" w:type="dxa"/>
            <w:tcBorders>
              <w:top w:val="nil"/>
            </w:tcBorders>
            <w:vAlign w:val="bottom"/>
          </w:tcPr>
          <w:p w14:paraId="1C5656B3" w14:textId="164D5FA9"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112%</w:t>
            </w:r>
          </w:p>
        </w:tc>
      </w:tr>
      <w:tr w:rsidR="0069611A" w:rsidRPr="00660D81" w14:paraId="66D35E9B"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vAlign w:val="bottom"/>
          </w:tcPr>
          <w:p w14:paraId="7E0ED5E0" w14:textId="11998A27" w:rsidR="0069611A" w:rsidRPr="00781FA5" w:rsidRDefault="0069611A" w:rsidP="0069611A">
            <w:pPr>
              <w:pStyle w:val="TableTextSmall"/>
              <w:keepNext/>
              <w:rPr>
                <w:rFonts w:asciiTheme="majorHAnsi" w:hAnsiTheme="majorHAnsi"/>
                <w:i/>
                <w:color w:val="595959" w:themeColor="text1" w:themeTint="A6"/>
              </w:rPr>
            </w:pPr>
            <w:r w:rsidRPr="00781FA5">
              <w:rPr>
                <w:rFonts w:ascii="Arial" w:hAnsi="Arial"/>
                <w:color w:val="595959"/>
                <w:szCs w:val="16"/>
              </w:rPr>
              <w:t>Indigenous status</w:t>
            </w:r>
          </w:p>
        </w:tc>
        <w:tc>
          <w:tcPr>
            <w:tcW w:w="1134" w:type="dxa"/>
            <w:tcBorders>
              <w:bottom w:val="nil"/>
            </w:tcBorders>
            <w:shd w:val="clear" w:color="auto" w:fill="auto"/>
            <w:noWrap/>
            <w:vAlign w:val="bottom"/>
          </w:tcPr>
          <w:p w14:paraId="1A2FF73A" w14:textId="7777777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3D2C217F" w14:textId="7777777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610DCC2B" w14:textId="4A55AF38"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tcBorders>
            <w:vAlign w:val="bottom"/>
          </w:tcPr>
          <w:p w14:paraId="695E6EF3" w14:textId="7777777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60D81" w14:paraId="13C16024"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55E14396" w14:textId="542FC1E6" w:rsidR="0069611A" w:rsidRPr="00781FA5" w:rsidRDefault="0069611A" w:rsidP="0069611A">
            <w:pPr>
              <w:pStyle w:val="TableTextSmall"/>
              <w:keepNext/>
              <w:rPr>
                <w:rFonts w:ascii="Arial" w:hAnsi="Arial"/>
                <w:b w:val="0"/>
                <w:bCs w:val="0"/>
                <w:color w:val="595959"/>
                <w:szCs w:val="16"/>
              </w:rPr>
            </w:pPr>
            <w:r w:rsidRPr="00781FA5">
              <w:rPr>
                <w:rFonts w:ascii="Arial" w:hAnsi="Arial"/>
                <w:i/>
                <w:iCs/>
                <w:color w:val="595959"/>
                <w:szCs w:val="16"/>
              </w:rPr>
              <w:t xml:space="preserve">    - Indigenous</w:t>
            </w:r>
          </w:p>
        </w:tc>
        <w:tc>
          <w:tcPr>
            <w:tcW w:w="1134" w:type="dxa"/>
            <w:tcBorders>
              <w:top w:val="nil"/>
              <w:bottom w:val="nil"/>
            </w:tcBorders>
            <w:shd w:val="clear" w:color="auto" w:fill="auto"/>
            <w:noWrap/>
            <w:vAlign w:val="bottom"/>
          </w:tcPr>
          <w:p w14:paraId="3DEAC52F" w14:textId="472E6421"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9,000</w:t>
            </w:r>
          </w:p>
        </w:tc>
        <w:tc>
          <w:tcPr>
            <w:tcW w:w="1606" w:type="dxa"/>
            <w:tcBorders>
              <w:top w:val="nil"/>
              <w:bottom w:val="nil"/>
            </w:tcBorders>
            <w:noWrap/>
            <w:vAlign w:val="bottom"/>
          </w:tcPr>
          <w:p w14:paraId="729B60EE" w14:textId="59C41C14"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w:t>
            </w:r>
          </w:p>
        </w:tc>
        <w:tc>
          <w:tcPr>
            <w:tcW w:w="1606" w:type="dxa"/>
            <w:tcBorders>
              <w:top w:val="nil"/>
              <w:bottom w:val="nil"/>
            </w:tcBorders>
            <w:noWrap/>
            <w:vAlign w:val="bottom"/>
          </w:tcPr>
          <w:p w14:paraId="4DE287E4" w14:textId="315B919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340,000</w:t>
            </w:r>
          </w:p>
        </w:tc>
        <w:tc>
          <w:tcPr>
            <w:tcW w:w="1607" w:type="dxa"/>
            <w:tcBorders>
              <w:top w:val="nil"/>
              <w:bottom w:val="nil"/>
            </w:tcBorders>
            <w:vAlign w:val="bottom"/>
          </w:tcPr>
          <w:p w14:paraId="0684125E" w14:textId="20ED145D"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167%</w:t>
            </w:r>
          </w:p>
        </w:tc>
      </w:tr>
      <w:tr w:rsidR="0069611A" w:rsidRPr="00660D81" w14:paraId="6A4F8CAA"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vAlign w:val="bottom"/>
          </w:tcPr>
          <w:p w14:paraId="7C91FD32" w14:textId="56B3D09A" w:rsidR="0069611A" w:rsidRPr="00781FA5" w:rsidRDefault="0069611A" w:rsidP="0069611A">
            <w:pPr>
              <w:pStyle w:val="TableTextSmall"/>
              <w:keepNext/>
              <w:rPr>
                <w:rFonts w:ascii="Arial" w:hAnsi="Arial"/>
                <w:b w:val="0"/>
                <w:bCs w:val="0"/>
                <w:color w:val="595959"/>
                <w:szCs w:val="16"/>
              </w:rPr>
            </w:pPr>
            <w:r w:rsidRPr="00781FA5">
              <w:rPr>
                <w:rFonts w:ascii="Arial" w:hAnsi="Arial"/>
                <w:i/>
                <w:iCs/>
                <w:color w:val="595959"/>
                <w:szCs w:val="16"/>
              </w:rPr>
              <w:t xml:space="preserve">    - Non-Indigenous</w:t>
            </w:r>
          </w:p>
        </w:tc>
        <w:tc>
          <w:tcPr>
            <w:tcW w:w="1134" w:type="dxa"/>
            <w:tcBorders>
              <w:top w:val="nil"/>
            </w:tcBorders>
            <w:shd w:val="clear" w:color="auto" w:fill="auto"/>
            <w:noWrap/>
            <w:vAlign w:val="bottom"/>
          </w:tcPr>
          <w:p w14:paraId="07AB693E" w14:textId="4B56867A"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276,000</w:t>
            </w:r>
          </w:p>
        </w:tc>
        <w:tc>
          <w:tcPr>
            <w:tcW w:w="1606" w:type="dxa"/>
            <w:tcBorders>
              <w:top w:val="nil"/>
            </w:tcBorders>
            <w:noWrap/>
            <w:vAlign w:val="bottom"/>
          </w:tcPr>
          <w:p w14:paraId="55F12F96" w14:textId="5171CAB0"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97%</w:t>
            </w:r>
          </w:p>
        </w:tc>
        <w:tc>
          <w:tcPr>
            <w:tcW w:w="1606" w:type="dxa"/>
            <w:tcBorders>
              <w:top w:val="nil"/>
            </w:tcBorders>
            <w:noWrap/>
            <w:vAlign w:val="bottom"/>
          </w:tcPr>
          <w:p w14:paraId="20BB72F3" w14:textId="42330AB4"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199,000</w:t>
            </w:r>
          </w:p>
        </w:tc>
        <w:tc>
          <w:tcPr>
            <w:tcW w:w="1607" w:type="dxa"/>
            <w:tcBorders>
              <w:top w:val="nil"/>
            </w:tcBorders>
            <w:vAlign w:val="bottom"/>
          </w:tcPr>
          <w:p w14:paraId="52358581" w14:textId="3B2E69D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98%</w:t>
            </w:r>
          </w:p>
        </w:tc>
      </w:tr>
    </w:tbl>
    <w:p w14:paraId="08D437B1" w14:textId="184F92AA" w:rsidR="000E7587" w:rsidRDefault="000E7587" w:rsidP="00964D65">
      <w:pPr>
        <w:pStyle w:val="PwCNormal"/>
        <w:numPr>
          <w:ilvl w:val="0"/>
          <w:numId w:val="33"/>
        </w:numPr>
      </w:pPr>
      <w:r w:rsidRPr="00434AE3">
        <w:t xml:space="preserve">From the </w:t>
      </w:r>
      <w:r>
        <w:t>table</w:t>
      </w:r>
      <w:r w:rsidRPr="00434AE3">
        <w:t>, we can see that</w:t>
      </w:r>
      <w:r>
        <w:t xml:space="preserve"> for the current cohort of </w:t>
      </w:r>
      <w:r w:rsidR="00E133E7">
        <w:t>18</w:t>
      </w:r>
      <w:r w:rsidR="00710E45">
        <w:t xml:space="preserve"> to </w:t>
      </w:r>
      <w:r>
        <w:t>2</w:t>
      </w:r>
      <w:r w:rsidR="00E133E7">
        <w:t>5</w:t>
      </w:r>
      <w:r>
        <w:t xml:space="preserve"> year old studying payment recipients:</w:t>
      </w:r>
    </w:p>
    <w:p w14:paraId="50694449" w14:textId="5E2E5424" w:rsidR="000E7587" w:rsidRDefault="000E7587" w:rsidP="000E7587">
      <w:pPr>
        <w:pStyle w:val="ListBullet"/>
      </w:pPr>
      <w:r>
        <w:t>T</w:t>
      </w:r>
      <w:r w:rsidRPr="00434AE3">
        <w:t xml:space="preserve">hose receiving </w:t>
      </w:r>
      <w:r w:rsidR="00961841">
        <w:t>ABSTUDY</w:t>
      </w:r>
      <w:r w:rsidR="00961841" w:rsidRPr="00434AE3">
        <w:t xml:space="preserve"> </w:t>
      </w:r>
      <w:r w:rsidRPr="00434AE3">
        <w:t>payments have noticeably higher average lifetime costs than the other people in th</w:t>
      </w:r>
      <w:r>
        <w:t>eir cohort</w:t>
      </w:r>
      <w:r w:rsidRPr="00434AE3">
        <w:t xml:space="preserve">. This reflects that this group of Indigenous </w:t>
      </w:r>
      <w:r w:rsidR="0031733E">
        <w:t>Australians</w:t>
      </w:r>
      <w:r w:rsidR="0031733E" w:rsidRPr="00434AE3">
        <w:t xml:space="preserve"> </w:t>
      </w:r>
      <w:r w:rsidRPr="00434AE3">
        <w:t>are more likely to stay within the welfare system in the future.</w:t>
      </w:r>
      <w:r>
        <w:t xml:space="preserve"> </w:t>
      </w:r>
    </w:p>
    <w:p w14:paraId="716D8D31" w14:textId="77777777" w:rsidR="000E7587" w:rsidRDefault="000E7587" w:rsidP="000E7587">
      <w:pPr>
        <w:pStyle w:val="ListBullet"/>
      </w:pPr>
      <w:r>
        <w:t>Those in the school or VET education sectors tend to have greater welfare dependency going forward than those currently in higher education which is reflected by their higher average lifetime costs.</w:t>
      </w:r>
    </w:p>
    <w:p w14:paraId="5C51DBEA" w14:textId="12CE877E" w:rsidR="00A703D8" w:rsidRPr="00434AE3" w:rsidRDefault="000E7587" w:rsidP="00010746">
      <w:pPr>
        <w:pStyle w:val="ListBullet"/>
      </w:pPr>
      <w:r>
        <w:t>Those with higher levels of parental welfare dependence tend to have higher levels of welfare dependence in their own right.</w:t>
      </w:r>
    </w:p>
    <w:p w14:paraId="2F9E5C4E" w14:textId="77777777" w:rsidR="00B51738" w:rsidRPr="00434AE3" w:rsidRDefault="00B51738" w:rsidP="00B51738">
      <w:pPr>
        <w:pStyle w:val="Minorheading"/>
      </w:pPr>
      <w:r w:rsidRPr="00434AE3">
        <w:t xml:space="preserve">Change in lifetime costs since the </w:t>
      </w:r>
      <w:r>
        <w:t>2016</w:t>
      </w:r>
      <w:r w:rsidRPr="00434AE3">
        <w:t xml:space="preserve"> valuation</w:t>
      </w:r>
    </w:p>
    <w:p w14:paraId="6947EB02" w14:textId="74326A1E" w:rsidR="00B51738" w:rsidRPr="00434AE3" w:rsidRDefault="00B51738" w:rsidP="00B51738">
      <w:pPr>
        <w:pStyle w:val="PwCNormal"/>
        <w:numPr>
          <w:ilvl w:val="0"/>
          <w:numId w:val="0"/>
        </w:numPr>
      </w:pPr>
      <w:r w:rsidRPr="00434AE3">
        <w:t xml:space="preserve">The lifetime cost for the people in this class </w:t>
      </w:r>
      <w:r w:rsidR="00305715">
        <w:t>is</w:t>
      </w:r>
      <w:r w:rsidRPr="00434AE3">
        <w:t xml:space="preserve"> $79bn </w:t>
      </w:r>
      <w:r w:rsidR="00305715">
        <w:t>and has reduced by</w:t>
      </w:r>
      <w:r w:rsidRPr="00434AE3">
        <w:t xml:space="preserve"> $3bn compared to the </w:t>
      </w:r>
      <w:r>
        <w:t>June 2016</w:t>
      </w:r>
      <w:r w:rsidRPr="00434AE3">
        <w:t xml:space="preserve"> valuation. T</w:t>
      </w:r>
      <w:r>
        <w:t xml:space="preserve">his has been </w:t>
      </w:r>
      <w:r w:rsidRPr="00434AE3">
        <w:t xml:space="preserve">driven by a reduction in the number of people in this class </w:t>
      </w:r>
      <w:r>
        <w:t>and offset by an increase to the</w:t>
      </w:r>
      <w:r w:rsidRPr="00434AE3">
        <w:t xml:space="preserve"> average payment size:</w:t>
      </w:r>
    </w:p>
    <w:p w14:paraId="070FA14B" w14:textId="217555E2" w:rsidR="00B51738" w:rsidRPr="00434AE3" w:rsidRDefault="008F1B9B" w:rsidP="002757B8">
      <w:pPr>
        <w:pStyle w:val="ListBullet"/>
      </w:pPr>
      <w:r w:rsidRPr="00434AE3">
        <w:t xml:space="preserve">The number of people in this class has </w:t>
      </w:r>
      <w:r>
        <w:t xml:space="preserve">reduced </w:t>
      </w:r>
      <w:r w:rsidR="008B48C8">
        <w:t>due to higher exits than expected over the past year; these people exiting the Studying class generally moved to Working Age or out of the welfare system</w:t>
      </w:r>
      <w:r>
        <w:t>.</w:t>
      </w:r>
      <w:r w:rsidR="00B51738">
        <w:t xml:space="preserve"> </w:t>
      </w:r>
    </w:p>
    <w:p w14:paraId="7DAB6D7E" w14:textId="55710A3A" w:rsidR="00B51738" w:rsidRPr="00A6649F" w:rsidRDefault="00B51738" w:rsidP="002757B8">
      <w:pPr>
        <w:pStyle w:val="ListBullet"/>
      </w:pPr>
      <w:r w:rsidRPr="00A6649F">
        <w:t xml:space="preserve">The average cost has </w:t>
      </w:r>
      <w:r>
        <w:t>increased</w:t>
      </w:r>
      <w:r w:rsidRPr="00A6649F">
        <w:t xml:space="preserve"> by $</w:t>
      </w:r>
      <w:r w:rsidR="00B72DD9">
        <w:t>2,000 (1</w:t>
      </w:r>
      <w:r w:rsidRPr="00A6649F">
        <w:t>.</w:t>
      </w:r>
      <w:r w:rsidR="00B72DD9">
        <w:t>1</w:t>
      </w:r>
      <w:r w:rsidRPr="00A6649F">
        <w:t>%) since the previous valuation. The following table provides a breakdown of the change in average lifetime cost by grouped payment category.</w:t>
      </w:r>
    </w:p>
    <w:p w14:paraId="34948445" w14:textId="7FCFC0A5" w:rsidR="00B51738" w:rsidRPr="003719FC" w:rsidRDefault="00B51738" w:rsidP="00B51738">
      <w:pPr>
        <w:pStyle w:val="Caption"/>
      </w:pPr>
      <w:r w:rsidRPr="003719FC">
        <w:lastRenderedPageBreak/>
        <w:t xml:space="preserve">Table </w:t>
      </w:r>
      <w:fldSimple w:instr=" SEQ Table \* ARABIC ">
        <w:r w:rsidR="00C93C1A">
          <w:rPr>
            <w:noProof/>
          </w:rPr>
          <w:t>22</w:t>
        </w:r>
      </w:fldSimple>
      <w:r w:rsidRPr="003719FC">
        <w:t xml:space="preserve">: Breakdown of change in average lifetime cost for </w:t>
      </w:r>
      <w:r w:rsidR="00871E70">
        <w:t>c</w:t>
      </w:r>
      <w:r w:rsidRPr="003719FC">
        <w:t>lass 1 by payment category</w:t>
      </w:r>
    </w:p>
    <w:tbl>
      <w:tblPr>
        <w:tblStyle w:val="ListTable3-Accent62"/>
        <w:tblW w:w="9781" w:type="dxa"/>
        <w:tblInd w:w="108" w:type="dxa"/>
        <w:tblLayout w:type="fixed"/>
        <w:tblCellMar>
          <w:left w:w="57" w:type="dxa"/>
          <w:right w:w="57" w:type="dxa"/>
        </w:tblCellMar>
        <w:tblLook w:val="04A0" w:firstRow="1" w:lastRow="0" w:firstColumn="1" w:lastColumn="0" w:noHBand="0" w:noVBand="1"/>
        <w:tblCaption w:val=" Breakdown of change in average lifetime cost for Class 1 by payment category"/>
        <w:tblDescription w:val="This table shows the breakdown of the total change in average lifetime cost for Class 1 into; change in people in class, change in inflation, policy changes and other changes. These are shown as rows in the table.&#10;&#10;The changes in lifetime cost are considered by relevant payment categories for Class 1; IS Studying, IS Other (excluding the pension), IS Age Pension, Non IS Family Supplements and Non IS Other Supplements. These are shown as columns in the table alongside a total change column.&#10;&#10;Further features of the data in this table are discussed in the accompanying text within the report.&#10;"/>
      </w:tblPr>
      <w:tblGrid>
        <w:gridCol w:w="3119"/>
        <w:gridCol w:w="1276"/>
        <w:gridCol w:w="992"/>
        <w:gridCol w:w="992"/>
        <w:gridCol w:w="992"/>
        <w:gridCol w:w="1205"/>
        <w:gridCol w:w="1205"/>
      </w:tblGrid>
      <w:tr w:rsidR="00B51738" w:rsidRPr="003719FC" w14:paraId="66280794"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40A30A88" w14:textId="77777777" w:rsidR="00B51738" w:rsidRPr="003719FC" w:rsidRDefault="00B51738" w:rsidP="009E7C59">
            <w:pPr>
              <w:pStyle w:val="TableTextSmall"/>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49D7D77A" w14:textId="77777777" w:rsidR="00B51738" w:rsidRPr="003719FC" w:rsidRDefault="00B51738" w:rsidP="009E7C5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992" w:type="dxa"/>
            <w:tcBorders>
              <w:left w:val="single" w:sz="4" w:space="0" w:color="FFFFFF" w:themeColor="background1"/>
              <w:bottom w:val="single" w:sz="4" w:space="0" w:color="FFFFFF" w:themeColor="background1"/>
              <w:right w:val="nil"/>
            </w:tcBorders>
          </w:tcPr>
          <w:p w14:paraId="78723583" w14:textId="77777777" w:rsidR="00B51738" w:rsidRPr="003719FC" w:rsidRDefault="00B51738" w:rsidP="009E7C5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p>
        </w:tc>
        <w:tc>
          <w:tcPr>
            <w:tcW w:w="992" w:type="dxa"/>
            <w:tcBorders>
              <w:left w:val="nil"/>
              <w:bottom w:val="single" w:sz="4" w:space="0" w:color="FFFFFF" w:themeColor="background1"/>
              <w:right w:val="nil"/>
            </w:tcBorders>
          </w:tcPr>
          <w:p w14:paraId="507BECC2" w14:textId="77777777" w:rsidR="00B51738" w:rsidRPr="003719FC" w:rsidRDefault="00B51738" w:rsidP="009E7C5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rPr>
            </w:pPr>
            <w:r w:rsidRPr="003719FC">
              <w:rPr>
                <w:rFonts w:asciiTheme="majorHAnsi" w:hAnsiTheme="majorHAnsi"/>
                <w:color w:val="FFFFFF" w:themeColor="background1"/>
              </w:rPr>
              <w:t>IS</w:t>
            </w:r>
          </w:p>
        </w:tc>
        <w:tc>
          <w:tcPr>
            <w:tcW w:w="992" w:type="dxa"/>
            <w:tcBorders>
              <w:left w:val="nil"/>
              <w:bottom w:val="single" w:sz="4" w:space="0" w:color="FFFFFF" w:themeColor="background1"/>
              <w:right w:val="single" w:sz="4" w:space="0" w:color="FFFFFF" w:themeColor="background1"/>
            </w:tcBorders>
          </w:tcPr>
          <w:p w14:paraId="3D36A638" w14:textId="77777777" w:rsidR="00B51738" w:rsidRPr="003719FC" w:rsidRDefault="00B51738" w:rsidP="009E7C5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05" w:type="dxa"/>
            <w:tcBorders>
              <w:left w:val="single" w:sz="4" w:space="0" w:color="FFFFFF" w:themeColor="background1"/>
              <w:bottom w:val="single" w:sz="4" w:space="0" w:color="FFFFFF" w:themeColor="background1"/>
            </w:tcBorders>
          </w:tcPr>
          <w:p w14:paraId="749380B7" w14:textId="77777777" w:rsidR="00B51738" w:rsidRPr="003719FC" w:rsidRDefault="00B51738" w:rsidP="009E7C59">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3719FC">
              <w:rPr>
                <w:rFonts w:asciiTheme="majorHAnsi" w:hAnsiTheme="majorHAnsi"/>
                <w:color w:val="FFFFFF" w:themeColor="background1"/>
              </w:rPr>
              <w:t>Non</w:t>
            </w:r>
          </w:p>
        </w:tc>
        <w:tc>
          <w:tcPr>
            <w:tcW w:w="1205" w:type="dxa"/>
            <w:tcBorders>
              <w:bottom w:val="single" w:sz="4" w:space="0" w:color="FFFFFF" w:themeColor="background1"/>
            </w:tcBorders>
          </w:tcPr>
          <w:p w14:paraId="59BDEC88" w14:textId="77777777" w:rsidR="00B51738" w:rsidRPr="003719FC" w:rsidRDefault="00B51738" w:rsidP="009E7C59">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3719FC">
              <w:rPr>
                <w:rFonts w:asciiTheme="majorHAnsi" w:hAnsiTheme="majorHAnsi"/>
                <w:color w:val="FFFFFF" w:themeColor="background1"/>
              </w:rPr>
              <w:t>IS</w:t>
            </w:r>
          </w:p>
        </w:tc>
      </w:tr>
      <w:tr w:rsidR="00B51738" w:rsidRPr="003719FC" w14:paraId="3ACFFAD8"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28B7A15E" w14:textId="77777777" w:rsidR="00B51738" w:rsidRPr="003719FC" w:rsidRDefault="00B51738" w:rsidP="009E7C59">
            <w:pPr>
              <w:pStyle w:val="TableTextSmall"/>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27B65C81" w14:textId="77777777" w:rsidR="00B51738" w:rsidRPr="003719FC" w:rsidRDefault="00B51738" w:rsidP="009E7C5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3719FC">
              <w:rPr>
                <w:rFonts w:asciiTheme="majorHAnsi" w:hAnsiTheme="majorHAnsi"/>
                <w:color w:val="FFFFFF" w:themeColor="background1"/>
              </w:rPr>
              <w:t>Total</w:t>
            </w:r>
          </w:p>
        </w:tc>
        <w:tc>
          <w:tcPr>
            <w:tcW w:w="992" w:type="dxa"/>
            <w:tcBorders>
              <w:top w:val="single" w:sz="4" w:space="0" w:color="FFFFFF" w:themeColor="background1"/>
              <w:left w:val="single" w:sz="4" w:space="0" w:color="FFFFFF" w:themeColor="background1"/>
              <w:bottom w:val="single" w:sz="4" w:space="0" w:color="E0301E" w:themeColor="accent6"/>
            </w:tcBorders>
          </w:tcPr>
          <w:p w14:paraId="1A079409" w14:textId="77777777" w:rsidR="00B51738" w:rsidRPr="003719FC" w:rsidRDefault="00B51738" w:rsidP="009E7C5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3719FC">
              <w:rPr>
                <w:rFonts w:asciiTheme="majorHAnsi" w:hAnsiTheme="majorHAnsi"/>
                <w:color w:val="FFFFFF" w:themeColor="background1"/>
              </w:rPr>
              <w:t>Studying</w:t>
            </w:r>
          </w:p>
        </w:tc>
        <w:tc>
          <w:tcPr>
            <w:tcW w:w="992" w:type="dxa"/>
            <w:tcBorders>
              <w:top w:val="single" w:sz="4" w:space="0" w:color="FFFFFF" w:themeColor="background1"/>
              <w:bottom w:val="single" w:sz="4" w:space="0" w:color="E0301E" w:themeColor="accent6"/>
            </w:tcBorders>
          </w:tcPr>
          <w:p w14:paraId="2FC6E893" w14:textId="77777777" w:rsidR="00B51738" w:rsidRPr="003719FC" w:rsidRDefault="00B51738" w:rsidP="009E7C5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3719FC">
              <w:rPr>
                <w:rFonts w:asciiTheme="majorHAnsi" w:hAnsiTheme="majorHAnsi"/>
                <w:color w:val="FFFFFF" w:themeColor="background1"/>
              </w:rPr>
              <w:t>Other</w:t>
            </w:r>
            <w:r w:rsidRPr="003719FC">
              <w:rPr>
                <w:rFonts w:asciiTheme="majorHAnsi" w:hAnsiTheme="majorHAnsi"/>
                <w:color w:val="FFFFFF" w:themeColor="background1"/>
              </w:rPr>
              <w:br/>
              <w:t>(excl. Age Pension)</w:t>
            </w:r>
          </w:p>
        </w:tc>
        <w:tc>
          <w:tcPr>
            <w:tcW w:w="992" w:type="dxa"/>
            <w:tcBorders>
              <w:top w:val="single" w:sz="4" w:space="0" w:color="FFFFFF" w:themeColor="background1"/>
              <w:bottom w:val="single" w:sz="4" w:space="0" w:color="E0301E" w:themeColor="accent6"/>
              <w:right w:val="single" w:sz="4" w:space="0" w:color="FFFFFF" w:themeColor="background1"/>
            </w:tcBorders>
          </w:tcPr>
          <w:p w14:paraId="7CD517EE" w14:textId="77777777" w:rsidR="00B51738" w:rsidRPr="003719FC" w:rsidRDefault="00B51738" w:rsidP="009E7C5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3719FC">
              <w:rPr>
                <w:rFonts w:asciiTheme="majorHAnsi" w:hAnsiTheme="majorHAnsi"/>
                <w:color w:val="FFFFFF" w:themeColor="background1"/>
              </w:rPr>
              <w:t>Age Pension</w:t>
            </w:r>
          </w:p>
        </w:tc>
        <w:tc>
          <w:tcPr>
            <w:tcW w:w="1205" w:type="dxa"/>
            <w:tcBorders>
              <w:top w:val="single" w:sz="4" w:space="0" w:color="FFFFFF" w:themeColor="background1"/>
              <w:left w:val="single" w:sz="4" w:space="0" w:color="FFFFFF" w:themeColor="background1"/>
              <w:bottom w:val="single" w:sz="4" w:space="0" w:color="E0301E" w:themeColor="accent6"/>
            </w:tcBorders>
          </w:tcPr>
          <w:p w14:paraId="1603FF13" w14:textId="77777777" w:rsidR="00B51738" w:rsidRPr="003719FC" w:rsidRDefault="00B51738" w:rsidP="009E7C5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3719FC">
              <w:rPr>
                <w:rFonts w:asciiTheme="majorHAnsi" w:hAnsiTheme="majorHAnsi"/>
                <w:color w:val="FFFFFF" w:themeColor="background1"/>
              </w:rPr>
              <w:t>Family Supplements</w:t>
            </w:r>
          </w:p>
        </w:tc>
        <w:tc>
          <w:tcPr>
            <w:tcW w:w="1205" w:type="dxa"/>
            <w:tcBorders>
              <w:top w:val="single" w:sz="4" w:space="0" w:color="FFFFFF" w:themeColor="background1"/>
              <w:bottom w:val="single" w:sz="4" w:space="0" w:color="E0301E" w:themeColor="accent6"/>
            </w:tcBorders>
          </w:tcPr>
          <w:p w14:paraId="325D27E3" w14:textId="77777777" w:rsidR="00B51738" w:rsidRPr="003719FC" w:rsidRDefault="00B51738" w:rsidP="009E7C5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3719FC">
              <w:rPr>
                <w:rFonts w:asciiTheme="majorHAnsi" w:hAnsiTheme="majorHAnsi"/>
                <w:color w:val="FFFFFF" w:themeColor="background1"/>
              </w:rPr>
              <w:t>Other Supplements</w:t>
            </w:r>
          </w:p>
        </w:tc>
      </w:tr>
      <w:tr w:rsidR="00F5517B" w:rsidRPr="003719FC" w14:paraId="25FCDAA6"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57D6FFF7" w14:textId="77777777" w:rsidR="00F5517B" w:rsidRPr="003719FC" w:rsidRDefault="00F5517B" w:rsidP="00F5517B">
            <w:pPr>
              <w:pStyle w:val="TableTextSmall"/>
            </w:pPr>
            <w:r w:rsidRPr="003719FC">
              <w:t>Jun-1</w:t>
            </w:r>
            <w:r>
              <w:t>6</w:t>
            </w:r>
            <w:r w:rsidRPr="003719FC">
              <w:t xml:space="preserve"> Total Lifetime Cost</w:t>
            </w:r>
          </w:p>
        </w:tc>
        <w:tc>
          <w:tcPr>
            <w:tcW w:w="1276" w:type="dxa"/>
            <w:tcBorders>
              <w:left w:val="single" w:sz="4" w:space="0" w:color="E0301E" w:themeColor="accent6"/>
              <w:bottom w:val="nil"/>
              <w:right w:val="single" w:sz="4" w:space="0" w:color="E0301E" w:themeColor="accent6"/>
            </w:tcBorders>
          </w:tcPr>
          <w:p w14:paraId="6E269C37" w14:textId="5B008BED" w:rsidR="00F5517B" w:rsidRPr="003719FC" w:rsidRDefault="00F5517B" w:rsidP="00F5517B">
            <w:pPr>
              <w:pStyle w:val="TableTextSmall"/>
              <w:jc w:val="center"/>
              <w:cnfStyle w:val="000000100000" w:firstRow="0" w:lastRow="0" w:firstColumn="0" w:lastColumn="0" w:oddVBand="0" w:evenVBand="0" w:oddHBand="1" w:evenHBand="0" w:firstRowFirstColumn="0" w:firstRowLastColumn="0" w:lastRowFirstColumn="0" w:lastRowLastColumn="0"/>
            </w:pPr>
            <w:r w:rsidRPr="000C478A">
              <w:t>$82bn</w:t>
            </w:r>
          </w:p>
        </w:tc>
        <w:tc>
          <w:tcPr>
            <w:tcW w:w="992" w:type="dxa"/>
            <w:tcBorders>
              <w:left w:val="single" w:sz="4" w:space="0" w:color="E0301E" w:themeColor="accent6"/>
              <w:bottom w:val="nil"/>
            </w:tcBorders>
            <w:shd w:val="clear" w:color="auto" w:fill="D9D9D9" w:themeFill="background1" w:themeFillShade="D9"/>
          </w:tcPr>
          <w:p w14:paraId="5A43E2FD" w14:textId="77777777" w:rsidR="00F5517B" w:rsidRPr="003719FC" w:rsidRDefault="00F5517B" w:rsidP="00F5517B">
            <w:pPr>
              <w:pStyle w:val="TableTextSmall"/>
              <w:cnfStyle w:val="000000100000" w:firstRow="0" w:lastRow="0" w:firstColumn="0" w:lastColumn="0" w:oddVBand="0" w:evenVBand="0" w:oddHBand="1" w:evenHBand="0" w:firstRowFirstColumn="0" w:firstRowLastColumn="0" w:lastRowFirstColumn="0" w:lastRowLastColumn="0"/>
            </w:pPr>
          </w:p>
        </w:tc>
        <w:tc>
          <w:tcPr>
            <w:tcW w:w="992" w:type="dxa"/>
            <w:tcBorders>
              <w:bottom w:val="nil"/>
            </w:tcBorders>
            <w:shd w:val="clear" w:color="auto" w:fill="D9D9D9" w:themeFill="background1" w:themeFillShade="D9"/>
          </w:tcPr>
          <w:p w14:paraId="7967EB3C" w14:textId="77777777" w:rsidR="00F5517B" w:rsidRPr="003719FC" w:rsidRDefault="00F5517B" w:rsidP="00F5517B">
            <w:pPr>
              <w:pStyle w:val="TableTextSmall"/>
              <w:cnfStyle w:val="000000100000" w:firstRow="0" w:lastRow="0" w:firstColumn="0" w:lastColumn="0" w:oddVBand="0" w:evenVBand="0" w:oddHBand="1" w:evenHBand="0" w:firstRowFirstColumn="0" w:firstRowLastColumn="0" w:lastRowFirstColumn="0" w:lastRowLastColumn="0"/>
            </w:pPr>
          </w:p>
        </w:tc>
        <w:tc>
          <w:tcPr>
            <w:tcW w:w="992" w:type="dxa"/>
            <w:tcBorders>
              <w:bottom w:val="nil"/>
              <w:right w:val="nil"/>
            </w:tcBorders>
            <w:shd w:val="clear" w:color="auto" w:fill="D9D9D9" w:themeFill="background1" w:themeFillShade="D9"/>
          </w:tcPr>
          <w:p w14:paraId="22B84925" w14:textId="77777777" w:rsidR="00F5517B" w:rsidRPr="003719FC" w:rsidRDefault="00F5517B" w:rsidP="00F5517B">
            <w:pPr>
              <w:pStyle w:val="TableTextSmall"/>
              <w:cnfStyle w:val="000000100000" w:firstRow="0" w:lastRow="0" w:firstColumn="0" w:lastColumn="0" w:oddVBand="0" w:evenVBand="0" w:oddHBand="1" w:evenHBand="0" w:firstRowFirstColumn="0" w:firstRowLastColumn="0" w:lastRowFirstColumn="0" w:lastRowLastColumn="0"/>
            </w:pPr>
          </w:p>
        </w:tc>
        <w:tc>
          <w:tcPr>
            <w:tcW w:w="1205" w:type="dxa"/>
            <w:tcBorders>
              <w:left w:val="nil"/>
              <w:bottom w:val="nil"/>
            </w:tcBorders>
            <w:shd w:val="clear" w:color="auto" w:fill="D9D9D9" w:themeFill="background1" w:themeFillShade="D9"/>
          </w:tcPr>
          <w:p w14:paraId="12DADD19" w14:textId="77777777" w:rsidR="00F5517B" w:rsidRPr="003719FC" w:rsidRDefault="00F5517B" w:rsidP="00F5517B">
            <w:pPr>
              <w:pStyle w:val="TableTextSmall"/>
              <w:cnfStyle w:val="000000100000" w:firstRow="0" w:lastRow="0" w:firstColumn="0" w:lastColumn="0" w:oddVBand="0" w:evenVBand="0" w:oddHBand="1" w:evenHBand="0" w:firstRowFirstColumn="0" w:firstRowLastColumn="0" w:lastRowFirstColumn="0" w:lastRowLastColumn="0"/>
            </w:pPr>
          </w:p>
        </w:tc>
        <w:tc>
          <w:tcPr>
            <w:tcW w:w="1205" w:type="dxa"/>
            <w:tcBorders>
              <w:bottom w:val="nil"/>
            </w:tcBorders>
            <w:shd w:val="clear" w:color="auto" w:fill="D9D9D9" w:themeFill="background1" w:themeFillShade="D9"/>
          </w:tcPr>
          <w:p w14:paraId="7160B496" w14:textId="77777777" w:rsidR="00F5517B" w:rsidRPr="003719FC" w:rsidRDefault="00F5517B" w:rsidP="00F5517B">
            <w:pPr>
              <w:pStyle w:val="TableTextSmall"/>
              <w:cnfStyle w:val="000000100000" w:firstRow="0" w:lastRow="0" w:firstColumn="0" w:lastColumn="0" w:oddVBand="0" w:evenVBand="0" w:oddHBand="1" w:evenHBand="0" w:firstRowFirstColumn="0" w:firstRowLastColumn="0" w:lastRowFirstColumn="0" w:lastRowLastColumn="0"/>
            </w:pPr>
          </w:p>
        </w:tc>
      </w:tr>
      <w:tr w:rsidR="00F5517B" w:rsidRPr="003719FC" w14:paraId="4F523636"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705CEB64" w14:textId="77777777" w:rsidR="00F5517B" w:rsidRPr="003719FC" w:rsidRDefault="00F5517B" w:rsidP="00F5517B">
            <w:pPr>
              <w:pStyle w:val="TableTextSmall"/>
            </w:pPr>
            <w:r>
              <w:t>Jun-17</w:t>
            </w:r>
            <w:r w:rsidRPr="003719FC">
              <w:t xml:space="preserve">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tcPr>
          <w:p w14:paraId="37BF5A68" w14:textId="3F04D931" w:rsidR="00F5517B" w:rsidRPr="003719FC"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pPr>
            <w:r w:rsidRPr="000C478A">
              <w:t>$79bn</w:t>
            </w:r>
          </w:p>
        </w:tc>
        <w:tc>
          <w:tcPr>
            <w:tcW w:w="992" w:type="dxa"/>
            <w:tcBorders>
              <w:top w:val="nil"/>
              <w:left w:val="single" w:sz="4" w:space="0" w:color="E0301E" w:themeColor="accent6"/>
              <w:bottom w:val="nil"/>
            </w:tcBorders>
            <w:shd w:val="clear" w:color="auto" w:fill="D9D9D9" w:themeFill="background1" w:themeFillShade="D9"/>
          </w:tcPr>
          <w:p w14:paraId="42FC2405" w14:textId="77777777" w:rsidR="00F5517B" w:rsidRPr="003719FC" w:rsidRDefault="00F5517B" w:rsidP="00F5517B">
            <w:pPr>
              <w:pStyle w:val="TableTextSmall"/>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D9D9D9" w:themeFill="background1" w:themeFillShade="D9"/>
          </w:tcPr>
          <w:p w14:paraId="5DFE9E4B" w14:textId="77777777" w:rsidR="00F5517B" w:rsidRPr="003719FC" w:rsidRDefault="00F5517B" w:rsidP="00F5517B">
            <w:pPr>
              <w:pStyle w:val="TableTextSmall"/>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tcPr>
          <w:p w14:paraId="0C0B9238" w14:textId="77777777" w:rsidR="00F5517B" w:rsidRPr="003719FC" w:rsidRDefault="00F5517B" w:rsidP="00F5517B">
            <w:pPr>
              <w:pStyle w:val="TableTextSmall"/>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tcPr>
          <w:p w14:paraId="32F52232" w14:textId="77777777" w:rsidR="00F5517B" w:rsidRPr="003719FC" w:rsidRDefault="00F5517B" w:rsidP="00F5517B">
            <w:pPr>
              <w:pStyle w:val="TableTextSmall"/>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nil"/>
            </w:tcBorders>
            <w:shd w:val="clear" w:color="auto" w:fill="D9D9D9" w:themeFill="background1" w:themeFillShade="D9"/>
          </w:tcPr>
          <w:p w14:paraId="012DA652" w14:textId="77777777" w:rsidR="00F5517B" w:rsidRPr="003719FC" w:rsidRDefault="00F5517B" w:rsidP="00F5517B">
            <w:pPr>
              <w:pStyle w:val="TableTextSmall"/>
              <w:cnfStyle w:val="000000000000" w:firstRow="0" w:lastRow="0" w:firstColumn="0" w:lastColumn="0" w:oddVBand="0" w:evenVBand="0" w:oddHBand="0" w:evenHBand="0" w:firstRowFirstColumn="0" w:firstRowLastColumn="0" w:lastRowFirstColumn="0" w:lastRowLastColumn="0"/>
            </w:pPr>
          </w:p>
        </w:tc>
      </w:tr>
      <w:tr w:rsidR="00F5517B" w:rsidRPr="003719FC" w14:paraId="786014A1"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1FF685B8" w14:textId="77777777" w:rsidR="00F5517B" w:rsidRPr="003719FC" w:rsidRDefault="00F5517B" w:rsidP="00F5517B">
            <w:pPr>
              <w:pStyle w:val="TableTextSmall"/>
            </w:pPr>
            <w:r w:rsidRPr="003719FC">
              <w:t>Change in Total Lifetime Cost</w:t>
            </w:r>
          </w:p>
        </w:tc>
        <w:tc>
          <w:tcPr>
            <w:tcW w:w="1276" w:type="dxa"/>
            <w:tcBorders>
              <w:left w:val="single" w:sz="4" w:space="0" w:color="E0301E" w:themeColor="accent6"/>
              <w:bottom w:val="nil"/>
              <w:right w:val="single" w:sz="4" w:space="0" w:color="E0301E" w:themeColor="accent6"/>
            </w:tcBorders>
            <w:tcMar>
              <w:left w:w="0" w:type="dxa"/>
              <w:right w:w="0" w:type="dxa"/>
            </w:tcMar>
          </w:tcPr>
          <w:p w14:paraId="4F74A974" w14:textId="380CFB54" w:rsidR="00F5517B" w:rsidRPr="003719FC" w:rsidRDefault="00F5517B" w:rsidP="00F5517B">
            <w:pPr>
              <w:pStyle w:val="TableTextSmall"/>
              <w:jc w:val="center"/>
              <w:cnfStyle w:val="000000100000" w:firstRow="0" w:lastRow="0" w:firstColumn="0" w:lastColumn="0" w:oddVBand="0" w:evenVBand="0" w:oddHBand="1" w:evenHBand="0" w:firstRowFirstColumn="0" w:firstRowLastColumn="0" w:lastRowFirstColumn="0" w:lastRowLastColumn="0"/>
            </w:pPr>
            <w:r w:rsidRPr="000C478A">
              <w:t>-$3bn (-3.7%)</w:t>
            </w:r>
          </w:p>
        </w:tc>
        <w:tc>
          <w:tcPr>
            <w:tcW w:w="992" w:type="dxa"/>
            <w:tcBorders>
              <w:top w:val="nil"/>
              <w:left w:val="single" w:sz="4" w:space="0" w:color="E0301E" w:themeColor="accent6"/>
              <w:bottom w:val="nil"/>
            </w:tcBorders>
            <w:shd w:val="clear" w:color="auto" w:fill="D9D9D9" w:themeFill="background1" w:themeFillShade="D9"/>
          </w:tcPr>
          <w:p w14:paraId="4995972A" w14:textId="77777777" w:rsidR="00F5517B" w:rsidRPr="003719FC" w:rsidRDefault="00F5517B" w:rsidP="00F5517B">
            <w:pPr>
              <w:pStyle w:val="TableTextSmall"/>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tcBorders>
            <w:shd w:val="clear" w:color="auto" w:fill="D9D9D9" w:themeFill="background1" w:themeFillShade="D9"/>
          </w:tcPr>
          <w:p w14:paraId="0AD4FFCD" w14:textId="77777777" w:rsidR="00F5517B" w:rsidRPr="003719FC" w:rsidRDefault="00F5517B" w:rsidP="00F5517B">
            <w:pPr>
              <w:pStyle w:val="TableTextSmall"/>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tcPr>
          <w:p w14:paraId="28661146" w14:textId="77777777" w:rsidR="00F5517B" w:rsidRPr="003719FC" w:rsidRDefault="00F5517B" w:rsidP="00F5517B">
            <w:pPr>
              <w:pStyle w:val="TableTextSmall"/>
              <w:cnfStyle w:val="000000100000" w:firstRow="0" w:lastRow="0" w:firstColumn="0" w:lastColumn="0" w:oddVBand="0" w:evenVBand="0" w:oddHBand="1"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tcPr>
          <w:p w14:paraId="6EB16DF0" w14:textId="77777777" w:rsidR="00F5517B" w:rsidRPr="003719FC" w:rsidRDefault="00F5517B" w:rsidP="00F5517B">
            <w:pPr>
              <w:pStyle w:val="TableTextSmall"/>
              <w:cnfStyle w:val="000000100000" w:firstRow="0" w:lastRow="0" w:firstColumn="0" w:lastColumn="0" w:oddVBand="0" w:evenVBand="0" w:oddHBand="1" w:evenHBand="0" w:firstRowFirstColumn="0" w:firstRowLastColumn="0" w:lastRowFirstColumn="0" w:lastRowLastColumn="0"/>
            </w:pPr>
          </w:p>
        </w:tc>
        <w:tc>
          <w:tcPr>
            <w:tcW w:w="1205" w:type="dxa"/>
            <w:tcBorders>
              <w:top w:val="nil"/>
              <w:bottom w:val="nil"/>
            </w:tcBorders>
            <w:shd w:val="clear" w:color="auto" w:fill="D9D9D9" w:themeFill="background1" w:themeFillShade="D9"/>
          </w:tcPr>
          <w:p w14:paraId="27D38347" w14:textId="77777777" w:rsidR="00F5517B" w:rsidRPr="003719FC" w:rsidRDefault="00F5517B" w:rsidP="00F5517B">
            <w:pPr>
              <w:pStyle w:val="TableTextSmall"/>
              <w:cnfStyle w:val="000000100000" w:firstRow="0" w:lastRow="0" w:firstColumn="0" w:lastColumn="0" w:oddVBand="0" w:evenVBand="0" w:oddHBand="1" w:evenHBand="0" w:firstRowFirstColumn="0" w:firstRowLastColumn="0" w:lastRowFirstColumn="0" w:lastRowLastColumn="0"/>
            </w:pPr>
          </w:p>
        </w:tc>
      </w:tr>
      <w:tr w:rsidR="00F5517B" w:rsidRPr="009210D0" w14:paraId="76152AB9"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19045C87" w14:textId="77777777" w:rsidR="00F5517B" w:rsidRPr="003719FC" w:rsidRDefault="00F5517B" w:rsidP="00F5517B">
            <w:pPr>
              <w:pStyle w:val="TableTextSmall"/>
            </w:pPr>
            <w:r w:rsidRPr="003719FC">
              <w:t xml:space="preserve">Change due to </w:t>
            </w:r>
            <w:r>
              <w:t>People in Class</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tcPr>
          <w:p w14:paraId="575E5A38" w14:textId="651286C7" w:rsidR="00F5517B" w:rsidRPr="003719FC"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pPr>
            <w:r w:rsidRPr="000C478A">
              <w:t>-4.8%</w:t>
            </w:r>
          </w:p>
        </w:tc>
        <w:tc>
          <w:tcPr>
            <w:tcW w:w="992" w:type="dxa"/>
            <w:tcBorders>
              <w:top w:val="nil"/>
              <w:left w:val="single" w:sz="4" w:space="0" w:color="E0301E" w:themeColor="accent6"/>
              <w:bottom w:val="single" w:sz="4" w:space="0" w:color="E0301E" w:themeColor="accent6"/>
            </w:tcBorders>
            <w:shd w:val="clear" w:color="auto" w:fill="D9D9D9" w:themeFill="background1" w:themeFillShade="D9"/>
          </w:tcPr>
          <w:p w14:paraId="59B7F281" w14:textId="77777777" w:rsidR="00F5517B" w:rsidRPr="003719FC" w:rsidRDefault="00F5517B" w:rsidP="00F5517B">
            <w:pPr>
              <w:pStyle w:val="TableTextSmall"/>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tcBorders>
            <w:shd w:val="clear" w:color="auto" w:fill="D9D9D9" w:themeFill="background1" w:themeFillShade="D9"/>
          </w:tcPr>
          <w:p w14:paraId="00DF28BE" w14:textId="77777777" w:rsidR="00F5517B" w:rsidRPr="003719FC" w:rsidRDefault="00F5517B" w:rsidP="00F5517B">
            <w:pPr>
              <w:pStyle w:val="TableTextSmall"/>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right w:val="nil"/>
            </w:tcBorders>
            <w:shd w:val="clear" w:color="auto" w:fill="D9D9D9" w:themeFill="background1" w:themeFillShade="D9"/>
          </w:tcPr>
          <w:p w14:paraId="0C2AA764" w14:textId="77777777" w:rsidR="00F5517B" w:rsidRPr="003719FC" w:rsidRDefault="00F5517B" w:rsidP="00F5517B">
            <w:pPr>
              <w:pStyle w:val="TableTextSmall"/>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single" w:sz="4" w:space="0" w:color="E0301E" w:themeColor="accent6"/>
            </w:tcBorders>
            <w:shd w:val="clear" w:color="auto" w:fill="D9D9D9" w:themeFill="background1" w:themeFillShade="D9"/>
          </w:tcPr>
          <w:p w14:paraId="5B645ACE" w14:textId="77777777" w:rsidR="00F5517B" w:rsidRPr="003719FC" w:rsidRDefault="00F5517B" w:rsidP="00F5517B">
            <w:pPr>
              <w:pStyle w:val="TableTextSmall"/>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single" w:sz="4" w:space="0" w:color="E0301E" w:themeColor="accent6"/>
            </w:tcBorders>
            <w:shd w:val="clear" w:color="auto" w:fill="D9D9D9" w:themeFill="background1" w:themeFillShade="D9"/>
          </w:tcPr>
          <w:p w14:paraId="33FC6E03" w14:textId="77777777" w:rsidR="00F5517B" w:rsidRPr="003719FC" w:rsidRDefault="00F5517B" w:rsidP="00F5517B">
            <w:pPr>
              <w:pStyle w:val="TableTextSmall"/>
              <w:cnfStyle w:val="000000000000" w:firstRow="0" w:lastRow="0" w:firstColumn="0" w:lastColumn="0" w:oddVBand="0" w:evenVBand="0" w:oddHBand="0" w:evenHBand="0" w:firstRowFirstColumn="0" w:firstRowLastColumn="0" w:lastRowFirstColumn="0" w:lastRowLastColumn="0"/>
            </w:pPr>
          </w:p>
        </w:tc>
      </w:tr>
      <w:tr w:rsidR="00F5517B" w:rsidRPr="009210D0" w14:paraId="767F7B8F"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2514FFE8" w14:textId="77777777" w:rsidR="00F5517B" w:rsidRPr="003719FC" w:rsidRDefault="00F5517B" w:rsidP="00F5517B">
            <w:pPr>
              <w:pStyle w:val="TableTextSmall"/>
            </w:pPr>
            <w:r w:rsidRPr="003719FC">
              <w:t>Change due to Average Lifetime Cost</w:t>
            </w:r>
          </w:p>
        </w:tc>
        <w:tc>
          <w:tcPr>
            <w:tcW w:w="1276" w:type="dxa"/>
            <w:tcBorders>
              <w:left w:val="single" w:sz="4" w:space="0" w:color="E0301E" w:themeColor="accent6"/>
              <w:bottom w:val="nil"/>
              <w:right w:val="single" w:sz="4" w:space="0" w:color="E0301E" w:themeColor="accent6"/>
            </w:tcBorders>
          </w:tcPr>
          <w:p w14:paraId="31AA3522" w14:textId="12C96227" w:rsidR="00F5517B" w:rsidRPr="003719FC" w:rsidRDefault="00F5517B" w:rsidP="00F5517B">
            <w:pPr>
              <w:pStyle w:val="TableTextSmall"/>
              <w:jc w:val="center"/>
              <w:cnfStyle w:val="000000100000" w:firstRow="0" w:lastRow="0" w:firstColumn="0" w:lastColumn="0" w:oddVBand="0" w:evenVBand="0" w:oddHBand="1" w:evenHBand="0" w:firstRowFirstColumn="0" w:firstRowLastColumn="0" w:lastRowFirstColumn="0" w:lastRowLastColumn="0"/>
            </w:pPr>
            <w:r w:rsidRPr="000C478A">
              <w:t>+$2k (+1.1%)</w:t>
            </w:r>
          </w:p>
        </w:tc>
        <w:tc>
          <w:tcPr>
            <w:tcW w:w="992" w:type="dxa"/>
            <w:tcBorders>
              <w:left w:val="single" w:sz="4" w:space="0" w:color="E0301E" w:themeColor="accent6"/>
              <w:bottom w:val="nil"/>
            </w:tcBorders>
          </w:tcPr>
          <w:p w14:paraId="69C528A0" w14:textId="52C72E2F" w:rsidR="00F5517B" w:rsidRPr="00590494" w:rsidRDefault="00F5517B" w:rsidP="00F5517B">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0C478A">
              <w:t>-$1k</w:t>
            </w:r>
          </w:p>
        </w:tc>
        <w:tc>
          <w:tcPr>
            <w:tcW w:w="992" w:type="dxa"/>
            <w:tcBorders>
              <w:bottom w:val="nil"/>
            </w:tcBorders>
          </w:tcPr>
          <w:p w14:paraId="4BB462B5" w14:textId="3E43ADDF" w:rsidR="00F5517B" w:rsidRPr="003719FC" w:rsidRDefault="00F5517B" w:rsidP="00F5517B">
            <w:pPr>
              <w:pStyle w:val="TableTextSmall"/>
              <w:jc w:val="center"/>
              <w:cnfStyle w:val="000000100000" w:firstRow="0" w:lastRow="0" w:firstColumn="0" w:lastColumn="0" w:oddVBand="0" w:evenVBand="0" w:oddHBand="1" w:evenHBand="0" w:firstRowFirstColumn="0" w:firstRowLastColumn="0" w:lastRowFirstColumn="0" w:lastRowLastColumn="0"/>
            </w:pPr>
            <w:r w:rsidRPr="000C478A">
              <w:t>-$3k</w:t>
            </w:r>
          </w:p>
        </w:tc>
        <w:tc>
          <w:tcPr>
            <w:tcW w:w="992" w:type="dxa"/>
            <w:tcBorders>
              <w:bottom w:val="nil"/>
              <w:right w:val="dashed" w:sz="4" w:space="0" w:color="E0301E" w:themeColor="accent6"/>
            </w:tcBorders>
          </w:tcPr>
          <w:p w14:paraId="623B98C3" w14:textId="457213F6" w:rsidR="00F5517B" w:rsidRPr="003719FC" w:rsidRDefault="00F5517B" w:rsidP="00F5517B">
            <w:pPr>
              <w:pStyle w:val="TableTextSmall"/>
              <w:jc w:val="center"/>
              <w:cnfStyle w:val="000000100000" w:firstRow="0" w:lastRow="0" w:firstColumn="0" w:lastColumn="0" w:oddVBand="0" w:evenVBand="0" w:oddHBand="1" w:evenHBand="0" w:firstRowFirstColumn="0" w:firstRowLastColumn="0" w:lastRowFirstColumn="0" w:lastRowLastColumn="0"/>
            </w:pPr>
            <w:r w:rsidRPr="000C478A">
              <w:t>+$6k</w:t>
            </w:r>
          </w:p>
        </w:tc>
        <w:tc>
          <w:tcPr>
            <w:tcW w:w="1205" w:type="dxa"/>
            <w:tcBorders>
              <w:left w:val="dashed" w:sz="4" w:space="0" w:color="E0301E" w:themeColor="accent6"/>
              <w:bottom w:val="nil"/>
            </w:tcBorders>
          </w:tcPr>
          <w:p w14:paraId="236056F8" w14:textId="447496F0" w:rsidR="00F5517B" w:rsidRPr="003719FC" w:rsidRDefault="00F5517B" w:rsidP="00F5517B">
            <w:pPr>
              <w:pStyle w:val="TableTextSmall"/>
              <w:jc w:val="center"/>
              <w:cnfStyle w:val="000000100000" w:firstRow="0" w:lastRow="0" w:firstColumn="0" w:lastColumn="0" w:oddVBand="0" w:evenVBand="0" w:oddHBand="1" w:evenHBand="0" w:firstRowFirstColumn="0" w:firstRowLastColumn="0" w:lastRowFirstColumn="0" w:lastRowLastColumn="0"/>
            </w:pPr>
            <w:r w:rsidRPr="000C478A">
              <w:t>+$2k</w:t>
            </w:r>
          </w:p>
        </w:tc>
        <w:tc>
          <w:tcPr>
            <w:tcW w:w="1205" w:type="dxa"/>
            <w:tcBorders>
              <w:bottom w:val="nil"/>
            </w:tcBorders>
          </w:tcPr>
          <w:p w14:paraId="41F531AC" w14:textId="47CF5578" w:rsidR="00F5517B" w:rsidRPr="00F5517B" w:rsidRDefault="00F5517B" w:rsidP="00F5517B">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517B">
              <w:rPr>
                <w:color w:val="A6A6A6" w:themeColor="background1" w:themeShade="A6"/>
              </w:rPr>
              <w:t>&lt;$1k</w:t>
            </w:r>
          </w:p>
        </w:tc>
      </w:tr>
      <w:tr w:rsidR="00F5517B" w:rsidRPr="009210D0" w14:paraId="297BC9F3"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13B40241" w14:textId="77777777" w:rsidR="00F5517B" w:rsidRPr="002E4244" w:rsidRDefault="00F5517B" w:rsidP="00F5517B">
            <w:pPr>
              <w:pStyle w:val="TableTextSmall"/>
              <w:rPr>
                <w:b w:val="0"/>
                <w:bCs w:val="0"/>
              </w:rPr>
            </w:pPr>
            <w:r w:rsidRPr="002E4244">
              <w:t>- Impact of change in inflation</w:t>
            </w:r>
          </w:p>
        </w:tc>
        <w:tc>
          <w:tcPr>
            <w:tcW w:w="1276" w:type="dxa"/>
            <w:tcBorders>
              <w:top w:val="nil"/>
              <w:left w:val="single" w:sz="4" w:space="0" w:color="E0301E" w:themeColor="accent6"/>
              <w:bottom w:val="nil"/>
              <w:right w:val="single" w:sz="4" w:space="0" w:color="E0301E" w:themeColor="accent6"/>
            </w:tcBorders>
          </w:tcPr>
          <w:p w14:paraId="7BC74144" w14:textId="780EC617" w:rsidR="00F5517B" w:rsidRPr="003719FC"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C478A">
              <w:t>+$9k</w:t>
            </w:r>
          </w:p>
        </w:tc>
        <w:tc>
          <w:tcPr>
            <w:tcW w:w="992" w:type="dxa"/>
            <w:tcBorders>
              <w:top w:val="nil"/>
              <w:left w:val="single" w:sz="4" w:space="0" w:color="E0301E" w:themeColor="accent6"/>
              <w:bottom w:val="nil"/>
            </w:tcBorders>
          </w:tcPr>
          <w:p w14:paraId="261FBCC0" w14:textId="69D256F7"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F5517B">
              <w:rPr>
                <w:color w:val="A6A6A6" w:themeColor="background1" w:themeShade="A6"/>
              </w:rPr>
              <w:t>&lt;$1k</w:t>
            </w:r>
          </w:p>
        </w:tc>
        <w:tc>
          <w:tcPr>
            <w:tcW w:w="992" w:type="dxa"/>
            <w:tcBorders>
              <w:top w:val="nil"/>
              <w:bottom w:val="nil"/>
            </w:tcBorders>
          </w:tcPr>
          <w:p w14:paraId="2A98CCB8" w14:textId="455F3040" w:rsidR="00F5517B" w:rsidRPr="003719FC"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C478A">
              <w:t>+$3k</w:t>
            </w:r>
          </w:p>
        </w:tc>
        <w:tc>
          <w:tcPr>
            <w:tcW w:w="992" w:type="dxa"/>
            <w:tcBorders>
              <w:top w:val="nil"/>
              <w:bottom w:val="nil"/>
              <w:right w:val="dashed" w:sz="4" w:space="0" w:color="E0301E" w:themeColor="accent6"/>
            </w:tcBorders>
          </w:tcPr>
          <w:p w14:paraId="42F286CF" w14:textId="6FCADE04" w:rsidR="00F5517B" w:rsidRPr="003719FC"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C478A">
              <w:t>+$3k</w:t>
            </w:r>
          </w:p>
        </w:tc>
        <w:tc>
          <w:tcPr>
            <w:tcW w:w="1205" w:type="dxa"/>
            <w:tcBorders>
              <w:top w:val="nil"/>
              <w:left w:val="dashed" w:sz="4" w:space="0" w:color="E0301E" w:themeColor="accent6"/>
              <w:bottom w:val="nil"/>
            </w:tcBorders>
          </w:tcPr>
          <w:p w14:paraId="6D2A967A" w14:textId="54B42654" w:rsidR="00F5517B" w:rsidRPr="00D40358"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0C478A">
              <w:t>+$2k</w:t>
            </w:r>
          </w:p>
        </w:tc>
        <w:tc>
          <w:tcPr>
            <w:tcW w:w="1205" w:type="dxa"/>
            <w:tcBorders>
              <w:top w:val="nil"/>
              <w:bottom w:val="nil"/>
            </w:tcBorders>
          </w:tcPr>
          <w:p w14:paraId="15DBBA03" w14:textId="1E2F4D7E"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F5517B">
              <w:rPr>
                <w:color w:val="A6A6A6" w:themeColor="background1" w:themeShade="A6"/>
              </w:rPr>
              <w:t>&lt;$1k</w:t>
            </w:r>
          </w:p>
        </w:tc>
      </w:tr>
      <w:tr w:rsidR="007C4F65" w:rsidRPr="009210D0" w14:paraId="362D7C2D"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0CFF4659" w14:textId="77777777" w:rsidR="007C4F65" w:rsidRPr="003719FC" w:rsidRDefault="007C4F65" w:rsidP="007C4F65">
            <w:pPr>
              <w:pStyle w:val="TableTextSmall"/>
            </w:pPr>
            <w:r w:rsidRPr="003719FC">
              <w:t>- Impact of policy changes</w:t>
            </w:r>
          </w:p>
        </w:tc>
        <w:tc>
          <w:tcPr>
            <w:tcW w:w="1276" w:type="dxa"/>
            <w:tcBorders>
              <w:top w:val="nil"/>
              <w:left w:val="single" w:sz="4" w:space="0" w:color="E0301E" w:themeColor="accent6"/>
              <w:bottom w:val="nil"/>
              <w:right w:val="single" w:sz="4" w:space="0" w:color="E0301E" w:themeColor="accent6"/>
            </w:tcBorders>
          </w:tcPr>
          <w:p w14:paraId="383A7A5B" w14:textId="17BCA09C"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517B">
              <w:rPr>
                <w:color w:val="A6A6A6" w:themeColor="background1" w:themeShade="A6"/>
              </w:rPr>
              <w:t>&lt;$1k</w:t>
            </w:r>
          </w:p>
        </w:tc>
        <w:tc>
          <w:tcPr>
            <w:tcW w:w="992" w:type="dxa"/>
            <w:tcBorders>
              <w:top w:val="nil"/>
              <w:left w:val="single" w:sz="4" w:space="0" w:color="E0301E" w:themeColor="accent6"/>
              <w:bottom w:val="nil"/>
            </w:tcBorders>
          </w:tcPr>
          <w:p w14:paraId="3674CD7A" w14:textId="1908D457"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372680">
              <w:rPr>
                <w:color w:val="A6A6A6" w:themeColor="background1" w:themeShade="A6"/>
              </w:rPr>
              <w:t>&lt;$1k</w:t>
            </w:r>
          </w:p>
        </w:tc>
        <w:tc>
          <w:tcPr>
            <w:tcW w:w="992" w:type="dxa"/>
            <w:tcBorders>
              <w:top w:val="nil"/>
              <w:bottom w:val="nil"/>
            </w:tcBorders>
          </w:tcPr>
          <w:p w14:paraId="39FB81AF" w14:textId="1E6E4E5B"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372680">
              <w:rPr>
                <w:color w:val="A6A6A6" w:themeColor="background1" w:themeShade="A6"/>
              </w:rPr>
              <w:t>&lt;$1k</w:t>
            </w:r>
          </w:p>
        </w:tc>
        <w:tc>
          <w:tcPr>
            <w:tcW w:w="992" w:type="dxa"/>
            <w:tcBorders>
              <w:top w:val="nil"/>
              <w:bottom w:val="nil"/>
              <w:right w:val="dashed" w:sz="4" w:space="0" w:color="E0301E" w:themeColor="accent6"/>
            </w:tcBorders>
          </w:tcPr>
          <w:p w14:paraId="00AAF18B" w14:textId="08C0AE57"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517B">
              <w:rPr>
                <w:color w:val="A6A6A6" w:themeColor="background1" w:themeShade="A6"/>
              </w:rPr>
              <w:t>&lt;$1k</w:t>
            </w:r>
          </w:p>
        </w:tc>
        <w:tc>
          <w:tcPr>
            <w:tcW w:w="1205" w:type="dxa"/>
            <w:tcBorders>
              <w:top w:val="nil"/>
              <w:left w:val="dashed" w:sz="4" w:space="0" w:color="E0301E" w:themeColor="accent6"/>
              <w:bottom w:val="nil"/>
            </w:tcBorders>
          </w:tcPr>
          <w:p w14:paraId="3901023E" w14:textId="62ECE957"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517B">
              <w:rPr>
                <w:color w:val="A6A6A6" w:themeColor="background1" w:themeShade="A6"/>
              </w:rPr>
              <w:t>&lt;$1k</w:t>
            </w:r>
          </w:p>
        </w:tc>
        <w:tc>
          <w:tcPr>
            <w:tcW w:w="1205" w:type="dxa"/>
            <w:tcBorders>
              <w:top w:val="nil"/>
              <w:bottom w:val="nil"/>
            </w:tcBorders>
          </w:tcPr>
          <w:p w14:paraId="76BFC675" w14:textId="373F2394"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517B">
              <w:rPr>
                <w:color w:val="A6A6A6" w:themeColor="background1" w:themeShade="A6"/>
              </w:rPr>
              <w:t>&lt;$1k</w:t>
            </w:r>
            <w:r w:rsidRPr="00F5517B" w:rsidDel="007C4F65">
              <w:rPr>
                <w:color w:val="A6A6A6" w:themeColor="background1" w:themeShade="A6"/>
              </w:rPr>
              <w:t xml:space="preserve"> </w:t>
            </w:r>
          </w:p>
        </w:tc>
      </w:tr>
      <w:tr w:rsidR="00F5517B" w:rsidRPr="009210D0" w14:paraId="05D682DF"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0A01A5FD" w14:textId="77777777" w:rsidR="00F5517B" w:rsidRPr="003719FC" w:rsidRDefault="00F5517B" w:rsidP="00F5517B">
            <w:pPr>
              <w:pStyle w:val="TableTextSmall"/>
              <w:rPr>
                <w:b w:val="0"/>
              </w:rPr>
            </w:pPr>
            <w:r w:rsidRPr="003719FC">
              <w:t>- Impact of other changes</w:t>
            </w:r>
          </w:p>
        </w:tc>
        <w:tc>
          <w:tcPr>
            <w:tcW w:w="1276" w:type="dxa"/>
            <w:tcBorders>
              <w:top w:val="nil"/>
              <w:left w:val="single" w:sz="4" w:space="0" w:color="E0301E" w:themeColor="accent6"/>
              <w:right w:val="single" w:sz="4" w:space="0" w:color="E0301E" w:themeColor="accent6"/>
            </w:tcBorders>
          </w:tcPr>
          <w:p w14:paraId="7C499401" w14:textId="0C44A8A7" w:rsidR="00F5517B" w:rsidRPr="00D40358"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highlight w:val="yellow"/>
              </w:rPr>
            </w:pPr>
            <w:r w:rsidRPr="000C478A">
              <w:t>-$7k</w:t>
            </w:r>
          </w:p>
        </w:tc>
        <w:tc>
          <w:tcPr>
            <w:tcW w:w="992" w:type="dxa"/>
            <w:tcBorders>
              <w:top w:val="nil"/>
              <w:left w:val="single" w:sz="4" w:space="0" w:color="E0301E" w:themeColor="accent6"/>
            </w:tcBorders>
          </w:tcPr>
          <w:p w14:paraId="2DBFD3F0" w14:textId="4106D7E0" w:rsidR="00F5517B" w:rsidRPr="00590494"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highlight w:val="yellow"/>
              </w:rPr>
            </w:pPr>
            <w:r w:rsidRPr="000C478A">
              <w:t>-$1k</w:t>
            </w:r>
          </w:p>
        </w:tc>
        <w:tc>
          <w:tcPr>
            <w:tcW w:w="992" w:type="dxa"/>
            <w:tcBorders>
              <w:top w:val="nil"/>
            </w:tcBorders>
          </w:tcPr>
          <w:p w14:paraId="3332757B" w14:textId="3E94719C" w:rsidR="00F5517B" w:rsidRPr="009210D0"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highlight w:val="yellow"/>
              </w:rPr>
            </w:pPr>
            <w:r w:rsidRPr="000C478A">
              <w:t>-$6k</w:t>
            </w:r>
          </w:p>
        </w:tc>
        <w:tc>
          <w:tcPr>
            <w:tcW w:w="992" w:type="dxa"/>
            <w:tcBorders>
              <w:top w:val="nil"/>
              <w:right w:val="dashed" w:sz="4" w:space="0" w:color="E0301E" w:themeColor="accent6"/>
            </w:tcBorders>
          </w:tcPr>
          <w:p w14:paraId="31D1BA9D" w14:textId="5FD74137" w:rsidR="00F5517B" w:rsidRPr="009210D0"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808080"/>
                <w:highlight w:val="yellow"/>
              </w:rPr>
            </w:pPr>
            <w:r w:rsidRPr="000C478A">
              <w:t>+$2k</w:t>
            </w:r>
          </w:p>
        </w:tc>
        <w:tc>
          <w:tcPr>
            <w:tcW w:w="1205" w:type="dxa"/>
            <w:tcBorders>
              <w:top w:val="nil"/>
              <w:left w:val="dashed" w:sz="4" w:space="0" w:color="E0301E" w:themeColor="accent6"/>
            </w:tcBorders>
          </w:tcPr>
          <w:p w14:paraId="55F0E516" w14:textId="5FEDC920"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highlight w:val="yellow"/>
              </w:rPr>
            </w:pPr>
            <w:r w:rsidRPr="00F5517B">
              <w:rPr>
                <w:color w:val="A6A6A6" w:themeColor="background1" w:themeShade="A6"/>
              </w:rPr>
              <w:t>&lt;$1k</w:t>
            </w:r>
          </w:p>
        </w:tc>
        <w:tc>
          <w:tcPr>
            <w:tcW w:w="1205" w:type="dxa"/>
            <w:tcBorders>
              <w:top w:val="nil"/>
            </w:tcBorders>
          </w:tcPr>
          <w:p w14:paraId="159164D9" w14:textId="4049AAEA" w:rsidR="00F5517B" w:rsidRPr="00590494"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highlight w:val="yellow"/>
              </w:rPr>
            </w:pPr>
            <w:r w:rsidRPr="000C478A">
              <w:t>-$2k</w:t>
            </w:r>
          </w:p>
        </w:tc>
      </w:tr>
    </w:tbl>
    <w:p w14:paraId="116754AB" w14:textId="77777777" w:rsidR="00B51738" w:rsidRPr="00D26560" w:rsidRDefault="00B51738" w:rsidP="00B51738">
      <w:pPr>
        <w:pStyle w:val="Sources"/>
      </w:pPr>
      <w:r w:rsidRPr="00D26560">
        <w:t>Note that payment categories H, I and J have been included in family supplements and the remaining non income support payment categories in other supplements.</w:t>
      </w:r>
    </w:p>
    <w:p w14:paraId="4427EBAD" w14:textId="77777777" w:rsidR="00B51738" w:rsidRPr="005F7C50" w:rsidRDefault="00B51738" w:rsidP="00B51738">
      <w:pPr>
        <w:pStyle w:val="PwCNormal"/>
        <w:numPr>
          <w:ilvl w:val="0"/>
          <w:numId w:val="0"/>
        </w:numPr>
      </w:pPr>
      <w:r w:rsidRPr="00893673">
        <w:t xml:space="preserve">The </w:t>
      </w:r>
      <w:r w:rsidRPr="005F7C50">
        <w:t>increase in average lifetime cost has been primarily driven by:</w:t>
      </w:r>
    </w:p>
    <w:p w14:paraId="4A893798" w14:textId="321CC400" w:rsidR="00B51738" w:rsidRPr="005F7C50" w:rsidRDefault="008D0F43" w:rsidP="00DC45A8">
      <w:pPr>
        <w:pStyle w:val="ListBullet"/>
      </w:pPr>
      <w:r w:rsidRPr="005F7C50">
        <w:t>an increase in the cost of future payments as a result of inflation; and</w:t>
      </w:r>
      <w:r w:rsidR="00DC45A8" w:rsidRPr="005F7C50">
        <w:t xml:space="preserve"> </w:t>
      </w:r>
    </w:p>
    <w:p w14:paraId="0D26A3B4" w14:textId="2664F977" w:rsidR="00B51738" w:rsidRPr="005F7C50" w:rsidRDefault="00B51738" w:rsidP="002757B8">
      <w:pPr>
        <w:pStyle w:val="ListBullet"/>
      </w:pPr>
      <w:r w:rsidRPr="005F7C50">
        <w:t>an increase in the expected amount of Age Pension payments</w:t>
      </w:r>
      <w:r w:rsidR="00305715">
        <w:t xml:space="preserve"> - the average Age Pension size has been adjusted in response to the observed increase in average payments to new pensioners</w:t>
      </w:r>
      <w:r w:rsidRPr="005F7C50">
        <w:t>.</w:t>
      </w:r>
    </w:p>
    <w:p w14:paraId="71F0E862" w14:textId="77777777" w:rsidR="007C4F65" w:rsidRPr="005F7C50" w:rsidRDefault="007C4F65" w:rsidP="007C4F65">
      <w:pPr>
        <w:pStyle w:val="PwCNormal"/>
        <w:numPr>
          <w:ilvl w:val="0"/>
          <w:numId w:val="0"/>
        </w:numPr>
      </w:pPr>
      <w:r w:rsidRPr="005F7C50">
        <w:t>These increases have been partially offset by:</w:t>
      </w:r>
    </w:p>
    <w:p w14:paraId="420FF029" w14:textId="77777777" w:rsidR="007C4F65" w:rsidRPr="00FF462B" w:rsidRDefault="007C4F65" w:rsidP="007C4F65">
      <w:pPr>
        <w:pStyle w:val="ListBullet"/>
      </w:pPr>
      <w:r w:rsidRPr="005F7C50">
        <w:t xml:space="preserve">a decrease in the likelihood of transitioning to the </w:t>
      </w:r>
      <w:r>
        <w:t xml:space="preserve">Working Age </w:t>
      </w:r>
      <w:r w:rsidRPr="005F7C50">
        <w:t xml:space="preserve">class, which reduces the contribution </w:t>
      </w:r>
      <w:r w:rsidRPr="00FF462B">
        <w:t xml:space="preserve">of </w:t>
      </w:r>
      <w:r>
        <w:t xml:space="preserve">Working Age </w:t>
      </w:r>
      <w:r w:rsidRPr="00FF462B">
        <w:t>payments to the average lifetime cost for people in the Studying class; and</w:t>
      </w:r>
    </w:p>
    <w:p w14:paraId="787D38C5" w14:textId="7B25E37C" w:rsidR="007C4F65" w:rsidRPr="00FF462B" w:rsidRDefault="007C4F65" w:rsidP="007C4F65">
      <w:pPr>
        <w:pStyle w:val="ListBullet"/>
      </w:pPr>
      <w:r w:rsidRPr="00FF462B">
        <w:t xml:space="preserve">a small decrease in the expected </w:t>
      </w:r>
      <w:r w:rsidR="00C30540">
        <w:t>amount of Other Study &amp; Skills supplements</w:t>
      </w:r>
      <w:r w:rsidR="00C30540" w:rsidRPr="00FF462B">
        <w:t xml:space="preserve"> </w:t>
      </w:r>
      <w:r w:rsidRPr="00FF462B">
        <w:t>received</w:t>
      </w:r>
      <w:r w:rsidR="00C30540">
        <w:t>,</w:t>
      </w:r>
      <w:r w:rsidRPr="00FF462B">
        <w:t xml:space="preserve"> reflecting the lower expected uptake of the Student Start-up Loan</w:t>
      </w:r>
      <w:r w:rsidR="00E84DE4">
        <w:t xml:space="preserve"> (impact </w:t>
      </w:r>
      <w:r w:rsidR="00BE516C">
        <w:t xml:space="preserve">on average lifetime cost </w:t>
      </w:r>
      <w:r w:rsidR="00E84DE4">
        <w:t xml:space="preserve">&lt;$1k), along with </w:t>
      </w:r>
      <w:r w:rsidR="00BE516C">
        <w:t>other small changes relating to the Other Supplements which together resulting in a small average lifetime cost decrease of $2k</w:t>
      </w:r>
      <w:r w:rsidRPr="00FF462B">
        <w:t>.</w:t>
      </w:r>
    </w:p>
    <w:p w14:paraId="130315E1" w14:textId="56212A56" w:rsidR="00A703D8" w:rsidRPr="00A06063" w:rsidRDefault="00A703D8" w:rsidP="00A703D8">
      <w:pPr>
        <w:pStyle w:val="Minorheading"/>
      </w:pPr>
      <w:r w:rsidRPr="00A06063">
        <w:t>Future outcomes</w:t>
      </w:r>
    </w:p>
    <w:p w14:paraId="0E13D94B" w14:textId="77777777" w:rsidR="00132DE6" w:rsidRPr="00A06063" w:rsidRDefault="00132DE6" w:rsidP="00132DE6">
      <w:pPr>
        <w:pStyle w:val="PwCNormal"/>
        <w:keepNext/>
        <w:numPr>
          <w:ilvl w:val="0"/>
          <w:numId w:val="0"/>
        </w:numPr>
      </w:pPr>
      <w:r w:rsidRPr="00A06063">
        <w:t xml:space="preserve">In developing the valuation results the projection model also produces information on the expected transitions for people out of each class, as shown below. </w:t>
      </w:r>
      <w:r>
        <w:t>We’ve also included equivalent projections from the previous valuation and these are shown for both the current class and the total active classes with the two white dashed lines.</w:t>
      </w:r>
    </w:p>
    <w:p w14:paraId="3D41F158" w14:textId="779503B4" w:rsidR="00A703D8" w:rsidRPr="00A06063" w:rsidRDefault="00A703D8" w:rsidP="00A703D8">
      <w:pPr>
        <w:pStyle w:val="Caption"/>
      </w:pPr>
      <w:r w:rsidRPr="00A06063">
        <w:t xml:space="preserve">Figure </w:t>
      </w:r>
      <w:fldSimple w:instr=" SEQ Figure \* ARABIC ">
        <w:r w:rsidR="00C93C1A">
          <w:rPr>
            <w:noProof/>
          </w:rPr>
          <w:t>54</w:t>
        </w:r>
      </w:fldSimple>
      <w:r w:rsidRPr="00A06063">
        <w:t xml:space="preserve">: Expected future trajectory for people in </w:t>
      </w:r>
      <w:r w:rsidR="00871E70">
        <w:t>c</w:t>
      </w:r>
      <w:r w:rsidRPr="00A06063">
        <w:t>lass 1</w:t>
      </w:r>
    </w:p>
    <w:tbl>
      <w:tblPr>
        <w:tblStyle w:val="Tables-APBase"/>
        <w:tblW w:w="497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902"/>
        <w:gridCol w:w="3131"/>
      </w:tblGrid>
      <w:tr w:rsidR="00A703D8" w:rsidRPr="009210D0" w14:paraId="7A77918E" w14:textId="77777777" w:rsidTr="00A703D8">
        <w:trPr>
          <w:tblHeader/>
        </w:trPr>
        <w:tc>
          <w:tcPr>
            <w:tcW w:w="6436" w:type="dxa"/>
            <w:hideMark/>
          </w:tcPr>
          <w:p w14:paraId="25D48C05" w14:textId="77777777" w:rsidR="00A703D8" w:rsidRPr="00892C24" w:rsidRDefault="00A703D8" w:rsidP="00A703D8">
            <w:pPr>
              <w:pStyle w:val="TableTextSmall"/>
            </w:pPr>
            <w:r w:rsidRPr="00892C24">
              <w:rPr>
                <w:noProof/>
                <w:lang w:eastAsia="en-AU"/>
              </w:rPr>
              <w:drawing>
                <wp:inline distT="0" distB="0" distL="0" distR="0" wp14:anchorId="03784602" wp14:editId="5AA08C7A">
                  <wp:extent cx="4021400" cy="2160000"/>
                  <wp:effectExtent l="0" t="0" r="0" b="0"/>
                  <wp:docPr id="56" name="Picture 56" descr="This figure is a vertical bar chart. The horizontal axis shows the years 2017 to 2047. The 3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e chart is based on the 371,000 individuals who were in the studying class at 30 June 2017. It shows that 91% of people are projected to have transitioned out of the studying class in 5 years’ time, with the most common transitions over this time period into the previous welfare recipient, working age, parents and non-income support family classes. By 2022, over half of the group are expected to have transitioned into the previous welfare recipient class. The proportion of the group projected to receive working age benefits in 2027 is around 8% and this remains relatively steady until around 2047, after which many of these people are projected to transition to the pension age class. The proportion of this group who are in the non-income support family class is projected to increase from 0% in 2017 to 19% in 2027, and then to a peak of nearly 23% in 2032, before decreasing again.&#10;&#10;The Jun16 proportion of people in all active classes and the Jun16 proportion of people in the Studying class are also shown. In both cases, the proportion of people in Jun17 is between 0% - 5% lower than in the previous year. &#10;&#10;The features shown in the chart are discussed further in the accompanying text within the report.&#10;" title="Expected future trajectory for people in cla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21400" cy="2160000"/>
                          </a:xfrm>
                          <a:prstGeom prst="rect">
                            <a:avLst/>
                          </a:prstGeom>
                          <a:noFill/>
                          <a:ln>
                            <a:noFill/>
                          </a:ln>
                        </pic:spPr>
                      </pic:pic>
                    </a:graphicData>
                  </a:graphic>
                </wp:inline>
              </w:drawing>
            </w:r>
          </w:p>
        </w:tc>
        <w:tc>
          <w:tcPr>
            <w:tcW w:w="2920" w:type="dxa"/>
          </w:tcPr>
          <w:p w14:paraId="660C677E" w14:textId="77777777" w:rsidR="00A703D8" w:rsidRPr="00892C24" w:rsidRDefault="00A703D8" w:rsidP="00A703D8">
            <w:pPr>
              <w:pStyle w:val="TableTextSmall"/>
            </w:pPr>
          </w:p>
          <w:p w14:paraId="4ED5C872" w14:textId="4BC4B061" w:rsidR="00A703D8" w:rsidRPr="00892C24" w:rsidRDefault="003668BA" w:rsidP="00A703D8">
            <w:pPr>
              <w:pStyle w:val="TableTextSmall"/>
            </w:pPr>
            <w:r w:rsidRPr="003668BA">
              <w:rPr>
                <w:noProof/>
                <w:lang w:eastAsia="en-AU"/>
              </w:rPr>
              <w:drawing>
                <wp:inline distT="0" distB="0" distL="0" distR="0" wp14:anchorId="508648CC" wp14:editId="504EEE0A">
                  <wp:extent cx="1440000" cy="1779387"/>
                  <wp:effectExtent l="0" t="0" r="0" b="0"/>
                  <wp:docPr id="3893" name="Picture 3893"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tc>
      </w:tr>
    </w:tbl>
    <w:p w14:paraId="067DA23E" w14:textId="77777777" w:rsidR="00132DE6" w:rsidRPr="00892C24" w:rsidRDefault="00132DE6" w:rsidP="00132DE6">
      <w:pPr>
        <w:pStyle w:val="PwCNormal"/>
        <w:numPr>
          <w:ilvl w:val="0"/>
          <w:numId w:val="0"/>
        </w:numPr>
      </w:pPr>
      <w:r w:rsidRPr="00892C24">
        <w:t xml:space="preserve">Some observations we can make based on our analysis are that: </w:t>
      </w:r>
    </w:p>
    <w:p w14:paraId="1CC5E50A" w14:textId="44D77B0F" w:rsidR="00132DE6" w:rsidRPr="00892C24" w:rsidRDefault="00132DE6" w:rsidP="00964D65">
      <w:pPr>
        <w:pStyle w:val="Bullet1"/>
        <w:numPr>
          <w:ilvl w:val="0"/>
          <w:numId w:val="34"/>
        </w:numPr>
      </w:pPr>
      <w:r>
        <w:t>Similar to last year</w:t>
      </w:r>
      <w:r w:rsidRPr="00892C24">
        <w:t xml:space="preserve"> </w:t>
      </w:r>
      <w:r>
        <w:t xml:space="preserve">about 90% of </w:t>
      </w:r>
      <w:r w:rsidRPr="00892C24">
        <w:t xml:space="preserve">people </w:t>
      </w:r>
      <w:r>
        <w:t xml:space="preserve">are projected to </w:t>
      </w:r>
      <w:r w:rsidRPr="00892C24">
        <w:t xml:space="preserve">exit the class over the next </w:t>
      </w:r>
      <w:r w:rsidR="00722399">
        <w:t>five</w:t>
      </w:r>
      <w:r w:rsidRPr="00892C24">
        <w:t xml:space="preserve"> years however</w:t>
      </w:r>
      <w:r>
        <w:t>,</w:t>
      </w:r>
      <w:r w:rsidRPr="00892C24">
        <w:t xml:space="preserve"> only around half of those present today are expected to leave the payment system completely over this timeframe. Of the rest:</w:t>
      </w:r>
    </w:p>
    <w:p w14:paraId="6EF0732B" w14:textId="1684C255" w:rsidR="00132DE6" w:rsidRPr="00892C24" w:rsidRDefault="002E4244" w:rsidP="00964D65">
      <w:pPr>
        <w:pStyle w:val="Bullet2"/>
        <w:numPr>
          <w:ilvl w:val="1"/>
          <w:numId w:val="34"/>
        </w:numPr>
      </w:pPr>
      <w:r>
        <w:lastRenderedPageBreak/>
        <w:t>m</w:t>
      </w:r>
      <w:r w:rsidR="00132DE6" w:rsidRPr="00892C24">
        <w:t>any</w:t>
      </w:r>
      <w:r w:rsidR="00132DE6">
        <w:t xml:space="preserve"> are expected to</w:t>
      </w:r>
      <w:r w:rsidR="00132DE6" w:rsidRPr="00892C24">
        <w:t xml:space="preserve"> move onto </w:t>
      </w:r>
      <w:r w:rsidR="003C32DF">
        <w:t>Working Age payments</w:t>
      </w:r>
      <w:r w:rsidR="00132DE6" w:rsidRPr="00892C24">
        <w:t xml:space="preserve"> and some onto </w:t>
      </w:r>
      <w:r w:rsidR="0070204F">
        <w:t>P</w:t>
      </w:r>
      <w:r w:rsidR="00132DE6" w:rsidRPr="00892C24">
        <w:t>arenting payments</w:t>
      </w:r>
    </w:p>
    <w:p w14:paraId="197F1DDA" w14:textId="77777777" w:rsidR="00132DE6" w:rsidRPr="00DB5758" w:rsidRDefault="00132DE6" w:rsidP="00964D65">
      <w:pPr>
        <w:pStyle w:val="Bullet2"/>
        <w:numPr>
          <w:ilvl w:val="1"/>
          <w:numId w:val="34"/>
        </w:numPr>
      </w:pPr>
      <w:r w:rsidRPr="00DB5758">
        <w:t xml:space="preserve">small proportions </w:t>
      </w:r>
      <w:r>
        <w:t>are expected to transition to the</w:t>
      </w:r>
      <w:r w:rsidRPr="00DB5758">
        <w:t xml:space="preserve"> Carer payment and Disability Support Pension</w:t>
      </w:r>
    </w:p>
    <w:p w14:paraId="3CA8F6F5" w14:textId="7E1FF0F2" w:rsidR="00132DE6" w:rsidRDefault="00132DE6" w:rsidP="00964D65">
      <w:pPr>
        <w:pStyle w:val="Bullet1"/>
        <w:numPr>
          <w:ilvl w:val="0"/>
          <w:numId w:val="34"/>
        </w:numPr>
      </w:pPr>
      <w:r w:rsidRPr="00DB5758">
        <w:t xml:space="preserve">Of the group </w:t>
      </w:r>
      <w:r>
        <w:t>who are projected</w:t>
      </w:r>
      <w:r w:rsidR="00B74B42">
        <w:t xml:space="preserve"> to</w:t>
      </w:r>
      <w:r>
        <w:t xml:space="preserve"> </w:t>
      </w:r>
      <w:r w:rsidRPr="00DB5758">
        <w:t xml:space="preserve">exit over the next </w:t>
      </w:r>
      <w:r w:rsidR="00722399">
        <w:t>five</w:t>
      </w:r>
      <w:r w:rsidRPr="00DB5758">
        <w:t xml:space="preserve"> years, a proportion </w:t>
      </w:r>
      <w:r>
        <w:t xml:space="preserve">are projected to </w:t>
      </w:r>
      <w:r w:rsidRPr="00DB5758">
        <w:t>later return primarily to class ‘7 Non IS Family’ over the following 10 years</w:t>
      </w:r>
      <w:r>
        <w:t>.</w:t>
      </w:r>
    </w:p>
    <w:p w14:paraId="3916E8C6" w14:textId="4B2638F6" w:rsidR="00132DE6" w:rsidRPr="00DB5758" w:rsidRDefault="00132DE6" w:rsidP="00964D65">
      <w:pPr>
        <w:pStyle w:val="Bullet1"/>
        <w:numPr>
          <w:ilvl w:val="0"/>
          <w:numId w:val="34"/>
        </w:numPr>
      </w:pPr>
      <w:r>
        <w:t xml:space="preserve">A slightly larger portion of the group are projected to exit the system over the next </w:t>
      </w:r>
      <w:r w:rsidR="00722399">
        <w:t>five</w:t>
      </w:r>
      <w:r>
        <w:t xml:space="preserve"> years when compared to the June 2016 valuation (which is shown with the lower dashed line). This is driven partly by </w:t>
      </w:r>
      <w:r w:rsidR="002E4244">
        <w:t>fewer</w:t>
      </w:r>
      <w:r>
        <w:t xml:space="preserve"> students transitioning to working age and other income support </w:t>
      </w:r>
      <w:r w:rsidRPr="0098568B">
        <w:t xml:space="preserve">classes. Those students that do transition to </w:t>
      </w:r>
      <w:r w:rsidR="002E4244">
        <w:t>W</w:t>
      </w:r>
      <w:r w:rsidRPr="0098568B">
        <w:t xml:space="preserve">orking </w:t>
      </w:r>
      <w:r w:rsidR="002E4244">
        <w:t>A</w:t>
      </w:r>
      <w:r w:rsidRPr="0098568B">
        <w:t xml:space="preserve">ge however are expected to remain in the </w:t>
      </w:r>
      <w:r w:rsidR="002E4244">
        <w:t>Working A</w:t>
      </w:r>
      <w:r w:rsidRPr="0098568B">
        <w:t xml:space="preserve">ge class for longer </w:t>
      </w:r>
      <w:r>
        <w:t xml:space="preserve">and are less likely to go on to transition into </w:t>
      </w:r>
      <w:r w:rsidR="006D014F">
        <w:t>D</w:t>
      </w:r>
      <w:r>
        <w:t xml:space="preserve">isability </w:t>
      </w:r>
      <w:r w:rsidR="006D014F">
        <w:t>S</w:t>
      </w:r>
      <w:r>
        <w:t>upport</w:t>
      </w:r>
      <w:r w:rsidRPr="0098568B">
        <w:t>.</w:t>
      </w:r>
    </w:p>
    <w:p w14:paraId="3EECD09E" w14:textId="77777777" w:rsidR="00132DE6" w:rsidRPr="00DB5758" w:rsidRDefault="00132DE6" w:rsidP="00964D65">
      <w:pPr>
        <w:pStyle w:val="Bullet1"/>
        <w:numPr>
          <w:ilvl w:val="0"/>
          <w:numId w:val="34"/>
        </w:numPr>
      </w:pPr>
      <w:r>
        <w:t>Only a</w:t>
      </w:r>
      <w:r w:rsidRPr="00DB5758">
        <w:t xml:space="preserve"> small proportion (around 2%) of people currently in this class </w:t>
      </w:r>
      <w:r>
        <w:t xml:space="preserve">are projected to be </w:t>
      </w:r>
      <w:r w:rsidRPr="00DB5758">
        <w:t xml:space="preserve">in this class in 10 years’ time. </w:t>
      </w:r>
    </w:p>
    <w:p w14:paraId="1E0C0B54" w14:textId="77777777" w:rsidR="00132DE6" w:rsidRPr="00DB5758" w:rsidRDefault="00132DE6" w:rsidP="00964D65">
      <w:pPr>
        <w:pStyle w:val="Bullet1"/>
        <w:numPr>
          <w:ilvl w:val="0"/>
          <w:numId w:val="34"/>
        </w:numPr>
      </w:pPr>
      <w:r>
        <w:t xml:space="preserve">For each future year at least 20% of this group are projected to receive income support. </w:t>
      </w:r>
      <w:r w:rsidRPr="00DB5758">
        <w:t xml:space="preserve">After 30 years, </w:t>
      </w:r>
      <w:r>
        <w:t>t</w:t>
      </w:r>
      <w:r w:rsidRPr="00DB5758">
        <w:t>his proportion increases as more people progress to the age pension.</w:t>
      </w:r>
    </w:p>
    <w:p w14:paraId="56BB6D21" w14:textId="77777777" w:rsidR="00A703D8" w:rsidRPr="00782EBD" w:rsidRDefault="00A703D8" w:rsidP="00A703D8">
      <w:pPr>
        <w:pStyle w:val="Minorheading"/>
      </w:pPr>
      <w:r w:rsidRPr="00782EBD">
        <w:t>Duration</w:t>
      </w:r>
    </w:p>
    <w:p w14:paraId="6F56669F" w14:textId="77777777" w:rsidR="00A703D8" w:rsidRPr="00782EBD" w:rsidRDefault="00A703D8" w:rsidP="00964D65">
      <w:pPr>
        <w:pStyle w:val="PwCNormal"/>
        <w:numPr>
          <w:ilvl w:val="0"/>
          <w:numId w:val="33"/>
        </w:numPr>
      </w:pPr>
      <w:r w:rsidRPr="00782EBD">
        <w:t xml:space="preserve">The average future life expectancy for people in the Studying class is </w:t>
      </w:r>
      <w:r w:rsidRPr="00782EBD">
        <w:rPr>
          <w:b/>
        </w:rPr>
        <w:t>67</w:t>
      </w:r>
      <w:r w:rsidRPr="00782EBD">
        <w:t xml:space="preserve"> years. This reflects the relatively young age profile of people in this class.</w:t>
      </w:r>
    </w:p>
    <w:p w14:paraId="60ABE795" w14:textId="77777777" w:rsidR="00A703D8" w:rsidRPr="00782EBD" w:rsidRDefault="00A703D8" w:rsidP="00A703D8">
      <w:pPr>
        <w:pStyle w:val="PwCNormal"/>
        <w:numPr>
          <w:ilvl w:val="0"/>
          <w:numId w:val="0"/>
        </w:numPr>
      </w:pPr>
      <w:r w:rsidRPr="00782EBD">
        <w:t>The table below provides a summary of the expected welfare system use of people currently in this class over this time. This has been developed by considering which classes people move into as they move through the welfare system over their lives.</w:t>
      </w:r>
    </w:p>
    <w:p w14:paraId="3DE028DA" w14:textId="10C20B2D" w:rsidR="00A703D8" w:rsidRPr="00782EBD" w:rsidRDefault="00A703D8" w:rsidP="00A703D8">
      <w:pPr>
        <w:pStyle w:val="Caption"/>
      </w:pPr>
      <w:r w:rsidRPr="00782EBD">
        <w:t xml:space="preserve">Table </w:t>
      </w:r>
      <w:fldSimple w:instr=" SEQ Table \* ARABIC ">
        <w:r w:rsidR="00C93C1A">
          <w:rPr>
            <w:noProof/>
          </w:rPr>
          <w:t>23</w:t>
        </w:r>
      </w:fldSimple>
      <w:r w:rsidRPr="00782EBD">
        <w:t xml:space="preserve">: Expected durations in welfare system for people currently in </w:t>
      </w:r>
      <w:r w:rsidR="00871E70">
        <w:t>c</w:t>
      </w:r>
      <w:r w:rsidRPr="00782EBD">
        <w:t>lass 1</w:t>
      </w:r>
    </w:p>
    <w:tbl>
      <w:tblPr>
        <w:tblStyle w:val="ListTable3-Accent61"/>
        <w:tblW w:w="8868" w:type="dxa"/>
        <w:tblInd w:w="108" w:type="dxa"/>
        <w:tblLook w:val="04A0" w:firstRow="1" w:lastRow="0" w:firstColumn="1" w:lastColumn="0" w:noHBand="0" w:noVBand="1"/>
        <w:tblCaption w:val=" Expected durations in welfare system for people currently in Class 1"/>
        <w:tblDescription w:val="This table provides data on the expected number of years people currently in Class 1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roportion of their future lifetime.  The expected future life expectancy of people in Class 1 is 67 years. &#10;&#10;Further features of the data in this table are discussed in the accompanying text within the report.&#10;"/>
      </w:tblPr>
      <w:tblGrid>
        <w:gridCol w:w="3828"/>
        <w:gridCol w:w="2520"/>
        <w:gridCol w:w="2520"/>
      </w:tblGrid>
      <w:tr w:rsidR="00A703D8" w:rsidRPr="00782EBD" w14:paraId="2686D365" w14:textId="77777777" w:rsidTr="00A703D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top w:val="single" w:sz="4" w:space="0" w:color="E0301E" w:themeColor="accent6"/>
              <w:left w:val="single" w:sz="4" w:space="0" w:color="E0301E" w:themeColor="accent6"/>
            </w:tcBorders>
          </w:tcPr>
          <w:p w14:paraId="5B8C1859" w14:textId="77777777" w:rsidR="00A703D8" w:rsidRPr="00782EBD" w:rsidRDefault="00A703D8" w:rsidP="00A703D8">
            <w:pPr>
              <w:pStyle w:val="TableTextSmall"/>
              <w:keepNext/>
              <w:jc w:val="center"/>
              <w:rPr>
                <w:rFonts w:asciiTheme="majorHAnsi" w:hAnsiTheme="majorHAnsi"/>
                <w:color w:val="FFFFFF" w:themeColor="background1"/>
              </w:rPr>
            </w:pPr>
          </w:p>
        </w:tc>
        <w:tc>
          <w:tcPr>
            <w:tcW w:w="2520" w:type="dxa"/>
            <w:tcBorders>
              <w:top w:val="single" w:sz="4" w:space="0" w:color="E0301E" w:themeColor="accent6"/>
              <w:left w:val="nil"/>
              <w:bottom w:val="nil"/>
              <w:right w:val="nil"/>
            </w:tcBorders>
            <w:hideMark/>
          </w:tcPr>
          <w:p w14:paraId="288EF06A" w14:textId="77777777" w:rsidR="00A703D8" w:rsidRPr="00782EBD" w:rsidRDefault="00A703D8" w:rsidP="00A703D8">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782EBD">
              <w:rPr>
                <w:rFonts w:asciiTheme="majorHAnsi" w:hAnsiTheme="majorHAnsi"/>
                <w:color w:val="FFFFFF" w:themeColor="background1"/>
              </w:rPr>
              <w:t>Expected Years</w:t>
            </w:r>
          </w:p>
        </w:tc>
        <w:tc>
          <w:tcPr>
            <w:tcW w:w="2520" w:type="dxa"/>
            <w:tcBorders>
              <w:top w:val="single" w:sz="4" w:space="0" w:color="E0301E" w:themeColor="accent6"/>
              <w:left w:val="nil"/>
              <w:bottom w:val="nil"/>
              <w:right w:val="single" w:sz="4" w:space="0" w:color="E0301E" w:themeColor="accent6"/>
            </w:tcBorders>
            <w:hideMark/>
          </w:tcPr>
          <w:p w14:paraId="0EA9E36F" w14:textId="77777777" w:rsidR="00A703D8" w:rsidRPr="00782EBD" w:rsidRDefault="00A703D8" w:rsidP="00A703D8">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782EBD">
              <w:rPr>
                <w:rFonts w:asciiTheme="majorHAnsi" w:hAnsiTheme="majorHAnsi"/>
                <w:color w:val="FFFFFF" w:themeColor="background1"/>
              </w:rPr>
              <w:t>Proportion of Future Lifetime</w:t>
            </w:r>
          </w:p>
        </w:tc>
      </w:tr>
      <w:tr w:rsidR="00A703D8" w:rsidRPr="00782EBD" w14:paraId="4F1ED7C3" w14:textId="77777777" w:rsidTr="00A70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1D689AC4" w14:textId="77777777" w:rsidR="00A703D8" w:rsidRPr="00782EBD" w:rsidRDefault="00A703D8" w:rsidP="00A703D8">
            <w:pPr>
              <w:pStyle w:val="TableTextSmall"/>
            </w:pPr>
            <w:r w:rsidRPr="00782EBD">
              <w:t>Years with some income support payments:</w:t>
            </w:r>
          </w:p>
          <w:p w14:paraId="51061935" w14:textId="26E15872" w:rsidR="00A703D8" w:rsidRPr="00782EBD" w:rsidRDefault="00A703D8" w:rsidP="00964D65">
            <w:pPr>
              <w:pStyle w:val="TableTextSmall"/>
              <w:numPr>
                <w:ilvl w:val="0"/>
                <w:numId w:val="36"/>
              </w:numPr>
            </w:pPr>
            <w:r w:rsidRPr="00782EBD">
              <w:t>Not age pension (classes 1-5)</w:t>
            </w:r>
          </w:p>
          <w:p w14:paraId="7201F572" w14:textId="32898C0C" w:rsidR="00A703D8" w:rsidRPr="00782EBD" w:rsidRDefault="00A703D8" w:rsidP="00964D65">
            <w:pPr>
              <w:pStyle w:val="TableTextSmall"/>
              <w:numPr>
                <w:ilvl w:val="0"/>
                <w:numId w:val="36"/>
              </w:numPr>
            </w:pPr>
            <w:r w:rsidRPr="00782EBD">
              <w:t>Age pension (class 6)</w:t>
            </w:r>
          </w:p>
        </w:tc>
        <w:tc>
          <w:tcPr>
            <w:tcW w:w="2520" w:type="dxa"/>
            <w:tcBorders>
              <w:left w:val="nil"/>
              <w:right w:val="nil"/>
            </w:tcBorders>
            <w:hideMark/>
          </w:tcPr>
          <w:p w14:paraId="50320588" w14:textId="77777777" w:rsidR="00A703D8" w:rsidRPr="00782EBD" w:rsidRDefault="00A703D8" w:rsidP="00A703D8">
            <w:pPr>
              <w:pStyle w:val="TableTextSmall"/>
              <w:jc w:val="center"/>
              <w:cnfStyle w:val="000000100000" w:firstRow="0" w:lastRow="0" w:firstColumn="0" w:lastColumn="0" w:oddVBand="0" w:evenVBand="0" w:oddHBand="1" w:evenHBand="0" w:firstRowFirstColumn="0" w:firstRowLastColumn="0" w:lastRowFirstColumn="0" w:lastRowLastColumn="0"/>
            </w:pPr>
            <w:r w:rsidRPr="00782EBD">
              <w:br/>
            </w:r>
            <w:r>
              <w:t>10</w:t>
            </w:r>
          </w:p>
          <w:p w14:paraId="2A0B1AA2" w14:textId="77777777" w:rsidR="00A703D8" w:rsidRPr="00782EBD" w:rsidRDefault="00A703D8" w:rsidP="00A703D8">
            <w:pPr>
              <w:pStyle w:val="TableTextSmall"/>
              <w:jc w:val="center"/>
              <w:cnfStyle w:val="000000100000" w:firstRow="0" w:lastRow="0" w:firstColumn="0" w:lastColumn="0" w:oddVBand="0" w:evenVBand="0" w:oddHBand="1" w:evenHBand="0" w:firstRowFirstColumn="0" w:firstRowLastColumn="0" w:lastRowFirstColumn="0" w:lastRowLastColumn="0"/>
            </w:pPr>
            <w:r w:rsidRPr="00782EBD">
              <w:t>17</w:t>
            </w:r>
          </w:p>
        </w:tc>
        <w:tc>
          <w:tcPr>
            <w:tcW w:w="2520" w:type="dxa"/>
            <w:tcBorders>
              <w:left w:val="nil"/>
              <w:right w:val="single" w:sz="4" w:space="0" w:color="E0301E" w:themeColor="accent6"/>
            </w:tcBorders>
            <w:hideMark/>
          </w:tcPr>
          <w:p w14:paraId="070985BB" w14:textId="77777777" w:rsidR="00A703D8" w:rsidRPr="00782EBD" w:rsidRDefault="00A703D8" w:rsidP="00A703D8">
            <w:pPr>
              <w:pStyle w:val="TableTextSmall"/>
              <w:jc w:val="center"/>
              <w:cnfStyle w:val="000000100000" w:firstRow="0" w:lastRow="0" w:firstColumn="0" w:lastColumn="0" w:oddVBand="0" w:evenVBand="0" w:oddHBand="1" w:evenHBand="0" w:firstRowFirstColumn="0" w:firstRowLastColumn="0" w:lastRowFirstColumn="0" w:lastRowLastColumn="0"/>
            </w:pPr>
            <w:r w:rsidRPr="00782EBD">
              <w:br/>
              <w:t>1</w:t>
            </w:r>
            <w:r>
              <w:t>5</w:t>
            </w:r>
            <w:r w:rsidRPr="00782EBD">
              <w:t>%</w:t>
            </w:r>
          </w:p>
          <w:p w14:paraId="135C1859" w14:textId="77777777" w:rsidR="00A703D8" w:rsidRPr="00782EBD" w:rsidRDefault="00A703D8" w:rsidP="00A703D8">
            <w:pPr>
              <w:pStyle w:val="TableTextSmall"/>
              <w:jc w:val="center"/>
              <w:cnfStyle w:val="000000100000" w:firstRow="0" w:lastRow="0" w:firstColumn="0" w:lastColumn="0" w:oddVBand="0" w:evenVBand="0" w:oddHBand="1" w:evenHBand="0" w:firstRowFirstColumn="0" w:firstRowLastColumn="0" w:lastRowFirstColumn="0" w:lastRowLastColumn="0"/>
            </w:pPr>
            <w:r w:rsidRPr="00782EBD">
              <w:t>25%</w:t>
            </w:r>
          </w:p>
        </w:tc>
      </w:tr>
      <w:tr w:rsidR="00A703D8" w:rsidRPr="00782EBD" w14:paraId="37E7108D" w14:textId="77777777" w:rsidTr="00A703D8">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hideMark/>
          </w:tcPr>
          <w:p w14:paraId="6D482DFA" w14:textId="3CCBF4D9" w:rsidR="00A703D8" w:rsidRPr="00782EBD" w:rsidRDefault="00A703D8" w:rsidP="00A703D8">
            <w:pPr>
              <w:pStyle w:val="TableTextSmall"/>
            </w:pPr>
            <w:r w:rsidRPr="00782EBD">
              <w:t xml:space="preserve">Years with </w:t>
            </w:r>
            <w:r w:rsidR="005B3E7D">
              <w:t>non income</w:t>
            </w:r>
            <w:r w:rsidRPr="00782EBD">
              <w:t xml:space="preserve"> support payments only</w:t>
            </w:r>
          </w:p>
        </w:tc>
        <w:tc>
          <w:tcPr>
            <w:tcW w:w="2520" w:type="dxa"/>
            <w:tcBorders>
              <w:top w:val="nil"/>
              <w:left w:val="nil"/>
              <w:bottom w:val="nil"/>
              <w:right w:val="nil"/>
            </w:tcBorders>
            <w:hideMark/>
          </w:tcPr>
          <w:p w14:paraId="0518BD5F" w14:textId="77777777" w:rsidR="00A703D8" w:rsidRPr="00782EBD" w:rsidRDefault="00A703D8" w:rsidP="00A703D8">
            <w:pPr>
              <w:pStyle w:val="TableTextSmall"/>
              <w:jc w:val="center"/>
              <w:cnfStyle w:val="000000000000" w:firstRow="0" w:lastRow="0" w:firstColumn="0" w:lastColumn="0" w:oddVBand="0" w:evenVBand="0" w:oddHBand="0" w:evenHBand="0" w:firstRowFirstColumn="0" w:firstRowLastColumn="0" w:lastRowFirstColumn="0" w:lastRowLastColumn="0"/>
            </w:pPr>
            <w:r>
              <w:t>6</w:t>
            </w:r>
          </w:p>
        </w:tc>
        <w:tc>
          <w:tcPr>
            <w:tcW w:w="2520" w:type="dxa"/>
            <w:tcBorders>
              <w:top w:val="nil"/>
              <w:left w:val="nil"/>
              <w:bottom w:val="nil"/>
              <w:right w:val="single" w:sz="4" w:space="0" w:color="E0301E" w:themeColor="accent6"/>
            </w:tcBorders>
            <w:hideMark/>
          </w:tcPr>
          <w:p w14:paraId="21258835" w14:textId="77777777" w:rsidR="00A703D8" w:rsidRPr="00782EBD" w:rsidRDefault="00A703D8" w:rsidP="00A703D8">
            <w:pPr>
              <w:pStyle w:val="TableTextSmall"/>
              <w:jc w:val="center"/>
              <w:cnfStyle w:val="000000000000" w:firstRow="0" w:lastRow="0" w:firstColumn="0" w:lastColumn="0" w:oddVBand="0" w:evenVBand="0" w:oddHBand="0" w:evenHBand="0" w:firstRowFirstColumn="0" w:firstRowLastColumn="0" w:lastRowFirstColumn="0" w:lastRowLastColumn="0"/>
            </w:pPr>
            <w:r>
              <w:t>8</w:t>
            </w:r>
            <w:r w:rsidRPr="00782EBD">
              <w:t>%</w:t>
            </w:r>
          </w:p>
        </w:tc>
      </w:tr>
      <w:tr w:rsidR="00A703D8" w:rsidRPr="00782EBD" w14:paraId="08FFD843" w14:textId="77777777" w:rsidTr="00A70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3672CD03" w14:textId="77777777" w:rsidR="00A703D8" w:rsidRPr="00782EBD" w:rsidRDefault="00A703D8" w:rsidP="00A703D8">
            <w:pPr>
              <w:pStyle w:val="TableTextSmall"/>
            </w:pPr>
            <w:r w:rsidRPr="00782EBD">
              <w:t>Years not receiving any welfare payments</w:t>
            </w:r>
          </w:p>
        </w:tc>
        <w:tc>
          <w:tcPr>
            <w:tcW w:w="2520" w:type="dxa"/>
            <w:tcBorders>
              <w:left w:val="nil"/>
              <w:right w:val="nil"/>
            </w:tcBorders>
            <w:hideMark/>
          </w:tcPr>
          <w:p w14:paraId="6D2FB31F" w14:textId="77777777" w:rsidR="00A703D8" w:rsidRPr="00782EBD" w:rsidRDefault="00A703D8" w:rsidP="00A703D8">
            <w:pPr>
              <w:pStyle w:val="TableTextSmall"/>
              <w:jc w:val="center"/>
              <w:cnfStyle w:val="000000100000" w:firstRow="0" w:lastRow="0" w:firstColumn="0" w:lastColumn="0" w:oddVBand="0" w:evenVBand="0" w:oddHBand="1" w:evenHBand="0" w:firstRowFirstColumn="0" w:firstRowLastColumn="0" w:lastRowFirstColumn="0" w:lastRowLastColumn="0"/>
            </w:pPr>
            <w:r w:rsidRPr="00782EBD">
              <w:t>3</w:t>
            </w:r>
            <w:r>
              <w:t>4</w:t>
            </w:r>
          </w:p>
        </w:tc>
        <w:tc>
          <w:tcPr>
            <w:tcW w:w="2520" w:type="dxa"/>
            <w:tcBorders>
              <w:left w:val="nil"/>
              <w:right w:val="single" w:sz="4" w:space="0" w:color="E0301E" w:themeColor="accent6"/>
            </w:tcBorders>
            <w:hideMark/>
          </w:tcPr>
          <w:p w14:paraId="59F78D98" w14:textId="77777777" w:rsidR="00A703D8" w:rsidRPr="00782EBD" w:rsidRDefault="00A703D8" w:rsidP="00A703D8">
            <w:pPr>
              <w:pStyle w:val="TableTextSmall"/>
              <w:jc w:val="center"/>
              <w:cnfStyle w:val="000000100000" w:firstRow="0" w:lastRow="0" w:firstColumn="0" w:lastColumn="0" w:oddVBand="0" w:evenVBand="0" w:oddHBand="1" w:evenHBand="0" w:firstRowFirstColumn="0" w:firstRowLastColumn="0" w:lastRowFirstColumn="0" w:lastRowLastColumn="0"/>
            </w:pPr>
            <w:r>
              <w:t>51</w:t>
            </w:r>
            <w:r w:rsidRPr="00782EBD">
              <w:t>%</w:t>
            </w:r>
          </w:p>
        </w:tc>
      </w:tr>
      <w:tr w:rsidR="00A703D8" w:rsidRPr="009210D0" w14:paraId="7C3D2D16" w14:textId="77777777" w:rsidTr="00A703D8">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hideMark/>
          </w:tcPr>
          <w:p w14:paraId="5A184639" w14:textId="77777777" w:rsidR="00A703D8" w:rsidRPr="00782EBD" w:rsidRDefault="00A703D8" w:rsidP="00A703D8">
            <w:pPr>
              <w:pStyle w:val="TableTextSmall"/>
            </w:pPr>
            <w:r w:rsidRPr="00782EBD">
              <w:t>Total</w:t>
            </w:r>
          </w:p>
        </w:tc>
        <w:tc>
          <w:tcPr>
            <w:tcW w:w="2520" w:type="dxa"/>
            <w:tcBorders>
              <w:top w:val="nil"/>
              <w:left w:val="nil"/>
              <w:bottom w:val="single" w:sz="4" w:space="0" w:color="E0301E" w:themeColor="accent6"/>
              <w:right w:val="nil"/>
            </w:tcBorders>
            <w:hideMark/>
          </w:tcPr>
          <w:p w14:paraId="704AE846" w14:textId="77777777" w:rsidR="00A703D8" w:rsidRPr="00782EBD" w:rsidRDefault="00A703D8" w:rsidP="00A703D8">
            <w:pPr>
              <w:pStyle w:val="TableTextSmall"/>
              <w:jc w:val="center"/>
              <w:cnfStyle w:val="000000000000" w:firstRow="0" w:lastRow="0" w:firstColumn="0" w:lastColumn="0" w:oddVBand="0" w:evenVBand="0" w:oddHBand="0" w:evenHBand="0" w:firstRowFirstColumn="0" w:firstRowLastColumn="0" w:lastRowFirstColumn="0" w:lastRowLastColumn="0"/>
            </w:pPr>
            <w:r w:rsidRPr="00782EBD">
              <w:t>67</w:t>
            </w:r>
          </w:p>
        </w:tc>
        <w:tc>
          <w:tcPr>
            <w:tcW w:w="2520" w:type="dxa"/>
            <w:tcBorders>
              <w:top w:val="nil"/>
              <w:left w:val="nil"/>
              <w:bottom w:val="single" w:sz="4" w:space="0" w:color="E0301E" w:themeColor="accent6"/>
              <w:right w:val="single" w:sz="4" w:space="0" w:color="E0301E" w:themeColor="accent6"/>
            </w:tcBorders>
            <w:hideMark/>
          </w:tcPr>
          <w:p w14:paraId="04BDB108" w14:textId="77777777" w:rsidR="00A703D8" w:rsidRPr="00782EBD" w:rsidRDefault="00A703D8" w:rsidP="00A703D8">
            <w:pPr>
              <w:pStyle w:val="TableTextSmall"/>
              <w:jc w:val="center"/>
              <w:cnfStyle w:val="000000000000" w:firstRow="0" w:lastRow="0" w:firstColumn="0" w:lastColumn="0" w:oddVBand="0" w:evenVBand="0" w:oddHBand="0" w:evenHBand="0" w:firstRowFirstColumn="0" w:firstRowLastColumn="0" w:lastRowFirstColumn="0" w:lastRowLastColumn="0"/>
            </w:pPr>
            <w:r w:rsidRPr="00782EBD">
              <w:t>100%</w:t>
            </w:r>
          </w:p>
        </w:tc>
      </w:tr>
    </w:tbl>
    <w:p w14:paraId="51F79323" w14:textId="77777777" w:rsidR="00A703D8" w:rsidRPr="0057506F" w:rsidRDefault="00A703D8" w:rsidP="00A703D8">
      <w:pPr>
        <w:pStyle w:val="PwCNormal"/>
        <w:numPr>
          <w:ilvl w:val="0"/>
          <w:numId w:val="1"/>
        </w:numPr>
      </w:pPr>
    </w:p>
    <w:p w14:paraId="10F20CDA" w14:textId="6A2CA0EA" w:rsidR="00716FF0" w:rsidRPr="0057506F" w:rsidRDefault="00716FF0" w:rsidP="00716FF0">
      <w:pPr>
        <w:pStyle w:val="PwCNormal"/>
      </w:pPr>
    </w:p>
    <w:p w14:paraId="4D2633FB" w14:textId="77777777" w:rsidR="00716FF0" w:rsidRPr="0057506F" w:rsidRDefault="00716FF0">
      <w:pPr>
        <w:kinsoku/>
        <w:overflowPunct/>
        <w:autoSpaceDE/>
        <w:autoSpaceDN/>
        <w:adjustRightInd/>
        <w:snapToGrid/>
      </w:pPr>
      <w:r w:rsidRPr="0057506F">
        <w:br w:type="page"/>
      </w:r>
    </w:p>
    <w:p w14:paraId="2652D97D" w14:textId="6DE9C1B1" w:rsidR="00F7320D" w:rsidRPr="00D7704F" w:rsidRDefault="00F7320D" w:rsidP="00964D65">
      <w:pPr>
        <w:pStyle w:val="Heading3"/>
        <w:numPr>
          <w:ilvl w:val="2"/>
          <w:numId w:val="35"/>
        </w:numPr>
      </w:pPr>
      <w:bookmarkStart w:id="201" w:name="_Ref498422074"/>
      <w:bookmarkStart w:id="202" w:name="_Toc506388227"/>
      <w:r w:rsidRPr="00D7704F">
        <w:lastRenderedPageBreak/>
        <w:t>Working Age Payment recipients</w:t>
      </w:r>
      <w:bookmarkEnd w:id="190"/>
      <w:bookmarkEnd w:id="191"/>
      <w:bookmarkEnd w:id="192"/>
      <w:bookmarkEnd w:id="193"/>
      <w:bookmarkEnd w:id="201"/>
      <w:bookmarkEnd w:id="202"/>
      <w:r w:rsidRPr="00D7704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outlines key points from this report section."/>
      </w:tblPr>
      <w:tblGrid>
        <w:gridCol w:w="10081"/>
      </w:tblGrid>
      <w:tr w:rsidR="00A703D8" w:rsidRPr="009210D0" w14:paraId="208C9721" w14:textId="77777777" w:rsidTr="00A703D8">
        <w:trPr>
          <w:trHeight w:val="1260"/>
          <w:tblHeader/>
        </w:trPr>
        <w:tc>
          <w:tcPr>
            <w:tcW w:w="10081" w:type="dxa"/>
            <w:shd w:val="clear" w:color="auto" w:fill="F3ABA4" w:themeFill="accent6" w:themeFillTint="66"/>
          </w:tcPr>
          <w:p w14:paraId="38F2155F" w14:textId="351442D5" w:rsidR="00132DE6" w:rsidRPr="006B0F86" w:rsidRDefault="008D4D1B" w:rsidP="00132DE6">
            <w:pPr>
              <w:pStyle w:val="PwCNormal"/>
              <w:numPr>
                <w:ilvl w:val="0"/>
                <w:numId w:val="1"/>
              </w:numPr>
              <w:rPr>
                <w:b/>
              </w:rPr>
            </w:pPr>
            <w:bookmarkStart w:id="203" w:name="_Toc455503971"/>
            <w:bookmarkStart w:id="204" w:name="_Toc455502439"/>
            <w:bookmarkStart w:id="205" w:name="_Toc455499418"/>
            <w:bookmarkStart w:id="206" w:name="_Toc455502442"/>
            <w:bookmarkStart w:id="207" w:name="_Toc455499421"/>
            <w:r>
              <w:rPr>
                <w:b/>
              </w:rPr>
              <w:t>Key points</w:t>
            </w:r>
          </w:p>
          <w:p w14:paraId="3A2AAFA2" w14:textId="5FA21F2A" w:rsidR="00132DE6" w:rsidRPr="006B0F86" w:rsidRDefault="00132DE6" w:rsidP="00132DE6">
            <w:pPr>
              <w:pStyle w:val="PwCNormal"/>
              <w:numPr>
                <w:ilvl w:val="0"/>
                <w:numId w:val="0"/>
              </w:numPr>
            </w:pPr>
            <w:r w:rsidRPr="006B0F86">
              <w:t xml:space="preserve">There were </w:t>
            </w:r>
            <w:r>
              <w:t>1,30</w:t>
            </w:r>
            <w:r w:rsidR="001D5C14">
              <w:t>1</w:t>
            </w:r>
            <w:r w:rsidRPr="006B0F86">
              <w:t xml:space="preserve">,000 people in the </w:t>
            </w:r>
            <w:r>
              <w:t>Working Age</w:t>
            </w:r>
            <w:r w:rsidRPr="006B0F86">
              <w:t xml:space="preserve"> class in 2017</w:t>
            </w:r>
            <w:r>
              <w:t>, who were mostly</w:t>
            </w:r>
            <w:r w:rsidRPr="006B0F86">
              <w:t xml:space="preserve"> aged </w:t>
            </w:r>
            <w:r>
              <w:t>18</w:t>
            </w:r>
            <w:r w:rsidRPr="006B0F86">
              <w:t xml:space="preserve"> </w:t>
            </w:r>
            <w:r>
              <w:t>to</w:t>
            </w:r>
            <w:r w:rsidRPr="006B0F86">
              <w:t xml:space="preserve"> </w:t>
            </w:r>
            <w:r>
              <w:t>65</w:t>
            </w:r>
            <w:r w:rsidRPr="006B0F86">
              <w:t xml:space="preserve">. </w:t>
            </w:r>
            <w:r>
              <w:t xml:space="preserve">The Working Age class is reasonably mobile with high numbers of people seen to transition to and from Studying, Parenting, </w:t>
            </w:r>
            <w:r w:rsidR="005B3E7D">
              <w:t>Non IS</w:t>
            </w:r>
            <w:r>
              <w:t xml:space="preserve"> Family and the non-welfare recipient classes.</w:t>
            </w:r>
          </w:p>
          <w:p w14:paraId="12A0B6B1" w14:textId="69926B3E" w:rsidR="00132DE6" w:rsidRPr="006B0F86" w:rsidRDefault="00132DE6" w:rsidP="00132DE6">
            <w:pPr>
              <w:pStyle w:val="Bullet1"/>
            </w:pPr>
            <w:r w:rsidRPr="006B0F86">
              <w:t xml:space="preserve">Over the last </w:t>
            </w:r>
            <w:r w:rsidR="00722399">
              <w:t>five</w:t>
            </w:r>
            <w:r w:rsidRPr="006B0F86">
              <w:t xml:space="preserve"> years </w:t>
            </w:r>
            <w:r>
              <w:t>a reducing number of people have entered the Working Age class while exits have remained stable.</w:t>
            </w:r>
          </w:p>
          <w:p w14:paraId="3A8D59CD" w14:textId="77777777" w:rsidR="00132DE6" w:rsidRDefault="00132DE6" w:rsidP="00132DE6">
            <w:pPr>
              <w:pStyle w:val="Bullet1"/>
            </w:pPr>
            <w:r>
              <w:t xml:space="preserve">The longer a person remains on Working Age benefits, the less likely they have been to leave the Working Age class before retirement. Similarly, those who enter the Working Age class directly from another welfare class have generally been less likely to exit the system. </w:t>
            </w:r>
          </w:p>
          <w:p w14:paraId="5BBADB79" w14:textId="7F33820E" w:rsidR="00132DE6" w:rsidRDefault="00132DE6" w:rsidP="00132DE6">
            <w:pPr>
              <w:pStyle w:val="Bullet1"/>
            </w:pPr>
            <w:r>
              <w:t xml:space="preserve">People with employment earnings while in the Working Age class are around 1.5 times more likely to leave the Working Age class and around </w:t>
            </w:r>
            <w:r w:rsidR="00D52134">
              <w:t>two</w:t>
            </w:r>
            <w:r>
              <w:t xml:space="preserve"> times more likely to exit the system than those without any employment earnings.</w:t>
            </w:r>
          </w:p>
          <w:p w14:paraId="7145DF18" w14:textId="4A7CF49B" w:rsidR="00A703D8" w:rsidRPr="006B0F86" w:rsidRDefault="00132DE6" w:rsidP="006D014F">
            <w:pPr>
              <w:pStyle w:val="ListBullet"/>
            </w:pPr>
            <w:r>
              <w:t xml:space="preserve">People with lower capacity to work are less likely to leave, and more likely to transition to other income support classes when leaving the Working Age class. There are a growing number of individuals in this class with less capacity to work. This is likely to be a flow on effect of more people remaining in this class rather than transitioning into </w:t>
            </w:r>
            <w:r w:rsidR="006D014F">
              <w:t>D</w:t>
            </w:r>
            <w:r>
              <w:t xml:space="preserve">isability </w:t>
            </w:r>
            <w:r w:rsidR="006D014F">
              <w:t>S</w:t>
            </w:r>
            <w:r>
              <w:t xml:space="preserve">upport following the tightening of </w:t>
            </w:r>
            <w:r w:rsidR="006D014F">
              <w:t>Disability Support Pension</w:t>
            </w:r>
            <w:r>
              <w:t xml:space="preserve"> eligibility criteria. This changing profile is one of the drivers of the observed increase in the</w:t>
            </w:r>
            <w:r w:rsidRPr="005F2CC1">
              <w:t xml:space="preserve"> expected average lifetime cost</w:t>
            </w:r>
            <w:r>
              <w:t xml:space="preserve"> for this class</w:t>
            </w:r>
            <w:r w:rsidRPr="005F2CC1">
              <w:t>.</w:t>
            </w:r>
          </w:p>
        </w:tc>
      </w:tr>
    </w:tbl>
    <w:p w14:paraId="4C8E86C2" w14:textId="77777777" w:rsidR="00A703D8" w:rsidRPr="002E24A2" w:rsidRDefault="00A703D8" w:rsidP="00A703D8">
      <w:pPr>
        <w:pStyle w:val="Heading4"/>
      </w:pPr>
      <w:r w:rsidRPr="002E24A2">
        <w:t>What does the data tell us about Working Age people?</w:t>
      </w:r>
      <w:bookmarkEnd w:id="203"/>
      <w:bookmarkEnd w:id="204"/>
      <w:bookmarkEnd w:id="205"/>
    </w:p>
    <w:p w14:paraId="12D49C0B" w14:textId="2ABC13BE" w:rsidR="00A703D8" w:rsidRDefault="00A703D8" w:rsidP="00A703D8">
      <w:pPr>
        <w:pStyle w:val="PwCNormal"/>
        <w:numPr>
          <w:ilvl w:val="0"/>
          <w:numId w:val="0"/>
        </w:numPr>
      </w:pPr>
      <w:r w:rsidRPr="002E24A2">
        <w:t>There were 1,301,</w:t>
      </w:r>
      <w:r w:rsidR="00B513F7">
        <w:t>000</w:t>
      </w:r>
      <w:r w:rsidR="00B513F7" w:rsidRPr="002E24A2">
        <w:t xml:space="preserve"> </w:t>
      </w:r>
      <w:r w:rsidRPr="002E24A2">
        <w:t xml:space="preserve">people </w:t>
      </w:r>
      <w:r>
        <w:t>(16</w:t>
      </w:r>
      <w:r w:rsidRPr="007B732E">
        <w:t>.</w:t>
      </w:r>
      <w:r>
        <w:t>2</w:t>
      </w:r>
      <w:r w:rsidRPr="007B732E">
        <w:t xml:space="preserve">% of current welfare recipients) </w:t>
      </w:r>
      <w:r w:rsidRPr="002E24A2">
        <w:t xml:space="preserve">in the Working Age class in the 2017 model population. </w:t>
      </w:r>
      <w:r>
        <w:t>This represents 5.3% of the population of Australia which is a decrease from 5.5% at the previous valuation.</w:t>
      </w:r>
    </w:p>
    <w:p w14:paraId="01730421" w14:textId="77777777" w:rsidR="00A703D8" w:rsidRPr="002E24A2" w:rsidRDefault="00A703D8" w:rsidP="00A703D8">
      <w:pPr>
        <w:pStyle w:val="PwCNormal"/>
        <w:numPr>
          <w:ilvl w:val="0"/>
          <w:numId w:val="0"/>
        </w:numPr>
      </w:pPr>
      <w:r w:rsidRPr="002E24A2">
        <w:t xml:space="preserve">The following chart shows a breakdown of the number of people in the Working Age class by </w:t>
      </w:r>
      <w:r>
        <w:t>age, gender and payment type.</w:t>
      </w:r>
    </w:p>
    <w:p w14:paraId="347206F5" w14:textId="0C4E238A" w:rsidR="00A703D8" w:rsidRPr="006E7FE5" w:rsidRDefault="00A703D8" w:rsidP="00A703D8">
      <w:pPr>
        <w:pStyle w:val="Caption"/>
      </w:pPr>
      <w:r w:rsidRPr="006E7FE5">
        <w:t xml:space="preserve">Figure </w:t>
      </w:r>
      <w:fldSimple w:instr=" SEQ Figure \* ARABIC ">
        <w:r w:rsidR="00C93C1A">
          <w:rPr>
            <w:noProof/>
          </w:rPr>
          <w:t>55</w:t>
        </w:r>
      </w:fldSimple>
      <w:r w:rsidRPr="006E7FE5">
        <w:t xml:space="preserve">: 2017 profile of people in </w:t>
      </w:r>
      <w:r w:rsidR="00871E70">
        <w:t>c</w:t>
      </w:r>
      <w:r w:rsidRPr="006E7FE5">
        <w:t>lass 2 – Working Age (age/gender/payment type)</w:t>
      </w:r>
    </w:p>
    <w:tbl>
      <w:tblPr>
        <w:tblStyle w:val="Tables-APBase"/>
        <w:tblW w:w="475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386"/>
        <w:gridCol w:w="3191"/>
      </w:tblGrid>
      <w:tr w:rsidR="00A703D8" w:rsidRPr="006E7FE5" w14:paraId="46E581EC" w14:textId="77777777" w:rsidTr="00A703D8">
        <w:trPr>
          <w:tblHeader/>
        </w:trPr>
        <w:tc>
          <w:tcPr>
            <w:tcW w:w="5955" w:type="dxa"/>
            <w:hideMark/>
          </w:tcPr>
          <w:p w14:paraId="1581BBDA" w14:textId="77777777" w:rsidR="00A703D8" w:rsidRPr="006E7FE5" w:rsidRDefault="00A703D8" w:rsidP="00A703D8">
            <w:pPr>
              <w:pStyle w:val="TableTextSmall"/>
              <w:keepNext/>
              <w:rPr>
                <w:lang w:eastAsia="en-AU"/>
              </w:rPr>
            </w:pPr>
            <w:r w:rsidRPr="006E7FE5">
              <w:rPr>
                <w:noProof/>
                <w:lang w:eastAsia="en-AU"/>
              </w:rPr>
              <w:drawing>
                <wp:inline distT="0" distB="0" distL="0" distR="0" wp14:anchorId="39871625" wp14:editId="58A8F08B">
                  <wp:extent cx="3585837" cy="2160000"/>
                  <wp:effectExtent l="0" t="0" r="0" b="0"/>
                  <wp:docPr id="3" name="Picture 3" descr="This figure is a horizontal bar chart showing the number of people in the Working Age class at Jun17 by age for males and females separately. The vertical axis shows age with the data shown ranging up to age 90. The horizontal axis shows the number of people ranging from 0 to 30,000. The number of males at each age are shown by the horizontal bars to the left of the vertical axis and the number of females at each age are shown by horizontal bars to the right.&#10;&#10;The bars for each given age and gender are split into the number of people associated with the following Working Age payment types: Newstart, Sickness Allowance, Partner Allowance, Widow Allowance , Youth Allowance (Other) and Other.&#10;&#10;The chart is based on the 1,301,000 individuals who were in the working age class at 30 June 2017. &#10;&#10;The highest number of males in the Working Age class (around 24,000 at each age) are seen for those aged 19 - 25. After these ages, the number of men decreases with age. The number of males drops sharply at age 65 with about 100 males at each age in the 70 to 80 age range.&#10;&#10;The number of females peaks at 19,000 at age 19. The number of females then decreases by age until age 31 where there are 8,600 women. After this age, the number of women increases before peaking again at age 45 where there are around 15,000 women. The number of women then decreases sharply before one last peak at age 64 where there are approximately 16,000 females in the working age class.&#10;&#10;For both males and females, the vast majority aged over 23 receive Newstart. Almost all clients under age 23 receive Youth Allowance (Other). Approximately 18,000 women aged over 60 receive the Widow Allowance or Partner Allowance.  Small numbers of males and females across all ages receive the Sickness Allowance or Other payments. &#10;&#10;The features shown in the chart are discussed further in the accompanying text within the report.&#10;&#10;" title="2017 profile of people in class 2 – Working Age (age/gender/pay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585837" cy="2160000"/>
                          </a:xfrm>
                          <a:prstGeom prst="rect">
                            <a:avLst/>
                          </a:prstGeom>
                          <a:noFill/>
                          <a:ln>
                            <a:noFill/>
                          </a:ln>
                        </pic:spPr>
                      </pic:pic>
                    </a:graphicData>
                  </a:graphic>
                </wp:inline>
              </w:drawing>
            </w:r>
          </w:p>
        </w:tc>
        <w:tc>
          <w:tcPr>
            <w:tcW w:w="2976" w:type="dxa"/>
          </w:tcPr>
          <w:p w14:paraId="2D1046D1" w14:textId="77777777" w:rsidR="00A703D8" w:rsidRPr="006E7FE5" w:rsidRDefault="00A703D8" w:rsidP="00A703D8">
            <w:pPr>
              <w:pStyle w:val="TableTextSmall"/>
              <w:keepNext/>
              <w:rPr>
                <w:lang w:eastAsia="en-AU"/>
              </w:rPr>
            </w:pPr>
          </w:p>
          <w:p w14:paraId="64798CFD" w14:textId="77777777" w:rsidR="00A703D8" w:rsidRPr="006E7FE5" w:rsidRDefault="00A703D8" w:rsidP="00A703D8">
            <w:pPr>
              <w:pStyle w:val="TableTextSmall"/>
              <w:keepNext/>
              <w:rPr>
                <w:lang w:eastAsia="en-AU"/>
              </w:rPr>
            </w:pPr>
          </w:p>
          <w:p w14:paraId="2622ABED" w14:textId="77777777" w:rsidR="00A703D8" w:rsidRPr="006E7FE5" w:rsidRDefault="00A703D8" w:rsidP="00A703D8">
            <w:pPr>
              <w:pStyle w:val="TableTextSmall"/>
              <w:keepNext/>
              <w:rPr>
                <w:lang w:eastAsia="en-AU"/>
              </w:rPr>
            </w:pPr>
            <w:r w:rsidRPr="006E7FE5">
              <w:rPr>
                <w:noProof/>
                <w:lang w:eastAsia="en-AU"/>
              </w:rPr>
              <w:drawing>
                <wp:inline distT="0" distB="0" distL="0" distR="0" wp14:anchorId="7CFB6859" wp14:editId="4FEE5246">
                  <wp:extent cx="1038225" cy="997624"/>
                  <wp:effectExtent l="0" t="0" r="0" b="0"/>
                  <wp:docPr id="3102" name="Picture 3102"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25631" t="9635" r="9748" b="33222"/>
                          <a:stretch/>
                        </pic:blipFill>
                        <pic:spPr bwMode="auto">
                          <a:xfrm>
                            <a:off x="0" y="0"/>
                            <a:ext cx="1048743" cy="1007730"/>
                          </a:xfrm>
                          <a:prstGeom prst="rect">
                            <a:avLst/>
                          </a:prstGeom>
                          <a:noFill/>
                          <a:ln>
                            <a:noFill/>
                          </a:ln>
                          <a:extLst>
                            <a:ext uri="{53640926-AAD7-44D8-BBD7-CCE9431645EC}">
                              <a14:shadowObscured xmlns:a14="http://schemas.microsoft.com/office/drawing/2010/main"/>
                            </a:ext>
                          </a:extLst>
                        </pic:spPr>
                      </pic:pic>
                    </a:graphicData>
                  </a:graphic>
                </wp:inline>
              </w:drawing>
            </w:r>
          </w:p>
          <w:p w14:paraId="1B2A755F" w14:textId="77777777" w:rsidR="00A703D8" w:rsidRPr="006E7FE5" w:rsidRDefault="00A703D8" w:rsidP="00A703D8">
            <w:pPr>
              <w:pStyle w:val="TableTextSmall"/>
              <w:keepNext/>
              <w:rPr>
                <w:lang w:eastAsia="en-AU"/>
              </w:rPr>
            </w:pPr>
          </w:p>
        </w:tc>
      </w:tr>
    </w:tbl>
    <w:p w14:paraId="6DB60E5A" w14:textId="2218092D" w:rsidR="00A703D8" w:rsidRPr="006E7FE5" w:rsidRDefault="00A703D8" w:rsidP="00A703D8">
      <w:pPr>
        <w:pStyle w:val="PwCNormal"/>
        <w:numPr>
          <w:ilvl w:val="0"/>
          <w:numId w:val="0"/>
        </w:numPr>
      </w:pPr>
      <w:r w:rsidRPr="006E7FE5">
        <w:t xml:space="preserve">From the chart, we can see that there are a mix of both men and women, albeit with more men than women at younger ages which may be because more women are receiving Parenting or Studying payments. The numbers in the class peak for people in their twenties and then gradually reduce up to pension age. This pattern is particularly evident for men; for women the shape is different as many women transition to receiving </w:t>
      </w:r>
      <w:r w:rsidR="0070204F">
        <w:t>P</w:t>
      </w:r>
      <w:r w:rsidRPr="006E7FE5">
        <w:t>arenting payments.</w:t>
      </w:r>
    </w:p>
    <w:p w14:paraId="7C5187CE" w14:textId="77777777" w:rsidR="00A703D8" w:rsidRPr="006E7FE5" w:rsidRDefault="00A703D8" w:rsidP="00A703D8">
      <w:pPr>
        <w:pStyle w:val="PwCNormal"/>
        <w:numPr>
          <w:ilvl w:val="0"/>
          <w:numId w:val="0"/>
        </w:numPr>
      </w:pPr>
      <w:r w:rsidRPr="006E7FE5">
        <w:t>The vast majority of people in the Working Age class are on Youth Allowance (if aged up to 21) or Newstart Allowance (if over 21 years old). The remaining people are mostly on Sickness Allowance; there are also a small number of people (mostly women) at the older ages still accessing Partner Allowance and Widow Allowance although these will decrease over time as these benefits are gradually phased out.</w:t>
      </w:r>
    </w:p>
    <w:p w14:paraId="5ED3E671" w14:textId="77777777" w:rsidR="00A703D8" w:rsidRPr="00A716AE" w:rsidRDefault="00A703D8" w:rsidP="00A703D8">
      <w:pPr>
        <w:pStyle w:val="Minorheading"/>
      </w:pPr>
      <w:bookmarkStart w:id="208" w:name="_Toc455503973"/>
      <w:bookmarkStart w:id="209" w:name="_Toc455502441"/>
      <w:bookmarkStart w:id="210" w:name="_Toc455499420"/>
      <w:r w:rsidRPr="00A716AE">
        <w:lastRenderedPageBreak/>
        <w:t xml:space="preserve">Movements into </w:t>
      </w:r>
      <w:r>
        <w:t xml:space="preserve">and out of </w:t>
      </w:r>
      <w:r w:rsidRPr="00A716AE">
        <w:t>this class</w:t>
      </w:r>
    </w:p>
    <w:p w14:paraId="023C5997" w14:textId="0F24CD3B" w:rsidR="00A703D8" w:rsidRPr="00A716AE" w:rsidRDefault="00A703D8" w:rsidP="00A703D8">
      <w:pPr>
        <w:pStyle w:val="PwCNormal"/>
        <w:numPr>
          <w:ilvl w:val="0"/>
          <w:numId w:val="1"/>
        </w:numPr>
      </w:pPr>
      <w:r w:rsidRPr="00A716AE">
        <w:t xml:space="preserve">Over the last </w:t>
      </w:r>
      <w:r w:rsidR="007A314E">
        <w:t>three</w:t>
      </w:r>
      <w:r w:rsidRPr="00A716AE">
        <w:t xml:space="preserve"> years, an average of 372,500 people (around 2</w:t>
      </w:r>
      <w:r>
        <w:t>8%</w:t>
      </w:r>
      <w:r w:rsidRPr="00A716AE">
        <w:t xml:space="preserve"> of the people in this class) per annum enter this class from another welfare class or from outside the welfare system. Over th</w:t>
      </w:r>
      <w:r>
        <w:t>is same period</w:t>
      </w:r>
      <w:r w:rsidR="002E4244">
        <w:t>,</w:t>
      </w:r>
      <w:r>
        <w:t xml:space="preserve"> an average of 369,</w:t>
      </w:r>
      <w:r w:rsidR="002069F7">
        <w:t>1</w:t>
      </w:r>
      <w:r w:rsidRPr="00A716AE">
        <w:t>00</w:t>
      </w:r>
      <w:r>
        <w:t xml:space="preserve"> </w:t>
      </w:r>
      <w:r w:rsidRPr="00A716AE">
        <w:t>people (around 28% of people in this class) per annum have transitioned out of the Working Age class.</w:t>
      </w:r>
    </w:p>
    <w:p w14:paraId="6045B5D8" w14:textId="77777777" w:rsidR="00A703D8" w:rsidRPr="00A716AE" w:rsidRDefault="00A703D8" w:rsidP="00A703D8">
      <w:pPr>
        <w:pStyle w:val="PwCNormal"/>
        <w:numPr>
          <w:ilvl w:val="0"/>
          <w:numId w:val="1"/>
        </w:numPr>
      </w:pPr>
      <w:r w:rsidRPr="00A716AE">
        <w:t>The following chart shows the breakdown of these transitions by previous</w:t>
      </w:r>
      <w:r>
        <w:t>/destination class and year of transition.</w:t>
      </w:r>
    </w:p>
    <w:p w14:paraId="6D5DFDF4" w14:textId="2CB60B7F" w:rsidR="00A703D8" w:rsidRPr="00A716AE" w:rsidRDefault="00A703D8" w:rsidP="00A703D8">
      <w:pPr>
        <w:pStyle w:val="Caption"/>
      </w:pPr>
      <w:r w:rsidRPr="00A716AE">
        <w:t xml:space="preserve">Figure </w:t>
      </w:r>
      <w:fldSimple w:instr=" SEQ Figure \* ARABIC ">
        <w:r w:rsidR="00C93C1A">
          <w:rPr>
            <w:noProof/>
          </w:rPr>
          <w:t>56</w:t>
        </w:r>
      </w:fldSimple>
      <w:r w:rsidRPr="00A716AE">
        <w:t xml:space="preserve">: Number of people entering and exiting </w:t>
      </w:r>
      <w:r w:rsidR="00871E70">
        <w:t>c</w:t>
      </w:r>
      <w:r w:rsidRPr="00A716AE">
        <w:t>lass 2 – Working Age</w:t>
      </w:r>
    </w:p>
    <w:p w14:paraId="49E46C5B" w14:textId="77777777" w:rsidR="00A703D8" w:rsidRPr="00A716AE" w:rsidRDefault="00A703D8" w:rsidP="00A703D8">
      <w:pPr>
        <w:pStyle w:val="PwCNormal"/>
        <w:numPr>
          <w:ilvl w:val="0"/>
          <w:numId w:val="1"/>
        </w:numPr>
      </w:pPr>
      <w:r w:rsidRPr="005C7936">
        <w:rPr>
          <w:noProof/>
          <w:lang w:eastAsia="en-AU"/>
        </w:rPr>
        <w:drawing>
          <wp:inline distT="0" distB="0" distL="0" distR="0" wp14:anchorId="3349CC95" wp14:editId="5059431B">
            <wp:extent cx="5832475" cy="1961402"/>
            <wp:effectExtent l="0" t="0" r="0" b="1270"/>
            <wp:docPr id="209" name="Picture 209" descr="This figure is a stacked column chart with ten columns. The vertical axis displays the number of people ranging from 0 to 500,000. &#10;&#10;The horizontal axis is split into two sections; the first five columns show the numbers of entrants into the Working Age class and the second five columns show the number of exits from the Working Age class. In each section, the set of five columns represent the last five financial years; 2013, 2014, 2015, 2016 and 2017. &#10;&#10;For the first section, the columns showing the number of entrants into the Working Age class for each financial year are split into previous class. These classes include; 1 Studying, 3 Parents, 4 Carers, 5 Disability Support, 6 Pension Age, 7 Non-IS Family, 8 Non-IS Carer, 9 Non-IS Other, 10 Previous Welfare Recipient, 11 Dead and 12 Rest of the Australian Population. &#10;&#10;The chart shows that the number of entries into Class 2 were; 477,000 in 2013, 416,000 in 2014, 389,000 in 2015, 379,000 in 2016 and 349,000 in 2017. The majority of entrants come from Class 12 Rest of the Australian Population, Class 10 Previous Welfare Recipient or Class 3 Parents. &#10;&#10;For the second section, the columns showing the number of exits from the Working Age class for each financial year are split into destination class. These classes include; 1 Studying, 3 Parents, 4 Carers, 5 Disability Support, 6 Pension Age, 7 Non-IS Family, 8 Non-IS Carer, 9 Non-IS Other, 10 Previous Welfare Recipient, 11 Dead and 12 Rest of the Australian Population. &#10;&#10;The chart shows that the number of exits out of Class 1 were; 360,000 in 2013, 354,000 in 2014, 376,000 in 2015, 363,000 in 2016 and 368,000 in 2017. The majority of individuals who exit move to Class 10 Previous Welfare Recipient.&#10;&#10;Further discussion of the key features shown in the chart can be found in the accompanying text within the report. &#10;" title="Number of people entering and exiting class 2 – Working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32475" cy="1961402"/>
                    </a:xfrm>
                    <a:prstGeom prst="rect">
                      <a:avLst/>
                    </a:prstGeom>
                    <a:noFill/>
                    <a:ln>
                      <a:noFill/>
                    </a:ln>
                  </pic:spPr>
                </pic:pic>
              </a:graphicData>
            </a:graphic>
          </wp:inline>
        </w:drawing>
      </w:r>
    </w:p>
    <w:p w14:paraId="5B1DBC7E" w14:textId="77777777" w:rsidR="00A703D8" w:rsidRPr="00A716AE" w:rsidRDefault="00A703D8" w:rsidP="00A703D8">
      <w:pPr>
        <w:pStyle w:val="PwCNormal"/>
        <w:keepNext/>
        <w:keepLines/>
        <w:numPr>
          <w:ilvl w:val="0"/>
          <w:numId w:val="1"/>
        </w:numPr>
        <w:jc w:val="center"/>
      </w:pPr>
      <w:r w:rsidRPr="00A716AE">
        <w:rPr>
          <w:noProof/>
          <w:lang w:eastAsia="en-AU"/>
        </w:rPr>
        <w:drawing>
          <wp:inline distT="0" distB="0" distL="0" distR="0" wp14:anchorId="21ADBDDE" wp14:editId="21091E8D">
            <wp:extent cx="5385600" cy="468000"/>
            <wp:effectExtent l="0" t="0" r="0" b="8255"/>
            <wp:docPr id="198" name="Picture 198" descr="Class key: studying, working age, parents, carers, disability support, pension age, non-income support family, non-income support carer, non-income support other, previous welfare recipient, rest of the Australian population and dead. &#10;" title="Clas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1ED51B05" w14:textId="77777777" w:rsidR="00A703D8" w:rsidRPr="00E849DB" w:rsidRDefault="00A703D8" w:rsidP="00A703D8">
      <w:pPr>
        <w:pStyle w:val="PwCNormal"/>
        <w:numPr>
          <w:ilvl w:val="0"/>
          <w:numId w:val="1"/>
        </w:numPr>
      </w:pPr>
      <w:r w:rsidRPr="00A716AE">
        <w:t>We can see that</w:t>
      </w:r>
      <w:r>
        <w:t xml:space="preserve"> </w:t>
      </w:r>
      <w:r w:rsidRPr="00E849DB">
        <w:t xml:space="preserve">people </w:t>
      </w:r>
      <w:r>
        <w:t xml:space="preserve">generally </w:t>
      </w:r>
      <w:r w:rsidRPr="00E849DB">
        <w:t xml:space="preserve">enter this class from outside the welfare system, many of whom had previously accessed welfare payments. </w:t>
      </w:r>
      <w:r>
        <w:t>P</w:t>
      </w:r>
      <w:r w:rsidRPr="00E849DB">
        <w:t>eople in this class show some mobility, with a mixture of exits from the system and movements to a range of other classes. Most people who leave this class but remain in the system tend to transition to class ‘1 Studying’ (at the younger ages), class ‘6 Pension Age’ (at retirement) and, for women, classes ‘3 Parenting’ and ‘7 Non IS Family’.</w:t>
      </w:r>
    </w:p>
    <w:p w14:paraId="4E28D5C3" w14:textId="5BCFC108" w:rsidR="00132DE6" w:rsidRPr="00E849DB" w:rsidRDefault="00132DE6" w:rsidP="00132DE6">
      <w:pPr>
        <w:pStyle w:val="PwCNormal"/>
        <w:numPr>
          <w:ilvl w:val="0"/>
          <w:numId w:val="1"/>
        </w:numPr>
      </w:pPr>
      <w:r>
        <w:t xml:space="preserve">Transitions from </w:t>
      </w:r>
      <w:r w:rsidR="0070204F">
        <w:t>P</w:t>
      </w:r>
      <w:r>
        <w:t xml:space="preserve">arenting payment </w:t>
      </w:r>
      <w:r w:rsidRPr="00E849DB">
        <w:t>in 2013 were particularly high</w:t>
      </w:r>
      <w:r>
        <w:t xml:space="preserve"> due to a transitional arrangement ending, which </w:t>
      </w:r>
      <w:r w:rsidRPr="005E32F6">
        <w:t>reduc</w:t>
      </w:r>
      <w:r>
        <w:t>ed</w:t>
      </w:r>
      <w:r w:rsidRPr="005E32F6">
        <w:t xml:space="preserve"> the </w:t>
      </w:r>
      <w:r w:rsidR="0070204F">
        <w:t>P</w:t>
      </w:r>
      <w:r>
        <w:t xml:space="preserve">arenting payment </w:t>
      </w:r>
      <w:r w:rsidRPr="005E32F6">
        <w:t xml:space="preserve">eligibility </w:t>
      </w:r>
      <w:r>
        <w:t xml:space="preserve">criteria for the </w:t>
      </w:r>
      <w:r w:rsidRPr="005E32F6">
        <w:t xml:space="preserve">age </w:t>
      </w:r>
      <w:r>
        <w:t>of the youngest child</w:t>
      </w:r>
      <w:r w:rsidRPr="005E32F6">
        <w:t xml:space="preserve"> from 16 to either 6 (for partnered parents) or 8 (for single parents)</w:t>
      </w:r>
      <w:r>
        <w:t>. This resulted</w:t>
      </w:r>
      <w:r w:rsidRPr="005E32F6">
        <w:t xml:space="preserve"> in a large n</w:t>
      </w:r>
      <w:r>
        <w:t xml:space="preserve">umber of exits from the </w:t>
      </w:r>
      <w:r w:rsidR="0070204F">
        <w:t>P</w:t>
      </w:r>
      <w:r>
        <w:t xml:space="preserve">arenting class during that year and many of these people transitioned into the </w:t>
      </w:r>
      <w:r w:rsidR="003C32DF">
        <w:t>Working Age class</w:t>
      </w:r>
      <w:r>
        <w:t>.</w:t>
      </w:r>
    </w:p>
    <w:p w14:paraId="221691D4" w14:textId="7DEA1871" w:rsidR="00A703D8" w:rsidRPr="009744DF" w:rsidRDefault="00132DE6" w:rsidP="00132DE6">
      <w:pPr>
        <w:pStyle w:val="PwCNormal"/>
        <w:numPr>
          <w:ilvl w:val="0"/>
          <w:numId w:val="1"/>
        </w:numPr>
      </w:pPr>
      <w:r>
        <w:t xml:space="preserve">Historically </w:t>
      </w:r>
      <w:r w:rsidRPr="009744DF">
        <w:t xml:space="preserve">entries into </w:t>
      </w:r>
      <w:r>
        <w:t>c</w:t>
      </w:r>
      <w:r w:rsidRPr="009744DF">
        <w:t xml:space="preserve">lass 2 have been a little higher than exits from </w:t>
      </w:r>
      <w:r>
        <w:t>c</w:t>
      </w:r>
      <w:r w:rsidRPr="009744DF">
        <w:t xml:space="preserve">lass </w:t>
      </w:r>
      <w:r>
        <w:t>2</w:t>
      </w:r>
      <w:r w:rsidRPr="009744DF">
        <w:t xml:space="preserve"> </w:t>
      </w:r>
      <w:r>
        <w:t xml:space="preserve">and this has </w:t>
      </w:r>
      <w:r w:rsidRPr="009744DF">
        <w:t>led to increases in the number of people in the class</w:t>
      </w:r>
      <w:r>
        <w:t xml:space="preserve"> each year. However, the gap between entries and exits has been decreasing over the period, and in the most recent year the number </w:t>
      </w:r>
      <w:r w:rsidR="0086517A">
        <w:t xml:space="preserve">of </w:t>
      </w:r>
      <w:r>
        <w:t>exits from class 2 was slightly higher than the number of entrants.</w:t>
      </w:r>
      <w:r w:rsidRPr="009744DF">
        <w:t xml:space="preserve"> It should be noted that the latest year’s data in the chart above will be affected by maturity issues and may be understated.</w:t>
      </w:r>
    </w:p>
    <w:p w14:paraId="56E52E2F" w14:textId="77777777" w:rsidR="00A703D8" w:rsidRPr="009744DF" w:rsidRDefault="00A703D8" w:rsidP="00A703D8">
      <w:pPr>
        <w:pStyle w:val="Minorheading"/>
      </w:pPr>
      <w:r w:rsidRPr="009744DF">
        <w:t>Payments received</w:t>
      </w:r>
    </w:p>
    <w:p w14:paraId="31299572" w14:textId="77777777" w:rsidR="00A703D8" w:rsidRPr="00074164" w:rsidRDefault="00A703D8" w:rsidP="00964D65">
      <w:pPr>
        <w:pStyle w:val="PwCNormal"/>
        <w:numPr>
          <w:ilvl w:val="0"/>
          <w:numId w:val="33"/>
        </w:numPr>
      </w:pPr>
      <w:r w:rsidRPr="009744DF">
        <w:t xml:space="preserve">During 2016/17, people in this class received a total of $14.6 billion. This is 13.1% of the total payments </w:t>
      </w:r>
      <w:r w:rsidRPr="00074164">
        <w:t>made in 2016/17. The charts below show the average amount paid in a year to each person in this class.</w:t>
      </w:r>
    </w:p>
    <w:p w14:paraId="2356FE1F" w14:textId="5EE3E0F9" w:rsidR="00A703D8" w:rsidRPr="00074164" w:rsidRDefault="00A703D8" w:rsidP="00A703D8">
      <w:pPr>
        <w:pStyle w:val="Caption"/>
      </w:pPr>
      <w:r w:rsidRPr="00074164">
        <w:lastRenderedPageBreak/>
        <w:t xml:space="preserve">Figure </w:t>
      </w:r>
      <w:fldSimple w:instr=" SEQ Figure \* ARABIC ">
        <w:r w:rsidR="00C93C1A">
          <w:rPr>
            <w:noProof/>
          </w:rPr>
          <w:t>57</w:t>
        </w:r>
      </w:fldSimple>
      <w:r w:rsidRPr="00074164">
        <w:t xml:space="preserve">: Average payments per person in </w:t>
      </w:r>
      <w:r w:rsidR="00871E70">
        <w:t>c</w:t>
      </w:r>
      <w:r w:rsidRPr="00074164">
        <w:t>lass 2 – Working Age (restated to 2016/17 $ values)</w:t>
      </w:r>
    </w:p>
    <w:p w14:paraId="5B5FBE95" w14:textId="77777777" w:rsidR="00A703D8" w:rsidRPr="00074164" w:rsidRDefault="00A703D8" w:rsidP="00964D65">
      <w:pPr>
        <w:pStyle w:val="PwCNormal"/>
        <w:numPr>
          <w:ilvl w:val="0"/>
          <w:numId w:val="33"/>
        </w:numPr>
      </w:pPr>
      <w:r w:rsidRPr="00074164">
        <w:rPr>
          <w:noProof/>
          <w:lang w:eastAsia="en-AU"/>
        </w:rPr>
        <w:drawing>
          <wp:inline distT="0" distB="0" distL="0" distR="0" wp14:anchorId="076FEFD3" wp14:editId="3ED9BF24">
            <wp:extent cx="5832475" cy="1964561"/>
            <wp:effectExtent l="0" t="0" r="0" b="0"/>
            <wp:docPr id="210" name="Picture 210" descr="This figure is a stacked column chart. The vertical axis displays the average payment per person in the Working Age Class, ranging from $0 to $16,000.&#10;&#10;The horizontal axis is split into two sections; the first for males and the second for females. Each section is further split to show the last five financial years; 2013, 2014, 2015, 2016 and 2017.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2 was: $8,500 for 2013; $9,000 for 2014; $9,200 for 2015; $9,500 for 2016; and $9,500 for 2017.&#10;&#10;For females the approximate average payment per person in Class 2 was: $13,200 for 2013; $13,500 for 2014; $13,800 for 2015; $14,000 for 2016; and $13,300 for 2017.&#10;&#10;The majority of payments for males were from the IS Working Age category, while the majority of payments for females were from the IS Working Age and Other – FTB categories.&#10;&#10;The key features of this chart are described in the accompanying text within the report.&#10;" title="Average payments per person in class 2 – Working Age (restated to 2016/17 $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32475" cy="1964561"/>
                    </a:xfrm>
                    <a:prstGeom prst="rect">
                      <a:avLst/>
                    </a:prstGeom>
                    <a:noFill/>
                    <a:ln>
                      <a:noFill/>
                    </a:ln>
                  </pic:spPr>
                </pic:pic>
              </a:graphicData>
            </a:graphic>
          </wp:inline>
        </w:drawing>
      </w:r>
    </w:p>
    <w:p w14:paraId="031F335F" w14:textId="77777777" w:rsidR="00A703D8" w:rsidRPr="00074164" w:rsidRDefault="00A703D8" w:rsidP="00A703D8">
      <w:pPr>
        <w:pStyle w:val="PwCNormal"/>
        <w:numPr>
          <w:ilvl w:val="0"/>
          <w:numId w:val="0"/>
        </w:numPr>
        <w:ind w:firstLine="720"/>
      </w:pPr>
      <w:r w:rsidRPr="00074164">
        <w:rPr>
          <w:noProof/>
          <w:lang w:eastAsia="en-AU"/>
        </w:rPr>
        <w:drawing>
          <wp:inline distT="0" distB="0" distL="0" distR="0" wp14:anchorId="5B53C1A6" wp14:editId="54F0788E">
            <wp:extent cx="4868545" cy="465455"/>
            <wp:effectExtent l="0" t="0" r="0" b="0"/>
            <wp:docPr id="3159" name="Picture 3159"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68545" cy="465455"/>
                    </a:xfrm>
                    <a:prstGeom prst="rect">
                      <a:avLst/>
                    </a:prstGeom>
                    <a:noFill/>
                    <a:ln>
                      <a:noFill/>
                    </a:ln>
                  </pic:spPr>
                </pic:pic>
              </a:graphicData>
            </a:graphic>
          </wp:inline>
        </w:drawing>
      </w:r>
    </w:p>
    <w:p w14:paraId="5F0283CC" w14:textId="3514E36C" w:rsidR="00A703D8" w:rsidRPr="00074164" w:rsidRDefault="00A703D8" w:rsidP="00964D65">
      <w:pPr>
        <w:pStyle w:val="PwCNormal"/>
        <w:numPr>
          <w:ilvl w:val="0"/>
          <w:numId w:val="33"/>
        </w:numPr>
      </w:pPr>
      <w:r w:rsidRPr="00074164">
        <w:t xml:space="preserve">During 2016/17, the average payment made was $11,200 with considerably higher average payments being made to women ($13,300) than men ($9,500). As can be seen from the chart above, this is because of their greater propensity to receive FTB and family payments alongside the main </w:t>
      </w:r>
      <w:r w:rsidR="00FE30F6">
        <w:t>W</w:t>
      </w:r>
      <w:r w:rsidRPr="00074164">
        <w:t xml:space="preserve">orking </w:t>
      </w:r>
      <w:r w:rsidR="00FE30F6">
        <w:t>A</w:t>
      </w:r>
      <w:r w:rsidRPr="00074164">
        <w:t xml:space="preserve">ge payment. </w:t>
      </w:r>
    </w:p>
    <w:p w14:paraId="7E872377" w14:textId="77777777" w:rsidR="00A703D8" w:rsidRPr="00074164" w:rsidRDefault="00A703D8" w:rsidP="00964D65">
      <w:pPr>
        <w:pStyle w:val="PwCNormal"/>
        <w:numPr>
          <w:ilvl w:val="0"/>
          <w:numId w:val="33"/>
        </w:numPr>
      </w:pPr>
      <w:r w:rsidRPr="00074164">
        <w:t>The Working Age class also contains a small group of dependants, being people receiving either Partner Allowance or Widow Allowance. The eligibility criteria for these payments are such that this group are all age 60 or above at the valuation date and almost all women. The contribution of the payments made to this group can be seen in the female section of the chart above.</w:t>
      </w:r>
    </w:p>
    <w:p w14:paraId="216894D4" w14:textId="77777777" w:rsidR="00A703D8" w:rsidRPr="00074164" w:rsidRDefault="00A703D8" w:rsidP="00A703D8">
      <w:pPr>
        <w:pStyle w:val="Heading4"/>
      </w:pPr>
      <w:bookmarkStart w:id="211" w:name="_Toc455503972"/>
      <w:bookmarkStart w:id="212" w:name="_Toc455502440"/>
      <w:bookmarkStart w:id="213" w:name="_Toc455499419"/>
      <w:r w:rsidRPr="00074164">
        <w:t>Changes in model fitting this valuation</w:t>
      </w:r>
    </w:p>
    <w:bookmarkEnd w:id="211"/>
    <w:bookmarkEnd w:id="212"/>
    <w:bookmarkEnd w:id="213"/>
    <w:p w14:paraId="44224196" w14:textId="77777777" w:rsidR="00A703D8" w:rsidRDefault="00A703D8" w:rsidP="00964D65">
      <w:pPr>
        <w:pStyle w:val="PwCNormal"/>
        <w:numPr>
          <w:ilvl w:val="0"/>
          <w:numId w:val="33"/>
        </w:numPr>
      </w:pPr>
      <w:r>
        <w:t>This year we have enhanced the Working Age model assumptions to allow for the intergenerational and partial capacity to work (PCW) variables. Use of welfare by a person’s parents during childhood was seen to be correlated with higher continuance on income support payments. People with lower work capacity, in particular those with an exemption from mutual obligation requirements, were also seen to be correlated with higher continuance on income support payments.</w:t>
      </w:r>
    </w:p>
    <w:p w14:paraId="713AF6A6" w14:textId="77777777" w:rsidR="00A703D8" w:rsidRPr="009856D5" w:rsidRDefault="00A703D8" w:rsidP="00A703D8">
      <w:pPr>
        <w:pStyle w:val="Heading4"/>
      </w:pPr>
      <w:r w:rsidRPr="009856D5">
        <w:t>What does the model show for the current Working Age group?</w:t>
      </w:r>
      <w:bookmarkEnd w:id="208"/>
      <w:bookmarkEnd w:id="209"/>
      <w:bookmarkEnd w:id="210"/>
    </w:p>
    <w:p w14:paraId="7E15325D" w14:textId="77777777" w:rsidR="00A703D8" w:rsidRPr="009856D5" w:rsidRDefault="00A703D8" w:rsidP="00A703D8">
      <w:pPr>
        <w:pStyle w:val="Minorheading"/>
      </w:pPr>
      <w:r w:rsidRPr="009856D5">
        <w:t>Lifetime costs</w:t>
      </w:r>
    </w:p>
    <w:p w14:paraId="0E3A27ED" w14:textId="77777777" w:rsidR="00A703D8" w:rsidRPr="009856D5" w:rsidRDefault="00A703D8" w:rsidP="00964D65">
      <w:pPr>
        <w:pStyle w:val="PwCNormal"/>
        <w:numPr>
          <w:ilvl w:val="0"/>
          <w:numId w:val="33"/>
        </w:numPr>
      </w:pPr>
      <w:r w:rsidRPr="009856D5">
        <w:t xml:space="preserve">We estimated the lifetime cost for the people in this class to be </w:t>
      </w:r>
      <w:r w:rsidRPr="009856D5">
        <w:rPr>
          <w:b/>
        </w:rPr>
        <w:t>$411bn</w:t>
      </w:r>
      <w:r w:rsidRPr="009856D5">
        <w:t xml:space="preserve"> (or </w:t>
      </w:r>
      <w:r w:rsidRPr="009856D5">
        <w:rPr>
          <w:b/>
        </w:rPr>
        <w:t>8.8%</w:t>
      </w:r>
      <w:r w:rsidRPr="009856D5">
        <w:t xml:space="preserve"> of the total lifetime cost). The average lifetime cost for people in this class is </w:t>
      </w:r>
      <w:r w:rsidRPr="009856D5">
        <w:rPr>
          <w:b/>
        </w:rPr>
        <w:t>$315,000</w:t>
      </w:r>
      <w:r w:rsidRPr="009856D5">
        <w:t>. The variation in average lifetime cost by age and gender is illustrated in the figure below.</w:t>
      </w:r>
    </w:p>
    <w:p w14:paraId="681A789A" w14:textId="673AA87D" w:rsidR="00A703D8" w:rsidRPr="009856D5" w:rsidRDefault="00A703D8" w:rsidP="00A703D8">
      <w:pPr>
        <w:pStyle w:val="Caption"/>
      </w:pPr>
      <w:bookmarkStart w:id="214" w:name="_Ref465934421"/>
      <w:r w:rsidRPr="009856D5">
        <w:lastRenderedPageBreak/>
        <w:t xml:space="preserve">Figure </w:t>
      </w:r>
      <w:fldSimple w:instr=" SEQ Figure \* ARABIC ">
        <w:r w:rsidR="00C93C1A">
          <w:rPr>
            <w:noProof/>
          </w:rPr>
          <w:t>58</w:t>
        </w:r>
      </w:fldSimple>
      <w:bookmarkEnd w:id="214"/>
      <w:r w:rsidRPr="009856D5">
        <w:t>: Average lifetime cost by age and gender (</w:t>
      </w:r>
      <w:r w:rsidR="00871E70">
        <w:t>c</w:t>
      </w:r>
      <w:r w:rsidRPr="009856D5">
        <w:t>lass 2)</w:t>
      </w:r>
    </w:p>
    <w:tbl>
      <w:tblPr>
        <w:tblStyle w:val="Tables-APBase"/>
        <w:tblW w:w="512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687"/>
        <w:gridCol w:w="3648"/>
      </w:tblGrid>
      <w:tr w:rsidR="00A703D8" w:rsidRPr="009210D0" w14:paraId="3C1F4432" w14:textId="77777777" w:rsidTr="00132DE6">
        <w:trPr>
          <w:trHeight w:val="3402"/>
          <w:tblHeader/>
        </w:trPr>
        <w:tc>
          <w:tcPr>
            <w:tcW w:w="6236" w:type="dxa"/>
            <w:hideMark/>
          </w:tcPr>
          <w:p w14:paraId="5A918D0D" w14:textId="149A9505" w:rsidR="00A703D8" w:rsidRPr="009856D5" w:rsidRDefault="00434D82" w:rsidP="00A703D8">
            <w:pPr>
              <w:pStyle w:val="TableTextSmall"/>
              <w:keepNext/>
              <w:rPr>
                <w:lang w:eastAsia="en-AU"/>
              </w:rPr>
            </w:pPr>
            <w:r w:rsidRPr="00434D82">
              <w:rPr>
                <w:lang w:eastAsia="en-AU"/>
              </w:rPr>
              <w:t xml:space="preserve"> </w:t>
            </w:r>
            <w:r w:rsidRPr="00434D82">
              <w:rPr>
                <w:noProof/>
                <w:lang w:eastAsia="en-AU"/>
              </w:rPr>
              <w:drawing>
                <wp:inline distT="0" distB="0" distL="0" distR="0" wp14:anchorId="6FA4F450" wp14:editId="1A5FD216">
                  <wp:extent cx="3717032" cy="2160000"/>
                  <wp:effectExtent l="0" t="0" r="0" b="0"/>
                  <wp:docPr id="1041" name="Picture 1041" descr="This figure is a horizontal bar chart showing average lifetime cost by age for males and females separately. The vertical axis shows age with the data shown ranging up to age 84. The horizontal axis shows the average lifetime cost with the data shown ranging from $0 to $500,000. The average lifetime costs for males at each age are shown by the horizontal bars to the left of the vertical axis and the average lifetime costs for females at each age are shown by horizontal bars to the right. &#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1,301,000 individuals who were in the working age class at 30 June 2017 but includes only those age groups containing at least 100 individuals.&#10;&#10;The average lifetime cost of males aged 15 to 25 is approximately $230,000. After this age, the average lifetime cost increases with age to approximately $300,000 for 40 year olds. From age 40 to 65, average lifetime cost has a slightly decreasing trend, peaking at $314,000 for men aged 50. As age increases, the age pension component makes up an increasing proportion of the average lifetime cost, while FTB and disability components make up a decreasing proportion. After age 65 the average lifetime cost for males decreases quickly with age.&#10;&#10;For females, the income support components of average lifetime cost are similar to males. While the working age component is slightly lower, the parenting component is higher. Females also have a much higher FTB component than males (approximately $50,000 more than males over the ages 15 to 35). After age 35, female average lifetime costs decrease gradually as the FTB component reduces. By age 65, females have an average lifetime cost of $20,000 to $50,000 more than males. After age 65, the income support components of females’ average lifetime cost is $10,000 to $30,000 more than males. Female average lifetime cost after age 65 also includes a $30,000 component in the IS dependent payment category.&#10;&#10;The features shown in the chart are discussed further in the accompanying text within the report.&#10;" title="Average lifetime cost by age and gender (clas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17032" cy="2160000"/>
                          </a:xfrm>
                          <a:prstGeom prst="rect">
                            <a:avLst/>
                          </a:prstGeom>
                          <a:noFill/>
                          <a:ln>
                            <a:noFill/>
                          </a:ln>
                        </pic:spPr>
                      </pic:pic>
                    </a:graphicData>
                  </a:graphic>
                </wp:inline>
              </w:drawing>
            </w:r>
          </w:p>
        </w:tc>
        <w:tc>
          <w:tcPr>
            <w:tcW w:w="3402" w:type="dxa"/>
          </w:tcPr>
          <w:p w14:paraId="1CDD1526" w14:textId="77777777" w:rsidR="00A703D8" w:rsidRPr="009856D5" w:rsidRDefault="00A703D8" w:rsidP="00A703D8">
            <w:pPr>
              <w:pStyle w:val="TableTextSmall"/>
              <w:keepNext/>
              <w:rPr>
                <w:lang w:eastAsia="en-AU"/>
              </w:rPr>
            </w:pPr>
          </w:p>
          <w:p w14:paraId="68811C15" w14:textId="77777777" w:rsidR="00A703D8" w:rsidRPr="009856D5" w:rsidRDefault="00A703D8" w:rsidP="00A703D8">
            <w:pPr>
              <w:pStyle w:val="TableTextSmall"/>
              <w:keepNext/>
              <w:rPr>
                <w:lang w:eastAsia="en-AU"/>
              </w:rPr>
            </w:pPr>
            <w:r w:rsidRPr="009856D5">
              <w:rPr>
                <w:noProof/>
                <w:lang w:eastAsia="en-AU"/>
              </w:rPr>
              <w:drawing>
                <wp:inline distT="0" distB="0" distL="0" distR="0" wp14:anchorId="32454C02" wp14:editId="0578F369">
                  <wp:extent cx="1082771" cy="1620000"/>
                  <wp:effectExtent l="0" t="0" r="0" b="0"/>
                  <wp:docPr id="3157" name="Picture 3157"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2771" cy="1620000"/>
                          </a:xfrm>
                          <a:prstGeom prst="rect">
                            <a:avLst/>
                          </a:prstGeom>
                          <a:noFill/>
                          <a:ln>
                            <a:noFill/>
                          </a:ln>
                        </pic:spPr>
                      </pic:pic>
                    </a:graphicData>
                  </a:graphic>
                </wp:inline>
              </w:drawing>
            </w:r>
          </w:p>
        </w:tc>
      </w:tr>
    </w:tbl>
    <w:p w14:paraId="107937A6" w14:textId="5A3F89D6" w:rsidR="00132DE6" w:rsidRPr="009856D5" w:rsidRDefault="00132DE6" w:rsidP="00132DE6">
      <w:pPr>
        <w:pStyle w:val="PwCNormal"/>
        <w:numPr>
          <w:ilvl w:val="0"/>
          <w:numId w:val="0"/>
        </w:numPr>
      </w:pPr>
      <w:r w:rsidRPr="009856D5">
        <w:t xml:space="preserve">The vast majority of people in this class are in the age range 15 to 65. </w:t>
      </w:r>
      <w:r>
        <w:t>People outside of this age range are</w:t>
      </w:r>
      <w:r w:rsidRPr="009856D5">
        <w:t xml:space="preserve"> generally receiving some of the smaller payment types such as </w:t>
      </w:r>
      <w:r w:rsidR="0070204F">
        <w:t>S</w:t>
      </w:r>
      <w:r w:rsidRPr="009856D5">
        <w:t xml:space="preserve">pecial </w:t>
      </w:r>
      <w:r w:rsidR="0070204F">
        <w:t>B</w:t>
      </w:r>
      <w:r w:rsidRPr="009856D5">
        <w:t xml:space="preserve">enefit and </w:t>
      </w:r>
      <w:r w:rsidR="0070204F">
        <w:t>S</w:t>
      </w:r>
      <w:r w:rsidRPr="009856D5">
        <w:t xml:space="preserve">ickness </w:t>
      </w:r>
      <w:r w:rsidR="0070204F">
        <w:t>A</w:t>
      </w:r>
      <w:r w:rsidRPr="009856D5">
        <w:t>llowance.</w:t>
      </w:r>
    </w:p>
    <w:p w14:paraId="1558A63C" w14:textId="77777777" w:rsidR="00132DE6" w:rsidRPr="009856D5" w:rsidRDefault="00132DE6" w:rsidP="00132DE6">
      <w:pPr>
        <w:pStyle w:val="PwCNormal"/>
        <w:numPr>
          <w:ilvl w:val="0"/>
          <w:numId w:val="0"/>
        </w:numPr>
      </w:pPr>
      <w:r w:rsidRPr="009856D5">
        <w:t xml:space="preserve">The largest part of the lifetime cost is from the age pension (note that we expect to see this across most of the classes). As a proportion of the total lifetime cost, the age pension component increases with age up to age 65, as most people under retirement age are expected to enter the age pension on retirement. </w:t>
      </w:r>
    </w:p>
    <w:p w14:paraId="04EE17DA" w14:textId="226E2A49" w:rsidR="00132DE6" w:rsidRPr="009856D5" w:rsidRDefault="00132DE6" w:rsidP="00132DE6">
      <w:pPr>
        <w:pStyle w:val="PwCNormal"/>
        <w:numPr>
          <w:ilvl w:val="0"/>
          <w:numId w:val="0"/>
        </w:numPr>
      </w:pPr>
      <w:r w:rsidRPr="009856D5">
        <w:t xml:space="preserve">The other main components of the lifetime cost are for </w:t>
      </w:r>
      <w:r w:rsidR="003C32DF">
        <w:t>Working Age payments</w:t>
      </w:r>
      <w:r w:rsidRPr="009856D5">
        <w:t xml:space="preserve">, </w:t>
      </w:r>
      <w:r w:rsidR="00346132">
        <w:t>D</w:t>
      </w:r>
      <w:r w:rsidRPr="009856D5">
        <w:t xml:space="preserve">isability </w:t>
      </w:r>
      <w:r w:rsidR="00346132">
        <w:t>S</w:t>
      </w:r>
      <w:r w:rsidRPr="009856D5">
        <w:t xml:space="preserve">upport </w:t>
      </w:r>
      <w:r w:rsidR="00346132">
        <w:t>P</w:t>
      </w:r>
      <w:r w:rsidRPr="009856D5">
        <w:t xml:space="preserve">ension, and </w:t>
      </w:r>
      <w:r w:rsidR="00346132">
        <w:t>C</w:t>
      </w:r>
      <w:r w:rsidRPr="009856D5">
        <w:t>arer payments. Parenting, FTB and family payments are also significant for women up to around age 50.</w:t>
      </w:r>
    </w:p>
    <w:p w14:paraId="58039169" w14:textId="360099C7" w:rsidR="000E7587" w:rsidRDefault="000E7587" w:rsidP="001B78F7">
      <w:pPr>
        <w:pStyle w:val="PwCNormal"/>
        <w:numPr>
          <w:ilvl w:val="0"/>
          <w:numId w:val="0"/>
        </w:numPr>
      </w:pPr>
      <w:r w:rsidRPr="001B78F7">
        <w:t>To further explore differences in the average lifetime costs for people within class 2, we have prepared the table below, which shows the average lifetime cost for 20</w:t>
      </w:r>
      <w:r w:rsidR="00710E45" w:rsidRPr="001B78F7">
        <w:t xml:space="preserve"> to </w:t>
      </w:r>
      <w:r w:rsidRPr="001B78F7">
        <w:t>2</w:t>
      </w:r>
      <w:r w:rsidR="00E133E7" w:rsidRPr="001B78F7">
        <w:t>5</w:t>
      </w:r>
      <w:r w:rsidRPr="001B78F7">
        <w:t xml:space="preserve"> year olds currently receiving </w:t>
      </w:r>
      <w:r w:rsidR="003C32DF" w:rsidRPr="001B78F7">
        <w:t>Working Age payments</w:t>
      </w:r>
      <w:r w:rsidRPr="001B78F7">
        <w:t xml:space="preserve">, split by key characteristics. We have selected a </w:t>
      </w:r>
      <w:r w:rsidR="000131CD">
        <w:t xml:space="preserve">set </w:t>
      </w:r>
      <w:r w:rsidRPr="001B78F7">
        <w:t>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w:t>
      </w:r>
      <w:r w:rsidR="00003814">
        <w:t xml:space="preserve"> Further, the variations and relativities to the average lifetime cost that have been shown may differ for other age bands.</w:t>
      </w:r>
    </w:p>
    <w:p w14:paraId="1BEE59FD" w14:textId="4AF50D42" w:rsidR="000E7587" w:rsidRDefault="000E7587" w:rsidP="000E7587">
      <w:pPr>
        <w:pStyle w:val="Caption"/>
      </w:pPr>
      <w:r w:rsidRPr="003719FC">
        <w:lastRenderedPageBreak/>
        <w:t xml:space="preserve">Table </w:t>
      </w:r>
      <w:fldSimple w:instr=" SEQ Table \* ARABIC ">
        <w:r w:rsidR="00C93C1A">
          <w:rPr>
            <w:noProof/>
          </w:rPr>
          <w:t>24</w:t>
        </w:r>
      </w:fldSimple>
      <w:r w:rsidRPr="003719FC">
        <w:t xml:space="preserve">: </w:t>
      </w:r>
      <w:r>
        <w:t>Average lifetime cost for 20</w:t>
      </w:r>
      <w:r w:rsidR="00710E45">
        <w:t xml:space="preserve"> to </w:t>
      </w:r>
      <w:r>
        <w:t>2</w:t>
      </w:r>
      <w:r w:rsidR="00E133E7">
        <w:t>5</w:t>
      </w:r>
      <w:r>
        <w:t xml:space="preserve"> year old </w:t>
      </w:r>
      <w:r w:rsidR="0049533C">
        <w:t>Working A</w:t>
      </w:r>
      <w:r>
        <w:t>ge payment recipients split by key characteristics</w:t>
      </w:r>
    </w:p>
    <w:tbl>
      <w:tblPr>
        <w:tblStyle w:val="ListTable3-Accent61"/>
        <w:tblW w:w="9781" w:type="dxa"/>
        <w:tblInd w:w="108" w:type="dxa"/>
        <w:tblLayout w:type="fixed"/>
        <w:tblLook w:val="04A0" w:firstRow="1" w:lastRow="0" w:firstColumn="1" w:lastColumn="0" w:noHBand="0" w:noVBand="1"/>
        <w:tblCaption w:val="Average lifetime cost for 20 to 25 year old Working Age payment recipients split by key characteristics"/>
        <w:tblDescription w:val="This table displays data for average lifetime costs of 20 to 25 year olds on studying payments by key characteristics. The columns show the number of people, number of people as % of cohort, average lifetime cost, and average lifetime cost relative to the whole cohort. The rows show data for eight different key characteristics, exemption at year end, earnings, payment type, education hierarchy, level of parental welfare dependence, number of children, years in payment class, and indigenous status. This is further divided by their respective categories. &#10;&#10;Further features of the data in this table are discussed in the accompanying text within the report.&#10;"/>
      </w:tblPr>
      <w:tblGrid>
        <w:gridCol w:w="3828"/>
        <w:gridCol w:w="1134"/>
        <w:gridCol w:w="1606"/>
        <w:gridCol w:w="1606"/>
        <w:gridCol w:w="1607"/>
      </w:tblGrid>
      <w:tr w:rsidR="000E7587" w:rsidRPr="00660D81" w14:paraId="3352D0A9" w14:textId="77777777" w:rsidTr="00E42ACF">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100" w:firstRow="0" w:lastRow="0" w:firstColumn="1" w:lastColumn="0" w:oddVBand="0" w:evenVBand="0" w:oddHBand="0" w:evenHBand="0" w:firstRowFirstColumn="1" w:firstRowLastColumn="0" w:lastRowFirstColumn="0" w:lastRowLastColumn="0"/>
            <w:tcW w:w="3828" w:type="dxa"/>
            <w:tcBorders>
              <w:bottom w:val="single" w:sz="4" w:space="0" w:color="E0301E" w:themeColor="accent6"/>
            </w:tcBorders>
            <w:noWrap/>
            <w:hideMark/>
          </w:tcPr>
          <w:p w14:paraId="21FF0785" w14:textId="77777777" w:rsidR="000E7587" w:rsidRPr="00660D81" w:rsidRDefault="000E7587" w:rsidP="00FD7158">
            <w:pPr>
              <w:pStyle w:val="TableTextSmall"/>
              <w:keepNext/>
              <w:rPr>
                <w:rFonts w:asciiTheme="majorHAnsi" w:hAnsiTheme="majorHAnsi"/>
                <w:bCs w:val="0"/>
                <w:color w:val="FFFFFF" w:themeColor="background1"/>
                <w:lang w:eastAsia="en-AU"/>
              </w:rPr>
            </w:pPr>
          </w:p>
        </w:tc>
        <w:tc>
          <w:tcPr>
            <w:tcW w:w="1134" w:type="dxa"/>
            <w:tcBorders>
              <w:bottom w:val="single" w:sz="4" w:space="0" w:color="E0301E" w:themeColor="accent6"/>
            </w:tcBorders>
            <w:noWrap/>
            <w:hideMark/>
          </w:tcPr>
          <w:p w14:paraId="4FD02D2B" w14:textId="77777777" w:rsidR="000E7587" w:rsidRPr="005D3A6D" w:rsidRDefault="000E7587" w:rsidP="00FD7158">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5D3A6D">
              <w:rPr>
                <w:rFonts w:ascii="Arial" w:hAnsi="Arial"/>
                <w:color w:val="FFFFFF"/>
                <w:szCs w:val="16"/>
              </w:rPr>
              <w:t>Number of people</w:t>
            </w:r>
          </w:p>
        </w:tc>
        <w:tc>
          <w:tcPr>
            <w:tcW w:w="1606" w:type="dxa"/>
            <w:tcBorders>
              <w:bottom w:val="single" w:sz="4" w:space="0" w:color="E0301E" w:themeColor="accent6"/>
            </w:tcBorders>
            <w:hideMark/>
          </w:tcPr>
          <w:p w14:paraId="006198C7" w14:textId="77777777" w:rsidR="000E7587" w:rsidRPr="005D3A6D" w:rsidRDefault="000E7587" w:rsidP="00FD7158">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5D3A6D">
              <w:rPr>
                <w:rFonts w:ascii="Arial" w:hAnsi="Arial"/>
                <w:color w:val="FFFFFF"/>
                <w:szCs w:val="16"/>
              </w:rPr>
              <w:t>Number of people as % of cohort</w:t>
            </w:r>
          </w:p>
        </w:tc>
        <w:tc>
          <w:tcPr>
            <w:tcW w:w="1606" w:type="dxa"/>
            <w:tcBorders>
              <w:bottom w:val="single" w:sz="4" w:space="0" w:color="E0301E" w:themeColor="accent6"/>
            </w:tcBorders>
            <w:hideMark/>
          </w:tcPr>
          <w:p w14:paraId="3B2EA8B7" w14:textId="77777777" w:rsidR="000E7587" w:rsidRPr="005D3A6D" w:rsidRDefault="000E7587" w:rsidP="00FD7158">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5D3A6D">
              <w:rPr>
                <w:rFonts w:ascii="Arial" w:hAnsi="Arial"/>
                <w:color w:val="FFFFFF"/>
                <w:szCs w:val="16"/>
              </w:rPr>
              <w:t>Average lifetime cost</w:t>
            </w:r>
          </w:p>
        </w:tc>
        <w:tc>
          <w:tcPr>
            <w:tcW w:w="1607" w:type="dxa"/>
            <w:tcBorders>
              <w:bottom w:val="single" w:sz="4" w:space="0" w:color="E0301E" w:themeColor="accent6"/>
            </w:tcBorders>
          </w:tcPr>
          <w:p w14:paraId="080B4496" w14:textId="77777777" w:rsidR="000E7587" w:rsidRPr="005D3A6D" w:rsidRDefault="000E7587" w:rsidP="00FD7158">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5D3A6D">
              <w:rPr>
                <w:rFonts w:ascii="Arial" w:hAnsi="Arial"/>
                <w:color w:val="FFFFFF"/>
                <w:szCs w:val="16"/>
              </w:rPr>
              <w:t>Average lifetime cost relative to cohort</w:t>
            </w:r>
          </w:p>
        </w:tc>
      </w:tr>
      <w:tr w:rsidR="0069611A" w:rsidRPr="00660D81" w14:paraId="7CA335C8"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shd w:val="clear" w:color="auto" w:fill="F7DCE1" w:themeFill="accent4" w:themeFillTint="33"/>
            <w:noWrap/>
            <w:vAlign w:val="bottom"/>
            <w:hideMark/>
          </w:tcPr>
          <w:p w14:paraId="0B1BB6A5" w14:textId="13A664AF" w:rsidR="0069611A" w:rsidRPr="005D7193" w:rsidRDefault="0069611A" w:rsidP="0069611A">
            <w:pPr>
              <w:pStyle w:val="TableTextSmall"/>
              <w:keepNext/>
              <w:rPr>
                <w:rFonts w:asciiTheme="majorHAnsi" w:hAnsiTheme="majorHAnsi"/>
                <w:bCs w:val="0"/>
                <w:color w:val="595959" w:themeColor="text1" w:themeTint="A6"/>
                <w:lang w:eastAsia="en-AU"/>
              </w:rPr>
            </w:pPr>
            <w:r w:rsidRPr="005D7193">
              <w:rPr>
                <w:rFonts w:ascii="Arial" w:hAnsi="Arial"/>
                <w:color w:val="595959"/>
                <w:szCs w:val="16"/>
              </w:rPr>
              <w:t>Total</w:t>
            </w:r>
          </w:p>
        </w:tc>
        <w:tc>
          <w:tcPr>
            <w:tcW w:w="1134" w:type="dxa"/>
            <w:shd w:val="clear" w:color="auto" w:fill="F7DCE1" w:themeFill="accent4" w:themeFillTint="33"/>
            <w:noWrap/>
            <w:vAlign w:val="bottom"/>
            <w:hideMark/>
          </w:tcPr>
          <w:p w14:paraId="413A83DA" w14:textId="71714970" w:rsidR="0069611A" w:rsidRPr="005D3A6D"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230,000</w:t>
            </w:r>
          </w:p>
        </w:tc>
        <w:tc>
          <w:tcPr>
            <w:tcW w:w="1606" w:type="dxa"/>
            <w:shd w:val="clear" w:color="auto" w:fill="F7DCE1" w:themeFill="accent4" w:themeFillTint="33"/>
            <w:noWrap/>
            <w:vAlign w:val="bottom"/>
            <w:hideMark/>
          </w:tcPr>
          <w:p w14:paraId="7CE1069A" w14:textId="221B52EA" w:rsidR="0069611A" w:rsidRPr="00660D81"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c>
          <w:tcPr>
            <w:tcW w:w="1606" w:type="dxa"/>
            <w:shd w:val="clear" w:color="auto" w:fill="F7DCE1" w:themeFill="accent4" w:themeFillTint="33"/>
            <w:noWrap/>
            <w:vAlign w:val="bottom"/>
          </w:tcPr>
          <w:p w14:paraId="5FC73BED" w14:textId="360A8820" w:rsidR="0069611A" w:rsidRPr="00660D81"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268,000</w:t>
            </w:r>
          </w:p>
        </w:tc>
        <w:tc>
          <w:tcPr>
            <w:tcW w:w="1607" w:type="dxa"/>
            <w:shd w:val="clear" w:color="auto" w:fill="F7DCE1" w:themeFill="accent4" w:themeFillTint="33"/>
            <w:vAlign w:val="bottom"/>
          </w:tcPr>
          <w:p w14:paraId="7952E835" w14:textId="4D1503B9" w:rsidR="0069611A" w:rsidRPr="00660D81"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r>
      <w:tr w:rsidR="0069611A" w:rsidRPr="00660D81" w14:paraId="14B04A4A" w14:textId="77777777" w:rsidTr="0069611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bottom w:val="nil"/>
            </w:tcBorders>
            <w:noWrap/>
            <w:vAlign w:val="bottom"/>
            <w:hideMark/>
          </w:tcPr>
          <w:p w14:paraId="1C5335AA" w14:textId="46269FF7" w:rsidR="0069611A" w:rsidRPr="005D7193" w:rsidRDefault="0069611A" w:rsidP="0069611A">
            <w:pPr>
              <w:pStyle w:val="TableTextSmall"/>
              <w:keepNext/>
              <w:rPr>
                <w:rFonts w:asciiTheme="majorHAnsi" w:hAnsiTheme="majorHAnsi"/>
                <w:bCs w:val="0"/>
                <w:i/>
                <w:color w:val="595959" w:themeColor="text1" w:themeTint="A6"/>
                <w:lang w:eastAsia="en-AU"/>
              </w:rPr>
            </w:pPr>
            <w:r w:rsidRPr="005D7193">
              <w:rPr>
                <w:rFonts w:ascii="Arial" w:hAnsi="Arial"/>
                <w:color w:val="595959"/>
                <w:szCs w:val="16"/>
              </w:rPr>
              <w:t>Exemption at year end</w:t>
            </w:r>
          </w:p>
        </w:tc>
        <w:tc>
          <w:tcPr>
            <w:tcW w:w="1134" w:type="dxa"/>
            <w:tcBorders>
              <w:top w:val="single" w:sz="4" w:space="0" w:color="E0301E" w:themeColor="accent6"/>
              <w:bottom w:val="nil"/>
            </w:tcBorders>
            <w:shd w:val="clear" w:color="auto" w:fill="auto"/>
            <w:noWrap/>
            <w:vAlign w:val="bottom"/>
            <w:hideMark/>
          </w:tcPr>
          <w:p w14:paraId="3F3E85E9" w14:textId="77777777" w:rsidR="0069611A" w:rsidRPr="005D3A6D"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p>
        </w:tc>
        <w:tc>
          <w:tcPr>
            <w:tcW w:w="1606" w:type="dxa"/>
            <w:tcBorders>
              <w:top w:val="single" w:sz="4" w:space="0" w:color="E0301E" w:themeColor="accent6"/>
              <w:bottom w:val="nil"/>
            </w:tcBorders>
            <w:noWrap/>
            <w:vAlign w:val="bottom"/>
            <w:hideMark/>
          </w:tcPr>
          <w:p w14:paraId="5CA41C9A" w14:textId="77777777" w:rsidR="0069611A" w:rsidRPr="00660D81"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6" w:type="dxa"/>
            <w:tcBorders>
              <w:top w:val="single" w:sz="4" w:space="0" w:color="E0301E" w:themeColor="accent6"/>
              <w:bottom w:val="nil"/>
            </w:tcBorders>
            <w:noWrap/>
            <w:vAlign w:val="bottom"/>
          </w:tcPr>
          <w:p w14:paraId="1EEA1B6F" w14:textId="77777777" w:rsidR="0069611A" w:rsidRPr="00660D81"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7" w:type="dxa"/>
            <w:tcBorders>
              <w:top w:val="single" w:sz="4" w:space="0" w:color="E0301E" w:themeColor="accent6"/>
              <w:bottom w:val="nil"/>
            </w:tcBorders>
            <w:vAlign w:val="bottom"/>
          </w:tcPr>
          <w:p w14:paraId="162B42D9" w14:textId="77777777" w:rsidR="0069611A" w:rsidRPr="00660D81"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r>
      <w:tr w:rsidR="0069611A" w:rsidRPr="00660D81" w14:paraId="4AE35363"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hideMark/>
          </w:tcPr>
          <w:p w14:paraId="4A1EA8FD" w14:textId="52D3B28D" w:rsidR="0069611A" w:rsidRPr="005D7193" w:rsidRDefault="0069611A" w:rsidP="0069611A">
            <w:pPr>
              <w:pStyle w:val="TableTextSmall"/>
              <w:keepNext/>
              <w:rPr>
                <w:rFonts w:asciiTheme="majorHAnsi" w:hAnsiTheme="majorHAnsi"/>
                <w:b w:val="0"/>
                <w:bCs w:val="0"/>
                <w:i/>
                <w:color w:val="595959" w:themeColor="text1" w:themeTint="A6"/>
                <w:lang w:eastAsia="en-AU"/>
              </w:rPr>
            </w:pPr>
            <w:r w:rsidRPr="005D7193">
              <w:rPr>
                <w:rFonts w:ascii="Arial" w:hAnsi="Arial"/>
                <w:i/>
                <w:iCs/>
                <w:color w:val="595959"/>
                <w:szCs w:val="16"/>
              </w:rPr>
              <w:t xml:space="preserve">    - No exemption at year end</w:t>
            </w:r>
          </w:p>
        </w:tc>
        <w:tc>
          <w:tcPr>
            <w:tcW w:w="1134" w:type="dxa"/>
            <w:tcBorders>
              <w:top w:val="nil"/>
              <w:bottom w:val="nil"/>
            </w:tcBorders>
            <w:shd w:val="clear" w:color="auto" w:fill="auto"/>
            <w:noWrap/>
            <w:vAlign w:val="bottom"/>
            <w:hideMark/>
          </w:tcPr>
          <w:p w14:paraId="1545BCEB" w14:textId="1E75B3AD" w:rsidR="0069611A" w:rsidRPr="005D3A6D"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lang w:eastAsia="en-AU"/>
              </w:rPr>
            </w:pPr>
            <w:r>
              <w:rPr>
                <w:rFonts w:ascii="Arial" w:hAnsi="Arial"/>
                <w:color w:val="595959"/>
                <w:szCs w:val="16"/>
              </w:rPr>
              <w:t>220,000</w:t>
            </w:r>
          </w:p>
        </w:tc>
        <w:tc>
          <w:tcPr>
            <w:tcW w:w="1606" w:type="dxa"/>
            <w:tcBorders>
              <w:top w:val="nil"/>
              <w:bottom w:val="nil"/>
            </w:tcBorders>
            <w:noWrap/>
            <w:vAlign w:val="bottom"/>
            <w:hideMark/>
          </w:tcPr>
          <w:p w14:paraId="2F6D3008" w14:textId="247AAF45" w:rsidR="0069611A" w:rsidRPr="00660D81"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96%</w:t>
            </w:r>
          </w:p>
        </w:tc>
        <w:tc>
          <w:tcPr>
            <w:tcW w:w="1606" w:type="dxa"/>
            <w:tcBorders>
              <w:top w:val="nil"/>
              <w:bottom w:val="nil"/>
            </w:tcBorders>
            <w:noWrap/>
            <w:vAlign w:val="bottom"/>
          </w:tcPr>
          <w:p w14:paraId="0AD86047" w14:textId="3A3CB0B7" w:rsidR="0069611A" w:rsidRPr="00660D81"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264,000</w:t>
            </w:r>
          </w:p>
        </w:tc>
        <w:tc>
          <w:tcPr>
            <w:tcW w:w="1607" w:type="dxa"/>
            <w:tcBorders>
              <w:top w:val="nil"/>
              <w:bottom w:val="nil"/>
            </w:tcBorders>
            <w:vAlign w:val="bottom"/>
          </w:tcPr>
          <w:p w14:paraId="29F22E34" w14:textId="45543485" w:rsidR="0069611A" w:rsidRPr="00660D81"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99%</w:t>
            </w:r>
          </w:p>
        </w:tc>
      </w:tr>
      <w:tr w:rsidR="0069611A" w:rsidRPr="00660D81" w14:paraId="3EF4455F"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single" w:sz="4" w:space="0" w:color="E0301E" w:themeColor="accent6"/>
            </w:tcBorders>
            <w:noWrap/>
            <w:vAlign w:val="bottom"/>
          </w:tcPr>
          <w:p w14:paraId="0E02D648" w14:textId="0A4D8DB8"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With exemption at year end</w:t>
            </w:r>
          </w:p>
        </w:tc>
        <w:tc>
          <w:tcPr>
            <w:tcW w:w="1134" w:type="dxa"/>
            <w:tcBorders>
              <w:top w:val="nil"/>
              <w:bottom w:val="single" w:sz="4" w:space="0" w:color="E0301E" w:themeColor="accent6"/>
            </w:tcBorders>
            <w:shd w:val="clear" w:color="auto" w:fill="auto"/>
            <w:noWrap/>
            <w:vAlign w:val="bottom"/>
          </w:tcPr>
          <w:p w14:paraId="1DE34F6A" w14:textId="5C427B92"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10,000</w:t>
            </w:r>
          </w:p>
        </w:tc>
        <w:tc>
          <w:tcPr>
            <w:tcW w:w="1606" w:type="dxa"/>
            <w:tcBorders>
              <w:top w:val="nil"/>
              <w:bottom w:val="single" w:sz="4" w:space="0" w:color="E0301E" w:themeColor="accent6"/>
            </w:tcBorders>
            <w:noWrap/>
            <w:vAlign w:val="bottom"/>
          </w:tcPr>
          <w:p w14:paraId="346A6562" w14:textId="7D8B84EC"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w:t>
            </w:r>
          </w:p>
        </w:tc>
        <w:tc>
          <w:tcPr>
            <w:tcW w:w="1606" w:type="dxa"/>
            <w:tcBorders>
              <w:top w:val="nil"/>
              <w:bottom w:val="single" w:sz="4" w:space="0" w:color="E0301E" w:themeColor="accent6"/>
            </w:tcBorders>
            <w:noWrap/>
            <w:vAlign w:val="bottom"/>
          </w:tcPr>
          <w:p w14:paraId="70C02C34" w14:textId="4A6FBC90"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341,000</w:t>
            </w:r>
          </w:p>
        </w:tc>
        <w:tc>
          <w:tcPr>
            <w:tcW w:w="1607" w:type="dxa"/>
            <w:tcBorders>
              <w:top w:val="nil"/>
              <w:bottom w:val="single" w:sz="4" w:space="0" w:color="E0301E" w:themeColor="accent6"/>
            </w:tcBorders>
            <w:vAlign w:val="bottom"/>
          </w:tcPr>
          <w:p w14:paraId="176CAB4C" w14:textId="3BA1CFE2"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127%</w:t>
            </w:r>
          </w:p>
        </w:tc>
      </w:tr>
      <w:tr w:rsidR="0069611A" w:rsidRPr="00660D81" w14:paraId="7395500D"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vAlign w:val="bottom"/>
          </w:tcPr>
          <w:p w14:paraId="3C162148" w14:textId="2BB10E24" w:rsidR="0069611A" w:rsidRPr="005D7193" w:rsidRDefault="0069611A" w:rsidP="0069611A">
            <w:pPr>
              <w:pStyle w:val="TableTextSmall"/>
              <w:keepNext/>
              <w:rPr>
                <w:rFonts w:ascii="Arial" w:hAnsi="Arial"/>
                <w:i/>
                <w:iCs/>
                <w:color w:val="595959"/>
                <w:szCs w:val="16"/>
              </w:rPr>
            </w:pPr>
            <w:r w:rsidRPr="005D7193">
              <w:rPr>
                <w:rFonts w:ascii="Arial" w:hAnsi="Arial"/>
                <w:color w:val="595959"/>
                <w:szCs w:val="16"/>
              </w:rPr>
              <w:t>Earnings</w:t>
            </w:r>
          </w:p>
        </w:tc>
        <w:tc>
          <w:tcPr>
            <w:tcW w:w="1134" w:type="dxa"/>
            <w:tcBorders>
              <w:bottom w:val="nil"/>
            </w:tcBorders>
            <w:shd w:val="clear" w:color="auto" w:fill="auto"/>
            <w:noWrap/>
            <w:vAlign w:val="bottom"/>
          </w:tcPr>
          <w:p w14:paraId="3807A3D8" w14:textId="7777777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18256366" w14:textId="7777777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6D62EFEE" w14:textId="7777777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tcBorders>
            <w:vAlign w:val="bottom"/>
          </w:tcPr>
          <w:p w14:paraId="079B804A" w14:textId="7777777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60D81" w14:paraId="4B08C5B5"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422CF344" w14:textId="4278445C"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No earnings</w:t>
            </w:r>
          </w:p>
        </w:tc>
        <w:tc>
          <w:tcPr>
            <w:tcW w:w="1134" w:type="dxa"/>
            <w:tcBorders>
              <w:top w:val="nil"/>
              <w:bottom w:val="nil"/>
            </w:tcBorders>
            <w:shd w:val="clear" w:color="auto" w:fill="auto"/>
            <w:noWrap/>
            <w:vAlign w:val="bottom"/>
          </w:tcPr>
          <w:p w14:paraId="517D4AF3" w14:textId="1AE349A0"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107,000</w:t>
            </w:r>
          </w:p>
        </w:tc>
        <w:tc>
          <w:tcPr>
            <w:tcW w:w="1606" w:type="dxa"/>
            <w:tcBorders>
              <w:top w:val="nil"/>
              <w:bottom w:val="nil"/>
            </w:tcBorders>
            <w:noWrap/>
            <w:vAlign w:val="bottom"/>
          </w:tcPr>
          <w:p w14:paraId="4EB11E8C" w14:textId="1C8C4E8D"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47%</w:t>
            </w:r>
          </w:p>
        </w:tc>
        <w:tc>
          <w:tcPr>
            <w:tcW w:w="1606" w:type="dxa"/>
            <w:tcBorders>
              <w:top w:val="nil"/>
              <w:bottom w:val="nil"/>
            </w:tcBorders>
            <w:noWrap/>
            <w:vAlign w:val="bottom"/>
          </w:tcPr>
          <w:p w14:paraId="7BEDCBA1" w14:textId="49B0D656"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290,000</w:t>
            </w:r>
          </w:p>
        </w:tc>
        <w:tc>
          <w:tcPr>
            <w:tcW w:w="1607" w:type="dxa"/>
            <w:tcBorders>
              <w:top w:val="nil"/>
              <w:bottom w:val="nil"/>
            </w:tcBorders>
            <w:vAlign w:val="bottom"/>
          </w:tcPr>
          <w:p w14:paraId="6CA9D978" w14:textId="201B74CA"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108%</w:t>
            </w:r>
          </w:p>
        </w:tc>
      </w:tr>
      <w:tr w:rsidR="0069611A" w:rsidRPr="00660D81" w14:paraId="53B85837"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vAlign w:val="bottom"/>
          </w:tcPr>
          <w:p w14:paraId="2A9586FF" w14:textId="2791643E"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Has earnings</w:t>
            </w:r>
          </w:p>
        </w:tc>
        <w:tc>
          <w:tcPr>
            <w:tcW w:w="1134" w:type="dxa"/>
            <w:tcBorders>
              <w:top w:val="nil"/>
            </w:tcBorders>
            <w:shd w:val="clear" w:color="auto" w:fill="auto"/>
            <w:noWrap/>
            <w:vAlign w:val="bottom"/>
          </w:tcPr>
          <w:p w14:paraId="4568C119" w14:textId="0FBF6110"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123,000</w:t>
            </w:r>
          </w:p>
        </w:tc>
        <w:tc>
          <w:tcPr>
            <w:tcW w:w="1606" w:type="dxa"/>
            <w:tcBorders>
              <w:top w:val="nil"/>
            </w:tcBorders>
            <w:noWrap/>
            <w:vAlign w:val="bottom"/>
          </w:tcPr>
          <w:p w14:paraId="5EC4BB77" w14:textId="3BFB61AE"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53%</w:t>
            </w:r>
          </w:p>
        </w:tc>
        <w:tc>
          <w:tcPr>
            <w:tcW w:w="1606" w:type="dxa"/>
            <w:tcBorders>
              <w:top w:val="nil"/>
            </w:tcBorders>
            <w:noWrap/>
            <w:vAlign w:val="bottom"/>
          </w:tcPr>
          <w:p w14:paraId="3C58A6D6" w14:textId="585C312A"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249,000</w:t>
            </w:r>
          </w:p>
        </w:tc>
        <w:tc>
          <w:tcPr>
            <w:tcW w:w="1607" w:type="dxa"/>
            <w:tcBorders>
              <w:top w:val="nil"/>
            </w:tcBorders>
            <w:vAlign w:val="bottom"/>
          </w:tcPr>
          <w:p w14:paraId="30053B15" w14:textId="63D6F28B"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93%</w:t>
            </w:r>
          </w:p>
        </w:tc>
      </w:tr>
      <w:tr w:rsidR="0069611A" w:rsidRPr="00660D81" w14:paraId="6BDC6417"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bottom w:val="nil"/>
            </w:tcBorders>
            <w:noWrap/>
            <w:vAlign w:val="bottom"/>
          </w:tcPr>
          <w:p w14:paraId="621D09AC" w14:textId="54B13747" w:rsidR="0069611A" w:rsidRPr="005D7193" w:rsidRDefault="0069611A" w:rsidP="0069611A">
            <w:pPr>
              <w:pStyle w:val="TableTextSmall"/>
              <w:keepNext/>
              <w:rPr>
                <w:rFonts w:ascii="Arial" w:hAnsi="Arial"/>
                <w:i/>
                <w:iCs/>
                <w:color w:val="595959"/>
                <w:szCs w:val="16"/>
              </w:rPr>
            </w:pPr>
            <w:r w:rsidRPr="005D7193">
              <w:rPr>
                <w:rFonts w:ascii="Arial" w:hAnsi="Arial"/>
                <w:color w:val="595959"/>
                <w:szCs w:val="16"/>
              </w:rPr>
              <w:t>Payment type</w:t>
            </w:r>
          </w:p>
        </w:tc>
        <w:tc>
          <w:tcPr>
            <w:tcW w:w="1134" w:type="dxa"/>
            <w:tcBorders>
              <w:top w:val="single" w:sz="4" w:space="0" w:color="E0301E" w:themeColor="accent6"/>
              <w:bottom w:val="nil"/>
            </w:tcBorders>
            <w:shd w:val="clear" w:color="auto" w:fill="auto"/>
            <w:noWrap/>
            <w:vAlign w:val="bottom"/>
          </w:tcPr>
          <w:p w14:paraId="0F090792"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687417B8"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48BEEA13"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top w:val="single" w:sz="4" w:space="0" w:color="E0301E" w:themeColor="accent6"/>
              <w:bottom w:val="nil"/>
            </w:tcBorders>
            <w:vAlign w:val="bottom"/>
          </w:tcPr>
          <w:p w14:paraId="5F26BAE2" w14:textId="7777777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60D81" w14:paraId="726779E9"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54B48D44" w14:textId="27D43372"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Youth Allowance (Other)</w:t>
            </w:r>
          </w:p>
        </w:tc>
        <w:tc>
          <w:tcPr>
            <w:tcW w:w="1134" w:type="dxa"/>
            <w:tcBorders>
              <w:top w:val="nil"/>
              <w:bottom w:val="nil"/>
            </w:tcBorders>
            <w:shd w:val="clear" w:color="auto" w:fill="auto"/>
            <w:noWrap/>
            <w:vAlign w:val="bottom"/>
          </w:tcPr>
          <w:p w14:paraId="2D9C5C0C" w14:textId="5E1042B2"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85,000</w:t>
            </w:r>
          </w:p>
        </w:tc>
        <w:tc>
          <w:tcPr>
            <w:tcW w:w="1606" w:type="dxa"/>
            <w:tcBorders>
              <w:top w:val="nil"/>
              <w:bottom w:val="nil"/>
            </w:tcBorders>
            <w:noWrap/>
            <w:vAlign w:val="bottom"/>
          </w:tcPr>
          <w:p w14:paraId="6283F2E0" w14:textId="71E5EF20"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37%</w:t>
            </w:r>
          </w:p>
        </w:tc>
        <w:tc>
          <w:tcPr>
            <w:tcW w:w="1606" w:type="dxa"/>
            <w:tcBorders>
              <w:top w:val="nil"/>
              <w:bottom w:val="nil"/>
            </w:tcBorders>
            <w:noWrap/>
            <w:vAlign w:val="bottom"/>
          </w:tcPr>
          <w:p w14:paraId="7B097641" w14:textId="4823B9FA"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254,000</w:t>
            </w:r>
          </w:p>
        </w:tc>
        <w:tc>
          <w:tcPr>
            <w:tcW w:w="1607" w:type="dxa"/>
            <w:tcBorders>
              <w:top w:val="nil"/>
              <w:bottom w:val="nil"/>
            </w:tcBorders>
            <w:vAlign w:val="bottom"/>
          </w:tcPr>
          <w:p w14:paraId="350A979F" w14:textId="1DA292D9"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95%</w:t>
            </w:r>
          </w:p>
        </w:tc>
      </w:tr>
      <w:tr w:rsidR="0069611A" w:rsidRPr="00660D81" w14:paraId="1C2A069B"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3F6208EC" w14:textId="479B4DFB"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Newstart Allowance</w:t>
            </w:r>
          </w:p>
        </w:tc>
        <w:tc>
          <w:tcPr>
            <w:tcW w:w="1134" w:type="dxa"/>
            <w:tcBorders>
              <w:top w:val="nil"/>
              <w:bottom w:val="nil"/>
            </w:tcBorders>
            <w:shd w:val="clear" w:color="auto" w:fill="auto"/>
            <w:noWrap/>
            <w:vAlign w:val="bottom"/>
          </w:tcPr>
          <w:p w14:paraId="2EFD2D5D" w14:textId="2C0B7C2A"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143,000</w:t>
            </w:r>
          </w:p>
        </w:tc>
        <w:tc>
          <w:tcPr>
            <w:tcW w:w="1606" w:type="dxa"/>
            <w:tcBorders>
              <w:top w:val="nil"/>
              <w:bottom w:val="nil"/>
            </w:tcBorders>
            <w:noWrap/>
            <w:vAlign w:val="bottom"/>
          </w:tcPr>
          <w:p w14:paraId="41C20447" w14:textId="4FA712E6"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62%</w:t>
            </w:r>
          </w:p>
        </w:tc>
        <w:tc>
          <w:tcPr>
            <w:tcW w:w="1606" w:type="dxa"/>
            <w:tcBorders>
              <w:top w:val="nil"/>
              <w:bottom w:val="nil"/>
            </w:tcBorders>
            <w:noWrap/>
            <w:vAlign w:val="bottom"/>
          </w:tcPr>
          <w:p w14:paraId="4B2AFA2C" w14:textId="00E85F4F"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276,000</w:t>
            </w:r>
          </w:p>
        </w:tc>
        <w:tc>
          <w:tcPr>
            <w:tcW w:w="1607" w:type="dxa"/>
            <w:tcBorders>
              <w:top w:val="nil"/>
              <w:bottom w:val="nil"/>
            </w:tcBorders>
            <w:vAlign w:val="bottom"/>
          </w:tcPr>
          <w:p w14:paraId="4ACC56C8" w14:textId="6D9D1052"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103%</w:t>
            </w:r>
          </w:p>
        </w:tc>
      </w:tr>
      <w:tr w:rsidR="0069611A" w:rsidRPr="00660D81" w14:paraId="689DC042" w14:textId="77777777" w:rsidTr="00D6797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vAlign w:val="bottom"/>
          </w:tcPr>
          <w:p w14:paraId="134C3AE2" w14:textId="09A72874"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Sickness Allowance</w:t>
            </w:r>
          </w:p>
        </w:tc>
        <w:tc>
          <w:tcPr>
            <w:tcW w:w="1134" w:type="dxa"/>
            <w:tcBorders>
              <w:top w:val="nil"/>
            </w:tcBorders>
            <w:shd w:val="clear" w:color="auto" w:fill="auto"/>
            <w:noWrap/>
            <w:vAlign w:val="bottom"/>
          </w:tcPr>
          <w:p w14:paraId="6E7BAA05" w14:textId="4329EEB9"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2,000</w:t>
            </w:r>
          </w:p>
        </w:tc>
        <w:tc>
          <w:tcPr>
            <w:tcW w:w="1606" w:type="dxa"/>
            <w:tcBorders>
              <w:top w:val="nil"/>
            </w:tcBorders>
            <w:noWrap/>
            <w:vAlign w:val="bottom"/>
          </w:tcPr>
          <w:p w14:paraId="19366B51" w14:textId="40E3E72B"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w:t>
            </w:r>
          </w:p>
        </w:tc>
        <w:tc>
          <w:tcPr>
            <w:tcW w:w="1606" w:type="dxa"/>
            <w:tcBorders>
              <w:top w:val="nil"/>
            </w:tcBorders>
            <w:noWrap/>
            <w:vAlign w:val="bottom"/>
          </w:tcPr>
          <w:p w14:paraId="57BFD2AC" w14:textId="3D88039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220,000</w:t>
            </w:r>
          </w:p>
        </w:tc>
        <w:tc>
          <w:tcPr>
            <w:tcW w:w="1607" w:type="dxa"/>
            <w:tcBorders>
              <w:top w:val="nil"/>
            </w:tcBorders>
            <w:vAlign w:val="bottom"/>
          </w:tcPr>
          <w:p w14:paraId="7501FEED" w14:textId="25FE8928"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82%</w:t>
            </w:r>
          </w:p>
        </w:tc>
      </w:tr>
      <w:tr w:rsidR="0069611A" w:rsidRPr="00660D81" w14:paraId="5F820487" w14:textId="77777777" w:rsidTr="00D67975">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bottom w:val="nil"/>
            </w:tcBorders>
            <w:noWrap/>
            <w:vAlign w:val="bottom"/>
          </w:tcPr>
          <w:p w14:paraId="4CAFC52E" w14:textId="2146FF44" w:rsidR="0069611A" w:rsidRPr="005D7193" w:rsidRDefault="0069611A" w:rsidP="0069611A">
            <w:pPr>
              <w:pStyle w:val="TableTextSmall"/>
              <w:keepNext/>
              <w:rPr>
                <w:rFonts w:ascii="Arial" w:hAnsi="Arial"/>
                <w:i/>
                <w:iCs/>
                <w:color w:val="595959"/>
                <w:szCs w:val="16"/>
              </w:rPr>
            </w:pPr>
            <w:r w:rsidRPr="005D7193">
              <w:rPr>
                <w:rFonts w:ascii="Arial" w:hAnsi="Arial"/>
                <w:color w:val="595959"/>
                <w:szCs w:val="16"/>
              </w:rPr>
              <w:t>Education hierarchy</w:t>
            </w:r>
          </w:p>
        </w:tc>
        <w:tc>
          <w:tcPr>
            <w:tcW w:w="1134" w:type="dxa"/>
            <w:tcBorders>
              <w:top w:val="single" w:sz="4" w:space="0" w:color="E0301E" w:themeColor="accent6"/>
              <w:bottom w:val="nil"/>
            </w:tcBorders>
            <w:shd w:val="clear" w:color="auto" w:fill="auto"/>
            <w:noWrap/>
            <w:vAlign w:val="bottom"/>
          </w:tcPr>
          <w:p w14:paraId="0E2C5ADE" w14:textId="3BBB908C"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56A6B25D" w14:textId="25A51138"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54159112" w14:textId="48925A53"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top w:val="single" w:sz="4" w:space="0" w:color="E0301E" w:themeColor="accent6"/>
              <w:bottom w:val="nil"/>
            </w:tcBorders>
            <w:vAlign w:val="bottom"/>
          </w:tcPr>
          <w:p w14:paraId="5A6B3FF8" w14:textId="319FF8D8"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60D81" w14:paraId="62544298"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19F49D6A" w14:textId="4A708DE5"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Year 10 or less</w:t>
            </w:r>
          </w:p>
        </w:tc>
        <w:tc>
          <w:tcPr>
            <w:tcW w:w="1134" w:type="dxa"/>
            <w:tcBorders>
              <w:top w:val="nil"/>
              <w:bottom w:val="nil"/>
            </w:tcBorders>
            <w:shd w:val="clear" w:color="auto" w:fill="auto"/>
            <w:noWrap/>
            <w:vAlign w:val="bottom"/>
          </w:tcPr>
          <w:p w14:paraId="5847B456" w14:textId="3AB0E591"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27,000</w:t>
            </w:r>
          </w:p>
        </w:tc>
        <w:tc>
          <w:tcPr>
            <w:tcW w:w="1606" w:type="dxa"/>
            <w:tcBorders>
              <w:top w:val="nil"/>
              <w:bottom w:val="nil"/>
            </w:tcBorders>
            <w:noWrap/>
            <w:vAlign w:val="bottom"/>
          </w:tcPr>
          <w:p w14:paraId="51DE365C" w14:textId="22BF7D91"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12%</w:t>
            </w:r>
          </w:p>
        </w:tc>
        <w:tc>
          <w:tcPr>
            <w:tcW w:w="1606" w:type="dxa"/>
            <w:tcBorders>
              <w:top w:val="nil"/>
              <w:bottom w:val="nil"/>
            </w:tcBorders>
            <w:noWrap/>
            <w:vAlign w:val="bottom"/>
          </w:tcPr>
          <w:p w14:paraId="54D84F92" w14:textId="30E07A15"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316,000</w:t>
            </w:r>
          </w:p>
        </w:tc>
        <w:tc>
          <w:tcPr>
            <w:tcW w:w="1607" w:type="dxa"/>
            <w:tcBorders>
              <w:top w:val="nil"/>
              <w:bottom w:val="nil"/>
            </w:tcBorders>
            <w:vAlign w:val="bottom"/>
          </w:tcPr>
          <w:p w14:paraId="09718050" w14:textId="2EB83419"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118%</w:t>
            </w:r>
          </w:p>
        </w:tc>
      </w:tr>
      <w:tr w:rsidR="0069611A" w:rsidRPr="00660D81" w14:paraId="29FD34D7"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558BB0A3" w14:textId="0A425679"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Year 11</w:t>
            </w:r>
          </w:p>
        </w:tc>
        <w:tc>
          <w:tcPr>
            <w:tcW w:w="1134" w:type="dxa"/>
            <w:tcBorders>
              <w:top w:val="nil"/>
              <w:bottom w:val="nil"/>
            </w:tcBorders>
            <w:shd w:val="clear" w:color="auto" w:fill="auto"/>
            <w:noWrap/>
            <w:vAlign w:val="bottom"/>
          </w:tcPr>
          <w:p w14:paraId="6B043ADF" w14:textId="387FD225"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16,000</w:t>
            </w:r>
          </w:p>
        </w:tc>
        <w:tc>
          <w:tcPr>
            <w:tcW w:w="1606" w:type="dxa"/>
            <w:tcBorders>
              <w:top w:val="nil"/>
              <w:bottom w:val="nil"/>
            </w:tcBorders>
            <w:noWrap/>
            <w:vAlign w:val="bottom"/>
          </w:tcPr>
          <w:p w14:paraId="1C537F2A" w14:textId="1569407A"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7%</w:t>
            </w:r>
          </w:p>
        </w:tc>
        <w:tc>
          <w:tcPr>
            <w:tcW w:w="1606" w:type="dxa"/>
            <w:tcBorders>
              <w:top w:val="nil"/>
              <w:bottom w:val="nil"/>
            </w:tcBorders>
            <w:noWrap/>
            <w:vAlign w:val="bottom"/>
          </w:tcPr>
          <w:p w14:paraId="4A42355D" w14:textId="6BB36CF6"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299,000</w:t>
            </w:r>
          </w:p>
        </w:tc>
        <w:tc>
          <w:tcPr>
            <w:tcW w:w="1607" w:type="dxa"/>
            <w:tcBorders>
              <w:top w:val="nil"/>
              <w:bottom w:val="nil"/>
            </w:tcBorders>
            <w:vAlign w:val="bottom"/>
          </w:tcPr>
          <w:p w14:paraId="69061915" w14:textId="5D67F6F3"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112%</w:t>
            </w:r>
          </w:p>
        </w:tc>
      </w:tr>
      <w:tr w:rsidR="0069611A" w:rsidRPr="00660D81" w14:paraId="5ED41AF7"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71E0D965" w14:textId="1983BD4A"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Year 12</w:t>
            </w:r>
          </w:p>
        </w:tc>
        <w:tc>
          <w:tcPr>
            <w:tcW w:w="1134" w:type="dxa"/>
            <w:tcBorders>
              <w:top w:val="nil"/>
              <w:bottom w:val="nil"/>
            </w:tcBorders>
            <w:shd w:val="clear" w:color="auto" w:fill="auto"/>
            <w:noWrap/>
            <w:vAlign w:val="bottom"/>
          </w:tcPr>
          <w:p w14:paraId="5A00E7DC" w14:textId="488E03C6"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66,000</w:t>
            </w:r>
          </w:p>
        </w:tc>
        <w:tc>
          <w:tcPr>
            <w:tcW w:w="1606" w:type="dxa"/>
            <w:tcBorders>
              <w:top w:val="nil"/>
              <w:bottom w:val="nil"/>
            </w:tcBorders>
            <w:noWrap/>
            <w:vAlign w:val="bottom"/>
          </w:tcPr>
          <w:p w14:paraId="6FCBB99C" w14:textId="584B29A1"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29%</w:t>
            </w:r>
          </w:p>
        </w:tc>
        <w:tc>
          <w:tcPr>
            <w:tcW w:w="1606" w:type="dxa"/>
            <w:tcBorders>
              <w:top w:val="nil"/>
              <w:bottom w:val="nil"/>
            </w:tcBorders>
            <w:noWrap/>
            <w:vAlign w:val="bottom"/>
          </w:tcPr>
          <w:p w14:paraId="759C9BF1" w14:textId="7879C388"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232,000</w:t>
            </w:r>
          </w:p>
        </w:tc>
        <w:tc>
          <w:tcPr>
            <w:tcW w:w="1607" w:type="dxa"/>
            <w:tcBorders>
              <w:top w:val="nil"/>
              <w:bottom w:val="nil"/>
            </w:tcBorders>
            <w:vAlign w:val="bottom"/>
          </w:tcPr>
          <w:p w14:paraId="14175993" w14:textId="724F30E3"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86%</w:t>
            </w:r>
          </w:p>
        </w:tc>
      </w:tr>
      <w:tr w:rsidR="0069611A" w:rsidRPr="00660D81" w14:paraId="6F537C13"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0A1B6946" w14:textId="302C9357"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Certificate</w:t>
            </w:r>
          </w:p>
        </w:tc>
        <w:tc>
          <w:tcPr>
            <w:tcW w:w="1134" w:type="dxa"/>
            <w:tcBorders>
              <w:top w:val="nil"/>
              <w:bottom w:val="nil"/>
            </w:tcBorders>
            <w:shd w:val="clear" w:color="auto" w:fill="auto"/>
            <w:noWrap/>
            <w:vAlign w:val="bottom"/>
          </w:tcPr>
          <w:p w14:paraId="58A2595A" w14:textId="349DFF00"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88,000</w:t>
            </w:r>
          </w:p>
        </w:tc>
        <w:tc>
          <w:tcPr>
            <w:tcW w:w="1606" w:type="dxa"/>
            <w:tcBorders>
              <w:top w:val="nil"/>
              <w:bottom w:val="nil"/>
            </w:tcBorders>
            <w:noWrap/>
            <w:vAlign w:val="bottom"/>
          </w:tcPr>
          <w:p w14:paraId="674AB101" w14:textId="0B1F2FA5"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38%</w:t>
            </w:r>
          </w:p>
        </w:tc>
        <w:tc>
          <w:tcPr>
            <w:tcW w:w="1606" w:type="dxa"/>
            <w:tcBorders>
              <w:top w:val="nil"/>
              <w:bottom w:val="nil"/>
            </w:tcBorders>
            <w:noWrap/>
            <w:vAlign w:val="bottom"/>
          </w:tcPr>
          <w:p w14:paraId="37754F00" w14:textId="631377AA"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297,000</w:t>
            </w:r>
          </w:p>
        </w:tc>
        <w:tc>
          <w:tcPr>
            <w:tcW w:w="1607" w:type="dxa"/>
            <w:tcBorders>
              <w:top w:val="nil"/>
              <w:bottom w:val="nil"/>
            </w:tcBorders>
            <w:vAlign w:val="bottom"/>
          </w:tcPr>
          <w:p w14:paraId="2A649276" w14:textId="7CE290B1"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111%</w:t>
            </w:r>
          </w:p>
        </w:tc>
      </w:tr>
      <w:tr w:rsidR="0069611A" w:rsidRPr="00660D81" w14:paraId="370A0D8E"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70CBE27B" w14:textId="4CFDAB7F"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Diploma</w:t>
            </w:r>
          </w:p>
        </w:tc>
        <w:tc>
          <w:tcPr>
            <w:tcW w:w="1134" w:type="dxa"/>
            <w:tcBorders>
              <w:top w:val="nil"/>
              <w:bottom w:val="nil"/>
            </w:tcBorders>
            <w:shd w:val="clear" w:color="auto" w:fill="auto"/>
            <w:noWrap/>
            <w:vAlign w:val="bottom"/>
          </w:tcPr>
          <w:p w14:paraId="58BC7301" w14:textId="01A29C78"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14,000</w:t>
            </w:r>
          </w:p>
        </w:tc>
        <w:tc>
          <w:tcPr>
            <w:tcW w:w="1606" w:type="dxa"/>
            <w:tcBorders>
              <w:top w:val="nil"/>
              <w:bottom w:val="nil"/>
            </w:tcBorders>
            <w:noWrap/>
            <w:vAlign w:val="bottom"/>
          </w:tcPr>
          <w:p w14:paraId="5094E3F9" w14:textId="3D04B358"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6%</w:t>
            </w:r>
          </w:p>
        </w:tc>
        <w:tc>
          <w:tcPr>
            <w:tcW w:w="1606" w:type="dxa"/>
            <w:tcBorders>
              <w:top w:val="nil"/>
              <w:bottom w:val="nil"/>
            </w:tcBorders>
            <w:noWrap/>
            <w:vAlign w:val="bottom"/>
          </w:tcPr>
          <w:p w14:paraId="7AFAB5E6" w14:textId="1AD5D1A3"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237,000</w:t>
            </w:r>
          </w:p>
        </w:tc>
        <w:tc>
          <w:tcPr>
            <w:tcW w:w="1607" w:type="dxa"/>
            <w:tcBorders>
              <w:top w:val="nil"/>
              <w:bottom w:val="nil"/>
            </w:tcBorders>
            <w:vAlign w:val="bottom"/>
          </w:tcPr>
          <w:p w14:paraId="7F212EB7" w14:textId="17D80D18"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89%</w:t>
            </w:r>
          </w:p>
        </w:tc>
      </w:tr>
      <w:tr w:rsidR="0069611A" w:rsidRPr="00660D81" w14:paraId="7479F280"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17B6C9CB" w14:textId="676D83A5"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Bachelors</w:t>
            </w:r>
          </w:p>
        </w:tc>
        <w:tc>
          <w:tcPr>
            <w:tcW w:w="1134" w:type="dxa"/>
            <w:tcBorders>
              <w:top w:val="nil"/>
              <w:bottom w:val="nil"/>
            </w:tcBorders>
            <w:shd w:val="clear" w:color="auto" w:fill="auto"/>
            <w:noWrap/>
            <w:vAlign w:val="bottom"/>
          </w:tcPr>
          <w:p w14:paraId="5A6835FB" w14:textId="579B0939"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17,000</w:t>
            </w:r>
          </w:p>
        </w:tc>
        <w:tc>
          <w:tcPr>
            <w:tcW w:w="1606" w:type="dxa"/>
            <w:tcBorders>
              <w:top w:val="nil"/>
              <w:bottom w:val="nil"/>
            </w:tcBorders>
            <w:noWrap/>
            <w:vAlign w:val="bottom"/>
          </w:tcPr>
          <w:p w14:paraId="6AEBB1BA" w14:textId="167F961E"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7%</w:t>
            </w:r>
          </w:p>
        </w:tc>
        <w:tc>
          <w:tcPr>
            <w:tcW w:w="1606" w:type="dxa"/>
            <w:tcBorders>
              <w:top w:val="nil"/>
              <w:bottom w:val="nil"/>
            </w:tcBorders>
            <w:noWrap/>
            <w:vAlign w:val="bottom"/>
          </w:tcPr>
          <w:p w14:paraId="6F0E1AB6" w14:textId="567B1202"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182,000</w:t>
            </w:r>
          </w:p>
        </w:tc>
        <w:tc>
          <w:tcPr>
            <w:tcW w:w="1607" w:type="dxa"/>
            <w:tcBorders>
              <w:top w:val="nil"/>
              <w:bottom w:val="nil"/>
            </w:tcBorders>
            <w:vAlign w:val="bottom"/>
          </w:tcPr>
          <w:p w14:paraId="0B23B8EC" w14:textId="4A6EAAB9"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68%</w:t>
            </w:r>
          </w:p>
        </w:tc>
      </w:tr>
      <w:tr w:rsidR="0069611A" w:rsidRPr="00660D81" w14:paraId="75937068"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vAlign w:val="bottom"/>
          </w:tcPr>
          <w:p w14:paraId="0558FE42" w14:textId="21990367"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Postgraduate</w:t>
            </w:r>
          </w:p>
        </w:tc>
        <w:tc>
          <w:tcPr>
            <w:tcW w:w="1134" w:type="dxa"/>
            <w:tcBorders>
              <w:top w:val="nil"/>
            </w:tcBorders>
            <w:shd w:val="clear" w:color="auto" w:fill="auto"/>
            <w:noWrap/>
            <w:vAlign w:val="bottom"/>
          </w:tcPr>
          <w:p w14:paraId="421ED0DD" w14:textId="3A8DF82C"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2,000</w:t>
            </w:r>
          </w:p>
        </w:tc>
        <w:tc>
          <w:tcPr>
            <w:tcW w:w="1606" w:type="dxa"/>
            <w:tcBorders>
              <w:top w:val="nil"/>
            </w:tcBorders>
            <w:noWrap/>
            <w:vAlign w:val="bottom"/>
          </w:tcPr>
          <w:p w14:paraId="333F928A" w14:textId="22A5670E"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w:t>
            </w:r>
          </w:p>
        </w:tc>
        <w:tc>
          <w:tcPr>
            <w:tcW w:w="1606" w:type="dxa"/>
            <w:tcBorders>
              <w:top w:val="nil"/>
            </w:tcBorders>
            <w:noWrap/>
            <w:vAlign w:val="bottom"/>
          </w:tcPr>
          <w:p w14:paraId="28E59353" w14:textId="12984670"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182,000</w:t>
            </w:r>
          </w:p>
        </w:tc>
        <w:tc>
          <w:tcPr>
            <w:tcW w:w="1607" w:type="dxa"/>
            <w:tcBorders>
              <w:top w:val="nil"/>
            </w:tcBorders>
            <w:vAlign w:val="bottom"/>
          </w:tcPr>
          <w:p w14:paraId="0A518CCE" w14:textId="76D2F83F"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68%</w:t>
            </w:r>
          </w:p>
        </w:tc>
      </w:tr>
      <w:tr w:rsidR="0069611A" w:rsidRPr="00660D81" w14:paraId="607D550D"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vAlign w:val="bottom"/>
          </w:tcPr>
          <w:p w14:paraId="344C411D" w14:textId="37C88253" w:rsidR="0069611A" w:rsidRPr="005D7193" w:rsidRDefault="0069611A" w:rsidP="0069611A">
            <w:pPr>
              <w:pStyle w:val="TableTextSmall"/>
              <w:keepNext/>
              <w:rPr>
                <w:rFonts w:ascii="Arial" w:hAnsi="Arial"/>
                <w:i/>
                <w:iCs/>
                <w:color w:val="595959"/>
                <w:szCs w:val="16"/>
              </w:rPr>
            </w:pPr>
            <w:r w:rsidRPr="005D7193">
              <w:rPr>
                <w:rFonts w:ascii="Arial" w:hAnsi="Arial"/>
                <w:color w:val="595959"/>
                <w:szCs w:val="16"/>
              </w:rPr>
              <w:t>Level of parental welfare dependence</w:t>
            </w:r>
          </w:p>
        </w:tc>
        <w:tc>
          <w:tcPr>
            <w:tcW w:w="1134" w:type="dxa"/>
            <w:tcBorders>
              <w:bottom w:val="nil"/>
            </w:tcBorders>
            <w:shd w:val="clear" w:color="auto" w:fill="auto"/>
            <w:noWrap/>
            <w:vAlign w:val="bottom"/>
          </w:tcPr>
          <w:p w14:paraId="6C6ACEC6" w14:textId="223C7A41"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588B6895" w14:textId="052AC9C3"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7737F045" w14:textId="558AEF84"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bottom w:val="nil"/>
            </w:tcBorders>
            <w:vAlign w:val="bottom"/>
          </w:tcPr>
          <w:p w14:paraId="38098698" w14:textId="4E138533"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60D81" w14:paraId="6592FD11"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4334B9C6" w14:textId="7106B550"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None (0%)</w:t>
            </w:r>
          </w:p>
        </w:tc>
        <w:tc>
          <w:tcPr>
            <w:tcW w:w="1134" w:type="dxa"/>
            <w:tcBorders>
              <w:top w:val="nil"/>
              <w:bottom w:val="nil"/>
            </w:tcBorders>
            <w:shd w:val="clear" w:color="auto" w:fill="auto"/>
            <w:noWrap/>
            <w:vAlign w:val="bottom"/>
          </w:tcPr>
          <w:p w14:paraId="58C7C9E7" w14:textId="64AC9350"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65,000</w:t>
            </w:r>
          </w:p>
        </w:tc>
        <w:tc>
          <w:tcPr>
            <w:tcW w:w="1606" w:type="dxa"/>
            <w:tcBorders>
              <w:top w:val="nil"/>
              <w:bottom w:val="nil"/>
            </w:tcBorders>
            <w:noWrap/>
            <w:vAlign w:val="bottom"/>
          </w:tcPr>
          <w:p w14:paraId="03998F1E" w14:textId="451C2BC9"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28%</w:t>
            </w:r>
          </w:p>
        </w:tc>
        <w:tc>
          <w:tcPr>
            <w:tcW w:w="1606" w:type="dxa"/>
            <w:tcBorders>
              <w:top w:val="nil"/>
              <w:bottom w:val="nil"/>
            </w:tcBorders>
            <w:noWrap/>
            <w:vAlign w:val="bottom"/>
          </w:tcPr>
          <w:p w14:paraId="35143077" w14:textId="168A869F"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232,000</w:t>
            </w:r>
          </w:p>
        </w:tc>
        <w:tc>
          <w:tcPr>
            <w:tcW w:w="1607" w:type="dxa"/>
            <w:tcBorders>
              <w:top w:val="nil"/>
              <w:bottom w:val="nil"/>
            </w:tcBorders>
            <w:vAlign w:val="bottom"/>
          </w:tcPr>
          <w:p w14:paraId="62941268" w14:textId="5B5B2D72"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87%</w:t>
            </w:r>
          </w:p>
        </w:tc>
      </w:tr>
      <w:tr w:rsidR="0069611A" w:rsidRPr="00660D81" w14:paraId="0356FFC1"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5303547C" w14:textId="4024A5DB"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Some (1%-35%)</w:t>
            </w:r>
          </w:p>
        </w:tc>
        <w:tc>
          <w:tcPr>
            <w:tcW w:w="1134" w:type="dxa"/>
            <w:tcBorders>
              <w:top w:val="nil"/>
              <w:bottom w:val="nil"/>
            </w:tcBorders>
            <w:shd w:val="clear" w:color="auto" w:fill="auto"/>
            <w:noWrap/>
            <w:vAlign w:val="bottom"/>
          </w:tcPr>
          <w:p w14:paraId="41CCF4AF" w14:textId="4475ABB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49,000</w:t>
            </w:r>
          </w:p>
        </w:tc>
        <w:tc>
          <w:tcPr>
            <w:tcW w:w="1606" w:type="dxa"/>
            <w:tcBorders>
              <w:top w:val="nil"/>
              <w:bottom w:val="nil"/>
            </w:tcBorders>
            <w:noWrap/>
            <w:vAlign w:val="bottom"/>
          </w:tcPr>
          <w:p w14:paraId="6ED3BD08" w14:textId="26175F9A"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21%</w:t>
            </w:r>
          </w:p>
        </w:tc>
        <w:tc>
          <w:tcPr>
            <w:tcW w:w="1606" w:type="dxa"/>
            <w:tcBorders>
              <w:top w:val="nil"/>
              <w:bottom w:val="nil"/>
            </w:tcBorders>
            <w:noWrap/>
            <w:vAlign w:val="bottom"/>
          </w:tcPr>
          <w:p w14:paraId="4C07C57B" w14:textId="53EB4448"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256,000</w:t>
            </w:r>
          </w:p>
        </w:tc>
        <w:tc>
          <w:tcPr>
            <w:tcW w:w="1607" w:type="dxa"/>
            <w:tcBorders>
              <w:top w:val="nil"/>
              <w:bottom w:val="nil"/>
            </w:tcBorders>
            <w:vAlign w:val="bottom"/>
          </w:tcPr>
          <w:p w14:paraId="612FD6F9" w14:textId="03A75E25"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96%</w:t>
            </w:r>
          </w:p>
        </w:tc>
      </w:tr>
      <w:tr w:rsidR="0069611A" w:rsidRPr="00660D81" w14:paraId="57E86803"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3B9E34CE" w14:textId="41F65867"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High (36%-80%)</w:t>
            </w:r>
          </w:p>
        </w:tc>
        <w:tc>
          <w:tcPr>
            <w:tcW w:w="1134" w:type="dxa"/>
            <w:tcBorders>
              <w:top w:val="nil"/>
              <w:bottom w:val="nil"/>
            </w:tcBorders>
            <w:shd w:val="clear" w:color="auto" w:fill="auto"/>
            <w:noWrap/>
            <w:vAlign w:val="bottom"/>
          </w:tcPr>
          <w:p w14:paraId="3F5C8453" w14:textId="76770B1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55,000</w:t>
            </w:r>
          </w:p>
        </w:tc>
        <w:tc>
          <w:tcPr>
            <w:tcW w:w="1606" w:type="dxa"/>
            <w:tcBorders>
              <w:top w:val="nil"/>
              <w:bottom w:val="nil"/>
            </w:tcBorders>
            <w:noWrap/>
            <w:vAlign w:val="bottom"/>
          </w:tcPr>
          <w:p w14:paraId="5B4D348D" w14:textId="788ADB90"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24%</w:t>
            </w:r>
          </w:p>
        </w:tc>
        <w:tc>
          <w:tcPr>
            <w:tcW w:w="1606" w:type="dxa"/>
            <w:tcBorders>
              <w:top w:val="nil"/>
              <w:bottom w:val="nil"/>
            </w:tcBorders>
            <w:noWrap/>
            <w:vAlign w:val="bottom"/>
          </w:tcPr>
          <w:p w14:paraId="3BE5DB3E" w14:textId="46D358B4"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281,000</w:t>
            </w:r>
          </w:p>
        </w:tc>
        <w:tc>
          <w:tcPr>
            <w:tcW w:w="1607" w:type="dxa"/>
            <w:tcBorders>
              <w:top w:val="nil"/>
              <w:bottom w:val="nil"/>
            </w:tcBorders>
            <w:vAlign w:val="bottom"/>
          </w:tcPr>
          <w:p w14:paraId="7C18A114" w14:textId="34FED220"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105%</w:t>
            </w:r>
          </w:p>
        </w:tc>
      </w:tr>
      <w:tr w:rsidR="0069611A" w:rsidRPr="00660D81" w14:paraId="40AC4BB0"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vAlign w:val="bottom"/>
          </w:tcPr>
          <w:p w14:paraId="09EB1CBA" w14:textId="75C21738"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Very high (81%+)</w:t>
            </w:r>
          </w:p>
        </w:tc>
        <w:tc>
          <w:tcPr>
            <w:tcW w:w="1134" w:type="dxa"/>
            <w:tcBorders>
              <w:top w:val="nil"/>
            </w:tcBorders>
            <w:shd w:val="clear" w:color="auto" w:fill="auto"/>
            <w:noWrap/>
            <w:vAlign w:val="bottom"/>
          </w:tcPr>
          <w:p w14:paraId="1BB9B2AF" w14:textId="06358598"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62,000</w:t>
            </w:r>
          </w:p>
        </w:tc>
        <w:tc>
          <w:tcPr>
            <w:tcW w:w="1606" w:type="dxa"/>
            <w:tcBorders>
              <w:top w:val="nil"/>
            </w:tcBorders>
            <w:noWrap/>
            <w:vAlign w:val="bottom"/>
          </w:tcPr>
          <w:p w14:paraId="3E08B65F" w14:textId="5BD880C1"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27%</w:t>
            </w:r>
          </w:p>
        </w:tc>
        <w:tc>
          <w:tcPr>
            <w:tcW w:w="1606" w:type="dxa"/>
            <w:tcBorders>
              <w:top w:val="nil"/>
            </w:tcBorders>
            <w:noWrap/>
            <w:vAlign w:val="bottom"/>
          </w:tcPr>
          <w:p w14:paraId="6F492955" w14:textId="2ECFDC35"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303,000</w:t>
            </w:r>
          </w:p>
        </w:tc>
        <w:tc>
          <w:tcPr>
            <w:tcW w:w="1607" w:type="dxa"/>
            <w:tcBorders>
              <w:top w:val="nil"/>
            </w:tcBorders>
            <w:vAlign w:val="bottom"/>
          </w:tcPr>
          <w:p w14:paraId="64C3A560" w14:textId="773FBB23"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113%</w:t>
            </w:r>
          </w:p>
        </w:tc>
      </w:tr>
      <w:tr w:rsidR="0069611A" w:rsidRPr="00660D81" w14:paraId="46476CE6"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vAlign w:val="bottom"/>
          </w:tcPr>
          <w:p w14:paraId="2CE0636C" w14:textId="7B1F1903" w:rsidR="0069611A" w:rsidRPr="005D7193" w:rsidRDefault="0069611A" w:rsidP="0069611A">
            <w:pPr>
              <w:pStyle w:val="TableTextSmall"/>
              <w:keepNext/>
              <w:rPr>
                <w:rFonts w:ascii="Arial" w:hAnsi="Arial"/>
                <w:i/>
                <w:iCs/>
                <w:color w:val="595959"/>
                <w:szCs w:val="16"/>
              </w:rPr>
            </w:pPr>
            <w:r w:rsidRPr="005D7193">
              <w:rPr>
                <w:rFonts w:ascii="Arial" w:hAnsi="Arial"/>
                <w:color w:val="595959"/>
                <w:szCs w:val="16"/>
              </w:rPr>
              <w:t>Number of children</w:t>
            </w:r>
          </w:p>
        </w:tc>
        <w:tc>
          <w:tcPr>
            <w:tcW w:w="1134" w:type="dxa"/>
            <w:tcBorders>
              <w:bottom w:val="nil"/>
            </w:tcBorders>
            <w:shd w:val="clear" w:color="auto" w:fill="auto"/>
            <w:noWrap/>
            <w:vAlign w:val="bottom"/>
          </w:tcPr>
          <w:p w14:paraId="375300D3" w14:textId="730F70B0"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06536949" w14:textId="3262FFA8"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48FAC5B3" w14:textId="1AF6A34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tcBorders>
            <w:vAlign w:val="bottom"/>
          </w:tcPr>
          <w:p w14:paraId="577F35FF" w14:textId="02E2AD11"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60D81" w14:paraId="5B96A979"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3D2997A9" w14:textId="6646331D"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No children</w:t>
            </w:r>
          </w:p>
        </w:tc>
        <w:tc>
          <w:tcPr>
            <w:tcW w:w="1134" w:type="dxa"/>
            <w:tcBorders>
              <w:top w:val="nil"/>
              <w:bottom w:val="nil"/>
            </w:tcBorders>
            <w:shd w:val="clear" w:color="auto" w:fill="auto"/>
            <w:noWrap/>
            <w:vAlign w:val="bottom"/>
          </w:tcPr>
          <w:p w14:paraId="7FABFBA4" w14:textId="2D5474FC"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213,000</w:t>
            </w:r>
          </w:p>
        </w:tc>
        <w:tc>
          <w:tcPr>
            <w:tcW w:w="1606" w:type="dxa"/>
            <w:tcBorders>
              <w:top w:val="nil"/>
              <w:bottom w:val="nil"/>
            </w:tcBorders>
            <w:noWrap/>
            <w:vAlign w:val="bottom"/>
          </w:tcPr>
          <w:p w14:paraId="03E1CD33" w14:textId="7C38AAB6"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93%</w:t>
            </w:r>
          </w:p>
        </w:tc>
        <w:tc>
          <w:tcPr>
            <w:tcW w:w="1606" w:type="dxa"/>
            <w:tcBorders>
              <w:top w:val="nil"/>
              <w:bottom w:val="nil"/>
            </w:tcBorders>
            <w:noWrap/>
            <w:vAlign w:val="bottom"/>
          </w:tcPr>
          <w:p w14:paraId="0889D281" w14:textId="62FB1E68"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258,000</w:t>
            </w:r>
          </w:p>
        </w:tc>
        <w:tc>
          <w:tcPr>
            <w:tcW w:w="1607" w:type="dxa"/>
            <w:tcBorders>
              <w:top w:val="nil"/>
              <w:bottom w:val="nil"/>
            </w:tcBorders>
            <w:vAlign w:val="bottom"/>
          </w:tcPr>
          <w:p w14:paraId="2A5D6273" w14:textId="56CA5CD0"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96%</w:t>
            </w:r>
          </w:p>
        </w:tc>
      </w:tr>
      <w:tr w:rsidR="0069611A" w:rsidRPr="00660D81" w14:paraId="44ADE1F5"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3DF05CAD" w14:textId="1D8966C1"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- 1 child</w:t>
            </w:r>
          </w:p>
        </w:tc>
        <w:tc>
          <w:tcPr>
            <w:tcW w:w="1134" w:type="dxa"/>
            <w:tcBorders>
              <w:top w:val="nil"/>
              <w:bottom w:val="nil"/>
            </w:tcBorders>
            <w:shd w:val="clear" w:color="auto" w:fill="auto"/>
            <w:noWrap/>
            <w:vAlign w:val="bottom"/>
          </w:tcPr>
          <w:p w14:paraId="49202AE5" w14:textId="61A3D02E"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11,000</w:t>
            </w:r>
          </w:p>
        </w:tc>
        <w:tc>
          <w:tcPr>
            <w:tcW w:w="1606" w:type="dxa"/>
            <w:tcBorders>
              <w:top w:val="nil"/>
              <w:bottom w:val="nil"/>
            </w:tcBorders>
            <w:noWrap/>
            <w:vAlign w:val="bottom"/>
          </w:tcPr>
          <w:p w14:paraId="721A690E" w14:textId="2E9B5040"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w:t>
            </w:r>
          </w:p>
        </w:tc>
        <w:tc>
          <w:tcPr>
            <w:tcW w:w="1606" w:type="dxa"/>
            <w:tcBorders>
              <w:top w:val="nil"/>
              <w:bottom w:val="nil"/>
            </w:tcBorders>
            <w:noWrap/>
            <w:vAlign w:val="bottom"/>
          </w:tcPr>
          <w:p w14:paraId="7A3D446E" w14:textId="2C577A05"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393,000</w:t>
            </w:r>
          </w:p>
        </w:tc>
        <w:tc>
          <w:tcPr>
            <w:tcW w:w="1607" w:type="dxa"/>
            <w:tcBorders>
              <w:top w:val="nil"/>
              <w:bottom w:val="nil"/>
            </w:tcBorders>
            <w:vAlign w:val="bottom"/>
          </w:tcPr>
          <w:p w14:paraId="1B772407" w14:textId="32F0DF38"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147%</w:t>
            </w:r>
          </w:p>
        </w:tc>
      </w:tr>
      <w:tr w:rsidR="0069611A" w:rsidRPr="00660D81" w14:paraId="094A3D66"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5DC23D6F" w14:textId="6233FE4A"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- 2 children</w:t>
            </w:r>
          </w:p>
        </w:tc>
        <w:tc>
          <w:tcPr>
            <w:tcW w:w="1134" w:type="dxa"/>
            <w:tcBorders>
              <w:top w:val="nil"/>
              <w:bottom w:val="nil"/>
            </w:tcBorders>
            <w:shd w:val="clear" w:color="auto" w:fill="auto"/>
            <w:noWrap/>
            <w:vAlign w:val="bottom"/>
          </w:tcPr>
          <w:p w14:paraId="7FBBA576" w14:textId="03653FC2"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4,000</w:t>
            </w:r>
          </w:p>
        </w:tc>
        <w:tc>
          <w:tcPr>
            <w:tcW w:w="1606" w:type="dxa"/>
            <w:tcBorders>
              <w:top w:val="nil"/>
              <w:bottom w:val="nil"/>
            </w:tcBorders>
            <w:noWrap/>
            <w:vAlign w:val="bottom"/>
          </w:tcPr>
          <w:p w14:paraId="5CC78D69" w14:textId="16A075B2"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w:t>
            </w:r>
          </w:p>
        </w:tc>
        <w:tc>
          <w:tcPr>
            <w:tcW w:w="1606" w:type="dxa"/>
            <w:tcBorders>
              <w:top w:val="nil"/>
              <w:bottom w:val="nil"/>
            </w:tcBorders>
            <w:noWrap/>
            <w:vAlign w:val="bottom"/>
          </w:tcPr>
          <w:p w14:paraId="6E88E48F" w14:textId="5DB0332B"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382,000</w:t>
            </w:r>
          </w:p>
        </w:tc>
        <w:tc>
          <w:tcPr>
            <w:tcW w:w="1607" w:type="dxa"/>
            <w:tcBorders>
              <w:top w:val="nil"/>
              <w:bottom w:val="nil"/>
            </w:tcBorders>
            <w:vAlign w:val="bottom"/>
          </w:tcPr>
          <w:p w14:paraId="14B545FA" w14:textId="4BA7F1EE"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143%</w:t>
            </w:r>
          </w:p>
        </w:tc>
      </w:tr>
      <w:tr w:rsidR="0069611A" w:rsidRPr="00660D81" w14:paraId="6DD10226"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vAlign w:val="bottom"/>
          </w:tcPr>
          <w:p w14:paraId="002220AA" w14:textId="2FE4E431"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- 3+ children</w:t>
            </w:r>
          </w:p>
        </w:tc>
        <w:tc>
          <w:tcPr>
            <w:tcW w:w="1134" w:type="dxa"/>
            <w:tcBorders>
              <w:top w:val="nil"/>
            </w:tcBorders>
            <w:shd w:val="clear" w:color="auto" w:fill="auto"/>
            <w:noWrap/>
            <w:vAlign w:val="bottom"/>
          </w:tcPr>
          <w:p w14:paraId="384BCC7C" w14:textId="1F4E69FC"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2,000</w:t>
            </w:r>
          </w:p>
        </w:tc>
        <w:tc>
          <w:tcPr>
            <w:tcW w:w="1606" w:type="dxa"/>
            <w:tcBorders>
              <w:top w:val="nil"/>
            </w:tcBorders>
            <w:noWrap/>
            <w:vAlign w:val="bottom"/>
          </w:tcPr>
          <w:p w14:paraId="4EF089C3" w14:textId="48E8E670"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w:t>
            </w:r>
          </w:p>
        </w:tc>
        <w:tc>
          <w:tcPr>
            <w:tcW w:w="1606" w:type="dxa"/>
            <w:tcBorders>
              <w:top w:val="nil"/>
            </w:tcBorders>
            <w:noWrap/>
            <w:vAlign w:val="bottom"/>
          </w:tcPr>
          <w:p w14:paraId="7CE1E876" w14:textId="04F9143A"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430,000</w:t>
            </w:r>
          </w:p>
        </w:tc>
        <w:tc>
          <w:tcPr>
            <w:tcW w:w="1607" w:type="dxa"/>
            <w:tcBorders>
              <w:top w:val="nil"/>
            </w:tcBorders>
            <w:vAlign w:val="bottom"/>
          </w:tcPr>
          <w:p w14:paraId="019FE2EB" w14:textId="6289A399"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161%</w:t>
            </w:r>
          </w:p>
        </w:tc>
      </w:tr>
      <w:tr w:rsidR="0069611A" w:rsidRPr="00660D81" w14:paraId="57C33A92"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vAlign w:val="bottom"/>
          </w:tcPr>
          <w:p w14:paraId="064C4F2A" w14:textId="1D7D5FD3" w:rsidR="0069611A" w:rsidRPr="005D7193" w:rsidRDefault="0069611A" w:rsidP="0069611A">
            <w:pPr>
              <w:pStyle w:val="TableTextSmall"/>
              <w:keepNext/>
              <w:rPr>
                <w:rFonts w:ascii="Arial" w:hAnsi="Arial"/>
                <w:i/>
                <w:iCs/>
                <w:color w:val="595959"/>
                <w:szCs w:val="16"/>
              </w:rPr>
            </w:pPr>
            <w:r w:rsidRPr="005D7193">
              <w:rPr>
                <w:rFonts w:ascii="Arial" w:hAnsi="Arial"/>
                <w:color w:val="595959"/>
                <w:szCs w:val="16"/>
              </w:rPr>
              <w:t>Years in pay class</w:t>
            </w:r>
          </w:p>
        </w:tc>
        <w:tc>
          <w:tcPr>
            <w:tcW w:w="1134" w:type="dxa"/>
            <w:tcBorders>
              <w:bottom w:val="nil"/>
            </w:tcBorders>
            <w:shd w:val="clear" w:color="auto" w:fill="auto"/>
            <w:noWrap/>
            <w:vAlign w:val="bottom"/>
          </w:tcPr>
          <w:p w14:paraId="3885B7BB" w14:textId="6DD1E768"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7CE6409F" w14:textId="28A7851B"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2849FCBD" w14:textId="3DAA2E42"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bottom w:val="nil"/>
            </w:tcBorders>
            <w:vAlign w:val="bottom"/>
          </w:tcPr>
          <w:p w14:paraId="3971A492" w14:textId="44BD5E76"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60D81" w14:paraId="5EC92CA8"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77AAE274" w14:textId="66A0E621"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- 1 Year</w:t>
            </w:r>
          </w:p>
        </w:tc>
        <w:tc>
          <w:tcPr>
            <w:tcW w:w="1134" w:type="dxa"/>
            <w:tcBorders>
              <w:top w:val="nil"/>
              <w:bottom w:val="nil"/>
            </w:tcBorders>
            <w:shd w:val="clear" w:color="auto" w:fill="auto"/>
            <w:noWrap/>
            <w:vAlign w:val="bottom"/>
          </w:tcPr>
          <w:p w14:paraId="71BE8029" w14:textId="12292F2B"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72,000</w:t>
            </w:r>
          </w:p>
        </w:tc>
        <w:tc>
          <w:tcPr>
            <w:tcW w:w="1606" w:type="dxa"/>
            <w:tcBorders>
              <w:top w:val="nil"/>
              <w:bottom w:val="nil"/>
            </w:tcBorders>
            <w:noWrap/>
            <w:vAlign w:val="bottom"/>
          </w:tcPr>
          <w:p w14:paraId="3447A732" w14:textId="01E83BA4"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31%</w:t>
            </w:r>
          </w:p>
        </w:tc>
        <w:tc>
          <w:tcPr>
            <w:tcW w:w="1606" w:type="dxa"/>
            <w:tcBorders>
              <w:top w:val="nil"/>
              <w:bottom w:val="nil"/>
            </w:tcBorders>
            <w:noWrap/>
            <w:vAlign w:val="bottom"/>
          </w:tcPr>
          <w:p w14:paraId="3BE5FE35" w14:textId="55561D11"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239,000</w:t>
            </w:r>
          </w:p>
        </w:tc>
        <w:tc>
          <w:tcPr>
            <w:tcW w:w="1607" w:type="dxa"/>
            <w:tcBorders>
              <w:top w:val="nil"/>
              <w:bottom w:val="nil"/>
            </w:tcBorders>
            <w:vAlign w:val="bottom"/>
          </w:tcPr>
          <w:p w14:paraId="01561751" w14:textId="63A5F203"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89%</w:t>
            </w:r>
          </w:p>
        </w:tc>
      </w:tr>
      <w:tr w:rsidR="0069611A" w:rsidRPr="00660D81" w14:paraId="35818431"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66C305A4" w14:textId="30970E15"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- 2-3 Years</w:t>
            </w:r>
          </w:p>
        </w:tc>
        <w:tc>
          <w:tcPr>
            <w:tcW w:w="1134" w:type="dxa"/>
            <w:tcBorders>
              <w:top w:val="nil"/>
              <w:bottom w:val="nil"/>
            </w:tcBorders>
            <w:shd w:val="clear" w:color="auto" w:fill="auto"/>
            <w:noWrap/>
            <w:vAlign w:val="bottom"/>
          </w:tcPr>
          <w:p w14:paraId="62BC5D5C" w14:textId="6EA70387"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83,000</w:t>
            </w:r>
          </w:p>
        </w:tc>
        <w:tc>
          <w:tcPr>
            <w:tcW w:w="1606" w:type="dxa"/>
            <w:tcBorders>
              <w:top w:val="nil"/>
              <w:bottom w:val="nil"/>
            </w:tcBorders>
            <w:noWrap/>
            <w:vAlign w:val="bottom"/>
          </w:tcPr>
          <w:p w14:paraId="6F568B21" w14:textId="50AD67C6"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36%</w:t>
            </w:r>
          </w:p>
        </w:tc>
        <w:tc>
          <w:tcPr>
            <w:tcW w:w="1606" w:type="dxa"/>
            <w:tcBorders>
              <w:top w:val="nil"/>
              <w:bottom w:val="nil"/>
            </w:tcBorders>
            <w:noWrap/>
            <w:vAlign w:val="bottom"/>
          </w:tcPr>
          <w:p w14:paraId="662462BA" w14:textId="704238F3"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255,000</w:t>
            </w:r>
          </w:p>
        </w:tc>
        <w:tc>
          <w:tcPr>
            <w:tcW w:w="1607" w:type="dxa"/>
            <w:tcBorders>
              <w:top w:val="nil"/>
              <w:bottom w:val="nil"/>
            </w:tcBorders>
            <w:vAlign w:val="bottom"/>
          </w:tcPr>
          <w:p w14:paraId="1CEC6F96" w14:textId="378FB6A4"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95%</w:t>
            </w:r>
          </w:p>
        </w:tc>
      </w:tr>
      <w:tr w:rsidR="0069611A" w:rsidRPr="00660D81" w14:paraId="6B96671B"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44B91634" w14:textId="71475BBA"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- 4-5 Years</w:t>
            </w:r>
          </w:p>
        </w:tc>
        <w:tc>
          <w:tcPr>
            <w:tcW w:w="1134" w:type="dxa"/>
            <w:tcBorders>
              <w:top w:val="nil"/>
              <w:bottom w:val="nil"/>
            </w:tcBorders>
            <w:shd w:val="clear" w:color="auto" w:fill="auto"/>
            <w:noWrap/>
            <w:vAlign w:val="bottom"/>
          </w:tcPr>
          <w:p w14:paraId="0B95B0E5" w14:textId="0B987308"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43,000</w:t>
            </w:r>
          </w:p>
        </w:tc>
        <w:tc>
          <w:tcPr>
            <w:tcW w:w="1606" w:type="dxa"/>
            <w:tcBorders>
              <w:top w:val="nil"/>
              <w:bottom w:val="nil"/>
            </w:tcBorders>
            <w:noWrap/>
            <w:vAlign w:val="bottom"/>
          </w:tcPr>
          <w:p w14:paraId="08AFF92B" w14:textId="746C7431"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19%</w:t>
            </w:r>
          </w:p>
        </w:tc>
        <w:tc>
          <w:tcPr>
            <w:tcW w:w="1606" w:type="dxa"/>
            <w:tcBorders>
              <w:top w:val="nil"/>
              <w:bottom w:val="nil"/>
            </w:tcBorders>
            <w:noWrap/>
            <w:vAlign w:val="bottom"/>
          </w:tcPr>
          <w:p w14:paraId="61F68E08" w14:textId="1F5E8EDE"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292,000</w:t>
            </w:r>
          </w:p>
        </w:tc>
        <w:tc>
          <w:tcPr>
            <w:tcW w:w="1607" w:type="dxa"/>
            <w:tcBorders>
              <w:top w:val="nil"/>
              <w:bottom w:val="nil"/>
            </w:tcBorders>
            <w:vAlign w:val="bottom"/>
          </w:tcPr>
          <w:p w14:paraId="4AB3B793" w14:textId="099B9399"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109%</w:t>
            </w:r>
          </w:p>
        </w:tc>
      </w:tr>
      <w:tr w:rsidR="0069611A" w:rsidRPr="00660D81" w14:paraId="6A0C1810"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vAlign w:val="bottom"/>
          </w:tcPr>
          <w:p w14:paraId="03FE5572" w14:textId="2E921812"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- 6+ Years</w:t>
            </w:r>
          </w:p>
        </w:tc>
        <w:tc>
          <w:tcPr>
            <w:tcW w:w="1134" w:type="dxa"/>
            <w:tcBorders>
              <w:top w:val="nil"/>
            </w:tcBorders>
            <w:shd w:val="clear" w:color="auto" w:fill="auto"/>
            <w:noWrap/>
            <w:vAlign w:val="bottom"/>
          </w:tcPr>
          <w:p w14:paraId="4F20B9C6" w14:textId="12EA8F6E"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32,000</w:t>
            </w:r>
          </w:p>
        </w:tc>
        <w:tc>
          <w:tcPr>
            <w:tcW w:w="1606" w:type="dxa"/>
            <w:tcBorders>
              <w:top w:val="nil"/>
            </w:tcBorders>
            <w:noWrap/>
            <w:vAlign w:val="bottom"/>
          </w:tcPr>
          <w:p w14:paraId="3583C615" w14:textId="02D618B0"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14%</w:t>
            </w:r>
          </w:p>
        </w:tc>
        <w:tc>
          <w:tcPr>
            <w:tcW w:w="1606" w:type="dxa"/>
            <w:tcBorders>
              <w:top w:val="nil"/>
            </w:tcBorders>
            <w:noWrap/>
            <w:vAlign w:val="bottom"/>
          </w:tcPr>
          <w:p w14:paraId="1B52F5B6" w14:textId="307A09DB"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334,000</w:t>
            </w:r>
          </w:p>
        </w:tc>
        <w:tc>
          <w:tcPr>
            <w:tcW w:w="1607" w:type="dxa"/>
            <w:tcBorders>
              <w:top w:val="nil"/>
            </w:tcBorders>
            <w:vAlign w:val="bottom"/>
          </w:tcPr>
          <w:p w14:paraId="58A9180A" w14:textId="54D8F604"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125%</w:t>
            </w:r>
          </w:p>
        </w:tc>
      </w:tr>
      <w:tr w:rsidR="0069611A" w:rsidRPr="00660D81" w14:paraId="277E6ADC"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vAlign w:val="bottom"/>
          </w:tcPr>
          <w:p w14:paraId="6D04153F" w14:textId="75C34C62" w:rsidR="0069611A" w:rsidRPr="005D7193" w:rsidRDefault="0069611A" w:rsidP="0069611A">
            <w:pPr>
              <w:pStyle w:val="TableTextSmall"/>
              <w:keepNext/>
              <w:rPr>
                <w:rFonts w:ascii="Arial" w:hAnsi="Arial"/>
                <w:i/>
                <w:iCs/>
                <w:color w:val="595959"/>
                <w:szCs w:val="16"/>
              </w:rPr>
            </w:pPr>
            <w:r w:rsidRPr="005D7193">
              <w:rPr>
                <w:rFonts w:ascii="Arial" w:hAnsi="Arial"/>
                <w:color w:val="595959"/>
                <w:szCs w:val="16"/>
              </w:rPr>
              <w:t>Indigenous status</w:t>
            </w:r>
          </w:p>
        </w:tc>
        <w:tc>
          <w:tcPr>
            <w:tcW w:w="1134" w:type="dxa"/>
            <w:tcBorders>
              <w:bottom w:val="nil"/>
            </w:tcBorders>
            <w:shd w:val="clear" w:color="auto" w:fill="auto"/>
            <w:noWrap/>
            <w:vAlign w:val="bottom"/>
          </w:tcPr>
          <w:p w14:paraId="50B00041" w14:textId="7777777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0B06ACE3" w14:textId="77777777"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1A2329D4" w14:textId="06F02B9D"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tcBorders>
            <w:vAlign w:val="bottom"/>
          </w:tcPr>
          <w:p w14:paraId="520867AE" w14:textId="530F244B"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60D81" w14:paraId="76CD985B" w14:textId="77777777" w:rsidTr="00FD7158">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bottom"/>
          </w:tcPr>
          <w:p w14:paraId="37D63BEF" w14:textId="69ACAF52"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Indigenous</w:t>
            </w:r>
          </w:p>
        </w:tc>
        <w:tc>
          <w:tcPr>
            <w:tcW w:w="1134" w:type="dxa"/>
            <w:tcBorders>
              <w:top w:val="nil"/>
              <w:bottom w:val="nil"/>
            </w:tcBorders>
            <w:shd w:val="clear" w:color="auto" w:fill="auto"/>
            <w:noWrap/>
            <w:vAlign w:val="bottom"/>
          </w:tcPr>
          <w:p w14:paraId="30C61AA3" w14:textId="3ABEB0EC"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29,000</w:t>
            </w:r>
          </w:p>
        </w:tc>
        <w:tc>
          <w:tcPr>
            <w:tcW w:w="1606" w:type="dxa"/>
            <w:tcBorders>
              <w:top w:val="nil"/>
              <w:bottom w:val="nil"/>
            </w:tcBorders>
            <w:noWrap/>
            <w:vAlign w:val="bottom"/>
          </w:tcPr>
          <w:p w14:paraId="3AF8BEC0" w14:textId="585CC7E5"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13%</w:t>
            </w:r>
          </w:p>
        </w:tc>
        <w:tc>
          <w:tcPr>
            <w:tcW w:w="1606" w:type="dxa"/>
            <w:tcBorders>
              <w:top w:val="nil"/>
              <w:bottom w:val="nil"/>
            </w:tcBorders>
            <w:noWrap/>
            <w:vAlign w:val="bottom"/>
          </w:tcPr>
          <w:p w14:paraId="73BA95ED" w14:textId="5DA9CBE6" w:rsidR="0069611A" w:rsidRDefault="00C47219"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387.000</w:t>
            </w:r>
          </w:p>
        </w:tc>
        <w:tc>
          <w:tcPr>
            <w:tcW w:w="1607" w:type="dxa"/>
            <w:tcBorders>
              <w:top w:val="nil"/>
              <w:bottom w:val="nil"/>
            </w:tcBorders>
            <w:vAlign w:val="bottom"/>
          </w:tcPr>
          <w:p w14:paraId="58169E8E" w14:textId="2D466330" w:rsidR="0069611A" w:rsidRDefault="00C47219"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145%</w:t>
            </w:r>
          </w:p>
        </w:tc>
      </w:tr>
      <w:tr w:rsidR="0069611A" w:rsidRPr="00660D81" w14:paraId="23E074CD" w14:textId="77777777" w:rsidTr="00FD715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tcBorders>
            <w:noWrap/>
            <w:vAlign w:val="bottom"/>
          </w:tcPr>
          <w:p w14:paraId="485AD50B" w14:textId="1C4DFDF8" w:rsidR="0069611A" w:rsidRPr="005D7193" w:rsidRDefault="0069611A" w:rsidP="0069611A">
            <w:pPr>
              <w:pStyle w:val="TableTextSmall"/>
              <w:keepNext/>
              <w:rPr>
                <w:rFonts w:ascii="Arial" w:hAnsi="Arial"/>
                <w:b w:val="0"/>
                <w:i/>
                <w:iCs/>
                <w:color w:val="595959"/>
                <w:szCs w:val="16"/>
              </w:rPr>
            </w:pPr>
            <w:r w:rsidRPr="005D7193">
              <w:rPr>
                <w:rFonts w:ascii="Arial" w:hAnsi="Arial"/>
                <w:i/>
                <w:iCs/>
                <w:color w:val="595959"/>
                <w:szCs w:val="16"/>
              </w:rPr>
              <w:t xml:space="preserve">    - Non-Indigenous</w:t>
            </w:r>
          </w:p>
        </w:tc>
        <w:tc>
          <w:tcPr>
            <w:tcW w:w="1134" w:type="dxa"/>
            <w:tcBorders>
              <w:top w:val="nil"/>
            </w:tcBorders>
            <w:shd w:val="clear" w:color="auto" w:fill="auto"/>
            <w:noWrap/>
            <w:vAlign w:val="bottom"/>
          </w:tcPr>
          <w:p w14:paraId="5FABD5BE" w14:textId="7711F2AB"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201,000</w:t>
            </w:r>
          </w:p>
        </w:tc>
        <w:tc>
          <w:tcPr>
            <w:tcW w:w="1606" w:type="dxa"/>
            <w:tcBorders>
              <w:top w:val="nil"/>
            </w:tcBorders>
            <w:noWrap/>
            <w:vAlign w:val="bottom"/>
          </w:tcPr>
          <w:p w14:paraId="5E33D68E" w14:textId="7D327473" w:rsid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87%</w:t>
            </w:r>
          </w:p>
        </w:tc>
        <w:tc>
          <w:tcPr>
            <w:tcW w:w="1606" w:type="dxa"/>
            <w:tcBorders>
              <w:top w:val="nil"/>
            </w:tcBorders>
            <w:noWrap/>
            <w:vAlign w:val="bottom"/>
          </w:tcPr>
          <w:p w14:paraId="05BADB15" w14:textId="7149BF81" w:rsidR="0069611A" w:rsidRDefault="00C47219"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250</w:t>
            </w:r>
            <w:r w:rsidR="0069611A">
              <w:rPr>
                <w:rFonts w:ascii="Arial" w:hAnsi="Arial"/>
                <w:color w:val="595959"/>
                <w:szCs w:val="16"/>
              </w:rPr>
              <w:t>,000</w:t>
            </w:r>
          </w:p>
        </w:tc>
        <w:tc>
          <w:tcPr>
            <w:tcW w:w="1607" w:type="dxa"/>
            <w:tcBorders>
              <w:top w:val="nil"/>
            </w:tcBorders>
            <w:vAlign w:val="bottom"/>
          </w:tcPr>
          <w:p w14:paraId="6C7371C5" w14:textId="3CB07399" w:rsidR="0069611A" w:rsidRDefault="00C47219"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93</w:t>
            </w:r>
            <w:r w:rsidR="0069611A">
              <w:rPr>
                <w:rFonts w:ascii="Arial" w:hAnsi="Arial"/>
                <w:color w:val="595959"/>
                <w:szCs w:val="16"/>
              </w:rPr>
              <w:t>%</w:t>
            </w:r>
          </w:p>
        </w:tc>
      </w:tr>
    </w:tbl>
    <w:p w14:paraId="3A9B5F6A" w14:textId="4885E8E0" w:rsidR="000E7587" w:rsidRDefault="000E7587" w:rsidP="00964D65">
      <w:pPr>
        <w:pStyle w:val="PwCNormal"/>
        <w:numPr>
          <w:ilvl w:val="0"/>
          <w:numId w:val="33"/>
        </w:numPr>
      </w:pPr>
      <w:r w:rsidRPr="00434AE3">
        <w:t xml:space="preserve">From the </w:t>
      </w:r>
      <w:r>
        <w:t>table</w:t>
      </w:r>
      <w:r w:rsidRPr="00434AE3">
        <w:t>, we can see that</w:t>
      </w:r>
      <w:r>
        <w:t xml:space="preserve"> for the current cohort of 20</w:t>
      </w:r>
      <w:r w:rsidR="00710E45">
        <w:t xml:space="preserve"> to </w:t>
      </w:r>
      <w:r>
        <w:t>2</w:t>
      </w:r>
      <w:r w:rsidR="00E133E7">
        <w:t>5</w:t>
      </w:r>
      <w:r>
        <w:t xml:space="preserve"> year old </w:t>
      </w:r>
      <w:r w:rsidR="0049533C">
        <w:t>W</w:t>
      </w:r>
      <w:r>
        <w:t xml:space="preserve">orking </w:t>
      </w:r>
      <w:r w:rsidR="0049533C">
        <w:t xml:space="preserve">Age </w:t>
      </w:r>
      <w:r>
        <w:t>payment recipients:</w:t>
      </w:r>
    </w:p>
    <w:p w14:paraId="75A84244" w14:textId="7CF1A72A" w:rsidR="000E7587" w:rsidRDefault="000E7587" w:rsidP="000E7587">
      <w:pPr>
        <w:pStyle w:val="ListBullet"/>
      </w:pPr>
      <w:r>
        <w:t xml:space="preserve">Those with an active exemption </w:t>
      </w:r>
      <w:r w:rsidR="001D28C2" w:rsidRPr="001D28C2">
        <w:t>from mutual obligations</w:t>
      </w:r>
      <w:r w:rsidR="001D28C2">
        <w:t xml:space="preserve"> </w:t>
      </w:r>
      <w:r>
        <w:t xml:space="preserve">from undertaking job searching activities at the end of the year have significantly higher lifetime costs than those without such an exemption. </w:t>
      </w:r>
    </w:p>
    <w:p w14:paraId="530325F6" w14:textId="24CCEA3C" w:rsidR="000E7587" w:rsidRDefault="000E7587" w:rsidP="000E7587">
      <w:pPr>
        <w:pStyle w:val="ListBullet"/>
      </w:pPr>
      <w:r>
        <w:t>T</w:t>
      </w:r>
      <w:r w:rsidRPr="00434AE3">
        <w:t xml:space="preserve">hose </w:t>
      </w:r>
      <w:r w:rsidRPr="009856D5">
        <w:t xml:space="preserve">on Sickness Allowance have a significantly lower cost than the overall average in this class (which is predominantly people on Newstart), possibly reflecting the temporary nature of this payment type. Youth Allowance </w:t>
      </w:r>
      <w:r w:rsidR="00010A4B">
        <w:t>recipients are also seen</w:t>
      </w:r>
      <w:r w:rsidRPr="009856D5">
        <w:t xml:space="preserve"> to have a lower average cost compared to Newstart</w:t>
      </w:r>
      <w:r w:rsidR="00010A4B">
        <w:t xml:space="preserve"> recipients</w:t>
      </w:r>
      <w:r w:rsidRPr="009856D5">
        <w:t>.</w:t>
      </w:r>
      <w:r w:rsidR="00010A4B">
        <w:t xml:space="preserve"> This could be partially related to the average age for Youth Allowance recipients being lower.</w:t>
      </w:r>
    </w:p>
    <w:p w14:paraId="3AD42090" w14:textId="77777777" w:rsidR="000E7587" w:rsidRDefault="000E7587" w:rsidP="000E7587">
      <w:pPr>
        <w:pStyle w:val="ListBullet"/>
      </w:pPr>
      <w:r>
        <w:t>Those with more children, no earnings in the year or lower levels of educational attainment tend to have higher average lifetime costs.</w:t>
      </w:r>
    </w:p>
    <w:p w14:paraId="44788DC1" w14:textId="76F2181D" w:rsidR="00A703D8" w:rsidRPr="0057506F" w:rsidRDefault="000E7587" w:rsidP="00964D65">
      <w:pPr>
        <w:pStyle w:val="PwCNormal"/>
        <w:numPr>
          <w:ilvl w:val="0"/>
          <w:numId w:val="33"/>
        </w:numPr>
      </w:pPr>
      <w:r>
        <w:lastRenderedPageBreak/>
        <w:t>Those with higher levels of parental welfare dependence tend to have higher levels of welfare dependence in their own right.</w:t>
      </w:r>
    </w:p>
    <w:p w14:paraId="04CE927D" w14:textId="77777777" w:rsidR="00B51738" w:rsidRPr="00AB644B" w:rsidRDefault="00B51738" w:rsidP="00B51738">
      <w:pPr>
        <w:pStyle w:val="Minorheading"/>
      </w:pPr>
      <w:r w:rsidRPr="00AB644B">
        <w:t xml:space="preserve">Change in lifetime costs since the </w:t>
      </w:r>
      <w:r>
        <w:t>2016</w:t>
      </w:r>
      <w:r w:rsidRPr="00AB644B">
        <w:t xml:space="preserve"> valuation</w:t>
      </w:r>
    </w:p>
    <w:p w14:paraId="03D66DBA" w14:textId="39D3A732" w:rsidR="00B51738" w:rsidRPr="00AB644B" w:rsidRDefault="00B51738" w:rsidP="00B51738">
      <w:pPr>
        <w:pStyle w:val="PwCNormal"/>
        <w:numPr>
          <w:ilvl w:val="0"/>
          <w:numId w:val="0"/>
        </w:numPr>
      </w:pPr>
      <w:r w:rsidRPr="00AB644B">
        <w:t xml:space="preserve">The lifetime cost for the people in this class </w:t>
      </w:r>
      <w:r w:rsidR="002B231E">
        <w:t>is</w:t>
      </w:r>
      <w:r w:rsidRPr="00AB644B">
        <w:t xml:space="preserve"> $411bn</w:t>
      </w:r>
      <w:r w:rsidR="002B231E">
        <w:t xml:space="preserve">, an </w:t>
      </w:r>
      <w:r w:rsidRPr="00AB644B">
        <w:t>increase</w:t>
      </w:r>
      <w:r w:rsidR="002B231E">
        <w:t xml:space="preserve"> of </w:t>
      </w:r>
      <w:r w:rsidRPr="00AB644B">
        <w:t>$10bn compared to the June 2016 valuation. This was driven by an increase in the average cost:</w:t>
      </w:r>
    </w:p>
    <w:p w14:paraId="543C2168" w14:textId="140BB0D9" w:rsidR="00B51738" w:rsidRPr="00AB644B" w:rsidRDefault="00B51738" w:rsidP="002757B8">
      <w:pPr>
        <w:pStyle w:val="ListBullet"/>
      </w:pPr>
      <w:r w:rsidRPr="00AB644B">
        <w:t>The average cost has increased by $</w:t>
      </w:r>
      <w:r w:rsidR="00D1390A">
        <w:t>11</w:t>
      </w:r>
      <w:r w:rsidRPr="00AB644B">
        <w:t>,000 (</w:t>
      </w:r>
      <w:r w:rsidR="00D1390A">
        <w:t>3.7</w:t>
      </w:r>
      <w:r w:rsidRPr="00AB644B">
        <w:t>%) since the previous valuation. The following table provides a breakdown of the change in average lifetime cost by grouped payment category.</w:t>
      </w:r>
    </w:p>
    <w:p w14:paraId="21DA6C66" w14:textId="5443C14D" w:rsidR="00B51738" w:rsidRPr="00AB644B" w:rsidRDefault="00B51738" w:rsidP="00B51738">
      <w:pPr>
        <w:pStyle w:val="Caption"/>
      </w:pPr>
      <w:r w:rsidRPr="00AB644B">
        <w:t xml:space="preserve">Table </w:t>
      </w:r>
      <w:fldSimple w:instr=" SEQ Table \* ARABIC ">
        <w:r w:rsidR="00C93C1A">
          <w:rPr>
            <w:noProof/>
          </w:rPr>
          <w:t>25</w:t>
        </w:r>
      </w:fldSimple>
      <w:r w:rsidRPr="00AB644B">
        <w:t xml:space="preserve">: Breakdown of change in average lifetime cost for </w:t>
      </w:r>
      <w:r w:rsidR="00871E70">
        <w:t>c</w:t>
      </w:r>
      <w:r w:rsidRPr="00AB644B">
        <w:t>lass 2 by payment category</w:t>
      </w:r>
    </w:p>
    <w:tbl>
      <w:tblPr>
        <w:tblStyle w:val="ListTable3-Accent62"/>
        <w:tblW w:w="9781" w:type="dxa"/>
        <w:tblInd w:w="108" w:type="dxa"/>
        <w:tblLayout w:type="fixed"/>
        <w:tblCellMar>
          <w:left w:w="57" w:type="dxa"/>
          <w:right w:w="57" w:type="dxa"/>
        </w:tblCellMar>
        <w:tblLook w:val="04A0" w:firstRow="1" w:lastRow="0" w:firstColumn="1" w:lastColumn="0" w:noHBand="0" w:noVBand="1"/>
        <w:tblCaption w:val=" Breakdown of change in average lifetime cost for Class 2 by payment category"/>
        <w:tblDescription w:val="This table shows the breakdown of the total change in average lifetime cost for Class 2 into; change in people in class, change in inflation, policy changes and other changes. These are shown as rows in the table.&#10;&#10;The changes in lifetime cost are considered by relevant payment categories for Class 2; IS Working Age, IS Other (excluding the pension), IS Age Pension, Non IS Family Supplements and Non IS Other Supplements. These are shown as columns in the table alongside a total change column.&#10;&#10;Further features of the data in this table are discussed in the accompanying text within the report.&#10;"/>
      </w:tblPr>
      <w:tblGrid>
        <w:gridCol w:w="3119"/>
        <w:gridCol w:w="1276"/>
        <w:gridCol w:w="992"/>
        <w:gridCol w:w="992"/>
        <w:gridCol w:w="992"/>
        <w:gridCol w:w="1205"/>
        <w:gridCol w:w="1205"/>
      </w:tblGrid>
      <w:tr w:rsidR="00B51738" w:rsidRPr="009210D0" w14:paraId="3F454AC5"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537D41D2" w14:textId="77777777" w:rsidR="00B51738" w:rsidRPr="00AB644B" w:rsidRDefault="00B51738" w:rsidP="009E7C59">
            <w:pPr>
              <w:pStyle w:val="TableTextSmall"/>
              <w:keepNext/>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0752FB0C" w14:textId="77777777" w:rsidR="00B51738" w:rsidRPr="00AB644B"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992" w:type="dxa"/>
            <w:tcBorders>
              <w:left w:val="single" w:sz="4" w:space="0" w:color="FFFFFF" w:themeColor="background1"/>
              <w:bottom w:val="single" w:sz="4" w:space="0" w:color="FFFFFF" w:themeColor="background1"/>
              <w:right w:val="nil"/>
            </w:tcBorders>
          </w:tcPr>
          <w:p w14:paraId="1575A21A" w14:textId="77777777" w:rsidR="00B51738" w:rsidRPr="00AB644B"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p>
        </w:tc>
        <w:tc>
          <w:tcPr>
            <w:tcW w:w="992" w:type="dxa"/>
            <w:tcBorders>
              <w:left w:val="nil"/>
              <w:bottom w:val="single" w:sz="4" w:space="0" w:color="FFFFFF" w:themeColor="background1"/>
              <w:right w:val="nil"/>
            </w:tcBorders>
          </w:tcPr>
          <w:p w14:paraId="5CD86F66" w14:textId="77777777" w:rsidR="00B51738" w:rsidRPr="00AB644B"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rPr>
            </w:pPr>
            <w:r w:rsidRPr="00AB644B">
              <w:rPr>
                <w:rFonts w:asciiTheme="majorHAnsi" w:hAnsiTheme="majorHAnsi"/>
                <w:color w:val="FFFFFF" w:themeColor="background1"/>
              </w:rPr>
              <w:t>IS</w:t>
            </w:r>
          </w:p>
        </w:tc>
        <w:tc>
          <w:tcPr>
            <w:tcW w:w="992" w:type="dxa"/>
            <w:tcBorders>
              <w:left w:val="nil"/>
              <w:bottom w:val="single" w:sz="4" w:space="0" w:color="FFFFFF" w:themeColor="background1"/>
              <w:right w:val="single" w:sz="4" w:space="0" w:color="FFFFFF" w:themeColor="background1"/>
            </w:tcBorders>
          </w:tcPr>
          <w:p w14:paraId="76367F7B" w14:textId="77777777" w:rsidR="00B51738" w:rsidRPr="00AB644B"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05" w:type="dxa"/>
            <w:tcBorders>
              <w:left w:val="single" w:sz="4" w:space="0" w:color="FFFFFF" w:themeColor="background1"/>
              <w:bottom w:val="single" w:sz="4" w:space="0" w:color="FFFFFF" w:themeColor="background1"/>
            </w:tcBorders>
          </w:tcPr>
          <w:p w14:paraId="23C59350" w14:textId="77777777" w:rsidR="00B51738" w:rsidRPr="00AB644B" w:rsidRDefault="00B51738" w:rsidP="009E7C59">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AB644B">
              <w:rPr>
                <w:rFonts w:asciiTheme="majorHAnsi" w:hAnsiTheme="majorHAnsi"/>
                <w:color w:val="FFFFFF" w:themeColor="background1"/>
              </w:rPr>
              <w:t>Non</w:t>
            </w:r>
          </w:p>
        </w:tc>
        <w:tc>
          <w:tcPr>
            <w:tcW w:w="1205" w:type="dxa"/>
            <w:tcBorders>
              <w:bottom w:val="single" w:sz="4" w:space="0" w:color="FFFFFF" w:themeColor="background1"/>
            </w:tcBorders>
          </w:tcPr>
          <w:p w14:paraId="6DB120D4" w14:textId="77777777" w:rsidR="00B51738" w:rsidRPr="00AB644B" w:rsidRDefault="00B51738" w:rsidP="009E7C59">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AB644B">
              <w:rPr>
                <w:rFonts w:asciiTheme="majorHAnsi" w:hAnsiTheme="majorHAnsi"/>
                <w:color w:val="FFFFFF" w:themeColor="background1"/>
              </w:rPr>
              <w:t>IS</w:t>
            </w:r>
          </w:p>
        </w:tc>
      </w:tr>
      <w:tr w:rsidR="00B51738" w:rsidRPr="009210D0" w14:paraId="3C9527DB"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605234D1" w14:textId="77777777" w:rsidR="00B51738" w:rsidRPr="00AB644B" w:rsidRDefault="00B51738" w:rsidP="009E7C59">
            <w:pPr>
              <w:pStyle w:val="TableTextSmall"/>
              <w:keepNext/>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4CC11A2E" w14:textId="77777777" w:rsidR="00B51738" w:rsidRPr="00AB644B"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AB644B">
              <w:rPr>
                <w:rFonts w:asciiTheme="majorHAnsi" w:hAnsiTheme="majorHAnsi"/>
                <w:color w:val="FFFFFF" w:themeColor="background1"/>
              </w:rPr>
              <w:t>Total</w:t>
            </w:r>
          </w:p>
        </w:tc>
        <w:tc>
          <w:tcPr>
            <w:tcW w:w="992" w:type="dxa"/>
            <w:tcBorders>
              <w:top w:val="single" w:sz="4" w:space="0" w:color="FFFFFF" w:themeColor="background1"/>
              <w:left w:val="single" w:sz="4" w:space="0" w:color="FFFFFF" w:themeColor="background1"/>
              <w:bottom w:val="single" w:sz="4" w:space="0" w:color="E0301E" w:themeColor="accent6"/>
            </w:tcBorders>
          </w:tcPr>
          <w:p w14:paraId="271631E7" w14:textId="77777777" w:rsidR="00B51738" w:rsidRPr="00AB644B"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AB644B">
              <w:rPr>
                <w:rFonts w:asciiTheme="majorHAnsi" w:hAnsiTheme="majorHAnsi"/>
                <w:color w:val="FFFFFF" w:themeColor="background1"/>
              </w:rPr>
              <w:t>Working Age</w:t>
            </w:r>
          </w:p>
        </w:tc>
        <w:tc>
          <w:tcPr>
            <w:tcW w:w="992" w:type="dxa"/>
            <w:tcBorders>
              <w:top w:val="single" w:sz="4" w:space="0" w:color="FFFFFF" w:themeColor="background1"/>
              <w:bottom w:val="single" w:sz="4" w:space="0" w:color="E0301E" w:themeColor="accent6"/>
            </w:tcBorders>
          </w:tcPr>
          <w:p w14:paraId="19852092" w14:textId="77777777" w:rsidR="00B51738" w:rsidRPr="00AB644B"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AB644B">
              <w:rPr>
                <w:rFonts w:asciiTheme="majorHAnsi" w:hAnsiTheme="majorHAnsi"/>
                <w:color w:val="FFFFFF" w:themeColor="background1"/>
              </w:rPr>
              <w:t>Other</w:t>
            </w:r>
            <w:r w:rsidRPr="00AB644B">
              <w:rPr>
                <w:rFonts w:asciiTheme="majorHAnsi" w:hAnsiTheme="majorHAnsi"/>
                <w:color w:val="FFFFFF" w:themeColor="background1"/>
              </w:rPr>
              <w:br/>
              <w:t>(excl. Age Pension)</w:t>
            </w:r>
          </w:p>
        </w:tc>
        <w:tc>
          <w:tcPr>
            <w:tcW w:w="992" w:type="dxa"/>
            <w:tcBorders>
              <w:top w:val="single" w:sz="4" w:space="0" w:color="FFFFFF" w:themeColor="background1"/>
              <w:bottom w:val="single" w:sz="4" w:space="0" w:color="E0301E" w:themeColor="accent6"/>
              <w:right w:val="single" w:sz="4" w:space="0" w:color="FFFFFF" w:themeColor="background1"/>
            </w:tcBorders>
          </w:tcPr>
          <w:p w14:paraId="233F369D" w14:textId="77777777" w:rsidR="00B51738" w:rsidRPr="00AB644B"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AB644B">
              <w:rPr>
                <w:rFonts w:asciiTheme="majorHAnsi" w:hAnsiTheme="majorHAnsi"/>
                <w:color w:val="FFFFFF" w:themeColor="background1"/>
              </w:rPr>
              <w:t>Age Pension</w:t>
            </w:r>
          </w:p>
        </w:tc>
        <w:tc>
          <w:tcPr>
            <w:tcW w:w="1205" w:type="dxa"/>
            <w:tcBorders>
              <w:top w:val="single" w:sz="4" w:space="0" w:color="FFFFFF" w:themeColor="background1"/>
              <w:left w:val="single" w:sz="4" w:space="0" w:color="FFFFFF" w:themeColor="background1"/>
              <w:bottom w:val="single" w:sz="4" w:space="0" w:color="E0301E" w:themeColor="accent6"/>
            </w:tcBorders>
          </w:tcPr>
          <w:p w14:paraId="4B1EFA01" w14:textId="77777777" w:rsidR="00B51738" w:rsidRPr="00AB644B"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AB644B">
              <w:rPr>
                <w:rFonts w:asciiTheme="majorHAnsi" w:hAnsiTheme="majorHAnsi"/>
                <w:color w:val="FFFFFF" w:themeColor="background1"/>
              </w:rPr>
              <w:t>Family Supplements</w:t>
            </w:r>
          </w:p>
        </w:tc>
        <w:tc>
          <w:tcPr>
            <w:tcW w:w="1205" w:type="dxa"/>
            <w:tcBorders>
              <w:top w:val="single" w:sz="4" w:space="0" w:color="FFFFFF" w:themeColor="background1"/>
              <w:bottom w:val="single" w:sz="4" w:space="0" w:color="E0301E" w:themeColor="accent6"/>
            </w:tcBorders>
          </w:tcPr>
          <w:p w14:paraId="7E69D173" w14:textId="77777777" w:rsidR="00B51738" w:rsidRPr="00AB644B"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AB644B">
              <w:rPr>
                <w:rFonts w:asciiTheme="majorHAnsi" w:hAnsiTheme="majorHAnsi"/>
                <w:color w:val="FFFFFF" w:themeColor="background1"/>
              </w:rPr>
              <w:t>Other Supplements</w:t>
            </w:r>
          </w:p>
        </w:tc>
      </w:tr>
      <w:tr w:rsidR="00F5517B" w:rsidRPr="009210D0" w14:paraId="193EDB51"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4126D8CC" w14:textId="77777777" w:rsidR="00F5517B" w:rsidRPr="00AB644B" w:rsidRDefault="00F5517B" w:rsidP="00F5517B">
            <w:pPr>
              <w:pStyle w:val="TableTextSmall"/>
              <w:keepNext/>
            </w:pPr>
            <w:r>
              <w:t>Jun-16</w:t>
            </w:r>
            <w:r w:rsidRPr="00AB644B">
              <w:t xml:space="preserve"> Total Lifetime Cost</w:t>
            </w:r>
          </w:p>
        </w:tc>
        <w:tc>
          <w:tcPr>
            <w:tcW w:w="1276" w:type="dxa"/>
            <w:tcBorders>
              <w:left w:val="single" w:sz="4" w:space="0" w:color="E0301E" w:themeColor="accent6"/>
              <w:bottom w:val="nil"/>
              <w:right w:val="single" w:sz="4" w:space="0" w:color="E0301E" w:themeColor="accent6"/>
            </w:tcBorders>
          </w:tcPr>
          <w:p w14:paraId="0A57D497" w14:textId="431894E6" w:rsidR="00F5517B" w:rsidRPr="00AB644B"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794A37">
              <w:t>$401bn</w:t>
            </w:r>
          </w:p>
        </w:tc>
        <w:tc>
          <w:tcPr>
            <w:tcW w:w="992" w:type="dxa"/>
            <w:tcBorders>
              <w:left w:val="single" w:sz="4" w:space="0" w:color="E0301E" w:themeColor="accent6"/>
              <w:bottom w:val="nil"/>
            </w:tcBorders>
            <w:shd w:val="clear" w:color="auto" w:fill="D9D9D9" w:themeFill="background1" w:themeFillShade="D9"/>
          </w:tcPr>
          <w:p w14:paraId="66836D75" w14:textId="77777777" w:rsidR="00F5517B" w:rsidRPr="00AB644B"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bottom w:val="nil"/>
            </w:tcBorders>
            <w:shd w:val="clear" w:color="auto" w:fill="D9D9D9" w:themeFill="background1" w:themeFillShade="D9"/>
          </w:tcPr>
          <w:p w14:paraId="5B0B2214" w14:textId="77777777" w:rsidR="00F5517B" w:rsidRPr="00AB644B"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bottom w:val="nil"/>
              <w:right w:val="nil"/>
            </w:tcBorders>
            <w:shd w:val="clear" w:color="auto" w:fill="D9D9D9" w:themeFill="background1" w:themeFillShade="D9"/>
          </w:tcPr>
          <w:p w14:paraId="55274DC7" w14:textId="77777777" w:rsidR="00F5517B" w:rsidRPr="00AB644B"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left w:val="nil"/>
              <w:bottom w:val="nil"/>
            </w:tcBorders>
            <w:shd w:val="clear" w:color="auto" w:fill="D9D9D9" w:themeFill="background1" w:themeFillShade="D9"/>
          </w:tcPr>
          <w:p w14:paraId="5FDFB670" w14:textId="77777777" w:rsidR="00F5517B" w:rsidRPr="00AB644B"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bottom w:val="nil"/>
            </w:tcBorders>
            <w:shd w:val="clear" w:color="auto" w:fill="D9D9D9" w:themeFill="background1" w:themeFillShade="D9"/>
          </w:tcPr>
          <w:p w14:paraId="2466DD27" w14:textId="77777777" w:rsidR="00F5517B" w:rsidRPr="00AB644B"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r>
      <w:tr w:rsidR="00F5517B" w:rsidRPr="009210D0" w14:paraId="32A85C05"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1B70641B" w14:textId="77777777" w:rsidR="00F5517B" w:rsidRPr="00AB644B" w:rsidRDefault="00F5517B" w:rsidP="00F5517B">
            <w:pPr>
              <w:pStyle w:val="TableTextSmall"/>
              <w:keepNext/>
            </w:pPr>
            <w:r>
              <w:t>Jun-17</w:t>
            </w:r>
            <w:r w:rsidRPr="00AB644B">
              <w:t xml:space="preserve">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tcPr>
          <w:p w14:paraId="41BD23B2" w14:textId="21151E50" w:rsidR="00F5517B" w:rsidRPr="00AB644B"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794A37">
              <w:t>$411bn</w:t>
            </w:r>
          </w:p>
        </w:tc>
        <w:tc>
          <w:tcPr>
            <w:tcW w:w="992" w:type="dxa"/>
            <w:tcBorders>
              <w:top w:val="nil"/>
              <w:left w:val="single" w:sz="4" w:space="0" w:color="E0301E" w:themeColor="accent6"/>
              <w:bottom w:val="nil"/>
            </w:tcBorders>
            <w:shd w:val="clear" w:color="auto" w:fill="D9D9D9" w:themeFill="background1" w:themeFillShade="D9"/>
          </w:tcPr>
          <w:p w14:paraId="100F2CDF" w14:textId="77777777" w:rsidR="00F5517B" w:rsidRPr="00AB644B"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D9D9D9" w:themeFill="background1" w:themeFillShade="D9"/>
          </w:tcPr>
          <w:p w14:paraId="31392C3F" w14:textId="77777777" w:rsidR="00F5517B" w:rsidRPr="00AB644B"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tcPr>
          <w:p w14:paraId="7963406E" w14:textId="77777777" w:rsidR="00F5517B" w:rsidRPr="00AB644B"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tcPr>
          <w:p w14:paraId="6FABAA1A" w14:textId="77777777" w:rsidR="00F5517B" w:rsidRPr="00AB644B"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nil"/>
            </w:tcBorders>
            <w:shd w:val="clear" w:color="auto" w:fill="D9D9D9" w:themeFill="background1" w:themeFillShade="D9"/>
          </w:tcPr>
          <w:p w14:paraId="27A9A840" w14:textId="77777777" w:rsidR="00F5517B" w:rsidRPr="00AB644B"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r>
      <w:tr w:rsidR="00F5517B" w:rsidRPr="009210D0" w14:paraId="2DC34D3D"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7FDEEB34" w14:textId="77777777" w:rsidR="00F5517B" w:rsidRPr="00AB644B" w:rsidRDefault="00F5517B" w:rsidP="00F5517B">
            <w:pPr>
              <w:pStyle w:val="TableTextSmall"/>
              <w:keepNext/>
            </w:pPr>
            <w:r w:rsidRPr="00AB644B">
              <w:t>Change in Total Lifetime Cost</w:t>
            </w:r>
          </w:p>
        </w:tc>
        <w:tc>
          <w:tcPr>
            <w:tcW w:w="1276" w:type="dxa"/>
            <w:tcBorders>
              <w:left w:val="single" w:sz="4" w:space="0" w:color="E0301E" w:themeColor="accent6"/>
              <w:bottom w:val="nil"/>
              <w:right w:val="single" w:sz="4" w:space="0" w:color="E0301E" w:themeColor="accent6"/>
            </w:tcBorders>
          </w:tcPr>
          <w:p w14:paraId="25F21D5B" w14:textId="4238A5F9" w:rsidR="00F5517B" w:rsidRPr="00AB644B"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794A37">
              <w:t>+$10bn (+2.5%)</w:t>
            </w:r>
          </w:p>
        </w:tc>
        <w:tc>
          <w:tcPr>
            <w:tcW w:w="992" w:type="dxa"/>
            <w:tcBorders>
              <w:top w:val="nil"/>
              <w:left w:val="single" w:sz="4" w:space="0" w:color="E0301E" w:themeColor="accent6"/>
              <w:bottom w:val="nil"/>
            </w:tcBorders>
            <w:shd w:val="clear" w:color="auto" w:fill="D9D9D9" w:themeFill="background1" w:themeFillShade="D9"/>
          </w:tcPr>
          <w:p w14:paraId="545D0273" w14:textId="77777777" w:rsidR="00F5517B" w:rsidRPr="00AB644B"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tcBorders>
            <w:shd w:val="clear" w:color="auto" w:fill="D9D9D9" w:themeFill="background1" w:themeFillShade="D9"/>
          </w:tcPr>
          <w:p w14:paraId="0F33E02E" w14:textId="77777777" w:rsidR="00F5517B" w:rsidRPr="00AB644B"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tcPr>
          <w:p w14:paraId="542BF57D" w14:textId="77777777" w:rsidR="00F5517B" w:rsidRPr="00AB644B"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tcPr>
          <w:p w14:paraId="35759FC4" w14:textId="77777777" w:rsidR="00F5517B" w:rsidRPr="00AB644B"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bottom w:val="nil"/>
            </w:tcBorders>
            <w:shd w:val="clear" w:color="auto" w:fill="D9D9D9" w:themeFill="background1" w:themeFillShade="D9"/>
          </w:tcPr>
          <w:p w14:paraId="7C7EF67E" w14:textId="77777777" w:rsidR="00F5517B" w:rsidRPr="00AB644B"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r>
      <w:tr w:rsidR="00F5517B" w:rsidRPr="009210D0" w14:paraId="4FF5D2DE"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3876F49A" w14:textId="77777777" w:rsidR="00F5517B" w:rsidRPr="00AB644B" w:rsidRDefault="00F5517B" w:rsidP="00F5517B">
            <w:pPr>
              <w:pStyle w:val="TableTextSmall"/>
              <w:keepNext/>
            </w:pPr>
            <w:r w:rsidRPr="003719FC">
              <w:t xml:space="preserve">Change due to </w:t>
            </w:r>
            <w:r>
              <w:t>People in Class</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tcPr>
          <w:p w14:paraId="469290CF" w14:textId="1244232B" w:rsidR="00F5517B" w:rsidRPr="00AB644B"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794A37">
              <w:t>-1.2%</w:t>
            </w:r>
          </w:p>
        </w:tc>
        <w:tc>
          <w:tcPr>
            <w:tcW w:w="992" w:type="dxa"/>
            <w:tcBorders>
              <w:top w:val="nil"/>
              <w:left w:val="single" w:sz="4" w:space="0" w:color="E0301E" w:themeColor="accent6"/>
              <w:bottom w:val="single" w:sz="4" w:space="0" w:color="E0301E" w:themeColor="accent6"/>
            </w:tcBorders>
            <w:shd w:val="clear" w:color="auto" w:fill="D9D9D9" w:themeFill="background1" w:themeFillShade="D9"/>
          </w:tcPr>
          <w:p w14:paraId="7FCA3F5E" w14:textId="77777777" w:rsidR="00F5517B" w:rsidRPr="00AB644B"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tcBorders>
            <w:shd w:val="clear" w:color="auto" w:fill="D9D9D9" w:themeFill="background1" w:themeFillShade="D9"/>
          </w:tcPr>
          <w:p w14:paraId="0CEE081D" w14:textId="77777777" w:rsidR="00F5517B" w:rsidRPr="00AB644B"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right w:val="nil"/>
            </w:tcBorders>
            <w:shd w:val="clear" w:color="auto" w:fill="D9D9D9" w:themeFill="background1" w:themeFillShade="D9"/>
          </w:tcPr>
          <w:p w14:paraId="22BA09E4" w14:textId="77777777" w:rsidR="00F5517B" w:rsidRPr="00AB644B"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single" w:sz="4" w:space="0" w:color="E0301E" w:themeColor="accent6"/>
            </w:tcBorders>
            <w:shd w:val="clear" w:color="auto" w:fill="D9D9D9" w:themeFill="background1" w:themeFillShade="D9"/>
          </w:tcPr>
          <w:p w14:paraId="561A42FF" w14:textId="77777777" w:rsidR="00F5517B" w:rsidRPr="00AB644B"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single" w:sz="4" w:space="0" w:color="E0301E" w:themeColor="accent6"/>
            </w:tcBorders>
            <w:shd w:val="clear" w:color="auto" w:fill="D9D9D9" w:themeFill="background1" w:themeFillShade="D9"/>
          </w:tcPr>
          <w:p w14:paraId="4889224E" w14:textId="77777777" w:rsidR="00F5517B" w:rsidRPr="00AB644B"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r>
      <w:tr w:rsidR="00F5517B" w:rsidRPr="009210D0" w14:paraId="7B06E16C"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24A761E5" w14:textId="77777777" w:rsidR="00F5517B" w:rsidRPr="00AB644B" w:rsidRDefault="00F5517B" w:rsidP="00F5517B">
            <w:pPr>
              <w:pStyle w:val="TableTextSmall"/>
              <w:keepNext/>
            </w:pPr>
            <w:r w:rsidRPr="00AB644B">
              <w:t>Change due to Average Lifetime Cost</w:t>
            </w:r>
          </w:p>
        </w:tc>
        <w:tc>
          <w:tcPr>
            <w:tcW w:w="1276" w:type="dxa"/>
            <w:tcBorders>
              <w:left w:val="single" w:sz="4" w:space="0" w:color="E0301E" w:themeColor="accent6"/>
              <w:bottom w:val="nil"/>
              <w:right w:val="single" w:sz="4" w:space="0" w:color="E0301E" w:themeColor="accent6"/>
            </w:tcBorders>
          </w:tcPr>
          <w:p w14:paraId="44636076" w14:textId="5B05D6B3" w:rsidR="00F5517B" w:rsidRPr="00AB644B"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794A37">
              <w:t>+$11k (+3.7%)</w:t>
            </w:r>
          </w:p>
        </w:tc>
        <w:tc>
          <w:tcPr>
            <w:tcW w:w="992" w:type="dxa"/>
            <w:tcBorders>
              <w:left w:val="single" w:sz="4" w:space="0" w:color="E0301E" w:themeColor="accent6"/>
              <w:bottom w:val="nil"/>
            </w:tcBorders>
          </w:tcPr>
          <w:p w14:paraId="337879A4" w14:textId="0A0A8612" w:rsidR="00F5517B" w:rsidRPr="00AB644B"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794A37">
              <w:t>+$5k</w:t>
            </w:r>
          </w:p>
        </w:tc>
        <w:tc>
          <w:tcPr>
            <w:tcW w:w="992" w:type="dxa"/>
            <w:tcBorders>
              <w:bottom w:val="nil"/>
            </w:tcBorders>
          </w:tcPr>
          <w:p w14:paraId="2FDF5C33" w14:textId="50C60960" w:rsidR="00F5517B" w:rsidRPr="00AB644B"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794A37">
              <w:t>-$7k</w:t>
            </w:r>
          </w:p>
        </w:tc>
        <w:tc>
          <w:tcPr>
            <w:tcW w:w="992" w:type="dxa"/>
            <w:tcBorders>
              <w:bottom w:val="nil"/>
              <w:right w:val="dashed" w:sz="4" w:space="0" w:color="E0301E" w:themeColor="accent6"/>
            </w:tcBorders>
          </w:tcPr>
          <w:p w14:paraId="26E0DF47" w14:textId="5862817D" w:rsidR="00F5517B" w:rsidRPr="00AB644B"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794A37">
              <w:t>+$11k</w:t>
            </w:r>
          </w:p>
        </w:tc>
        <w:tc>
          <w:tcPr>
            <w:tcW w:w="1205" w:type="dxa"/>
            <w:tcBorders>
              <w:left w:val="dashed" w:sz="4" w:space="0" w:color="E0301E" w:themeColor="accent6"/>
              <w:bottom w:val="nil"/>
            </w:tcBorders>
          </w:tcPr>
          <w:p w14:paraId="1BE27CF7" w14:textId="560E7B8A" w:rsidR="00F5517B" w:rsidRPr="00F5517B" w:rsidRDefault="00F5517B" w:rsidP="00F5517B">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517B">
              <w:rPr>
                <w:color w:val="A6A6A6" w:themeColor="background1" w:themeShade="A6"/>
              </w:rPr>
              <w:t>&lt;$1k</w:t>
            </w:r>
          </w:p>
        </w:tc>
        <w:tc>
          <w:tcPr>
            <w:tcW w:w="1205" w:type="dxa"/>
            <w:tcBorders>
              <w:bottom w:val="nil"/>
            </w:tcBorders>
          </w:tcPr>
          <w:p w14:paraId="5AE0BEDC" w14:textId="04A642E4" w:rsidR="00F5517B" w:rsidRPr="00F5517B" w:rsidRDefault="00F5517B" w:rsidP="00F5517B">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517B">
              <w:rPr>
                <w:color w:val="A6A6A6" w:themeColor="background1" w:themeShade="A6"/>
              </w:rPr>
              <w:t>&lt;$1k</w:t>
            </w:r>
          </w:p>
        </w:tc>
      </w:tr>
      <w:tr w:rsidR="00F5517B" w:rsidRPr="009210D0" w14:paraId="75176A01"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5202F4D4" w14:textId="77777777" w:rsidR="00F5517B" w:rsidRPr="00AB644B" w:rsidRDefault="00F5517B" w:rsidP="00F5517B">
            <w:pPr>
              <w:pStyle w:val="TableTextSmall"/>
              <w:keepNext/>
              <w:rPr>
                <w:b w:val="0"/>
              </w:rPr>
            </w:pPr>
            <w:r w:rsidRPr="00AB644B">
              <w:t>- Impact of change in inflation</w:t>
            </w:r>
          </w:p>
        </w:tc>
        <w:tc>
          <w:tcPr>
            <w:tcW w:w="1276" w:type="dxa"/>
            <w:tcBorders>
              <w:top w:val="nil"/>
              <w:left w:val="single" w:sz="4" w:space="0" w:color="E0301E" w:themeColor="accent6"/>
              <w:bottom w:val="nil"/>
              <w:right w:val="single" w:sz="4" w:space="0" w:color="E0301E" w:themeColor="accent6"/>
            </w:tcBorders>
          </w:tcPr>
          <w:p w14:paraId="567747F3" w14:textId="7960CB90" w:rsidR="00F5517B" w:rsidRPr="00AB644B"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794A37">
              <w:t>+$9k</w:t>
            </w:r>
          </w:p>
        </w:tc>
        <w:tc>
          <w:tcPr>
            <w:tcW w:w="992" w:type="dxa"/>
            <w:tcBorders>
              <w:top w:val="nil"/>
              <w:left w:val="single" w:sz="4" w:space="0" w:color="E0301E" w:themeColor="accent6"/>
              <w:bottom w:val="nil"/>
            </w:tcBorders>
          </w:tcPr>
          <w:p w14:paraId="39101470" w14:textId="116E4FFF"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F5517B">
              <w:rPr>
                <w:color w:val="A6A6A6" w:themeColor="background1" w:themeShade="A6"/>
              </w:rPr>
              <w:t>&lt;$1k</w:t>
            </w:r>
          </w:p>
        </w:tc>
        <w:tc>
          <w:tcPr>
            <w:tcW w:w="992" w:type="dxa"/>
            <w:tcBorders>
              <w:top w:val="nil"/>
              <w:bottom w:val="nil"/>
            </w:tcBorders>
          </w:tcPr>
          <w:p w14:paraId="38ECDA64" w14:textId="4FFFA6B4" w:rsidR="00F5517B" w:rsidRPr="00AB644B"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794A37">
              <w:t>+$2k</w:t>
            </w:r>
          </w:p>
        </w:tc>
        <w:tc>
          <w:tcPr>
            <w:tcW w:w="992" w:type="dxa"/>
            <w:tcBorders>
              <w:top w:val="nil"/>
              <w:bottom w:val="nil"/>
              <w:right w:val="dashed" w:sz="4" w:space="0" w:color="E0301E" w:themeColor="accent6"/>
            </w:tcBorders>
          </w:tcPr>
          <w:p w14:paraId="7182EFAA" w14:textId="1DAB22A8" w:rsidR="00F5517B" w:rsidRPr="00AB644B"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794A37">
              <w:t>+$4k</w:t>
            </w:r>
          </w:p>
        </w:tc>
        <w:tc>
          <w:tcPr>
            <w:tcW w:w="1205" w:type="dxa"/>
            <w:tcBorders>
              <w:top w:val="nil"/>
              <w:left w:val="dashed" w:sz="4" w:space="0" w:color="E0301E" w:themeColor="accent6"/>
              <w:bottom w:val="nil"/>
            </w:tcBorders>
          </w:tcPr>
          <w:p w14:paraId="47313595" w14:textId="495D43A6"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F5517B">
              <w:rPr>
                <w:color w:val="A6A6A6" w:themeColor="background1" w:themeShade="A6"/>
              </w:rPr>
              <w:t>&lt;$1k</w:t>
            </w:r>
          </w:p>
        </w:tc>
        <w:tc>
          <w:tcPr>
            <w:tcW w:w="1205" w:type="dxa"/>
            <w:tcBorders>
              <w:top w:val="nil"/>
              <w:bottom w:val="nil"/>
            </w:tcBorders>
          </w:tcPr>
          <w:p w14:paraId="45E17377" w14:textId="19F90F20"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F5517B">
              <w:rPr>
                <w:color w:val="A6A6A6" w:themeColor="background1" w:themeShade="A6"/>
              </w:rPr>
              <w:t>&lt;$1k</w:t>
            </w:r>
          </w:p>
        </w:tc>
      </w:tr>
      <w:tr w:rsidR="007C4F65" w:rsidRPr="009210D0" w14:paraId="40557073"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1E4A9709" w14:textId="77777777" w:rsidR="007C4F65" w:rsidRPr="00AB644B" w:rsidRDefault="007C4F65" w:rsidP="007C4F65">
            <w:pPr>
              <w:pStyle w:val="TableTextSmall"/>
              <w:keepNext/>
              <w:rPr>
                <w:b w:val="0"/>
              </w:rPr>
            </w:pPr>
            <w:r w:rsidRPr="00AB644B">
              <w:t>- Impact of policy changes</w:t>
            </w:r>
          </w:p>
        </w:tc>
        <w:tc>
          <w:tcPr>
            <w:tcW w:w="1276" w:type="dxa"/>
            <w:tcBorders>
              <w:top w:val="nil"/>
              <w:left w:val="single" w:sz="4" w:space="0" w:color="E0301E" w:themeColor="accent6"/>
              <w:bottom w:val="nil"/>
              <w:right w:val="single" w:sz="4" w:space="0" w:color="E0301E" w:themeColor="accent6"/>
            </w:tcBorders>
          </w:tcPr>
          <w:p w14:paraId="2E90F2B0" w14:textId="02C5ED9C"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517B">
              <w:rPr>
                <w:color w:val="A6A6A6" w:themeColor="background1" w:themeShade="A6"/>
              </w:rPr>
              <w:t>&lt;$1k</w:t>
            </w:r>
          </w:p>
        </w:tc>
        <w:tc>
          <w:tcPr>
            <w:tcW w:w="992" w:type="dxa"/>
            <w:tcBorders>
              <w:top w:val="nil"/>
              <w:left w:val="single" w:sz="4" w:space="0" w:color="E0301E" w:themeColor="accent6"/>
              <w:bottom w:val="nil"/>
            </w:tcBorders>
          </w:tcPr>
          <w:p w14:paraId="09BB092E" w14:textId="71E203D9"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E62526">
              <w:rPr>
                <w:color w:val="A6A6A6" w:themeColor="background1" w:themeShade="A6"/>
              </w:rPr>
              <w:t>&lt;$1k</w:t>
            </w:r>
          </w:p>
        </w:tc>
        <w:tc>
          <w:tcPr>
            <w:tcW w:w="992" w:type="dxa"/>
            <w:tcBorders>
              <w:top w:val="nil"/>
              <w:bottom w:val="nil"/>
            </w:tcBorders>
          </w:tcPr>
          <w:p w14:paraId="675BE8E0" w14:textId="3E576A28"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E62526">
              <w:rPr>
                <w:color w:val="A6A6A6" w:themeColor="background1" w:themeShade="A6"/>
              </w:rPr>
              <w:t>&lt;$1k</w:t>
            </w:r>
          </w:p>
        </w:tc>
        <w:tc>
          <w:tcPr>
            <w:tcW w:w="992" w:type="dxa"/>
            <w:tcBorders>
              <w:top w:val="nil"/>
              <w:bottom w:val="nil"/>
              <w:right w:val="dashed" w:sz="4" w:space="0" w:color="E0301E" w:themeColor="accent6"/>
            </w:tcBorders>
          </w:tcPr>
          <w:p w14:paraId="4C01B7EF" w14:textId="4F4C5BA8"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E62526">
              <w:rPr>
                <w:color w:val="A6A6A6" w:themeColor="background1" w:themeShade="A6"/>
              </w:rPr>
              <w:t>&lt;$1k</w:t>
            </w:r>
          </w:p>
        </w:tc>
        <w:tc>
          <w:tcPr>
            <w:tcW w:w="1205" w:type="dxa"/>
            <w:tcBorders>
              <w:top w:val="nil"/>
              <w:left w:val="dashed" w:sz="4" w:space="0" w:color="E0301E" w:themeColor="accent6"/>
              <w:bottom w:val="nil"/>
            </w:tcBorders>
          </w:tcPr>
          <w:p w14:paraId="78FA2E80" w14:textId="25552E8E"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E62526">
              <w:rPr>
                <w:color w:val="A6A6A6" w:themeColor="background1" w:themeShade="A6"/>
              </w:rPr>
              <w:t>&lt;$1k</w:t>
            </w:r>
          </w:p>
        </w:tc>
        <w:tc>
          <w:tcPr>
            <w:tcW w:w="1205" w:type="dxa"/>
            <w:tcBorders>
              <w:top w:val="nil"/>
              <w:bottom w:val="nil"/>
            </w:tcBorders>
          </w:tcPr>
          <w:p w14:paraId="30D6ED2C" w14:textId="08EA88AF"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E62526">
              <w:rPr>
                <w:color w:val="A6A6A6" w:themeColor="background1" w:themeShade="A6"/>
              </w:rPr>
              <w:t>&lt;$1k</w:t>
            </w:r>
          </w:p>
        </w:tc>
      </w:tr>
      <w:tr w:rsidR="00F5517B" w:rsidRPr="009210D0" w14:paraId="3E24F638"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28C7BFD9" w14:textId="77777777" w:rsidR="00F5517B" w:rsidRPr="00AB644B" w:rsidRDefault="00F5517B" w:rsidP="00F5517B">
            <w:pPr>
              <w:pStyle w:val="TableTextSmall"/>
              <w:rPr>
                <w:b w:val="0"/>
              </w:rPr>
            </w:pPr>
            <w:r w:rsidRPr="00AB644B">
              <w:t>- Impact of other changes</w:t>
            </w:r>
          </w:p>
        </w:tc>
        <w:tc>
          <w:tcPr>
            <w:tcW w:w="1276" w:type="dxa"/>
            <w:tcBorders>
              <w:top w:val="nil"/>
              <w:left w:val="single" w:sz="4" w:space="0" w:color="E0301E" w:themeColor="accent6"/>
              <w:right w:val="single" w:sz="4" w:space="0" w:color="E0301E" w:themeColor="accent6"/>
            </w:tcBorders>
          </w:tcPr>
          <w:p w14:paraId="1217BA08" w14:textId="288A50EE" w:rsidR="00F5517B" w:rsidRPr="00AB644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pPr>
            <w:r w:rsidRPr="00794A37">
              <w:t>+$3k</w:t>
            </w:r>
          </w:p>
        </w:tc>
        <w:tc>
          <w:tcPr>
            <w:tcW w:w="992" w:type="dxa"/>
            <w:tcBorders>
              <w:top w:val="nil"/>
              <w:left w:val="single" w:sz="4" w:space="0" w:color="E0301E" w:themeColor="accent6"/>
            </w:tcBorders>
          </w:tcPr>
          <w:p w14:paraId="33488259" w14:textId="5D4F8C82" w:rsidR="00F5517B" w:rsidRPr="00410EA6"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794A37">
              <w:t>+$4k</w:t>
            </w:r>
          </w:p>
        </w:tc>
        <w:tc>
          <w:tcPr>
            <w:tcW w:w="992" w:type="dxa"/>
            <w:tcBorders>
              <w:top w:val="nil"/>
            </w:tcBorders>
          </w:tcPr>
          <w:p w14:paraId="7FBD6812" w14:textId="4FCE2D18" w:rsidR="00F5517B" w:rsidRPr="00410EA6"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794A37">
              <w:t>-$9k</w:t>
            </w:r>
          </w:p>
        </w:tc>
        <w:tc>
          <w:tcPr>
            <w:tcW w:w="992" w:type="dxa"/>
            <w:tcBorders>
              <w:top w:val="nil"/>
              <w:right w:val="dashed" w:sz="4" w:space="0" w:color="E0301E" w:themeColor="accent6"/>
            </w:tcBorders>
          </w:tcPr>
          <w:p w14:paraId="204E6F48" w14:textId="33A4D1B4" w:rsidR="00F5517B" w:rsidRPr="00AB644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pPr>
            <w:r w:rsidRPr="00794A37">
              <w:t>+$7k</w:t>
            </w:r>
          </w:p>
        </w:tc>
        <w:tc>
          <w:tcPr>
            <w:tcW w:w="1205" w:type="dxa"/>
            <w:tcBorders>
              <w:top w:val="nil"/>
              <w:left w:val="dashed" w:sz="4" w:space="0" w:color="E0301E" w:themeColor="accent6"/>
            </w:tcBorders>
          </w:tcPr>
          <w:p w14:paraId="7C0FD0A1" w14:textId="550DB404"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F5517B">
              <w:rPr>
                <w:color w:val="A6A6A6" w:themeColor="background1" w:themeShade="A6"/>
              </w:rPr>
              <w:t>&lt;$1k</w:t>
            </w:r>
          </w:p>
        </w:tc>
        <w:tc>
          <w:tcPr>
            <w:tcW w:w="1205" w:type="dxa"/>
            <w:tcBorders>
              <w:top w:val="nil"/>
            </w:tcBorders>
          </w:tcPr>
          <w:p w14:paraId="05C3A887" w14:textId="09BFDE30"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F5517B">
              <w:rPr>
                <w:color w:val="A6A6A6" w:themeColor="background1" w:themeShade="A6"/>
              </w:rPr>
              <w:t>&lt;$1k</w:t>
            </w:r>
          </w:p>
        </w:tc>
      </w:tr>
    </w:tbl>
    <w:p w14:paraId="596E966C" w14:textId="40526D37" w:rsidR="00003814" w:rsidRPr="00003814" w:rsidRDefault="000672D7" w:rsidP="00003814">
      <w:pPr>
        <w:pStyle w:val="Sources"/>
      </w:pPr>
      <w:r>
        <w:t>Note f</w:t>
      </w:r>
      <w:r w:rsidR="00003814">
        <w:t>igures above may not sum to the total</w:t>
      </w:r>
      <w:r>
        <w:t>s</w:t>
      </w:r>
      <w:r w:rsidR="00003814">
        <w:t xml:space="preserve"> </w:t>
      </w:r>
      <w:r>
        <w:t>owing</w:t>
      </w:r>
      <w:r w:rsidR="00003814">
        <w:t xml:space="preserve"> to the impact of the ‘&lt;$1k</w:t>
      </w:r>
      <w:r>
        <w:t>’</w:t>
      </w:r>
      <w:r w:rsidR="00003814">
        <w:t xml:space="preserve"> items and the impact of other rounding</w:t>
      </w:r>
      <w:r w:rsidR="00003814" w:rsidRPr="009D51DF">
        <w:t>.</w:t>
      </w:r>
    </w:p>
    <w:p w14:paraId="2B069E82" w14:textId="77777777" w:rsidR="00B51738" w:rsidRPr="00772719" w:rsidRDefault="00B51738" w:rsidP="00B51738">
      <w:pPr>
        <w:pStyle w:val="PwCNormal-keepwithnext"/>
        <w:numPr>
          <w:ilvl w:val="0"/>
          <w:numId w:val="1"/>
        </w:numPr>
      </w:pPr>
      <w:r w:rsidRPr="00772719">
        <w:t>The increase in average cost has been primarily driven by:</w:t>
      </w:r>
    </w:p>
    <w:p w14:paraId="37FBA4BD" w14:textId="08AF9E57" w:rsidR="00B51738" w:rsidRPr="00017177" w:rsidRDefault="00DC45A8" w:rsidP="00DC45A8">
      <w:pPr>
        <w:pStyle w:val="ListBullet"/>
      </w:pPr>
      <w:r w:rsidRPr="00017177">
        <w:t>an increase in the cost of future payments as a result of inflation;</w:t>
      </w:r>
    </w:p>
    <w:p w14:paraId="4BEBB363" w14:textId="3E3FA5E0" w:rsidR="00B51738" w:rsidRPr="00411889" w:rsidRDefault="00B51738" w:rsidP="002757B8">
      <w:pPr>
        <w:pStyle w:val="ListBullet"/>
      </w:pPr>
      <w:r w:rsidRPr="00411889">
        <w:t>an increase in the persistency of Working Age recipients</w:t>
      </w:r>
      <w:r w:rsidR="00266EC3">
        <w:t>;</w:t>
      </w:r>
      <w:r w:rsidR="00266EC3" w:rsidRPr="00411889">
        <w:t xml:space="preserve"> </w:t>
      </w:r>
      <w:r w:rsidRPr="00411889">
        <w:t xml:space="preserve">this </w:t>
      </w:r>
      <w:r w:rsidR="003F48DB">
        <w:t>relates to the tightening of the eligibility for Disability Support Pension which has been seen to have decreased the transitions from Working Age into Disability Pension</w:t>
      </w:r>
      <w:r w:rsidRPr="00411889">
        <w:t xml:space="preserve">; </w:t>
      </w:r>
    </w:p>
    <w:p w14:paraId="2C4DB6CE" w14:textId="1BD9908A" w:rsidR="00B51738" w:rsidRPr="004A6C05" w:rsidRDefault="00B51738" w:rsidP="002757B8">
      <w:pPr>
        <w:pStyle w:val="ListBullet"/>
      </w:pPr>
      <w:r w:rsidRPr="004A6C05">
        <w:t xml:space="preserve">an increase in the expected transitions into </w:t>
      </w:r>
      <w:r w:rsidR="004A6C05" w:rsidRPr="004A6C05">
        <w:t xml:space="preserve">the </w:t>
      </w:r>
      <w:r w:rsidR="002B231E">
        <w:t>A</w:t>
      </w:r>
      <w:r w:rsidRPr="004A6C05">
        <w:t xml:space="preserve">ge </w:t>
      </w:r>
      <w:r w:rsidR="002B231E">
        <w:t>P</w:t>
      </w:r>
      <w:r w:rsidRPr="004A6C05">
        <w:t>en</w:t>
      </w:r>
      <w:r w:rsidR="004A6C05" w:rsidRPr="004A6C05">
        <w:t>sion</w:t>
      </w:r>
      <w:r w:rsidR="002B231E">
        <w:t xml:space="preserve"> class</w:t>
      </w:r>
      <w:r w:rsidR="00266EC3">
        <w:t xml:space="preserve">; </w:t>
      </w:r>
      <w:r w:rsidR="004A6C05">
        <w:t xml:space="preserve">this may be partly due to the increased persistency on Working Age payments </w:t>
      </w:r>
      <w:r w:rsidR="002B231E">
        <w:t xml:space="preserve">increasing the likelihood of </w:t>
      </w:r>
      <w:r w:rsidR="004A6C05">
        <w:t xml:space="preserve">this group </w:t>
      </w:r>
      <w:r w:rsidR="002B231E">
        <w:t xml:space="preserve">later </w:t>
      </w:r>
      <w:r w:rsidR="004A6C05">
        <w:t xml:space="preserve">transitioning into the </w:t>
      </w:r>
      <w:r w:rsidR="002B231E">
        <w:t>A</w:t>
      </w:r>
      <w:r w:rsidR="004A6C05">
        <w:t xml:space="preserve">ge </w:t>
      </w:r>
      <w:r w:rsidR="002B231E">
        <w:t>P</w:t>
      </w:r>
      <w:r w:rsidR="004A6C05">
        <w:t>ension</w:t>
      </w:r>
      <w:r w:rsidR="002B231E">
        <w:t xml:space="preserve"> class</w:t>
      </w:r>
      <w:r w:rsidRPr="004A6C05">
        <w:t>; and</w:t>
      </w:r>
    </w:p>
    <w:p w14:paraId="3C6ACE82" w14:textId="3B1C53D7" w:rsidR="00B51738" w:rsidRPr="003B40FE" w:rsidRDefault="002B231E" w:rsidP="002B231E">
      <w:pPr>
        <w:pStyle w:val="ListBullet"/>
      </w:pPr>
      <w:r w:rsidRPr="005F7C50">
        <w:t>an increase in the expected amount of Age Pension payments</w:t>
      </w:r>
      <w:r>
        <w:t xml:space="preserve"> - the average Age Pension size has been adjusted in response to the observed increase in average payments to new pensioners</w:t>
      </w:r>
      <w:r w:rsidRPr="005F7C50">
        <w:t>.</w:t>
      </w:r>
    </w:p>
    <w:p w14:paraId="3E4CBDA0" w14:textId="1CCE07FF" w:rsidR="00B51738" w:rsidRPr="00411889" w:rsidRDefault="008F1B9B" w:rsidP="008F1B9B">
      <w:pPr>
        <w:pStyle w:val="ListBullet"/>
        <w:numPr>
          <w:ilvl w:val="0"/>
          <w:numId w:val="0"/>
        </w:numPr>
      </w:pPr>
      <w:r>
        <w:t>These increases are partly o</w:t>
      </w:r>
      <w:r w:rsidRPr="00983BF0">
        <w:t>ffset by</w:t>
      </w:r>
      <w:r>
        <w:t xml:space="preserve"> </w:t>
      </w:r>
      <w:r w:rsidRPr="00411889">
        <w:t>lower expected transitions into DSP</w:t>
      </w:r>
      <w:r w:rsidR="00A448E9">
        <w:t>,</w:t>
      </w:r>
      <w:r w:rsidR="002B231E">
        <w:t xml:space="preserve"> </w:t>
      </w:r>
      <w:r w:rsidR="00A448E9">
        <w:t xml:space="preserve">and therefore </w:t>
      </w:r>
      <w:r w:rsidR="00A448E9" w:rsidRPr="00411889">
        <w:t>a lower contribution of D</w:t>
      </w:r>
      <w:r w:rsidR="00A448E9">
        <w:t xml:space="preserve">SP to the average lifetime cost, due to </w:t>
      </w:r>
      <w:r w:rsidR="00A448E9" w:rsidRPr="00411889">
        <w:t xml:space="preserve">the </w:t>
      </w:r>
      <w:r w:rsidR="00A448E9">
        <w:t>tightening of the eligibility criteria for DSP</w:t>
      </w:r>
      <w:r w:rsidR="00AC1E1E">
        <w:t>.</w:t>
      </w:r>
    </w:p>
    <w:p w14:paraId="4642DB21" w14:textId="77777777" w:rsidR="00A703D8" w:rsidRPr="00EF7D35" w:rsidRDefault="00A703D8" w:rsidP="00A703D8">
      <w:pPr>
        <w:pStyle w:val="Minorheading"/>
      </w:pPr>
      <w:r w:rsidRPr="00EF7D35">
        <w:lastRenderedPageBreak/>
        <w:t>Future outcomes</w:t>
      </w:r>
    </w:p>
    <w:p w14:paraId="0DDD6745" w14:textId="77777777" w:rsidR="00A703D8" w:rsidRPr="00EF7D35" w:rsidRDefault="00A703D8" w:rsidP="00A703D8">
      <w:pPr>
        <w:pStyle w:val="PwCNormal-keepwithnext"/>
        <w:numPr>
          <w:ilvl w:val="0"/>
          <w:numId w:val="1"/>
        </w:numPr>
      </w:pPr>
      <w:r w:rsidRPr="00EF7D35">
        <w:t xml:space="preserve">In developing the valuation results the projection model also produces information on the expected transitions for people out of each class, as shown below. </w:t>
      </w:r>
    </w:p>
    <w:p w14:paraId="01CF7339" w14:textId="505EC32A" w:rsidR="00A703D8" w:rsidRPr="00EF7D35" w:rsidRDefault="00A703D8" w:rsidP="00A703D8">
      <w:pPr>
        <w:pStyle w:val="Caption"/>
      </w:pPr>
      <w:r w:rsidRPr="00EF7D35">
        <w:t xml:space="preserve">Figure </w:t>
      </w:r>
      <w:fldSimple w:instr=" SEQ Figure \* ARABIC ">
        <w:r w:rsidR="00C93C1A">
          <w:rPr>
            <w:noProof/>
          </w:rPr>
          <w:t>59</w:t>
        </w:r>
      </w:fldSimple>
      <w:r w:rsidRPr="00EF7D35">
        <w:t xml:space="preserve">: Expected future trajectory for people in </w:t>
      </w:r>
      <w:r w:rsidR="00871E70">
        <w:t>c</w:t>
      </w:r>
      <w:r w:rsidRPr="00EF7D35">
        <w:t>lass 2</w:t>
      </w:r>
    </w:p>
    <w:tbl>
      <w:tblPr>
        <w:tblStyle w:val="Tables-APBase"/>
        <w:tblW w:w="497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7144"/>
        <w:gridCol w:w="2889"/>
      </w:tblGrid>
      <w:tr w:rsidR="00A703D8" w:rsidRPr="009210D0" w14:paraId="0E46BD1A" w14:textId="77777777" w:rsidTr="00A703D8">
        <w:trPr>
          <w:trHeight w:val="3381"/>
          <w:tblHeader/>
        </w:trPr>
        <w:tc>
          <w:tcPr>
            <w:tcW w:w="6662" w:type="dxa"/>
            <w:hideMark/>
          </w:tcPr>
          <w:p w14:paraId="0E840B2E" w14:textId="77777777" w:rsidR="00A703D8" w:rsidRPr="00EF7D35" w:rsidRDefault="00A703D8" w:rsidP="00A703D8">
            <w:pPr>
              <w:pStyle w:val="TableTextSmall"/>
            </w:pPr>
            <w:r w:rsidRPr="00EF7D35">
              <w:rPr>
                <w:noProof/>
                <w:lang w:eastAsia="en-AU"/>
              </w:rPr>
              <w:drawing>
                <wp:inline distT="0" distB="0" distL="0" distR="0" wp14:anchorId="0587D23D" wp14:editId="1269476B">
                  <wp:extent cx="3969146" cy="2160000"/>
                  <wp:effectExtent l="0" t="0" r="0" b="0"/>
                  <wp:docPr id="413" name="Picture 413" descr="This figure is a vertical bar chart. The horizontal axis shows the years 2017 to 2047. The 3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is chart includes the 1,301,000 individuals who were in the working age class at 30 June 2017.&#10;&#10;By 2027, around 25% of this group are still expected to be in the working age class. The most common classes for those who transition from the working age class by 2026 are disability support, pension age, non-income support family and previous welfare recipient. This group is expected to gradually transition to the pension age class and by 2047, around 31% of this group are projected to be in the pension age class. The majority of the rest are projected to be in the dead class by this point.&#10;&#10;The Jun16 proportion of people in all active classes and the Jun16 proportion of people in the Working Age class are also shown. For all active classes, the proportion of people in Jun17 is between 0% - 3% lower than in the previous year while for the Working Age class, the proportion of people in Jun17 is between 0% - 3% higher than in the previous year. &#10;&#10;The features shown in the chart are discussed further in the accompanying text within the report.&#10;&#10;" title="Expected future trajectory for people in clas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969146" cy="2160000"/>
                          </a:xfrm>
                          <a:prstGeom prst="rect">
                            <a:avLst/>
                          </a:prstGeom>
                          <a:noFill/>
                          <a:ln>
                            <a:noFill/>
                          </a:ln>
                        </pic:spPr>
                      </pic:pic>
                    </a:graphicData>
                  </a:graphic>
                </wp:inline>
              </w:drawing>
            </w:r>
          </w:p>
        </w:tc>
        <w:tc>
          <w:tcPr>
            <w:tcW w:w="2694" w:type="dxa"/>
          </w:tcPr>
          <w:p w14:paraId="7AADA366" w14:textId="77777777" w:rsidR="00A703D8" w:rsidRPr="00EF7D35" w:rsidRDefault="00A703D8" w:rsidP="00A703D8">
            <w:pPr>
              <w:pStyle w:val="TableTextSmall"/>
            </w:pPr>
          </w:p>
          <w:p w14:paraId="72628008" w14:textId="6BA3B479" w:rsidR="00A703D8" w:rsidRPr="00EF7D35" w:rsidRDefault="003668BA" w:rsidP="00A703D8">
            <w:pPr>
              <w:pStyle w:val="TableTextSmall"/>
            </w:pPr>
            <w:r w:rsidRPr="003668BA">
              <w:rPr>
                <w:noProof/>
                <w:lang w:eastAsia="en-AU"/>
              </w:rPr>
              <w:drawing>
                <wp:inline distT="0" distB="0" distL="0" distR="0" wp14:anchorId="024F7049" wp14:editId="51E49AF1">
                  <wp:extent cx="1440000" cy="1779387"/>
                  <wp:effectExtent l="0" t="0" r="0" b="0"/>
                  <wp:docPr id="3894" name="Picture 3894"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p w14:paraId="47D69609" w14:textId="77777777" w:rsidR="00A703D8" w:rsidRPr="00EF7D35" w:rsidRDefault="00A703D8" w:rsidP="00A703D8">
            <w:pPr>
              <w:pStyle w:val="TableTextSmall"/>
            </w:pPr>
          </w:p>
        </w:tc>
      </w:tr>
    </w:tbl>
    <w:p w14:paraId="4578FFD2" w14:textId="77777777" w:rsidR="00132DE6" w:rsidRPr="00EF7D35" w:rsidRDefault="00132DE6" w:rsidP="00132DE6">
      <w:pPr>
        <w:pStyle w:val="PwCNormal"/>
        <w:numPr>
          <w:ilvl w:val="0"/>
          <w:numId w:val="0"/>
        </w:numPr>
      </w:pPr>
      <w:r w:rsidRPr="00EF7D35">
        <w:t xml:space="preserve">Some observations we can make based on our analysis are that: </w:t>
      </w:r>
    </w:p>
    <w:p w14:paraId="4DFAE265" w14:textId="78CBD411" w:rsidR="00132DE6" w:rsidRPr="00EF7D35" w:rsidRDefault="00132DE6" w:rsidP="00964D65">
      <w:pPr>
        <w:pStyle w:val="Bullet1"/>
        <w:numPr>
          <w:ilvl w:val="0"/>
          <w:numId w:val="34"/>
        </w:numPr>
      </w:pPr>
      <w:r w:rsidRPr="00EF7D35">
        <w:t xml:space="preserve">About 40% of the people currently in the Working Age class </w:t>
      </w:r>
      <w:r>
        <w:t>are projected to</w:t>
      </w:r>
      <w:r w:rsidRPr="00EF7D35">
        <w:t xml:space="preserve"> stop receiving any income support over the next </w:t>
      </w:r>
      <w:r w:rsidR="00722399">
        <w:t>five</w:t>
      </w:r>
      <w:r w:rsidRPr="00EF7D35">
        <w:t xml:space="preserve"> years. Most of these people will stop receiving any payments; the rest will keep receiving one or more of the family payment categories.</w:t>
      </w:r>
    </w:p>
    <w:p w14:paraId="2CCC24FE" w14:textId="3132E8F9" w:rsidR="00132DE6" w:rsidRPr="00EF7D35" w:rsidRDefault="00132DE6" w:rsidP="00964D65">
      <w:pPr>
        <w:pStyle w:val="Bullet1"/>
        <w:numPr>
          <w:ilvl w:val="0"/>
          <w:numId w:val="34"/>
        </w:numPr>
      </w:pPr>
      <w:r w:rsidRPr="00EF7D35">
        <w:t xml:space="preserve">Over the same timeframe, of the people who </w:t>
      </w:r>
      <w:r>
        <w:t xml:space="preserve">are projected to </w:t>
      </w:r>
      <w:r w:rsidRPr="00EF7D35">
        <w:t xml:space="preserve">stay on income support payments, around 60% remain on the </w:t>
      </w:r>
      <w:r w:rsidR="0049533C">
        <w:t>W</w:t>
      </w:r>
      <w:r w:rsidRPr="00EF7D35">
        <w:t xml:space="preserve">orking </w:t>
      </w:r>
      <w:r w:rsidR="0049533C">
        <w:t>A</w:t>
      </w:r>
      <w:r w:rsidR="0049533C" w:rsidRPr="00EF7D35">
        <w:t xml:space="preserve">ge </w:t>
      </w:r>
      <w:r w:rsidRPr="00EF7D35">
        <w:t xml:space="preserve">payment. The remainder either retire or move onto </w:t>
      </w:r>
      <w:r w:rsidR="0070204F">
        <w:t>P</w:t>
      </w:r>
      <w:r w:rsidRPr="00EF7D35">
        <w:t xml:space="preserve">arenting, </w:t>
      </w:r>
      <w:r w:rsidR="0070204F">
        <w:t>C</w:t>
      </w:r>
      <w:r w:rsidRPr="00EF7D35">
        <w:t xml:space="preserve">arer or </w:t>
      </w:r>
      <w:r w:rsidR="0070204F">
        <w:t>D</w:t>
      </w:r>
      <w:r w:rsidRPr="00EF7D35">
        <w:t>isability payments.</w:t>
      </w:r>
    </w:p>
    <w:p w14:paraId="2EB3F81F" w14:textId="5A482BA7" w:rsidR="00132DE6" w:rsidRDefault="00132DE6" w:rsidP="00964D65">
      <w:pPr>
        <w:pStyle w:val="Bullet1"/>
        <w:numPr>
          <w:ilvl w:val="0"/>
          <w:numId w:val="34"/>
        </w:numPr>
      </w:pPr>
      <w:r>
        <w:t>38</w:t>
      </w:r>
      <w:r w:rsidRPr="00EF7D35">
        <w:t xml:space="preserve">% of the people currently in this class </w:t>
      </w:r>
      <w:r>
        <w:t>are projected to</w:t>
      </w:r>
      <w:r w:rsidRPr="00EF7D35">
        <w:t xml:space="preserve"> be in this class in </w:t>
      </w:r>
      <w:r w:rsidR="00722399">
        <w:t>five</w:t>
      </w:r>
      <w:r w:rsidRPr="00EF7D35">
        <w:t xml:space="preserve"> years’ time (either by remaining in this class throughout this time, or by exiting and returning). This figure reduces to 2</w:t>
      </w:r>
      <w:r>
        <w:t>6</w:t>
      </w:r>
      <w:r w:rsidRPr="00EF7D35">
        <w:t>% by 10 years’ time.</w:t>
      </w:r>
    </w:p>
    <w:p w14:paraId="49427A8E" w14:textId="2CDD96BB" w:rsidR="00132DE6" w:rsidRPr="00EF7D35" w:rsidRDefault="00132DE6" w:rsidP="00964D65">
      <w:pPr>
        <w:pStyle w:val="Bullet1"/>
        <w:numPr>
          <w:ilvl w:val="0"/>
          <w:numId w:val="34"/>
        </w:numPr>
      </w:pPr>
      <w:r>
        <w:t xml:space="preserve">There has been a slight increase in the projected proportion of this group who remain in the </w:t>
      </w:r>
      <w:r w:rsidR="002E4244">
        <w:t>Working A</w:t>
      </w:r>
      <w:r>
        <w:t>ge</w:t>
      </w:r>
      <w:r w:rsidR="002E4244">
        <w:t xml:space="preserve"> class</w:t>
      </w:r>
      <w:r>
        <w:t xml:space="preserve"> in the future, when compared to the June 2016 valuation (which is shown with the lower dashed line).</w:t>
      </w:r>
    </w:p>
    <w:p w14:paraId="16646365" w14:textId="77777777" w:rsidR="00132DE6" w:rsidRPr="00EF7D35" w:rsidRDefault="00132DE6" w:rsidP="00964D65">
      <w:pPr>
        <w:pStyle w:val="Bullet1"/>
        <w:numPr>
          <w:ilvl w:val="0"/>
          <w:numId w:val="34"/>
        </w:numPr>
      </w:pPr>
      <w:r w:rsidRPr="00EF7D35">
        <w:t>After 3</w:t>
      </w:r>
      <w:r>
        <w:t>0 years, around 48</w:t>
      </w:r>
      <w:r w:rsidRPr="00EF7D35">
        <w:t>% of the original group are projected to be on some form of income support payment.</w:t>
      </w:r>
    </w:p>
    <w:p w14:paraId="4A306C66" w14:textId="77777777" w:rsidR="00A703D8" w:rsidRPr="00E66277" w:rsidRDefault="00A703D8" w:rsidP="00A703D8">
      <w:pPr>
        <w:pStyle w:val="Minorheading"/>
      </w:pPr>
      <w:r w:rsidRPr="00E66277">
        <w:t>Duration</w:t>
      </w:r>
    </w:p>
    <w:p w14:paraId="5222F5D2" w14:textId="77777777" w:rsidR="00132DE6" w:rsidRPr="00E66277" w:rsidRDefault="00132DE6" w:rsidP="00132DE6">
      <w:pPr>
        <w:pStyle w:val="PwCNormal"/>
        <w:numPr>
          <w:ilvl w:val="0"/>
          <w:numId w:val="0"/>
        </w:numPr>
      </w:pPr>
      <w:r w:rsidRPr="00E66277">
        <w:t xml:space="preserve">The average future life expectancy for the Working Age class is </w:t>
      </w:r>
      <w:r w:rsidRPr="00E66277">
        <w:rPr>
          <w:b/>
        </w:rPr>
        <w:t>49</w:t>
      </w:r>
      <w:r w:rsidRPr="00E66277">
        <w:t xml:space="preserve"> years. This reflects that the age profile of this class is well distributed across the working ages.</w:t>
      </w:r>
      <w:r>
        <w:t xml:space="preserve"> </w:t>
      </w:r>
      <w:r w:rsidRPr="00E66277">
        <w:t>The table below provides a summary of the expected welfare system use of people currently in this class over this time. This has been developed by considering which classes people move into as they move through the welfare system over their lives.</w:t>
      </w:r>
      <w:r w:rsidRPr="00B06BEF">
        <w:t xml:space="preserve"> </w:t>
      </w:r>
    </w:p>
    <w:p w14:paraId="223D4BCA" w14:textId="09206556" w:rsidR="00132DE6" w:rsidRDefault="00132DE6" w:rsidP="00132DE6">
      <w:pPr>
        <w:pStyle w:val="Caption"/>
      </w:pPr>
      <w:r w:rsidRPr="00E66277">
        <w:t xml:space="preserve">Table </w:t>
      </w:r>
      <w:fldSimple w:instr=" SEQ Table \* ARABIC ">
        <w:r w:rsidR="00C93C1A">
          <w:rPr>
            <w:noProof/>
          </w:rPr>
          <w:t>26</w:t>
        </w:r>
      </w:fldSimple>
      <w:r w:rsidRPr="00E66277">
        <w:t xml:space="preserve">: Expected durations in welfare system for people currently in </w:t>
      </w:r>
      <w:r w:rsidR="00871E70">
        <w:t>c</w:t>
      </w:r>
      <w:r w:rsidRPr="00E66277">
        <w:t>lass 2</w:t>
      </w:r>
    </w:p>
    <w:tbl>
      <w:tblPr>
        <w:tblStyle w:val="ListTable3-Accent61"/>
        <w:tblW w:w="8868" w:type="dxa"/>
        <w:tblInd w:w="108" w:type="dxa"/>
        <w:tblLook w:val="04A0" w:firstRow="1" w:lastRow="0" w:firstColumn="1" w:lastColumn="0" w:noHBand="0" w:noVBand="1"/>
        <w:tblCaption w:val=" Expected durations in welfare system for people currently in Class 1"/>
        <w:tblDescription w:val="This table provides data on the expected number of years people currently in Class 2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roportion of their future lifetime.  The expected future life expectancy of people in Class 2 is 49 years. &#10;&#10;Further features of the data in this table are discussed in the accompanying text within the report.&#10;"/>
      </w:tblPr>
      <w:tblGrid>
        <w:gridCol w:w="3828"/>
        <w:gridCol w:w="2520"/>
        <w:gridCol w:w="2520"/>
      </w:tblGrid>
      <w:tr w:rsidR="00132DE6" w:rsidRPr="00782EBD" w14:paraId="43E501A1" w14:textId="77777777" w:rsidTr="007B0A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top w:val="single" w:sz="4" w:space="0" w:color="E0301E" w:themeColor="accent6"/>
              <w:left w:val="single" w:sz="4" w:space="0" w:color="E0301E" w:themeColor="accent6"/>
            </w:tcBorders>
          </w:tcPr>
          <w:p w14:paraId="24913756" w14:textId="77777777" w:rsidR="00132DE6" w:rsidRPr="00782EBD" w:rsidRDefault="00132DE6" w:rsidP="007B0A8D">
            <w:pPr>
              <w:pStyle w:val="TableTextSmall"/>
              <w:keepNext/>
              <w:jc w:val="center"/>
              <w:rPr>
                <w:rFonts w:asciiTheme="majorHAnsi" w:hAnsiTheme="majorHAnsi"/>
                <w:color w:val="FFFFFF" w:themeColor="background1"/>
              </w:rPr>
            </w:pPr>
          </w:p>
        </w:tc>
        <w:tc>
          <w:tcPr>
            <w:tcW w:w="2520" w:type="dxa"/>
            <w:tcBorders>
              <w:top w:val="single" w:sz="4" w:space="0" w:color="E0301E" w:themeColor="accent6"/>
              <w:left w:val="nil"/>
              <w:bottom w:val="nil"/>
              <w:right w:val="nil"/>
            </w:tcBorders>
            <w:hideMark/>
          </w:tcPr>
          <w:p w14:paraId="7204A57F" w14:textId="77777777" w:rsidR="00132DE6" w:rsidRPr="00782EBD" w:rsidRDefault="00132DE6" w:rsidP="007B0A8D">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782EBD">
              <w:rPr>
                <w:rFonts w:asciiTheme="majorHAnsi" w:hAnsiTheme="majorHAnsi"/>
                <w:color w:val="FFFFFF" w:themeColor="background1"/>
              </w:rPr>
              <w:t>Expected Years</w:t>
            </w:r>
          </w:p>
        </w:tc>
        <w:tc>
          <w:tcPr>
            <w:tcW w:w="2520" w:type="dxa"/>
            <w:tcBorders>
              <w:top w:val="single" w:sz="4" w:space="0" w:color="E0301E" w:themeColor="accent6"/>
              <w:left w:val="nil"/>
              <w:bottom w:val="nil"/>
              <w:right w:val="single" w:sz="4" w:space="0" w:color="E0301E" w:themeColor="accent6"/>
            </w:tcBorders>
            <w:hideMark/>
          </w:tcPr>
          <w:p w14:paraId="374DEF60" w14:textId="77777777" w:rsidR="00132DE6" w:rsidRPr="00782EBD" w:rsidRDefault="00132DE6" w:rsidP="007B0A8D">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782EBD">
              <w:rPr>
                <w:rFonts w:asciiTheme="majorHAnsi" w:hAnsiTheme="majorHAnsi"/>
                <w:color w:val="FFFFFF" w:themeColor="background1"/>
              </w:rPr>
              <w:t>Proportion of Future Lifetime</w:t>
            </w:r>
          </w:p>
        </w:tc>
      </w:tr>
      <w:tr w:rsidR="00132DE6" w:rsidRPr="00782EBD" w14:paraId="21C24C86" w14:textId="77777777" w:rsidTr="007B0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437C4977" w14:textId="77777777" w:rsidR="00132DE6" w:rsidRPr="00782EBD" w:rsidRDefault="00132DE6" w:rsidP="007B0A8D">
            <w:pPr>
              <w:pStyle w:val="TableTextSmall"/>
            </w:pPr>
            <w:r w:rsidRPr="00782EBD">
              <w:t>Years with some income support payments:</w:t>
            </w:r>
          </w:p>
          <w:p w14:paraId="121B3B1E" w14:textId="195514A9" w:rsidR="00132DE6" w:rsidRPr="00782EBD" w:rsidRDefault="00132DE6" w:rsidP="00964D65">
            <w:pPr>
              <w:pStyle w:val="TableTextSmall"/>
              <w:numPr>
                <w:ilvl w:val="0"/>
                <w:numId w:val="36"/>
              </w:numPr>
            </w:pPr>
            <w:r w:rsidRPr="00782EBD">
              <w:t>Not age pension (classes 1-5)</w:t>
            </w:r>
          </w:p>
          <w:p w14:paraId="39B79C0E" w14:textId="6A3E3F20" w:rsidR="00132DE6" w:rsidRPr="00782EBD" w:rsidRDefault="00132DE6" w:rsidP="00964D65">
            <w:pPr>
              <w:pStyle w:val="TableTextSmall"/>
              <w:numPr>
                <w:ilvl w:val="0"/>
                <w:numId w:val="36"/>
              </w:numPr>
            </w:pPr>
            <w:r w:rsidRPr="00782EBD">
              <w:t>Age pension (class 6)</w:t>
            </w:r>
          </w:p>
        </w:tc>
        <w:tc>
          <w:tcPr>
            <w:tcW w:w="2520" w:type="dxa"/>
            <w:tcBorders>
              <w:left w:val="nil"/>
              <w:right w:val="nil"/>
            </w:tcBorders>
            <w:hideMark/>
          </w:tcPr>
          <w:p w14:paraId="53EA9ABA" w14:textId="77777777" w:rsidR="00132DE6" w:rsidRPr="00782EBD" w:rsidRDefault="00132DE6" w:rsidP="007B0A8D">
            <w:pPr>
              <w:pStyle w:val="TableTextSmall"/>
              <w:jc w:val="center"/>
              <w:cnfStyle w:val="000000100000" w:firstRow="0" w:lastRow="0" w:firstColumn="0" w:lastColumn="0" w:oddVBand="0" w:evenVBand="0" w:oddHBand="1" w:evenHBand="0" w:firstRowFirstColumn="0" w:firstRowLastColumn="0" w:lastRowFirstColumn="0" w:lastRowLastColumn="0"/>
            </w:pPr>
            <w:r w:rsidRPr="00782EBD">
              <w:br/>
            </w:r>
            <w:r>
              <w:t>13</w:t>
            </w:r>
          </w:p>
          <w:p w14:paraId="6A3EC302" w14:textId="77777777" w:rsidR="00132DE6" w:rsidRPr="00782EBD" w:rsidRDefault="00132DE6" w:rsidP="007B0A8D">
            <w:pPr>
              <w:pStyle w:val="TableTextSmall"/>
              <w:jc w:val="center"/>
              <w:cnfStyle w:val="000000100000" w:firstRow="0" w:lastRow="0" w:firstColumn="0" w:lastColumn="0" w:oddVBand="0" w:evenVBand="0" w:oddHBand="1" w:evenHBand="0" w:firstRowFirstColumn="0" w:firstRowLastColumn="0" w:lastRowFirstColumn="0" w:lastRowLastColumn="0"/>
            </w:pPr>
            <w:r w:rsidRPr="00782EBD">
              <w:t>17</w:t>
            </w:r>
          </w:p>
        </w:tc>
        <w:tc>
          <w:tcPr>
            <w:tcW w:w="2520" w:type="dxa"/>
            <w:tcBorders>
              <w:left w:val="nil"/>
              <w:right w:val="single" w:sz="4" w:space="0" w:color="E0301E" w:themeColor="accent6"/>
            </w:tcBorders>
            <w:hideMark/>
          </w:tcPr>
          <w:p w14:paraId="04CC2415" w14:textId="77777777" w:rsidR="00132DE6" w:rsidRPr="00782EBD" w:rsidRDefault="00132DE6" w:rsidP="007B0A8D">
            <w:pPr>
              <w:pStyle w:val="TableTextSmall"/>
              <w:jc w:val="center"/>
              <w:cnfStyle w:val="000000100000" w:firstRow="0" w:lastRow="0" w:firstColumn="0" w:lastColumn="0" w:oddVBand="0" w:evenVBand="0" w:oddHBand="1" w:evenHBand="0" w:firstRowFirstColumn="0" w:firstRowLastColumn="0" w:lastRowFirstColumn="0" w:lastRowLastColumn="0"/>
            </w:pPr>
            <w:r w:rsidRPr="00782EBD">
              <w:br/>
            </w:r>
            <w:r>
              <w:t>27</w:t>
            </w:r>
            <w:r w:rsidRPr="00782EBD">
              <w:t>%</w:t>
            </w:r>
          </w:p>
          <w:p w14:paraId="2690F2E0" w14:textId="77777777" w:rsidR="00132DE6" w:rsidRPr="00782EBD" w:rsidRDefault="00132DE6" w:rsidP="007B0A8D">
            <w:pPr>
              <w:pStyle w:val="TableTextSmall"/>
              <w:jc w:val="center"/>
              <w:cnfStyle w:val="000000100000" w:firstRow="0" w:lastRow="0" w:firstColumn="0" w:lastColumn="0" w:oddVBand="0" w:evenVBand="0" w:oddHBand="1" w:evenHBand="0" w:firstRowFirstColumn="0" w:firstRowLastColumn="0" w:lastRowFirstColumn="0" w:lastRowLastColumn="0"/>
            </w:pPr>
            <w:r>
              <w:t>35</w:t>
            </w:r>
            <w:r w:rsidRPr="00782EBD">
              <w:t>%</w:t>
            </w:r>
          </w:p>
        </w:tc>
      </w:tr>
      <w:tr w:rsidR="00132DE6" w:rsidRPr="00782EBD" w14:paraId="49C36ACC" w14:textId="77777777" w:rsidTr="007B0A8D">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hideMark/>
          </w:tcPr>
          <w:p w14:paraId="35FE7FA8" w14:textId="244CD0FE" w:rsidR="00132DE6" w:rsidRPr="00782EBD" w:rsidRDefault="00132DE6" w:rsidP="007B0A8D">
            <w:pPr>
              <w:pStyle w:val="TableTextSmall"/>
            </w:pPr>
            <w:r w:rsidRPr="00782EBD">
              <w:t xml:space="preserve">Years with </w:t>
            </w:r>
            <w:r w:rsidR="005B3E7D">
              <w:t>non income</w:t>
            </w:r>
            <w:r w:rsidRPr="00782EBD">
              <w:t xml:space="preserve"> support payments only</w:t>
            </w:r>
          </w:p>
        </w:tc>
        <w:tc>
          <w:tcPr>
            <w:tcW w:w="2520" w:type="dxa"/>
            <w:tcBorders>
              <w:top w:val="nil"/>
              <w:left w:val="nil"/>
              <w:bottom w:val="nil"/>
              <w:right w:val="nil"/>
            </w:tcBorders>
            <w:hideMark/>
          </w:tcPr>
          <w:p w14:paraId="7F7414BD" w14:textId="77777777" w:rsidR="00132DE6" w:rsidRPr="00782EBD" w:rsidRDefault="00132DE6" w:rsidP="007B0A8D">
            <w:pPr>
              <w:pStyle w:val="TableTextSmall"/>
              <w:jc w:val="center"/>
              <w:cnfStyle w:val="000000000000" w:firstRow="0" w:lastRow="0" w:firstColumn="0" w:lastColumn="0" w:oddVBand="0" w:evenVBand="0" w:oddHBand="0" w:evenHBand="0" w:firstRowFirstColumn="0" w:firstRowLastColumn="0" w:lastRowFirstColumn="0" w:lastRowLastColumn="0"/>
            </w:pPr>
            <w:r>
              <w:t>2</w:t>
            </w:r>
          </w:p>
        </w:tc>
        <w:tc>
          <w:tcPr>
            <w:tcW w:w="2520" w:type="dxa"/>
            <w:tcBorders>
              <w:top w:val="nil"/>
              <w:left w:val="nil"/>
              <w:bottom w:val="nil"/>
              <w:right w:val="single" w:sz="4" w:space="0" w:color="E0301E" w:themeColor="accent6"/>
            </w:tcBorders>
            <w:hideMark/>
          </w:tcPr>
          <w:p w14:paraId="234C8628" w14:textId="77777777" w:rsidR="00132DE6" w:rsidRPr="00782EBD" w:rsidRDefault="00132DE6" w:rsidP="007B0A8D">
            <w:pPr>
              <w:pStyle w:val="TableTextSmall"/>
              <w:jc w:val="center"/>
              <w:cnfStyle w:val="000000000000" w:firstRow="0" w:lastRow="0" w:firstColumn="0" w:lastColumn="0" w:oddVBand="0" w:evenVBand="0" w:oddHBand="0" w:evenHBand="0" w:firstRowFirstColumn="0" w:firstRowLastColumn="0" w:lastRowFirstColumn="0" w:lastRowLastColumn="0"/>
            </w:pPr>
            <w:r>
              <w:t>5</w:t>
            </w:r>
            <w:r w:rsidRPr="00782EBD">
              <w:t>%</w:t>
            </w:r>
          </w:p>
        </w:tc>
      </w:tr>
      <w:tr w:rsidR="00132DE6" w:rsidRPr="00782EBD" w14:paraId="602FA377" w14:textId="77777777" w:rsidTr="007B0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68E4EBC6" w14:textId="77777777" w:rsidR="00132DE6" w:rsidRPr="00782EBD" w:rsidRDefault="00132DE6" w:rsidP="007B0A8D">
            <w:pPr>
              <w:pStyle w:val="TableTextSmall"/>
            </w:pPr>
            <w:r w:rsidRPr="00782EBD">
              <w:t>Years not receiving any welfare payments</w:t>
            </w:r>
          </w:p>
        </w:tc>
        <w:tc>
          <w:tcPr>
            <w:tcW w:w="2520" w:type="dxa"/>
            <w:tcBorders>
              <w:left w:val="nil"/>
              <w:right w:val="nil"/>
            </w:tcBorders>
            <w:hideMark/>
          </w:tcPr>
          <w:p w14:paraId="3135F8B3" w14:textId="77777777" w:rsidR="00132DE6" w:rsidRPr="00782EBD" w:rsidRDefault="00132DE6" w:rsidP="007B0A8D">
            <w:pPr>
              <w:pStyle w:val="TableTextSmall"/>
              <w:jc w:val="center"/>
              <w:cnfStyle w:val="000000100000" w:firstRow="0" w:lastRow="0" w:firstColumn="0" w:lastColumn="0" w:oddVBand="0" w:evenVBand="0" w:oddHBand="1" w:evenHBand="0" w:firstRowFirstColumn="0" w:firstRowLastColumn="0" w:lastRowFirstColumn="0" w:lastRowLastColumn="0"/>
            </w:pPr>
            <w:r>
              <w:t>16</w:t>
            </w:r>
          </w:p>
        </w:tc>
        <w:tc>
          <w:tcPr>
            <w:tcW w:w="2520" w:type="dxa"/>
            <w:tcBorders>
              <w:left w:val="nil"/>
              <w:right w:val="single" w:sz="4" w:space="0" w:color="E0301E" w:themeColor="accent6"/>
            </w:tcBorders>
            <w:hideMark/>
          </w:tcPr>
          <w:p w14:paraId="7E92C8D6" w14:textId="77777777" w:rsidR="00132DE6" w:rsidRPr="00782EBD" w:rsidRDefault="00132DE6" w:rsidP="007B0A8D">
            <w:pPr>
              <w:pStyle w:val="TableTextSmall"/>
              <w:jc w:val="center"/>
              <w:cnfStyle w:val="000000100000" w:firstRow="0" w:lastRow="0" w:firstColumn="0" w:lastColumn="0" w:oddVBand="0" w:evenVBand="0" w:oddHBand="1" w:evenHBand="0" w:firstRowFirstColumn="0" w:firstRowLastColumn="0" w:lastRowFirstColumn="0" w:lastRowLastColumn="0"/>
            </w:pPr>
            <w:r>
              <w:t>33</w:t>
            </w:r>
            <w:r w:rsidRPr="00782EBD">
              <w:t>%</w:t>
            </w:r>
          </w:p>
        </w:tc>
      </w:tr>
      <w:tr w:rsidR="00132DE6" w:rsidRPr="009210D0" w14:paraId="012B68C7" w14:textId="77777777" w:rsidTr="007B0A8D">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hideMark/>
          </w:tcPr>
          <w:p w14:paraId="1E9EF176" w14:textId="77777777" w:rsidR="00132DE6" w:rsidRPr="00782EBD" w:rsidRDefault="00132DE6" w:rsidP="007B0A8D">
            <w:pPr>
              <w:pStyle w:val="TableTextSmall"/>
            </w:pPr>
            <w:r w:rsidRPr="00782EBD">
              <w:t>Total</w:t>
            </w:r>
          </w:p>
        </w:tc>
        <w:tc>
          <w:tcPr>
            <w:tcW w:w="2520" w:type="dxa"/>
            <w:tcBorders>
              <w:top w:val="nil"/>
              <w:left w:val="nil"/>
              <w:bottom w:val="single" w:sz="4" w:space="0" w:color="E0301E" w:themeColor="accent6"/>
              <w:right w:val="nil"/>
            </w:tcBorders>
            <w:hideMark/>
          </w:tcPr>
          <w:p w14:paraId="52A1FE8D" w14:textId="77777777" w:rsidR="00132DE6" w:rsidRPr="00782EBD" w:rsidRDefault="00132DE6" w:rsidP="007B0A8D">
            <w:pPr>
              <w:pStyle w:val="TableTextSmall"/>
              <w:jc w:val="center"/>
              <w:cnfStyle w:val="000000000000" w:firstRow="0" w:lastRow="0" w:firstColumn="0" w:lastColumn="0" w:oddVBand="0" w:evenVBand="0" w:oddHBand="0" w:evenHBand="0" w:firstRowFirstColumn="0" w:firstRowLastColumn="0" w:lastRowFirstColumn="0" w:lastRowLastColumn="0"/>
            </w:pPr>
            <w:r>
              <w:t>49</w:t>
            </w:r>
          </w:p>
        </w:tc>
        <w:tc>
          <w:tcPr>
            <w:tcW w:w="2520" w:type="dxa"/>
            <w:tcBorders>
              <w:top w:val="nil"/>
              <w:left w:val="nil"/>
              <w:bottom w:val="single" w:sz="4" w:space="0" w:color="E0301E" w:themeColor="accent6"/>
              <w:right w:val="single" w:sz="4" w:space="0" w:color="E0301E" w:themeColor="accent6"/>
            </w:tcBorders>
            <w:hideMark/>
          </w:tcPr>
          <w:p w14:paraId="2BAF5A64" w14:textId="77777777" w:rsidR="00132DE6" w:rsidRPr="00782EBD" w:rsidRDefault="00132DE6" w:rsidP="007B0A8D">
            <w:pPr>
              <w:pStyle w:val="TableTextSmall"/>
              <w:jc w:val="center"/>
              <w:cnfStyle w:val="000000000000" w:firstRow="0" w:lastRow="0" w:firstColumn="0" w:lastColumn="0" w:oddVBand="0" w:evenVBand="0" w:oddHBand="0" w:evenHBand="0" w:firstRowFirstColumn="0" w:firstRowLastColumn="0" w:lastRowFirstColumn="0" w:lastRowLastColumn="0"/>
            </w:pPr>
            <w:r w:rsidRPr="00782EBD">
              <w:t>100%</w:t>
            </w:r>
          </w:p>
        </w:tc>
      </w:tr>
    </w:tbl>
    <w:p w14:paraId="795F417A" w14:textId="77777777" w:rsidR="00132DE6" w:rsidRPr="006A78E5" w:rsidRDefault="00132DE6" w:rsidP="00132DE6">
      <w:pPr>
        <w:pStyle w:val="PwCNormal"/>
        <w:numPr>
          <w:ilvl w:val="0"/>
          <w:numId w:val="0"/>
        </w:numPr>
      </w:pPr>
    </w:p>
    <w:p w14:paraId="565FE573" w14:textId="77777777" w:rsidR="00132DE6" w:rsidRPr="0057506F" w:rsidRDefault="00132DE6" w:rsidP="00132DE6">
      <w:pPr>
        <w:pStyle w:val="PwCNormal"/>
        <w:numPr>
          <w:ilvl w:val="0"/>
          <w:numId w:val="0"/>
        </w:numPr>
      </w:pPr>
      <w:r w:rsidRPr="0057506F">
        <w:br w:type="page"/>
      </w:r>
    </w:p>
    <w:p w14:paraId="4F66C448" w14:textId="77777777" w:rsidR="00F7320D" w:rsidRDefault="00F7320D" w:rsidP="00964D65">
      <w:pPr>
        <w:pStyle w:val="Heading3"/>
        <w:numPr>
          <w:ilvl w:val="2"/>
          <w:numId w:val="35"/>
        </w:numPr>
      </w:pPr>
      <w:bookmarkStart w:id="215" w:name="_Toc506388228"/>
      <w:r w:rsidRPr="008A0BFE">
        <w:lastRenderedPageBreak/>
        <w:t>Parenting Payment recipients</w:t>
      </w:r>
      <w:bookmarkEnd w:id="206"/>
      <w:bookmarkEnd w:id="207"/>
      <w:bookmarkEnd w:id="2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outlines key points from this report section."/>
      </w:tblPr>
      <w:tblGrid>
        <w:gridCol w:w="9401"/>
      </w:tblGrid>
      <w:tr w:rsidR="00A07225" w:rsidRPr="009210D0" w14:paraId="5E1C2A8D" w14:textId="77777777" w:rsidTr="00132DE6">
        <w:trPr>
          <w:trHeight w:val="1260"/>
          <w:tblHeader/>
        </w:trPr>
        <w:tc>
          <w:tcPr>
            <w:tcW w:w="9401" w:type="dxa"/>
            <w:shd w:val="clear" w:color="auto" w:fill="F3ABA4" w:themeFill="accent6" w:themeFillTint="66"/>
          </w:tcPr>
          <w:p w14:paraId="7FD88139" w14:textId="3042EED9" w:rsidR="00132DE6" w:rsidRPr="006B0F86" w:rsidRDefault="008D4D1B" w:rsidP="00132DE6">
            <w:pPr>
              <w:pStyle w:val="PwCNormal"/>
              <w:numPr>
                <w:ilvl w:val="0"/>
                <w:numId w:val="1"/>
              </w:numPr>
              <w:rPr>
                <w:b/>
              </w:rPr>
            </w:pPr>
            <w:r>
              <w:rPr>
                <w:b/>
              </w:rPr>
              <w:t>Key points</w:t>
            </w:r>
          </w:p>
          <w:p w14:paraId="2FE25FD2" w14:textId="584EBB98" w:rsidR="00132DE6" w:rsidRPr="006B0F86" w:rsidRDefault="00132DE6" w:rsidP="00132DE6">
            <w:pPr>
              <w:pStyle w:val="PwCNormal"/>
              <w:numPr>
                <w:ilvl w:val="0"/>
                <w:numId w:val="0"/>
              </w:numPr>
            </w:pPr>
            <w:r w:rsidRPr="006B0F86">
              <w:t xml:space="preserve">There were </w:t>
            </w:r>
            <w:r>
              <w:t>43</w:t>
            </w:r>
            <w:r w:rsidR="001D5C14">
              <w:t>3</w:t>
            </w:r>
            <w:r w:rsidRPr="006B0F86">
              <w:t xml:space="preserve">,000 people in the </w:t>
            </w:r>
            <w:r>
              <w:t>Parenting</w:t>
            </w:r>
            <w:r w:rsidRPr="006B0F86">
              <w:t xml:space="preserve"> class in 2017</w:t>
            </w:r>
            <w:r>
              <w:t>, who were mostly female and aged 15 to</w:t>
            </w:r>
            <w:r w:rsidRPr="006B0F86">
              <w:t xml:space="preserve"> </w:t>
            </w:r>
            <w:r>
              <w:t>5</w:t>
            </w:r>
            <w:r w:rsidRPr="006B0F86">
              <w:t xml:space="preserve">0. </w:t>
            </w:r>
          </w:p>
          <w:p w14:paraId="1A82B55C" w14:textId="3C7B78F9" w:rsidR="00132DE6" w:rsidRDefault="00132DE6" w:rsidP="00132DE6">
            <w:pPr>
              <w:pStyle w:val="Bullet1"/>
            </w:pPr>
            <w:r>
              <w:t xml:space="preserve">Since the last major </w:t>
            </w:r>
            <w:r w:rsidR="0070204F">
              <w:t>P</w:t>
            </w:r>
            <w:r>
              <w:t>arenting payment policy change which removed the grandfathering of the previous eligibility criteria, both the number of entrants and exits into the</w:t>
            </w:r>
            <w:r w:rsidR="0070204F">
              <w:t xml:space="preserve"> P</w:t>
            </w:r>
            <w:r>
              <w:t>arenting class have remained stable.</w:t>
            </w:r>
          </w:p>
          <w:p w14:paraId="23745B7F" w14:textId="67DCCAC3" w:rsidR="00132DE6" w:rsidRDefault="00132DE6" w:rsidP="00132DE6">
            <w:pPr>
              <w:pStyle w:val="Bullet1"/>
            </w:pPr>
            <w:r>
              <w:t xml:space="preserve">Women in this class have a much higher expected lifetime cost than men as they spend longer on the </w:t>
            </w:r>
            <w:r w:rsidR="0070204F">
              <w:t>P</w:t>
            </w:r>
            <w:r>
              <w:t xml:space="preserve">arenting payment and are more likely to receive supplementary family payments such as FTB. </w:t>
            </w:r>
          </w:p>
          <w:p w14:paraId="41E6DF25" w14:textId="7D63F430" w:rsidR="00132DE6" w:rsidRDefault="00132DE6" w:rsidP="00132DE6">
            <w:pPr>
              <w:pStyle w:val="Bullet1"/>
            </w:pPr>
            <w:r>
              <w:t xml:space="preserve">The length of time an individual remains in class is closely related to the age of their youngest child and partnering status. This is because these characteristics are considered in the eligibility criteria for receiving the </w:t>
            </w:r>
            <w:r w:rsidR="0070204F">
              <w:t>P</w:t>
            </w:r>
            <w:r>
              <w:t xml:space="preserve">arenting payment. </w:t>
            </w:r>
          </w:p>
          <w:p w14:paraId="5537F0C2" w14:textId="40BFAE78" w:rsidR="00A07225" w:rsidRPr="006B0F86" w:rsidRDefault="00132DE6" w:rsidP="00346132">
            <w:pPr>
              <w:pStyle w:val="ListBullet"/>
            </w:pPr>
            <w:r>
              <w:t xml:space="preserve">Outcomes upon leaving the </w:t>
            </w:r>
            <w:r w:rsidR="0070204F">
              <w:t>P</w:t>
            </w:r>
            <w:r>
              <w:t xml:space="preserve">arenting class are influenced by employment earnings and historic use of other payments. People transitioning out of the class have generally been most likely to return to a class they were previously in. This effect is particularly strong for those who were previously in </w:t>
            </w:r>
            <w:r w:rsidR="00346132">
              <w:t>N</w:t>
            </w:r>
            <w:r w:rsidR="005B3E7D">
              <w:t xml:space="preserve">on </w:t>
            </w:r>
            <w:r w:rsidR="00346132">
              <w:t>I</w:t>
            </w:r>
            <w:r w:rsidR="005B3E7D">
              <w:t>ncome</w:t>
            </w:r>
            <w:r>
              <w:t xml:space="preserve"> </w:t>
            </w:r>
            <w:r w:rsidR="00346132">
              <w:t>S</w:t>
            </w:r>
            <w:r>
              <w:t xml:space="preserve">upport </w:t>
            </w:r>
            <w:r w:rsidR="00346132">
              <w:t>C</w:t>
            </w:r>
            <w:r>
              <w:t xml:space="preserve">arer and </w:t>
            </w:r>
            <w:r w:rsidR="00346132">
              <w:t>N</w:t>
            </w:r>
            <w:r w:rsidR="005B3E7D">
              <w:t xml:space="preserve">on </w:t>
            </w:r>
            <w:r w:rsidR="00346132">
              <w:t>I</w:t>
            </w:r>
            <w:r w:rsidR="005B3E7D">
              <w:t>ncome</w:t>
            </w:r>
            <w:r>
              <w:t xml:space="preserve"> </w:t>
            </w:r>
            <w:r w:rsidR="00346132">
              <w:t>S</w:t>
            </w:r>
            <w:r>
              <w:t xml:space="preserve">upport </w:t>
            </w:r>
            <w:r w:rsidR="00346132">
              <w:t>F</w:t>
            </w:r>
            <w:r>
              <w:t xml:space="preserve">amily related classes. Parenting payment recipients with employment earnings are more likely to transition to a </w:t>
            </w:r>
            <w:r w:rsidR="005B3E7D">
              <w:t>non IS</w:t>
            </w:r>
            <w:r>
              <w:t xml:space="preserve"> class than another IS class.</w:t>
            </w:r>
          </w:p>
        </w:tc>
      </w:tr>
    </w:tbl>
    <w:p w14:paraId="44AC544A" w14:textId="521DAC40" w:rsidR="00132DE6" w:rsidRPr="008A0BFE" w:rsidRDefault="00132DE6" w:rsidP="00132DE6">
      <w:pPr>
        <w:pStyle w:val="Heading4"/>
      </w:pPr>
      <w:bookmarkStart w:id="216" w:name="_Toc455503975"/>
      <w:bookmarkStart w:id="217" w:name="_Toc455502443"/>
      <w:bookmarkStart w:id="218" w:name="_Toc455499422"/>
      <w:r w:rsidRPr="008A0BFE">
        <w:t xml:space="preserve">What does the data tell us about Parenting </w:t>
      </w:r>
      <w:r w:rsidR="00501D76">
        <w:t>P</w:t>
      </w:r>
      <w:r w:rsidRPr="008A0BFE">
        <w:t>ayment recipients?</w:t>
      </w:r>
      <w:bookmarkEnd w:id="216"/>
      <w:bookmarkEnd w:id="217"/>
      <w:bookmarkEnd w:id="218"/>
    </w:p>
    <w:p w14:paraId="222A7DA4" w14:textId="7376D472" w:rsidR="00132DE6" w:rsidRPr="001F343E" w:rsidRDefault="00132DE6" w:rsidP="00132DE6">
      <w:pPr>
        <w:pStyle w:val="PwCNormal"/>
        <w:numPr>
          <w:ilvl w:val="0"/>
          <w:numId w:val="0"/>
        </w:numPr>
      </w:pPr>
      <w:r w:rsidRPr="00FA5117">
        <w:t>There were 43</w:t>
      </w:r>
      <w:r w:rsidR="00B513F7">
        <w:t>3,000</w:t>
      </w:r>
      <w:r w:rsidRPr="00FA5117">
        <w:t xml:space="preserve"> people (5.4% of current welfare recipients) in the Parenting class in the 2017 </w:t>
      </w:r>
      <w:r w:rsidRPr="001F343E">
        <w:t>model population. This represents 1.8% of the population of Australia which is similar to the previous valuation.</w:t>
      </w:r>
    </w:p>
    <w:p w14:paraId="5322BF7D" w14:textId="77777777" w:rsidR="00132DE6" w:rsidRPr="001F343E" w:rsidRDefault="00132DE6" w:rsidP="00132DE6">
      <w:pPr>
        <w:pStyle w:val="PwCNormal"/>
        <w:numPr>
          <w:ilvl w:val="0"/>
          <w:numId w:val="0"/>
        </w:numPr>
      </w:pPr>
      <w:r w:rsidRPr="001F343E">
        <w:t>The following chart shows a breakdown of the number of people in the Parenting class by age, gender and payment type.</w:t>
      </w:r>
    </w:p>
    <w:p w14:paraId="7AAEBBCE" w14:textId="30C120A9" w:rsidR="00A07225" w:rsidRPr="0057506F" w:rsidRDefault="00A07225" w:rsidP="00A07225">
      <w:pPr>
        <w:pStyle w:val="Caption"/>
      </w:pPr>
      <w:r w:rsidRPr="001F343E">
        <w:t xml:space="preserve">Figure </w:t>
      </w:r>
      <w:fldSimple w:instr=" SEQ Figure \* ARABIC ">
        <w:r w:rsidR="00C93C1A">
          <w:rPr>
            <w:noProof/>
          </w:rPr>
          <w:t>60</w:t>
        </w:r>
      </w:fldSimple>
      <w:r w:rsidRPr="001F343E">
        <w:t>: 2017</w:t>
      </w:r>
      <w:r w:rsidRPr="00FA5117">
        <w:t xml:space="preserve"> profile of people in </w:t>
      </w:r>
      <w:r w:rsidR="00871E70">
        <w:t>c</w:t>
      </w:r>
      <w:r w:rsidRPr="00FA5117">
        <w:t>lass 3 – Parents (age/gender/payment type)</w:t>
      </w:r>
    </w:p>
    <w:tbl>
      <w:tblPr>
        <w:tblStyle w:val="Tables-APBase"/>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489"/>
        <w:gridCol w:w="3592"/>
      </w:tblGrid>
      <w:tr w:rsidR="00A07225" w:rsidRPr="009210D0" w14:paraId="45F05E85" w14:textId="77777777" w:rsidTr="00407066">
        <w:trPr>
          <w:tblHeader/>
        </w:trPr>
        <w:tc>
          <w:tcPr>
            <w:tcW w:w="6051" w:type="dxa"/>
            <w:hideMark/>
          </w:tcPr>
          <w:p w14:paraId="1C67BA1C" w14:textId="77777777" w:rsidR="00A07225" w:rsidRPr="009210D0" w:rsidRDefault="00A07225" w:rsidP="00407066">
            <w:pPr>
              <w:pStyle w:val="TableTextSmall"/>
              <w:keepNext/>
              <w:rPr>
                <w:highlight w:val="yellow"/>
                <w:lang w:eastAsia="en-AU"/>
              </w:rPr>
            </w:pPr>
            <w:r w:rsidRPr="003F5828">
              <w:rPr>
                <w:noProof/>
                <w:lang w:eastAsia="en-AU"/>
              </w:rPr>
              <w:drawing>
                <wp:inline distT="0" distB="0" distL="0" distR="0" wp14:anchorId="17EF36B4" wp14:editId="09D5477A">
                  <wp:extent cx="3616759" cy="2160000"/>
                  <wp:effectExtent l="0" t="0" r="3175" b="0"/>
                  <wp:docPr id="207" name="Picture 207" descr="This figure is a horizontal bar chart showing the number of people in the Parents class at Jun17 by age for males and females separately. The vertical axis shows age with the data shown ranging from 14 to 79. The horizontal axis shows the number of people ranging from 0 to 20,000. The number of males at each age are shown by the horizontal bars to the left of the vertical axis and the number of females at each age are shown by horizontal bars to the right.&#10;&#10;The bars for each given age and gender are split into the number of people associated with the following Studying payment types: Parenting Payment – Partnered and Parenting Payment – Single.&#10;&#10;The chart is based on the 433,000 individuals who were in the parenting class at 30 June 2017. &#10;&#10;The chart shows that the people in this class are predominately female and aged between 16 and 50. The number of females peaks at approximately 19,500 at age 32. The number of males peaks at around 1,900 at age 35.&#10;&#10;Approximately 70% of all females and 45% of all males in the parenting class are recipients of Parenting Payment – Single. The remaining clients receive the Parenting Payment – Partnered.&#10;" title="2017 profile of people in class 3 – Parents (age/gender/pay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616759" cy="2160000"/>
                          </a:xfrm>
                          <a:prstGeom prst="rect">
                            <a:avLst/>
                          </a:prstGeom>
                          <a:noFill/>
                          <a:ln>
                            <a:noFill/>
                          </a:ln>
                        </pic:spPr>
                      </pic:pic>
                    </a:graphicData>
                  </a:graphic>
                </wp:inline>
              </w:drawing>
            </w:r>
          </w:p>
        </w:tc>
        <w:tc>
          <w:tcPr>
            <w:tcW w:w="3350" w:type="dxa"/>
          </w:tcPr>
          <w:p w14:paraId="525B89C8" w14:textId="77777777" w:rsidR="00A07225" w:rsidRPr="0057506F" w:rsidRDefault="00A07225" w:rsidP="00407066">
            <w:pPr>
              <w:pStyle w:val="TableTextSmall"/>
              <w:keepNext/>
              <w:rPr>
                <w:lang w:eastAsia="en-AU"/>
              </w:rPr>
            </w:pPr>
          </w:p>
          <w:p w14:paraId="1CC18DAF" w14:textId="77777777" w:rsidR="00A07225" w:rsidRPr="0057506F" w:rsidRDefault="00A07225" w:rsidP="00407066">
            <w:pPr>
              <w:pStyle w:val="TableTextSmall"/>
              <w:keepNext/>
              <w:rPr>
                <w:lang w:eastAsia="en-AU"/>
              </w:rPr>
            </w:pPr>
          </w:p>
          <w:p w14:paraId="486525C0" w14:textId="77777777" w:rsidR="00A07225" w:rsidRPr="0057506F" w:rsidRDefault="00A07225" w:rsidP="00407066">
            <w:pPr>
              <w:pStyle w:val="TableTextSmall"/>
              <w:keepNext/>
              <w:rPr>
                <w:lang w:eastAsia="en-AU"/>
              </w:rPr>
            </w:pPr>
          </w:p>
          <w:p w14:paraId="6B6612E9" w14:textId="77777777" w:rsidR="00A07225" w:rsidRPr="009210D0" w:rsidRDefault="00A07225" w:rsidP="00407066">
            <w:pPr>
              <w:pStyle w:val="TableTextSmall"/>
              <w:keepNext/>
              <w:rPr>
                <w:highlight w:val="yellow"/>
                <w:lang w:eastAsia="en-AU"/>
              </w:rPr>
            </w:pPr>
            <w:r w:rsidRPr="003F5828">
              <w:rPr>
                <w:noProof/>
                <w:lang w:eastAsia="en-AU"/>
              </w:rPr>
              <w:drawing>
                <wp:inline distT="0" distB="0" distL="0" distR="0" wp14:anchorId="0D758550" wp14:editId="0748BD32">
                  <wp:extent cx="1490345" cy="499745"/>
                  <wp:effectExtent l="0" t="0" r="0" b="0"/>
                  <wp:docPr id="3151" name="Picture 3151"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90345" cy="499745"/>
                          </a:xfrm>
                          <a:prstGeom prst="rect">
                            <a:avLst/>
                          </a:prstGeom>
                          <a:noFill/>
                          <a:ln>
                            <a:noFill/>
                          </a:ln>
                        </pic:spPr>
                      </pic:pic>
                    </a:graphicData>
                  </a:graphic>
                </wp:inline>
              </w:drawing>
            </w:r>
          </w:p>
        </w:tc>
      </w:tr>
    </w:tbl>
    <w:p w14:paraId="3166E11E" w14:textId="77777777" w:rsidR="00A07225" w:rsidRPr="00FA5117" w:rsidRDefault="00A07225" w:rsidP="00964D65">
      <w:pPr>
        <w:pStyle w:val="PwCNormal"/>
        <w:numPr>
          <w:ilvl w:val="0"/>
          <w:numId w:val="33"/>
        </w:numPr>
      </w:pPr>
      <w:r w:rsidRPr="00FA5117">
        <w:t xml:space="preserve">The people in this class are predominantly women and in the age range 15 to 50. The </w:t>
      </w:r>
      <w:r w:rsidRPr="007B0C75">
        <w:t>majority (67%)</w:t>
      </w:r>
      <w:r w:rsidRPr="00FA5117">
        <w:t xml:space="preserve"> of the people in this class are single.</w:t>
      </w:r>
    </w:p>
    <w:p w14:paraId="52D71CB4" w14:textId="77777777" w:rsidR="00A07225" w:rsidRPr="00266A91" w:rsidRDefault="00A07225" w:rsidP="00A07225">
      <w:pPr>
        <w:pStyle w:val="Minorheading"/>
      </w:pPr>
      <w:r w:rsidRPr="00266A91">
        <w:t>Movements into</w:t>
      </w:r>
      <w:r>
        <w:t xml:space="preserve"> and out of</w:t>
      </w:r>
      <w:r w:rsidRPr="00266A91">
        <w:t xml:space="preserve"> this class</w:t>
      </w:r>
    </w:p>
    <w:p w14:paraId="2175194F" w14:textId="49659F54" w:rsidR="00A07225" w:rsidRPr="00A716AE" w:rsidRDefault="00A07225" w:rsidP="00A07225">
      <w:pPr>
        <w:pStyle w:val="PwCNormal"/>
        <w:numPr>
          <w:ilvl w:val="0"/>
          <w:numId w:val="1"/>
        </w:numPr>
      </w:pPr>
      <w:r w:rsidRPr="00266A91">
        <w:t xml:space="preserve">Over the last </w:t>
      </w:r>
      <w:r w:rsidR="007A314E">
        <w:t>three</w:t>
      </w:r>
      <w:r w:rsidRPr="00266A91">
        <w:t xml:space="preserve"> years, an average of </w:t>
      </w:r>
      <w:r>
        <w:t>7</w:t>
      </w:r>
      <w:r w:rsidR="002069F7">
        <w:t>7</w:t>
      </w:r>
      <w:r w:rsidRPr="00266A91">
        <w:t>,</w:t>
      </w:r>
      <w:r w:rsidR="002069F7">
        <w:t>8</w:t>
      </w:r>
      <w:r>
        <w:t>00 people (around 18</w:t>
      </w:r>
      <w:r w:rsidRPr="00266A91">
        <w:t xml:space="preserve">% of the people in this class) per annum enter this class from another welfare class or from outside the welfare system. </w:t>
      </w:r>
      <w:r w:rsidRPr="00A716AE">
        <w:t>Over this same period</w:t>
      </w:r>
      <w:r w:rsidR="002E4244">
        <w:t>,</w:t>
      </w:r>
      <w:r w:rsidRPr="00A716AE">
        <w:t xml:space="preserve"> an average of </w:t>
      </w:r>
      <w:r>
        <w:t>76,</w:t>
      </w:r>
      <w:r w:rsidR="002069F7">
        <w:t>3</w:t>
      </w:r>
      <w:r w:rsidRPr="00266A91">
        <w:t>00 people (</w:t>
      </w:r>
      <w:r>
        <w:t>around 1</w:t>
      </w:r>
      <w:r w:rsidRPr="00266A91">
        <w:t>8</w:t>
      </w:r>
      <w:r>
        <w:t>%</w:t>
      </w:r>
      <w:r w:rsidRPr="00A716AE">
        <w:t xml:space="preserve"> of people in this class) per annum have transitioned out of the </w:t>
      </w:r>
      <w:r>
        <w:t>Parenting</w:t>
      </w:r>
      <w:r w:rsidRPr="00A716AE">
        <w:t xml:space="preserve"> class.</w:t>
      </w:r>
    </w:p>
    <w:p w14:paraId="24589F1A" w14:textId="77777777" w:rsidR="00A07225" w:rsidRPr="0057506F" w:rsidRDefault="00A07225" w:rsidP="00A07225">
      <w:pPr>
        <w:pStyle w:val="PwCNormal"/>
        <w:numPr>
          <w:ilvl w:val="0"/>
          <w:numId w:val="1"/>
        </w:numPr>
      </w:pPr>
      <w:r w:rsidRPr="00A716AE">
        <w:t>The following chart shows the breakdown of these transitions by previous</w:t>
      </w:r>
      <w:r>
        <w:t>/destination class and year of transition.</w:t>
      </w:r>
      <w:r w:rsidRPr="0057506F">
        <w:t xml:space="preserve"> </w:t>
      </w:r>
    </w:p>
    <w:p w14:paraId="76DC7325" w14:textId="7C0EC7FC" w:rsidR="00A07225" w:rsidRPr="0057506F" w:rsidRDefault="00A07225" w:rsidP="00A07225">
      <w:pPr>
        <w:pStyle w:val="Caption"/>
      </w:pPr>
      <w:r w:rsidRPr="00A716AE">
        <w:lastRenderedPageBreak/>
        <w:t xml:space="preserve">Figure </w:t>
      </w:r>
      <w:fldSimple w:instr=" SEQ Figure \* ARABIC ">
        <w:r w:rsidR="00C93C1A">
          <w:rPr>
            <w:noProof/>
          </w:rPr>
          <w:t>61</w:t>
        </w:r>
      </w:fldSimple>
      <w:r w:rsidRPr="00A716AE">
        <w:t>: Number of peo</w:t>
      </w:r>
      <w:r>
        <w:t xml:space="preserve">ple entering and exiting </w:t>
      </w:r>
      <w:r w:rsidR="00871E70">
        <w:t>c</w:t>
      </w:r>
      <w:r>
        <w:t>lass 3</w:t>
      </w:r>
      <w:r w:rsidRPr="00A716AE">
        <w:t xml:space="preserve"> – </w:t>
      </w:r>
      <w:r>
        <w:t>Parents</w:t>
      </w:r>
    </w:p>
    <w:p w14:paraId="023A5652" w14:textId="77777777" w:rsidR="00A07225" w:rsidRPr="0057506F" w:rsidRDefault="00A07225" w:rsidP="00A07225">
      <w:pPr>
        <w:pStyle w:val="PwCNormal"/>
        <w:numPr>
          <w:ilvl w:val="0"/>
          <w:numId w:val="1"/>
        </w:numPr>
      </w:pPr>
      <w:r w:rsidRPr="00FB3584">
        <w:rPr>
          <w:noProof/>
          <w:lang w:eastAsia="en-AU"/>
        </w:rPr>
        <w:drawing>
          <wp:inline distT="0" distB="0" distL="0" distR="0" wp14:anchorId="2DD22FBF" wp14:editId="0F37E92C">
            <wp:extent cx="5832475" cy="2018658"/>
            <wp:effectExtent l="0" t="0" r="0" b="1270"/>
            <wp:docPr id="294" name="Picture 294" descr="This figure is a stacked column chart with ten columns. The vertical axis displays the number of people ranging from 0 to 180,000. &#10;&#10;The horizontal axis is split into two sections; the first five columns show the numbers of entrants into the Parents class and the second five columns show the number of exits from the Parents class. In each section, the set of five columns represent the last five financial years; 2013, 2014, 2015, 2016 and 2017. &#10;&#10;For the first section, the columns showing the number of entrants into the Parents class for each financial year are split into previous class. These classes include; 1 Studying, 2 Working Age, 4 Carers, 5 Disability Support, 6 Pension Age, 7 Non-IS Family, 8 Non-IS Carer, 9 Non-IS Other, 10 Previous Welfare Recipient, 11 Dead and 12 Rest of the Australian Population. &#10;&#10;The chart shows that the number of entries into Class 3 were; 81,000 in 2013, 83,000 in 2014, 83,000 in 2015, 82,000 in 2016 and 68,000 in 2017. The majority of entrants come from Class 12 Rest of the Australian Population, Class 7 Non IS Family or Class 2 Working Age. &#10;&#10;For the second section, the columns showing the number of exits from the Parents class for each financial year are split into destination class. These classes include; 1 Studying, 2 Working Age, 4 Carers, 5 Disability Support, 6 Pension Age, 7 Non-IS Family, 8 Non-IS Carer, 9 Non-IS Other, 10 Previous Welfare Recipient, 11 Dead and 12 Rest of the Australian Population. &#10;&#10;The chart shows that the number of exits out of Class 3 were; 158,000 in 2013, 86,000 in 2014, 77,000 in 2015, 77,000 in 2016 and 75,000 in 2017. The majority of individuals who exit move to Class 2 Working Age or Class 7 Non IS Family. &#10;&#10;Further discussion of the key features shown in the chart can be found in the accompanying text within the report.&#10;" title="Number of people entering and exiting class 3 –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32475" cy="2018658"/>
                    </a:xfrm>
                    <a:prstGeom prst="rect">
                      <a:avLst/>
                    </a:prstGeom>
                    <a:noFill/>
                    <a:ln>
                      <a:noFill/>
                    </a:ln>
                  </pic:spPr>
                </pic:pic>
              </a:graphicData>
            </a:graphic>
          </wp:inline>
        </w:drawing>
      </w:r>
    </w:p>
    <w:p w14:paraId="130E2F48" w14:textId="77777777" w:rsidR="00A07225" w:rsidRPr="0057506F" w:rsidRDefault="00A07225" w:rsidP="00A07225">
      <w:pPr>
        <w:pStyle w:val="PwCNormal"/>
        <w:numPr>
          <w:ilvl w:val="0"/>
          <w:numId w:val="1"/>
        </w:numPr>
        <w:jc w:val="center"/>
      </w:pPr>
      <w:r w:rsidRPr="00FB3584">
        <w:rPr>
          <w:noProof/>
          <w:lang w:eastAsia="en-AU"/>
        </w:rPr>
        <w:drawing>
          <wp:inline distT="0" distB="0" distL="0" distR="0" wp14:anchorId="53E597A5" wp14:editId="44DE084E">
            <wp:extent cx="5385600" cy="468000"/>
            <wp:effectExtent l="0" t="0" r="0" b="8255"/>
            <wp:docPr id="303" name="Picture 303" descr="Class key: studying, working age, parents, carers, disability support, pension age, non-income support family, non-income support carer, non-income support other, previous welfare recipient, rest of the Australian population and dead. &#10;" title="Clas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18A2F736" w14:textId="77777777" w:rsidR="00132DE6" w:rsidRPr="00E712D8" w:rsidRDefault="00132DE6" w:rsidP="00132DE6">
      <w:pPr>
        <w:pStyle w:val="PwCNormal"/>
        <w:numPr>
          <w:ilvl w:val="0"/>
          <w:numId w:val="1"/>
        </w:numPr>
      </w:pPr>
      <w:r w:rsidRPr="00E712D8">
        <w:t xml:space="preserve">We can see that people in this class primarily </w:t>
      </w:r>
      <w:r>
        <w:t>came from the Working Age and</w:t>
      </w:r>
      <w:r w:rsidRPr="00E712D8">
        <w:t xml:space="preserve"> Non IS Family class</w:t>
      </w:r>
      <w:r>
        <w:t>es</w:t>
      </w:r>
      <w:r w:rsidRPr="00E712D8">
        <w:t>. There are also material numbers coming directly fro</w:t>
      </w:r>
      <w:r>
        <w:t>m outside the welfare system.</w:t>
      </w:r>
      <w:r w:rsidRPr="00E712D8">
        <w:t xml:space="preserve"> </w:t>
      </w:r>
    </w:p>
    <w:p w14:paraId="3EF284BF" w14:textId="72821CDA" w:rsidR="00132DE6" w:rsidRDefault="00132DE6" w:rsidP="00964D65">
      <w:pPr>
        <w:pStyle w:val="PwCNormal"/>
        <w:numPr>
          <w:ilvl w:val="0"/>
          <w:numId w:val="33"/>
        </w:numPr>
      </w:pPr>
      <w:r>
        <w:t>P</w:t>
      </w:r>
      <w:r w:rsidRPr="00E712D8">
        <w:t xml:space="preserve">eople in this class show considerable mobility. However note that many people exit to other active classes upon ceasing to meet the eligibility criteria for </w:t>
      </w:r>
      <w:r w:rsidR="0070204F">
        <w:t>P</w:t>
      </w:r>
      <w:r w:rsidRPr="00E712D8">
        <w:t xml:space="preserve">arenting payment, which is linked to the age of the person’s youngest qualifying child. </w:t>
      </w:r>
      <w:r w:rsidR="00AE6AF1">
        <w:t xml:space="preserve">A large number of exits can be seen into both income support and non income support payments. </w:t>
      </w:r>
      <w:r w:rsidRPr="00E712D8">
        <w:t xml:space="preserve">The most common </w:t>
      </w:r>
      <w:r w:rsidR="00AE6AF1">
        <w:t xml:space="preserve">income support </w:t>
      </w:r>
      <w:r w:rsidRPr="00E712D8">
        <w:t xml:space="preserve">destination </w:t>
      </w:r>
      <w:r w:rsidR="00AE6AF1">
        <w:t>is to</w:t>
      </w:r>
      <w:r w:rsidRPr="00E712D8">
        <w:t xml:space="preserve"> Working Age and </w:t>
      </w:r>
      <w:r w:rsidR="00AE6AF1">
        <w:t xml:space="preserve">the most common non income support destination is to </w:t>
      </w:r>
      <w:r w:rsidRPr="00E712D8">
        <w:t>Non</w:t>
      </w:r>
      <w:r>
        <w:t xml:space="preserve"> </w:t>
      </w:r>
      <w:r w:rsidRPr="00E712D8">
        <w:t xml:space="preserve">IS </w:t>
      </w:r>
      <w:r>
        <w:t>F</w:t>
      </w:r>
      <w:r w:rsidRPr="00E712D8">
        <w:t>amily classes. Only a small proportion of people exit the system directly from this class</w:t>
      </w:r>
      <w:r>
        <w:t xml:space="preserve"> as most of this group would continue to use</w:t>
      </w:r>
      <w:r w:rsidR="00B513F7">
        <w:t xml:space="preserve"> other payments</w:t>
      </w:r>
      <w:r w:rsidR="003A7E00">
        <w:t>,</w:t>
      </w:r>
      <w:r w:rsidR="00B513F7">
        <w:t xml:space="preserve"> including non income support payments such as</w:t>
      </w:r>
      <w:r>
        <w:t xml:space="preserve"> FTB</w:t>
      </w:r>
      <w:r w:rsidR="00FC7F9E">
        <w:t>.</w:t>
      </w:r>
      <w:r w:rsidRPr="00E712D8">
        <w:t xml:space="preserve"> </w:t>
      </w:r>
    </w:p>
    <w:p w14:paraId="78DB5AB7" w14:textId="315216F3" w:rsidR="00132DE6" w:rsidRPr="005E32F6" w:rsidRDefault="00132DE6" w:rsidP="00964D65">
      <w:pPr>
        <w:pStyle w:val="PwCNormal"/>
        <w:numPr>
          <w:ilvl w:val="0"/>
          <w:numId w:val="33"/>
        </w:numPr>
      </w:pPr>
      <w:r>
        <w:t>Transitions t</w:t>
      </w:r>
      <w:r w:rsidRPr="00E849DB">
        <w:t>o Working Age in 2013 were particularly high</w:t>
      </w:r>
      <w:r>
        <w:t xml:space="preserve"> due to a transitional arrangement ending, which </w:t>
      </w:r>
      <w:r w:rsidRPr="005E32F6">
        <w:t>reduc</w:t>
      </w:r>
      <w:r>
        <w:t>ed</w:t>
      </w:r>
      <w:r w:rsidRPr="005E32F6">
        <w:t xml:space="preserve"> the </w:t>
      </w:r>
      <w:r w:rsidR="0070204F">
        <w:t>P</w:t>
      </w:r>
      <w:r>
        <w:t xml:space="preserve">arenting payment </w:t>
      </w:r>
      <w:r w:rsidRPr="005E32F6">
        <w:t xml:space="preserve">eligibility </w:t>
      </w:r>
      <w:r>
        <w:t xml:space="preserve">criteria for the </w:t>
      </w:r>
      <w:r w:rsidRPr="005E32F6">
        <w:t xml:space="preserve">age </w:t>
      </w:r>
      <w:r>
        <w:t xml:space="preserve">of </w:t>
      </w:r>
      <w:r w:rsidRPr="005E32F6">
        <w:t xml:space="preserve">the youngest child from 16 to either </w:t>
      </w:r>
      <w:r w:rsidR="00D52134">
        <w:t>six</w:t>
      </w:r>
      <w:r w:rsidR="00D52134" w:rsidRPr="005E32F6">
        <w:t xml:space="preserve"> </w:t>
      </w:r>
      <w:r w:rsidRPr="005E32F6">
        <w:t xml:space="preserve">(for partnered parents) or </w:t>
      </w:r>
      <w:r w:rsidR="00D52134">
        <w:t>eight</w:t>
      </w:r>
      <w:r w:rsidR="00D52134" w:rsidRPr="005E32F6">
        <w:t xml:space="preserve"> </w:t>
      </w:r>
      <w:r w:rsidRPr="005E32F6">
        <w:t>(for single parents)</w:t>
      </w:r>
      <w:r>
        <w:t>. This</w:t>
      </w:r>
      <w:r w:rsidRPr="005E32F6">
        <w:t xml:space="preserve"> result</w:t>
      </w:r>
      <w:r>
        <w:t>ed</w:t>
      </w:r>
      <w:r w:rsidRPr="005E32F6">
        <w:t xml:space="preserve"> in a large number of exits </w:t>
      </w:r>
      <w:r>
        <w:t xml:space="preserve">from </w:t>
      </w:r>
      <w:r w:rsidR="0070204F">
        <w:t>P</w:t>
      </w:r>
      <w:r>
        <w:t xml:space="preserve">arenting </w:t>
      </w:r>
      <w:r w:rsidRPr="005E32F6">
        <w:t>during that year</w:t>
      </w:r>
      <w:r>
        <w:t xml:space="preserve"> and many of these people transitioned into the </w:t>
      </w:r>
      <w:r w:rsidR="003C32DF">
        <w:t>Working Age class</w:t>
      </w:r>
      <w:r w:rsidRPr="005E32F6">
        <w:t xml:space="preserve">. </w:t>
      </w:r>
    </w:p>
    <w:p w14:paraId="6D356EAE" w14:textId="44841478" w:rsidR="00A07225" w:rsidRDefault="00132DE6" w:rsidP="00964D65">
      <w:pPr>
        <w:pStyle w:val="PwCNormal"/>
        <w:numPr>
          <w:ilvl w:val="0"/>
          <w:numId w:val="33"/>
        </w:numPr>
      </w:pPr>
      <w:r w:rsidRPr="005E32F6">
        <w:t>Since then, transitions in and out of the Parents class have been relatively stable.</w:t>
      </w:r>
      <w:r>
        <w:t xml:space="preserve"> </w:t>
      </w:r>
      <w:r w:rsidRPr="009744DF">
        <w:t>It should be noted that the latest year’s data in the chart above will be affected by maturity issues and may be understated.</w:t>
      </w:r>
    </w:p>
    <w:p w14:paraId="35E4000C" w14:textId="77777777" w:rsidR="00A07225" w:rsidRPr="001A2F45" w:rsidRDefault="00A07225" w:rsidP="00A07225">
      <w:pPr>
        <w:pStyle w:val="Minorheading"/>
      </w:pPr>
      <w:r w:rsidRPr="001A2F45">
        <w:t>Payments received</w:t>
      </w:r>
    </w:p>
    <w:p w14:paraId="06E2A980" w14:textId="77777777" w:rsidR="00A07225" w:rsidRPr="001A2F45" w:rsidRDefault="00A07225" w:rsidP="00964D65">
      <w:pPr>
        <w:pStyle w:val="PwCNormal"/>
        <w:numPr>
          <w:ilvl w:val="0"/>
          <w:numId w:val="33"/>
        </w:numPr>
      </w:pPr>
      <w:r w:rsidRPr="001A2F45">
        <w:t>During 2016/17, people in this</w:t>
      </w:r>
      <w:r>
        <w:t xml:space="preserve"> class received a total of $12.6</w:t>
      </w:r>
      <w:r w:rsidRPr="001A2F45">
        <w:t xml:space="preserve"> billion. This is 1</w:t>
      </w:r>
      <w:r>
        <w:t>1.3</w:t>
      </w:r>
      <w:r w:rsidRPr="001A2F45">
        <w:t>% of the total payments made in 2016/17. The charts below show the average amount paid in a year to each person in this class.</w:t>
      </w:r>
    </w:p>
    <w:p w14:paraId="453F85DE" w14:textId="77777777" w:rsidR="00051B4C" w:rsidRDefault="00A07225" w:rsidP="00A07225">
      <w:pPr>
        <w:pStyle w:val="Caption"/>
      </w:pPr>
      <w:r w:rsidRPr="008A0BFE">
        <w:lastRenderedPageBreak/>
        <w:t xml:space="preserve">Figure </w:t>
      </w:r>
      <w:fldSimple w:instr=" SEQ Figure \* ARABIC ">
        <w:r w:rsidR="00C93C1A">
          <w:rPr>
            <w:noProof/>
          </w:rPr>
          <w:t>62</w:t>
        </w:r>
      </w:fldSimple>
      <w:r w:rsidRPr="008A0BFE">
        <w:t xml:space="preserve">: Average payments per person in </w:t>
      </w:r>
      <w:r w:rsidR="00871E70">
        <w:t>c</w:t>
      </w:r>
      <w:r w:rsidRPr="008A0BFE">
        <w:t>lass 3 – Parents (restated to 2016/17 $ values)</w:t>
      </w:r>
    </w:p>
    <w:p w14:paraId="408D3E82" w14:textId="7AAFCC5A" w:rsidR="00A07225" w:rsidRPr="00F658F1" w:rsidRDefault="00A07225" w:rsidP="00A07225">
      <w:pPr>
        <w:pStyle w:val="Caption"/>
      </w:pPr>
      <w:r w:rsidRPr="003155C5">
        <w:rPr>
          <w:noProof/>
          <w:lang w:eastAsia="en-AU"/>
        </w:rPr>
        <w:drawing>
          <wp:inline distT="0" distB="0" distL="0" distR="0" wp14:anchorId="15DD2F43" wp14:editId="586C28CA">
            <wp:extent cx="5832475" cy="2039127"/>
            <wp:effectExtent l="0" t="0" r="0" b="0"/>
            <wp:docPr id="218" name="Picture 218" descr="This figure is a stacked column chart. The vertical axis displays the average payment per person in the Parents Class, ranging from $0 to $40,000.&#10;&#10;The horizontal axis is split into two sections; the first for males and the second for females. Each section is further split to show the last five financial years; 2013, 2014, 2015, 2016 and 2017.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3 was: $20,500 for 2013; $21,200 for 2014; $20,700 for 2015; $20,400 for 2016; and $18,700 for 2017.&#10;&#10;For females the approximate average payment per person in Class 3 was: $32,800 for 2013; $33,800 for 2014; $33,500 for 2015; $33,300 for 2016; and $30,100 for 2017.&#10;&#10;The majority of payments for both males and females were from the IS Parents and Other – FTB categories. Additionally, a notable amount of total average payments for females were from the Other – Family category.&#10;&#10;The key features of this chart are described in the accompanying text within the report.&#10;" title="Average payments per person in class 3 – Parents (restated to 2016/17 $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32475" cy="2039127"/>
                    </a:xfrm>
                    <a:prstGeom prst="rect">
                      <a:avLst/>
                    </a:prstGeom>
                    <a:noFill/>
                    <a:ln>
                      <a:noFill/>
                    </a:ln>
                  </pic:spPr>
                </pic:pic>
              </a:graphicData>
            </a:graphic>
          </wp:inline>
        </w:drawing>
      </w:r>
    </w:p>
    <w:p w14:paraId="05A3E51C" w14:textId="77777777" w:rsidR="00A07225" w:rsidRPr="0057506F" w:rsidRDefault="00A07225" w:rsidP="00A07225">
      <w:pPr>
        <w:pStyle w:val="PwCNormal"/>
        <w:numPr>
          <w:ilvl w:val="0"/>
          <w:numId w:val="0"/>
        </w:numPr>
        <w:ind w:firstLine="720"/>
      </w:pPr>
      <w:r w:rsidRPr="00284965">
        <w:rPr>
          <w:noProof/>
          <w:lang w:eastAsia="en-AU"/>
        </w:rPr>
        <w:drawing>
          <wp:inline distT="0" distB="0" distL="0" distR="0" wp14:anchorId="58C00045" wp14:editId="6E1A097E">
            <wp:extent cx="4868545" cy="465455"/>
            <wp:effectExtent l="0" t="0" r="0" b="0"/>
            <wp:docPr id="3143" name="Picture 3143"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68545" cy="465455"/>
                    </a:xfrm>
                    <a:prstGeom prst="rect">
                      <a:avLst/>
                    </a:prstGeom>
                    <a:noFill/>
                    <a:ln>
                      <a:noFill/>
                    </a:ln>
                  </pic:spPr>
                </pic:pic>
              </a:graphicData>
            </a:graphic>
          </wp:inline>
        </w:drawing>
      </w:r>
    </w:p>
    <w:p w14:paraId="7B991B84" w14:textId="34732A0A" w:rsidR="00A07225" w:rsidRPr="001A2F45" w:rsidRDefault="00132DE6" w:rsidP="00964D65">
      <w:pPr>
        <w:pStyle w:val="PwCNormal"/>
        <w:numPr>
          <w:ilvl w:val="0"/>
          <w:numId w:val="33"/>
        </w:numPr>
      </w:pPr>
      <w:bookmarkStart w:id="219" w:name="_Toc455503977"/>
      <w:bookmarkStart w:id="220" w:name="_Toc455502445"/>
      <w:bookmarkStart w:id="221" w:name="_Toc455499424"/>
      <w:r w:rsidRPr="001A2F45">
        <w:t>As shown in the chart above, the average amount per person for 2016/17 is around 10% lower than prior years. This is likely due to the payments in the 2016/17 year being understated, as it will not fully reflect all FTB and family payments which can be received as part of an income tax assessment post 30</w:t>
      </w:r>
      <w:r>
        <w:t> </w:t>
      </w:r>
      <w:r w:rsidRPr="001A2F45">
        <w:t>June.</w:t>
      </w:r>
    </w:p>
    <w:p w14:paraId="3BC18792" w14:textId="2AC0076F" w:rsidR="00A07225" w:rsidRPr="001A2F45" w:rsidRDefault="00A07225" w:rsidP="00964D65">
      <w:pPr>
        <w:pStyle w:val="PwCNormal"/>
        <w:numPr>
          <w:ilvl w:val="0"/>
          <w:numId w:val="33"/>
        </w:numPr>
      </w:pPr>
      <w:r w:rsidRPr="001A2F45">
        <w:t xml:space="preserve">People in this class receive some of the highest average annual payments. The average payment made in 2015/16 (noting the potential understating of 2016/17) was $32,300 with considerably higher average payments being made to women ($33,300) than men ($20,400). The average payment is significantly higher for women than men as a result of them being more likely to receive FTB and family (child care) payments in addition to the main payment. The rate of the </w:t>
      </w:r>
      <w:r w:rsidR="0070204F">
        <w:t>P</w:t>
      </w:r>
      <w:r w:rsidRPr="001A2F45">
        <w:t>arenting payment itself is also higher on average for women as a higher proportion of women are receiving the single rather than the partnered rate.</w:t>
      </w:r>
    </w:p>
    <w:p w14:paraId="0A7AC62E" w14:textId="77777777" w:rsidR="00A07225" w:rsidRPr="001A2F45" w:rsidRDefault="00A07225" w:rsidP="00A07225">
      <w:pPr>
        <w:pStyle w:val="Heading4"/>
      </w:pPr>
      <w:bookmarkStart w:id="222" w:name="_Toc455503976"/>
      <w:bookmarkStart w:id="223" w:name="_Toc455502444"/>
      <w:bookmarkStart w:id="224" w:name="_Toc455499423"/>
      <w:r w:rsidRPr="001A2F45">
        <w:t>Changes in model fitting this valuation</w:t>
      </w:r>
    </w:p>
    <w:bookmarkEnd w:id="222"/>
    <w:bookmarkEnd w:id="223"/>
    <w:bookmarkEnd w:id="224"/>
    <w:p w14:paraId="231199E5" w14:textId="77777777" w:rsidR="00A07225" w:rsidRDefault="00A07225" w:rsidP="00964D65">
      <w:pPr>
        <w:pStyle w:val="PwCNormal"/>
        <w:numPr>
          <w:ilvl w:val="0"/>
          <w:numId w:val="33"/>
        </w:numPr>
      </w:pPr>
      <w:r>
        <w:t>This year we have enhanced the Parenting model assumptions to allow for the intergenerational variable. Use of welfare by a person’s parents during childhood was seen to be correlated with higher continuance on income support payments</w:t>
      </w:r>
    </w:p>
    <w:p w14:paraId="7549AF18" w14:textId="77777777" w:rsidR="00A07225" w:rsidRPr="00450240" w:rsidRDefault="00A07225" w:rsidP="00A07225">
      <w:pPr>
        <w:pStyle w:val="Heading4"/>
      </w:pPr>
      <w:r w:rsidRPr="00450240">
        <w:t>What does the model show for current Parenting payment recipients?</w:t>
      </w:r>
      <w:bookmarkEnd w:id="219"/>
      <w:bookmarkEnd w:id="220"/>
      <w:bookmarkEnd w:id="221"/>
    </w:p>
    <w:p w14:paraId="26CF21CF" w14:textId="77777777" w:rsidR="00A07225" w:rsidRPr="00450240" w:rsidRDefault="00A07225" w:rsidP="00A07225">
      <w:pPr>
        <w:pStyle w:val="Minorheading"/>
      </w:pPr>
      <w:r w:rsidRPr="00450240">
        <w:t>Lifetime costs</w:t>
      </w:r>
    </w:p>
    <w:p w14:paraId="7350BFDD" w14:textId="21151C6D" w:rsidR="00A07225" w:rsidRPr="00450240" w:rsidRDefault="00A07225" w:rsidP="00964D65">
      <w:pPr>
        <w:pStyle w:val="PwCNormal"/>
        <w:numPr>
          <w:ilvl w:val="0"/>
          <w:numId w:val="33"/>
        </w:numPr>
      </w:pPr>
      <w:r w:rsidRPr="00450240">
        <w:t xml:space="preserve">We estimated the lifetime cost for the people in this class to be </w:t>
      </w:r>
      <w:r w:rsidRPr="00450240">
        <w:rPr>
          <w:b/>
        </w:rPr>
        <w:t>$2</w:t>
      </w:r>
      <w:r>
        <w:rPr>
          <w:b/>
        </w:rPr>
        <w:t>10</w:t>
      </w:r>
      <w:r w:rsidRPr="00450240">
        <w:rPr>
          <w:b/>
        </w:rPr>
        <w:t>bn</w:t>
      </w:r>
      <w:r w:rsidRPr="00450240">
        <w:t xml:space="preserve"> (or </w:t>
      </w:r>
      <w:r w:rsidRPr="00450240">
        <w:rPr>
          <w:b/>
        </w:rPr>
        <w:t>4.5%</w:t>
      </w:r>
      <w:r w:rsidRPr="00450240">
        <w:t xml:space="preserve"> of the total lifetime cost). The average lifetime cost for people in this class is </w:t>
      </w:r>
      <w:r w:rsidRPr="00450240">
        <w:rPr>
          <w:b/>
        </w:rPr>
        <w:t>$485,000</w:t>
      </w:r>
      <w:r w:rsidRPr="00450240">
        <w:t>, a significantly higher amount than for the Studying or Working Age class. The variation by age and gender illustrated in the figure below.</w:t>
      </w:r>
    </w:p>
    <w:p w14:paraId="7BDD6DEE" w14:textId="1885484C" w:rsidR="00A07225" w:rsidRPr="00450240" w:rsidRDefault="00A07225" w:rsidP="00A07225">
      <w:pPr>
        <w:pStyle w:val="Caption"/>
      </w:pPr>
      <w:bookmarkStart w:id="225" w:name="_Ref466031145"/>
      <w:r w:rsidRPr="00450240">
        <w:lastRenderedPageBreak/>
        <w:t xml:space="preserve">Figure </w:t>
      </w:r>
      <w:fldSimple w:instr=" SEQ Figure \* ARABIC ">
        <w:r w:rsidR="00C93C1A">
          <w:rPr>
            <w:noProof/>
          </w:rPr>
          <w:t>63</w:t>
        </w:r>
      </w:fldSimple>
      <w:bookmarkEnd w:id="225"/>
      <w:r w:rsidRPr="00450240">
        <w:t>: Average lifetime cost by age and gender (</w:t>
      </w:r>
      <w:r w:rsidR="00871E70">
        <w:t>c</w:t>
      </w:r>
      <w:r w:rsidRPr="00450240">
        <w:t>lass 3)</w:t>
      </w:r>
    </w:p>
    <w:tbl>
      <w:tblPr>
        <w:tblStyle w:val="Tables-APBase"/>
        <w:tblW w:w="512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687"/>
        <w:gridCol w:w="3648"/>
      </w:tblGrid>
      <w:tr w:rsidR="00A07225" w:rsidRPr="009210D0" w14:paraId="384AA79C" w14:textId="77777777" w:rsidTr="007629AE">
        <w:trPr>
          <w:trHeight w:val="3402"/>
          <w:tblHeader/>
        </w:trPr>
        <w:tc>
          <w:tcPr>
            <w:tcW w:w="6236" w:type="dxa"/>
            <w:hideMark/>
          </w:tcPr>
          <w:p w14:paraId="78CF2BFC" w14:textId="1D94357E" w:rsidR="00A07225" w:rsidRPr="00450240" w:rsidRDefault="00434D82" w:rsidP="00407066">
            <w:pPr>
              <w:pStyle w:val="TableTextSmall"/>
              <w:keepNext/>
              <w:rPr>
                <w:lang w:eastAsia="en-AU"/>
              </w:rPr>
            </w:pPr>
            <w:r w:rsidRPr="00434D82">
              <w:rPr>
                <w:noProof/>
                <w:lang w:eastAsia="en-AU"/>
              </w:rPr>
              <w:drawing>
                <wp:inline distT="0" distB="0" distL="0" distR="0" wp14:anchorId="54E022D5" wp14:editId="5B14BE8B">
                  <wp:extent cx="3713957" cy="2160000"/>
                  <wp:effectExtent l="0" t="0" r="0" b="0"/>
                  <wp:docPr id="3842" name="Picture 3842" descr="This figure is a horizontal bar chart showing average lifetime cost by age for males and females separately. The vertical axis shows age with the data shown ranging from 16 to 64. The horizontal axis shows the average lifetime cost with the data shown ranging from $0 to $8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433,000 individuals who were in the parenting class at 30 June 2017. &#10;&#10;The average lifetime costs of males steadily decreases with age from  $350,000 at age 20 to $310,000 at age 59.&#10;&#10;For females, average lifetime cost decreases with age up to about age 40. Females aged 16 have an average lifetime cost of about $690,000 and this falls to $430,000 at age 40. The average lifetime cost for females aged above 40 is about $440,000.&#10;&#10;The features shown in the chart are discussed further in the accompanying text within the report.&#10;" title="Average lifetime cost by age and gender (clas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713957" cy="2160000"/>
                          </a:xfrm>
                          <a:prstGeom prst="rect">
                            <a:avLst/>
                          </a:prstGeom>
                          <a:noFill/>
                          <a:ln>
                            <a:noFill/>
                          </a:ln>
                        </pic:spPr>
                      </pic:pic>
                    </a:graphicData>
                  </a:graphic>
                </wp:inline>
              </w:drawing>
            </w:r>
          </w:p>
        </w:tc>
        <w:tc>
          <w:tcPr>
            <w:tcW w:w="3402" w:type="dxa"/>
          </w:tcPr>
          <w:p w14:paraId="3ED74B5F" w14:textId="77777777" w:rsidR="00A07225" w:rsidRPr="00450240" w:rsidRDefault="00A07225" w:rsidP="00407066">
            <w:pPr>
              <w:pStyle w:val="TableTextSmall"/>
              <w:keepNext/>
              <w:rPr>
                <w:lang w:eastAsia="en-AU"/>
              </w:rPr>
            </w:pPr>
          </w:p>
          <w:p w14:paraId="647359D8" w14:textId="77777777" w:rsidR="00A07225" w:rsidRPr="00450240" w:rsidRDefault="00A07225" w:rsidP="00407066">
            <w:pPr>
              <w:pStyle w:val="TableTextSmall"/>
              <w:keepNext/>
              <w:rPr>
                <w:lang w:eastAsia="en-AU"/>
              </w:rPr>
            </w:pPr>
            <w:r w:rsidRPr="00450240">
              <w:rPr>
                <w:noProof/>
                <w:lang w:eastAsia="en-AU"/>
              </w:rPr>
              <w:drawing>
                <wp:inline distT="0" distB="0" distL="0" distR="0" wp14:anchorId="468125A9" wp14:editId="140FC513">
                  <wp:extent cx="1082771" cy="1620000"/>
                  <wp:effectExtent l="0" t="0" r="0" b="0"/>
                  <wp:docPr id="3140" name="Picture 3140"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2771" cy="1620000"/>
                          </a:xfrm>
                          <a:prstGeom prst="rect">
                            <a:avLst/>
                          </a:prstGeom>
                          <a:noFill/>
                          <a:ln>
                            <a:noFill/>
                          </a:ln>
                        </pic:spPr>
                      </pic:pic>
                    </a:graphicData>
                  </a:graphic>
                </wp:inline>
              </w:drawing>
            </w:r>
          </w:p>
        </w:tc>
      </w:tr>
    </w:tbl>
    <w:p w14:paraId="6DFC5CE7" w14:textId="77777777" w:rsidR="007629AE" w:rsidRPr="00450240" w:rsidRDefault="007629AE" w:rsidP="00964D65">
      <w:pPr>
        <w:pStyle w:val="PwCNormal"/>
        <w:numPr>
          <w:ilvl w:val="0"/>
          <w:numId w:val="33"/>
        </w:numPr>
      </w:pPr>
      <w:r w:rsidRPr="00450240">
        <w:t>There is significant variation by age and gender illustrated in the figure above.</w:t>
      </w:r>
    </w:p>
    <w:p w14:paraId="05850CD2" w14:textId="77777777" w:rsidR="007629AE" w:rsidRPr="00450240" w:rsidRDefault="007629AE" w:rsidP="007629AE">
      <w:pPr>
        <w:pStyle w:val="PwCNormal"/>
        <w:numPr>
          <w:ilvl w:val="0"/>
          <w:numId w:val="0"/>
        </w:numPr>
      </w:pPr>
      <w:r>
        <w:t>T</w:t>
      </w:r>
      <w:r w:rsidRPr="00450240">
        <w:t xml:space="preserve">he average lifetime cost </w:t>
      </w:r>
      <w:r>
        <w:t xml:space="preserve">for men </w:t>
      </w:r>
      <w:r w:rsidRPr="00450240">
        <w:t>is much lower than for wom</w:t>
      </w:r>
      <w:r w:rsidRPr="005344A8">
        <w:t>en ($342,000 for men compared to $497,000 for women)</w:t>
      </w:r>
      <w:r w:rsidRPr="00450240">
        <w:t>. This reflects the previous observation, that women typically receive higher annual payments as a result of receiving more FTB and family payments.</w:t>
      </w:r>
    </w:p>
    <w:p w14:paraId="5C49945A" w14:textId="7DD25932" w:rsidR="007629AE" w:rsidRPr="00450240" w:rsidRDefault="007629AE" w:rsidP="007629AE">
      <w:pPr>
        <w:pStyle w:val="PwCNormal"/>
        <w:numPr>
          <w:ilvl w:val="0"/>
          <w:numId w:val="0"/>
        </w:numPr>
      </w:pPr>
      <w:r w:rsidRPr="00450240">
        <w:t xml:space="preserve">The average lifetime costs are higher for the younger people in the class, especially the younger women. This is because they are more likely to stay on </w:t>
      </w:r>
      <w:r w:rsidR="006067D2">
        <w:t>P</w:t>
      </w:r>
      <w:r w:rsidRPr="00450240">
        <w:t>arenting and FTB payments for longer and also may be more likely to transition to other types of income support.</w:t>
      </w:r>
    </w:p>
    <w:p w14:paraId="0DCD2627" w14:textId="1BC56E8B" w:rsidR="007629AE" w:rsidRPr="00450240" w:rsidRDefault="007629AE" w:rsidP="007629AE">
      <w:pPr>
        <w:pStyle w:val="PwCNormal"/>
        <w:numPr>
          <w:ilvl w:val="0"/>
          <w:numId w:val="0"/>
        </w:numPr>
      </w:pPr>
      <w:r w:rsidRPr="00450240">
        <w:t xml:space="preserve">The average lifetime costs also have small but clear contributions from both </w:t>
      </w:r>
      <w:r w:rsidR="00346132">
        <w:t>D</w:t>
      </w:r>
      <w:r w:rsidRPr="00450240">
        <w:t xml:space="preserve">isability </w:t>
      </w:r>
      <w:r w:rsidR="00346132">
        <w:t>S</w:t>
      </w:r>
      <w:r w:rsidRPr="00450240">
        <w:t xml:space="preserve">upport and </w:t>
      </w:r>
      <w:r w:rsidR="00346132">
        <w:t>C</w:t>
      </w:r>
      <w:r w:rsidRPr="00450240">
        <w:t>arer payments. These reflect the likelihood of people in the Parenting class to move into these classes in future years.</w:t>
      </w:r>
    </w:p>
    <w:p w14:paraId="504C6F07" w14:textId="600EE1FD" w:rsidR="000E7587" w:rsidRDefault="000E7587" w:rsidP="001B78F7">
      <w:pPr>
        <w:pStyle w:val="PwCNormal"/>
        <w:numPr>
          <w:ilvl w:val="0"/>
          <w:numId w:val="0"/>
        </w:numPr>
      </w:pPr>
      <w:r w:rsidRPr="001B78F7">
        <w:t>To further explore differences in the average lifetime costs for people within class 3, we have prepared the table below, which shows the average lifetime cost for 30</w:t>
      </w:r>
      <w:r w:rsidR="00710E45" w:rsidRPr="001B78F7">
        <w:t xml:space="preserve"> to </w:t>
      </w:r>
      <w:r w:rsidRPr="001B78F7">
        <w:t xml:space="preserve">39 year olds currently receiving </w:t>
      </w:r>
      <w:r w:rsidR="0070204F" w:rsidRPr="001B78F7">
        <w:t>P</w:t>
      </w:r>
      <w:r w:rsidRPr="001B78F7">
        <w:t xml:space="preserve">arenting payments, split by key characteristics. We have selected a </w:t>
      </w:r>
      <w:r w:rsidR="000131CD">
        <w:t xml:space="preserve">set </w:t>
      </w:r>
      <w:r w:rsidRPr="001B78F7">
        <w:t>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w:t>
      </w:r>
      <w:r w:rsidR="00003814">
        <w:t xml:space="preserve"> Further, the variations and relativities to the average lifetime cost that have been shown may differ for other age bands.</w:t>
      </w:r>
    </w:p>
    <w:p w14:paraId="1F4C3484" w14:textId="319F0873" w:rsidR="000E7587" w:rsidRDefault="000E7587" w:rsidP="000E7587">
      <w:pPr>
        <w:pStyle w:val="Caption"/>
      </w:pPr>
      <w:r w:rsidRPr="003719FC">
        <w:lastRenderedPageBreak/>
        <w:t xml:space="preserve">Table </w:t>
      </w:r>
      <w:fldSimple w:instr=" SEQ Table \* ARABIC ">
        <w:r w:rsidR="00C93C1A">
          <w:rPr>
            <w:noProof/>
          </w:rPr>
          <w:t>27</w:t>
        </w:r>
      </w:fldSimple>
      <w:r w:rsidRPr="003719FC">
        <w:t xml:space="preserve">: </w:t>
      </w:r>
      <w:r>
        <w:t>Average lifetime cost for 30</w:t>
      </w:r>
      <w:r w:rsidR="00710E45">
        <w:t xml:space="preserve"> to </w:t>
      </w:r>
      <w:r>
        <w:t>39 year old Parenting payment recipients split by key characteristics</w:t>
      </w:r>
    </w:p>
    <w:tbl>
      <w:tblPr>
        <w:tblStyle w:val="ListTable3-Accent61"/>
        <w:tblW w:w="9781" w:type="dxa"/>
        <w:tblInd w:w="108" w:type="dxa"/>
        <w:tblLayout w:type="fixed"/>
        <w:tblLook w:val="04A0" w:firstRow="1" w:lastRow="0" w:firstColumn="1" w:lastColumn="0" w:noHBand="0" w:noVBand="1"/>
        <w:tblCaption w:val="Average lifetime cost for 30 to 39 year old Parenting payment recipients split by key characteristics"/>
        <w:tblDescription w:val="This table displays the average lifetime costs of 30 to 39 year olds on parenting payments by key characteristics. The columns show the number of people, number of people as % of cohort, average lifetime cost, and average lifetime cost relative to the whole cohort. The rows show data for five different key characteristics, marital status, number of children, age of youngest child, earnings, and whether received ‘Other Carer’ payment. This is further divided by their respective categories. &#10;&#10;Further features of the data in this table are discussed in the accompanying text within the report.&#10;"/>
      </w:tblPr>
      <w:tblGrid>
        <w:gridCol w:w="3828"/>
        <w:gridCol w:w="1134"/>
        <w:gridCol w:w="1606"/>
        <w:gridCol w:w="1606"/>
        <w:gridCol w:w="1607"/>
      </w:tblGrid>
      <w:tr w:rsidR="006114CC" w:rsidRPr="006114CC" w14:paraId="08936D73" w14:textId="77777777" w:rsidTr="00E42ACF">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100" w:firstRow="0" w:lastRow="0" w:firstColumn="1" w:lastColumn="0" w:oddVBand="0" w:evenVBand="0" w:oddHBand="0" w:evenHBand="0" w:firstRowFirstColumn="1" w:firstRowLastColumn="0" w:lastRowFirstColumn="0" w:lastRowLastColumn="0"/>
            <w:tcW w:w="3828" w:type="dxa"/>
            <w:noWrap/>
            <w:hideMark/>
          </w:tcPr>
          <w:p w14:paraId="35FC73E8" w14:textId="77777777" w:rsidR="006114CC" w:rsidRPr="00660D81" w:rsidRDefault="006114CC" w:rsidP="00C36A7A">
            <w:pPr>
              <w:pStyle w:val="TableTextSmall"/>
              <w:keepNext/>
              <w:rPr>
                <w:rFonts w:asciiTheme="majorHAnsi" w:hAnsiTheme="majorHAnsi"/>
                <w:bCs w:val="0"/>
                <w:color w:val="FFFFFF" w:themeColor="background1"/>
                <w:lang w:eastAsia="en-AU"/>
              </w:rPr>
            </w:pPr>
          </w:p>
        </w:tc>
        <w:tc>
          <w:tcPr>
            <w:tcW w:w="1134" w:type="dxa"/>
            <w:noWrap/>
            <w:hideMark/>
          </w:tcPr>
          <w:p w14:paraId="30F75324"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w:t>
            </w:r>
          </w:p>
        </w:tc>
        <w:tc>
          <w:tcPr>
            <w:tcW w:w="1606" w:type="dxa"/>
            <w:hideMark/>
          </w:tcPr>
          <w:p w14:paraId="1B3D46F9"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 as % of cohort</w:t>
            </w:r>
          </w:p>
        </w:tc>
        <w:tc>
          <w:tcPr>
            <w:tcW w:w="1606" w:type="dxa"/>
            <w:hideMark/>
          </w:tcPr>
          <w:p w14:paraId="18D88F75"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w:t>
            </w:r>
          </w:p>
        </w:tc>
        <w:tc>
          <w:tcPr>
            <w:tcW w:w="1607" w:type="dxa"/>
          </w:tcPr>
          <w:p w14:paraId="47043C8B"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relative to cohort</w:t>
            </w:r>
          </w:p>
        </w:tc>
      </w:tr>
      <w:tr w:rsidR="0069611A" w:rsidRPr="006114CC" w14:paraId="3A5CC014"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shd w:val="clear" w:color="auto" w:fill="F7DCE1" w:themeFill="accent4" w:themeFillTint="33"/>
            <w:noWrap/>
            <w:hideMark/>
          </w:tcPr>
          <w:p w14:paraId="1ADA9D29" w14:textId="77777777" w:rsidR="0069611A" w:rsidRPr="006114CC" w:rsidRDefault="0069611A" w:rsidP="0069611A">
            <w:pPr>
              <w:pStyle w:val="TableTextSmall"/>
              <w:keepNext/>
              <w:rPr>
                <w:rFonts w:asciiTheme="majorHAnsi" w:hAnsiTheme="majorHAnsi"/>
                <w:bCs w:val="0"/>
                <w:color w:val="595959" w:themeColor="text1" w:themeTint="A6"/>
                <w:lang w:eastAsia="en-AU"/>
              </w:rPr>
            </w:pPr>
            <w:r w:rsidRPr="006114CC">
              <w:rPr>
                <w:rFonts w:ascii="Arial" w:hAnsi="Arial"/>
                <w:color w:val="595959"/>
                <w:szCs w:val="16"/>
              </w:rPr>
              <w:t>Total</w:t>
            </w:r>
          </w:p>
        </w:tc>
        <w:tc>
          <w:tcPr>
            <w:tcW w:w="1134" w:type="dxa"/>
            <w:shd w:val="clear" w:color="auto" w:fill="F7DCE1" w:themeFill="accent4" w:themeFillTint="33"/>
            <w:noWrap/>
            <w:hideMark/>
          </w:tcPr>
          <w:p w14:paraId="4FCBF334"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114CC">
              <w:rPr>
                <w:rFonts w:ascii="Arial" w:hAnsi="Arial"/>
                <w:b/>
                <w:bCs/>
                <w:color w:val="595959"/>
                <w:szCs w:val="16"/>
              </w:rPr>
              <w:t>189,000</w:t>
            </w:r>
          </w:p>
        </w:tc>
        <w:tc>
          <w:tcPr>
            <w:tcW w:w="1606" w:type="dxa"/>
            <w:shd w:val="clear" w:color="auto" w:fill="F7DCE1" w:themeFill="accent4" w:themeFillTint="33"/>
            <w:noWrap/>
            <w:hideMark/>
          </w:tcPr>
          <w:p w14:paraId="5E3DEC67"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114CC">
              <w:rPr>
                <w:rFonts w:ascii="Arial" w:hAnsi="Arial"/>
                <w:b/>
                <w:bCs/>
                <w:color w:val="595959"/>
                <w:szCs w:val="16"/>
              </w:rPr>
              <w:t>100%</w:t>
            </w:r>
          </w:p>
        </w:tc>
        <w:tc>
          <w:tcPr>
            <w:tcW w:w="1606" w:type="dxa"/>
            <w:shd w:val="clear" w:color="auto" w:fill="F7DCE1" w:themeFill="accent4" w:themeFillTint="33"/>
            <w:noWrap/>
            <w:vAlign w:val="bottom"/>
          </w:tcPr>
          <w:p w14:paraId="08A31572" w14:textId="3D13EDF5"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456,000</w:t>
            </w:r>
          </w:p>
        </w:tc>
        <w:tc>
          <w:tcPr>
            <w:tcW w:w="1607" w:type="dxa"/>
            <w:shd w:val="clear" w:color="auto" w:fill="F7DCE1" w:themeFill="accent4" w:themeFillTint="33"/>
            <w:vAlign w:val="bottom"/>
          </w:tcPr>
          <w:p w14:paraId="737A6AB6" w14:textId="409CA31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r>
      <w:tr w:rsidR="0069611A" w:rsidRPr="006114CC" w14:paraId="11C0A9EA"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hideMark/>
          </w:tcPr>
          <w:p w14:paraId="134191C4" w14:textId="77777777" w:rsidR="0069611A" w:rsidRPr="006114CC" w:rsidRDefault="0069611A" w:rsidP="0069611A">
            <w:pPr>
              <w:pStyle w:val="TableTextSmall"/>
              <w:keepNext/>
              <w:rPr>
                <w:rFonts w:asciiTheme="majorHAnsi" w:hAnsiTheme="majorHAnsi"/>
                <w:bCs w:val="0"/>
                <w:i/>
                <w:color w:val="595959" w:themeColor="text1" w:themeTint="A6"/>
                <w:lang w:eastAsia="en-AU"/>
              </w:rPr>
            </w:pPr>
            <w:r w:rsidRPr="006114CC">
              <w:rPr>
                <w:rFonts w:ascii="Arial" w:hAnsi="Arial"/>
                <w:color w:val="595959"/>
                <w:szCs w:val="16"/>
              </w:rPr>
              <w:t>Marital status</w:t>
            </w:r>
          </w:p>
        </w:tc>
        <w:tc>
          <w:tcPr>
            <w:tcW w:w="1134" w:type="dxa"/>
            <w:tcBorders>
              <w:top w:val="single" w:sz="4" w:space="0" w:color="E0301E" w:themeColor="accent6"/>
              <w:bottom w:val="nil"/>
            </w:tcBorders>
            <w:noWrap/>
            <w:hideMark/>
          </w:tcPr>
          <w:p w14:paraId="5581BF27"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p>
        </w:tc>
        <w:tc>
          <w:tcPr>
            <w:tcW w:w="1606" w:type="dxa"/>
            <w:tcBorders>
              <w:top w:val="single" w:sz="4" w:space="0" w:color="E0301E" w:themeColor="accent6"/>
              <w:bottom w:val="nil"/>
            </w:tcBorders>
            <w:noWrap/>
            <w:hideMark/>
          </w:tcPr>
          <w:p w14:paraId="6D8F28C9"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6" w:type="dxa"/>
            <w:tcBorders>
              <w:top w:val="single" w:sz="4" w:space="0" w:color="E0301E" w:themeColor="accent6"/>
              <w:bottom w:val="nil"/>
            </w:tcBorders>
            <w:noWrap/>
            <w:vAlign w:val="bottom"/>
          </w:tcPr>
          <w:p w14:paraId="281C9D42"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7" w:type="dxa"/>
            <w:tcBorders>
              <w:top w:val="single" w:sz="4" w:space="0" w:color="E0301E" w:themeColor="accent6"/>
              <w:bottom w:val="nil"/>
              <w:right w:val="single" w:sz="4" w:space="0" w:color="E0301E" w:themeColor="accent6"/>
            </w:tcBorders>
            <w:vAlign w:val="bottom"/>
          </w:tcPr>
          <w:p w14:paraId="6CC9B8BA"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r>
      <w:tr w:rsidR="0069611A" w:rsidRPr="006114CC" w14:paraId="5DA183D1"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hideMark/>
          </w:tcPr>
          <w:p w14:paraId="274330AE" w14:textId="77777777" w:rsidR="0069611A" w:rsidRPr="006114CC" w:rsidRDefault="0069611A" w:rsidP="0069611A">
            <w:pPr>
              <w:pStyle w:val="TableTextSmall"/>
              <w:keepNext/>
              <w:rPr>
                <w:rFonts w:asciiTheme="majorHAnsi" w:hAnsiTheme="majorHAnsi"/>
                <w:b w:val="0"/>
                <w:bCs w:val="0"/>
                <w:i/>
                <w:color w:val="595959" w:themeColor="text1" w:themeTint="A6"/>
                <w:lang w:eastAsia="en-AU"/>
              </w:rPr>
            </w:pPr>
            <w:r w:rsidRPr="006114CC">
              <w:rPr>
                <w:rFonts w:ascii="Arial" w:hAnsi="Arial"/>
                <w:i/>
                <w:iCs/>
                <w:color w:val="595959"/>
                <w:szCs w:val="16"/>
              </w:rPr>
              <w:t xml:space="preserve">    - Single</w:t>
            </w:r>
          </w:p>
        </w:tc>
        <w:tc>
          <w:tcPr>
            <w:tcW w:w="1134" w:type="dxa"/>
            <w:tcBorders>
              <w:top w:val="nil"/>
              <w:bottom w:val="nil"/>
            </w:tcBorders>
            <w:noWrap/>
            <w:hideMark/>
          </w:tcPr>
          <w:p w14:paraId="57AF3F4D"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lang w:eastAsia="en-AU"/>
              </w:rPr>
            </w:pPr>
            <w:r w:rsidRPr="006114CC">
              <w:rPr>
                <w:rFonts w:ascii="Arial" w:hAnsi="Arial"/>
                <w:color w:val="595959"/>
                <w:szCs w:val="16"/>
              </w:rPr>
              <w:t>116,000</w:t>
            </w:r>
          </w:p>
        </w:tc>
        <w:tc>
          <w:tcPr>
            <w:tcW w:w="1606" w:type="dxa"/>
            <w:tcBorders>
              <w:top w:val="nil"/>
              <w:bottom w:val="nil"/>
            </w:tcBorders>
            <w:noWrap/>
            <w:hideMark/>
          </w:tcPr>
          <w:p w14:paraId="791C60BC"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sidRPr="006114CC">
              <w:rPr>
                <w:rFonts w:ascii="Arial" w:hAnsi="Arial"/>
                <w:color w:val="595959"/>
                <w:szCs w:val="16"/>
              </w:rPr>
              <w:t>62%</w:t>
            </w:r>
          </w:p>
        </w:tc>
        <w:tc>
          <w:tcPr>
            <w:tcW w:w="1606" w:type="dxa"/>
            <w:tcBorders>
              <w:top w:val="nil"/>
              <w:bottom w:val="nil"/>
            </w:tcBorders>
            <w:noWrap/>
            <w:vAlign w:val="bottom"/>
          </w:tcPr>
          <w:p w14:paraId="50B7FE7D" w14:textId="5429E0C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516,000</w:t>
            </w:r>
          </w:p>
        </w:tc>
        <w:tc>
          <w:tcPr>
            <w:tcW w:w="1607" w:type="dxa"/>
            <w:tcBorders>
              <w:top w:val="nil"/>
              <w:bottom w:val="nil"/>
              <w:right w:val="single" w:sz="4" w:space="0" w:color="E0301E" w:themeColor="accent6"/>
            </w:tcBorders>
            <w:vAlign w:val="bottom"/>
          </w:tcPr>
          <w:p w14:paraId="3DAAD45B" w14:textId="65A1254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113%</w:t>
            </w:r>
          </w:p>
        </w:tc>
      </w:tr>
      <w:tr w:rsidR="0069611A" w:rsidRPr="006114CC" w14:paraId="08FAC4BC"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184AE430"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Partnered</w:t>
            </w:r>
          </w:p>
        </w:tc>
        <w:tc>
          <w:tcPr>
            <w:tcW w:w="1134" w:type="dxa"/>
            <w:tcBorders>
              <w:top w:val="nil"/>
              <w:bottom w:val="single" w:sz="4" w:space="0" w:color="E0301E" w:themeColor="accent6"/>
            </w:tcBorders>
            <w:noWrap/>
          </w:tcPr>
          <w:p w14:paraId="0C20B133"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72,000</w:t>
            </w:r>
          </w:p>
        </w:tc>
        <w:tc>
          <w:tcPr>
            <w:tcW w:w="1606" w:type="dxa"/>
            <w:tcBorders>
              <w:top w:val="nil"/>
              <w:bottom w:val="single" w:sz="4" w:space="0" w:color="E0301E" w:themeColor="accent6"/>
            </w:tcBorders>
            <w:noWrap/>
          </w:tcPr>
          <w:p w14:paraId="5D3AA800"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38%</w:t>
            </w:r>
          </w:p>
        </w:tc>
        <w:tc>
          <w:tcPr>
            <w:tcW w:w="1606" w:type="dxa"/>
            <w:tcBorders>
              <w:top w:val="nil"/>
              <w:bottom w:val="single" w:sz="4" w:space="0" w:color="E0301E" w:themeColor="accent6"/>
            </w:tcBorders>
            <w:noWrap/>
            <w:vAlign w:val="bottom"/>
          </w:tcPr>
          <w:p w14:paraId="2E4BE3DD" w14:textId="72211A91"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359,000</w:t>
            </w:r>
          </w:p>
        </w:tc>
        <w:tc>
          <w:tcPr>
            <w:tcW w:w="1607" w:type="dxa"/>
            <w:tcBorders>
              <w:top w:val="nil"/>
              <w:bottom w:val="single" w:sz="4" w:space="0" w:color="E0301E" w:themeColor="accent6"/>
              <w:right w:val="single" w:sz="4" w:space="0" w:color="E0301E" w:themeColor="accent6"/>
            </w:tcBorders>
            <w:vAlign w:val="bottom"/>
          </w:tcPr>
          <w:p w14:paraId="30716349" w14:textId="7B0528D4"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79%</w:t>
            </w:r>
          </w:p>
        </w:tc>
      </w:tr>
      <w:tr w:rsidR="0069611A" w:rsidRPr="006114CC" w14:paraId="1F22DB13"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tcPr>
          <w:p w14:paraId="175A1247"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Number of children</w:t>
            </w:r>
          </w:p>
        </w:tc>
        <w:tc>
          <w:tcPr>
            <w:tcW w:w="1134" w:type="dxa"/>
            <w:tcBorders>
              <w:bottom w:val="nil"/>
            </w:tcBorders>
            <w:noWrap/>
          </w:tcPr>
          <w:p w14:paraId="757BE72F"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tcPr>
          <w:p w14:paraId="2D60FB86"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7C9E0A7C"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560529D6"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68748C6C"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173B23B3"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- 1 child</w:t>
            </w:r>
          </w:p>
        </w:tc>
        <w:tc>
          <w:tcPr>
            <w:tcW w:w="1134" w:type="dxa"/>
            <w:tcBorders>
              <w:top w:val="nil"/>
              <w:bottom w:val="nil"/>
            </w:tcBorders>
            <w:noWrap/>
          </w:tcPr>
          <w:p w14:paraId="52D53B8E"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43,000</w:t>
            </w:r>
          </w:p>
        </w:tc>
        <w:tc>
          <w:tcPr>
            <w:tcW w:w="1606" w:type="dxa"/>
            <w:tcBorders>
              <w:top w:val="nil"/>
              <w:bottom w:val="nil"/>
            </w:tcBorders>
            <w:noWrap/>
          </w:tcPr>
          <w:p w14:paraId="595A92E5"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23%</w:t>
            </w:r>
          </w:p>
        </w:tc>
        <w:tc>
          <w:tcPr>
            <w:tcW w:w="1606" w:type="dxa"/>
            <w:tcBorders>
              <w:top w:val="nil"/>
              <w:bottom w:val="nil"/>
            </w:tcBorders>
            <w:noWrap/>
            <w:vAlign w:val="bottom"/>
          </w:tcPr>
          <w:p w14:paraId="02C25301" w14:textId="0FFC4C7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403,000</w:t>
            </w:r>
          </w:p>
        </w:tc>
        <w:tc>
          <w:tcPr>
            <w:tcW w:w="1607" w:type="dxa"/>
            <w:tcBorders>
              <w:top w:val="nil"/>
              <w:bottom w:val="nil"/>
              <w:right w:val="single" w:sz="4" w:space="0" w:color="E0301E" w:themeColor="accent6"/>
            </w:tcBorders>
            <w:vAlign w:val="bottom"/>
          </w:tcPr>
          <w:p w14:paraId="73F711D8" w14:textId="5D0E706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88%</w:t>
            </w:r>
          </w:p>
        </w:tc>
      </w:tr>
      <w:tr w:rsidR="0069611A" w:rsidRPr="006114CC" w14:paraId="527E29F0"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5A3BECDD"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- 2 children</w:t>
            </w:r>
          </w:p>
        </w:tc>
        <w:tc>
          <w:tcPr>
            <w:tcW w:w="1134" w:type="dxa"/>
            <w:tcBorders>
              <w:top w:val="nil"/>
              <w:bottom w:val="nil"/>
            </w:tcBorders>
            <w:noWrap/>
          </w:tcPr>
          <w:p w14:paraId="47FACE20"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62,000</w:t>
            </w:r>
          </w:p>
        </w:tc>
        <w:tc>
          <w:tcPr>
            <w:tcW w:w="1606" w:type="dxa"/>
            <w:tcBorders>
              <w:top w:val="nil"/>
              <w:bottom w:val="nil"/>
            </w:tcBorders>
            <w:noWrap/>
          </w:tcPr>
          <w:p w14:paraId="7BC2746B"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33%</w:t>
            </w:r>
          </w:p>
        </w:tc>
        <w:tc>
          <w:tcPr>
            <w:tcW w:w="1606" w:type="dxa"/>
            <w:tcBorders>
              <w:top w:val="nil"/>
              <w:bottom w:val="nil"/>
            </w:tcBorders>
            <w:noWrap/>
            <w:vAlign w:val="bottom"/>
          </w:tcPr>
          <w:p w14:paraId="6DF9220E" w14:textId="0DFA42C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415,000</w:t>
            </w:r>
          </w:p>
        </w:tc>
        <w:tc>
          <w:tcPr>
            <w:tcW w:w="1607" w:type="dxa"/>
            <w:tcBorders>
              <w:top w:val="nil"/>
              <w:bottom w:val="nil"/>
              <w:right w:val="single" w:sz="4" w:space="0" w:color="E0301E" w:themeColor="accent6"/>
            </w:tcBorders>
            <w:vAlign w:val="bottom"/>
          </w:tcPr>
          <w:p w14:paraId="099C7697" w14:textId="54E1C58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91%</w:t>
            </w:r>
          </w:p>
        </w:tc>
      </w:tr>
      <w:tr w:rsidR="0069611A" w:rsidRPr="006114CC" w14:paraId="4C1FF13F"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4D1BC709"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- 3+ children</w:t>
            </w:r>
          </w:p>
        </w:tc>
        <w:tc>
          <w:tcPr>
            <w:tcW w:w="1134" w:type="dxa"/>
            <w:tcBorders>
              <w:top w:val="nil"/>
              <w:bottom w:val="single" w:sz="4" w:space="0" w:color="E0301E" w:themeColor="accent6"/>
            </w:tcBorders>
            <w:noWrap/>
          </w:tcPr>
          <w:p w14:paraId="3DAF7EDC"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84,000</w:t>
            </w:r>
          </w:p>
        </w:tc>
        <w:tc>
          <w:tcPr>
            <w:tcW w:w="1606" w:type="dxa"/>
            <w:tcBorders>
              <w:top w:val="nil"/>
              <w:bottom w:val="single" w:sz="4" w:space="0" w:color="E0301E" w:themeColor="accent6"/>
            </w:tcBorders>
            <w:noWrap/>
          </w:tcPr>
          <w:p w14:paraId="10A2888E"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44%</w:t>
            </w:r>
          </w:p>
        </w:tc>
        <w:tc>
          <w:tcPr>
            <w:tcW w:w="1606" w:type="dxa"/>
            <w:tcBorders>
              <w:top w:val="nil"/>
              <w:bottom w:val="single" w:sz="4" w:space="0" w:color="E0301E" w:themeColor="accent6"/>
            </w:tcBorders>
            <w:noWrap/>
            <w:vAlign w:val="bottom"/>
          </w:tcPr>
          <w:p w14:paraId="465D5FC4" w14:textId="7464C7E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514,000</w:t>
            </w:r>
          </w:p>
        </w:tc>
        <w:tc>
          <w:tcPr>
            <w:tcW w:w="1607" w:type="dxa"/>
            <w:tcBorders>
              <w:top w:val="nil"/>
              <w:bottom w:val="single" w:sz="4" w:space="0" w:color="E0301E" w:themeColor="accent6"/>
              <w:right w:val="single" w:sz="4" w:space="0" w:color="E0301E" w:themeColor="accent6"/>
            </w:tcBorders>
            <w:vAlign w:val="bottom"/>
          </w:tcPr>
          <w:p w14:paraId="072FB42E" w14:textId="5956CC2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113%</w:t>
            </w:r>
          </w:p>
        </w:tc>
      </w:tr>
      <w:tr w:rsidR="0069611A" w:rsidRPr="006114CC" w14:paraId="014FC5B3"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tcPr>
          <w:p w14:paraId="0076E1FF"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Age of youngest child</w:t>
            </w:r>
          </w:p>
        </w:tc>
        <w:tc>
          <w:tcPr>
            <w:tcW w:w="1134" w:type="dxa"/>
            <w:tcBorders>
              <w:bottom w:val="nil"/>
            </w:tcBorders>
            <w:noWrap/>
          </w:tcPr>
          <w:p w14:paraId="6BC89A86"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tcPr>
          <w:p w14:paraId="09DCEAF0"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7B2DB98C"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24343130"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6056404D"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6C600D89"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New born</w:t>
            </w:r>
          </w:p>
        </w:tc>
        <w:tc>
          <w:tcPr>
            <w:tcW w:w="1134" w:type="dxa"/>
            <w:tcBorders>
              <w:top w:val="nil"/>
              <w:bottom w:val="nil"/>
            </w:tcBorders>
            <w:noWrap/>
          </w:tcPr>
          <w:p w14:paraId="3BF432BD"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23,000</w:t>
            </w:r>
          </w:p>
        </w:tc>
        <w:tc>
          <w:tcPr>
            <w:tcW w:w="1606" w:type="dxa"/>
            <w:tcBorders>
              <w:top w:val="nil"/>
              <w:bottom w:val="nil"/>
            </w:tcBorders>
            <w:noWrap/>
          </w:tcPr>
          <w:p w14:paraId="224B4651"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12%</w:t>
            </w:r>
          </w:p>
        </w:tc>
        <w:tc>
          <w:tcPr>
            <w:tcW w:w="1606" w:type="dxa"/>
            <w:tcBorders>
              <w:top w:val="nil"/>
              <w:bottom w:val="nil"/>
            </w:tcBorders>
            <w:noWrap/>
            <w:vAlign w:val="bottom"/>
          </w:tcPr>
          <w:p w14:paraId="3CD55A1B" w14:textId="71E2D426"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516,000</w:t>
            </w:r>
          </w:p>
        </w:tc>
        <w:tc>
          <w:tcPr>
            <w:tcW w:w="1607" w:type="dxa"/>
            <w:tcBorders>
              <w:top w:val="nil"/>
              <w:bottom w:val="nil"/>
              <w:right w:val="single" w:sz="4" w:space="0" w:color="E0301E" w:themeColor="accent6"/>
            </w:tcBorders>
            <w:vAlign w:val="bottom"/>
          </w:tcPr>
          <w:p w14:paraId="5FEE9EFD" w14:textId="25F1A9C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113%</w:t>
            </w:r>
          </w:p>
        </w:tc>
      </w:tr>
      <w:tr w:rsidR="0069611A" w:rsidRPr="006114CC" w14:paraId="7E4F0A7C"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67EDB57E"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- 1-6 Years old</w:t>
            </w:r>
          </w:p>
        </w:tc>
        <w:tc>
          <w:tcPr>
            <w:tcW w:w="1134" w:type="dxa"/>
            <w:tcBorders>
              <w:top w:val="nil"/>
              <w:bottom w:val="nil"/>
            </w:tcBorders>
            <w:noWrap/>
          </w:tcPr>
          <w:p w14:paraId="255895B7"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147,000</w:t>
            </w:r>
          </w:p>
        </w:tc>
        <w:tc>
          <w:tcPr>
            <w:tcW w:w="1606" w:type="dxa"/>
            <w:tcBorders>
              <w:top w:val="nil"/>
              <w:bottom w:val="nil"/>
            </w:tcBorders>
            <w:noWrap/>
          </w:tcPr>
          <w:p w14:paraId="52745962"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78%</w:t>
            </w:r>
          </w:p>
        </w:tc>
        <w:tc>
          <w:tcPr>
            <w:tcW w:w="1606" w:type="dxa"/>
            <w:tcBorders>
              <w:top w:val="nil"/>
              <w:bottom w:val="nil"/>
            </w:tcBorders>
            <w:noWrap/>
            <w:vAlign w:val="bottom"/>
          </w:tcPr>
          <w:p w14:paraId="5495DE84" w14:textId="430BB17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454,000</w:t>
            </w:r>
          </w:p>
        </w:tc>
        <w:tc>
          <w:tcPr>
            <w:tcW w:w="1607" w:type="dxa"/>
            <w:tcBorders>
              <w:top w:val="nil"/>
              <w:bottom w:val="nil"/>
              <w:right w:val="single" w:sz="4" w:space="0" w:color="E0301E" w:themeColor="accent6"/>
            </w:tcBorders>
            <w:vAlign w:val="bottom"/>
          </w:tcPr>
          <w:p w14:paraId="14864699" w14:textId="32A4824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100%</w:t>
            </w:r>
          </w:p>
        </w:tc>
      </w:tr>
      <w:tr w:rsidR="0069611A" w:rsidRPr="006114CC" w14:paraId="3741BEA9"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39522C03"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- 7-8 Years old</w:t>
            </w:r>
          </w:p>
        </w:tc>
        <w:tc>
          <w:tcPr>
            <w:tcW w:w="1134" w:type="dxa"/>
            <w:tcBorders>
              <w:top w:val="nil"/>
              <w:bottom w:val="single" w:sz="4" w:space="0" w:color="E0301E" w:themeColor="accent6"/>
            </w:tcBorders>
            <w:noWrap/>
          </w:tcPr>
          <w:p w14:paraId="206F3766"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17,000</w:t>
            </w:r>
          </w:p>
        </w:tc>
        <w:tc>
          <w:tcPr>
            <w:tcW w:w="1606" w:type="dxa"/>
            <w:tcBorders>
              <w:top w:val="nil"/>
              <w:bottom w:val="single" w:sz="4" w:space="0" w:color="E0301E" w:themeColor="accent6"/>
            </w:tcBorders>
            <w:noWrap/>
          </w:tcPr>
          <w:p w14:paraId="65AD0265"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9%</w:t>
            </w:r>
          </w:p>
        </w:tc>
        <w:tc>
          <w:tcPr>
            <w:tcW w:w="1606" w:type="dxa"/>
            <w:tcBorders>
              <w:top w:val="nil"/>
              <w:bottom w:val="single" w:sz="4" w:space="0" w:color="E0301E" w:themeColor="accent6"/>
            </w:tcBorders>
            <w:noWrap/>
            <w:vAlign w:val="bottom"/>
          </w:tcPr>
          <w:p w14:paraId="3941BB54" w14:textId="6C264896"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400,000</w:t>
            </w:r>
          </w:p>
        </w:tc>
        <w:tc>
          <w:tcPr>
            <w:tcW w:w="1607" w:type="dxa"/>
            <w:tcBorders>
              <w:top w:val="nil"/>
              <w:bottom w:val="single" w:sz="4" w:space="0" w:color="E0301E" w:themeColor="accent6"/>
              <w:right w:val="single" w:sz="4" w:space="0" w:color="E0301E" w:themeColor="accent6"/>
            </w:tcBorders>
            <w:vAlign w:val="bottom"/>
          </w:tcPr>
          <w:p w14:paraId="29BC48CE" w14:textId="13BB933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88%</w:t>
            </w:r>
          </w:p>
        </w:tc>
      </w:tr>
      <w:tr w:rsidR="0069611A" w:rsidRPr="006114CC" w14:paraId="6A2F1338"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tcPr>
          <w:p w14:paraId="703C193B"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Earnings</w:t>
            </w:r>
          </w:p>
        </w:tc>
        <w:tc>
          <w:tcPr>
            <w:tcW w:w="1134" w:type="dxa"/>
            <w:tcBorders>
              <w:bottom w:val="nil"/>
            </w:tcBorders>
            <w:noWrap/>
          </w:tcPr>
          <w:p w14:paraId="4CA0E358"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tcPr>
          <w:p w14:paraId="533E8AFF"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21674549"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11D9C389"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3807C268"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2B012AE1"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No earnings</w:t>
            </w:r>
          </w:p>
        </w:tc>
        <w:tc>
          <w:tcPr>
            <w:tcW w:w="1134" w:type="dxa"/>
            <w:tcBorders>
              <w:top w:val="nil"/>
              <w:bottom w:val="nil"/>
            </w:tcBorders>
            <w:noWrap/>
          </w:tcPr>
          <w:p w14:paraId="66D6C3EA"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114,000</w:t>
            </w:r>
          </w:p>
        </w:tc>
        <w:tc>
          <w:tcPr>
            <w:tcW w:w="1606" w:type="dxa"/>
            <w:tcBorders>
              <w:top w:val="nil"/>
              <w:bottom w:val="nil"/>
            </w:tcBorders>
            <w:noWrap/>
          </w:tcPr>
          <w:p w14:paraId="5826E177"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61%</w:t>
            </w:r>
          </w:p>
        </w:tc>
        <w:tc>
          <w:tcPr>
            <w:tcW w:w="1606" w:type="dxa"/>
            <w:tcBorders>
              <w:top w:val="nil"/>
              <w:bottom w:val="nil"/>
            </w:tcBorders>
            <w:noWrap/>
            <w:vAlign w:val="bottom"/>
          </w:tcPr>
          <w:p w14:paraId="66A47CED" w14:textId="1E0A531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486,000</w:t>
            </w:r>
          </w:p>
        </w:tc>
        <w:tc>
          <w:tcPr>
            <w:tcW w:w="1607" w:type="dxa"/>
            <w:tcBorders>
              <w:top w:val="nil"/>
              <w:bottom w:val="nil"/>
              <w:right w:val="single" w:sz="4" w:space="0" w:color="E0301E" w:themeColor="accent6"/>
            </w:tcBorders>
            <w:vAlign w:val="bottom"/>
          </w:tcPr>
          <w:p w14:paraId="4F59831D" w14:textId="0D23154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107%</w:t>
            </w:r>
          </w:p>
        </w:tc>
      </w:tr>
      <w:tr w:rsidR="0069611A" w:rsidRPr="006114CC" w14:paraId="6089E454"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tcBorders>
            <w:noWrap/>
          </w:tcPr>
          <w:p w14:paraId="1CB9E594"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Has earnings</w:t>
            </w:r>
          </w:p>
        </w:tc>
        <w:tc>
          <w:tcPr>
            <w:tcW w:w="1134" w:type="dxa"/>
            <w:tcBorders>
              <w:top w:val="nil"/>
            </w:tcBorders>
            <w:noWrap/>
          </w:tcPr>
          <w:p w14:paraId="22A9116B"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74,000</w:t>
            </w:r>
          </w:p>
        </w:tc>
        <w:tc>
          <w:tcPr>
            <w:tcW w:w="1606" w:type="dxa"/>
            <w:tcBorders>
              <w:top w:val="nil"/>
            </w:tcBorders>
            <w:noWrap/>
          </w:tcPr>
          <w:p w14:paraId="4B0E079E"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39%</w:t>
            </w:r>
          </w:p>
        </w:tc>
        <w:tc>
          <w:tcPr>
            <w:tcW w:w="1606" w:type="dxa"/>
            <w:tcBorders>
              <w:top w:val="nil"/>
            </w:tcBorders>
            <w:noWrap/>
            <w:vAlign w:val="bottom"/>
          </w:tcPr>
          <w:p w14:paraId="744718C1" w14:textId="15F39F1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409,000</w:t>
            </w:r>
          </w:p>
        </w:tc>
        <w:tc>
          <w:tcPr>
            <w:tcW w:w="1607" w:type="dxa"/>
            <w:tcBorders>
              <w:top w:val="nil"/>
              <w:right w:val="single" w:sz="4" w:space="0" w:color="E0301E" w:themeColor="accent6"/>
            </w:tcBorders>
            <w:vAlign w:val="bottom"/>
          </w:tcPr>
          <w:p w14:paraId="668D9494" w14:textId="3E2B9AA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90%</w:t>
            </w:r>
          </w:p>
        </w:tc>
      </w:tr>
      <w:tr w:rsidR="0069611A" w:rsidRPr="006114CC" w14:paraId="5F896122"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tcPr>
          <w:p w14:paraId="2509604E"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Received 'Other Carer' payment</w:t>
            </w:r>
          </w:p>
        </w:tc>
        <w:tc>
          <w:tcPr>
            <w:tcW w:w="1134" w:type="dxa"/>
            <w:tcBorders>
              <w:top w:val="single" w:sz="4" w:space="0" w:color="E0301E" w:themeColor="accent6"/>
              <w:bottom w:val="nil"/>
            </w:tcBorders>
            <w:noWrap/>
          </w:tcPr>
          <w:p w14:paraId="73C0587D"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tcPr>
          <w:p w14:paraId="350FB08B"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35F48529"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top w:val="single" w:sz="4" w:space="0" w:color="E0301E" w:themeColor="accent6"/>
              <w:bottom w:val="nil"/>
              <w:right w:val="single" w:sz="4" w:space="0" w:color="E0301E" w:themeColor="accent6"/>
            </w:tcBorders>
            <w:vAlign w:val="bottom"/>
          </w:tcPr>
          <w:p w14:paraId="00A5465F"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114CC" w14:paraId="22DA6DCA"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34603F27"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No</w:t>
            </w:r>
          </w:p>
        </w:tc>
        <w:tc>
          <w:tcPr>
            <w:tcW w:w="1134" w:type="dxa"/>
            <w:tcBorders>
              <w:top w:val="nil"/>
              <w:bottom w:val="nil"/>
            </w:tcBorders>
            <w:noWrap/>
          </w:tcPr>
          <w:p w14:paraId="6B638C63"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176,000</w:t>
            </w:r>
          </w:p>
        </w:tc>
        <w:tc>
          <w:tcPr>
            <w:tcW w:w="1606" w:type="dxa"/>
            <w:tcBorders>
              <w:top w:val="nil"/>
              <w:bottom w:val="nil"/>
            </w:tcBorders>
            <w:noWrap/>
          </w:tcPr>
          <w:p w14:paraId="650DAE45"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93%</w:t>
            </w:r>
          </w:p>
        </w:tc>
        <w:tc>
          <w:tcPr>
            <w:tcW w:w="1606" w:type="dxa"/>
            <w:tcBorders>
              <w:top w:val="nil"/>
              <w:bottom w:val="nil"/>
            </w:tcBorders>
            <w:noWrap/>
            <w:vAlign w:val="bottom"/>
          </w:tcPr>
          <w:p w14:paraId="58E37417" w14:textId="29D8322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452,000</w:t>
            </w:r>
          </w:p>
        </w:tc>
        <w:tc>
          <w:tcPr>
            <w:tcW w:w="1607" w:type="dxa"/>
            <w:tcBorders>
              <w:top w:val="nil"/>
              <w:bottom w:val="nil"/>
              <w:right w:val="single" w:sz="4" w:space="0" w:color="E0301E" w:themeColor="accent6"/>
            </w:tcBorders>
            <w:vAlign w:val="bottom"/>
          </w:tcPr>
          <w:p w14:paraId="28E98D32" w14:textId="66092BA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99%</w:t>
            </w:r>
          </w:p>
        </w:tc>
      </w:tr>
      <w:tr w:rsidR="0069611A" w:rsidRPr="006114CC" w14:paraId="526838BF"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30B2A1D2"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Yes</w:t>
            </w:r>
          </w:p>
        </w:tc>
        <w:tc>
          <w:tcPr>
            <w:tcW w:w="1134" w:type="dxa"/>
            <w:tcBorders>
              <w:top w:val="nil"/>
              <w:bottom w:val="single" w:sz="4" w:space="0" w:color="E0301E" w:themeColor="accent6"/>
            </w:tcBorders>
            <w:noWrap/>
          </w:tcPr>
          <w:p w14:paraId="4FF6BB0C"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12,000</w:t>
            </w:r>
          </w:p>
        </w:tc>
        <w:tc>
          <w:tcPr>
            <w:tcW w:w="1606" w:type="dxa"/>
            <w:tcBorders>
              <w:top w:val="nil"/>
              <w:bottom w:val="single" w:sz="4" w:space="0" w:color="E0301E" w:themeColor="accent6"/>
            </w:tcBorders>
            <w:noWrap/>
          </w:tcPr>
          <w:p w14:paraId="47729952"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7%</w:t>
            </w:r>
          </w:p>
        </w:tc>
        <w:tc>
          <w:tcPr>
            <w:tcW w:w="1606" w:type="dxa"/>
            <w:tcBorders>
              <w:top w:val="nil"/>
              <w:bottom w:val="single" w:sz="4" w:space="0" w:color="E0301E" w:themeColor="accent6"/>
            </w:tcBorders>
            <w:noWrap/>
            <w:vAlign w:val="bottom"/>
          </w:tcPr>
          <w:p w14:paraId="1270B017" w14:textId="08DCA0E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505,000</w:t>
            </w:r>
          </w:p>
        </w:tc>
        <w:tc>
          <w:tcPr>
            <w:tcW w:w="1607" w:type="dxa"/>
            <w:tcBorders>
              <w:top w:val="nil"/>
              <w:bottom w:val="single" w:sz="4" w:space="0" w:color="E0301E" w:themeColor="accent6"/>
              <w:right w:val="single" w:sz="4" w:space="0" w:color="E0301E" w:themeColor="accent6"/>
            </w:tcBorders>
            <w:vAlign w:val="bottom"/>
          </w:tcPr>
          <w:p w14:paraId="082018E8" w14:textId="1316763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111%</w:t>
            </w:r>
          </w:p>
        </w:tc>
      </w:tr>
    </w:tbl>
    <w:p w14:paraId="03C695E9" w14:textId="3521D522" w:rsidR="000E7587" w:rsidRDefault="000E7587" w:rsidP="00964D65">
      <w:pPr>
        <w:pStyle w:val="PwCNormal"/>
        <w:numPr>
          <w:ilvl w:val="0"/>
          <w:numId w:val="33"/>
        </w:numPr>
      </w:pPr>
      <w:r w:rsidRPr="00434AE3">
        <w:t xml:space="preserve">From the </w:t>
      </w:r>
      <w:r>
        <w:t>table</w:t>
      </w:r>
      <w:r w:rsidRPr="00434AE3">
        <w:t>, we can see that</w:t>
      </w:r>
      <w:r>
        <w:t xml:space="preserve"> for the current cohort of 30</w:t>
      </w:r>
      <w:r w:rsidR="00710E45">
        <w:t xml:space="preserve"> to </w:t>
      </w:r>
      <w:r>
        <w:t xml:space="preserve">39 year old </w:t>
      </w:r>
      <w:r w:rsidR="0070204F">
        <w:t>P</w:t>
      </w:r>
      <w:r>
        <w:t>arenting payment recipients:</w:t>
      </w:r>
    </w:p>
    <w:p w14:paraId="7471B587" w14:textId="77777777" w:rsidR="000E7587" w:rsidRDefault="000E7587" w:rsidP="000E7587">
      <w:pPr>
        <w:pStyle w:val="ListBullet"/>
      </w:pPr>
      <w:r w:rsidRPr="00005D4E">
        <w:t xml:space="preserve">Single </w:t>
      </w:r>
      <w:r>
        <w:t>parents</w:t>
      </w:r>
      <w:r w:rsidRPr="00005D4E">
        <w:t xml:space="preserve"> have a higher average lifetime cost than partnered </w:t>
      </w:r>
      <w:r>
        <w:t>parents.</w:t>
      </w:r>
    </w:p>
    <w:p w14:paraId="494DEA7D" w14:textId="77777777" w:rsidR="000E7587" w:rsidRDefault="000E7587" w:rsidP="000E7587">
      <w:pPr>
        <w:pStyle w:val="ListBullet"/>
      </w:pPr>
      <w:r>
        <w:t>Those with more children, or younger children tend to have higher average lifetime costs.</w:t>
      </w:r>
    </w:p>
    <w:p w14:paraId="25E2E8C8" w14:textId="4E20D4FE" w:rsidR="00A07225" w:rsidRPr="0057506F" w:rsidRDefault="000E7587" w:rsidP="00964D65">
      <w:pPr>
        <w:pStyle w:val="PwCNormal"/>
        <w:numPr>
          <w:ilvl w:val="0"/>
          <w:numId w:val="33"/>
        </w:numPr>
      </w:pPr>
      <w:r>
        <w:t>Those without earnings in the year have higher average lifetime costs.</w:t>
      </w:r>
    </w:p>
    <w:p w14:paraId="5C4445A3" w14:textId="77777777" w:rsidR="00B51738" w:rsidRPr="00503C17" w:rsidRDefault="00B51738" w:rsidP="00B51738">
      <w:pPr>
        <w:pStyle w:val="Minorheading"/>
      </w:pPr>
      <w:r w:rsidRPr="00503C17">
        <w:t xml:space="preserve">Change in lifetime costs since the </w:t>
      </w:r>
      <w:r>
        <w:t>2016</w:t>
      </w:r>
      <w:r w:rsidRPr="00503C17">
        <w:t xml:space="preserve"> valuation</w:t>
      </w:r>
    </w:p>
    <w:p w14:paraId="423053A3" w14:textId="5FF5BF74" w:rsidR="00B51738" w:rsidRPr="00503C17" w:rsidRDefault="00B51738" w:rsidP="00B51738">
      <w:pPr>
        <w:pStyle w:val="PwCNormal"/>
        <w:numPr>
          <w:ilvl w:val="0"/>
          <w:numId w:val="0"/>
        </w:numPr>
      </w:pPr>
      <w:r w:rsidRPr="00503C17">
        <w:t xml:space="preserve">The lifetime cost for the people in this class </w:t>
      </w:r>
      <w:r w:rsidR="002B231E">
        <w:t>is</w:t>
      </w:r>
      <w:r w:rsidRPr="00503C17">
        <w:t xml:space="preserve"> $2</w:t>
      </w:r>
      <w:r>
        <w:t>10</w:t>
      </w:r>
      <w:r w:rsidRPr="00503C17">
        <w:t>bn</w:t>
      </w:r>
      <w:r w:rsidR="002B231E">
        <w:t>,</w:t>
      </w:r>
      <w:r w:rsidRPr="00503C17">
        <w:t xml:space="preserve"> an increase of $</w:t>
      </w:r>
      <w:r>
        <w:t>3</w:t>
      </w:r>
      <w:r w:rsidRPr="00503C17">
        <w:t xml:space="preserve">bn </w:t>
      </w:r>
      <w:r>
        <w:t xml:space="preserve">(1.3%) </w:t>
      </w:r>
      <w:r w:rsidRPr="00503C17">
        <w:t xml:space="preserve">compared to the </w:t>
      </w:r>
      <w:r w:rsidR="001749D8">
        <w:t>June 2016</w:t>
      </w:r>
      <w:r w:rsidR="001749D8" w:rsidRPr="00503C17">
        <w:t xml:space="preserve"> </w:t>
      </w:r>
      <w:r w:rsidRPr="00503C17">
        <w:t xml:space="preserve">valuation. This was driven by </w:t>
      </w:r>
      <w:r>
        <w:t>an increase in the average cost and slightly offset by a reduction in the number of people in this class</w:t>
      </w:r>
      <w:r w:rsidRPr="00503C17">
        <w:t>:</w:t>
      </w:r>
    </w:p>
    <w:p w14:paraId="53056164" w14:textId="77777777" w:rsidR="00B51738" w:rsidRPr="00503C17" w:rsidRDefault="00B51738" w:rsidP="002757B8">
      <w:pPr>
        <w:pStyle w:val="ListBullet"/>
      </w:pPr>
      <w:r w:rsidRPr="00503C17">
        <w:t xml:space="preserve">The number of people in this class has </w:t>
      </w:r>
      <w:r>
        <w:t>reduced</w:t>
      </w:r>
      <w:r w:rsidRPr="00503C17">
        <w:t xml:space="preserve"> slightly since the previous valuation as a result of lower than expected </w:t>
      </w:r>
      <w:r>
        <w:t xml:space="preserve">entries into the </w:t>
      </w:r>
      <w:r w:rsidRPr="00503C17">
        <w:t>class over the year.</w:t>
      </w:r>
    </w:p>
    <w:p w14:paraId="1076169E" w14:textId="78868E75" w:rsidR="00B51738" w:rsidRPr="00503C17" w:rsidRDefault="00B51738" w:rsidP="002757B8">
      <w:pPr>
        <w:pStyle w:val="ListBullet"/>
      </w:pPr>
      <w:r w:rsidRPr="00503C17">
        <w:t>The average cost has increased by $</w:t>
      </w:r>
      <w:r>
        <w:t>1</w:t>
      </w:r>
      <w:r w:rsidR="008D4D1B">
        <w:t>1</w:t>
      </w:r>
      <w:r>
        <w:t>,000 (2.</w:t>
      </w:r>
      <w:r w:rsidR="008D4D1B">
        <w:t>2</w:t>
      </w:r>
      <w:r w:rsidRPr="00503C17">
        <w:t>%) since the previous valuation. The following table provides a breakdown of the change in average lifetime cost by payment category.</w:t>
      </w:r>
    </w:p>
    <w:p w14:paraId="1D4E6459" w14:textId="35330393" w:rsidR="00B51738" w:rsidRPr="0041439A" w:rsidRDefault="00B51738" w:rsidP="00B51738">
      <w:pPr>
        <w:pStyle w:val="Caption"/>
      </w:pPr>
      <w:r w:rsidRPr="0041439A">
        <w:t xml:space="preserve">Table </w:t>
      </w:r>
      <w:fldSimple w:instr=" SEQ Table \* ARABIC ">
        <w:r w:rsidR="00C93C1A">
          <w:rPr>
            <w:noProof/>
          </w:rPr>
          <w:t>28</w:t>
        </w:r>
      </w:fldSimple>
      <w:r w:rsidRPr="0041439A">
        <w:t xml:space="preserve">: Breakdown of change in average lifetime cost for </w:t>
      </w:r>
      <w:r w:rsidR="00871E70">
        <w:t>c</w:t>
      </w:r>
      <w:r w:rsidRPr="0041439A">
        <w:t>lass 3 by payment category</w:t>
      </w:r>
    </w:p>
    <w:tbl>
      <w:tblPr>
        <w:tblStyle w:val="ListTable3-Accent62"/>
        <w:tblW w:w="9781" w:type="dxa"/>
        <w:tblInd w:w="108" w:type="dxa"/>
        <w:tblLayout w:type="fixed"/>
        <w:tblCellMar>
          <w:left w:w="57" w:type="dxa"/>
          <w:right w:w="57" w:type="dxa"/>
        </w:tblCellMar>
        <w:tblLook w:val="04A0" w:firstRow="1" w:lastRow="0" w:firstColumn="1" w:lastColumn="0" w:noHBand="0" w:noVBand="1"/>
        <w:tblCaption w:val=" Breakdown of change in average lifetime cost for Class 3 by payment category"/>
        <w:tblDescription w:val="This table shows the breakdown of the total change in average lifetime cost for Class 3 into; change in people in class, change in inflation, policy changes and other changes. These are shown as rows in the table.&#10;&#10;The changes in lifetime cost are considered by relevant payment categories for Class 3; IS Parenting, IS Other (excluding the pension), IS Age Pension, Non IS Family Supplements and Non IS Other Supplements. These are shown as columns in the table alongside a total change column.&#10;Further features of the data in this table are discussed in the accompanying text within the report.&#10;"/>
      </w:tblPr>
      <w:tblGrid>
        <w:gridCol w:w="3119"/>
        <w:gridCol w:w="1276"/>
        <w:gridCol w:w="992"/>
        <w:gridCol w:w="992"/>
        <w:gridCol w:w="992"/>
        <w:gridCol w:w="1205"/>
        <w:gridCol w:w="1205"/>
      </w:tblGrid>
      <w:tr w:rsidR="00B51738" w:rsidRPr="0041439A" w14:paraId="0ABEF68B"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636C5F9B" w14:textId="77777777" w:rsidR="00B51738" w:rsidRPr="0041439A" w:rsidRDefault="00B51738" w:rsidP="000D73F9">
            <w:pPr>
              <w:pStyle w:val="TableTextSmall"/>
              <w:keepNext/>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4F9C9CC4" w14:textId="77777777" w:rsidR="00B51738" w:rsidRPr="0041439A" w:rsidRDefault="00B51738" w:rsidP="000D73F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992" w:type="dxa"/>
            <w:tcBorders>
              <w:left w:val="single" w:sz="4" w:space="0" w:color="FFFFFF" w:themeColor="background1"/>
              <w:bottom w:val="single" w:sz="4" w:space="0" w:color="FFFFFF" w:themeColor="background1"/>
              <w:right w:val="nil"/>
            </w:tcBorders>
          </w:tcPr>
          <w:p w14:paraId="4636F4C7" w14:textId="77777777" w:rsidR="00B51738" w:rsidRPr="0041439A" w:rsidRDefault="00B51738" w:rsidP="000D73F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p>
        </w:tc>
        <w:tc>
          <w:tcPr>
            <w:tcW w:w="992" w:type="dxa"/>
            <w:tcBorders>
              <w:left w:val="nil"/>
              <w:bottom w:val="single" w:sz="4" w:space="0" w:color="FFFFFF" w:themeColor="background1"/>
              <w:right w:val="nil"/>
            </w:tcBorders>
          </w:tcPr>
          <w:p w14:paraId="45594D82" w14:textId="77777777" w:rsidR="00B51738" w:rsidRPr="0041439A" w:rsidRDefault="00B51738" w:rsidP="000D73F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rPr>
            </w:pPr>
            <w:r w:rsidRPr="0041439A">
              <w:rPr>
                <w:rFonts w:asciiTheme="majorHAnsi" w:hAnsiTheme="majorHAnsi"/>
                <w:color w:val="FFFFFF" w:themeColor="background1"/>
              </w:rPr>
              <w:t>IS</w:t>
            </w:r>
          </w:p>
        </w:tc>
        <w:tc>
          <w:tcPr>
            <w:tcW w:w="992" w:type="dxa"/>
            <w:tcBorders>
              <w:left w:val="nil"/>
              <w:bottom w:val="single" w:sz="4" w:space="0" w:color="FFFFFF" w:themeColor="background1"/>
              <w:right w:val="single" w:sz="4" w:space="0" w:color="FFFFFF" w:themeColor="background1"/>
            </w:tcBorders>
          </w:tcPr>
          <w:p w14:paraId="0DFF5E8E" w14:textId="77777777" w:rsidR="00B51738" w:rsidRPr="0041439A" w:rsidRDefault="00B51738" w:rsidP="000D73F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05" w:type="dxa"/>
            <w:tcBorders>
              <w:left w:val="single" w:sz="4" w:space="0" w:color="FFFFFF" w:themeColor="background1"/>
              <w:bottom w:val="single" w:sz="4" w:space="0" w:color="FFFFFF" w:themeColor="background1"/>
            </w:tcBorders>
          </w:tcPr>
          <w:p w14:paraId="18DB1766" w14:textId="77777777" w:rsidR="00B51738" w:rsidRPr="0041439A" w:rsidRDefault="00B51738" w:rsidP="000D73F9">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41439A">
              <w:rPr>
                <w:rFonts w:asciiTheme="majorHAnsi" w:hAnsiTheme="majorHAnsi"/>
                <w:color w:val="FFFFFF" w:themeColor="background1"/>
              </w:rPr>
              <w:t>Non</w:t>
            </w:r>
          </w:p>
        </w:tc>
        <w:tc>
          <w:tcPr>
            <w:tcW w:w="1205" w:type="dxa"/>
            <w:tcBorders>
              <w:bottom w:val="single" w:sz="4" w:space="0" w:color="FFFFFF" w:themeColor="background1"/>
            </w:tcBorders>
          </w:tcPr>
          <w:p w14:paraId="281D652B" w14:textId="77777777" w:rsidR="00B51738" w:rsidRPr="0041439A" w:rsidRDefault="00B51738" w:rsidP="000D73F9">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41439A">
              <w:rPr>
                <w:rFonts w:asciiTheme="majorHAnsi" w:hAnsiTheme="majorHAnsi"/>
                <w:color w:val="FFFFFF" w:themeColor="background1"/>
              </w:rPr>
              <w:t>IS</w:t>
            </w:r>
          </w:p>
        </w:tc>
      </w:tr>
      <w:tr w:rsidR="00B51738" w:rsidRPr="0041439A" w14:paraId="5F86309B"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5B04F6C1" w14:textId="77777777" w:rsidR="00B51738" w:rsidRPr="0041439A" w:rsidRDefault="00B51738" w:rsidP="000D73F9">
            <w:pPr>
              <w:pStyle w:val="TableTextSmall"/>
              <w:keepNext/>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687B3628" w14:textId="77777777" w:rsidR="00B51738" w:rsidRPr="0041439A" w:rsidRDefault="00B51738" w:rsidP="000D73F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41439A">
              <w:rPr>
                <w:rFonts w:asciiTheme="majorHAnsi" w:hAnsiTheme="majorHAnsi"/>
                <w:color w:val="FFFFFF" w:themeColor="background1"/>
              </w:rPr>
              <w:t>Total</w:t>
            </w:r>
          </w:p>
        </w:tc>
        <w:tc>
          <w:tcPr>
            <w:tcW w:w="992" w:type="dxa"/>
            <w:tcBorders>
              <w:top w:val="single" w:sz="4" w:space="0" w:color="FFFFFF" w:themeColor="background1"/>
              <w:left w:val="single" w:sz="4" w:space="0" w:color="FFFFFF" w:themeColor="background1"/>
              <w:bottom w:val="single" w:sz="4" w:space="0" w:color="E0301E" w:themeColor="accent6"/>
            </w:tcBorders>
          </w:tcPr>
          <w:p w14:paraId="59D999E3" w14:textId="77777777" w:rsidR="00B51738" w:rsidRPr="0041439A" w:rsidRDefault="00B51738" w:rsidP="000D73F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41439A">
              <w:rPr>
                <w:rFonts w:asciiTheme="majorHAnsi" w:hAnsiTheme="majorHAnsi"/>
                <w:color w:val="FFFFFF" w:themeColor="background1"/>
              </w:rPr>
              <w:t>Parenting</w:t>
            </w:r>
          </w:p>
        </w:tc>
        <w:tc>
          <w:tcPr>
            <w:tcW w:w="992" w:type="dxa"/>
            <w:tcBorders>
              <w:top w:val="single" w:sz="4" w:space="0" w:color="FFFFFF" w:themeColor="background1"/>
              <w:bottom w:val="single" w:sz="4" w:space="0" w:color="E0301E" w:themeColor="accent6"/>
            </w:tcBorders>
          </w:tcPr>
          <w:p w14:paraId="0BF16EE3" w14:textId="77777777" w:rsidR="00B51738" w:rsidRPr="0041439A" w:rsidRDefault="00B51738" w:rsidP="000D73F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41439A">
              <w:rPr>
                <w:rFonts w:asciiTheme="majorHAnsi" w:hAnsiTheme="majorHAnsi"/>
                <w:color w:val="FFFFFF" w:themeColor="background1"/>
              </w:rPr>
              <w:t>Other</w:t>
            </w:r>
            <w:r w:rsidRPr="0041439A">
              <w:rPr>
                <w:rFonts w:asciiTheme="majorHAnsi" w:hAnsiTheme="majorHAnsi"/>
                <w:color w:val="FFFFFF" w:themeColor="background1"/>
              </w:rPr>
              <w:br/>
              <w:t>(excl. Age Pension)</w:t>
            </w:r>
          </w:p>
        </w:tc>
        <w:tc>
          <w:tcPr>
            <w:tcW w:w="992" w:type="dxa"/>
            <w:tcBorders>
              <w:top w:val="single" w:sz="4" w:space="0" w:color="FFFFFF" w:themeColor="background1"/>
              <w:bottom w:val="single" w:sz="4" w:space="0" w:color="E0301E" w:themeColor="accent6"/>
              <w:right w:val="single" w:sz="4" w:space="0" w:color="FFFFFF" w:themeColor="background1"/>
            </w:tcBorders>
          </w:tcPr>
          <w:p w14:paraId="4837B0A3" w14:textId="77777777" w:rsidR="00B51738" w:rsidRPr="0041439A" w:rsidRDefault="00B51738" w:rsidP="000D73F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41439A">
              <w:rPr>
                <w:rFonts w:asciiTheme="majorHAnsi" w:hAnsiTheme="majorHAnsi"/>
                <w:color w:val="FFFFFF" w:themeColor="background1"/>
              </w:rPr>
              <w:t>Age Pension</w:t>
            </w:r>
          </w:p>
        </w:tc>
        <w:tc>
          <w:tcPr>
            <w:tcW w:w="1205" w:type="dxa"/>
            <w:tcBorders>
              <w:top w:val="single" w:sz="4" w:space="0" w:color="FFFFFF" w:themeColor="background1"/>
              <w:left w:val="single" w:sz="4" w:space="0" w:color="FFFFFF" w:themeColor="background1"/>
              <w:bottom w:val="single" w:sz="4" w:space="0" w:color="E0301E" w:themeColor="accent6"/>
            </w:tcBorders>
          </w:tcPr>
          <w:p w14:paraId="1B804392" w14:textId="77777777" w:rsidR="00B51738" w:rsidRPr="0041439A" w:rsidRDefault="00B51738" w:rsidP="000D73F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41439A">
              <w:rPr>
                <w:rFonts w:asciiTheme="majorHAnsi" w:hAnsiTheme="majorHAnsi"/>
                <w:color w:val="FFFFFF" w:themeColor="background1"/>
              </w:rPr>
              <w:t>Family Supplements</w:t>
            </w:r>
          </w:p>
        </w:tc>
        <w:tc>
          <w:tcPr>
            <w:tcW w:w="1205" w:type="dxa"/>
            <w:tcBorders>
              <w:top w:val="single" w:sz="4" w:space="0" w:color="FFFFFF" w:themeColor="background1"/>
              <w:bottom w:val="single" w:sz="4" w:space="0" w:color="E0301E" w:themeColor="accent6"/>
            </w:tcBorders>
          </w:tcPr>
          <w:p w14:paraId="22ACF02A" w14:textId="77777777" w:rsidR="00B51738" w:rsidRPr="0041439A" w:rsidRDefault="00B51738" w:rsidP="000D73F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41439A">
              <w:rPr>
                <w:rFonts w:asciiTheme="majorHAnsi" w:hAnsiTheme="majorHAnsi"/>
                <w:color w:val="FFFFFF" w:themeColor="background1"/>
              </w:rPr>
              <w:t>Other Supplements</w:t>
            </w:r>
          </w:p>
        </w:tc>
      </w:tr>
      <w:tr w:rsidR="00F5517B" w:rsidRPr="0041439A" w14:paraId="1D4B399B"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3A0390BC" w14:textId="77777777" w:rsidR="00F5517B" w:rsidRPr="0041439A" w:rsidRDefault="00F5517B" w:rsidP="00F5517B">
            <w:pPr>
              <w:pStyle w:val="TableTextSmall"/>
              <w:keepNext/>
            </w:pPr>
            <w:r w:rsidRPr="0041439A">
              <w:t>Jun-1</w:t>
            </w:r>
            <w:r>
              <w:t>6</w:t>
            </w:r>
            <w:r w:rsidRPr="0041439A">
              <w:t xml:space="preserve"> Total Lifetime Cost</w:t>
            </w:r>
          </w:p>
        </w:tc>
        <w:tc>
          <w:tcPr>
            <w:tcW w:w="1276" w:type="dxa"/>
            <w:tcBorders>
              <w:left w:val="single" w:sz="4" w:space="0" w:color="E0301E" w:themeColor="accent6"/>
              <w:bottom w:val="nil"/>
              <w:right w:val="single" w:sz="4" w:space="0" w:color="E0301E" w:themeColor="accent6"/>
            </w:tcBorders>
          </w:tcPr>
          <w:p w14:paraId="35D461C0" w14:textId="30596C7C" w:rsidR="00F5517B" w:rsidRPr="0041439A"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F2AB6">
              <w:t>$207bn</w:t>
            </w:r>
          </w:p>
        </w:tc>
        <w:tc>
          <w:tcPr>
            <w:tcW w:w="992" w:type="dxa"/>
            <w:tcBorders>
              <w:left w:val="single" w:sz="4" w:space="0" w:color="E0301E" w:themeColor="accent6"/>
              <w:bottom w:val="nil"/>
            </w:tcBorders>
            <w:shd w:val="clear" w:color="auto" w:fill="D9D9D9" w:themeFill="background1" w:themeFillShade="D9"/>
          </w:tcPr>
          <w:p w14:paraId="2FB6DA58" w14:textId="77777777" w:rsidR="00F5517B" w:rsidRPr="0041439A"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bottom w:val="nil"/>
            </w:tcBorders>
            <w:shd w:val="clear" w:color="auto" w:fill="D9D9D9" w:themeFill="background1" w:themeFillShade="D9"/>
          </w:tcPr>
          <w:p w14:paraId="14E32269" w14:textId="77777777" w:rsidR="00F5517B" w:rsidRPr="0041439A"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bottom w:val="nil"/>
              <w:right w:val="nil"/>
            </w:tcBorders>
            <w:shd w:val="clear" w:color="auto" w:fill="D9D9D9" w:themeFill="background1" w:themeFillShade="D9"/>
          </w:tcPr>
          <w:p w14:paraId="68ABD1B6" w14:textId="77777777" w:rsidR="00F5517B" w:rsidRPr="0041439A"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left w:val="nil"/>
              <w:bottom w:val="nil"/>
            </w:tcBorders>
            <w:shd w:val="clear" w:color="auto" w:fill="D9D9D9" w:themeFill="background1" w:themeFillShade="D9"/>
          </w:tcPr>
          <w:p w14:paraId="22991C78" w14:textId="77777777" w:rsidR="00F5517B" w:rsidRPr="0041439A"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bottom w:val="nil"/>
            </w:tcBorders>
            <w:shd w:val="clear" w:color="auto" w:fill="D9D9D9" w:themeFill="background1" w:themeFillShade="D9"/>
          </w:tcPr>
          <w:p w14:paraId="66E5E9E7" w14:textId="77777777" w:rsidR="00F5517B" w:rsidRPr="0041439A"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r>
      <w:tr w:rsidR="00F5517B" w:rsidRPr="0041439A" w14:paraId="5BB32298"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69EDBE5B" w14:textId="77777777" w:rsidR="00F5517B" w:rsidRPr="0041439A" w:rsidRDefault="00F5517B" w:rsidP="00F5517B">
            <w:pPr>
              <w:pStyle w:val="TableTextSmall"/>
              <w:keepNext/>
            </w:pPr>
            <w:r>
              <w:t>Jun-17</w:t>
            </w:r>
            <w:r w:rsidRPr="0041439A">
              <w:t xml:space="preserve">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tcPr>
          <w:p w14:paraId="60AC9B19" w14:textId="71A3A018" w:rsidR="00F5517B" w:rsidRPr="0041439A"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6F2AB6">
              <w:t>$210bn</w:t>
            </w:r>
          </w:p>
        </w:tc>
        <w:tc>
          <w:tcPr>
            <w:tcW w:w="992" w:type="dxa"/>
            <w:tcBorders>
              <w:top w:val="nil"/>
              <w:left w:val="single" w:sz="4" w:space="0" w:color="E0301E" w:themeColor="accent6"/>
              <w:bottom w:val="nil"/>
            </w:tcBorders>
            <w:shd w:val="clear" w:color="auto" w:fill="D9D9D9" w:themeFill="background1" w:themeFillShade="D9"/>
          </w:tcPr>
          <w:p w14:paraId="58C6F974" w14:textId="77777777" w:rsidR="00F5517B" w:rsidRPr="0041439A"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D9D9D9" w:themeFill="background1" w:themeFillShade="D9"/>
          </w:tcPr>
          <w:p w14:paraId="645CBC24" w14:textId="77777777" w:rsidR="00F5517B" w:rsidRPr="0041439A"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tcPr>
          <w:p w14:paraId="54AAAB96" w14:textId="77777777" w:rsidR="00F5517B" w:rsidRPr="0041439A"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tcPr>
          <w:p w14:paraId="328572A8" w14:textId="77777777" w:rsidR="00F5517B" w:rsidRPr="0041439A"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nil"/>
            </w:tcBorders>
            <w:shd w:val="clear" w:color="auto" w:fill="D9D9D9" w:themeFill="background1" w:themeFillShade="D9"/>
          </w:tcPr>
          <w:p w14:paraId="448C76B7" w14:textId="77777777" w:rsidR="00F5517B" w:rsidRPr="0041439A"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r>
      <w:tr w:rsidR="00F5517B" w:rsidRPr="0041439A" w14:paraId="11656CEE"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02431271" w14:textId="77777777" w:rsidR="00F5517B" w:rsidRPr="0041439A" w:rsidRDefault="00F5517B" w:rsidP="00F5517B">
            <w:pPr>
              <w:pStyle w:val="TableTextSmall"/>
              <w:keepNext/>
            </w:pPr>
            <w:r w:rsidRPr="0041439A">
              <w:t>Change in Total Lifetime Cost</w:t>
            </w:r>
          </w:p>
        </w:tc>
        <w:tc>
          <w:tcPr>
            <w:tcW w:w="1276" w:type="dxa"/>
            <w:tcBorders>
              <w:left w:val="single" w:sz="4" w:space="0" w:color="E0301E" w:themeColor="accent6"/>
              <w:bottom w:val="nil"/>
              <w:right w:val="single" w:sz="4" w:space="0" w:color="E0301E" w:themeColor="accent6"/>
            </w:tcBorders>
          </w:tcPr>
          <w:p w14:paraId="622717C5" w14:textId="2D41AAC3" w:rsidR="00F5517B" w:rsidRPr="0041439A"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F2AB6">
              <w:t>+$3bn (+1.3%)</w:t>
            </w:r>
          </w:p>
        </w:tc>
        <w:tc>
          <w:tcPr>
            <w:tcW w:w="992" w:type="dxa"/>
            <w:tcBorders>
              <w:top w:val="nil"/>
              <w:left w:val="single" w:sz="4" w:space="0" w:color="E0301E" w:themeColor="accent6"/>
              <w:bottom w:val="nil"/>
            </w:tcBorders>
            <w:shd w:val="clear" w:color="auto" w:fill="D9D9D9" w:themeFill="background1" w:themeFillShade="D9"/>
          </w:tcPr>
          <w:p w14:paraId="10C7CC8B" w14:textId="77777777" w:rsidR="00F5517B" w:rsidRPr="0041439A"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tcBorders>
            <w:shd w:val="clear" w:color="auto" w:fill="D9D9D9" w:themeFill="background1" w:themeFillShade="D9"/>
          </w:tcPr>
          <w:p w14:paraId="5BFEB128" w14:textId="77777777" w:rsidR="00F5517B" w:rsidRPr="0041439A"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tcPr>
          <w:p w14:paraId="54DF425E" w14:textId="77777777" w:rsidR="00F5517B" w:rsidRPr="0041439A"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tcPr>
          <w:p w14:paraId="1401ED23" w14:textId="77777777" w:rsidR="00F5517B" w:rsidRPr="0041439A"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bottom w:val="nil"/>
            </w:tcBorders>
            <w:shd w:val="clear" w:color="auto" w:fill="D9D9D9" w:themeFill="background1" w:themeFillShade="D9"/>
          </w:tcPr>
          <w:p w14:paraId="28F31B27" w14:textId="77777777" w:rsidR="00F5517B" w:rsidRPr="0041439A"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r>
      <w:tr w:rsidR="00F5517B" w:rsidRPr="0041439A" w14:paraId="629247C5"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7B109E0E" w14:textId="77777777" w:rsidR="00F5517B" w:rsidRPr="0041439A" w:rsidRDefault="00F5517B" w:rsidP="00F5517B">
            <w:pPr>
              <w:pStyle w:val="TableTextSmall"/>
              <w:keepNext/>
            </w:pPr>
            <w:r w:rsidRPr="003719FC">
              <w:t xml:space="preserve">Change due to </w:t>
            </w:r>
            <w:r>
              <w:t>People in Class</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tcPr>
          <w:p w14:paraId="478C76BF" w14:textId="4B40C000" w:rsidR="00F5517B" w:rsidRPr="0041439A"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6F2AB6">
              <w:t>-0.9%</w:t>
            </w:r>
          </w:p>
        </w:tc>
        <w:tc>
          <w:tcPr>
            <w:tcW w:w="992" w:type="dxa"/>
            <w:tcBorders>
              <w:top w:val="nil"/>
              <w:left w:val="single" w:sz="4" w:space="0" w:color="E0301E" w:themeColor="accent6"/>
              <w:bottom w:val="single" w:sz="4" w:space="0" w:color="E0301E" w:themeColor="accent6"/>
            </w:tcBorders>
            <w:shd w:val="clear" w:color="auto" w:fill="D9D9D9" w:themeFill="background1" w:themeFillShade="D9"/>
          </w:tcPr>
          <w:p w14:paraId="72B45A5F" w14:textId="77777777" w:rsidR="00F5517B" w:rsidRPr="0041439A"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tcBorders>
            <w:shd w:val="clear" w:color="auto" w:fill="D9D9D9" w:themeFill="background1" w:themeFillShade="D9"/>
          </w:tcPr>
          <w:p w14:paraId="0BFBD850" w14:textId="77777777" w:rsidR="00F5517B" w:rsidRPr="0041439A"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right w:val="nil"/>
            </w:tcBorders>
            <w:shd w:val="clear" w:color="auto" w:fill="D9D9D9" w:themeFill="background1" w:themeFillShade="D9"/>
          </w:tcPr>
          <w:p w14:paraId="57A63AD2" w14:textId="77777777" w:rsidR="00F5517B" w:rsidRPr="0041439A"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single" w:sz="4" w:space="0" w:color="E0301E" w:themeColor="accent6"/>
            </w:tcBorders>
            <w:shd w:val="clear" w:color="auto" w:fill="D9D9D9" w:themeFill="background1" w:themeFillShade="D9"/>
          </w:tcPr>
          <w:p w14:paraId="1F2B6840" w14:textId="77777777" w:rsidR="00F5517B" w:rsidRPr="0041439A"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single" w:sz="4" w:space="0" w:color="E0301E" w:themeColor="accent6"/>
            </w:tcBorders>
            <w:shd w:val="clear" w:color="auto" w:fill="D9D9D9" w:themeFill="background1" w:themeFillShade="D9"/>
          </w:tcPr>
          <w:p w14:paraId="5F4B308C" w14:textId="77777777" w:rsidR="00F5517B" w:rsidRPr="0041439A"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r>
      <w:tr w:rsidR="00F5517B" w:rsidRPr="0041439A" w14:paraId="4C1ACEB6"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20D83366" w14:textId="77777777" w:rsidR="00F5517B" w:rsidRPr="0041439A" w:rsidRDefault="00F5517B" w:rsidP="00F5517B">
            <w:pPr>
              <w:pStyle w:val="TableTextSmall"/>
              <w:keepNext/>
            </w:pPr>
            <w:r w:rsidRPr="0041439A">
              <w:t>Change due to Average Lifetime Cost</w:t>
            </w:r>
          </w:p>
        </w:tc>
        <w:tc>
          <w:tcPr>
            <w:tcW w:w="1276" w:type="dxa"/>
            <w:tcBorders>
              <w:left w:val="single" w:sz="4" w:space="0" w:color="E0301E" w:themeColor="accent6"/>
              <w:bottom w:val="nil"/>
              <w:right w:val="single" w:sz="4" w:space="0" w:color="E0301E" w:themeColor="accent6"/>
            </w:tcBorders>
          </w:tcPr>
          <w:p w14:paraId="213899F0" w14:textId="0E128C95" w:rsidR="00F5517B" w:rsidRPr="0041439A"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F2AB6">
              <w:t>+$11k (+2.2%)</w:t>
            </w:r>
          </w:p>
        </w:tc>
        <w:tc>
          <w:tcPr>
            <w:tcW w:w="992" w:type="dxa"/>
            <w:tcBorders>
              <w:left w:val="single" w:sz="4" w:space="0" w:color="E0301E" w:themeColor="accent6"/>
              <w:bottom w:val="nil"/>
            </w:tcBorders>
          </w:tcPr>
          <w:p w14:paraId="1376436A" w14:textId="78A7D5AA" w:rsidR="00F5517B" w:rsidRPr="0041439A"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F2AB6">
              <w:t>+$2k</w:t>
            </w:r>
          </w:p>
        </w:tc>
        <w:tc>
          <w:tcPr>
            <w:tcW w:w="992" w:type="dxa"/>
            <w:tcBorders>
              <w:bottom w:val="nil"/>
            </w:tcBorders>
          </w:tcPr>
          <w:p w14:paraId="3B04E7F7" w14:textId="59BCDB09" w:rsidR="00F5517B" w:rsidRPr="0041439A"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F2AB6">
              <w:t>-$3k</w:t>
            </w:r>
          </w:p>
        </w:tc>
        <w:tc>
          <w:tcPr>
            <w:tcW w:w="992" w:type="dxa"/>
            <w:tcBorders>
              <w:bottom w:val="nil"/>
              <w:right w:val="dashed" w:sz="4" w:space="0" w:color="E0301E" w:themeColor="accent6"/>
            </w:tcBorders>
          </w:tcPr>
          <w:p w14:paraId="4643B9E2" w14:textId="3D2BC0E9" w:rsidR="00F5517B" w:rsidRPr="0041439A"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F2AB6">
              <w:t>+$9k</w:t>
            </w:r>
          </w:p>
        </w:tc>
        <w:tc>
          <w:tcPr>
            <w:tcW w:w="1205" w:type="dxa"/>
            <w:tcBorders>
              <w:left w:val="dashed" w:sz="4" w:space="0" w:color="E0301E" w:themeColor="accent6"/>
              <w:bottom w:val="nil"/>
            </w:tcBorders>
          </w:tcPr>
          <w:p w14:paraId="2F3EF40F" w14:textId="52947FEA" w:rsidR="00F5517B" w:rsidRPr="0041439A"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F2AB6">
              <w:t>+$3k</w:t>
            </w:r>
          </w:p>
        </w:tc>
        <w:tc>
          <w:tcPr>
            <w:tcW w:w="1205" w:type="dxa"/>
            <w:tcBorders>
              <w:bottom w:val="nil"/>
            </w:tcBorders>
          </w:tcPr>
          <w:p w14:paraId="1D25BEF0" w14:textId="25FC029C" w:rsidR="00F5517B" w:rsidRPr="00F5517B" w:rsidRDefault="00F5517B" w:rsidP="00F5517B">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517B">
              <w:rPr>
                <w:color w:val="A6A6A6" w:themeColor="background1" w:themeShade="A6"/>
              </w:rPr>
              <w:t>&lt;$1k</w:t>
            </w:r>
          </w:p>
        </w:tc>
      </w:tr>
      <w:tr w:rsidR="00F5517B" w:rsidRPr="0041439A" w14:paraId="7A814444"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3B78E792" w14:textId="77777777" w:rsidR="00F5517B" w:rsidRPr="0041439A" w:rsidRDefault="00F5517B" w:rsidP="00F5517B">
            <w:pPr>
              <w:pStyle w:val="TableTextSmall"/>
              <w:keepNext/>
              <w:rPr>
                <w:b w:val="0"/>
              </w:rPr>
            </w:pPr>
            <w:r w:rsidRPr="0041439A">
              <w:t>- Impact of change in inflation</w:t>
            </w:r>
          </w:p>
        </w:tc>
        <w:tc>
          <w:tcPr>
            <w:tcW w:w="1276" w:type="dxa"/>
            <w:tcBorders>
              <w:top w:val="nil"/>
              <w:left w:val="single" w:sz="4" w:space="0" w:color="E0301E" w:themeColor="accent6"/>
              <w:bottom w:val="nil"/>
              <w:right w:val="single" w:sz="4" w:space="0" w:color="E0301E" w:themeColor="accent6"/>
            </w:tcBorders>
          </w:tcPr>
          <w:p w14:paraId="2858A282" w14:textId="4FFCE2E7" w:rsidR="00F5517B" w:rsidRPr="0041439A"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6F2AB6">
              <w:t>+$12k</w:t>
            </w:r>
          </w:p>
        </w:tc>
        <w:tc>
          <w:tcPr>
            <w:tcW w:w="992" w:type="dxa"/>
            <w:tcBorders>
              <w:top w:val="nil"/>
              <w:left w:val="single" w:sz="4" w:space="0" w:color="E0301E" w:themeColor="accent6"/>
              <w:bottom w:val="nil"/>
            </w:tcBorders>
          </w:tcPr>
          <w:p w14:paraId="6B5F203A" w14:textId="339995A8" w:rsidR="00F5517B" w:rsidRPr="0041439A"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6F2AB6">
              <w:t>+$2k</w:t>
            </w:r>
          </w:p>
        </w:tc>
        <w:tc>
          <w:tcPr>
            <w:tcW w:w="992" w:type="dxa"/>
            <w:tcBorders>
              <w:top w:val="nil"/>
              <w:bottom w:val="nil"/>
            </w:tcBorders>
          </w:tcPr>
          <w:p w14:paraId="3B644A74" w14:textId="260F0A6D" w:rsidR="00F5517B" w:rsidRPr="0041439A"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6F2AB6">
              <w:t>+$3k</w:t>
            </w:r>
          </w:p>
        </w:tc>
        <w:tc>
          <w:tcPr>
            <w:tcW w:w="992" w:type="dxa"/>
            <w:tcBorders>
              <w:top w:val="nil"/>
              <w:bottom w:val="nil"/>
              <w:right w:val="dashed" w:sz="4" w:space="0" w:color="E0301E" w:themeColor="accent6"/>
            </w:tcBorders>
          </w:tcPr>
          <w:p w14:paraId="118927E0" w14:textId="2A0FBA83" w:rsidR="00F5517B" w:rsidRPr="0041439A"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6F2AB6">
              <w:t>+$4k</w:t>
            </w:r>
          </w:p>
        </w:tc>
        <w:tc>
          <w:tcPr>
            <w:tcW w:w="1205" w:type="dxa"/>
            <w:tcBorders>
              <w:top w:val="nil"/>
              <w:left w:val="dashed" w:sz="4" w:space="0" w:color="E0301E" w:themeColor="accent6"/>
              <w:bottom w:val="nil"/>
            </w:tcBorders>
          </w:tcPr>
          <w:p w14:paraId="55CB66C9" w14:textId="3872EEEF" w:rsidR="00F5517B" w:rsidRPr="0041439A"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6F2AB6">
              <w:t>+$3k</w:t>
            </w:r>
          </w:p>
        </w:tc>
        <w:tc>
          <w:tcPr>
            <w:tcW w:w="1205" w:type="dxa"/>
            <w:tcBorders>
              <w:top w:val="nil"/>
              <w:bottom w:val="nil"/>
            </w:tcBorders>
          </w:tcPr>
          <w:p w14:paraId="7732FF83" w14:textId="2C451B45"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F5517B">
              <w:rPr>
                <w:color w:val="A6A6A6" w:themeColor="background1" w:themeShade="A6"/>
              </w:rPr>
              <w:t>&lt;$1k</w:t>
            </w:r>
          </w:p>
        </w:tc>
      </w:tr>
      <w:tr w:rsidR="007C4F65" w:rsidRPr="0041439A" w14:paraId="5B7FC7A9"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4C24D253" w14:textId="77777777" w:rsidR="007C4F65" w:rsidRPr="0041439A" w:rsidRDefault="007C4F65" w:rsidP="007C4F65">
            <w:pPr>
              <w:pStyle w:val="TableTextSmall"/>
              <w:keepNext/>
              <w:rPr>
                <w:b w:val="0"/>
              </w:rPr>
            </w:pPr>
            <w:r w:rsidRPr="0041439A">
              <w:t>- Impact of policy changes</w:t>
            </w:r>
          </w:p>
        </w:tc>
        <w:tc>
          <w:tcPr>
            <w:tcW w:w="1276" w:type="dxa"/>
            <w:tcBorders>
              <w:top w:val="nil"/>
              <w:left w:val="single" w:sz="4" w:space="0" w:color="E0301E" w:themeColor="accent6"/>
              <w:bottom w:val="nil"/>
              <w:right w:val="single" w:sz="4" w:space="0" w:color="E0301E" w:themeColor="accent6"/>
            </w:tcBorders>
          </w:tcPr>
          <w:p w14:paraId="3BA58A1A" w14:textId="7233F4BD" w:rsidR="007C4F65" w:rsidRPr="0041439A" w:rsidRDefault="007C4F65" w:rsidP="007C4F65">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F2AB6">
              <w:t>-$3k</w:t>
            </w:r>
          </w:p>
        </w:tc>
        <w:tc>
          <w:tcPr>
            <w:tcW w:w="992" w:type="dxa"/>
            <w:tcBorders>
              <w:top w:val="nil"/>
              <w:left w:val="single" w:sz="4" w:space="0" w:color="E0301E" w:themeColor="accent6"/>
              <w:bottom w:val="nil"/>
            </w:tcBorders>
          </w:tcPr>
          <w:p w14:paraId="58AFDA04" w14:textId="2BB32066"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6E60">
              <w:rPr>
                <w:color w:val="A6A6A6" w:themeColor="background1" w:themeShade="A6"/>
              </w:rPr>
              <w:t>&lt;$1k</w:t>
            </w:r>
          </w:p>
        </w:tc>
        <w:tc>
          <w:tcPr>
            <w:tcW w:w="992" w:type="dxa"/>
            <w:tcBorders>
              <w:top w:val="nil"/>
              <w:bottom w:val="nil"/>
            </w:tcBorders>
          </w:tcPr>
          <w:p w14:paraId="6D4BABBC" w14:textId="0C67A305"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6E60">
              <w:rPr>
                <w:color w:val="A6A6A6" w:themeColor="background1" w:themeShade="A6"/>
              </w:rPr>
              <w:t>&lt;$1k</w:t>
            </w:r>
          </w:p>
        </w:tc>
        <w:tc>
          <w:tcPr>
            <w:tcW w:w="992" w:type="dxa"/>
            <w:tcBorders>
              <w:top w:val="nil"/>
              <w:bottom w:val="nil"/>
              <w:right w:val="dashed" w:sz="4" w:space="0" w:color="E0301E" w:themeColor="accent6"/>
            </w:tcBorders>
          </w:tcPr>
          <w:p w14:paraId="0B0834CD" w14:textId="7EE59DED"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517B">
              <w:rPr>
                <w:color w:val="A6A6A6" w:themeColor="background1" w:themeShade="A6"/>
              </w:rPr>
              <w:t>&lt;$1k</w:t>
            </w:r>
          </w:p>
        </w:tc>
        <w:tc>
          <w:tcPr>
            <w:tcW w:w="1205" w:type="dxa"/>
            <w:tcBorders>
              <w:top w:val="nil"/>
              <w:left w:val="dashed" w:sz="4" w:space="0" w:color="E0301E" w:themeColor="accent6"/>
              <w:bottom w:val="nil"/>
            </w:tcBorders>
          </w:tcPr>
          <w:p w14:paraId="54DE465B" w14:textId="49E88642" w:rsidR="007C4F65" w:rsidRPr="0041439A" w:rsidRDefault="007C4F65" w:rsidP="007C4F65">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F2AB6">
              <w:t>-$3k</w:t>
            </w:r>
          </w:p>
        </w:tc>
        <w:tc>
          <w:tcPr>
            <w:tcW w:w="1205" w:type="dxa"/>
            <w:tcBorders>
              <w:top w:val="nil"/>
              <w:bottom w:val="nil"/>
            </w:tcBorders>
          </w:tcPr>
          <w:p w14:paraId="6E3DFF80" w14:textId="7D58557A" w:rsidR="007C4F65" w:rsidRPr="00F5517B" w:rsidRDefault="007C4F65" w:rsidP="007C4F65">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517B">
              <w:rPr>
                <w:color w:val="A6A6A6" w:themeColor="background1" w:themeShade="A6"/>
              </w:rPr>
              <w:t>&lt;$1k</w:t>
            </w:r>
          </w:p>
        </w:tc>
      </w:tr>
      <w:tr w:rsidR="00F5517B" w:rsidRPr="009210D0" w14:paraId="16F98B0D"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501B8977" w14:textId="77777777" w:rsidR="00F5517B" w:rsidRPr="0041439A" w:rsidRDefault="00F5517B" w:rsidP="00F5517B">
            <w:pPr>
              <w:pStyle w:val="TableTextSmall"/>
              <w:rPr>
                <w:b w:val="0"/>
              </w:rPr>
            </w:pPr>
            <w:r w:rsidRPr="0041439A">
              <w:t>- Impact of other changes</w:t>
            </w:r>
          </w:p>
        </w:tc>
        <w:tc>
          <w:tcPr>
            <w:tcW w:w="1276" w:type="dxa"/>
            <w:tcBorders>
              <w:top w:val="nil"/>
              <w:left w:val="single" w:sz="4" w:space="0" w:color="E0301E" w:themeColor="accent6"/>
              <w:right w:val="single" w:sz="4" w:space="0" w:color="E0301E" w:themeColor="accent6"/>
            </w:tcBorders>
          </w:tcPr>
          <w:p w14:paraId="4B7589B9" w14:textId="40D41CEF" w:rsidR="00F5517B" w:rsidRPr="0041439A"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pPr>
            <w:r w:rsidRPr="006F2AB6">
              <w:t>+$1k</w:t>
            </w:r>
          </w:p>
        </w:tc>
        <w:tc>
          <w:tcPr>
            <w:tcW w:w="992" w:type="dxa"/>
            <w:tcBorders>
              <w:top w:val="nil"/>
              <w:left w:val="single" w:sz="4" w:space="0" w:color="E0301E" w:themeColor="accent6"/>
            </w:tcBorders>
          </w:tcPr>
          <w:p w14:paraId="773162D5" w14:textId="2466E128"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F5517B">
              <w:rPr>
                <w:color w:val="A6A6A6" w:themeColor="background1" w:themeShade="A6"/>
              </w:rPr>
              <w:t>&lt;$1k</w:t>
            </w:r>
          </w:p>
        </w:tc>
        <w:tc>
          <w:tcPr>
            <w:tcW w:w="992" w:type="dxa"/>
            <w:tcBorders>
              <w:top w:val="nil"/>
            </w:tcBorders>
          </w:tcPr>
          <w:p w14:paraId="3CA98369" w14:textId="19D87754" w:rsidR="00F5517B" w:rsidRPr="0041439A"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pPr>
            <w:r w:rsidRPr="006F2AB6">
              <w:t>-$7k</w:t>
            </w:r>
          </w:p>
        </w:tc>
        <w:tc>
          <w:tcPr>
            <w:tcW w:w="992" w:type="dxa"/>
            <w:tcBorders>
              <w:top w:val="nil"/>
              <w:right w:val="dashed" w:sz="4" w:space="0" w:color="E0301E" w:themeColor="accent6"/>
            </w:tcBorders>
          </w:tcPr>
          <w:p w14:paraId="4E231AB3" w14:textId="2066830C" w:rsidR="00F5517B" w:rsidRPr="0041439A"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pPr>
            <w:r w:rsidRPr="006F2AB6">
              <w:t>+$5k</w:t>
            </w:r>
          </w:p>
        </w:tc>
        <w:tc>
          <w:tcPr>
            <w:tcW w:w="1205" w:type="dxa"/>
            <w:tcBorders>
              <w:top w:val="nil"/>
              <w:left w:val="dashed" w:sz="4" w:space="0" w:color="E0301E" w:themeColor="accent6"/>
            </w:tcBorders>
          </w:tcPr>
          <w:p w14:paraId="33C430C6" w14:textId="17BE194F" w:rsidR="00F5517B" w:rsidRPr="0041439A"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pPr>
            <w:r w:rsidRPr="006F2AB6">
              <w:t>+$2k</w:t>
            </w:r>
          </w:p>
        </w:tc>
        <w:tc>
          <w:tcPr>
            <w:tcW w:w="1205" w:type="dxa"/>
            <w:tcBorders>
              <w:top w:val="nil"/>
            </w:tcBorders>
          </w:tcPr>
          <w:p w14:paraId="088FFD6A" w14:textId="72DDBD25"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F5517B">
              <w:rPr>
                <w:color w:val="A6A6A6" w:themeColor="background1" w:themeShade="A6"/>
              </w:rPr>
              <w:t>&lt;$1k</w:t>
            </w:r>
          </w:p>
        </w:tc>
      </w:tr>
    </w:tbl>
    <w:p w14:paraId="7E582665" w14:textId="77777777" w:rsidR="00B51738" w:rsidRPr="00503C17" w:rsidRDefault="00B51738" w:rsidP="00964D65">
      <w:pPr>
        <w:pStyle w:val="PwCNormal"/>
        <w:numPr>
          <w:ilvl w:val="0"/>
          <w:numId w:val="33"/>
        </w:numPr>
      </w:pPr>
      <w:r w:rsidRPr="00503C17">
        <w:t>The increase in average cost has been primarily driven by:</w:t>
      </w:r>
    </w:p>
    <w:p w14:paraId="7675B38F" w14:textId="58187080" w:rsidR="00DC45A8" w:rsidRPr="00017177" w:rsidRDefault="00DC45A8" w:rsidP="00DC45A8">
      <w:pPr>
        <w:pStyle w:val="ListBullet"/>
      </w:pPr>
      <w:r w:rsidRPr="00017177">
        <w:lastRenderedPageBreak/>
        <w:t>an increase in the cost of future payments as a result of inflation;</w:t>
      </w:r>
    </w:p>
    <w:p w14:paraId="6CC99094" w14:textId="15F334A0" w:rsidR="00B51738" w:rsidRDefault="00B51738" w:rsidP="002757B8">
      <w:pPr>
        <w:pStyle w:val="ListBullet"/>
      </w:pPr>
      <w:r>
        <w:t>a</w:t>
      </w:r>
      <w:r w:rsidRPr="00503C17">
        <w:t xml:space="preserve">n increase in the assumed probability of people remaining in the Parenting class in response to recent experience, which leads to a longer duration </w:t>
      </w:r>
      <w:r w:rsidR="002B231E">
        <w:t xml:space="preserve">on </w:t>
      </w:r>
      <w:r w:rsidRPr="00503C17">
        <w:t xml:space="preserve">income support and </w:t>
      </w:r>
      <w:r>
        <w:t>F</w:t>
      </w:r>
      <w:r w:rsidRPr="00503C17">
        <w:t xml:space="preserve">amily </w:t>
      </w:r>
      <w:r>
        <w:t>S</w:t>
      </w:r>
      <w:r w:rsidRPr="00503C17">
        <w:t>upplements;</w:t>
      </w:r>
      <w:r w:rsidR="000672D7">
        <w:t xml:space="preserve"> and</w:t>
      </w:r>
    </w:p>
    <w:p w14:paraId="0BBC7C06" w14:textId="0C4707A4" w:rsidR="00B51738" w:rsidRDefault="00C673FB" w:rsidP="004F14F5">
      <w:pPr>
        <w:pStyle w:val="ListBullet"/>
      </w:pPr>
      <w:r w:rsidRPr="005F7C50">
        <w:t>an increase in the expected amount of Age Pension payments</w:t>
      </w:r>
      <w:r>
        <w:t xml:space="preserve"> - the average Age Pension size has been adjusted in response to the observed increase in average payments to new pensioners</w:t>
      </w:r>
      <w:r w:rsidRPr="005F7C50">
        <w:t>.</w:t>
      </w:r>
    </w:p>
    <w:p w14:paraId="58EEA834" w14:textId="77777777" w:rsidR="00B51738" w:rsidRDefault="00B51738" w:rsidP="00964D65">
      <w:pPr>
        <w:pStyle w:val="PwCNormal"/>
        <w:numPr>
          <w:ilvl w:val="0"/>
          <w:numId w:val="33"/>
        </w:numPr>
      </w:pPr>
      <w:r>
        <w:t>These increases have been partially offset by:</w:t>
      </w:r>
    </w:p>
    <w:p w14:paraId="56B7AB4E" w14:textId="58235261" w:rsidR="00B51738" w:rsidRDefault="00B51738" w:rsidP="00C673FB">
      <w:pPr>
        <w:pStyle w:val="ListBullet"/>
      </w:pPr>
      <w:r>
        <w:t>a decrease in the likelihood of transitioning to the Disability Support class</w:t>
      </w:r>
      <w:r w:rsidR="00C673FB">
        <w:t xml:space="preserve"> </w:t>
      </w:r>
      <w:r>
        <w:t xml:space="preserve">which reduces the </w:t>
      </w:r>
      <w:r w:rsidRPr="00EC6293">
        <w:t xml:space="preserve">contribution of </w:t>
      </w:r>
      <w:r>
        <w:t xml:space="preserve">DSP payments </w:t>
      </w:r>
      <w:r w:rsidRPr="00EC6293">
        <w:t xml:space="preserve">to the average lifetime cost </w:t>
      </w:r>
      <w:r>
        <w:t>for people in the Parenting class</w:t>
      </w:r>
      <w:r w:rsidR="00C673FB">
        <w:t>. The  reduced transition rates to DSP are in part due to the tightening of the eligibility criteria for DSP; and</w:t>
      </w:r>
    </w:p>
    <w:p w14:paraId="5F33B610" w14:textId="4C333EB6" w:rsidR="00B51738" w:rsidRDefault="00B51738" w:rsidP="002757B8">
      <w:pPr>
        <w:pStyle w:val="ListBullet"/>
      </w:pPr>
      <w:r>
        <w:t xml:space="preserve">a net decrease due to policy changes affecting family payments, involving a reduction in expected FTB payments partly offset by an expected increase as a result of the implementation of the Child Care Subsidy </w:t>
      </w:r>
      <w:r w:rsidR="00C830EC">
        <w:t>starting on 1 July 2018</w:t>
      </w:r>
      <w:r>
        <w:t>.</w:t>
      </w:r>
    </w:p>
    <w:p w14:paraId="48F40049" w14:textId="77777777" w:rsidR="00A07225" w:rsidRPr="00CC7D94" w:rsidRDefault="00A07225" w:rsidP="00A07225">
      <w:pPr>
        <w:pStyle w:val="Minorheading"/>
      </w:pPr>
      <w:r w:rsidRPr="00CC7D94">
        <w:t>Future outcomes</w:t>
      </w:r>
    </w:p>
    <w:p w14:paraId="53BBDDB0" w14:textId="77777777" w:rsidR="00A07225" w:rsidRPr="00CC7D94" w:rsidRDefault="00A07225" w:rsidP="00A07225">
      <w:pPr>
        <w:pStyle w:val="PwCNormal-keepwithnext"/>
        <w:numPr>
          <w:ilvl w:val="0"/>
          <w:numId w:val="1"/>
        </w:numPr>
      </w:pPr>
      <w:r w:rsidRPr="00CC7D94">
        <w:t xml:space="preserve">In developing the valuation results the projection model also produces information on the expected transitions for people out of each class, as shown below. </w:t>
      </w:r>
    </w:p>
    <w:p w14:paraId="69349BBA" w14:textId="64F9A14F" w:rsidR="00A07225" w:rsidRPr="00CC7D94" w:rsidRDefault="00A07225" w:rsidP="00A07225">
      <w:pPr>
        <w:pStyle w:val="Caption"/>
      </w:pPr>
      <w:r w:rsidRPr="00CC7D94">
        <w:t xml:space="preserve">Figure </w:t>
      </w:r>
      <w:fldSimple w:instr=" SEQ Figure \* ARABIC ">
        <w:r w:rsidR="00C93C1A">
          <w:rPr>
            <w:noProof/>
          </w:rPr>
          <w:t>64</w:t>
        </w:r>
      </w:fldSimple>
      <w:r w:rsidRPr="00CC7D94">
        <w:t xml:space="preserve">: Expected future trajectory for people in </w:t>
      </w:r>
      <w:r w:rsidR="00871E70">
        <w:t>c</w:t>
      </w:r>
      <w:r w:rsidRPr="00CC7D94">
        <w:t>lass 3</w:t>
      </w:r>
    </w:p>
    <w:tbl>
      <w:tblPr>
        <w:tblStyle w:val="Tables-APBase"/>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947"/>
        <w:gridCol w:w="3134"/>
      </w:tblGrid>
      <w:tr w:rsidR="00A07225" w:rsidRPr="009210D0" w14:paraId="6A4A3314" w14:textId="77777777" w:rsidTr="007629AE">
        <w:trPr>
          <w:tblHeader/>
        </w:trPr>
        <w:tc>
          <w:tcPr>
            <w:tcW w:w="6478" w:type="dxa"/>
            <w:hideMark/>
          </w:tcPr>
          <w:p w14:paraId="224712E7" w14:textId="77777777" w:rsidR="00A07225" w:rsidRPr="009210D0" w:rsidRDefault="00A07225" w:rsidP="00407066">
            <w:pPr>
              <w:pStyle w:val="TableTextSmall"/>
              <w:rPr>
                <w:highlight w:val="yellow"/>
              </w:rPr>
            </w:pPr>
            <w:r w:rsidRPr="00CC7D94">
              <w:rPr>
                <w:noProof/>
                <w:lang w:eastAsia="en-AU"/>
              </w:rPr>
              <w:drawing>
                <wp:inline distT="0" distB="0" distL="0" distR="0" wp14:anchorId="2D243D5C" wp14:editId="0D0F874C">
                  <wp:extent cx="4015648" cy="2160000"/>
                  <wp:effectExtent l="0" t="0" r="0" b="0"/>
                  <wp:docPr id="834" name="Picture 834" descr="This figure is a vertical bar chart. The horizontal axis shows the years 2017 to 2047. The 3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is chart includes the 433,000 individuals who were in the parenting class at 30 June 2017.&#10;&#10;By 2027, approximately 20% of this group are still expected to be in the parenting class. Most of those who transition away from the parenting class by 2027 are expected to move to the non-income support family, working age or previous welfare recipient class at this point. Transitions of this group into the pension age class start to become significant from around 2037 and by 2047, more than 18% of this group are expected to be in the pension age class. &#10;&#10;The Jun16 proportion of people in all active classes and the Jun16 proportion of people in the Parents class are also shown. For all active classes, the proportion of people in Jun17 is between 0% - 5% lower than in the previous year while in the Parents class, the proportion of people in Jun17 is extremely similar to the previous year. &#10;&#10;The features shown in the chart are discussed further in the accompanying text within the report.&#10;" title="Expected future trajectory for people in clas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15648" cy="2160000"/>
                          </a:xfrm>
                          <a:prstGeom prst="rect">
                            <a:avLst/>
                          </a:prstGeom>
                          <a:noFill/>
                          <a:ln>
                            <a:noFill/>
                          </a:ln>
                        </pic:spPr>
                      </pic:pic>
                    </a:graphicData>
                  </a:graphic>
                </wp:inline>
              </w:drawing>
            </w:r>
          </w:p>
        </w:tc>
        <w:tc>
          <w:tcPr>
            <w:tcW w:w="2923" w:type="dxa"/>
          </w:tcPr>
          <w:p w14:paraId="1BACE3B7" w14:textId="77777777" w:rsidR="00A07225" w:rsidRPr="0057506F" w:rsidRDefault="00A07225" w:rsidP="00407066">
            <w:pPr>
              <w:pStyle w:val="TableTextSmall"/>
            </w:pPr>
          </w:p>
          <w:p w14:paraId="52A89502" w14:textId="2D90E817" w:rsidR="00A07225" w:rsidRPr="0057506F" w:rsidRDefault="003668BA" w:rsidP="00407066">
            <w:pPr>
              <w:pStyle w:val="TableTextSmall"/>
            </w:pPr>
            <w:r w:rsidRPr="003668BA">
              <w:rPr>
                <w:noProof/>
                <w:lang w:eastAsia="en-AU"/>
              </w:rPr>
              <w:drawing>
                <wp:inline distT="0" distB="0" distL="0" distR="0" wp14:anchorId="2B2475ED" wp14:editId="2C442713">
                  <wp:extent cx="1440000" cy="1779387"/>
                  <wp:effectExtent l="0" t="0" r="0" b="0"/>
                  <wp:docPr id="3895" name="Picture 3895"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p w14:paraId="28694A0A" w14:textId="77777777" w:rsidR="00A07225" w:rsidRPr="009210D0" w:rsidRDefault="00A07225" w:rsidP="00407066">
            <w:pPr>
              <w:pStyle w:val="TableTextSmall"/>
              <w:rPr>
                <w:highlight w:val="yellow"/>
              </w:rPr>
            </w:pPr>
          </w:p>
        </w:tc>
      </w:tr>
    </w:tbl>
    <w:p w14:paraId="20EE555E" w14:textId="77777777" w:rsidR="007629AE" w:rsidRPr="00CC7D94" w:rsidRDefault="007629AE" w:rsidP="007629AE">
      <w:pPr>
        <w:pStyle w:val="PwCNormal"/>
        <w:numPr>
          <w:ilvl w:val="0"/>
          <w:numId w:val="0"/>
        </w:numPr>
      </w:pPr>
      <w:r w:rsidRPr="00CC7D94">
        <w:t xml:space="preserve">We can see the expectations are that: </w:t>
      </w:r>
    </w:p>
    <w:p w14:paraId="724DCA04" w14:textId="515C2773" w:rsidR="007629AE" w:rsidRPr="00CC7D94" w:rsidRDefault="007629AE" w:rsidP="007629AE">
      <w:pPr>
        <w:pStyle w:val="ListBullet"/>
      </w:pPr>
      <w:r w:rsidRPr="00CC7D94">
        <w:t xml:space="preserve">There is a steady reduction in </w:t>
      </w:r>
      <w:r>
        <w:t xml:space="preserve">the </w:t>
      </w:r>
      <w:r w:rsidRPr="00CC7D94">
        <w:t xml:space="preserve">numbers of current </w:t>
      </w:r>
      <w:r w:rsidR="0070204F">
        <w:t>P</w:t>
      </w:r>
      <w:r w:rsidRPr="00CC7D94">
        <w:t xml:space="preserve">arenting </w:t>
      </w:r>
      <w:r>
        <w:t xml:space="preserve">payment recipients who are projected to remain on </w:t>
      </w:r>
      <w:r w:rsidR="0070204F">
        <w:t>P</w:t>
      </w:r>
      <w:r>
        <w:t>arenting payments</w:t>
      </w:r>
      <w:r w:rsidRPr="00CC7D94">
        <w:t>.</w:t>
      </w:r>
      <w:r>
        <w:t xml:space="preserve"> </w:t>
      </w:r>
      <w:r w:rsidRPr="00CC7D94">
        <w:t>Most of the reduction takes place over the next 10 years</w:t>
      </w:r>
      <w:r>
        <w:t xml:space="preserve"> as people’s children age and they are no longer eligible for the </w:t>
      </w:r>
      <w:r w:rsidR="0070204F">
        <w:t>P</w:t>
      </w:r>
      <w:r>
        <w:t>arenting payment.</w:t>
      </w:r>
    </w:p>
    <w:p w14:paraId="2D4BF79C" w14:textId="28789C20" w:rsidR="007629AE" w:rsidRPr="00CC7D94" w:rsidRDefault="007629AE" w:rsidP="007629AE">
      <w:pPr>
        <w:pStyle w:val="ListBullet"/>
      </w:pPr>
      <w:r w:rsidRPr="00CC7D94">
        <w:t>As people exit this class</w:t>
      </w:r>
      <w:r w:rsidR="006067D2">
        <w:t>,</w:t>
      </w:r>
      <w:r w:rsidRPr="00CC7D94">
        <w:t xml:space="preserve"> a significant proportion move first to the Non IS Family class (i.e. they receive only FTB or child care payments).</w:t>
      </w:r>
      <w:r>
        <w:t xml:space="preserve"> </w:t>
      </w:r>
      <w:r w:rsidRPr="00924F52">
        <w:t>The most common</w:t>
      </w:r>
      <w:r w:rsidR="006067D2">
        <w:t xml:space="preserve"> income support destination is W</w:t>
      </w:r>
      <w:r w:rsidRPr="00924F52">
        <w:t xml:space="preserve">orking </w:t>
      </w:r>
      <w:r w:rsidR="006067D2">
        <w:t>A</w:t>
      </w:r>
      <w:r w:rsidRPr="00924F52">
        <w:t xml:space="preserve">ge, followed by </w:t>
      </w:r>
      <w:r w:rsidR="006067D2">
        <w:t>C</w:t>
      </w:r>
      <w:r w:rsidRPr="00924F52">
        <w:t>arer or DSP.</w:t>
      </w:r>
    </w:p>
    <w:p w14:paraId="562E15C3" w14:textId="5666F4C3" w:rsidR="00A07225" w:rsidRPr="00EB7F5A" w:rsidRDefault="007629AE" w:rsidP="007629AE">
      <w:pPr>
        <w:pStyle w:val="ListBullet"/>
      </w:pPr>
      <w:r>
        <w:t xml:space="preserve">For each future year at least 45% of this group receive income support. </w:t>
      </w:r>
      <w:r w:rsidRPr="00EB7F5A">
        <w:t>After 30 years, around 50% of the original group are projected to be on some form of income support payment.</w:t>
      </w:r>
    </w:p>
    <w:p w14:paraId="4105BDF2" w14:textId="77777777" w:rsidR="00A07225" w:rsidRPr="003D61E8" w:rsidRDefault="00A07225" w:rsidP="00A07225">
      <w:pPr>
        <w:pStyle w:val="Minorheading"/>
      </w:pPr>
      <w:r w:rsidRPr="003D61E8">
        <w:t>Duration</w:t>
      </w:r>
    </w:p>
    <w:p w14:paraId="1454BA2B" w14:textId="77777777" w:rsidR="00A07225" w:rsidRPr="003D61E8" w:rsidRDefault="00A07225" w:rsidP="00964D65">
      <w:pPr>
        <w:pStyle w:val="PwCNormal"/>
        <w:numPr>
          <w:ilvl w:val="0"/>
          <w:numId w:val="33"/>
        </w:numPr>
      </w:pPr>
      <w:r w:rsidRPr="003D61E8">
        <w:t xml:space="preserve">The average future life expectancy for the Parents class is </w:t>
      </w:r>
      <w:r w:rsidRPr="003D61E8">
        <w:rPr>
          <w:b/>
        </w:rPr>
        <w:t>57</w:t>
      </w:r>
      <w:r w:rsidRPr="003D61E8">
        <w:t xml:space="preserve"> years. This reflects that the age profile of this class is well distributed across the ages 20 to 50.</w:t>
      </w:r>
    </w:p>
    <w:p w14:paraId="1176C184" w14:textId="77777777" w:rsidR="00A07225" w:rsidRPr="003D61E8" w:rsidRDefault="00A07225" w:rsidP="00A07225">
      <w:pPr>
        <w:pStyle w:val="PwCNormal"/>
        <w:numPr>
          <w:ilvl w:val="0"/>
          <w:numId w:val="0"/>
        </w:numPr>
      </w:pPr>
      <w:r w:rsidRPr="003D61E8">
        <w:t>The table below provides a summary of the expected welfare system use of people currently in this class over this time. This has been developed by considering which classes people move into as they move through the welfare system over their lives.</w:t>
      </w:r>
    </w:p>
    <w:p w14:paraId="13EA99C8" w14:textId="75A5E0D4" w:rsidR="00A07225" w:rsidRPr="003D61E8" w:rsidRDefault="00A07225" w:rsidP="00924BD8">
      <w:pPr>
        <w:pStyle w:val="Caption"/>
      </w:pPr>
      <w:r w:rsidRPr="003D61E8">
        <w:lastRenderedPageBreak/>
        <w:t xml:space="preserve">Table </w:t>
      </w:r>
      <w:fldSimple w:instr=" SEQ Table \* ARABIC ">
        <w:r w:rsidR="00C93C1A">
          <w:rPr>
            <w:noProof/>
          </w:rPr>
          <w:t>29</w:t>
        </w:r>
      </w:fldSimple>
      <w:r w:rsidRPr="003D61E8">
        <w:t xml:space="preserve">: Expected durations in welfare system for people currently in </w:t>
      </w:r>
      <w:r w:rsidR="00871E70">
        <w:t>c</w:t>
      </w:r>
      <w:r w:rsidRPr="003D61E8">
        <w:t>lass 3</w:t>
      </w:r>
    </w:p>
    <w:tbl>
      <w:tblPr>
        <w:tblStyle w:val="ListTable3-Accent61"/>
        <w:tblW w:w="8868" w:type="dxa"/>
        <w:tblInd w:w="108" w:type="dxa"/>
        <w:tblLook w:val="04A0" w:firstRow="1" w:lastRow="0" w:firstColumn="1" w:lastColumn="0" w:noHBand="0" w:noVBand="1"/>
        <w:tblCaption w:val=" Expected durations in welfare system for people currently in Class 3"/>
        <w:tblDescription w:val="This table shows the expected number of years people currently in Class 3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roportion of their future lifetime.  The expected future life expectancy of people in Class 3 is 57 years. &#10;&#10;Further features of the data in this table are discussed in the accompanying text within the report.&#10;"/>
      </w:tblPr>
      <w:tblGrid>
        <w:gridCol w:w="3828"/>
        <w:gridCol w:w="2520"/>
        <w:gridCol w:w="2520"/>
      </w:tblGrid>
      <w:tr w:rsidR="00A07225" w:rsidRPr="009210D0" w14:paraId="523E2725" w14:textId="77777777" w:rsidTr="004070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top w:val="single" w:sz="4" w:space="0" w:color="E0301E" w:themeColor="accent6"/>
              <w:left w:val="single" w:sz="4" w:space="0" w:color="E0301E" w:themeColor="accent6"/>
            </w:tcBorders>
          </w:tcPr>
          <w:p w14:paraId="2A1A434E" w14:textId="77777777" w:rsidR="00A07225" w:rsidRPr="003D61E8" w:rsidRDefault="00A07225" w:rsidP="00924BD8">
            <w:pPr>
              <w:pStyle w:val="TableTextSmall"/>
              <w:keepNext/>
              <w:jc w:val="center"/>
              <w:rPr>
                <w:rFonts w:asciiTheme="majorHAnsi" w:hAnsiTheme="majorHAnsi"/>
                <w:color w:val="FFFFFF" w:themeColor="background1"/>
              </w:rPr>
            </w:pPr>
          </w:p>
        </w:tc>
        <w:tc>
          <w:tcPr>
            <w:tcW w:w="2520" w:type="dxa"/>
            <w:tcBorders>
              <w:top w:val="single" w:sz="4" w:space="0" w:color="E0301E" w:themeColor="accent6"/>
              <w:left w:val="nil"/>
              <w:bottom w:val="nil"/>
              <w:right w:val="nil"/>
            </w:tcBorders>
            <w:hideMark/>
          </w:tcPr>
          <w:p w14:paraId="4C94E346" w14:textId="77777777" w:rsidR="00A07225" w:rsidRPr="003D61E8" w:rsidRDefault="00A07225" w:rsidP="00924BD8">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3D61E8">
              <w:rPr>
                <w:rFonts w:asciiTheme="majorHAnsi" w:hAnsiTheme="majorHAnsi"/>
                <w:color w:val="FFFFFF" w:themeColor="background1"/>
              </w:rPr>
              <w:t>Expected Years</w:t>
            </w:r>
          </w:p>
        </w:tc>
        <w:tc>
          <w:tcPr>
            <w:tcW w:w="2520" w:type="dxa"/>
            <w:tcBorders>
              <w:top w:val="single" w:sz="4" w:space="0" w:color="E0301E" w:themeColor="accent6"/>
              <w:left w:val="nil"/>
              <w:bottom w:val="nil"/>
              <w:right w:val="single" w:sz="4" w:space="0" w:color="E0301E" w:themeColor="accent6"/>
            </w:tcBorders>
            <w:hideMark/>
          </w:tcPr>
          <w:p w14:paraId="06DFC967" w14:textId="77777777" w:rsidR="00A07225" w:rsidRPr="003D61E8" w:rsidRDefault="00A07225" w:rsidP="00924BD8">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3D61E8">
              <w:rPr>
                <w:rFonts w:asciiTheme="majorHAnsi" w:hAnsiTheme="majorHAnsi"/>
                <w:color w:val="FFFFFF" w:themeColor="background1"/>
              </w:rPr>
              <w:t>Proportion of Future Lifetime</w:t>
            </w:r>
          </w:p>
        </w:tc>
      </w:tr>
      <w:tr w:rsidR="00A07225" w:rsidRPr="009210D0" w14:paraId="3059D38F" w14:textId="77777777" w:rsidTr="00407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35708F28" w14:textId="77777777" w:rsidR="00A07225" w:rsidRPr="003D61E8" w:rsidRDefault="00A07225" w:rsidP="00924BD8">
            <w:pPr>
              <w:pStyle w:val="TableTextSmall"/>
              <w:keepNext/>
            </w:pPr>
            <w:r w:rsidRPr="003D61E8">
              <w:t>Years with some income support payments:</w:t>
            </w:r>
          </w:p>
          <w:p w14:paraId="3A30CDC5" w14:textId="2A0F35B4" w:rsidR="00A07225" w:rsidRPr="003D61E8" w:rsidRDefault="00A07225" w:rsidP="00924BD8">
            <w:pPr>
              <w:pStyle w:val="TableTextSmall"/>
              <w:keepNext/>
              <w:numPr>
                <w:ilvl w:val="0"/>
                <w:numId w:val="36"/>
              </w:numPr>
            </w:pPr>
            <w:r w:rsidRPr="003D61E8">
              <w:t>Not age pension (classes 1-5)</w:t>
            </w:r>
          </w:p>
          <w:p w14:paraId="7D52C90B" w14:textId="0357F928" w:rsidR="00A07225" w:rsidRPr="003D61E8" w:rsidRDefault="00A07225" w:rsidP="00924BD8">
            <w:pPr>
              <w:pStyle w:val="TableTextSmall"/>
              <w:keepNext/>
              <w:numPr>
                <w:ilvl w:val="0"/>
                <w:numId w:val="36"/>
              </w:numPr>
            </w:pPr>
            <w:r w:rsidRPr="003D61E8">
              <w:t>Age pension (class 6)</w:t>
            </w:r>
          </w:p>
        </w:tc>
        <w:tc>
          <w:tcPr>
            <w:tcW w:w="2520" w:type="dxa"/>
            <w:tcBorders>
              <w:left w:val="nil"/>
              <w:right w:val="nil"/>
            </w:tcBorders>
            <w:hideMark/>
          </w:tcPr>
          <w:p w14:paraId="6BF799F6" w14:textId="77777777" w:rsidR="00A07225" w:rsidRPr="003D61E8" w:rsidRDefault="00A07225" w:rsidP="00924BD8">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3D61E8">
              <w:br/>
              <w:t>19</w:t>
            </w:r>
          </w:p>
          <w:p w14:paraId="14DA7306" w14:textId="77777777" w:rsidR="00A07225" w:rsidRPr="003D61E8" w:rsidRDefault="00A07225" w:rsidP="00924BD8">
            <w:pPr>
              <w:pStyle w:val="TableTextSmall"/>
              <w:keepNext/>
              <w:jc w:val="center"/>
              <w:cnfStyle w:val="000000100000" w:firstRow="0" w:lastRow="0" w:firstColumn="0" w:lastColumn="0" w:oddVBand="0" w:evenVBand="0" w:oddHBand="1" w:evenHBand="0" w:firstRowFirstColumn="0" w:firstRowLastColumn="0" w:lastRowFirstColumn="0" w:lastRowLastColumn="0"/>
            </w:pPr>
            <w:r>
              <w:t>18</w:t>
            </w:r>
          </w:p>
        </w:tc>
        <w:tc>
          <w:tcPr>
            <w:tcW w:w="2520" w:type="dxa"/>
            <w:tcBorders>
              <w:left w:val="nil"/>
              <w:right w:val="single" w:sz="4" w:space="0" w:color="E0301E" w:themeColor="accent6"/>
            </w:tcBorders>
            <w:hideMark/>
          </w:tcPr>
          <w:p w14:paraId="1B7B5C03" w14:textId="77777777" w:rsidR="00A07225" w:rsidRPr="003D61E8" w:rsidRDefault="00A07225" w:rsidP="00924BD8">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3D61E8">
              <w:br/>
              <w:t>33%</w:t>
            </w:r>
          </w:p>
          <w:p w14:paraId="6685A6B8" w14:textId="77777777" w:rsidR="00A07225" w:rsidRPr="003D61E8" w:rsidRDefault="00A07225" w:rsidP="00924BD8">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3D61E8">
              <w:t>31%</w:t>
            </w:r>
          </w:p>
        </w:tc>
      </w:tr>
      <w:tr w:rsidR="00A07225" w:rsidRPr="009210D0" w14:paraId="61A97A8A" w14:textId="77777777" w:rsidTr="00407066">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hideMark/>
          </w:tcPr>
          <w:p w14:paraId="0115F250" w14:textId="05E3422E" w:rsidR="00A07225" w:rsidRPr="003D61E8" w:rsidRDefault="00A07225" w:rsidP="00924BD8">
            <w:pPr>
              <w:pStyle w:val="TableTextSmall"/>
              <w:keepNext/>
            </w:pPr>
            <w:r w:rsidRPr="003D61E8">
              <w:t xml:space="preserve">Years with </w:t>
            </w:r>
            <w:r w:rsidR="005B3E7D">
              <w:t>non income</w:t>
            </w:r>
            <w:r w:rsidRPr="003D61E8">
              <w:t xml:space="preserve"> support payments only</w:t>
            </w:r>
          </w:p>
        </w:tc>
        <w:tc>
          <w:tcPr>
            <w:tcW w:w="2520" w:type="dxa"/>
            <w:tcBorders>
              <w:top w:val="nil"/>
              <w:left w:val="nil"/>
              <w:bottom w:val="nil"/>
              <w:right w:val="nil"/>
            </w:tcBorders>
            <w:hideMark/>
          </w:tcPr>
          <w:p w14:paraId="41FDA6FA" w14:textId="77777777" w:rsidR="00A07225" w:rsidRPr="003D61E8" w:rsidRDefault="00A07225" w:rsidP="00924BD8">
            <w:pPr>
              <w:pStyle w:val="TableTextSmall"/>
              <w:keepNext/>
              <w:jc w:val="center"/>
              <w:cnfStyle w:val="000000000000" w:firstRow="0" w:lastRow="0" w:firstColumn="0" w:lastColumn="0" w:oddVBand="0" w:evenVBand="0" w:oddHBand="0" w:evenHBand="0" w:firstRowFirstColumn="0" w:firstRowLastColumn="0" w:lastRowFirstColumn="0" w:lastRowLastColumn="0"/>
            </w:pPr>
            <w:r>
              <w:t>5</w:t>
            </w:r>
          </w:p>
        </w:tc>
        <w:tc>
          <w:tcPr>
            <w:tcW w:w="2520" w:type="dxa"/>
            <w:tcBorders>
              <w:top w:val="nil"/>
              <w:left w:val="nil"/>
              <w:bottom w:val="nil"/>
              <w:right w:val="single" w:sz="4" w:space="0" w:color="E0301E" w:themeColor="accent6"/>
            </w:tcBorders>
            <w:hideMark/>
          </w:tcPr>
          <w:p w14:paraId="3AFB9C57" w14:textId="77777777" w:rsidR="00A07225" w:rsidRPr="003D61E8" w:rsidRDefault="00A07225" w:rsidP="00924BD8">
            <w:pPr>
              <w:pStyle w:val="TableTextSmall"/>
              <w:keepNext/>
              <w:jc w:val="center"/>
              <w:cnfStyle w:val="000000000000" w:firstRow="0" w:lastRow="0" w:firstColumn="0" w:lastColumn="0" w:oddVBand="0" w:evenVBand="0" w:oddHBand="0" w:evenHBand="0" w:firstRowFirstColumn="0" w:firstRowLastColumn="0" w:lastRowFirstColumn="0" w:lastRowLastColumn="0"/>
            </w:pPr>
            <w:r>
              <w:t>9</w:t>
            </w:r>
            <w:r w:rsidRPr="003D61E8">
              <w:t>%</w:t>
            </w:r>
          </w:p>
        </w:tc>
      </w:tr>
      <w:tr w:rsidR="00A07225" w:rsidRPr="009210D0" w14:paraId="326E90D2" w14:textId="77777777" w:rsidTr="00407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3DCEDE2B" w14:textId="77777777" w:rsidR="00A07225" w:rsidRPr="003D61E8" w:rsidRDefault="00A07225" w:rsidP="00924BD8">
            <w:pPr>
              <w:pStyle w:val="TableTextSmall"/>
              <w:keepNext/>
            </w:pPr>
            <w:r w:rsidRPr="003D61E8">
              <w:t>Years not receiving any welfare payments</w:t>
            </w:r>
          </w:p>
        </w:tc>
        <w:tc>
          <w:tcPr>
            <w:tcW w:w="2520" w:type="dxa"/>
            <w:tcBorders>
              <w:left w:val="nil"/>
              <w:right w:val="nil"/>
            </w:tcBorders>
            <w:hideMark/>
          </w:tcPr>
          <w:p w14:paraId="442DEFE3" w14:textId="77777777" w:rsidR="00A07225" w:rsidRPr="003D61E8" w:rsidRDefault="00A07225" w:rsidP="00924BD8">
            <w:pPr>
              <w:pStyle w:val="TableTextSmall"/>
              <w:keepNext/>
              <w:jc w:val="center"/>
              <w:cnfStyle w:val="000000100000" w:firstRow="0" w:lastRow="0" w:firstColumn="0" w:lastColumn="0" w:oddVBand="0" w:evenVBand="0" w:oddHBand="1" w:evenHBand="0" w:firstRowFirstColumn="0" w:firstRowLastColumn="0" w:lastRowFirstColumn="0" w:lastRowLastColumn="0"/>
            </w:pPr>
            <w:r>
              <w:t>15</w:t>
            </w:r>
          </w:p>
        </w:tc>
        <w:tc>
          <w:tcPr>
            <w:tcW w:w="2520" w:type="dxa"/>
            <w:tcBorders>
              <w:left w:val="nil"/>
              <w:right w:val="single" w:sz="4" w:space="0" w:color="E0301E" w:themeColor="accent6"/>
            </w:tcBorders>
            <w:hideMark/>
          </w:tcPr>
          <w:p w14:paraId="3158B042" w14:textId="77777777" w:rsidR="00A07225" w:rsidRPr="003D61E8" w:rsidRDefault="00A07225" w:rsidP="00924BD8">
            <w:pPr>
              <w:pStyle w:val="TableTextSmall"/>
              <w:keepNext/>
              <w:jc w:val="center"/>
              <w:cnfStyle w:val="000000100000" w:firstRow="0" w:lastRow="0" w:firstColumn="0" w:lastColumn="0" w:oddVBand="0" w:evenVBand="0" w:oddHBand="1" w:evenHBand="0" w:firstRowFirstColumn="0" w:firstRowLastColumn="0" w:lastRowFirstColumn="0" w:lastRowLastColumn="0"/>
            </w:pPr>
            <w:r>
              <w:t>27</w:t>
            </w:r>
            <w:r w:rsidRPr="003D61E8">
              <w:t>%</w:t>
            </w:r>
          </w:p>
        </w:tc>
      </w:tr>
      <w:tr w:rsidR="00A07225" w:rsidRPr="009210D0" w14:paraId="0A19B987" w14:textId="77777777" w:rsidTr="00407066">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hideMark/>
          </w:tcPr>
          <w:p w14:paraId="56B68EA5" w14:textId="77777777" w:rsidR="00A07225" w:rsidRPr="003D61E8" w:rsidRDefault="00A07225" w:rsidP="00924BD8">
            <w:pPr>
              <w:pStyle w:val="TableTextSmall"/>
              <w:keepNext/>
            </w:pPr>
            <w:r w:rsidRPr="003D61E8">
              <w:t>Total</w:t>
            </w:r>
          </w:p>
        </w:tc>
        <w:tc>
          <w:tcPr>
            <w:tcW w:w="2520" w:type="dxa"/>
            <w:tcBorders>
              <w:top w:val="nil"/>
              <w:left w:val="nil"/>
              <w:bottom w:val="single" w:sz="4" w:space="0" w:color="E0301E" w:themeColor="accent6"/>
              <w:right w:val="nil"/>
            </w:tcBorders>
            <w:hideMark/>
          </w:tcPr>
          <w:p w14:paraId="348B3F49" w14:textId="77777777" w:rsidR="00A07225" w:rsidRPr="003D61E8" w:rsidRDefault="00A07225" w:rsidP="00924BD8">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3D61E8">
              <w:t>57</w:t>
            </w:r>
          </w:p>
        </w:tc>
        <w:tc>
          <w:tcPr>
            <w:tcW w:w="2520" w:type="dxa"/>
            <w:tcBorders>
              <w:top w:val="nil"/>
              <w:left w:val="nil"/>
              <w:bottom w:val="single" w:sz="4" w:space="0" w:color="E0301E" w:themeColor="accent6"/>
              <w:right w:val="single" w:sz="4" w:space="0" w:color="E0301E" w:themeColor="accent6"/>
            </w:tcBorders>
            <w:hideMark/>
          </w:tcPr>
          <w:p w14:paraId="5D07AA36" w14:textId="77777777" w:rsidR="00A07225" w:rsidRPr="003D61E8" w:rsidRDefault="00A07225" w:rsidP="00924BD8">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3D61E8">
              <w:t>100%</w:t>
            </w:r>
          </w:p>
        </w:tc>
      </w:tr>
    </w:tbl>
    <w:p w14:paraId="402D0403" w14:textId="77777777" w:rsidR="00F7320D" w:rsidRPr="0057506F" w:rsidRDefault="00F7320D" w:rsidP="00716FF0">
      <w:pPr>
        <w:pStyle w:val="PwCNormal"/>
      </w:pPr>
    </w:p>
    <w:p w14:paraId="19FFB8EA" w14:textId="77777777" w:rsidR="000564EC" w:rsidRPr="0057506F" w:rsidRDefault="000564EC" w:rsidP="009C3B0C">
      <w:pPr>
        <w:kinsoku/>
        <w:overflowPunct/>
        <w:autoSpaceDE/>
        <w:autoSpaceDN/>
        <w:adjustRightInd/>
        <w:snapToGrid/>
      </w:pPr>
      <w:r w:rsidRPr="0057506F">
        <w:br w:type="page"/>
      </w:r>
    </w:p>
    <w:p w14:paraId="0265A9FA" w14:textId="77777777" w:rsidR="005846DC" w:rsidRPr="008D4D1B" w:rsidRDefault="005846DC" w:rsidP="005846DC">
      <w:pPr>
        <w:pStyle w:val="Heading3"/>
      </w:pPr>
      <w:bookmarkStart w:id="226" w:name="_Toc506388229"/>
      <w:bookmarkStart w:id="227" w:name="_Ref437438733"/>
      <w:bookmarkStart w:id="228" w:name="_Toc455499425"/>
      <w:bookmarkStart w:id="229" w:name="_Toc455502446"/>
      <w:r w:rsidRPr="008D4D1B">
        <w:lastRenderedPageBreak/>
        <w:t>Carers (Income Support)</w:t>
      </w:r>
      <w:bookmarkEnd w:id="226"/>
    </w:p>
    <w:p w14:paraId="702A646D" w14:textId="13D6F579" w:rsidR="00266179" w:rsidRDefault="00266179" w:rsidP="00266179">
      <w:pPr>
        <w:pStyle w:val="PwCNormal"/>
        <w:numPr>
          <w:ilvl w:val="0"/>
          <w:numId w:val="1"/>
        </w:numPr>
      </w:pPr>
      <w:bookmarkStart w:id="230" w:name="_Ref466370899"/>
      <w:bookmarkStart w:id="231" w:name="_Ref466371492"/>
      <w:r w:rsidRPr="00654786">
        <w:t xml:space="preserve">This class includes people receiving the Carer Payment in 2016/17 as their last income support payment. People receiving Carer Allowance only, an income supplement, are in the </w:t>
      </w:r>
      <w:r w:rsidR="00346132">
        <w:t>N</w:t>
      </w:r>
      <w:r w:rsidR="005B3E7D">
        <w:t xml:space="preserve">on </w:t>
      </w:r>
      <w:r w:rsidR="00346132">
        <w:t>I</w:t>
      </w:r>
      <w:r w:rsidR="005B3E7D">
        <w:t>ncome</w:t>
      </w:r>
      <w:r w:rsidRPr="00654786">
        <w:t xml:space="preserve"> </w:t>
      </w:r>
      <w:r w:rsidR="00346132">
        <w:t>S</w:t>
      </w:r>
      <w:r w:rsidRPr="00654786">
        <w:t xml:space="preserve">upport </w:t>
      </w:r>
      <w:r w:rsidR="00346132">
        <w:t>C</w:t>
      </w:r>
      <w:r w:rsidRPr="00654786">
        <w:t xml:space="preserve">arers class, </w:t>
      </w:r>
      <w:r w:rsidR="00871E70">
        <w:t>c</w:t>
      </w:r>
      <w:r w:rsidRPr="00654786">
        <w:t>lass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outlines key points from this report section."/>
      </w:tblPr>
      <w:tblGrid>
        <w:gridCol w:w="10081"/>
      </w:tblGrid>
      <w:tr w:rsidR="00266179" w:rsidRPr="009210D0" w14:paraId="5A72452B" w14:textId="77777777" w:rsidTr="00407066">
        <w:trPr>
          <w:trHeight w:val="1260"/>
          <w:tblHeader/>
        </w:trPr>
        <w:tc>
          <w:tcPr>
            <w:tcW w:w="10081" w:type="dxa"/>
            <w:shd w:val="clear" w:color="auto" w:fill="F3ABA4" w:themeFill="accent6" w:themeFillTint="66"/>
          </w:tcPr>
          <w:p w14:paraId="1E88F2CE" w14:textId="160105DC" w:rsidR="00103DB3" w:rsidRPr="006B0F86" w:rsidRDefault="008D4D1B" w:rsidP="00103DB3">
            <w:pPr>
              <w:pStyle w:val="PwCNormal"/>
              <w:numPr>
                <w:ilvl w:val="0"/>
                <w:numId w:val="1"/>
              </w:numPr>
              <w:rPr>
                <w:b/>
              </w:rPr>
            </w:pPr>
            <w:r>
              <w:rPr>
                <w:b/>
              </w:rPr>
              <w:t>Key points</w:t>
            </w:r>
          </w:p>
          <w:p w14:paraId="06D78C33" w14:textId="1C4DFE36" w:rsidR="00103DB3" w:rsidRPr="006B0F86" w:rsidRDefault="00103DB3" w:rsidP="00103DB3">
            <w:pPr>
              <w:pStyle w:val="PwCNormal"/>
              <w:numPr>
                <w:ilvl w:val="0"/>
                <w:numId w:val="0"/>
              </w:numPr>
            </w:pPr>
            <w:r w:rsidRPr="006B0F86">
              <w:t>There</w:t>
            </w:r>
            <w:r>
              <w:t xml:space="preserve"> were 2</w:t>
            </w:r>
            <w:r w:rsidR="001D5C14">
              <w:t>77</w:t>
            </w:r>
            <w:r w:rsidRPr="006B0F86">
              <w:t xml:space="preserve">,000 people in the </w:t>
            </w:r>
            <w:r>
              <w:t>Carer</w:t>
            </w:r>
            <w:r w:rsidRPr="006B0F86">
              <w:t xml:space="preserve"> class in 2017 </w:t>
            </w:r>
            <w:r>
              <w:t>with significantly more women than men</w:t>
            </w:r>
            <w:r w:rsidRPr="006B0F86">
              <w:t xml:space="preserve">. </w:t>
            </w:r>
          </w:p>
          <w:p w14:paraId="162A3F52" w14:textId="771E264B" w:rsidR="00103DB3" w:rsidRPr="006B0F86" w:rsidRDefault="00103DB3" w:rsidP="002757B8">
            <w:pPr>
              <w:pStyle w:val="ListBullet"/>
            </w:pPr>
            <w:r w:rsidRPr="006B0F86">
              <w:t xml:space="preserve">Over the last </w:t>
            </w:r>
            <w:r w:rsidR="00722399">
              <w:t>five</w:t>
            </w:r>
            <w:r w:rsidRPr="006B0F86">
              <w:t xml:space="preserve"> years </w:t>
            </w:r>
            <w:r>
              <w:t>the number of entrants has been stable but higher than the number of exits</w:t>
            </w:r>
            <w:r w:rsidR="006067D2">
              <w:t>,</w:t>
            </w:r>
            <w:r>
              <w:t xml:space="preserve"> leading to a growing number of individuals and an increasing number of exit</w:t>
            </w:r>
            <w:r w:rsidR="00B74B42">
              <w:t>s</w:t>
            </w:r>
            <w:r>
              <w:t xml:space="preserve"> each year.</w:t>
            </w:r>
          </w:p>
          <w:p w14:paraId="051D91E2" w14:textId="2FCDBFDA" w:rsidR="00266179" w:rsidRPr="006B0F86" w:rsidRDefault="00103DB3" w:rsidP="002757B8">
            <w:pPr>
              <w:pStyle w:val="ListBullet"/>
            </w:pPr>
            <w:bookmarkStart w:id="232" w:name="_GoBack"/>
            <w:bookmarkEnd w:id="232"/>
            <w:r>
              <w:t xml:space="preserve">The length of time a person receives </w:t>
            </w:r>
            <w:r w:rsidR="00346132">
              <w:t>C</w:t>
            </w:r>
            <w:r>
              <w:t xml:space="preserve">arer payment is strongly linked to the mortality of the caree. Those receiving a bereavement payment or those caring for older people or people with cancer are much more likely to leave the </w:t>
            </w:r>
            <w:r w:rsidR="00346132">
              <w:t>C</w:t>
            </w:r>
            <w:r>
              <w:t>arer class.</w:t>
            </w:r>
          </w:p>
        </w:tc>
      </w:tr>
    </w:tbl>
    <w:p w14:paraId="6CD47A0E" w14:textId="77777777" w:rsidR="00266179" w:rsidRPr="00654786" w:rsidRDefault="00266179" w:rsidP="00266179">
      <w:pPr>
        <w:pStyle w:val="Heading4"/>
      </w:pPr>
      <w:r w:rsidRPr="00654786">
        <w:t>What does the data tell us about Carers?</w:t>
      </w:r>
    </w:p>
    <w:p w14:paraId="2E5B5975" w14:textId="57AE41B1" w:rsidR="00266179" w:rsidRPr="00654786" w:rsidRDefault="00266179" w:rsidP="00266179">
      <w:pPr>
        <w:pStyle w:val="PwCNormal"/>
        <w:numPr>
          <w:ilvl w:val="0"/>
          <w:numId w:val="0"/>
        </w:numPr>
      </w:pPr>
      <w:r w:rsidRPr="00654786">
        <w:t>There were 277,</w:t>
      </w:r>
      <w:r w:rsidR="00B513F7">
        <w:t>000</w:t>
      </w:r>
      <w:r w:rsidRPr="00654786">
        <w:t xml:space="preserve"> people (3.</w:t>
      </w:r>
      <w:r>
        <w:t>4</w:t>
      </w:r>
      <w:r w:rsidRPr="00654786">
        <w:t xml:space="preserve">% of current welfare recipients) in the </w:t>
      </w:r>
      <w:r>
        <w:t>Carers</w:t>
      </w:r>
      <w:r w:rsidRPr="00654786">
        <w:t xml:space="preserve"> class in the 2017 model population. This represents 1.1% of the population of Australia which</w:t>
      </w:r>
      <w:r>
        <w:t xml:space="preserve"> is</w:t>
      </w:r>
      <w:r w:rsidRPr="00654786">
        <w:t xml:space="preserve"> similar to the previous valuation.</w:t>
      </w:r>
    </w:p>
    <w:p w14:paraId="0183A66A" w14:textId="77777777" w:rsidR="00266179" w:rsidRPr="009528C5" w:rsidRDefault="00266179" w:rsidP="00266179">
      <w:pPr>
        <w:pStyle w:val="PwCNormal"/>
        <w:numPr>
          <w:ilvl w:val="0"/>
          <w:numId w:val="0"/>
        </w:numPr>
      </w:pPr>
      <w:r w:rsidRPr="00654786">
        <w:t xml:space="preserve">The following chart shows a breakdown of the number of people in the </w:t>
      </w:r>
      <w:r>
        <w:t xml:space="preserve">Carers </w:t>
      </w:r>
      <w:r w:rsidRPr="00654786">
        <w:t>class b</w:t>
      </w:r>
      <w:r>
        <w:t>y age and gender.</w:t>
      </w:r>
    </w:p>
    <w:p w14:paraId="3293D9DF" w14:textId="531B1604" w:rsidR="00266179" w:rsidRPr="0057506F" w:rsidRDefault="00266179" w:rsidP="00266179">
      <w:pPr>
        <w:pStyle w:val="Caption"/>
      </w:pPr>
      <w:r w:rsidRPr="009528C5">
        <w:t xml:space="preserve">Figure </w:t>
      </w:r>
      <w:fldSimple w:instr=" SEQ Figure \* ARABIC ">
        <w:r w:rsidR="00C93C1A">
          <w:rPr>
            <w:noProof/>
          </w:rPr>
          <w:t>65</w:t>
        </w:r>
      </w:fldSimple>
      <w:r w:rsidRPr="009528C5">
        <w:t>: 2017</w:t>
      </w:r>
      <w:r w:rsidRPr="00654786">
        <w:t xml:space="preserve"> profile of people in </w:t>
      </w:r>
      <w:r w:rsidR="00871E70">
        <w:t>c</w:t>
      </w:r>
      <w:r w:rsidRPr="00654786">
        <w:t>lass 4 – Carers (age/gender)</w:t>
      </w:r>
    </w:p>
    <w:tbl>
      <w:tblPr>
        <w:tblStyle w:val="Tables-APBase"/>
        <w:tblW w:w="490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2016 profile of people in Class 4 – Carers (age/gender)&#10;"/>
        <w:tblDescription w:val="This figure is a horizontal bar chart showing the number of people in the Carers class at Jun16 by age for males and females separately. The vertical axis shows age with the data shown ranging from 0 to 110. The horizontal axis shows the number of people ranging from 0 to 8,000. The number of males at each age are shown by the horizontal bars to the left of the vertical axis and the number of females at each age are shown by horizontal bars to the right.&#10;&#10;The chart is based on the 272,000 individuals who were in the carers (income support) class at 30 June 2016. &#10;&#10;The chart shows that the people in this class are predominately females aged between 20 and 70. The number of females peaks at approximately 5,800 at age 63. The number of males peaks at approximately 2,500 at age 63.&#10;"/>
      </w:tblPr>
      <w:tblGrid>
        <w:gridCol w:w="6384"/>
        <w:gridCol w:w="3497"/>
      </w:tblGrid>
      <w:tr w:rsidR="00266179" w:rsidRPr="009210D0" w14:paraId="5A5C8055" w14:textId="77777777" w:rsidTr="00407066">
        <w:trPr>
          <w:tblHeader/>
        </w:trPr>
        <w:tc>
          <w:tcPr>
            <w:tcW w:w="5954" w:type="dxa"/>
          </w:tcPr>
          <w:p w14:paraId="6D19FDAD" w14:textId="77777777" w:rsidR="00266179" w:rsidRPr="009210D0" w:rsidRDefault="00266179" w:rsidP="00407066">
            <w:pPr>
              <w:pStyle w:val="TableTextSmall"/>
              <w:keepNext/>
              <w:rPr>
                <w:highlight w:val="yellow"/>
                <w:lang w:eastAsia="en-AU"/>
              </w:rPr>
            </w:pPr>
            <w:r w:rsidRPr="00857C40">
              <w:rPr>
                <w:noProof/>
                <w:lang w:eastAsia="en-AU"/>
              </w:rPr>
              <w:drawing>
                <wp:inline distT="0" distB="0" distL="0" distR="0" wp14:anchorId="22479802" wp14:editId="16713CA7">
                  <wp:extent cx="3656120" cy="2160000"/>
                  <wp:effectExtent l="0" t="0" r="1905" b="0"/>
                  <wp:docPr id="16" name="Picture 16" descr="This figure is a horizontal bar chart showing the number of people in the Carers class at Jun16 by age for males and females separately. The vertical axis shows age with the data shown ranging from 14 to 90. The horizontal axis shows the number of people ranging from 0 to 8,000. The number of males at each age are shown by the horizontal bars to the left of the vertical axis and the number of females at each age are shown by horizontal bars to the right.&#10;&#10;The chart is based on the 277,000 individuals who were in the carers (income support) class at 30 June 2017. &#10;&#10;The chart shows that the people in this class are predominately females aged between 20 and 70. The number of females peaks at approximately 5900 at age 64. The number of males peaks at approximately 2,600 at age 64.&#10;" title="2017 profile of people in class 4 – Carers (age/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656120" cy="2160000"/>
                          </a:xfrm>
                          <a:prstGeom prst="rect">
                            <a:avLst/>
                          </a:prstGeom>
                          <a:noFill/>
                          <a:ln>
                            <a:noFill/>
                          </a:ln>
                        </pic:spPr>
                      </pic:pic>
                    </a:graphicData>
                  </a:graphic>
                </wp:inline>
              </w:drawing>
            </w:r>
          </w:p>
        </w:tc>
        <w:tc>
          <w:tcPr>
            <w:tcW w:w="3261" w:type="dxa"/>
          </w:tcPr>
          <w:p w14:paraId="1925CDFF" w14:textId="77777777" w:rsidR="00266179" w:rsidRPr="009210D0" w:rsidRDefault="00266179" w:rsidP="00407066">
            <w:pPr>
              <w:pStyle w:val="TableTextSmall"/>
              <w:keepNext/>
              <w:rPr>
                <w:highlight w:val="yellow"/>
                <w:lang w:eastAsia="en-AU"/>
              </w:rPr>
            </w:pPr>
          </w:p>
        </w:tc>
      </w:tr>
    </w:tbl>
    <w:p w14:paraId="29B42EC6" w14:textId="77777777" w:rsidR="00266179" w:rsidRDefault="00266179" w:rsidP="00266179">
      <w:pPr>
        <w:pStyle w:val="PwCNormal"/>
        <w:numPr>
          <w:ilvl w:val="0"/>
          <w:numId w:val="0"/>
        </w:numPr>
      </w:pPr>
      <w:r w:rsidRPr="00654786">
        <w:t>This class included significantly more women than men. The numbers in the class increase by age up to pension age and then reduce as most retire; however there are material numbers of people in the Carers class who are above retirement age.</w:t>
      </w:r>
    </w:p>
    <w:p w14:paraId="00731902" w14:textId="77777777" w:rsidR="00266179" w:rsidRPr="00266A91" w:rsidRDefault="00266179" w:rsidP="00266179">
      <w:pPr>
        <w:pStyle w:val="Minorheading"/>
      </w:pPr>
      <w:r w:rsidRPr="00266A91">
        <w:t>Movements into</w:t>
      </w:r>
      <w:r>
        <w:t xml:space="preserve"> and out of</w:t>
      </w:r>
      <w:r w:rsidRPr="00266A91">
        <w:t xml:space="preserve"> this class</w:t>
      </w:r>
    </w:p>
    <w:p w14:paraId="5A93023F" w14:textId="5C9A2C67" w:rsidR="00266179" w:rsidRPr="00A716AE" w:rsidRDefault="00266179" w:rsidP="00266179">
      <w:pPr>
        <w:pStyle w:val="PwCNormal"/>
        <w:numPr>
          <w:ilvl w:val="0"/>
          <w:numId w:val="1"/>
        </w:numPr>
      </w:pPr>
      <w:r w:rsidRPr="00266A91">
        <w:t xml:space="preserve">Over the </w:t>
      </w:r>
      <w:r w:rsidR="00D52134">
        <w:t>two</w:t>
      </w:r>
      <w:r w:rsidRPr="00266A91">
        <w:t xml:space="preserve"> years</w:t>
      </w:r>
      <w:r w:rsidR="002069F7">
        <w:t xml:space="preserve"> to 2016</w:t>
      </w:r>
      <w:r w:rsidRPr="00266A91">
        <w:t xml:space="preserve">, an average of </w:t>
      </w:r>
      <w:r>
        <w:t>43,200</w:t>
      </w:r>
      <w:r>
        <w:rPr>
          <w:rStyle w:val="FootnoteReference"/>
        </w:rPr>
        <w:footnoteReference w:id="6"/>
      </w:r>
      <w:r>
        <w:t xml:space="preserve"> people (around 16</w:t>
      </w:r>
      <w:r w:rsidRPr="00266A91">
        <w:t xml:space="preserve">% of the people in this class) per annum enter this class from another welfare class or from outside the welfare system. </w:t>
      </w:r>
      <w:r w:rsidRPr="00A716AE">
        <w:t xml:space="preserve">Over </w:t>
      </w:r>
      <w:r w:rsidR="002069F7">
        <w:t xml:space="preserve">the last </w:t>
      </w:r>
      <w:r w:rsidR="007A314E">
        <w:t>three</w:t>
      </w:r>
      <w:r w:rsidR="002069F7">
        <w:t xml:space="preserve"> years,</w:t>
      </w:r>
      <w:r w:rsidRPr="00A716AE">
        <w:t xml:space="preserve"> an average of </w:t>
      </w:r>
      <w:r>
        <w:t>31,8</w:t>
      </w:r>
      <w:r w:rsidRPr="00266A91">
        <w:t>00 people (</w:t>
      </w:r>
      <w:r>
        <w:t>around 1</w:t>
      </w:r>
      <w:r w:rsidR="002069F7">
        <w:t>2</w:t>
      </w:r>
      <w:r>
        <w:t>%</w:t>
      </w:r>
      <w:r w:rsidRPr="00A716AE">
        <w:t xml:space="preserve"> of people in this class) per annum have transitioned out of the </w:t>
      </w:r>
      <w:r>
        <w:t>Carers</w:t>
      </w:r>
      <w:r w:rsidRPr="00A716AE">
        <w:t xml:space="preserve"> class.</w:t>
      </w:r>
    </w:p>
    <w:p w14:paraId="54C9FE48" w14:textId="77777777" w:rsidR="00266179" w:rsidRPr="00266A91" w:rsidRDefault="00266179" w:rsidP="00266179">
      <w:pPr>
        <w:pStyle w:val="PwCNormal"/>
        <w:numPr>
          <w:ilvl w:val="0"/>
          <w:numId w:val="1"/>
        </w:numPr>
      </w:pPr>
      <w:r w:rsidRPr="00A716AE">
        <w:t>The following chart shows the breakdown of these transitions by previous</w:t>
      </w:r>
      <w:r>
        <w:t>/destination class and year of transition.</w:t>
      </w:r>
      <w:r w:rsidRPr="00266A91">
        <w:t xml:space="preserve"> </w:t>
      </w:r>
    </w:p>
    <w:p w14:paraId="642CFBD4" w14:textId="512874D0" w:rsidR="00266179" w:rsidRPr="0057506F" w:rsidRDefault="00266179" w:rsidP="00266179">
      <w:pPr>
        <w:pStyle w:val="Caption"/>
      </w:pPr>
      <w:r w:rsidRPr="00A716AE">
        <w:lastRenderedPageBreak/>
        <w:t xml:space="preserve">Figure </w:t>
      </w:r>
      <w:fldSimple w:instr=" SEQ Figure \* ARABIC ">
        <w:r w:rsidR="00C93C1A">
          <w:rPr>
            <w:noProof/>
          </w:rPr>
          <w:t>66</w:t>
        </w:r>
      </w:fldSimple>
      <w:r w:rsidRPr="00A716AE">
        <w:t>: Number of peo</w:t>
      </w:r>
      <w:r>
        <w:t xml:space="preserve">ple entering and exiting </w:t>
      </w:r>
      <w:r w:rsidR="00871E70">
        <w:t>c</w:t>
      </w:r>
      <w:r>
        <w:t>lass 4</w:t>
      </w:r>
      <w:r w:rsidRPr="00A716AE">
        <w:t xml:space="preserve"> – </w:t>
      </w:r>
      <w:r>
        <w:t>Carers</w:t>
      </w:r>
    </w:p>
    <w:p w14:paraId="2CC5CE88" w14:textId="77777777" w:rsidR="00266179" w:rsidRPr="0057506F" w:rsidRDefault="00266179" w:rsidP="00266179">
      <w:pPr>
        <w:pStyle w:val="PwCNormal"/>
        <w:numPr>
          <w:ilvl w:val="0"/>
          <w:numId w:val="1"/>
        </w:numPr>
      </w:pPr>
      <w:r w:rsidRPr="005012B4">
        <w:rPr>
          <w:noProof/>
          <w:lang w:eastAsia="en-AU"/>
        </w:rPr>
        <w:drawing>
          <wp:inline distT="0" distB="0" distL="0" distR="0" wp14:anchorId="0F7A63AC" wp14:editId="675E6DCA">
            <wp:extent cx="5832475" cy="2018658"/>
            <wp:effectExtent l="0" t="0" r="0" b="1270"/>
            <wp:docPr id="295" name="Picture 295" descr="This figure is a stacked column chart with ten columns. The vertical axis displays the number of people ranging from 0 to 60,000. &#10;&#10;The horizontal axis is split into two sections; the first five columns show the numbers of entrants into the Carers class and the second five columns show the number of exits from the Carers class. In each section, the set of five columns represent the last five financial years; 2013, 2014, 2015, 2016 and 2017. &#10;&#10;For the first section, the columns showing the number of entrants into the Carers class for each financial year are split into previous class. These classes include; 1 Studying, 2 Working Age, 3 Parents, 5 Disability Support, 6 Pension Age, 7 Non-IS Family, 8 Non-IS Carer, 9 Non-IS Other, 10 Previous Welfare Recipient, 11 Dead and 12 Rest of the Australian Population. &#10;&#10;The chart shows that the number of entries into Class 4 were; 48,000 in 2013, 45,000 in 2014, 44,000 in 2015, 43,000 in 2016 and 29,000 in 2017. The majority of entrants come from Class 2 Working Age, Class 3 Parents or Class 10 Previous Welfare Recipient. &#10;&#10;For the second section, the columns showing the number of exits from the Carers class for each financial year are split into destination class. These classes include; 1 Studying, 2 Working Age, 3 Parents, 5 Disability Support, 6 Pension Age, 7 Non-IS Family, 8 Non-IS Carer, 9 Non-IS Other, 10 Previous Welfare Recipient, 11 Dead and 12 Rest of the Australian Population. &#10;&#10;The chart shows that the number of exits out of Class 4 were; 27,000 in 2013, 28,000 in 2014, 30,000 in 2015, 32,000 in 2016 and 33,000 in 2017. The majority of individuals who exit move to Class 2 Working Age or Class 10 Previous Welfare Recipient.&#10;&#10;Further discussion of the key features shown in the chart can be found in the accompanying text within the report.&#10;" title="Number of people entering and exiting class 4 –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832475" cy="2018658"/>
                    </a:xfrm>
                    <a:prstGeom prst="rect">
                      <a:avLst/>
                    </a:prstGeom>
                    <a:noFill/>
                    <a:ln>
                      <a:noFill/>
                    </a:ln>
                  </pic:spPr>
                </pic:pic>
              </a:graphicData>
            </a:graphic>
          </wp:inline>
        </w:drawing>
      </w:r>
    </w:p>
    <w:p w14:paraId="3B90FB11" w14:textId="77777777" w:rsidR="00266179" w:rsidRPr="0057506F" w:rsidRDefault="00266179" w:rsidP="00266179">
      <w:pPr>
        <w:pStyle w:val="PwCNormal"/>
        <w:numPr>
          <w:ilvl w:val="0"/>
          <w:numId w:val="1"/>
        </w:numPr>
      </w:pPr>
      <w:r w:rsidRPr="005012B4">
        <w:rPr>
          <w:noProof/>
          <w:lang w:eastAsia="en-AU"/>
        </w:rPr>
        <w:drawing>
          <wp:inline distT="0" distB="0" distL="0" distR="0" wp14:anchorId="0E7CC187" wp14:editId="53A9A9B1">
            <wp:extent cx="5385600" cy="468000"/>
            <wp:effectExtent l="0" t="0" r="0" b="8255"/>
            <wp:docPr id="196" name="Picture 196" descr="Class key: studying, working age, parents, carers, disability support, pension age, non-income support family, non-income support carer, non-income support other, previous welfare recipient, rest of the Australian population and dead. &#10;" title="Clas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18842EDC" w14:textId="27FA839E" w:rsidR="007629AE" w:rsidRDefault="007629AE" w:rsidP="007629AE">
      <w:pPr>
        <w:pStyle w:val="PwCNormal"/>
        <w:numPr>
          <w:ilvl w:val="0"/>
          <w:numId w:val="1"/>
        </w:numPr>
      </w:pPr>
      <w:r>
        <w:t xml:space="preserve">Entries into </w:t>
      </w:r>
      <w:r w:rsidR="00871E70">
        <w:t>c</w:t>
      </w:r>
      <w:r>
        <w:t xml:space="preserve">lass </w:t>
      </w:r>
      <w:r w:rsidR="002F0CBF">
        <w:t>‘</w:t>
      </w:r>
      <w:r>
        <w:t>4 Carers</w:t>
      </w:r>
      <w:r w:rsidR="002F0CBF">
        <w:t>’</w:t>
      </w:r>
      <w:r>
        <w:t xml:space="preserve"> are noticeably lower for the most recent year, however these are likely understated due to </w:t>
      </w:r>
      <w:r w:rsidRPr="009744DF">
        <w:t>maturity issues.</w:t>
      </w:r>
      <w:r>
        <w:t xml:space="preserve"> This is because there can be considerable delays in applying for Carer Payment and receiving Carer Payment. </w:t>
      </w:r>
    </w:p>
    <w:p w14:paraId="22067FAC" w14:textId="6016DEFB" w:rsidR="007629AE" w:rsidRPr="0057506F" w:rsidRDefault="007629AE" w:rsidP="007629AE">
      <w:pPr>
        <w:pStyle w:val="PwCNormal"/>
        <w:numPr>
          <w:ilvl w:val="0"/>
          <w:numId w:val="1"/>
        </w:numPr>
      </w:pPr>
      <w:r w:rsidRPr="002A37A3">
        <w:t>We can see that people in this class primarily came from another income support class, in particular from Working Age or</w:t>
      </w:r>
      <w:r>
        <w:t xml:space="preserve"> </w:t>
      </w:r>
      <w:r w:rsidRPr="002A37A3">
        <w:t xml:space="preserve">Parents. A material proportion also enter this class </w:t>
      </w:r>
      <w:r>
        <w:t>from</w:t>
      </w:r>
      <w:r w:rsidRPr="002A37A3">
        <w:t xml:space="preserve"> the </w:t>
      </w:r>
      <w:r w:rsidR="005B3E7D">
        <w:t>Non Income</w:t>
      </w:r>
      <w:r w:rsidRPr="002A37A3">
        <w:t xml:space="preserve"> Support C</w:t>
      </w:r>
      <w:r>
        <w:t xml:space="preserve">arers class. </w:t>
      </w:r>
    </w:p>
    <w:p w14:paraId="6E5CA37A" w14:textId="76207A97" w:rsidR="007629AE" w:rsidRPr="00292BBB" w:rsidRDefault="007629AE" w:rsidP="007629AE">
      <w:pPr>
        <w:pStyle w:val="PwCNormal"/>
        <w:numPr>
          <w:ilvl w:val="0"/>
          <w:numId w:val="1"/>
        </w:numPr>
      </w:pPr>
      <w:r>
        <w:t xml:space="preserve">The number of exits in recent years has been </w:t>
      </w:r>
      <w:r w:rsidRPr="00292BBB">
        <w:t>consistently less than the number of entrants</w:t>
      </w:r>
      <w:r>
        <w:t>, which has caused</w:t>
      </w:r>
      <w:r w:rsidRPr="00292BBB">
        <w:t xml:space="preserve"> </w:t>
      </w:r>
      <w:r>
        <w:t>year</w:t>
      </w:r>
      <w:r w:rsidR="0021451C">
        <w:t xml:space="preserve"> </w:t>
      </w:r>
      <w:r>
        <w:t>on</w:t>
      </w:r>
      <w:r w:rsidR="0021451C">
        <w:t xml:space="preserve"> </w:t>
      </w:r>
      <w:r>
        <w:t xml:space="preserve">year growth in the class. </w:t>
      </w:r>
    </w:p>
    <w:p w14:paraId="72F86FC9" w14:textId="687520FE" w:rsidR="007629AE" w:rsidRPr="00876D08" w:rsidRDefault="007629AE" w:rsidP="007629AE">
      <w:pPr>
        <w:pStyle w:val="PwCNormal"/>
        <w:numPr>
          <w:ilvl w:val="0"/>
          <w:numId w:val="1"/>
        </w:numPr>
      </w:pPr>
      <w:r>
        <w:t>P</w:t>
      </w:r>
      <w:r w:rsidRPr="00876D08">
        <w:t>eople in this class show more limited mobility</w:t>
      </w:r>
      <w:r>
        <w:t xml:space="preserve"> compared to some of the other classes</w:t>
      </w:r>
      <w:r w:rsidRPr="00876D08">
        <w:t xml:space="preserve">. The main exits from the class are through retirement or movement to the Working Age class; only a small proportion of people from the class directly exit the welfare system. Some also exit to the Parenting or </w:t>
      </w:r>
      <w:r w:rsidR="005B3E7D">
        <w:t>Non Income</w:t>
      </w:r>
      <w:r w:rsidRPr="00876D08">
        <w:t xml:space="preserve"> Support Carers classes.</w:t>
      </w:r>
    </w:p>
    <w:p w14:paraId="3FE56496" w14:textId="77777777" w:rsidR="007629AE" w:rsidRPr="009B4280" w:rsidRDefault="007629AE" w:rsidP="007629AE">
      <w:pPr>
        <w:pStyle w:val="Minorheading"/>
      </w:pPr>
      <w:r w:rsidRPr="009B4280">
        <w:t>Payments received</w:t>
      </w:r>
    </w:p>
    <w:p w14:paraId="5E509DFD" w14:textId="77777777" w:rsidR="007629AE" w:rsidRPr="009867DF" w:rsidRDefault="007629AE" w:rsidP="007629AE">
      <w:pPr>
        <w:pStyle w:val="PwCNormal"/>
        <w:numPr>
          <w:ilvl w:val="0"/>
          <w:numId w:val="1"/>
        </w:numPr>
      </w:pPr>
      <w:r w:rsidRPr="009B4280">
        <w:t>During 2016/17, people in thi</w:t>
      </w:r>
      <w:r>
        <w:t>s class received a total of $7.4</w:t>
      </w:r>
      <w:r w:rsidRPr="009B4280">
        <w:t xml:space="preserve"> billion. This is 6.</w:t>
      </w:r>
      <w:r>
        <w:t>7</w:t>
      </w:r>
      <w:r w:rsidRPr="009B4280">
        <w:t xml:space="preserve">% of the total payments made in 2016/17. The charts below show the average amount paid in a year to each person in this </w:t>
      </w:r>
      <w:r w:rsidRPr="009867DF">
        <w:t>class.</w:t>
      </w:r>
    </w:p>
    <w:p w14:paraId="6D891755" w14:textId="181635D8" w:rsidR="00266179" w:rsidRPr="0057506F" w:rsidRDefault="00266179" w:rsidP="00266179">
      <w:pPr>
        <w:pStyle w:val="Caption"/>
      </w:pPr>
      <w:r w:rsidRPr="009867DF">
        <w:t xml:space="preserve">Figure </w:t>
      </w:r>
      <w:fldSimple w:instr=" SEQ Figure \* ARABIC ">
        <w:r w:rsidR="00C93C1A">
          <w:rPr>
            <w:noProof/>
          </w:rPr>
          <w:t>67</w:t>
        </w:r>
      </w:fldSimple>
      <w:r w:rsidRPr="009867DF">
        <w:t>: Average</w:t>
      </w:r>
      <w:r w:rsidRPr="003539FA">
        <w:t xml:space="preserve"> payments per person in </w:t>
      </w:r>
      <w:r w:rsidR="00871E70">
        <w:t>c</w:t>
      </w:r>
      <w:r w:rsidRPr="003539FA">
        <w:t>lass 4 – Carers (restated to 2016/17 $ values)</w:t>
      </w:r>
    </w:p>
    <w:p w14:paraId="3F5110E3" w14:textId="77777777" w:rsidR="00266179" w:rsidRPr="0057506F" w:rsidRDefault="00266179" w:rsidP="00266179">
      <w:pPr>
        <w:pStyle w:val="PwCNormal"/>
        <w:numPr>
          <w:ilvl w:val="0"/>
          <w:numId w:val="1"/>
        </w:numPr>
      </w:pPr>
      <w:r w:rsidRPr="00284965">
        <w:rPr>
          <w:noProof/>
          <w:lang w:eastAsia="en-AU"/>
        </w:rPr>
        <w:drawing>
          <wp:inline distT="0" distB="0" distL="0" distR="0" wp14:anchorId="545FCD87" wp14:editId="1EBE5077">
            <wp:extent cx="5832475" cy="2039127"/>
            <wp:effectExtent l="0" t="0" r="0" b="0"/>
            <wp:docPr id="219" name="Picture 219" descr="This figure is a stacked column chart. The vertical axis displays the average payment per person in the Carers Class, ranging from $0 to $35,000.&#10;&#10;The horizontal axis is split into two sections; the first for males and the second for females. Each section is further split to show the last five financial years; 2013, 2014, 2015, 2016 and 2017.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4 was: $21,800 for 2013; $22,400 for 2014; $22,700 for 2015; $22,900 for 2016; and $23,200 for 2017.&#10;&#10;For females the approximate average payment per person in Class 4 was: $27,300 for 2013; $28,300 for 2014; $28,800 for 2015; $29,200 for 2016; and $28,200 for 2017.&#10;&#10;The majority of payments for males were from the IS Carer and Other Carer categories; while the majority of payments for females were from the IS Carer, Other Carer and Other – FTB categories.&#10;&#10;The key features of this chart are described in the accompanying text within the report.&#10;" title="Average payments per person in class 4 – Carers (restated to 2016/17 $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32475" cy="2039127"/>
                    </a:xfrm>
                    <a:prstGeom prst="rect">
                      <a:avLst/>
                    </a:prstGeom>
                    <a:noFill/>
                    <a:ln>
                      <a:noFill/>
                    </a:ln>
                  </pic:spPr>
                </pic:pic>
              </a:graphicData>
            </a:graphic>
          </wp:inline>
        </w:drawing>
      </w:r>
    </w:p>
    <w:p w14:paraId="2401BBCB" w14:textId="77777777" w:rsidR="00266179" w:rsidRPr="0057506F" w:rsidRDefault="00266179" w:rsidP="00266179">
      <w:pPr>
        <w:pStyle w:val="PwCNormal"/>
        <w:numPr>
          <w:ilvl w:val="0"/>
          <w:numId w:val="0"/>
        </w:numPr>
        <w:ind w:firstLine="720"/>
      </w:pPr>
      <w:r w:rsidRPr="00284965">
        <w:rPr>
          <w:noProof/>
          <w:lang w:eastAsia="en-AU"/>
        </w:rPr>
        <w:drawing>
          <wp:inline distT="0" distB="0" distL="0" distR="0" wp14:anchorId="4E87A892" wp14:editId="5DAFBBFE">
            <wp:extent cx="4860000" cy="467785"/>
            <wp:effectExtent l="0" t="0" r="0" b="8890"/>
            <wp:docPr id="3103" name="Picture 3103"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60000" cy="467785"/>
                    </a:xfrm>
                    <a:prstGeom prst="rect">
                      <a:avLst/>
                    </a:prstGeom>
                    <a:noFill/>
                    <a:ln>
                      <a:noFill/>
                    </a:ln>
                  </pic:spPr>
                </pic:pic>
              </a:graphicData>
            </a:graphic>
          </wp:inline>
        </w:drawing>
      </w:r>
    </w:p>
    <w:p w14:paraId="718E20BA" w14:textId="77777777" w:rsidR="00266179" w:rsidRPr="00ED3D4D" w:rsidRDefault="00266179" w:rsidP="00266179">
      <w:pPr>
        <w:pStyle w:val="PwCNormal"/>
        <w:numPr>
          <w:ilvl w:val="0"/>
          <w:numId w:val="1"/>
        </w:numPr>
      </w:pPr>
      <w:r w:rsidRPr="00ED3D4D">
        <w:t>People in this class receive some of the highest average annual payments. The average payment made in 201</w:t>
      </w:r>
      <w:r>
        <w:t>6</w:t>
      </w:r>
      <w:r w:rsidRPr="00ED3D4D">
        <w:t>/1</w:t>
      </w:r>
      <w:r>
        <w:t>7</w:t>
      </w:r>
      <w:r w:rsidRPr="00ED3D4D">
        <w:t xml:space="preserve"> was $26,</w:t>
      </w:r>
      <w:r>
        <w:t>70</w:t>
      </w:r>
      <w:r w:rsidRPr="00ED3D4D">
        <w:t>0 with considerably higher average payments being made to women ($2</w:t>
      </w:r>
      <w:r>
        <w:t>8,2</w:t>
      </w:r>
      <w:r w:rsidRPr="00ED3D4D">
        <w:t>00) than men ($2</w:t>
      </w:r>
      <w:r>
        <w:t>3</w:t>
      </w:r>
      <w:r w:rsidRPr="00ED3D4D">
        <w:t>,</w:t>
      </w:r>
      <w:r>
        <w:t>2</w:t>
      </w:r>
      <w:r w:rsidRPr="00ED3D4D">
        <w:t>00), as a result of women being more likely to also be claiming FTB and other family payments.</w:t>
      </w:r>
    </w:p>
    <w:p w14:paraId="748A726F" w14:textId="77777777" w:rsidR="00266179" w:rsidRPr="005E492A" w:rsidRDefault="00266179" w:rsidP="00266179">
      <w:pPr>
        <w:pStyle w:val="Heading4"/>
      </w:pPr>
      <w:r w:rsidRPr="005E492A">
        <w:lastRenderedPageBreak/>
        <w:t>Changes in model fitting this valuation</w:t>
      </w:r>
    </w:p>
    <w:p w14:paraId="7E54F7B1" w14:textId="517C8D9C" w:rsidR="00266179" w:rsidRDefault="00266179" w:rsidP="00964D65">
      <w:pPr>
        <w:pStyle w:val="PwCNormal"/>
        <w:numPr>
          <w:ilvl w:val="0"/>
          <w:numId w:val="33"/>
        </w:numPr>
      </w:pPr>
      <w:r>
        <w:t xml:space="preserve">This year we have enhanced the Carers model assumptions to allow for the intergenerational variable. Use of welfare by a person’s parents during childhood was seen to be correlated with higher continuance on income support </w:t>
      </w:r>
      <w:r w:rsidR="00B74B42">
        <w:t>payments</w:t>
      </w:r>
      <w:r w:rsidR="000D73F9">
        <w:t>.</w:t>
      </w:r>
    </w:p>
    <w:p w14:paraId="1CAF4CBF" w14:textId="77777777" w:rsidR="00266179" w:rsidRPr="004E65FF" w:rsidRDefault="00266179" w:rsidP="00266179">
      <w:pPr>
        <w:pStyle w:val="Heading4"/>
      </w:pPr>
      <w:r w:rsidRPr="004E65FF">
        <w:t>What does the model show for Carers?</w:t>
      </w:r>
    </w:p>
    <w:p w14:paraId="0C1FF037" w14:textId="77777777" w:rsidR="00266179" w:rsidRPr="004E65FF" w:rsidRDefault="00266179" w:rsidP="00266179">
      <w:pPr>
        <w:pStyle w:val="Minorheading"/>
      </w:pPr>
      <w:r w:rsidRPr="004E65FF">
        <w:t>Lifetime costs</w:t>
      </w:r>
    </w:p>
    <w:p w14:paraId="404F23A1" w14:textId="77777777" w:rsidR="00266179" w:rsidRPr="004E65FF" w:rsidRDefault="00266179" w:rsidP="00266179">
      <w:pPr>
        <w:pStyle w:val="PwCNormal"/>
        <w:numPr>
          <w:ilvl w:val="0"/>
          <w:numId w:val="1"/>
        </w:numPr>
      </w:pPr>
      <w:r w:rsidRPr="004E65FF">
        <w:t xml:space="preserve">We estimated the lifetime cost for the people in this class to be </w:t>
      </w:r>
      <w:r>
        <w:rPr>
          <w:b/>
        </w:rPr>
        <w:t>$125</w:t>
      </w:r>
      <w:r w:rsidRPr="004E65FF">
        <w:rPr>
          <w:b/>
        </w:rPr>
        <w:t>bn</w:t>
      </w:r>
      <w:r w:rsidRPr="004E65FF">
        <w:t xml:space="preserve"> (or </w:t>
      </w:r>
      <w:r>
        <w:rPr>
          <w:b/>
        </w:rPr>
        <w:t>2.7</w:t>
      </w:r>
      <w:r w:rsidRPr="004E65FF">
        <w:rPr>
          <w:b/>
        </w:rPr>
        <w:t>%</w:t>
      </w:r>
      <w:r w:rsidRPr="004E65FF">
        <w:t xml:space="preserve"> of the total lifetime cost). The average lifetime cost for people in this class is </w:t>
      </w:r>
      <w:r>
        <w:rPr>
          <w:b/>
        </w:rPr>
        <w:t>$449</w:t>
      </w:r>
      <w:r w:rsidRPr="004E65FF">
        <w:rPr>
          <w:b/>
        </w:rPr>
        <w:t>,000</w:t>
      </w:r>
      <w:r w:rsidRPr="004E65FF">
        <w:t>. The variation in average lifetime cost by age and gender is illustrated in the figure below.</w:t>
      </w:r>
    </w:p>
    <w:p w14:paraId="3716B36D" w14:textId="271C50A0" w:rsidR="00266179" w:rsidRPr="004E65FF" w:rsidRDefault="00266179" w:rsidP="00266179">
      <w:pPr>
        <w:pStyle w:val="Caption"/>
      </w:pPr>
      <w:r w:rsidRPr="004E65FF">
        <w:t xml:space="preserve">Figure </w:t>
      </w:r>
      <w:fldSimple w:instr=" SEQ Figure \* ARABIC ">
        <w:r w:rsidR="00C93C1A">
          <w:rPr>
            <w:noProof/>
          </w:rPr>
          <w:t>68</w:t>
        </w:r>
      </w:fldSimple>
      <w:r w:rsidRPr="004E65FF">
        <w:t>: Average lifetime cost by age and gender (</w:t>
      </w:r>
      <w:r w:rsidR="00871E70">
        <w:t>c</w:t>
      </w:r>
      <w:r w:rsidRPr="004E65FF">
        <w:t>lass 4)</w:t>
      </w:r>
    </w:p>
    <w:tbl>
      <w:tblPr>
        <w:tblStyle w:val="Tables-APBase"/>
        <w:tblW w:w="508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686"/>
        <w:gridCol w:w="3560"/>
      </w:tblGrid>
      <w:tr w:rsidR="00266179" w:rsidRPr="009210D0" w14:paraId="294E4E7B" w14:textId="77777777" w:rsidTr="007629AE">
        <w:trPr>
          <w:trHeight w:val="3402"/>
          <w:tblHeader/>
        </w:trPr>
        <w:tc>
          <w:tcPr>
            <w:tcW w:w="6235" w:type="dxa"/>
          </w:tcPr>
          <w:p w14:paraId="7CEE3190" w14:textId="74FF04E4" w:rsidR="00266179" w:rsidRPr="004E65FF" w:rsidRDefault="0003042D" w:rsidP="00407066">
            <w:pPr>
              <w:pStyle w:val="TableTextSmall"/>
              <w:keepNext/>
              <w:rPr>
                <w:lang w:eastAsia="en-AU"/>
              </w:rPr>
            </w:pPr>
            <w:r w:rsidRPr="0003042D">
              <w:rPr>
                <w:noProof/>
                <w:lang w:eastAsia="en-AU"/>
              </w:rPr>
              <w:drawing>
                <wp:inline distT="0" distB="0" distL="0" distR="0" wp14:anchorId="31E84DA6" wp14:editId="1EEC0C41">
                  <wp:extent cx="3727365" cy="2160000"/>
                  <wp:effectExtent l="0" t="0" r="0" b="0"/>
                  <wp:docPr id="3844" name="Picture 3844" descr="This figure is a horizontal bar chart showing average lifetime cost by age for males and females separately. The vertical axis shows age with the data shown ranging from 18 to 85. The horizontal axis shows the average lifetime cost with the data shown ranging from $0 to $8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277,000 individuals who were in the carers (income support) class at 30 June 2017. &#10;&#10;The average lifetime cost of males increases with age from approximately $360,000 at age 18 to $480,000 at age 41. After this age, average lifetime cost gradually decreases with age to approximately $300,000 at age 65. After age 65, there is a much quicker reduction in average lifetime cost to approximately $120,000 at age 85.&#10;&#10;The average lifetime cost of females increases with age from approximately $500,000 at age 18 to $690,000 at age 29. The substantially higher average lifetime cost relative to males is due to higher FTB, other family, and non-income support carer components. After age 30, there is a steady reduction in average lifetime cost by age to approximately $160,000 at age 84. .&#10;&#10;The features shown in the chart are discussed further in the accompanying text within the report.&#10;" title="Average lifetime cost by age and gender (clas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27365" cy="2160000"/>
                          </a:xfrm>
                          <a:prstGeom prst="rect">
                            <a:avLst/>
                          </a:prstGeom>
                          <a:noFill/>
                          <a:ln>
                            <a:noFill/>
                          </a:ln>
                        </pic:spPr>
                      </pic:pic>
                    </a:graphicData>
                  </a:graphic>
                </wp:inline>
              </w:drawing>
            </w:r>
          </w:p>
        </w:tc>
        <w:tc>
          <w:tcPr>
            <w:tcW w:w="3320" w:type="dxa"/>
          </w:tcPr>
          <w:p w14:paraId="58F060C4" w14:textId="77777777" w:rsidR="00266179" w:rsidRPr="004E65FF" w:rsidRDefault="00266179" w:rsidP="00407066">
            <w:pPr>
              <w:pStyle w:val="TableTextSmall"/>
              <w:keepNext/>
              <w:rPr>
                <w:lang w:eastAsia="en-AU"/>
              </w:rPr>
            </w:pPr>
          </w:p>
          <w:p w14:paraId="18BD17FF" w14:textId="77777777" w:rsidR="00266179" w:rsidRPr="004E65FF" w:rsidRDefault="00266179" w:rsidP="00407066">
            <w:pPr>
              <w:pStyle w:val="TableTextSmall"/>
              <w:keepNext/>
              <w:rPr>
                <w:lang w:eastAsia="en-AU"/>
              </w:rPr>
            </w:pPr>
            <w:r w:rsidRPr="004E65FF">
              <w:rPr>
                <w:noProof/>
                <w:lang w:eastAsia="en-AU"/>
              </w:rPr>
              <w:drawing>
                <wp:inline distT="0" distB="0" distL="0" distR="0" wp14:anchorId="5D9CAB23" wp14:editId="6109B736">
                  <wp:extent cx="1087397" cy="1620000"/>
                  <wp:effectExtent l="0" t="0" r="0" b="0"/>
                  <wp:docPr id="3104" name="Picture 3104"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7397" cy="1620000"/>
                          </a:xfrm>
                          <a:prstGeom prst="rect">
                            <a:avLst/>
                          </a:prstGeom>
                          <a:noFill/>
                          <a:ln>
                            <a:noFill/>
                          </a:ln>
                        </pic:spPr>
                      </pic:pic>
                    </a:graphicData>
                  </a:graphic>
                </wp:inline>
              </w:drawing>
            </w:r>
          </w:p>
        </w:tc>
      </w:tr>
    </w:tbl>
    <w:p w14:paraId="614C269B" w14:textId="6371CEBE" w:rsidR="007629AE" w:rsidRPr="004E65FF" w:rsidRDefault="007629AE" w:rsidP="007629AE">
      <w:pPr>
        <w:pStyle w:val="PwCNormal"/>
        <w:numPr>
          <w:ilvl w:val="0"/>
          <w:numId w:val="0"/>
        </w:numPr>
      </w:pPr>
      <w:r>
        <w:t xml:space="preserve">The </w:t>
      </w:r>
      <w:r w:rsidRPr="004E65FF">
        <w:t xml:space="preserve">average lifetime costs include significant amounts of the </w:t>
      </w:r>
      <w:r w:rsidR="00346132">
        <w:t>C</w:t>
      </w:r>
      <w:r w:rsidRPr="004E65FF">
        <w:t>arer payment and age pension and contributions from a range of supplementary payment categories</w:t>
      </w:r>
      <w:r>
        <w:t>, for both males and females</w:t>
      </w:r>
      <w:r w:rsidRPr="004E65FF">
        <w:t xml:space="preserve">. The costs are noticeably higher for women than men and especially so for those at young to mid ages. This arises from higher additional costs of FTB and family payments and from more women transitioning to </w:t>
      </w:r>
      <w:r w:rsidR="0070204F">
        <w:t>P</w:t>
      </w:r>
      <w:r w:rsidRPr="004E65FF">
        <w:t>arenting payments.</w:t>
      </w:r>
    </w:p>
    <w:p w14:paraId="0753EDFB" w14:textId="6B230609" w:rsidR="00266179" w:rsidRDefault="007629AE" w:rsidP="007629AE">
      <w:pPr>
        <w:pStyle w:val="PwCNormal"/>
        <w:numPr>
          <w:ilvl w:val="0"/>
          <w:numId w:val="0"/>
        </w:numPr>
      </w:pPr>
      <w:r w:rsidRPr="004E65FF">
        <w:t>The average lifetime cost pyramid shows a small discontinuity at age 65</w:t>
      </w:r>
      <w:r>
        <w:t xml:space="preserve"> for the IS </w:t>
      </w:r>
      <w:r w:rsidR="003C32DF">
        <w:t>C</w:t>
      </w:r>
      <w:r>
        <w:t>arer payments</w:t>
      </w:r>
      <w:r w:rsidRPr="004E65FF">
        <w:t xml:space="preserve"> but then continues through the full age range reflecting the composition of people in the class. The discontinuity arises as many people move to the Age Pension class once they are over this age. For the small proportion of people who continue in this class once they are above their pension age, the average lifetime cost is mainly comprised of a mix of </w:t>
      </w:r>
      <w:r w:rsidR="003C32DF">
        <w:t>C</w:t>
      </w:r>
      <w:r w:rsidRPr="004E65FF">
        <w:t xml:space="preserve">arer payments and the </w:t>
      </w:r>
      <w:r w:rsidR="006067D2">
        <w:t>Age P</w:t>
      </w:r>
      <w:r w:rsidRPr="004E65FF">
        <w:t>ension.</w:t>
      </w:r>
    </w:p>
    <w:p w14:paraId="69817442" w14:textId="20F487EA" w:rsidR="000E7587" w:rsidRDefault="000E7587" w:rsidP="001B78F7">
      <w:pPr>
        <w:pStyle w:val="PwCNormal"/>
        <w:numPr>
          <w:ilvl w:val="0"/>
          <w:numId w:val="0"/>
        </w:numPr>
      </w:pPr>
      <w:r w:rsidRPr="001B78F7">
        <w:t xml:space="preserve">To further explore differences in the average lifetime costs for people within class 4, we have prepared the table below, which shows the average lifetime cost for </w:t>
      </w:r>
      <w:r w:rsidR="00D97681" w:rsidRPr="001B78F7">
        <w:t xml:space="preserve">45 </w:t>
      </w:r>
      <w:r w:rsidR="00710E45" w:rsidRPr="001B78F7">
        <w:t xml:space="preserve">to </w:t>
      </w:r>
      <w:r w:rsidR="00D97681" w:rsidRPr="001B78F7">
        <w:t>54</w:t>
      </w:r>
      <w:r w:rsidRPr="001B78F7">
        <w:t xml:space="preserve"> year olds currently receiving </w:t>
      </w:r>
      <w:r w:rsidR="003C32DF" w:rsidRPr="001B78F7">
        <w:t>C</w:t>
      </w:r>
      <w:r w:rsidRPr="001B78F7">
        <w:t xml:space="preserve">arer payments, split by key characteristics. We have selected a </w:t>
      </w:r>
      <w:r w:rsidR="000131CD">
        <w:t xml:space="preserve">set </w:t>
      </w:r>
      <w:r w:rsidRPr="001B78F7">
        <w:t>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w:t>
      </w:r>
      <w:r w:rsidR="00003814">
        <w:t xml:space="preserve"> Further, the variations and relativities to the average lifetime cost that have been shown may differ for other age bands.</w:t>
      </w:r>
    </w:p>
    <w:p w14:paraId="2655F54D" w14:textId="6EB5CAB6" w:rsidR="000E7587" w:rsidRDefault="000E7587" w:rsidP="000E7587">
      <w:pPr>
        <w:pStyle w:val="Caption"/>
      </w:pPr>
      <w:r w:rsidRPr="003719FC">
        <w:lastRenderedPageBreak/>
        <w:t xml:space="preserve">Table </w:t>
      </w:r>
      <w:fldSimple w:instr=" SEQ Table \* ARABIC ">
        <w:r w:rsidR="00C93C1A">
          <w:rPr>
            <w:noProof/>
          </w:rPr>
          <w:t>30</w:t>
        </w:r>
      </w:fldSimple>
      <w:r w:rsidRPr="003719FC">
        <w:t xml:space="preserve">: </w:t>
      </w:r>
      <w:r>
        <w:t xml:space="preserve">Average lifetime cost for </w:t>
      </w:r>
      <w:r w:rsidR="00D97681">
        <w:t>45</w:t>
      </w:r>
      <w:r w:rsidR="00710E45">
        <w:t xml:space="preserve"> to </w:t>
      </w:r>
      <w:r w:rsidR="00D97681">
        <w:t>54</w:t>
      </w:r>
      <w:r>
        <w:t xml:space="preserve"> year old </w:t>
      </w:r>
      <w:r w:rsidR="003C32DF">
        <w:t>C</w:t>
      </w:r>
      <w:r>
        <w:t>arers payment recipients split by key characteristics</w:t>
      </w:r>
    </w:p>
    <w:tbl>
      <w:tblPr>
        <w:tblStyle w:val="ListTable3-Accent61"/>
        <w:tblW w:w="9781" w:type="dxa"/>
        <w:tblInd w:w="108" w:type="dxa"/>
        <w:tblLayout w:type="fixed"/>
        <w:tblLook w:val="04A0" w:firstRow="1" w:lastRow="0" w:firstColumn="1" w:lastColumn="0" w:noHBand="0" w:noVBand="1"/>
        <w:tblCaption w:val="Average lifetime cost for 45 to 54 year old Carers payment recipients split by key characteristics"/>
        <w:tblDescription w:val="This table displays data for average lifetime costs of 45 to 54 year olds on studying payments by key characteristics. The columns show the number of people, number of people as % of cohort, average lifetime cost, and average lifetime cost relative to the whole cohort. The rows show data for four different key characteristics, carer caree relationship, caree medical condition, number of children, and marital status. This is further divided by their respective categories. &#10;&#10;Further features of the data in this table are discussed in the accompanying text within the report.&#10;"/>
      </w:tblPr>
      <w:tblGrid>
        <w:gridCol w:w="3828"/>
        <w:gridCol w:w="1134"/>
        <w:gridCol w:w="1606"/>
        <w:gridCol w:w="1606"/>
        <w:gridCol w:w="1607"/>
      </w:tblGrid>
      <w:tr w:rsidR="006114CC" w:rsidRPr="006114CC" w14:paraId="03375901" w14:textId="77777777" w:rsidTr="00E42ACF">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100" w:firstRow="0" w:lastRow="0" w:firstColumn="1" w:lastColumn="0" w:oddVBand="0" w:evenVBand="0" w:oddHBand="0" w:evenHBand="0" w:firstRowFirstColumn="1" w:firstRowLastColumn="0" w:lastRowFirstColumn="0" w:lastRowLastColumn="0"/>
            <w:tcW w:w="3828" w:type="dxa"/>
            <w:noWrap/>
            <w:hideMark/>
          </w:tcPr>
          <w:p w14:paraId="583F1933" w14:textId="77777777" w:rsidR="006114CC" w:rsidRPr="00660D81" w:rsidRDefault="006114CC" w:rsidP="00C36A7A">
            <w:pPr>
              <w:pStyle w:val="TableTextSmall"/>
              <w:keepNext/>
              <w:rPr>
                <w:rFonts w:asciiTheme="majorHAnsi" w:hAnsiTheme="majorHAnsi"/>
                <w:bCs w:val="0"/>
                <w:color w:val="FFFFFF" w:themeColor="background1"/>
                <w:lang w:eastAsia="en-AU"/>
              </w:rPr>
            </w:pPr>
          </w:p>
        </w:tc>
        <w:tc>
          <w:tcPr>
            <w:tcW w:w="1134" w:type="dxa"/>
            <w:noWrap/>
            <w:hideMark/>
          </w:tcPr>
          <w:p w14:paraId="07B6A55A"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w:t>
            </w:r>
          </w:p>
        </w:tc>
        <w:tc>
          <w:tcPr>
            <w:tcW w:w="1606" w:type="dxa"/>
            <w:hideMark/>
          </w:tcPr>
          <w:p w14:paraId="04F22FC9"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 as % of cohort</w:t>
            </w:r>
          </w:p>
        </w:tc>
        <w:tc>
          <w:tcPr>
            <w:tcW w:w="1606" w:type="dxa"/>
            <w:hideMark/>
          </w:tcPr>
          <w:p w14:paraId="5A1FED70"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w:t>
            </w:r>
          </w:p>
        </w:tc>
        <w:tc>
          <w:tcPr>
            <w:tcW w:w="1607" w:type="dxa"/>
          </w:tcPr>
          <w:p w14:paraId="15E4BD1A"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relative to cohort</w:t>
            </w:r>
          </w:p>
        </w:tc>
      </w:tr>
      <w:tr w:rsidR="0069611A" w:rsidRPr="006114CC" w14:paraId="3AE555DB"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shd w:val="clear" w:color="auto" w:fill="F7DCE1" w:themeFill="accent4" w:themeFillTint="33"/>
            <w:noWrap/>
            <w:vAlign w:val="bottom"/>
            <w:hideMark/>
          </w:tcPr>
          <w:p w14:paraId="7D5E2492" w14:textId="527DD302" w:rsidR="0069611A" w:rsidRPr="00D97681" w:rsidRDefault="0069611A" w:rsidP="0069611A">
            <w:pPr>
              <w:pStyle w:val="TableTextSmall"/>
              <w:keepNext/>
              <w:rPr>
                <w:rFonts w:asciiTheme="majorHAnsi" w:hAnsiTheme="majorHAnsi"/>
                <w:bCs w:val="0"/>
                <w:color w:val="595959" w:themeColor="text1" w:themeTint="A6"/>
                <w:lang w:eastAsia="en-AU"/>
              </w:rPr>
            </w:pPr>
            <w:r w:rsidRPr="00D97681">
              <w:rPr>
                <w:rFonts w:ascii="Arial" w:hAnsi="Arial"/>
                <w:color w:val="595959"/>
                <w:szCs w:val="16"/>
              </w:rPr>
              <w:t>Total</w:t>
            </w:r>
          </w:p>
        </w:tc>
        <w:tc>
          <w:tcPr>
            <w:tcW w:w="1134" w:type="dxa"/>
            <w:shd w:val="clear" w:color="auto" w:fill="F7DCE1" w:themeFill="accent4" w:themeFillTint="33"/>
            <w:noWrap/>
            <w:vAlign w:val="bottom"/>
            <w:hideMark/>
          </w:tcPr>
          <w:p w14:paraId="1FADF180" w14:textId="776A190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68,000</w:t>
            </w:r>
          </w:p>
        </w:tc>
        <w:tc>
          <w:tcPr>
            <w:tcW w:w="1606" w:type="dxa"/>
            <w:shd w:val="clear" w:color="auto" w:fill="F7DCE1" w:themeFill="accent4" w:themeFillTint="33"/>
            <w:noWrap/>
            <w:vAlign w:val="bottom"/>
            <w:hideMark/>
          </w:tcPr>
          <w:p w14:paraId="6F167AA9" w14:textId="1C61E8B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c>
          <w:tcPr>
            <w:tcW w:w="1606" w:type="dxa"/>
            <w:shd w:val="clear" w:color="auto" w:fill="F7DCE1" w:themeFill="accent4" w:themeFillTint="33"/>
            <w:noWrap/>
            <w:vAlign w:val="bottom"/>
          </w:tcPr>
          <w:p w14:paraId="4C6CAA51" w14:textId="4F2E9F8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479,000</w:t>
            </w:r>
          </w:p>
        </w:tc>
        <w:tc>
          <w:tcPr>
            <w:tcW w:w="1607" w:type="dxa"/>
            <w:shd w:val="clear" w:color="auto" w:fill="F7DCE1" w:themeFill="accent4" w:themeFillTint="33"/>
            <w:vAlign w:val="bottom"/>
          </w:tcPr>
          <w:p w14:paraId="7FCEC841" w14:textId="4AABD2B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r>
      <w:tr w:rsidR="0069611A" w:rsidRPr="006114CC" w14:paraId="69116E91" w14:textId="77777777" w:rsidTr="0069611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vAlign w:val="bottom"/>
            <w:hideMark/>
          </w:tcPr>
          <w:p w14:paraId="0B1B904C" w14:textId="3F75DE9D" w:rsidR="0069611A" w:rsidRPr="00D97681" w:rsidRDefault="0069611A" w:rsidP="0069611A">
            <w:pPr>
              <w:pStyle w:val="TableTextSmall"/>
              <w:keepNext/>
              <w:rPr>
                <w:rFonts w:asciiTheme="majorHAnsi" w:hAnsiTheme="majorHAnsi"/>
                <w:bCs w:val="0"/>
                <w:i/>
                <w:color w:val="595959" w:themeColor="text1" w:themeTint="A6"/>
                <w:lang w:eastAsia="en-AU"/>
              </w:rPr>
            </w:pPr>
            <w:r w:rsidRPr="00D97681">
              <w:rPr>
                <w:rFonts w:ascii="Arial" w:hAnsi="Arial"/>
                <w:color w:val="595959"/>
                <w:szCs w:val="16"/>
              </w:rPr>
              <w:t>Carer caree relationship</w:t>
            </w:r>
          </w:p>
        </w:tc>
        <w:tc>
          <w:tcPr>
            <w:tcW w:w="1134" w:type="dxa"/>
            <w:tcBorders>
              <w:top w:val="single" w:sz="4" w:space="0" w:color="E0301E" w:themeColor="accent6"/>
              <w:bottom w:val="nil"/>
            </w:tcBorders>
            <w:noWrap/>
            <w:vAlign w:val="bottom"/>
            <w:hideMark/>
          </w:tcPr>
          <w:p w14:paraId="3B7B7001"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p>
        </w:tc>
        <w:tc>
          <w:tcPr>
            <w:tcW w:w="1606" w:type="dxa"/>
            <w:tcBorders>
              <w:top w:val="single" w:sz="4" w:space="0" w:color="E0301E" w:themeColor="accent6"/>
              <w:bottom w:val="nil"/>
            </w:tcBorders>
            <w:noWrap/>
            <w:vAlign w:val="bottom"/>
            <w:hideMark/>
          </w:tcPr>
          <w:p w14:paraId="09849947"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6" w:type="dxa"/>
            <w:tcBorders>
              <w:top w:val="single" w:sz="4" w:space="0" w:color="E0301E" w:themeColor="accent6"/>
              <w:bottom w:val="nil"/>
            </w:tcBorders>
            <w:noWrap/>
            <w:vAlign w:val="bottom"/>
          </w:tcPr>
          <w:p w14:paraId="3EF8F423"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7" w:type="dxa"/>
            <w:tcBorders>
              <w:top w:val="single" w:sz="4" w:space="0" w:color="E0301E" w:themeColor="accent6"/>
              <w:bottom w:val="nil"/>
              <w:right w:val="single" w:sz="4" w:space="0" w:color="E0301E" w:themeColor="accent6"/>
            </w:tcBorders>
            <w:vAlign w:val="bottom"/>
          </w:tcPr>
          <w:p w14:paraId="6FBAB728"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r>
      <w:tr w:rsidR="0069611A" w:rsidRPr="006114CC" w14:paraId="1DD55A68"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hideMark/>
          </w:tcPr>
          <w:p w14:paraId="5CCBA663" w14:textId="5619C7F0" w:rsidR="0069611A" w:rsidRPr="00D97681" w:rsidRDefault="0069611A" w:rsidP="0069611A">
            <w:pPr>
              <w:pStyle w:val="TableTextSmall"/>
              <w:keepNext/>
              <w:rPr>
                <w:rFonts w:asciiTheme="majorHAnsi" w:hAnsiTheme="majorHAnsi"/>
                <w:b w:val="0"/>
                <w:bCs w:val="0"/>
                <w:i/>
                <w:color w:val="595959" w:themeColor="text1" w:themeTint="A6"/>
                <w:lang w:eastAsia="en-AU"/>
              </w:rPr>
            </w:pPr>
            <w:r w:rsidRPr="00D97681">
              <w:rPr>
                <w:rFonts w:ascii="Arial" w:hAnsi="Arial"/>
                <w:i/>
                <w:iCs/>
                <w:color w:val="595959"/>
                <w:szCs w:val="16"/>
              </w:rPr>
              <w:t xml:space="preserve">    - Child</w:t>
            </w:r>
          </w:p>
        </w:tc>
        <w:tc>
          <w:tcPr>
            <w:tcW w:w="1134" w:type="dxa"/>
            <w:tcBorders>
              <w:top w:val="nil"/>
              <w:bottom w:val="nil"/>
            </w:tcBorders>
            <w:noWrap/>
            <w:vAlign w:val="bottom"/>
            <w:hideMark/>
          </w:tcPr>
          <w:p w14:paraId="0BBB0B85" w14:textId="55FAEA16"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lang w:eastAsia="en-AU"/>
              </w:rPr>
            </w:pPr>
            <w:r>
              <w:rPr>
                <w:rFonts w:ascii="Arial" w:hAnsi="Arial"/>
                <w:color w:val="595959"/>
                <w:szCs w:val="16"/>
              </w:rPr>
              <w:t>17,000</w:t>
            </w:r>
          </w:p>
        </w:tc>
        <w:tc>
          <w:tcPr>
            <w:tcW w:w="1606" w:type="dxa"/>
            <w:tcBorders>
              <w:top w:val="nil"/>
              <w:bottom w:val="nil"/>
            </w:tcBorders>
            <w:noWrap/>
            <w:vAlign w:val="bottom"/>
            <w:hideMark/>
          </w:tcPr>
          <w:p w14:paraId="21B5A1D8" w14:textId="2B9C8FF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25%</w:t>
            </w:r>
          </w:p>
        </w:tc>
        <w:tc>
          <w:tcPr>
            <w:tcW w:w="1606" w:type="dxa"/>
            <w:tcBorders>
              <w:top w:val="nil"/>
              <w:bottom w:val="nil"/>
            </w:tcBorders>
            <w:noWrap/>
            <w:vAlign w:val="bottom"/>
          </w:tcPr>
          <w:p w14:paraId="500E9B9B" w14:textId="3CC099C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456,000</w:t>
            </w:r>
          </w:p>
        </w:tc>
        <w:tc>
          <w:tcPr>
            <w:tcW w:w="1607" w:type="dxa"/>
            <w:tcBorders>
              <w:top w:val="nil"/>
              <w:bottom w:val="nil"/>
              <w:right w:val="single" w:sz="4" w:space="0" w:color="E0301E" w:themeColor="accent6"/>
            </w:tcBorders>
            <w:vAlign w:val="bottom"/>
          </w:tcPr>
          <w:p w14:paraId="5B7475BA" w14:textId="43D8C14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95%</w:t>
            </w:r>
          </w:p>
        </w:tc>
      </w:tr>
      <w:tr w:rsidR="0069611A" w:rsidRPr="006114CC" w14:paraId="25448E74"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1CFA0899" w14:textId="54F0F891"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Other relation</w:t>
            </w:r>
          </w:p>
        </w:tc>
        <w:tc>
          <w:tcPr>
            <w:tcW w:w="1134" w:type="dxa"/>
            <w:tcBorders>
              <w:top w:val="nil"/>
              <w:bottom w:val="nil"/>
            </w:tcBorders>
            <w:noWrap/>
            <w:vAlign w:val="bottom"/>
          </w:tcPr>
          <w:p w14:paraId="3F288DA1" w14:textId="3D09668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6,000</w:t>
            </w:r>
          </w:p>
        </w:tc>
        <w:tc>
          <w:tcPr>
            <w:tcW w:w="1606" w:type="dxa"/>
            <w:tcBorders>
              <w:top w:val="nil"/>
              <w:bottom w:val="nil"/>
            </w:tcBorders>
            <w:noWrap/>
            <w:vAlign w:val="bottom"/>
          </w:tcPr>
          <w:p w14:paraId="11CE2E3C" w14:textId="77B1C3FB"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w:t>
            </w:r>
          </w:p>
        </w:tc>
        <w:tc>
          <w:tcPr>
            <w:tcW w:w="1606" w:type="dxa"/>
            <w:tcBorders>
              <w:top w:val="nil"/>
              <w:bottom w:val="nil"/>
            </w:tcBorders>
            <w:noWrap/>
            <w:vAlign w:val="bottom"/>
          </w:tcPr>
          <w:p w14:paraId="2DD077FC" w14:textId="6D7AE9E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458,000</w:t>
            </w:r>
          </w:p>
        </w:tc>
        <w:tc>
          <w:tcPr>
            <w:tcW w:w="1607" w:type="dxa"/>
            <w:tcBorders>
              <w:top w:val="nil"/>
              <w:bottom w:val="nil"/>
              <w:right w:val="single" w:sz="4" w:space="0" w:color="E0301E" w:themeColor="accent6"/>
            </w:tcBorders>
            <w:vAlign w:val="bottom"/>
          </w:tcPr>
          <w:p w14:paraId="3197BD43" w14:textId="1F6B1B9B"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96%</w:t>
            </w:r>
          </w:p>
        </w:tc>
      </w:tr>
      <w:tr w:rsidR="0069611A" w:rsidRPr="006114CC" w14:paraId="2F80F45D"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5219CD2F" w14:textId="778CD5BF"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Parent</w:t>
            </w:r>
          </w:p>
        </w:tc>
        <w:tc>
          <w:tcPr>
            <w:tcW w:w="1134" w:type="dxa"/>
            <w:tcBorders>
              <w:top w:val="nil"/>
              <w:bottom w:val="nil"/>
            </w:tcBorders>
            <w:noWrap/>
            <w:vAlign w:val="bottom"/>
          </w:tcPr>
          <w:p w14:paraId="42E16422" w14:textId="68D2F10C"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19,000</w:t>
            </w:r>
          </w:p>
        </w:tc>
        <w:tc>
          <w:tcPr>
            <w:tcW w:w="1606" w:type="dxa"/>
            <w:tcBorders>
              <w:top w:val="nil"/>
              <w:bottom w:val="nil"/>
            </w:tcBorders>
            <w:noWrap/>
            <w:vAlign w:val="bottom"/>
          </w:tcPr>
          <w:p w14:paraId="5BCB40F2" w14:textId="79AA42B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28%</w:t>
            </w:r>
          </w:p>
        </w:tc>
        <w:tc>
          <w:tcPr>
            <w:tcW w:w="1606" w:type="dxa"/>
            <w:tcBorders>
              <w:top w:val="nil"/>
              <w:bottom w:val="nil"/>
            </w:tcBorders>
            <w:noWrap/>
            <w:vAlign w:val="bottom"/>
          </w:tcPr>
          <w:p w14:paraId="1F876087" w14:textId="6B0ECC1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527,000</w:t>
            </w:r>
          </w:p>
        </w:tc>
        <w:tc>
          <w:tcPr>
            <w:tcW w:w="1607" w:type="dxa"/>
            <w:tcBorders>
              <w:top w:val="nil"/>
              <w:bottom w:val="nil"/>
              <w:right w:val="single" w:sz="4" w:space="0" w:color="E0301E" w:themeColor="accent6"/>
            </w:tcBorders>
            <w:vAlign w:val="bottom"/>
          </w:tcPr>
          <w:p w14:paraId="278EE200" w14:textId="31B7A24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110%</w:t>
            </w:r>
          </w:p>
        </w:tc>
      </w:tr>
      <w:tr w:rsidR="0069611A" w:rsidRPr="006114CC" w14:paraId="3A6FE660"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012B6FE0" w14:textId="0EE47F56"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Unrelated</w:t>
            </w:r>
          </w:p>
        </w:tc>
        <w:tc>
          <w:tcPr>
            <w:tcW w:w="1134" w:type="dxa"/>
            <w:tcBorders>
              <w:top w:val="nil"/>
              <w:bottom w:val="nil"/>
            </w:tcBorders>
            <w:noWrap/>
            <w:vAlign w:val="bottom"/>
          </w:tcPr>
          <w:p w14:paraId="7A6FA0EA" w14:textId="6472530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4,000</w:t>
            </w:r>
          </w:p>
        </w:tc>
        <w:tc>
          <w:tcPr>
            <w:tcW w:w="1606" w:type="dxa"/>
            <w:tcBorders>
              <w:top w:val="nil"/>
              <w:bottom w:val="nil"/>
            </w:tcBorders>
            <w:noWrap/>
            <w:vAlign w:val="bottom"/>
          </w:tcPr>
          <w:p w14:paraId="277D2839" w14:textId="51A1465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6%</w:t>
            </w:r>
          </w:p>
        </w:tc>
        <w:tc>
          <w:tcPr>
            <w:tcW w:w="1606" w:type="dxa"/>
            <w:tcBorders>
              <w:top w:val="nil"/>
              <w:bottom w:val="nil"/>
            </w:tcBorders>
            <w:noWrap/>
            <w:vAlign w:val="bottom"/>
          </w:tcPr>
          <w:p w14:paraId="077CD16D" w14:textId="6CDA8D88"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472,000</w:t>
            </w:r>
          </w:p>
        </w:tc>
        <w:tc>
          <w:tcPr>
            <w:tcW w:w="1607" w:type="dxa"/>
            <w:tcBorders>
              <w:top w:val="nil"/>
              <w:bottom w:val="nil"/>
              <w:right w:val="single" w:sz="4" w:space="0" w:color="E0301E" w:themeColor="accent6"/>
            </w:tcBorders>
            <w:vAlign w:val="bottom"/>
          </w:tcPr>
          <w:p w14:paraId="5A7AF759" w14:textId="17749CA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99%</w:t>
            </w:r>
          </w:p>
        </w:tc>
      </w:tr>
      <w:tr w:rsidR="0069611A" w:rsidRPr="006114CC" w14:paraId="4BCD05DC"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tcBorders>
            <w:noWrap/>
            <w:vAlign w:val="bottom"/>
          </w:tcPr>
          <w:p w14:paraId="71E5D0EE" w14:textId="0035334B"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Partner/spouse</w:t>
            </w:r>
          </w:p>
        </w:tc>
        <w:tc>
          <w:tcPr>
            <w:tcW w:w="1134" w:type="dxa"/>
            <w:tcBorders>
              <w:top w:val="nil"/>
            </w:tcBorders>
            <w:noWrap/>
            <w:vAlign w:val="bottom"/>
          </w:tcPr>
          <w:p w14:paraId="188D356C" w14:textId="7F6234C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21,000</w:t>
            </w:r>
          </w:p>
        </w:tc>
        <w:tc>
          <w:tcPr>
            <w:tcW w:w="1606" w:type="dxa"/>
            <w:tcBorders>
              <w:top w:val="nil"/>
            </w:tcBorders>
            <w:noWrap/>
            <w:vAlign w:val="bottom"/>
          </w:tcPr>
          <w:p w14:paraId="7C47268E" w14:textId="4EA4A43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31%</w:t>
            </w:r>
          </w:p>
        </w:tc>
        <w:tc>
          <w:tcPr>
            <w:tcW w:w="1606" w:type="dxa"/>
            <w:tcBorders>
              <w:top w:val="nil"/>
            </w:tcBorders>
            <w:noWrap/>
            <w:vAlign w:val="bottom"/>
          </w:tcPr>
          <w:p w14:paraId="509F09E0" w14:textId="6FA9C10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462,000</w:t>
            </w:r>
          </w:p>
        </w:tc>
        <w:tc>
          <w:tcPr>
            <w:tcW w:w="1607" w:type="dxa"/>
            <w:tcBorders>
              <w:top w:val="nil"/>
              <w:right w:val="single" w:sz="4" w:space="0" w:color="E0301E" w:themeColor="accent6"/>
            </w:tcBorders>
            <w:vAlign w:val="bottom"/>
          </w:tcPr>
          <w:p w14:paraId="004AAC9F" w14:textId="5E5E0825"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96%</w:t>
            </w:r>
          </w:p>
        </w:tc>
      </w:tr>
      <w:tr w:rsidR="0069611A" w:rsidRPr="006114CC" w14:paraId="3CA87533"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vAlign w:val="bottom"/>
          </w:tcPr>
          <w:p w14:paraId="1366A84F" w14:textId="4E2F0974" w:rsidR="0069611A" w:rsidRPr="00D97681" w:rsidRDefault="0069611A" w:rsidP="0069611A">
            <w:pPr>
              <w:pStyle w:val="TableTextSmall"/>
              <w:keepNext/>
              <w:rPr>
                <w:rFonts w:ascii="Arial" w:hAnsi="Arial"/>
                <w:i/>
                <w:iCs/>
                <w:color w:val="595959"/>
                <w:szCs w:val="16"/>
              </w:rPr>
            </w:pPr>
            <w:r w:rsidRPr="00D97681">
              <w:rPr>
                <w:rFonts w:ascii="Arial" w:hAnsi="Arial"/>
                <w:color w:val="595959"/>
                <w:szCs w:val="16"/>
              </w:rPr>
              <w:t>Caree medical condition</w:t>
            </w:r>
          </w:p>
        </w:tc>
        <w:tc>
          <w:tcPr>
            <w:tcW w:w="1134" w:type="dxa"/>
            <w:tcBorders>
              <w:top w:val="single" w:sz="4" w:space="0" w:color="E0301E" w:themeColor="accent6"/>
              <w:bottom w:val="nil"/>
            </w:tcBorders>
            <w:noWrap/>
            <w:vAlign w:val="bottom"/>
          </w:tcPr>
          <w:p w14:paraId="6453A953"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7893D20E"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59EE5B6B"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top w:val="single" w:sz="4" w:space="0" w:color="E0301E" w:themeColor="accent6"/>
              <w:bottom w:val="nil"/>
              <w:right w:val="single" w:sz="4" w:space="0" w:color="E0301E" w:themeColor="accent6"/>
            </w:tcBorders>
            <w:vAlign w:val="bottom"/>
          </w:tcPr>
          <w:p w14:paraId="28360D49"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114CC" w14:paraId="337CBF0A"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25A4EA8A" w14:textId="460CE8A6"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Cancer/tumour</w:t>
            </w:r>
          </w:p>
        </w:tc>
        <w:tc>
          <w:tcPr>
            <w:tcW w:w="1134" w:type="dxa"/>
            <w:tcBorders>
              <w:top w:val="nil"/>
              <w:bottom w:val="nil"/>
            </w:tcBorders>
            <w:noWrap/>
            <w:vAlign w:val="bottom"/>
          </w:tcPr>
          <w:p w14:paraId="42C66EC6" w14:textId="2FDBA1F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3,000</w:t>
            </w:r>
          </w:p>
        </w:tc>
        <w:tc>
          <w:tcPr>
            <w:tcW w:w="1606" w:type="dxa"/>
            <w:tcBorders>
              <w:top w:val="nil"/>
              <w:bottom w:val="nil"/>
            </w:tcBorders>
            <w:noWrap/>
            <w:vAlign w:val="bottom"/>
          </w:tcPr>
          <w:p w14:paraId="51947613" w14:textId="4CB29D08"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w:t>
            </w:r>
          </w:p>
        </w:tc>
        <w:tc>
          <w:tcPr>
            <w:tcW w:w="1606" w:type="dxa"/>
            <w:tcBorders>
              <w:top w:val="nil"/>
              <w:bottom w:val="nil"/>
            </w:tcBorders>
            <w:noWrap/>
            <w:vAlign w:val="bottom"/>
          </w:tcPr>
          <w:p w14:paraId="47829011" w14:textId="586B6A0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394,000</w:t>
            </w:r>
          </w:p>
        </w:tc>
        <w:tc>
          <w:tcPr>
            <w:tcW w:w="1607" w:type="dxa"/>
            <w:tcBorders>
              <w:top w:val="nil"/>
              <w:bottom w:val="nil"/>
              <w:right w:val="single" w:sz="4" w:space="0" w:color="E0301E" w:themeColor="accent6"/>
            </w:tcBorders>
            <w:vAlign w:val="bottom"/>
          </w:tcPr>
          <w:p w14:paraId="76DDBBDB" w14:textId="2BD0632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82%</w:t>
            </w:r>
          </w:p>
        </w:tc>
      </w:tr>
      <w:tr w:rsidR="0069611A" w:rsidRPr="006114CC" w14:paraId="0A1207BD"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53B9AD7C" w14:textId="3BEA9AA8"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Circulatory &amp; respiratory system</w:t>
            </w:r>
          </w:p>
        </w:tc>
        <w:tc>
          <w:tcPr>
            <w:tcW w:w="1134" w:type="dxa"/>
            <w:tcBorders>
              <w:top w:val="nil"/>
              <w:bottom w:val="nil"/>
            </w:tcBorders>
            <w:noWrap/>
            <w:vAlign w:val="bottom"/>
          </w:tcPr>
          <w:p w14:paraId="1541597F" w14:textId="3E5D7C0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9,000</w:t>
            </w:r>
          </w:p>
        </w:tc>
        <w:tc>
          <w:tcPr>
            <w:tcW w:w="1606" w:type="dxa"/>
            <w:tcBorders>
              <w:top w:val="nil"/>
              <w:bottom w:val="nil"/>
            </w:tcBorders>
            <w:noWrap/>
            <w:vAlign w:val="bottom"/>
          </w:tcPr>
          <w:p w14:paraId="071322C0" w14:textId="54F5125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14%</w:t>
            </w:r>
          </w:p>
        </w:tc>
        <w:tc>
          <w:tcPr>
            <w:tcW w:w="1606" w:type="dxa"/>
            <w:tcBorders>
              <w:top w:val="nil"/>
              <w:bottom w:val="nil"/>
            </w:tcBorders>
            <w:noWrap/>
            <w:vAlign w:val="bottom"/>
          </w:tcPr>
          <w:p w14:paraId="0428C96A" w14:textId="7479386B"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461,000</w:t>
            </w:r>
          </w:p>
        </w:tc>
        <w:tc>
          <w:tcPr>
            <w:tcW w:w="1607" w:type="dxa"/>
            <w:tcBorders>
              <w:top w:val="nil"/>
              <w:bottom w:val="nil"/>
              <w:right w:val="single" w:sz="4" w:space="0" w:color="E0301E" w:themeColor="accent6"/>
            </w:tcBorders>
            <w:vAlign w:val="bottom"/>
          </w:tcPr>
          <w:p w14:paraId="2BC39AAF" w14:textId="69764BD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96%</w:t>
            </w:r>
          </w:p>
        </w:tc>
      </w:tr>
      <w:tr w:rsidR="0069611A" w:rsidRPr="006114CC" w14:paraId="7F064C8D"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70BFA12B" w14:textId="04E9394F"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Congenital anomalies &amp; inherited disorders</w:t>
            </w:r>
          </w:p>
        </w:tc>
        <w:tc>
          <w:tcPr>
            <w:tcW w:w="1134" w:type="dxa"/>
            <w:tcBorders>
              <w:top w:val="nil"/>
              <w:bottom w:val="nil"/>
            </w:tcBorders>
            <w:noWrap/>
            <w:vAlign w:val="bottom"/>
          </w:tcPr>
          <w:p w14:paraId="0296E1B7" w14:textId="2919AE1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1,000</w:t>
            </w:r>
          </w:p>
        </w:tc>
        <w:tc>
          <w:tcPr>
            <w:tcW w:w="1606" w:type="dxa"/>
            <w:tcBorders>
              <w:top w:val="nil"/>
              <w:bottom w:val="nil"/>
            </w:tcBorders>
            <w:noWrap/>
            <w:vAlign w:val="bottom"/>
          </w:tcPr>
          <w:p w14:paraId="715DDCF4" w14:textId="7E5C9E2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w:t>
            </w:r>
          </w:p>
        </w:tc>
        <w:tc>
          <w:tcPr>
            <w:tcW w:w="1606" w:type="dxa"/>
            <w:tcBorders>
              <w:top w:val="nil"/>
              <w:bottom w:val="nil"/>
            </w:tcBorders>
            <w:noWrap/>
            <w:vAlign w:val="bottom"/>
          </w:tcPr>
          <w:p w14:paraId="38F274AE" w14:textId="7A496C2C"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507,000</w:t>
            </w:r>
          </w:p>
        </w:tc>
        <w:tc>
          <w:tcPr>
            <w:tcW w:w="1607" w:type="dxa"/>
            <w:tcBorders>
              <w:top w:val="nil"/>
              <w:bottom w:val="nil"/>
              <w:right w:val="single" w:sz="4" w:space="0" w:color="E0301E" w:themeColor="accent6"/>
            </w:tcBorders>
            <w:vAlign w:val="bottom"/>
          </w:tcPr>
          <w:p w14:paraId="48730151" w14:textId="6DC7BCB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106%</w:t>
            </w:r>
          </w:p>
        </w:tc>
      </w:tr>
      <w:tr w:rsidR="0069611A" w:rsidRPr="006114CC" w14:paraId="5CE8AAFE"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2FB3AC0B" w14:textId="3B19BD85"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Intellectual/learning</w:t>
            </w:r>
          </w:p>
        </w:tc>
        <w:tc>
          <w:tcPr>
            <w:tcW w:w="1134" w:type="dxa"/>
            <w:tcBorders>
              <w:top w:val="nil"/>
              <w:bottom w:val="nil"/>
            </w:tcBorders>
            <w:noWrap/>
            <w:vAlign w:val="bottom"/>
          </w:tcPr>
          <w:p w14:paraId="1ADBEE5A" w14:textId="3D0E0CDA"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6,000</w:t>
            </w:r>
          </w:p>
        </w:tc>
        <w:tc>
          <w:tcPr>
            <w:tcW w:w="1606" w:type="dxa"/>
            <w:tcBorders>
              <w:top w:val="nil"/>
              <w:bottom w:val="nil"/>
            </w:tcBorders>
            <w:noWrap/>
            <w:vAlign w:val="bottom"/>
          </w:tcPr>
          <w:p w14:paraId="0253A9B2" w14:textId="7F24C8D8"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w:t>
            </w:r>
          </w:p>
        </w:tc>
        <w:tc>
          <w:tcPr>
            <w:tcW w:w="1606" w:type="dxa"/>
            <w:tcBorders>
              <w:top w:val="nil"/>
              <w:bottom w:val="nil"/>
            </w:tcBorders>
            <w:noWrap/>
            <w:vAlign w:val="bottom"/>
          </w:tcPr>
          <w:p w14:paraId="5EA1D194" w14:textId="22A04FB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527,000</w:t>
            </w:r>
          </w:p>
        </w:tc>
        <w:tc>
          <w:tcPr>
            <w:tcW w:w="1607" w:type="dxa"/>
            <w:tcBorders>
              <w:top w:val="nil"/>
              <w:bottom w:val="nil"/>
              <w:right w:val="single" w:sz="4" w:space="0" w:color="E0301E" w:themeColor="accent6"/>
            </w:tcBorders>
            <w:vAlign w:val="bottom"/>
          </w:tcPr>
          <w:p w14:paraId="00F1F24A" w14:textId="7B1FDE9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110%</w:t>
            </w:r>
          </w:p>
        </w:tc>
      </w:tr>
      <w:tr w:rsidR="0069611A" w:rsidRPr="006114CC" w14:paraId="31E24961"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64F4AF42" w14:textId="02063E4C"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Musculo-skeletal &amp; connective tissue</w:t>
            </w:r>
          </w:p>
        </w:tc>
        <w:tc>
          <w:tcPr>
            <w:tcW w:w="1134" w:type="dxa"/>
            <w:tcBorders>
              <w:top w:val="nil"/>
              <w:bottom w:val="nil"/>
            </w:tcBorders>
            <w:noWrap/>
            <w:vAlign w:val="bottom"/>
          </w:tcPr>
          <w:p w14:paraId="19F46C3E" w14:textId="7812C74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15,000</w:t>
            </w:r>
          </w:p>
        </w:tc>
        <w:tc>
          <w:tcPr>
            <w:tcW w:w="1606" w:type="dxa"/>
            <w:tcBorders>
              <w:top w:val="nil"/>
              <w:bottom w:val="nil"/>
            </w:tcBorders>
            <w:noWrap/>
            <w:vAlign w:val="bottom"/>
          </w:tcPr>
          <w:p w14:paraId="50E94443" w14:textId="6D2F023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23%</w:t>
            </w:r>
          </w:p>
        </w:tc>
        <w:tc>
          <w:tcPr>
            <w:tcW w:w="1606" w:type="dxa"/>
            <w:tcBorders>
              <w:top w:val="nil"/>
              <w:bottom w:val="nil"/>
            </w:tcBorders>
            <w:noWrap/>
            <w:vAlign w:val="bottom"/>
          </w:tcPr>
          <w:p w14:paraId="1FECB1F5" w14:textId="10AB84B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474,000</w:t>
            </w:r>
          </w:p>
        </w:tc>
        <w:tc>
          <w:tcPr>
            <w:tcW w:w="1607" w:type="dxa"/>
            <w:tcBorders>
              <w:top w:val="nil"/>
              <w:bottom w:val="nil"/>
              <w:right w:val="single" w:sz="4" w:space="0" w:color="E0301E" w:themeColor="accent6"/>
            </w:tcBorders>
            <w:vAlign w:val="bottom"/>
          </w:tcPr>
          <w:p w14:paraId="5673C1E5" w14:textId="1F0F91D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99%</w:t>
            </w:r>
          </w:p>
        </w:tc>
      </w:tr>
      <w:tr w:rsidR="0069611A" w:rsidRPr="006114CC" w14:paraId="591013CE"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5125EA40" w14:textId="4122DEBF"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Nervous system</w:t>
            </w:r>
          </w:p>
        </w:tc>
        <w:tc>
          <w:tcPr>
            <w:tcW w:w="1134" w:type="dxa"/>
            <w:tcBorders>
              <w:top w:val="nil"/>
              <w:bottom w:val="nil"/>
            </w:tcBorders>
            <w:noWrap/>
            <w:vAlign w:val="bottom"/>
          </w:tcPr>
          <w:p w14:paraId="36987530" w14:textId="242C53B6"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7,000</w:t>
            </w:r>
          </w:p>
        </w:tc>
        <w:tc>
          <w:tcPr>
            <w:tcW w:w="1606" w:type="dxa"/>
            <w:tcBorders>
              <w:top w:val="nil"/>
              <w:bottom w:val="nil"/>
            </w:tcBorders>
            <w:noWrap/>
            <w:vAlign w:val="bottom"/>
          </w:tcPr>
          <w:p w14:paraId="11D48769" w14:textId="781D119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w:t>
            </w:r>
          </w:p>
        </w:tc>
        <w:tc>
          <w:tcPr>
            <w:tcW w:w="1606" w:type="dxa"/>
            <w:tcBorders>
              <w:top w:val="nil"/>
              <w:bottom w:val="nil"/>
            </w:tcBorders>
            <w:noWrap/>
            <w:vAlign w:val="bottom"/>
          </w:tcPr>
          <w:p w14:paraId="215B79E0" w14:textId="335A966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456,000</w:t>
            </w:r>
          </w:p>
        </w:tc>
        <w:tc>
          <w:tcPr>
            <w:tcW w:w="1607" w:type="dxa"/>
            <w:tcBorders>
              <w:top w:val="nil"/>
              <w:bottom w:val="nil"/>
              <w:right w:val="single" w:sz="4" w:space="0" w:color="E0301E" w:themeColor="accent6"/>
            </w:tcBorders>
            <w:vAlign w:val="bottom"/>
          </w:tcPr>
          <w:p w14:paraId="4D5F38BA" w14:textId="3549018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95%</w:t>
            </w:r>
          </w:p>
        </w:tc>
      </w:tr>
      <w:tr w:rsidR="0069611A" w:rsidRPr="006114CC" w14:paraId="06AF1072"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58D4B6AD" w14:textId="3866D1BD"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Psychological/psychiatric</w:t>
            </w:r>
          </w:p>
        </w:tc>
        <w:tc>
          <w:tcPr>
            <w:tcW w:w="1134" w:type="dxa"/>
            <w:tcBorders>
              <w:top w:val="nil"/>
              <w:bottom w:val="nil"/>
            </w:tcBorders>
            <w:noWrap/>
            <w:vAlign w:val="bottom"/>
          </w:tcPr>
          <w:p w14:paraId="7370F9D0" w14:textId="34B85FC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18,000</w:t>
            </w:r>
          </w:p>
        </w:tc>
        <w:tc>
          <w:tcPr>
            <w:tcW w:w="1606" w:type="dxa"/>
            <w:tcBorders>
              <w:top w:val="nil"/>
              <w:bottom w:val="nil"/>
            </w:tcBorders>
            <w:noWrap/>
            <w:vAlign w:val="bottom"/>
          </w:tcPr>
          <w:p w14:paraId="502CA124" w14:textId="31D50A79"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27%</w:t>
            </w:r>
          </w:p>
        </w:tc>
        <w:tc>
          <w:tcPr>
            <w:tcW w:w="1606" w:type="dxa"/>
            <w:tcBorders>
              <w:top w:val="nil"/>
              <w:bottom w:val="nil"/>
            </w:tcBorders>
            <w:noWrap/>
            <w:vAlign w:val="bottom"/>
          </w:tcPr>
          <w:p w14:paraId="5B2EB03A" w14:textId="4CCD5C08"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503,000</w:t>
            </w:r>
          </w:p>
        </w:tc>
        <w:tc>
          <w:tcPr>
            <w:tcW w:w="1607" w:type="dxa"/>
            <w:tcBorders>
              <w:top w:val="nil"/>
              <w:bottom w:val="nil"/>
              <w:right w:val="single" w:sz="4" w:space="0" w:color="E0301E" w:themeColor="accent6"/>
            </w:tcBorders>
            <w:vAlign w:val="bottom"/>
          </w:tcPr>
          <w:p w14:paraId="292B8C38" w14:textId="7D5088A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105%</w:t>
            </w:r>
          </w:p>
        </w:tc>
      </w:tr>
      <w:tr w:rsidR="0069611A" w:rsidRPr="006114CC" w14:paraId="261432C2"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vAlign w:val="bottom"/>
          </w:tcPr>
          <w:p w14:paraId="05169F90" w14:textId="23ED0E0A"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Other</w:t>
            </w:r>
          </w:p>
        </w:tc>
        <w:tc>
          <w:tcPr>
            <w:tcW w:w="1134" w:type="dxa"/>
            <w:tcBorders>
              <w:top w:val="nil"/>
              <w:bottom w:val="single" w:sz="4" w:space="0" w:color="E0301E" w:themeColor="accent6"/>
            </w:tcBorders>
            <w:noWrap/>
            <w:vAlign w:val="bottom"/>
          </w:tcPr>
          <w:p w14:paraId="4FF408FD" w14:textId="3605000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8,000</w:t>
            </w:r>
          </w:p>
        </w:tc>
        <w:tc>
          <w:tcPr>
            <w:tcW w:w="1606" w:type="dxa"/>
            <w:tcBorders>
              <w:top w:val="nil"/>
              <w:bottom w:val="single" w:sz="4" w:space="0" w:color="E0301E" w:themeColor="accent6"/>
            </w:tcBorders>
            <w:noWrap/>
            <w:vAlign w:val="bottom"/>
          </w:tcPr>
          <w:p w14:paraId="6009BC28" w14:textId="3AE5D6F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12%</w:t>
            </w:r>
          </w:p>
        </w:tc>
        <w:tc>
          <w:tcPr>
            <w:tcW w:w="1606" w:type="dxa"/>
            <w:tcBorders>
              <w:top w:val="nil"/>
              <w:bottom w:val="single" w:sz="4" w:space="0" w:color="E0301E" w:themeColor="accent6"/>
            </w:tcBorders>
            <w:noWrap/>
            <w:vAlign w:val="bottom"/>
          </w:tcPr>
          <w:p w14:paraId="70843A19" w14:textId="15966DA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483,000</w:t>
            </w:r>
          </w:p>
        </w:tc>
        <w:tc>
          <w:tcPr>
            <w:tcW w:w="1607" w:type="dxa"/>
            <w:tcBorders>
              <w:top w:val="nil"/>
              <w:bottom w:val="single" w:sz="4" w:space="0" w:color="E0301E" w:themeColor="accent6"/>
              <w:right w:val="single" w:sz="4" w:space="0" w:color="E0301E" w:themeColor="accent6"/>
            </w:tcBorders>
            <w:vAlign w:val="bottom"/>
          </w:tcPr>
          <w:p w14:paraId="1BB5BCAE" w14:textId="46F90ECF"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97%</w:t>
            </w:r>
          </w:p>
        </w:tc>
      </w:tr>
      <w:tr w:rsidR="0069611A" w:rsidRPr="006114CC" w14:paraId="72656DBE"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vAlign w:val="bottom"/>
          </w:tcPr>
          <w:p w14:paraId="6FEC0441" w14:textId="2C810EAE" w:rsidR="0069611A" w:rsidRPr="00D97681" w:rsidRDefault="0069611A" w:rsidP="0069611A">
            <w:pPr>
              <w:pStyle w:val="TableTextSmall"/>
              <w:keepNext/>
              <w:rPr>
                <w:rFonts w:ascii="Arial" w:hAnsi="Arial"/>
                <w:i/>
                <w:iCs/>
                <w:color w:val="595959"/>
                <w:szCs w:val="16"/>
              </w:rPr>
            </w:pPr>
            <w:r w:rsidRPr="00D97681">
              <w:rPr>
                <w:rFonts w:ascii="Arial" w:hAnsi="Arial"/>
                <w:color w:val="595959"/>
                <w:szCs w:val="16"/>
              </w:rPr>
              <w:t>Number of children</w:t>
            </w:r>
          </w:p>
        </w:tc>
        <w:tc>
          <w:tcPr>
            <w:tcW w:w="1134" w:type="dxa"/>
            <w:tcBorders>
              <w:bottom w:val="nil"/>
            </w:tcBorders>
            <w:noWrap/>
            <w:vAlign w:val="bottom"/>
          </w:tcPr>
          <w:p w14:paraId="4C6C3244"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6DD12FE5"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0D275231"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3888C7CA"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7915D670"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382FF84D" w14:textId="68672E46"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No children</w:t>
            </w:r>
          </w:p>
        </w:tc>
        <w:tc>
          <w:tcPr>
            <w:tcW w:w="1134" w:type="dxa"/>
            <w:tcBorders>
              <w:top w:val="nil"/>
              <w:bottom w:val="nil"/>
            </w:tcBorders>
            <w:noWrap/>
            <w:vAlign w:val="bottom"/>
          </w:tcPr>
          <w:p w14:paraId="23557991" w14:textId="6551B54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33,000</w:t>
            </w:r>
          </w:p>
        </w:tc>
        <w:tc>
          <w:tcPr>
            <w:tcW w:w="1606" w:type="dxa"/>
            <w:tcBorders>
              <w:top w:val="nil"/>
              <w:bottom w:val="nil"/>
            </w:tcBorders>
            <w:noWrap/>
            <w:vAlign w:val="bottom"/>
          </w:tcPr>
          <w:p w14:paraId="2125701E" w14:textId="31F92BB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49%</w:t>
            </w:r>
          </w:p>
        </w:tc>
        <w:tc>
          <w:tcPr>
            <w:tcW w:w="1606" w:type="dxa"/>
            <w:tcBorders>
              <w:top w:val="nil"/>
              <w:bottom w:val="nil"/>
            </w:tcBorders>
            <w:noWrap/>
            <w:vAlign w:val="bottom"/>
          </w:tcPr>
          <w:p w14:paraId="344AEA78" w14:textId="5BB9FA0F"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468,000</w:t>
            </w:r>
          </w:p>
        </w:tc>
        <w:tc>
          <w:tcPr>
            <w:tcW w:w="1607" w:type="dxa"/>
            <w:tcBorders>
              <w:top w:val="nil"/>
              <w:bottom w:val="nil"/>
              <w:right w:val="single" w:sz="4" w:space="0" w:color="E0301E" w:themeColor="accent6"/>
            </w:tcBorders>
            <w:vAlign w:val="bottom"/>
          </w:tcPr>
          <w:p w14:paraId="3911C095" w14:textId="08BAE9A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98%</w:t>
            </w:r>
          </w:p>
        </w:tc>
      </w:tr>
      <w:tr w:rsidR="0069611A" w:rsidRPr="006114CC" w14:paraId="1AB514F8"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55D07D5F" w14:textId="17628AE9"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- 1 child</w:t>
            </w:r>
          </w:p>
        </w:tc>
        <w:tc>
          <w:tcPr>
            <w:tcW w:w="1134" w:type="dxa"/>
            <w:tcBorders>
              <w:top w:val="nil"/>
              <w:bottom w:val="nil"/>
            </w:tcBorders>
            <w:noWrap/>
            <w:vAlign w:val="bottom"/>
          </w:tcPr>
          <w:p w14:paraId="3A669AED" w14:textId="223CD2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15,000</w:t>
            </w:r>
          </w:p>
        </w:tc>
        <w:tc>
          <w:tcPr>
            <w:tcW w:w="1606" w:type="dxa"/>
            <w:tcBorders>
              <w:top w:val="nil"/>
              <w:bottom w:val="nil"/>
            </w:tcBorders>
            <w:noWrap/>
            <w:vAlign w:val="bottom"/>
          </w:tcPr>
          <w:p w14:paraId="0D5241C7" w14:textId="78398D6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23%</w:t>
            </w:r>
          </w:p>
        </w:tc>
        <w:tc>
          <w:tcPr>
            <w:tcW w:w="1606" w:type="dxa"/>
            <w:tcBorders>
              <w:top w:val="nil"/>
              <w:bottom w:val="nil"/>
            </w:tcBorders>
            <w:noWrap/>
            <w:vAlign w:val="bottom"/>
          </w:tcPr>
          <w:p w14:paraId="27B2344E" w14:textId="05A20A6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488,000</w:t>
            </w:r>
          </w:p>
        </w:tc>
        <w:tc>
          <w:tcPr>
            <w:tcW w:w="1607" w:type="dxa"/>
            <w:tcBorders>
              <w:top w:val="nil"/>
              <w:bottom w:val="nil"/>
              <w:right w:val="single" w:sz="4" w:space="0" w:color="E0301E" w:themeColor="accent6"/>
            </w:tcBorders>
            <w:vAlign w:val="bottom"/>
          </w:tcPr>
          <w:p w14:paraId="7A8D52F9" w14:textId="3475D26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102%</w:t>
            </w:r>
          </w:p>
        </w:tc>
      </w:tr>
      <w:tr w:rsidR="0069611A" w:rsidRPr="006114CC" w14:paraId="1F7C93CF"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2FF220F9" w14:textId="1AFEA140"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- 2 children</w:t>
            </w:r>
          </w:p>
        </w:tc>
        <w:tc>
          <w:tcPr>
            <w:tcW w:w="1134" w:type="dxa"/>
            <w:tcBorders>
              <w:top w:val="nil"/>
              <w:bottom w:val="nil"/>
            </w:tcBorders>
            <w:noWrap/>
            <w:vAlign w:val="bottom"/>
          </w:tcPr>
          <w:p w14:paraId="76E7B0BE" w14:textId="10BEC87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11,000</w:t>
            </w:r>
          </w:p>
        </w:tc>
        <w:tc>
          <w:tcPr>
            <w:tcW w:w="1606" w:type="dxa"/>
            <w:tcBorders>
              <w:top w:val="nil"/>
              <w:bottom w:val="nil"/>
            </w:tcBorders>
            <w:noWrap/>
            <w:vAlign w:val="bottom"/>
          </w:tcPr>
          <w:p w14:paraId="31746362" w14:textId="2C90614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16%</w:t>
            </w:r>
          </w:p>
        </w:tc>
        <w:tc>
          <w:tcPr>
            <w:tcW w:w="1606" w:type="dxa"/>
            <w:tcBorders>
              <w:top w:val="nil"/>
              <w:bottom w:val="nil"/>
            </w:tcBorders>
            <w:noWrap/>
            <w:vAlign w:val="bottom"/>
          </w:tcPr>
          <w:p w14:paraId="591571E7" w14:textId="2714BF96"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490,000</w:t>
            </w:r>
          </w:p>
        </w:tc>
        <w:tc>
          <w:tcPr>
            <w:tcW w:w="1607" w:type="dxa"/>
            <w:tcBorders>
              <w:top w:val="nil"/>
              <w:bottom w:val="nil"/>
              <w:right w:val="single" w:sz="4" w:space="0" w:color="E0301E" w:themeColor="accent6"/>
            </w:tcBorders>
            <w:vAlign w:val="bottom"/>
          </w:tcPr>
          <w:p w14:paraId="26BF99D0" w14:textId="6206A9F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102%</w:t>
            </w:r>
          </w:p>
        </w:tc>
      </w:tr>
      <w:tr w:rsidR="0069611A" w:rsidRPr="006114CC" w14:paraId="78D2BEB5"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tcBorders>
            <w:noWrap/>
            <w:vAlign w:val="bottom"/>
          </w:tcPr>
          <w:p w14:paraId="093F3E79" w14:textId="0E5FC585"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- 3+ children</w:t>
            </w:r>
          </w:p>
        </w:tc>
        <w:tc>
          <w:tcPr>
            <w:tcW w:w="1134" w:type="dxa"/>
            <w:tcBorders>
              <w:top w:val="nil"/>
            </w:tcBorders>
            <w:noWrap/>
            <w:vAlign w:val="bottom"/>
          </w:tcPr>
          <w:p w14:paraId="5A4C6C5E" w14:textId="4834F468"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8,000</w:t>
            </w:r>
          </w:p>
        </w:tc>
        <w:tc>
          <w:tcPr>
            <w:tcW w:w="1606" w:type="dxa"/>
            <w:tcBorders>
              <w:top w:val="nil"/>
            </w:tcBorders>
            <w:noWrap/>
            <w:vAlign w:val="bottom"/>
          </w:tcPr>
          <w:p w14:paraId="40E625C5" w14:textId="03CCDF6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12%</w:t>
            </w:r>
          </w:p>
        </w:tc>
        <w:tc>
          <w:tcPr>
            <w:tcW w:w="1606" w:type="dxa"/>
            <w:tcBorders>
              <w:top w:val="nil"/>
            </w:tcBorders>
            <w:noWrap/>
            <w:vAlign w:val="bottom"/>
          </w:tcPr>
          <w:p w14:paraId="5843C551" w14:textId="34B4609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493,000</w:t>
            </w:r>
          </w:p>
        </w:tc>
        <w:tc>
          <w:tcPr>
            <w:tcW w:w="1607" w:type="dxa"/>
            <w:tcBorders>
              <w:top w:val="nil"/>
              <w:right w:val="single" w:sz="4" w:space="0" w:color="E0301E" w:themeColor="accent6"/>
            </w:tcBorders>
            <w:vAlign w:val="bottom"/>
          </w:tcPr>
          <w:p w14:paraId="3AF58A98" w14:textId="06E99F1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103%</w:t>
            </w:r>
          </w:p>
        </w:tc>
      </w:tr>
      <w:tr w:rsidR="0069611A" w:rsidRPr="006114CC" w14:paraId="1EFBBBC1"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vAlign w:val="bottom"/>
          </w:tcPr>
          <w:p w14:paraId="47EB2F9F" w14:textId="289413D5" w:rsidR="0069611A" w:rsidRPr="00D97681" w:rsidRDefault="0069611A" w:rsidP="0069611A">
            <w:pPr>
              <w:pStyle w:val="TableTextSmall"/>
              <w:keepNext/>
              <w:rPr>
                <w:rFonts w:ascii="Arial" w:hAnsi="Arial"/>
                <w:i/>
                <w:iCs/>
                <w:color w:val="595959"/>
                <w:szCs w:val="16"/>
              </w:rPr>
            </w:pPr>
            <w:r w:rsidRPr="00D97681">
              <w:rPr>
                <w:rFonts w:ascii="Arial" w:hAnsi="Arial"/>
                <w:color w:val="595959"/>
                <w:szCs w:val="16"/>
              </w:rPr>
              <w:t>Marital status</w:t>
            </w:r>
          </w:p>
        </w:tc>
        <w:tc>
          <w:tcPr>
            <w:tcW w:w="1134" w:type="dxa"/>
            <w:tcBorders>
              <w:top w:val="single" w:sz="4" w:space="0" w:color="E0301E" w:themeColor="accent6"/>
              <w:bottom w:val="nil"/>
            </w:tcBorders>
            <w:noWrap/>
            <w:vAlign w:val="bottom"/>
          </w:tcPr>
          <w:p w14:paraId="248EC8FF"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14C19723"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61CFCB8A"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top w:val="single" w:sz="4" w:space="0" w:color="E0301E" w:themeColor="accent6"/>
              <w:bottom w:val="nil"/>
              <w:right w:val="single" w:sz="4" w:space="0" w:color="E0301E" w:themeColor="accent6"/>
            </w:tcBorders>
            <w:vAlign w:val="bottom"/>
          </w:tcPr>
          <w:p w14:paraId="7BC06551"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114CC" w14:paraId="3C4FAB98"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3A5EA12C" w14:textId="0B4D6BF9"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Single</w:t>
            </w:r>
          </w:p>
        </w:tc>
        <w:tc>
          <w:tcPr>
            <w:tcW w:w="1134" w:type="dxa"/>
            <w:tcBorders>
              <w:top w:val="nil"/>
              <w:bottom w:val="nil"/>
            </w:tcBorders>
            <w:noWrap/>
            <w:vAlign w:val="bottom"/>
          </w:tcPr>
          <w:p w14:paraId="5B59E874" w14:textId="444E0B3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35,000</w:t>
            </w:r>
          </w:p>
        </w:tc>
        <w:tc>
          <w:tcPr>
            <w:tcW w:w="1606" w:type="dxa"/>
            <w:tcBorders>
              <w:top w:val="nil"/>
              <w:bottom w:val="nil"/>
            </w:tcBorders>
            <w:noWrap/>
            <w:vAlign w:val="bottom"/>
          </w:tcPr>
          <w:p w14:paraId="23379152" w14:textId="2B7CAB28"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51%</w:t>
            </w:r>
          </w:p>
        </w:tc>
        <w:tc>
          <w:tcPr>
            <w:tcW w:w="1606" w:type="dxa"/>
            <w:tcBorders>
              <w:top w:val="nil"/>
              <w:bottom w:val="nil"/>
            </w:tcBorders>
            <w:noWrap/>
            <w:vAlign w:val="bottom"/>
          </w:tcPr>
          <w:p w14:paraId="25CEAED6" w14:textId="4B88742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508,000</w:t>
            </w:r>
          </w:p>
        </w:tc>
        <w:tc>
          <w:tcPr>
            <w:tcW w:w="1607" w:type="dxa"/>
            <w:tcBorders>
              <w:top w:val="nil"/>
              <w:bottom w:val="nil"/>
              <w:right w:val="single" w:sz="4" w:space="0" w:color="E0301E" w:themeColor="accent6"/>
            </w:tcBorders>
            <w:vAlign w:val="bottom"/>
          </w:tcPr>
          <w:p w14:paraId="05161C7D" w14:textId="4CDD6E69"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106%</w:t>
            </w:r>
          </w:p>
        </w:tc>
      </w:tr>
      <w:tr w:rsidR="0069611A" w:rsidRPr="00660D81" w14:paraId="5073FADB"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vAlign w:val="bottom"/>
          </w:tcPr>
          <w:p w14:paraId="5776CB4C" w14:textId="4130ABDF" w:rsidR="0069611A" w:rsidRPr="00D97681" w:rsidRDefault="0069611A" w:rsidP="0069611A">
            <w:pPr>
              <w:pStyle w:val="TableTextSmall"/>
              <w:keepNext/>
              <w:rPr>
                <w:rFonts w:ascii="Arial" w:hAnsi="Arial"/>
                <w:b w:val="0"/>
                <w:i/>
                <w:iCs/>
                <w:color w:val="595959"/>
                <w:szCs w:val="16"/>
              </w:rPr>
            </w:pPr>
            <w:r w:rsidRPr="00D97681">
              <w:rPr>
                <w:rFonts w:ascii="Arial" w:hAnsi="Arial"/>
                <w:i/>
                <w:iCs/>
                <w:color w:val="595959"/>
                <w:szCs w:val="16"/>
              </w:rPr>
              <w:t xml:space="preserve">    - Partnered</w:t>
            </w:r>
          </w:p>
        </w:tc>
        <w:tc>
          <w:tcPr>
            <w:tcW w:w="1134" w:type="dxa"/>
            <w:tcBorders>
              <w:top w:val="nil"/>
              <w:bottom w:val="single" w:sz="4" w:space="0" w:color="E0301E" w:themeColor="accent6"/>
            </w:tcBorders>
            <w:noWrap/>
            <w:vAlign w:val="bottom"/>
          </w:tcPr>
          <w:p w14:paraId="0361FDBA" w14:textId="0972CBE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33,000</w:t>
            </w:r>
          </w:p>
        </w:tc>
        <w:tc>
          <w:tcPr>
            <w:tcW w:w="1606" w:type="dxa"/>
            <w:tcBorders>
              <w:top w:val="nil"/>
              <w:bottom w:val="single" w:sz="4" w:space="0" w:color="E0301E" w:themeColor="accent6"/>
            </w:tcBorders>
            <w:noWrap/>
            <w:vAlign w:val="bottom"/>
          </w:tcPr>
          <w:p w14:paraId="614F7740" w14:textId="43A3502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49%</w:t>
            </w:r>
          </w:p>
        </w:tc>
        <w:tc>
          <w:tcPr>
            <w:tcW w:w="1606" w:type="dxa"/>
            <w:tcBorders>
              <w:top w:val="nil"/>
              <w:bottom w:val="single" w:sz="4" w:space="0" w:color="E0301E" w:themeColor="accent6"/>
            </w:tcBorders>
            <w:noWrap/>
            <w:vAlign w:val="bottom"/>
          </w:tcPr>
          <w:p w14:paraId="409EB24F" w14:textId="65E1955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449,000</w:t>
            </w:r>
          </w:p>
        </w:tc>
        <w:tc>
          <w:tcPr>
            <w:tcW w:w="1607" w:type="dxa"/>
            <w:tcBorders>
              <w:top w:val="nil"/>
              <w:bottom w:val="single" w:sz="4" w:space="0" w:color="E0301E" w:themeColor="accent6"/>
              <w:right w:val="single" w:sz="4" w:space="0" w:color="E0301E" w:themeColor="accent6"/>
            </w:tcBorders>
            <w:vAlign w:val="bottom"/>
          </w:tcPr>
          <w:p w14:paraId="232B554C" w14:textId="1A2B640E"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94%</w:t>
            </w:r>
          </w:p>
        </w:tc>
      </w:tr>
    </w:tbl>
    <w:p w14:paraId="437283F2" w14:textId="02E23F01" w:rsidR="000E7587" w:rsidRDefault="000E7587" w:rsidP="00964D65">
      <w:pPr>
        <w:pStyle w:val="PwCNormal"/>
        <w:numPr>
          <w:ilvl w:val="0"/>
          <w:numId w:val="33"/>
        </w:numPr>
      </w:pPr>
      <w:r w:rsidRPr="00434AE3">
        <w:t xml:space="preserve">From the </w:t>
      </w:r>
      <w:r>
        <w:t>table</w:t>
      </w:r>
      <w:r w:rsidRPr="00434AE3">
        <w:t>, we can see that</w:t>
      </w:r>
      <w:r>
        <w:t xml:space="preserve"> for the current cohort of </w:t>
      </w:r>
      <w:r w:rsidR="00D97681">
        <w:t>45</w:t>
      </w:r>
      <w:r w:rsidR="00710E45">
        <w:t xml:space="preserve"> to </w:t>
      </w:r>
      <w:r w:rsidR="00D97681">
        <w:t>54</w:t>
      </w:r>
      <w:r>
        <w:t xml:space="preserve"> year old </w:t>
      </w:r>
      <w:r w:rsidR="003C32DF">
        <w:t>C</w:t>
      </w:r>
      <w:r>
        <w:t>arer</w:t>
      </w:r>
      <w:r w:rsidR="003C32DF">
        <w:t>s</w:t>
      </w:r>
      <w:r>
        <w:t xml:space="preserve"> payment recipients:</w:t>
      </w:r>
    </w:p>
    <w:p w14:paraId="1B3CC16B" w14:textId="77777777" w:rsidR="000E7587" w:rsidRDefault="000E7587" w:rsidP="000E7587">
      <w:pPr>
        <w:pStyle w:val="ListBullet"/>
      </w:pPr>
      <w:r>
        <w:t>Those carers who are the parent of their caree tend to have higher average lifetime costs.</w:t>
      </w:r>
    </w:p>
    <w:p w14:paraId="04D4EBEF" w14:textId="77777777" w:rsidR="000E7587" w:rsidRDefault="000E7587" w:rsidP="000E7587">
      <w:pPr>
        <w:pStyle w:val="ListBullet"/>
      </w:pPr>
      <w:r>
        <w:t>Those caring for someone with a congenital anomaly or learning disability tend to have higher average lifetime costs.</w:t>
      </w:r>
    </w:p>
    <w:p w14:paraId="57656FDE" w14:textId="776BDCEE" w:rsidR="000E7587" w:rsidRPr="004E65FF" w:rsidRDefault="000E7587" w:rsidP="000E7587">
      <w:pPr>
        <w:pStyle w:val="PwCNormal"/>
        <w:numPr>
          <w:ilvl w:val="0"/>
          <w:numId w:val="0"/>
        </w:numPr>
      </w:pPr>
      <w:r>
        <w:t>Single carers, or those with more children tend to have higher average lifetime costs.</w:t>
      </w:r>
    </w:p>
    <w:p w14:paraId="00C40768" w14:textId="77777777" w:rsidR="00B51738" w:rsidRPr="00CC6CF6" w:rsidRDefault="00B51738" w:rsidP="00B51738">
      <w:pPr>
        <w:pStyle w:val="Minorheading"/>
      </w:pPr>
      <w:r w:rsidRPr="00CC6CF6">
        <w:t xml:space="preserve">Change in lifetime costs since the </w:t>
      </w:r>
      <w:r>
        <w:t>2016</w:t>
      </w:r>
      <w:r w:rsidRPr="00CC6CF6">
        <w:t xml:space="preserve"> valuation</w:t>
      </w:r>
    </w:p>
    <w:p w14:paraId="7B5CC066" w14:textId="61B147CE" w:rsidR="00B51738" w:rsidRPr="00CC6CF6" w:rsidRDefault="00B51738" w:rsidP="00B51738">
      <w:pPr>
        <w:pStyle w:val="PwCNormal"/>
        <w:numPr>
          <w:ilvl w:val="0"/>
          <w:numId w:val="0"/>
        </w:numPr>
      </w:pPr>
      <w:r w:rsidRPr="00CC6CF6">
        <w:t xml:space="preserve">The lifetime cost for the people in this class </w:t>
      </w:r>
      <w:r w:rsidR="002B231E">
        <w:t>is</w:t>
      </w:r>
      <w:r w:rsidRPr="00B51738">
        <w:t xml:space="preserve"> $125bn</w:t>
      </w:r>
      <w:r w:rsidR="002B231E">
        <w:t>,</w:t>
      </w:r>
      <w:r w:rsidRPr="00B51738">
        <w:t xml:space="preserve"> an increase of $6bn</w:t>
      </w:r>
      <w:r w:rsidRPr="00CC6CF6">
        <w:t xml:space="preserve"> compared to the </w:t>
      </w:r>
      <w:r w:rsidR="001749D8">
        <w:t>June 2016</w:t>
      </w:r>
      <w:r w:rsidR="001749D8" w:rsidRPr="00CC6CF6">
        <w:t xml:space="preserve"> </w:t>
      </w:r>
      <w:r w:rsidRPr="00CC6CF6">
        <w:t xml:space="preserve">valuation. This was </w:t>
      </w:r>
      <w:r w:rsidR="00C37F57">
        <w:t xml:space="preserve">due to both </w:t>
      </w:r>
      <w:r w:rsidRPr="00CC6CF6">
        <w:t>an increase in the average cost</w:t>
      </w:r>
      <w:r w:rsidR="00C37F57">
        <w:t xml:space="preserve"> and </w:t>
      </w:r>
      <w:r w:rsidRPr="00CC6CF6">
        <w:t>an increase in the number of people in this class</w:t>
      </w:r>
      <w:r w:rsidR="00501D76">
        <w:t>.</w:t>
      </w:r>
    </w:p>
    <w:p w14:paraId="304DFBEC" w14:textId="77777777" w:rsidR="00B51738" w:rsidRPr="00CC6CF6" w:rsidRDefault="00B51738" w:rsidP="002757B8">
      <w:pPr>
        <w:pStyle w:val="ListBullet"/>
      </w:pPr>
      <w:r w:rsidRPr="00CC6CF6">
        <w:t>The number of people in this class has increased in line with our previous expectation for this class where numbers were expected to grow if the recent class entry experience continued.</w:t>
      </w:r>
    </w:p>
    <w:p w14:paraId="3AC65D48" w14:textId="77777777" w:rsidR="00B51738" w:rsidRPr="00CC6CF6" w:rsidRDefault="00B51738" w:rsidP="002757B8">
      <w:pPr>
        <w:pStyle w:val="ListBullet"/>
      </w:pPr>
      <w:r w:rsidRPr="00CC6CF6">
        <w:t>The average cost has increased by $</w:t>
      </w:r>
      <w:r>
        <w:t>11</w:t>
      </w:r>
      <w:r w:rsidRPr="00CC6CF6">
        <w:t>,000 (</w:t>
      </w:r>
      <w:r>
        <w:t>2.6</w:t>
      </w:r>
      <w:r w:rsidRPr="00CC6CF6">
        <w:t>%) since the previous valuation. The following table provides a breakdown of the change in average lifetime cost by payment category.</w:t>
      </w:r>
    </w:p>
    <w:p w14:paraId="66F5771C" w14:textId="55E900DE" w:rsidR="00B51738" w:rsidRPr="003D67B7" w:rsidRDefault="00B51738" w:rsidP="00B51738">
      <w:pPr>
        <w:pStyle w:val="Caption"/>
      </w:pPr>
      <w:r w:rsidRPr="003D67B7">
        <w:lastRenderedPageBreak/>
        <w:t xml:space="preserve">Table </w:t>
      </w:r>
      <w:fldSimple w:instr=" SEQ Table \* ARABIC ">
        <w:r w:rsidR="00C93C1A">
          <w:rPr>
            <w:noProof/>
          </w:rPr>
          <w:t>31</w:t>
        </w:r>
      </w:fldSimple>
      <w:r w:rsidRPr="003D67B7">
        <w:t xml:space="preserve">: Breakdown of change in average lifetime cost for </w:t>
      </w:r>
      <w:r w:rsidR="00871E70">
        <w:t>c</w:t>
      </w:r>
      <w:r w:rsidRPr="003D67B7">
        <w:t>lass 4 by payment category</w:t>
      </w:r>
    </w:p>
    <w:tbl>
      <w:tblPr>
        <w:tblStyle w:val="ListTable3-Accent62"/>
        <w:tblW w:w="9781" w:type="dxa"/>
        <w:tblInd w:w="108" w:type="dxa"/>
        <w:tblLayout w:type="fixed"/>
        <w:tblLook w:val="04A0" w:firstRow="1" w:lastRow="0" w:firstColumn="1" w:lastColumn="0" w:noHBand="0" w:noVBand="1"/>
        <w:tblCaption w:val=" Breakdown of change in average lifetime cost for Class 4 by payment category"/>
        <w:tblDescription w:val="This table shows the breakdown of the total change in average lifetime cost for Class 4 into; change in people in class, change in inflation, policy changes and other changes. These are shown as rows in the table.&#10;&#10;The changes in lifetime cost are considered by relevant payment categories for Class 4; IS Carer, IS Other (excluding the pension), IS Age Pension, Non IS Family Supplements and Non IS Other Supplements. These are shown as columns in the table alongside a total change column.&#10;&#10;Further features of the data in this table are discussed in the accompanying text within the report.&#10;"/>
      </w:tblPr>
      <w:tblGrid>
        <w:gridCol w:w="3119"/>
        <w:gridCol w:w="1276"/>
        <w:gridCol w:w="992"/>
        <w:gridCol w:w="992"/>
        <w:gridCol w:w="992"/>
        <w:gridCol w:w="1205"/>
        <w:gridCol w:w="1205"/>
      </w:tblGrid>
      <w:tr w:rsidR="00B51738" w:rsidRPr="003D67B7" w14:paraId="4F48F143"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71E752D9" w14:textId="77777777" w:rsidR="00B51738" w:rsidRPr="003D67B7" w:rsidRDefault="00B51738" w:rsidP="009E7C59">
            <w:pPr>
              <w:pStyle w:val="TableTextSmall"/>
              <w:keepNext/>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52623B54" w14:textId="77777777" w:rsidR="00B51738" w:rsidRPr="003D67B7"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992" w:type="dxa"/>
            <w:tcBorders>
              <w:left w:val="single" w:sz="4" w:space="0" w:color="FFFFFF" w:themeColor="background1"/>
              <w:bottom w:val="single" w:sz="4" w:space="0" w:color="FFFFFF" w:themeColor="background1"/>
              <w:right w:val="nil"/>
            </w:tcBorders>
          </w:tcPr>
          <w:p w14:paraId="1D8ADFF5" w14:textId="77777777" w:rsidR="00B51738" w:rsidRPr="003D67B7"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p>
        </w:tc>
        <w:tc>
          <w:tcPr>
            <w:tcW w:w="992" w:type="dxa"/>
            <w:tcBorders>
              <w:left w:val="nil"/>
              <w:bottom w:val="single" w:sz="4" w:space="0" w:color="FFFFFF" w:themeColor="background1"/>
              <w:right w:val="nil"/>
            </w:tcBorders>
          </w:tcPr>
          <w:p w14:paraId="73BE76B1" w14:textId="77777777" w:rsidR="00B51738" w:rsidRPr="003D67B7"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rPr>
            </w:pPr>
            <w:r w:rsidRPr="003D67B7">
              <w:rPr>
                <w:rFonts w:asciiTheme="majorHAnsi" w:hAnsiTheme="majorHAnsi"/>
                <w:color w:val="FFFFFF" w:themeColor="background1"/>
              </w:rPr>
              <w:t>IS</w:t>
            </w:r>
          </w:p>
        </w:tc>
        <w:tc>
          <w:tcPr>
            <w:tcW w:w="992" w:type="dxa"/>
            <w:tcBorders>
              <w:left w:val="nil"/>
              <w:bottom w:val="single" w:sz="4" w:space="0" w:color="FFFFFF" w:themeColor="background1"/>
              <w:right w:val="single" w:sz="4" w:space="0" w:color="FFFFFF" w:themeColor="background1"/>
            </w:tcBorders>
          </w:tcPr>
          <w:p w14:paraId="6CDC6972" w14:textId="77777777" w:rsidR="00B51738" w:rsidRPr="003D67B7"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05" w:type="dxa"/>
            <w:tcBorders>
              <w:left w:val="single" w:sz="4" w:space="0" w:color="FFFFFF" w:themeColor="background1"/>
              <w:bottom w:val="single" w:sz="4" w:space="0" w:color="FFFFFF" w:themeColor="background1"/>
            </w:tcBorders>
          </w:tcPr>
          <w:p w14:paraId="5EC63213" w14:textId="77777777" w:rsidR="00B51738" w:rsidRPr="003D67B7" w:rsidRDefault="00B51738" w:rsidP="009E7C59">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3D67B7">
              <w:rPr>
                <w:rFonts w:asciiTheme="majorHAnsi" w:hAnsiTheme="majorHAnsi"/>
                <w:color w:val="FFFFFF" w:themeColor="background1"/>
              </w:rPr>
              <w:t>Non</w:t>
            </w:r>
          </w:p>
        </w:tc>
        <w:tc>
          <w:tcPr>
            <w:tcW w:w="1205" w:type="dxa"/>
            <w:tcBorders>
              <w:bottom w:val="single" w:sz="4" w:space="0" w:color="FFFFFF" w:themeColor="background1"/>
            </w:tcBorders>
          </w:tcPr>
          <w:p w14:paraId="747BDFE3" w14:textId="77777777" w:rsidR="00B51738" w:rsidRPr="003D67B7" w:rsidRDefault="00B51738" w:rsidP="009E7C59">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3D67B7">
              <w:rPr>
                <w:rFonts w:asciiTheme="majorHAnsi" w:hAnsiTheme="majorHAnsi"/>
                <w:color w:val="FFFFFF" w:themeColor="background1"/>
              </w:rPr>
              <w:t>IS</w:t>
            </w:r>
          </w:p>
        </w:tc>
      </w:tr>
      <w:tr w:rsidR="00B51738" w:rsidRPr="003D67B7" w14:paraId="54693928"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3C5C8376" w14:textId="77777777" w:rsidR="00B51738" w:rsidRPr="003D67B7" w:rsidRDefault="00B51738" w:rsidP="009E7C59">
            <w:pPr>
              <w:pStyle w:val="TableTextSmall"/>
              <w:keepNext/>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442C23D4" w14:textId="77777777" w:rsidR="00B51738" w:rsidRPr="003D67B7"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3D67B7">
              <w:rPr>
                <w:rFonts w:asciiTheme="majorHAnsi" w:hAnsiTheme="majorHAnsi"/>
                <w:color w:val="FFFFFF" w:themeColor="background1"/>
              </w:rPr>
              <w:t>Total</w:t>
            </w:r>
          </w:p>
        </w:tc>
        <w:tc>
          <w:tcPr>
            <w:tcW w:w="992" w:type="dxa"/>
            <w:tcBorders>
              <w:top w:val="single" w:sz="4" w:space="0" w:color="FFFFFF" w:themeColor="background1"/>
              <w:left w:val="single" w:sz="4" w:space="0" w:color="FFFFFF" w:themeColor="background1"/>
              <w:bottom w:val="single" w:sz="4" w:space="0" w:color="E0301E" w:themeColor="accent6"/>
            </w:tcBorders>
          </w:tcPr>
          <w:p w14:paraId="6C674D4F" w14:textId="77777777" w:rsidR="00B51738" w:rsidRPr="003D67B7"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3D67B7">
              <w:rPr>
                <w:rFonts w:asciiTheme="majorHAnsi" w:hAnsiTheme="majorHAnsi"/>
                <w:color w:val="FFFFFF" w:themeColor="background1"/>
              </w:rPr>
              <w:t>Carer</w:t>
            </w:r>
          </w:p>
        </w:tc>
        <w:tc>
          <w:tcPr>
            <w:tcW w:w="992" w:type="dxa"/>
            <w:tcBorders>
              <w:top w:val="single" w:sz="4" w:space="0" w:color="FFFFFF" w:themeColor="background1"/>
              <w:bottom w:val="single" w:sz="4" w:space="0" w:color="E0301E" w:themeColor="accent6"/>
            </w:tcBorders>
          </w:tcPr>
          <w:p w14:paraId="520DD2F9" w14:textId="77777777" w:rsidR="00B51738" w:rsidRPr="003D67B7"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3D67B7">
              <w:rPr>
                <w:rFonts w:asciiTheme="majorHAnsi" w:hAnsiTheme="majorHAnsi"/>
                <w:color w:val="FFFFFF" w:themeColor="background1"/>
              </w:rPr>
              <w:t>Other</w:t>
            </w:r>
            <w:r w:rsidRPr="003D67B7">
              <w:rPr>
                <w:rFonts w:asciiTheme="majorHAnsi" w:hAnsiTheme="majorHAnsi"/>
                <w:color w:val="FFFFFF" w:themeColor="background1"/>
              </w:rPr>
              <w:br/>
              <w:t>(excl. Age Pension)</w:t>
            </w:r>
          </w:p>
        </w:tc>
        <w:tc>
          <w:tcPr>
            <w:tcW w:w="992" w:type="dxa"/>
            <w:tcBorders>
              <w:top w:val="single" w:sz="4" w:space="0" w:color="FFFFFF" w:themeColor="background1"/>
              <w:bottom w:val="single" w:sz="4" w:space="0" w:color="E0301E" w:themeColor="accent6"/>
              <w:right w:val="single" w:sz="4" w:space="0" w:color="FFFFFF" w:themeColor="background1"/>
            </w:tcBorders>
          </w:tcPr>
          <w:p w14:paraId="77637D49" w14:textId="77777777" w:rsidR="00B51738" w:rsidRPr="003D67B7"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3D67B7">
              <w:rPr>
                <w:rFonts w:asciiTheme="majorHAnsi" w:hAnsiTheme="majorHAnsi"/>
                <w:color w:val="FFFFFF" w:themeColor="background1"/>
              </w:rPr>
              <w:t>Age Pension</w:t>
            </w:r>
          </w:p>
        </w:tc>
        <w:tc>
          <w:tcPr>
            <w:tcW w:w="1205" w:type="dxa"/>
            <w:tcBorders>
              <w:top w:val="single" w:sz="4" w:space="0" w:color="FFFFFF" w:themeColor="background1"/>
              <w:left w:val="single" w:sz="4" w:space="0" w:color="FFFFFF" w:themeColor="background1"/>
              <w:bottom w:val="single" w:sz="4" w:space="0" w:color="E0301E" w:themeColor="accent6"/>
            </w:tcBorders>
          </w:tcPr>
          <w:p w14:paraId="3ECA49C3" w14:textId="77777777" w:rsidR="00B51738" w:rsidRPr="003D67B7"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3D67B7">
              <w:rPr>
                <w:rFonts w:asciiTheme="majorHAnsi" w:hAnsiTheme="majorHAnsi"/>
                <w:color w:val="FFFFFF" w:themeColor="background1"/>
              </w:rPr>
              <w:t>Family Supplements</w:t>
            </w:r>
          </w:p>
        </w:tc>
        <w:tc>
          <w:tcPr>
            <w:tcW w:w="1205" w:type="dxa"/>
            <w:tcBorders>
              <w:top w:val="single" w:sz="4" w:space="0" w:color="FFFFFF" w:themeColor="background1"/>
              <w:bottom w:val="single" w:sz="4" w:space="0" w:color="E0301E" w:themeColor="accent6"/>
            </w:tcBorders>
          </w:tcPr>
          <w:p w14:paraId="717C9B93" w14:textId="77777777" w:rsidR="00B51738" w:rsidRPr="003D67B7"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3D67B7">
              <w:rPr>
                <w:rFonts w:asciiTheme="majorHAnsi" w:hAnsiTheme="majorHAnsi"/>
                <w:color w:val="FFFFFF" w:themeColor="background1"/>
              </w:rPr>
              <w:t>Other Supplements</w:t>
            </w:r>
          </w:p>
        </w:tc>
      </w:tr>
      <w:tr w:rsidR="00F5517B" w:rsidRPr="003D67B7" w14:paraId="640BE0F7"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63C29CF4" w14:textId="77777777" w:rsidR="00F5517B" w:rsidRPr="003D67B7" w:rsidRDefault="00F5517B" w:rsidP="00F5517B">
            <w:pPr>
              <w:pStyle w:val="TableTextSmall"/>
              <w:keepNext/>
            </w:pPr>
            <w:r w:rsidRPr="003D67B7">
              <w:t>Jun-1</w:t>
            </w:r>
            <w:r>
              <w:t>6</w:t>
            </w:r>
            <w:r w:rsidRPr="003D67B7">
              <w:t xml:space="preserve"> Total Lifetime Cost</w:t>
            </w:r>
          </w:p>
        </w:tc>
        <w:tc>
          <w:tcPr>
            <w:tcW w:w="1276" w:type="dxa"/>
            <w:tcBorders>
              <w:left w:val="single" w:sz="4" w:space="0" w:color="E0301E" w:themeColor="accent6"/>
              <w:bottom w:val="nil"/>
              <w:right w:val="single" w:sz="4" w:space="0" w:color="E0301E" w:themeColor="accent6"/>
            </w:tcBorders>
          </w:tcPr>
          <w:p w14:paraId="3C0C2C49" w14:textId="01908F72" w:rsidR="00F5517B" w:rsidRPr="003D67B7"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35B00">
              <w:t>$119bn</w:t>
            </w:r>
          </w:p>
        </w:tc>
        <w:tc>
          <w:tcPr>
            <w:tcW w:w="992" w:type="dxa"/>
            <w:tcBorders>
              <w:left w:val="single" w:sz="4" w:space="0" w:color="E0301E" w:themeColor="accent6"/>
              <w:bottom w:val="nil"/>
            </w:tcBorders>
            <w:shd w:val="clear" w:color="auto" w:fill="D9D9D9" w:themeFill="background1" w:themeFillShade="D9"/>
          </w:tcPr>
          <w:p w14:paraId="3A0BB8B9" w14:textId="77777777" w:rsidR="00F5517B" w:rsidRPr="003D67B7"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bottom w:val="nil"/>
              <w:right w:val="nil"/>
            </w:tcBorders>
            <w:shd w:val="clear" w:color="auto" w:fill="D9D9D9" w:themeFill="background1" w:themeFillShade="D9"/>
          </w:tcPr>
          <w:p w14:paraId="6EBA60A1" w14:textId="77777777" w:rsidR="00F5517B" w:rsidRPr="003D67B7"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left w:val="nil"/>
              <w:bottom w:val="nil"/>
              <w:right w:val="nil"/>
            </w:tcBorders>
            <w:shd w:val="clear" w:color="auto" w:fill="D9D9D9" w:themeFill="background1" w:themeFillShade="D9"/>
          </w:tcPr>
          <w:p w14:paraId="7F19EF01" w14:textId="77777777" w:rsidR="00F5517B" w:rsidRPr="003D67B7"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left w:val="nil"/>
              <w:bottom w:val="nil"/>
            </w:tcBorders>
            <w:shd w:val="clear" w:color="auto" w:fill="D9D9D9" w:themeFill="background1" w:themeFillShade="D9"/>
          </w:tcPr>
          <w:p w14:paraId="20F2F692" w14:textId="77777777" w:rsidR="00F5517B" w:rsidRPr="003D67B7"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bottom w:val="nil"/>
            </w:tcBorders>
            <w:shd w:val="clear" w:color="auto" w:fill="D9D9D9" w:themeFill="background1" w:themeFillShade="D9"/>
          </w:tcPr>
          <w:p w14:paraId="23EA0699" w14:textId="77777777" w:rsidR="00F5517B" w:rsidRPr="003D67B7"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r>
      <w:tr w:rsidR="00F5517B" w:rsidRPr="003D67B7" w14:paraId="62B6CF05"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36C24537" w14:textId="77777777" w:rsidR="00F5517B" w:rsidRPr="003D67B7" w:rsidRDefault="00F5517B" w:rsidP="00F5517B">
            <w:pPr>
              <w:pStyle w:val="TableTextSmall"/>
              <w:keepNext/>
            </w:pPr>
            <w:r>
              <w:t>Jun-17</w:t>
            </w:r>
            <w:r w:rsidRPr="003D67B7">
              <w:t xml:space="preserve">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tcPr>
          <w:p w14:paraId="55E60E85" w14:textId="21DBBFCA" w:rsidR="00F5517B" w:rsidRPr="003D67B7"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35B00">
              <w:t>$125bn</w:t>
            </w:r>
          </w:p>
        </w:tc>
        <w:tc>
          <w:tcPr>
            <w:tcW w:w="992" w:type="dxa"/>
            <w:tcBorders>
              <w:top w:val="nil"/>
              <w:left w:val="single" w:sz="4" w:space="0" w:color="E0301E" w:themeColor="accent6"/>
              <w:bottom w:val="nil"/>
            </w:tcBorders>
            <w:shd w:val="clear" w:color="auto" w:fill="D9D9D9" w:themeFill="background1" w:themeFillShade="D9"/>
          </w:tcPr>
          <w:p w14:paraId="75C7DF5A" w14:textId="77777777" w:rsidR="00F5517B" w:rsidRPr="003D67B7"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tcPr>
          <w:p w14:paraId="0FD07423" w14:textId="77777777" w:rsidR="00F5517B" w:rsidRPr="003D67B7"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left w:val="nil"/>
              <w:bottom w:val="nil"/>
              <w:right w:val="nil"/>
            </w:tcBorders>
            <w:shd w:val="clear" w:color="auto" w:fill="D9D9D9" w:themeFill="background1" w:themeFillShade="D9"/>
          </w:tcPr>
          <w:p w14:paraId="4B0420AE" w14:textId="77777777" w:rsidR="00F5517B" w:rsidRPr="003D67B7"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tcPr>
          <w:p w14:paraId="7866955D" w14:textId="77777777" w:rsidR="00F5517B" w:rsidRPr="003D67B7"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nil"/>
            </w:tcBorders>
            <w:shd w:val="clear" w:color="auto" w:fill="D9D9D9" w:themeFill="background1" w:themeFillShade="D9"/>
          </w:tcPr>
          <w:p w14:paraId="127D0F0B" w14:textId="77777777" w:rsidR="00F5517B" w:rsidRPr="003D67B7"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r>
      <w:tr w:rsidR="00F5517B" w:rsidRPr="003D67B7" w14:paraId="38EEF9A6"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1A30CB3C" w14:textId="77777777" w:rsidR="00F5517B" w:rsidRPr="003D67B7" w:rsidRDefault="00F5517B" w:rsidP="00F5517B">
            <w:pPr>
              <w:pStyle w:val="TableTextSmall"/>
              <w:keepNext/>
            </w:pPr>
            <w:r w:rsidRPr="003D67B7">
              <w:t>Change in Total Lifetime Cost</w:t>
            </w:r>
          </w:p>
        </w:tc>
        <w:tc>
          <w:tcPr>
            <w:tcW w:w="1276" w:type="dxa"/>
            <w:tcBorders>
              <w:left w:val="single" w:sz="4" w:space="0" w:color="E0301E" w:themeColor="accent6"/>
              <w:bottom w:val="nil"/>
              <w:right w:val="single" w:sz="4" w:space="0" w:color="E0301E" w:themeColor="accent6"/>
            </w:tcBorders>
          </w:tcPr>
          <w:p w14:paraId="5CF17D29" w14:textId="065964C8" w:rsidR="00F5517B" w:rsidRPr="003D67B7"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35B00">
              <w:t>+$6bn (+4.7%)</w:t>
            </w:r>
          </w:p>
        </w:tc>
        <w:tc>
          <w:tcPr>
            <w:tcW w:w="992" w:type="dxa"/>
            <w:tcBorders>
              <w:top w:val="nil"/>
              <w:left w:val="single" w:sz="4" w:space="0" w:color="E0301E" w:themeColor="accent6"/>
              <w:bottom w:val="nil"/>
            </w:tcBorders>
            <w:shd w:val="clear" w:color="auto" w:fill="D9D9D9" w:themeFill="background1" w:themeFillShade="D9"/>
          </w:tcPr>
          <w:p w14:paraId="375B68DC" w14:textId="77777777" w:rsidR="00F5517B" w:rsidRPr="003D67B7"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tcPr>
          <w:p w14:paraId="48D28707" w14:textId="77777777" w:rsidR="00F5517B" w:rsidRPr="003D67B7"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left w:val="nil"/>
              <w:bottom w:val="nil"/>
              <w:right w:val="nil"/>
            </w:tcBorders>
            <w:shd w:val="clear" w:color="auto" w:fill="D9D9D9" w:themeFill="background1" w:themeFillShade="D9"/>
          </w:tcPr>
          <w:p w14:paraId="4F92FFD8" w14:textId="77777777" w:rsidR="00F5517B" w:rsidRPr="003D67B7"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tcPr>
          <w:p w14:paraId="556DD550" w14:textId="77777777" w:rsidR="00F5517B" w:rsidRPr="003D67B7"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bottom w:val="nil"/>
            </w:tcBorders>
            <w:shd w:val="clear" w:color="auto" w:fill="D9D9D9" w:themeFill="background1" w:themeFillShade="D9"/>
          </w:tcPr>
          <w:p w14:paraId="719D41B7" w14:textId="77777777" w:rsidR="00F5517B" w:rsidRPr="003D67B7" w:rsidRDefault="00F5517B" w:rsidP="00F5517B">
            <w:pPr>
              <w:pStyle w:val="TableTextSmall"/>
              <w:keepNext/>
              <w:cnfStyle w:val="000000100000" w:firstRow="0" w:lastRow="0" w:firstColumn="0" w:lastColumn="0" w:oddVBand="0" w:evenVBand="0" w:oddHBand="1" w:evenHBand="0" w:firstRowFirstColumn="0" w:firstRowLastColumn="0" w:lastRowFirstColumn="0" w:lastRowLastColumn="0"/>
            </w:pPr>
          </w:p>
        </w:tc>
      </w:tr>
      <w:tr w:rsidR="00F5517B" w:rsidRPr="003D67B7" w14:paraId="6F6AEF09"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42EC2BFF" w14:textId="77777777" w:rsidR="00F5517B" w:rsidRPr="003D67B7" w:rsidRDefault="00F5517B" w:rsidP="00F5517B">
            <w:pPr>
              <w:pStyle w:val="TableTextSmall"/>
              <w:keepNext/>
            </w:pPr>
            <w:r w:rsidRPr="003719FC">
              <w:t xml:space="preserve">Change due to </w:t>
            </w:r>
            <w:r>
              <w:t>People in Class</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tcPr>
          <w:p w14:paraId="7960B58B" w14:textId="2E7BF4B5" w:rsidR="00F5517B" w:rsidRPr="003D67B7"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35B00">
              <w:t>+2.1%</w:t>
            </w:r>
          </w:p>
        </w:tc>
        <w:tc>
          <w:tcPr>
            <w:tcW w:w="992" w:type="dxa"/>
            <w:tcBorders>
              <w:top w:val="nil"/>
              <w:left w:val="single" w:sz="4" w:space="0" w:color="E0301E" w:themeColor="accent6"/>
              <w:bottom w:val="single" w:sz="4" w:space="0" w:color="E0301E" w:themeColor="accent6"/>
            </w:tcBorders>
            <w:shd w:val="clear" w:color="auto" w:fill="D9D9D9" w:themeFill="background1" w:themeFillShade="D9"/>
          </w:tcPr>
          <w:p w14:paraId="0E218285" w14:textId="77777777" w:rsidR="00F5517B" w:rsidRPr="003D67B7"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right w:val="nil"/>
            </w:tcBorders>
            <w:shd w:val="clear" w:color="auto" w:fill="D9D9D9" w:themeFill="background1" w:themeFillShade="D9"/>
          </w:tcPr>
          <w:p w14:paraId="3698E6E2" w14:textId="77777777" w:rsidR="00F5517B" w:rsidRPr="003D67B7"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left w:val="nil"/>
              <w:bottom w:val="single" w:sz="4" w:space="0" w:color="E0301E" w:themeColor="accent6"/>
              <w:right w:val="nil"/>
            </w:tcBorders>
            <w:shd w:val="clear" w:color="auto" w:fill="D9D9D9" w:themeFill="background1" w:themeFillShade="D9"/>
          </w:tcPr>
          <w:p w14:paraId="22DE3948" w14:textId="77777777" w:rsidR="00F5517B" w:rsidRPr="003D67B7"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single" w:sz="4" w:space="0" w:color="E0301E" w:themeColor="accent6"/>
            </w:tcBorders>
            <w:shd w:val="clear" w:color="auto" w:fill="D9D9D9" w:themeFill="background1" w:themeFillShade="D9"/>
          </w:tcPr>
          <w:p w14:paraId="42483614" w14:textId="77777777" w:rsidR="00F5517B" w:rsidRPr="003D67B7"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single" w:sz="4" w:space="0" w:color="E0301E" w:themeColor="accent6"/>
            </w:tcBorders>
            <w:shd w:val="clear" w:color="auto" w:fill="D9D9D9" w:themeFill="background1" w:themeFillShade="D9"/>
          </w:tcPr>
          <w:p w14:paraId="674F7C93" w14:textId="77777777" w:rsidR="00F5517B" w:rsidRPr="003D67B7" w:rsidRDefault="00F5517B" w:rsidP="00F5517B">
            <w:pPr>
              <w:pStyle w:val="TableTextSmall"/>
              <w:keepNext/>
              <w:cnfStyle w:val="000000000000" w:firstRow="0" w:lastRow="0" w:firstColumn="0" w:lastColumn="0" w:oddVBand="0" w:evenVBand="0" w:oddHBand="0" w:evenHBand="0" w:firstRowFirstColumn="0" w:firstRowLastColumn="0" w:lastRowFirstColumn="0" w:lastRowLastColumn="0"/>
            </w:pPr>
          </w:p>
        </w:tc>
      </w:tr>
      <w:tr w:rsidR="00F5517B" w:rsidRPr="003D67B7" w14:paraId="3C4996C8"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74613217" w14:textId="77777777" w:rsidR="00F5517B" w:rsidRPr="003D67B7" w:rsidRDefault="00F5517B" w:rsidP="00F5517B">
            <w:pPr>
              <w:pStyle w:val="TableTextSmall"/>
              <w:keepNext/>
            </w:pPr>
            <w:r w:rsidRPr="003D67B7">
              <w:t>Change due to Average Lifetime Cost</w:t>
            </w:r>
          </w:p>
        </w:tc>
        <w:tc>
          <w:tcPr>
            <w:tcW w:w="1276" w:type="dxa"/>
            <w:tcBorders>
              <w:left w:val="single" w:sz="4" w:space="0" w:color="E0301E" w:themeColor="accent6"/>
              <w:bottom w:val="nil"/>
              <w:right w:val="single" w:sz="4" w:space="0" w:color="E0301E" w:themeColor="accent6"/>
            </w:tcBorders>
          </w:tcPr>
          <w:p w14:paraId="4FCB8614" w14:textId="64678DBE" w:rsidR="00F5517B" w:rsidRPr="003D67B7"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35B00">
              <w:t>+$11k (+2.6%)</w:t>
            </w:r>
          </w:p>
        </w:tc>
        <w:tc>
          <w:tcPr>
            <w:tcW w:w="992" w:type="dxa"/>
            <w:tcBorders>
              <w:left w:val="single" w:sz="4" w:space="0" w:color="E0301E" w:themeColor="accent6"/>
              <w:bottom w:val="nil"/>
            </w:tcBorders>
          </w:tcPr>
          <w:p w14:paraId="4DE3927E" w14:textId="73B5AD3D" w:rsidR="00F5517B" w:rsidRPr="003D67B7"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35B00">
              <w:t>+$2k</w:t>
            </w:r>
          </w:p>
        </w:tc>
        <w:tc>
          <w:tcPr>
            <w:tcW w:w="992" w:type="dxa"/>
            <w:tcBorders>
              <w:bottom w:val="nil"/>
            </w:tcBorders>
          </w:tcPr>
          <w:p w14:paraId="2E77D4D3" w14:textId="1BC40562" w:rsidR="00F5517B" w:rsidRPr="003D67B7"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35B00">
              <w:t>-$1k</w:t>
            </w:r>
          </w:p>
        </w:tc>
        <w:tc>
          <w:tcPr>
            <w:tcW w:w="992" w:type="dxa"/>
            <w:tcBorders>
              <w:bottom w:val="nil"/>
              <w:right w:val="dashed" w:sz="4" w:space="0" w:color="E0301E" w:themeColor="accent6"/>
            </w:tcBorders>
          </w:tcPr>
          <w:p w14:paraId="462C6F74" w14:textId="4A0F3CC5" w:rsidR="00F5517B" w:rsidRPr="003D67B7"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35B00">
              <w:t>+$8k</w:t>
            </w:r>
          </w:p>
        </w:tc>
        <w:tc>
          <w:tcPr>
            <w:tcW w:w="1205" w:type="dxa"/>
            <w:tcBorders>
              <w:left w:val="dashed" w:sz="4" w:space="0" w:color="E0301E" w:themeColor="accent6"/>
              <w:bottom w:val="nil"/>
            </w:tcBorders>
          </w:tcPr>
          <w:p w14:paraId="31BC95F3" w14:textId="459B25F0" w:rsidR="00F5517B" w:rsidRPr="00F5517B" w:rsidRDefault="00F5517B" w:rsidP="00F5517B">
            <w:pPr>
              <w:pStyle w:val="TableTextSmall"/>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F5517B">
              <w:rPr>
                <w:color w:val="808080" w:themeColor="background1" w:themeShade="80"/>
              </w:rPr>
              <w:t>&lt;$1k</w:t>
            </w:r>
          </w:p>
        </w:tc>
        <w:tc>
          <w:tcPr>
            <w:tcW w:w="1205" w:type="dxa"/>
            <w:tcBorders>
              <w:bottom w:val="nil"/>
            </w:tcBorders>
          </w:tcPr>
          <w:p w14:paraId="2AD158D4" w14:textId="6C0B2FE4" w:rsidR="00F5517B" w:rsidRPr="003D67B7" w:rsidRDefault="00F5517B" w:rsidP="00F5517B">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35B00">
              <w:t>+$1k</w:t>
            </w:r>
          </w:p>
        </w:tc>
      </w:tr>
      <w:tr w:rsidR="00F5517B" w:rsidRPr="003D67B7" w14:paraId="4E61865B"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6E2A415B" w14:textId="77777777" w:rsidR="00F5517B" w:rsidRPr="003D67B7" w:rsidRDefault="00F5517B" w:rsidP="00F5517B">
            <w:pPr>
              <w:pStyle w:val="TableTextSmall"/>
              <w:keepNext/>
              <w:rPr>
                <w:b w:val="0"/>
              </w:rPr>
            </w:pPr>
            <w:r w:rsidRPr="003D67B7">
              <w:t>- Impact of change in inflation</w:t>
            </w:r>
          </w:p>
        </w:tc>
        <w:tc>
          <w:tcPr>
            <w:tcW w:w="1276" w:type="dxa"/>
            <w:tcBorders>
              <w:top w:val="nil"/>
              <w:left w:val="single" w:sz="4" w:space="0" w:color="E0301E" w:themeColor="accent6"/>
              <w:bottom w:val="nil"/>
              <w:right w:val="single" w:sz="4" w:space="0" w:color="E0301E" w:themeColor="accent6"/>
            </w:tcBorders>
          </w:tcPr>
          <w:p w14:paraId="661A43EE" w14:textId="04393784" w:rsidR="00F5517B" w:rsidRPr="003D67B7"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35B00">
              <w:t>+$15k</w:t>
            </w:r>
          </w:p>
        </w:tc>
        <w:tc>
          <w:tcPr>
            <w:tcW w:w="992" w:type="dxa"/>
            <w:tcBorders>
              <w:top w:val="nil"/>
              <w:left w:val="single" w:sz="4" w:space="0" w:color="E0301E" w:themeColor="accent6"/>
              <w:bottom w:val="nil"/>
            </w:tcBorders>
          </w:tcPr>
          <w:p w14:paraId="18ACF5AD" w14:textId="221375D5" w:rsidR="00F5517B" w:rsidRPr="003D67B7"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35B00">
              <w:t>+$5k</w:t>
            </w:r>
          </w:p>
        </w:tc>
        <w:tc>
          <w:tcPr>
            <w:tcW w:w="992" w:type="dxa"/>
            <w:tcBorders>
              <w:top w:val="nil"/>
              <w:bottom w:val="nil"/>
            </w:tcBorders>
          </w:tcPr>
          <w:p w14:paraId="3E59BD1F" w14:textId="5F9C2CAA" w:rsidR="00F5517B" w:rsidRPr="003D67B7"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35B00">
              <w:t>+$2k</w:t>
            </w:r>
          </w:p>
        </w:tc>
        <w:tc>
          <w:tcPr>
            <w:tcW w:w="992" w:type="dxa"/>
            <w:tcBorders>
              <w:top w:val="nil"/>
              <w:bottom w:val="nil"/>
              <w:right w:val="dashed" w:sz="4" w:space="0" w:color="E0301E" w:themeColor="accent6"/>
            </w:tcBorders>
          </w:tcPr>
          <w:p w14:paraId="13B92ED9" w14:textId="056A701F" w:rsidR="00F5517B" w:rsidRPr="003D67B7"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35B00">
              <w:t>+$6k</w:t>
            </w:r>
          </w:p>
        </w:tc>
        <w:tc>
          <w:tcPr>
            <w:tcW w:w="1205" w:type="dxa"/>
            <w:tcBorders>
              <w:top w:val="nil"/>
              <w:left w:val="dashed" w:sz="4" w:space="0" w:color="E0301E" w:themeColor="accent6"/>
              <w:bottom w:val="nil"/>
            </w:tcBorders>
          </w:tcPr>
          <w:p w14:paraId="4246F37A" w14:textId="5F5BFA20"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F5517B">
              <w:rPr>
                <w:color w:val="808080" w:themeColor="background1" w:themeShade="80"/>
              </w:rPr>
              <w:t>&lt;$1k</w:t>
            </w:r>
          </w:p>
        </w:tc>
        <w:tc>
          <w:tcPr>
            <w:tcW w:w="1205" w:type="dxa"/>
            <w:tcBorders>
              <w:top w:val="nil"/>
              <w:bottom w:val="nil"/>
            </w:tcBorders>
          </w:tcPr>
          <w:p w14:paraId="36F77573" w14:textId="6697858C" w:rsidR="00F5517B" w:rsidRPr="003D67B7" w:rsidRDefault="00F5517B" w:rsidP="00F5517B">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35B00">
              <w:t>+$2k</w:t>
            </w:r>
          </w:p>
        </w:tc>
      </w:tr>
      <w:tr w:rsidR="000672D7" w:rsidRPr="003D67B7" w14:paraId="68AF03BC"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0E6C3923" w14:textId="77777777" w:rsidR="000672D7" w:rsidRPr="003D67B7" w:rsidRDefault="000672D7" w:rsidP="000672D7">
            <w:pPr>
              <w:pStyle w:val="TableTextSmall"/>
              <w:keepNext/>
              <w:rPr>
                <w:b w:val="0"/>
              </w:rPr>
            </w:pPr>
            <w:r w:rsidRPr="003D67B7">
              <w:t>- Impact of policy changes</w:t>
            </w:r>
          </w:p>
        </w:tc>
        <w:tc>
          <w:tcPr>
            <w:tcW w:w="1276" w:type="dxa"/>
            <w:tcBorders>
              <w:top w:val="nil"/>
              <w:left w:val="single" w:sz="4" w:space="0" w:color="E0301E" w:themeColor="accent6"/>
              <w:bottom w:val="nil"/>
              <w:right w:val="single" w:sz="4" w:space="0" w:color="E0301E" w:themeColor="accent6"/>
            </w:tcBorders>
          </w:tcPr>
          <w:p w14:paraId="68D8B2A7" w14:textId="5DEB4996" w:rsidR="000672D7" w:rsidRPr="00F5517B"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5517B">
              <w:rPr>
                <w:color w:val="A6A6A6" w:themeColor="background1" w:themeShade="A6"/>
              </w:rPr>
              <w:t>&lt;$1k</w:t>
            </w:r>
          </w:p>
        </w:tc>
        <w:tc>
          <w:tcPr>
            <w:tcW w:w="992" w:type="dxa"/>
            <w:tcBorders>
              <w:top w:val="nil"/>
              <w:left w:val="single" w:sz="4" w:space="0" w:color="E0301E" w:themeColor="accent6"/>
              <w:bottom w:val="nil"/>
            </w:tcBorders>
          </w:tcPr>
          <w:p w14:paraId="5C4AA0AF" w14:textId="23976F0C" w:rsidR="000672D7" w:rsidRPr="00F5517B"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C62024">
              <w:rPr>
                <w:color w:val="A6A6A6" w:themeColor="background1" w:themeShade="A6"/>
              </w:rPr>
              <w:t>&lt;$1k</w:t>
            </w:r>
          </w:p>
        </w:tc>
        <w:tc>
          <w:tcPr>
            <w:tcW w:w="992" w:type="dxa"/>
            <w:tcBorders>
              <w:top w:val="nil"/>
              <w:bottom w:val="nil"/>
            </w:tcBorders>
          </w:tcPr>
          <w:p w14:paraId="3603489E" w14:textId="284C1496" w:rsidR="000672D7" w:rsidRPr="00F5517B"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C62024">
              <w:rPr>
                <w:color w:val="A6A6A6" w:themeColor="background1" w:themeShade="A6"/>
              </w:rPr>
              <w:t>&lt;$1k</w:t>
            </w:r>
          </w:p>
        </w:tc>
        <w:tc>
          <w:tcPr>
            <w:tcW w:w="992" w:type="dxa"/>
            <w:tcBorders>
              <w:top w:val="nil"/>
              <w:bottom w:val="nil"/>
              <w:right w:val="dashed" w:sz="4" w:space="0" w:color="E0301E" w:themeColor="accent6"/>
            </w:tcBorders>
          </w:tcPr>
          <w:p w14:paraId="3705B695" w14:textId="6C3DB0B5" w:rsidR="000672D7" w:rsidRPr="00F5517B"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C62024">
              <w:rPr>
                <w:color w:val="A6A6A6" w:themeColor="background1" w:themeShade="A6"/>
              </w:rPr>
              <w:t>&lt;$1k</w:t>
            </w:r>
          </w:p>
        </w:tc>
        <w:tc>
          <w:tcPr>
            <w:tcW w:w="1205" w:type="dxa"/>
            <w:tcBorders>
              <w:top w:val="nil"/>
              <w:left w:val="dashed" w:sz="4" w:space="0" w:color="E0301E" w:themeColor="accent6"/>
              <w:bottom w:val="nil"/>
            </w:tcBorders>
          </w:tcPr>
          <w:p w14:paraId="713A3C28" w14:textId="44C97B3C" w:rsidR="000672D7" w:rsidRPr="00F5517B"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C62024">
              <w:rPr>
                <w:color w:val="A6A6A6" w:themeColor="background1" w:themeShade="A6"/>
              </w:rPr>
              <w:t>&lt;$1k</w:t>
            </w:r>
          </w:p>
        </w:tc>
        <w:tc>
          <w:tcPr>
            <w:tcW w:w="1205" w:type="dxa"/>
            <w:tcBorders>
              <w:top w:val="nil"/>
              <w:bottom w:val="nil"/>
            </w:tcBorders>
          </w:tcPr>
          <w:p w14:paraId="6222B60D" w14:textId="35809E17" w:rsidR="000672D7" w:rsidRPr="00F5517B"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C62024">
              <w:rPr>
                <w:color w:val="A6A6A6" w:themeColor="background1" w:themeShade="A6"/>
              </w:rPr>
              <w:t>&lt;$1k</w:t>
            </w:r>
          </w:p>
        </w:tc>
      </w:tr>
      <w:tr w:rsidR="00F5517B" w:rsidRPr="009210D0" w14:paraId="533FB542"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1D2F3C89" w14:textId="77777777" w:rsidR="00F5517B" w:rsidRPr="003D67B7" w:rsidRDefault="00F5517B" w:rsidP="00F5517B">
            <w:pPr>
              <w:pStyle w:val="TableTextSmall"/>
              <w:rPr>
                <w:b w:val="0"/>
              </w:rPr>
            </w:pPr>
            <w:r w:rsidRPr="003D67B7">
              <w:t>- Impact of other changes</w:t>
            </w:r>
          </w:p>
        </w:tc>
        <w:tc>
          <w:tcPr>
            <w:tcW w:w="1276" w:type="dxa"/>
            <w:tcBorders>
              <w:top w:val="nil"/>
              <w:left w:val="single" w:sz="4" w:space="0" w:color="E0301E" w:themeColor="accent6"/>
              <w:right w:val="single" w:sz="4" w:space="0" w:color="E0301E" w:themeColor="accent6"/>
            </w:tcBorders>
          </w:tcPr>
          <w:p w14:paraId="38320333" w14:textId="223D9666" w:rsidR="00F5517B" w:rsidRPr="003D67B7"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pPr>
            <w:r w:rsidRPr="00E35B00">
              <w:t>-$3k</w:t>
            </w:r>
          </w:p>
        </w:tc>
        <w:tc>
          <w:tcPr>
            <w:tcW w:w="992" w:type="dxa"/>
            <w:tcBorders>
              <w:top w:val="nil"/>
              <w:left w:val="single" w:sz="4" w:space="0" w:color="E0301E" w:themeColor="accent6"/>
            </w:tcBorders>
          </w:tcPr>
          <w:p w14:paraId="71B1948A" w14:textId="2FBF9548" w:rsidR="00F5517B" w:rsidRPr="003D67B7"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pPr>
            <w:r w:rsidRPr="00E35B00">
              <w:t>-$3k</w:t>
            </w:r>
          </w:p>
        </w:tc>
        <w:tc>
          <w:tcPr>
            <w:tcW w:w="992" w:type="dxa"/>
            <w:tcBorders>
              <w:top w:val="nil"/>
            </w:tcBorders>
          </w:tcPr>
          <w:p w14:paraId="449C6A3E" w14:textId="63CEB6E8" w:rsidR="00F5517B" w:rsidRPr="0033544C"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E35B00">
              <w:t>-$3k</w:t>
            </w:r>
          </w:p>
        </w:tc>
        <w:tc>
          <w:tcPr>
            <w:tcW w:w="992" w:type="dxa"/>
            <w:tcBorders>
              <w:top w:val="nil"/>
              <w:right w:val="dashed" w:sz="4" w:space="0" w:color="E0301E" w:themeColor="accent6"/>
            </w:tcBorders>
          </w:tcPr>
          <w:p w14:paraId="3FA4ACF5" w14:textId="0C4BD4A0" w:rsidR="00F5517B" w:rsidRPr="003D67B7"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pPr>
            <w:r w:rsidRPr="00E35B00">
              <w:t>+$3k</w:t>
            </w:r>
          </w:p>
        </w:tc>
        <w:tc>
          <w:tcPr>
            <w:tcW w:w="1205" w:type="dxa"/>
            <w:tcBorders>
              <w:top w:val="nil"/>
              <w:left w:val="dashed" w:sz="4" w:space="0" w:color="E0301E" w:themeColor="accent6"/>
            </w:tcBorders>
          </w:tcPr>
          <w:p w14:paraId="2B8C0414" w14:textId="5428B8A5"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F5517B">
              <w:rPr>
                <w:color w:val="808080" w:themeColor="background1" w:themeShade="80"/>
              </w:rPr>
              <w:t>&lt;$1k</w:t>
            </w:r>
          </w:p>
        </w:tc>
        <w:tc>
          <w:tcPr>
            <w:tcW w:w="1205" w:type="dxa"/>
            <w:tcBorders>
              <w:top w:val="nil"/>
            </w:tcBorders>
          </w:tcPr>
          <w:p w14:paraId="35853B46" w14:textId="39406676" w:rsidR="00F5517B" w:rsidRPr="00F5517B" w:rsidRDefault="00F5517B" w:rsidP="00F5517B">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F5517B">
              <w:rPr>
                <w:color w:val="A6A6A6" w:themeColor="background1" w:themeShade="A6"/>
              </w:rPr>
              <w:t>&lt;$1k</w:t>
            </w:r>
          </w:p>
        </w:tc>
      </w:tr>
    </w:tbl>
    <w:p w14:paraId="0C17216D" w14:textId="77777777" w:rsidR="00AC1E1E" w:rsidRPr="00654EEE" w:rsidRDefault="00AC1E1E" w:rsidP="00964D65">
      <w:pPr>
        <w:pStyle w:val="PwCNormal"/>
        <w:numPr>
          <w:ilvl w:val="0"/>
          <w:numId w:val="33"/>
        </w:numPr>
      </w:pPr>
      <w:r w:rsidRPr="00654EEE">
        <w:t>The increase in average cost has been primarily driven by:</w:t>
      </w:r>
    </w:p>
    <w:p w14:paraId="6E6A1AAD" w14:textId="42352BCF" w:rsidR="00AC1E1E" w:rsidRPr="00BC2E93" w:rsidRDefault="00AC1E1E" w:rsidP="00AC1E1E">
      <w:pPr>
        <w:pStyle w:val="ListBullet"/>
      </w:pPr>
      <w:r w:rsidRPr="00BC2E93">
        <w:t>an increase in the cost of future payments as a result of inflation;</w:t>
      </w:r>
      <w:r w:rsidR="00E00E2E">
        <w:t xml:space="preserve"> and</w:t>
      </w:r>
    </w:p>
    <w:p w14:paraId="1625F75B" w14:textId="63541E78" w:rsidR="00B608C3" w:rsidRPr="003B40FE" w:rsidRDefault="002B231E" w:rsidP="00AC1E1E">
      <w:pPr>
        <w:pStyle w:val="ListBullet"/>
      </w:pPr>
      <w:r w:rsidRPr="005F7C50">
        <w:t>an increase in the expected amount of Age Pension payments</w:t>
      </w:r>
      <w:r>
        <w:t xml:space="preserve"> - the average Age Pension size has been adjusted in response to the observed increase in average payments to new pensioners</w:t>
      </w:r>
      <w:r w:rsidRPr="005F7C50">
        <w:t>.</w:t>
      </w:r>
    </w:p>
    <w:p w14:paraId="5A39DB1F" w14:textId="77777777" w:rsidR="00B51738" w:rsidRPr="00654EEE" w:rsidRDefault="00B51738" w:rsidP="00964D65">
      <w:pPr>
        <w:pStyle w:val="PwCNormal"/>
        <w:numPr>
          <w:ilvl w:val="0"/>
          <w:numId w:val="33"/>
        </w:numPr>
      </w:pPr>
      <w:r w:rsidRPr="00654EEE">
        <w:t>These increases have been partially offset by:</w:t>
      </w:r>
    </w:p>
    <w:p w14:paraId="6B85C590" w14:textId="76A79282" w:rsidR="00B608C3" w:rsidRPr="00411889" w:rsidRDefault="00B608C3" w:rsidP="002757B8">
      <w:pPr>
        <w:pStyle w:val="ListBullet"/>
      </w:pPr>
      <w:r w:rsidRPr="00411889">
        <w:t>the continued impact of the</w:t>
      </w:r>
      <w:r w:rsidR="000672D7">
        <w:t xml:space="preserve"> tightening DSP</w:t>
      </w:r>
      <w:r w:rsidRPr="00411889">
        <w:t xml:space="preserve"> </w:t>
      </w:r>
      <w:r w:rsidR="000672D7">
        <w:t>eligibility criteria</w:t>
      </w:r>
      <w:r w:rsidRPr="00411889">
        <w:t xml:space="preserve"> leading to lower expected transitions into DSP</w:t>
      </w:r>
      <w:r w:rsidR="00C37F57">
        <w:t xml:space="preserve"> and therefore </w:t>
      </w:r>
      <w:r w:rsidRPr="00411889">
        <w:t>a lower contribution of DSP to the average lifetime cost; and</w:t>
      </w:r>
    </w:p>
    <w:p w14:paraId="05F91CE7" w14:textId="14515843" w:rsidR="00B608C3" w:rsidRPr="00983BF0" w:rsidRDefault="00A353C4" w:rsidP="002757B8">
      <w:pPr>
        <w:pStyle w:val="ListBullet"/>
      </w:pPr>
      <w:r>
        <w:t>l</w:t>
      </w:r>
      <w:r w:rsidR="006067D2">
        <w:t xml:space="preserve">ower </w:t>
      </w:r>
      <w:r w:rsidR="00682AA9">
        <w:t>re-entry rates</w:t>
      </w:r>
      <w:r w:rsidR="006067D2">
        <w:t xml:space="preserve"> on</w:t>
      </w:r>
      <w:r w:rsidR="00682AA9">
        <w:t>to</w:t>
      </w:r>
      <w:r w:rsidR="006067D2">
        <w:t xml:space="preserve"> Carer P</w:t>
      </w:r>
      <w:r w:rsidR="00B608C3">
        <w:t xml:space="preserve">ayments, leading to </w:t>
      </w:r>
      <w:r w:rsidR="00B608C3" w:rsidRPr="00411889">
        <w:t xml:space="preserve">a lower contribution of </w:t>
      </w:r>
      <w:r w:rsidR="006067D2">
        <w:t>C</w:t>
      </w:r>
      <w:r w:rsidR="00B608C3">
        <w:t xml:space="preserve">arer </w:t>
      </w:r>
      <w:r w:rsidR="006067D2">
        <w:t>P</w:t>
      </w:r>
      <w:r w:rsidR="00B608C3">
        <w:t>ayment</w:t>
      </w:r>
      <w:r w:rsidR="00682AA9">
        <w:t>s</w:t>
      </w:r>
      <w:r w:rsidR="00B608C3" w:rsidRPr="00411889">
        <w:t xml:space="preserve"> to the average lifetime cost</w:t>
      </w:r>
      <w:r w:rsidR="00B608C3">
        <w:t>.</w:t>
      </w:r>
    </w:p>
    <w:p w14:paraId="1387A4ED" w14:textId="77777777" w:rsidR="00266179" w:rsidRPr="00E55103" w:rsidRDefault="00266179" w:rsidP="00266179">
      <w:pPr>
        <w:pStyle w:val="Minorheading"/>
        <w:keepLines w:val="0"/>
        <w:widowControl w:val="0"/>
      </w:pPr>
      <w:r w:rsidRPr="00E55103">
        <w:t>Future outcomes</w:t>
      </w:r>
    </w:p>
    <w:p w14:paraId="55CED743" w14:textId="77777777" w:rsidR="00266179" w:rsidRPr="00E55103" w:rsidRDefault="00266179" w:rsidP="00266179">
      <w:pPr>
        <w:pStyle w:val="PwCNormal"/>
        <w:keepNext/>
        <w:numPr>
          <w:ilvl w:val="0"/>
          <w:numId w:val="0"/>
        </w:numPr>
      </w:pPr>
      <w:r w:rsidRPr="00E55103">
        <w:t xml:space="preserve">In developing the valuation results the projection model also produces information on the expected transitions for people out of each class, as shown below. </w:t>
      </w:r>
    </w:p>
    <w:p w14:paraId="7B251AE6" w14:textId="044DC399" w:rsidR="00266179" w:rsidRPr="00E55103" w:rsidRDefault="00266179" w:rsidP="00266179">
      <w:pPr>
        <w:pStyle w:val="Caption"/>
      </w:pPr>
      <w:r w:rsidRPr="00E55103">
        <w:t xml:space="preserve">Figure </w:t>
      </w:r>
      <w:fldSimple w:instr=" SEQ Figure \* ARABIC ">
        <w:r w:rsidR="00C93C1A">
          <w:rPr>
            <w:noProof/>
          </w:rPr>
          <w:t>69</w:t>
        </w:r>
      </w:fldSimple>
      <w:r w:rsidRPr="00E55103">
        <w:t xml:space="preserve">: Expected future trajectory for people in </w:t>
      </w:r>
      <w:r w:rsidR="00871E70">
        <w:t>c</w:t>
      </w:r>
      <w:r w:rsidRPr="00E55103">
        <w:t>lass 4</w:t>
      </w:r>
    </w:p>
    <w:tbl>
      <w:tblPr>
        <w:tblStyle w:val="Tables-APBase"/>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7009"/>
        <w:gridCol w:w="3072"/>
      </w:tblGrid>
      <w:tr w:rsidR="00266179" w:rsidRPr="009210D0" w14:paraId="4D12B970" w14:textId="77777777" w:rsidTr="007629AE">
        <w:trPr>
          <w:tblHeader/>
        </w:trPr>
        <w:tc>
          <w:tcPr>
            <w:tcW w:w="6536" w:type="dxa"/>
          </w:tcPr>
          <w:p w14:paraId="5985E988" w14:textId="77777777" w:rsidR="00266179" w:rsidRPr="00E55103" w:rsidRDefault="00266179" w:rsidP="00407066">
            <w:pPr>
              <w:pStyle w:val="TableTextSmall"/>
            </w:pPr>
            <w:r w:rsidRPr="00E55103">
              <w:rPr>
                <w:noProof/>
                <w:lang w:eastAsia="en-AU"/>
              </w:rPr>
              <w:drawing>
                <wp:inline distT="0" distB="0" distL="0" distR="0" wp14:anchorId="60F60F2B" wp14:editId="4EB0BFB7">
                  <wp:extent cx="4025194" cy="2160000"/>
                  <wp:effectExtent l="0" t="0" r="0" b="0"/>
                  <wp:docPr id="836" name="Picture 836" descr="This figure is a vertical bar chart. The horizontal axis shows the years 2017 to 2047. The 3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is chart includes the 277,000 individuals who were in the carer class at 30 June 2017.&#10;&#10;The chart shows around 45% of this group are expected to still be in the Carers class in 2027. For those who are projected to transition out of the Carers class by 2027 into another active class, the majority are expected to transition to the pension age class, with a smaller proportion expected to transition to the working age class or to the previous welfare recipient class. Around 40% of this group are expected to have transitioned to the pension age class by 2042.&#10;&#10;The Jun16 proportion of people in all active classes and the Jun16 proportion of people in the Carers Class are also shown. In both cases, the proportion of people in Jun17 is between 0% - 3% lower than in the previous year. &#10;&#10;&#10;The features shown in the chart are discussed further in the accompanying text within the report.&#10;" title="Expected future trajectory for people in clas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025194" cy="2160000"/>
                          </a:xfrm>
                          <a:prstGeom prst="rect">
                            <a:avLst/>
                          </a:prstGeom>
                          <a:noFill/>
                          <a:ln>
                            <a:noFill/>
                          </a:ln>
                        </pic:spPr>
                      </pic:pic>
                    </a:graphicData>
                  </a:graphic>
                </wp:inline>
              </w:drawing>
            </w:r>
          </w:p>
        </w:tc>
        <w:tc>
          <w:tcPr>
            <w:tcW w:w="2865" w:type="dxa"/>
          </w:tcPr>
          <w:p w14:paraId="015CE98A" w14:textId="77777777" w:rsidR="00266179" w:rsidRPr="00E55103" w:rsidRDefault="00266179" w:rsidP="00407066">
            <w:pPr>
              <w:pStyle w:val="TableTextSmall"/>
            </w:pPr>
          </w:p>
          <w:p w14:paraId="64781285" w14:textId="0A729EAA" w:rsidR="00266179" w:rsidRPr="00E55103" w:rsidRDefault="003668BA" w:rsidP="00407066">
            <w:pPr>
              <w:pStyle w:val="TableTextSmall"/>
            </w:pPr>
            <w:r w:rsidRPr="003668BA">
              <w:rPr>
                <w:noProof/>
                <w:lang w:eastAsia="en-AU"/>
              </w:rPr>
              <w:drawing>
                <wp:inline distT="0" distB="0" distL="0" distR="0" wp14:anchorId="6A3D8871" wp14:editId="5AB25824">
                  <wp:extent cx="1440000" cy="1779387"/>
                  <wp:effectExtent l="0" t="0" r="0" b="0"/>
                  <wp:docPr id="3896" name="Picture 3896"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p w14:paraId="6D6B6BC8" w14:textId="77777777" w:rsidR="00266179" w:rsidRPr="00E55103" w:rsidRDefault="00266179" w:rsidP="00407066">
            <w:pPr>
              <w:pStyle w:val="TableTextSmall"/>
            </w:pPr>
          </w:p>
        </w:tc>
      </w:tr>
    </w:tbl>
    <w:p w14:paraId="429C196C" w14:textId="77777777" w:rsidR="007629AE" w:rsidRPr="00625DDD" w:rsidRDefault="007629AE" w:rsidP="007629AE">
      <w:pPr>
        <w:pStyle w:val="PwCNormal"/>
        <w:numPr>
          <w:ilvl w:val="0"/>
          <w:numId w:val="0"/>
        </w:numPr>
      </w:pPr>
      <w:r w:rsidRPr="00625DDD">
        <w:t xml:space="preserve">The model projections indicate that: </w:t>
      </w:r>
    </w:p>
    <w:p w14:paraId="79881ED2" w14:textId="543C207A" w:rsidR="007629AE" w:rsidRPr="00625DDD" w:rsidRDefault="007629AE" w:rsidP="007629AE">
      <w:pPr>
        <w:pStyle w:val="ListBullet"/>
      </w:pPr>
      <w:r w:rsidRPr="00625DDD">
        <w:t xml:space="preserve">More than 60% of the people in this class are </w:t>
      </w:r>
      <w:r>
        <w:t>projected</w:t>
      </w:r>
      <w:r w:rsidRPr="00625DDD">
        <w:t xml:space="preserve"> to remain there for the next </w:t>
      </w:r>
      <w:r w:rsidR="00722399">
        <w:t>five</w:t>
      </w:r>
      <w:r w:rsidRPr="00625DDD">
        <w:t xml:space="preserve"> years (or exit and subsequently return) and over 40% are </w:t>
      </w:r>
      <w:r>
        <w:t>projected</w:t>
      </w:r>
      <w:r w:rsidRPr="00625DDD">
        <w:t xml:space="preserve"> to still be receiving the </w:t>
      </w:r>
      <w:r w:rsidR="003C32DF">
        <w:t>C</w:t>
      </w:r>
      <w:r w:rsidRPr="00625DDD">
        <w:t>arers payment pension in 10 years’ time.</w:t>
      </w:r>
    </w:p>
    <w:p w14:paraId="76134F47" w14:textId="77777777" w:rsidR="007629AE" w:rsidRPr="00625DDD" w:rsidRDefault="007629AE" w:rsidP="007629AE">
      <w:pPr>
        <w:pStyle w:val="ListBullet"/>
      </w:pPr>
      <w:r w:rsidRPr="00625DDD">
        <w:t xml:space="preserve">For those who </w:t>
      </w:r>
      <w:r>
        <w:t xml:space="preserve">are projected to </w:t>
      </w:r>
      <w:r w:rsidRPr="00625DDD">
        <w:t>exit over the next 10 years:</w:t>
      </w:r>
    </w:p>
    <w:p w14:paraId="5DD553B2" w14:textId="21B6CBE7" w:rsidR="007629AE" w:rsidRPr="00625DDD" w:rsidRDefault="007629AE" w:rsidP="007629AE">
      <w:pPr>
        <w:pStyle w:val="ListBullet2"/>
      </w:pPr>
      <w:r w:rsidRPr="00625DDD">
        <w:t xml:space="preserve">Around two thirds of these move onto another income support payment. The biggest destination is age pension, although a material proportion of people move onto </w:t>
      </w:r>
      <w:r w:rsidR="003C32DF">
        <w:t>Working Age payments</w:t>
      </w:r>
      <w:r w:rsidRPr="00625DDD">
        <w:t>.</w:t>
      </w:r>
    </w:p>
    <w:p w14:paraId="5BF8CC13" w14:textId="5D3634B0" w:rsidR="007629AE" w:rsidRPr="00625DDD" w:rsidRDefault="007629AE" w:rsidP="007629AE">
      <w:pPr>
        <w:pStyle w:val="ListBullet2"/>
      </w:pPr>
      <w:r w:rsidRPr="00625DDD">
        <w:lastRenderedPageBreak/>
        <w:t xml:space="preserve">Most of the remainder </w:t>
      </w:r>
      <w:r>
        <w:t>are either projected to</w:t>
      </w:r>
      <w:r w:rsidRPr="00625DDD">
        <w:t xml:space="preserve"> exit the system or</w:t>
      </w:r>
      <w:r>
        <w:t xml:space="preserve"> die, although a small proportion transition to the </w:t>
      </w:r>
      <w:r w:rsidR="003C32DF">
        <w:t>N</w:t>
      </w:r>
      <w:r w:rsidR="005B3E7D">
        <w:t xml:space="preserve">on </w:t>
      </w:r>
      <w:r w:rsidR="003C32DF">
        <w:t>I</w:t>
      </w:r>
      <w:r w:rsidR="005B3E7D">
        <w:t>ncome</w:t>
      </w:r>
      <w:r>
        <w:t xml:space="preserve"> </w:t>
      </w:r>
      <w:r w:rsidR="003C32DF">
        <w:t>S</w:t>
      </w:r>
      <w:r>
        <w:t>upport</w:t>
      </w:r>
      <w:r w:rsidR="003C32DF">
        <w:t xml:space="preserve"> C</w:t>
      </w:r>
      <w:r>
        <w:t>arer class.</w:t>
      </w:r>
    </w:p>
    <w:p w14:paraId="0CDC20AC" w14:textId="72B9CAC4" w:rsidR="00266179" w:rsidRPr="00625DDD" w:rsidRDefault="007629AE" w:rsidP="007629AE">
      <w:pPr>
        <w:pStyle w:val="ListBullet"/>
      </w:pPr>
      <w:r w:rsidRPr="00625DDD">
        <w:t>After 30 years, the majority of the original group are projected to either be on some form of income support payment (54%) or dead (34%).</w:t>
      </w:r>
    </w:p>
    <w:p w14:paraId="73DE1B9B" w14:textId="77777777" w:rsidR="00266179" w:rsidRPr="002577A7" w:rsidRDefault="00266179" w:rsidP="00266179">
      <w:pPr>
        <w:pStyle w:val="Minorheading"/>
      </w:pPr>
      <w:r w:rsidRPr="002577A7">
        <w:t>Duration</w:t>
      </w:r>
    </w:p>
    <w:p w14:paraId="2AD60132" w14:textId="77777777" w:rsidR="00266179" w:rsidRPr="002577A7" w:rsidRDefault="00266179" w:rsidP="00266179">
      <w:pPr>
        <w:pStyle w:val="PwCNormal"/>
        <w:numPr>
          <w:ilvl w:val="0"/>
          <w:numId w:val="0"/>
        </w:numPr>
      </w:pPr>
      <w:r w:rsidRPr="002577A7">
        <w:t xml:space="preserve">The average future life expectancy for the income support Carer class is </w:t>
      </w:r>
      <w:r w:rsidRPr="002577A7">
        <w:rPr>
          <w:b/>
        </w:rPr>
        <w:t>37</w:t>
      </w:r>
      <w:r w:rsidRPr="002577A7">
        <w:t xml:space="preserve"> years. This reflects that a significant proportion of this class is approaching retirement age. The table below provides a summary of the expected welfare system use of people currently in this class over this time. This has been developed by considering which classes people move into as they move through the welfare system over their lives.</w:t>
      </w:r>
    </w:p>
    <w:p w14:paraId="6EF8A69D" w14:textId="03A4472B" w:rsidR="00266179" w:rsidRPr="002577A7" w:rsidRDefault="00266179" w:rsidP="00266179">
      <w:pPr>
        <w:pStyle w:val="Caption"/>
      </w:pPr>
      <w:r w:rsidRPr="002577A7">
        <w:t xml:space="preserve">Table </w:t>
      </w:r>
      <w:fldSimple w:instr=" SEQ Table \* ARABIC ">
        <w:r w:rsidR="00C93C1A">
          <w:rPr>
            <w:noProof/>
          </w:rPr>
          <w:t>32</w:t>
        </w:r>
      </w:fldSimple>
      <w:r w:rsidRPr="002577A7">
        <w:t xml:space="preserve">: Expected durations in welfare system for people currently in </w:t>
      </w:r>
      <w:r w:rsidR="00871E70">
        <w:t>c</w:t>
      </w:r>
      <w:r w:rsidRPr="002577A7">
        <w:t>lass 4</w:t>
      </w:r>
    </w:p>
    <w:tbl>
      <w:tblPr>
        <w:tblStyle w:val="ListTable3-Accent61"/>
        <w:tblW w:w="8868" w:type="dxa"/>
        <w:tblInd w:w="108" w:type="dxa"/>
        <w:tblLook w:val="04A0" w:firstRow="1" w:lastRow="0" w:firstColumn="1" w:lastColumn="0" w:noHBand="0" w:noVBand="1"/>
        <w:tblCaption w:val=" Expected durations in welfare system for people currently in Class 4"/>
        <w:tblDescription w:val="This table shows the expected number of years people currently in Class 4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roportion of their future lifetime.  The expected future life expectancy of people in Class 4 is 37 years. &#10;&#10;Further features of the data in this table are discussed in the accompanying text within the report.&#10;"/>
      </w:tblPr>
      <w:tblGrid>
        <w:gridCol w:w="3828"/>
        <w:gridCol w:w="2520"/>
        <w:gridCol w:w="2520"/>
      </w:tblGrid>
      <w:tr w:rsidR="00266179" w:rsidRPr="002577A7" w14:paraId="66BEC899" w14:textId="77777777" w:rsidTr="004070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541CD1DD" w14:textId="77777777" w:rsidR="00266179" w:rsidRPr="002577A7" w:rsidRDefault="00266179" w:rsidP="00407066">
            <w:pPr>
              <w:pStyle w:val="TableTextSmall"/>
              <w:jc w:val="center"/>
              <w:rPr>
                <w:rFonts w:asciiTheme="majorHAnsi" w:hAnsiTheme="majorHAnsi"/>
                <w:color w:val="FFFFFF" w:themeColor="background1"/>
              </w:rPr>
            </w:pPr>
          </w:p>
        </w:tc>
        <w:tc>
          <w:tcPr>
            <w:tcW w:w="2520" w:type="dxa"/>
          </w:tcPr>
          <w:p w14:paraId="70ABFCCD" w14:textId="77777777" w:rsidR="00266179" w:rsidRPr="002577A7" w:rsidRDefault="00266179" w:rsidP="00407066">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577A7">
              <w:rPr>
                <w:rFonts w:asciiTheme="majorHAnsi" w:hAnsiTheme="majorHAnsi"/>
                <w:color w:val="FFFFFF" w:themeColor="background1"/>
              </w:rPr>
              <w:t>Expected Years</w:t>
            </w:r>
          </w:p>
        </w:tc>
        <w:tc>
          <w:tcPr>
            <w:tcW w:w="2520" w:type="dxa"/>
          </w:tcPr>
          <w:p w14:paraId="110E256F" w14:textId="77777777" w:rsidR="00266179" w:rsidRPr="002577A7" w:rsidRDefault="00266179" w:rsidP="00407066">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577A7">
              <w:rPr>
                <w:rFonts w:asciiTheme="majorHAnsi" w:hAnsiTheme="majorHAnsi"/>
                <w:color w:val="FFFFFF" w:themeColor="background1"/>
              </w:rPr>
              <w:t>Proportion of Future Lifetime</w:t>
            </w:r>
          </w:p>
        </w:tc>
      </w:tr>
      <w:tr w:rsidR="00266179" w:rsidRPr="002577A7" w14:paraId="3CBD4E80" w14:textId="77777777" w:rsidTr="00407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022750A" w14:textId="77777777" w:rsidR="00266179" w:rsidRPr="002577A7" w:rsidRDefault="00266179" w:rsidP="00407066">
            <w:pPr>
              <w:pStyle w:val="TableTextSmall"/>
            </w:pPr>
            <w:r w:rsidRPr="002577A7">
              <w:t>Years with some income support payments:</w:t>
            </w:r>
          </w:p>
          <w:p w14:paraId="04F0EA36" w14:textId="09AD630E" w:rsidR="00266179" w:rsidRPr="002577A7" w:rsidRDefault="00266179" w:rsidP="00964D65">
            <w:pPr>
              <w:pStyle w:val="TableTextSmall"/>
              <w:numPr>
                <w:ilvl w:val="0"/>
                <w:numId w:val="36"/>
              </w:numPr>
            </w:pPr>
            <w:r w:rsidRPr="002577A7">
              <w:t>Not age pension (classes 1-5)</w:t>
            </w:r>
          </w:p>
          <w:p w14:paraId="2955CA79" w14:textId="3EB4C4D5" w:rsidR="00266179" w:rsidRPr="002577A7" w:rsidRDefault="00266179" w:rsidP="00964D65">
            <w:pPr>
              <w:pStyle w:val="TableTextSmall"/>
              <w:numPr>
                <w:ilvl w:val="0"/>
                <w:numId w:val="36"/>
              </w:numPr>
            </w:pPr>
            <w:r w:rsidRPr="002577A7">
              <w:t>Age pension (class 6)</w:t>
            </w:r>
          </w:p>
        </w:tc>
        <w:tc>
          <w:tcPr>
            <w:tcW w:w="2520" w:type="dxa"/>
          </w:tcPr>
          <w:p w14:paraId="5B4547EA" w14:textId="77777777" w:rsidR="00266179" w:rsidRPr="002577A7" w:rsidRDefault="00266179" w:rsidP="00407066">
            <w:pPr>
              <w:pStyle w:val="TableTextSmall"/>
              <w:jc w:val="center"/>
              <w:cnfStyle w:val="000000100000" w:firstRow="0" w:lastRow="0" w:firstColumn="0" w:lastColumn="0" w:oddVBand="0" w:evenVBand="0" w:oddHBand="1" w:evenHBand="0" w:firstRowFirstColumn="0" w:firstRowLastColumn="0" w:lastRowFirstColumn="0" w:lastRowLastColumn="0"/>
            </w:pPr>
            <w:r w:rsidRPr="002577A7">
              <w:br/>
              <w:t>1</w:t>
            </w:r>
            <w:r>
              <w:t>5</w:t>
            </w:r>
          </w:p>
          <w:p w14:paraId="0BE4D28C" w14:textId="77777777" w:rsidR="00266179" w:rsidRPr="002577A7" w:rsidRDefault="00266179" w:rsidP="00407066">
            <w:pPr>
              <w:pStyle w:val="TableTextSmall"/>
              <w:jc w:val="center"/>
              <w:cnfStyle w:val="000000100000" w:firstRow="0" w:lastRow="0" w:firstColumn="0" w:lastColumn="0" w:oddVBand="0" w:evenVBand="0" w:oddHBand="1" w:evenHBand="0" w:firstRowFirstColumn="0" w:firstRowLastColumn="0" w:lastRowFirstColumn="0" w:lastRowLastColumn="0"/>
            </w:pPr>
            <w:r w:rsidRPr="002577A7">
              <w:t>16</w:t>
            </w:r>
          </w:p>
        </w:tc>
        <w:tc>
          <w:tcPr>
            <w:tcW w:w="2520" w:type="dxa"/>
          </w:tcPr>
          <w:p w14:paraId="646E05F8" w14:textId="77777777" w:rsidR="00266179" w:rsidRPr="002577A7" w:rsidRDefault="00266179" w:rsidP="00407066">
            <w:pPr>
              <w:pStyle w:val="TableTextSmall"/>
              <w:jc w:val="center"/>
              <w:cnfStyle w:val="000000100000" w:firstRow="0" w:lastRow="0" w:firstColumn="0" w:lastColumn="0" w:oddVBand="0" w:evenVBand="0" w:oddHBand="1" w:evenHBand="0" w:firstRowFirstColumn="0" w:firstRowLastColumn="0" w:lastRowFirstColumn="0" w:lastRowLastColumn="0"/>
            </w:pPr>
            <w:r w:rsidRPr="002577A7">
              <w:br/>
              <w:t>4</w:t>
            </w:r>
            <w:r>
              <w:t>1</w:t>
            </w:r>
            <w:r w:rsidRPr="002577A7">
              <w:t>%</w:t>
            </w:r>
          </w:p>
          <w:p w14:paraId="6BE7F560" w14:textId="77777777" w:rsidR="00266179" w:rsidRPr="002577A7" w:rsidRDefault="00266179" w:rsidP="00407066">
            <w:pPr>
              <w:pStyle w:val="TableTextSmall"/>
              <w:jc w:val="center"/>
              <w:cnfStyle w:val="000000100000" w:firstRow="0" w:lastRow="0" w:firstColumn="0" w:lastColumn="0" w:oddVBand="0" w:evenVBand="0" w:oddHBand="1" w:evenHBand="0" w:firstRowFirstColumn="0" w:firstRowLastColumn="0" w:lastRowFirstColumn="0" w:lastRowLastColumn="0"/>
            </w:pPr>
            <w:r w:rsidRPr="002577A7">
              <w:t>43%</w:t>
            </w:r>
          </w:p>
        </w:tc>
      </w:tr>
      <w:tr w:rsidR="00266179" w:rsidRPr="002577A7" w14:paraId="651114F5" w14:textId="77777777" w:rsidTr="00407066">
        <w:tc>
          <w:tcPr>
            <w:cnfStyle w:val="001000000000" w:firstRow="0" w:lastRow="0" w:firstColumn="1" w:lastColumn="0" w:oddVBand="0" w:evenVBand="0" w:oddHBand="0" w:evenHBand="0" w:firstRowFirstColumn="0" w:firstRowLastColumn="0" w:lastRowFirstColumn="0" w:lastRowLastColumn="0"/>
            <w:tcW w:w="3828" w:type="dxa"/>
          </w:tcPr>
          <w:p w14:paraId="45794A42" w14:textId="74F5E61C" w:rsidR="00266179" w:rsidRPr="002577A7" w:rsidRDefault="00266179" w:rsidP="00407066">
            <w:pPr>
              <w:pStyle w:val="TableTextSmall"/>
            </w:pPr>
            <w:r w:rsidRPr="002577A7">
              <w:t xml:space="preserve">Years with </w:t>
            </w:r>
            <w:r w:rsidR="005B3E7D">
              <w:t>non income</w:t>
            </w:r>
            <w:r w:rsidRPr="002577A7">
              <w:t xml:space="preserve"> support payments only</w:t>
            </w:r>
          </w:p>
        </w:tc>
        <w:tc>
          <w:tcPr>
            <w:tcW w:w="2520" w:type="dxa"/>
          </w:tcPr>
          <w:p w14:paraId="5922A3EF" w14:textId="77777777" w:rsidR="00266179" w:rsidRPr="002577A7" w:rsidRDefault="00266179" w:rsidP="00407066">
            <w:pPr>
              <w:pStyle w:val="TableTextSmall"/>
              <w:jc w:val="center"/>
              <w:cnfStyle w:val="000000000000" w:firstRow="0" w:lastRow="0" w:firstColumn="0" w:lastColumn="0" w:oddVBand="0" w:evenVBand="0" w:oddHBand="0" w:evenHBand="0" w:firstRowFirstColumn="0" w:firstRowLastColumn="0" w:lastRowFirstColumn="0" w:lastRowLastColumn="0"/>
            </w:pPr>
            <w:r w:rsidRPr="002577A7">
              <w:t>1</w:t>
            </w:r>
          </w:p>
        </w:tc>
        <w:tc>
          <w:tcPr>
            <w:tcW w:w="2520" w:type="dxa"/>
          </w:tcPr>
          <w:p w14:paraId="20F7FF7D" w14:textId="77777777" w:rsidR="00266179" w:rsidRPr="002577A7" w:rsidRDefault="00266179" w:rsidP="00407066">
            <w:pPr>
              <w:pStyle w:val="TableTextSmall"/>
              <w:jc w:val="center"/>
              <w:cnfStyle w:val="000000000000" w:firstRow="0" w:lastRow="0" w:firstColumn="0" w:lastColumn="0" w:oddVBand="0" w:evenVBand="0" w:oddHBand="0" w:evenHBand="0" w:firstRowFirstColumn="0" w:firstRowLastColumn="0" w:lastRowFirstColumn="0" w:lastRowLastColumn="0"/>
            </w:pPr>
            <w:r w:rsidRPr="002577A7">
              <w:t>4%</w:t>
            </w:r>
          </w:p>
        </w:tc>
      </w:tr>
      <w:tr w:rsidR="00266179" w:rsidRPr="002577A7" w14:paraId="0718BC28" w14:textId="77777777" w:rsidTr="00407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B5DDDD5" w14:textId="77777777" w:rsidR="00266179" w:rsidRPr="002577A7" w:rsidRDefault="00266179" w:rsidP="00407066">
            <w:pPr>
              <w:pStyle w:val="TableTextSmall"/>
            </w:pPr>
            <w:r w:rsidRPr="002577A7">
              <w:t>Years not receiving any welfare payments</w:t>
            </w:r>
          </w:p>
        </w:tc>
        <w:tc>
          <w:tcPr>
            <w:tcW w:w="2520" w:type="dxa"/>
          </w:tcPr>
          <w:p w14:paraId="3B14249F" w14:textId="77777777" w:rsidR="00266179" w:rsidRPr="002577A7" w:rsidRDefault="00266179" w:rsidP="00407066">
            <w:pPr>
              <w:pStyle w:val="TableTextSmall"/>
              <w:jc w:val="center"/>
              <w:cnfStyle w:val="000000100000" w:firstRow="0" w:lastRow="0" w:firstColumn="0" w:lastColumn="0" w:oddVBand="0" w:evenVBand="0" w:oddHBand="1" w:evenHBand="0" w:firstRowFirstColumn="0" w:firstRowLastColumn="0" w:lastRowFirstColumn="0" w:lastRowLastColumn="0"/>
            </w:pPr>
            <w:r>
              <w:t>5</w:t>
            </w:r>
          </w:p>
        </w:tc>
        <w:tc>
          <w:tcPr>
            <w:tcW w:w="2520" w:type="dxa"/>
          </w:tcPr>
          <w:p w14:paraId="0ECDC55A" w14:textId="77777777" w:rsidR="00266179" w:rsidRPr="002577A7" w:rsidRDefault="00266179" w:rsidP="00407066">
            <w:pPr>
              <w:pStyle w:val="TableTextSmall"/>
              <w:jc w:val="center"/>
              <w:cnfStyle w:val="000000100000" w:firstRow="0" w:lastRow="0" w:firstColumn="0" w:lastColumn="0" w:oddVBand="0" w:evenVBand="0" w:oddHBand="1" w:evenHBand="0" w:firstRowFirstColumn="0" w:firstRowLastColumn="0" w:lastRowFirstColumn="0" w:lastRowLastColumn="0"/>
            </w:pPr>
            <w:r>
              <w:t>12</w:t>
            </w:r>
            <w:r w:rsidRPr="002577A7">
              <w:t>%</w:t>
            </w:r>
          </w:p>
        </w:tc>
      </w:tr>
      <w:tr w:rsidR="00266179" w:rsidRPr="009210D0" w14:paraId="00AA59E7" w14:textId="77777777" w:rsidTr="00407066">
        <w:tc>
          <w:tcPr>
            <w:cnfStyle w:val="001000000000" w:firstRow="0" w:lastRow="0" w:firstColumn="1" w:lastColumn="0" w:oddVBand="0" w:evenVBand="0" w:oddHBand="0" w:evenHBand="0" w:firstRowFirstColumn="0" w:firstRowLastColumn="0" w:lastRowFirstColumn="0" w:lastRowLastColumn="0"/>
            <w:tcW w:w="3828" w:type="dxa"/>
          </w:tcPr>
          <w:p w14:paraId="5AF6EF52" w14:textId="77777777" w:rsidR="00266179" w:rsidRPr="002577A7" w:rsidRDefault="00266179" w:rsidP="00407066">
            <w:pPr>
              <w:pStyle w:val="TableTextSmall"/>
            </w:pPr>
            <w:r w:rsidRPr="002577A7">
              <w:t>Total</w:t>
            </w:r>
          </w:p>
        </w:tc>
        <w:tc>
          <w:tcPr>
            <w:tcW w:w="2520" w:type="dxa"/>
          </w:tcPr>
          <w:p w14:paraId="4E47FDBF" w14:textId="77777777" w:rsidR="00266179" w:rsidRPr="002577A7" w:rsidRDefault="00266179" w:rsidP="00407066">
            <w:pPr>
              <w:pStyle w:val="TableTextSmall"/>
              <w:jc w:val="center"/>
              <w:cnfStyle w:val="000000000000" w:firstRow="0" w:lastRow="0" w:firstColumn="0" w:lastColumn="0" w:oddVBand="0" w:evenVBand="0" w:oddHBand="0" w:evenHBand="0" w:firstRowFirstColumn="0" w:firstRowLastColumn="0" w:lastRowFirstColumn="0" w:lastRowLastColumn="0"/>
            </w:pPr>
            <w:r w:rsidRPr="002577A7">
              <w:t>37</w:t>
            </w:r>
          </w:p>
        </w:tc>
        <w:tc>
          <w:tcPr>
            <w:tcW w:w="2520" w:type="dxa"/>
          </w:tcPr>
          <w:p w14:paraId="3ADE63E0" w14:textId="77777777" w:rsidR="00266179" w:rsidRPr="002577A7" w:rsidRDefault="00266179" w:rsidP="00407066">
            <w:pPr>
              <w:pStyle w:val="TableTextSmall"/>
              <w:jc w:val="center"/>
              <w:cnfStyle w:val="000000000000" w:firstRow="0" w:lastRow="0" w:firstColumn="0" w:lastColumn="0" w:oddVBand="0" w:evenVBand="0" w:oddHBand="0" w:evenHBand="0" w:firstRowFirstColumn="0" w:firstRowLastColumn="0" w:lastRowFirstColumn="0" w:lastRowLastColumn="0"/>
            </w:pPr>
            <w:r w:rsidRPr="002577A7">
              <w:t>100%</w:t>
            </w:r>
          </w:p>
        </w:tc>
      </w:tr>
    </w:tbl>
    <w:p w14:paraId="54AA5438" w14:textId="737EFEE0" w:rsidR="00716FF0" w:rsidRPr="0057506F" w:rsidRDefault="00716FF0" w:rsidP="00716FF0">
      <w:pPr>
        <w:pStyle w:val="PwCNormal"/>
      </w:pPr>
    </w:p>
    <w:p w14:paraId="6A04C36C" w14:textId="77777777" w:rsidR="00716FF0" w:rsidRPr="0057506F" w:rsidRDefault="00716FF0">
      <w:pPr>
        <w:kinsoku/>
        <w:overflowPunct/>
        <w:autoSpaceDE/>
        <w:autoSpaceDN/>
        <w:adjustRightInd/>
        <w:snapToGrid/>
      </w:pPr>
      <w:r w:rsidRPr="0057506F">
        <w:br w:type="page"/>
      </w:r>
    </w:p>
    <w:p w14:paraId="20E32CEC" w14:textId="77777777" w:rsidR="005846DC" w:rsidRPr="007629AE" w:rsidRDefault="005846DC" w:rsidP="005846DC">
      <w:pPr>
        <w:pStyle w:val="Heading3"/>
      </w:pPr>
      <w:bookmarkStart w:id="233" w:name="_Toc506388230"/>
      <w:r w:rsidRPr="007629AE">
        <w:lastRenderedPageBreak/>
        <w:t>Disability Support Pensioners</w:t>
      </w:r>
      <w:bookmarkEnd w:id="230"/>
      <w:bookmarkEnd w:id="231"/>
      <w:bookmarkEnd w:id="2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contains the key points relating to Disability Support Pensioners"/>
      </w:tblPr>
      <w:tblGrid>
        <w:gridCol w:w="10081"/>
      </w:tblGrid>
      <w:tr w:rsidR="00266179" w:rsidRPr="006B0F86" w14:paraId="22636558" w14:textId="77777777" w:rsidTr="00407066">
        <w:trPr>
          <w:trHeight w:val="1260"/>
          <w:tblHeader/>
        </w:trPr>
        <w:tc>
          <w:tcPr>
            <w:tcW w:w="10081" w:type="dxa"/>
            <w:shd w:val="clear" w:color="auto" w:fill="F3ABA4" w:themeFill="accent6" w:themeFillTint="66"/>
          </w:tcPr>
          <w:p w14:paraId="3A31122D" w14:textId="04D543C2" w:rsidR="00103DB3" w:rsidRPr="006B0F86" w:rsidRDefault="008D4D1B" w:rsidP="00103DB3">
            <w:pPr>
              <w:pStyle w:val="PwCNormal"/>
              <w:numPr>
                <w:ilvl w:val="0"/>
                <w:numId w:val="1"/>
              </w:numPr>
              <w:rPr>
                <w:b/>
              </w:rPr>
            </w:pPr>
            <w:r>
              <w:rPr>
                <w:b/>
              </w:rPr>
              <w:t>Key points</w:t>
            </w:r>
          </w:p>
          <w:p w14:paraId="07931168" w14:textId="77777777" w:rsidR="00103DB3" w:rsidRPr="006B0F86" w:rsidRDefault="00103DB3" w:rsidP="00103DB3">
            <w:pPr>
              <w:pStyle w:val="PwCNormal"/>
              <w:numPr>
                <w:ilvl w:val="0"/>
                <w:numId w:val="0"/>
              </w:numPr>
            </w:pPr>
            <w:r w:rsidRPr="006B0F86">
              <w:t>There</w:t>
            </w:r>
            <w:r>
              <w:t xml:space="preserve"> were 76</w:t>
            </w:r>
            <w:r w:rsidRPr="006B0F86">
              <w:t xml:space="preserve">0,000 people in the </w:t>
            </w:r>
            <w:r>
              <w:t>Disability Support Pension</w:t>
            </w:r>
            <w:r w:rsidRPr="006B0F86">
              <w:t xml:space="preserve"> class in 2017. </w:t>
            </w:r>
          </w:p>
          <w:p w14:paraId="35629691" w14:textId="77777777" w:rsidR="008B08CC" w:rsidRDefault="00103DB3" w:rsidP="002757B8">
            <w:pPr>
              <w:pStyle w:val="ListBullet"/>
            </w:pPr>
            <w:r>
              <w:t xml:space="preserve">Eligibility criteria for the Disability Support Pension has been tightening over the </w:t>
            </w:r>
            <w:r w:rsidRPr="006B0F86">
              <w:t xml:space="preserve">last </w:t>
            </w:r>
            <w:r w:rsidR="00722399">
              <w:t>five</w:t>
            </w:r>
            <w:r w:rsidRPr="006B0F86">
              <w:t xml:space="preserve"> years</w:t>
            </w:r>
            <w:r>
              <w:t xml:space="preserve">. This has been reflected in reducing numbers of entrants each year. </w:t>
            </w:r>
          </w:p>
          <w:p w14:paraId="300F7A14" w14:textId="05698A8A" w:rsidR="00103DB3" w:rsidRPr="006B0F86" w:rsidRDefault="00103DB3" w:rsidP="002757B8">
            <w:pPr>
              <w:pStyle w:val="ListBullet"/>
            </w:pPr>
            <w:r>
              <w:t>In 2016 and 2017</w:t>
            </w:r>
            <w:r w:rsidR="006067D2">
              <w:t>,</w:t>
            </w:r>
            <w:r>
              <w:t xml:space="preserve"> medical reviews have increased the number of exits to the Working Age class. This higher exit rate to class 2 is not expected to continue after the </w:t>
            </w:r>
            <w:r w:rsidR="008B08CC">
              <w:t xml:space="preserve">current program of </w:t>
            </w:r>
            <w:r>
              <w:t>medical reviews cease</w:t>
            </w:r>
            <w:r w:rsidR="008B08CC">
              <w:t>s</w:t>
            </w:r>
            <w:r>
              <w:t>.</w:t>
            </w:r>
          </w:p>
          <w:p w14:paraId="5CCB2D0D" w14:textId="6D985CF1" w:rsidR="00103DB3" w:rsidRDefault="00044373" w:rsidP="002757B8">
            <w:pPr>
              <w:pStyle w:val="ListBullet"/>
            </w:pPr>
            <w:r>
              <w:t>The t</w:t>
            </w:r>
            <w:r w:rsidR="00103DB3">
              <w:t xml:space="preserve">ightening of eligibility criteria for the Disability Support Pension has led </w:t>
            </w:r>
            <w:r w:rsidR="00AE6AF1">
              <w:t xml:space="preserve">to </w:t>
            </w:r>
            <w:r>
              <w:t xml:space="preserve">a reduction in the number of people with less severe medical conditions in the class. </w:t>
            </w:r>
            <w:r w:rsidR="00A16A8D">
              <w:t>Consequently, there has been</w:t>
            </w:r>
            <w:r w:rsidR="00103DB3">
              <w:t xml:space="preserve"> an increase in the proportion of people with </w:t>
            </w:r>
            <w:r w:rsidR="00C30540">
              <w:t xml:space="preserve">more </w:t>
            </w:r>
            <w:r w:rsidR="00103DB3">
              <w:t xml:space="preserve">severe medical conditions. </w:t>
            </w:r>
            <w:r>
              <w:t>In particular, t</w:t>
            </w:r>
            <w:r w:rsidR="00103DB3">
              <w:t>he proportion of recipients with cancer has doubled from 10% to 20% over the last five years.</w:t>
            </w:r>
          </w:p>
          <w:p w14:paraId="2D43F038" w14:textId="31078EFB" w:rsidR="00266179" w:rsidRPr="006B0F86" w:rsidRDefault="00103DB3" w:rsidP="006067D2">
            <w:pPr>
              <w:pStyle w:val="ListBullet"/>
            </w:pPr>
            <w:r>
              <w:t xml:space="preserve">People in the Disability Support Pension </w:t>
            </w:r>
            <w:r w:rsidR="006067D2">
              <w:t>c</w:t>
            </w:r>
            <w:r>
              <w:t>lass tend to remain on the Disability Support Pension and rarely leave the class before retirement age or death.</w:t>
            </w:r>
          </w:p>
        </w:tc>
      </w:tr>
    </w:tbl>
    <w:p w14:paraId="5A33A201" w14:textId="77777777" w:rsidR="00266179" w:rsidRPr="00516B04" w:rsidRDefault="00266179" w:rsidP="00266179">
      <w:pPr>
        <w:pStyle w:val="Heading4"/>
      </w:pPr>
      <w:r w:rsidRPr="00516B04">
        <w:t>What does the data tell us about Disability Support Pensioners?</w:t>
      </w:r>
    </w:p>
    <w:p w14:paraId="09DAF3AE" w14:textId="09327D18" w:rsidR="00266179" w:rsidRPr="00654786" w:rsidRDefault="00266179" w:rsidP="00266179">
      <w:pPr>
        <w:pStyle w:val="PwCNormal"/>
        <w:numPr>
          <w:ilvl w:val="0"/>
          <w:numId w:val="0"/>
        </w:numPr>
      </w:pPr>
      <w:r w:rsidRPr="00654786">
        <w:t xml:space="preserve">There were </w:t>
      </w:r>
      <w:r>
        <w:t>760,</w:t>
      </w:r>
      <w:r w:rsidR="00B513F7">
        <w:t>000</w:t>
      </w:r>
      <w:r w:rsidRPr="00654786">
        <w:t xml:space="preserve"> people (</w:t>
      </w:r>
      <w:r>
        <w:t>9.5</w:t>
      </w:r>
      <w:r w:rsidRPr="00654786">
        <w:t xml:space="preserve">% of current welfare recipients) in the </w:t>
      </w:r>
      <w:r>
        <w:t>Disability Support</w:t>
      </w:r>
      <w:r w:rsidR="006067D2">
        <w:t xml:space="preserve"> Pension</w:t>
      </w:r>
      <w:r>
        <w:t xml:space="preserve"> </w:t>
      </w:r>
      <w:r w:rsidRPr="00654786">
        <w:t>class in the 2017 model population.</w:t>
      </w:r>
      <w:r>
        <w:t xml:space="preserve"> This represents 3</w:t>
      </w:r>
      <w:r w:rsidRPr="00654786">
        <w:t xml:space="preserve">.1% of the population of Australia </w:t>
      </w:r>
      <w:r>
        <w:t>which is a decrease from 3.2% at the previous valuation.</w:t>
      </w:r>
    </w:p>
    <w:p w14:paraId="2FC32298" w14:textId="74A16CD5" w:rsidR="00266179" w:rsidRPr="0057506F" w:rsidRDefault="00266179" w:rsidP="00266179">
      <w:pPr>
        <w:pStyle w:val="PwCNormal"/>
        <w:numPr>
          <w:ilvl w:val="0"/>
          <w:numId w:val="0"/>
        </w:numPr>
      </w:pPr>
      <w:r w:rsidRPr="00654786">
        <w:t xml:space="preserve">The following chart shows a breakdown of the number of people in the </w:t>
      </w:r>
      <w:r>
        <w:t xml:space="preserve">Disability Support </w:t>
      </w:r>
      <w:r w:rsidR="006067D2">
        <w:t xml:space="preserve">Pension </w:t>
      </w:r>
      <w:r w:rsidRPr="00654786">
        <w:t>class b</w:t>
      </w:r>
      <w:r>
        <w:t>y age, gender and payment type.</w:t>
      </w:r>
    </w:p>
    <w:p w14:paraId="6C12E686" w14:textId="70F5B8CA" w:rsidR="00266179" w:rsidRPr="00FC7C1A" w:rsidRDefault="00266179" w:rsidP="00266179">
      <w:pPr>
        <w:pStyle w:val="Caption"/>
      </w:pPr>
      <w:r w:rsidRPr="00FC7C1A">
        <w:t xml:space="preserve">Figure </w:t>
      </w:r>
      <w:fldSimple w:instr=" SEQ Figure \* ARABIC ">
        <w:r w:rsidR="00C93C1A">
          <w:rPr>
            <w:noProof/>
          </w:rPr>
          <w:t>70</w:t>
        </w:r>
      </w:fldSimple>
      <w:r w:rsidRPr="00FC7C1A">
        <w:t xml:space="preserve">: 2017 profile of people in </w:t>
      </w:r>
      <w:r w:rsidR="00871E70">
        <w:t>c</w:t>
      </w:r>
      <w:r w:rsidRPr="00FC7C1A">
        <w:t>lass 5 – Disability Support (age/gender)</w:t>
      </w:r>
    </w:p>
    <w:tbl>
      <w:tblPr>
        <w:tblStyle w:val="Tables-APBase"/>
        <w:tblW w:w="482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2016 profile of people in Class 5 – Disability Support (age/gender)&#10;"/>
        <w:tblDescription w:val="This figure is a horizontal bar chart number of people in the Disability Support class at Jun16 by age for males and females separately. The vertical axis shows age with the data shown ranging from 16 to 100. The horizontal axis shows the number of people ranging from 0 to 30,000. The number of males at each age are shown by the horizontal bars to the left of the vertical axis and the number of females at each age are shown by horizontal bars to the right.&#10;&#10;The chart is based on the 782,000 individuals who were in the disability support class at 30 June 2016. &#10;&#10;The chart shows that the profile of people in this class is similar across males and females. The number of clients peaks at approximately 17,000 and 18,000 for males and females respectively at age 64. Between ages 16 and 64, the numbers of males and females increases steadily with age. The number of disability support clients aged over 64 reduces sharply to under 500 by age 75. &#10;"/>
      </w:tblPr>
      <w:tblGrid>
        <w:gridCol w:w="6232"/>
        <w:gridCol w:w="3496"/>
      </w:tblGrid>
      <w:tr w:rsidR="00266179" w:rsidRPr="009210D0" w14:paraId="605F0355" w14:textId="77777777" w:rsidTr="00407066">
        <w:trPr>
          <w:tblHeader/>
        </w:trPr>
        <w:tc>
          <w:tcPr>
            <w:tcW w:w="5812" w:type="dxa"/>
          </w:tcPr>
          <w:p w14:paraId="2C22A38F" w14:textId="77777777" w:rsidR="00266179" w:rsidRPr="009210D0" w:rsidRDefault="00266179" w:rsidP="00407066">
            <w:pPr>
              <w:pStyle w:val="TableTextSmall"/>
              <w:keepNext/>
              <w:rPr>
                <w:highlight w:val="yellow"/>
                <w:lang w:eastAsia="en-AU"/>
              </w:rPr>
            </w:pPr>
            <w:r w:rsidRPr="00EB3012">
              <w:rPr>
                <w:noProof/>
                <w:lang w:eastAsia="en-AU"/>
              </w:rPr>
              <w:drawing>
                <wp:inline distT="0" distB="0" distL="0" distR="0" wp14:anchorId="609E9C58" wp14:editId="38435012">
                  <wp:extent cx="3649205" cy="2160000"/>
                  <wp:effectExtent l="0" t="0" r="8890" b="0"/>
                  <wp:docPr id="204" name="Picture 204" descr="This figure is a horizontal bar chart number of people in the Disability Support class at Jun17 by age for males and females separately. The vertical axis shows age with the data shown ranging from 16 to 90. The horizontal axis shows the number of people ranging from 0 to 30,000. The number of males at each age are shown by the horizontal bars to the left of the vertical axis and the number of females at each age are shown by horizontal bars to the right.&#10;&#10;The chart is based on the 760,000 individuals who were in the disability support class at 30 June 2017. &#10;&#10;The chart shows that the profile of people in this class is similar across males and females. The number of clients peaks at approximately 17,000 for both males and females at age 64. Between ages 16 and 64, the numbers of males and females increases steadily with age. The number of disability support clients aged over 64 reduces sharply to under 500 by age 76. &#10;" title="2017 profile of people in class 5 – Disability Support (age/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649205" cy="2160000"/>
                          </a:xfrm>
                          <a:prstGeom prst="rect">
                            <a:avLst/>
                          </a:prstGeom>
                          <a:noFill/>
                          <a:ln>
                            <a:noFill/>
                          </a:ln>
                        </pic:spPr>
                      </pic:pic>
                    </a:graphicData>
                  </a:graphic>
                </wp:inline>
              </w:drawing>
            </w:r>
          </w:p>
        </w:tc>
        <w:tc>
          <w:tcPr>
            <w:tcW w:w="3260" w:type="dxa"/>
          </w:tcPr>
          <w:p w14:paraId="47E9689C" w14:textId="77777777" w:rsidR="00266179" w:rsidRPr="009210D0" w:rsidRDefault="00266179" w:rsidP="00407066">
            <w:pPr>
              <w:pStyle w:val="TableTextSmall"/>
              <w:keepNext/>
              <w:rPr>
                <w:highlight w:val="yellow"/>
                <w:lang w:eastAsia="en-AU"/>
              </w:rPr>
            </w:pPr>
          </w:p>
        </w:tc>
      </w:tr>
    </w:tbl>
    <w:p w14:paraId="380FCBD7" w14:textId="77777777" w:rsidR="00266179" w:rsidRDefault="00266179" w:rsidP="00266179">
      <w:pPr>
        <w:pStyle w:val="PwCNormal"/>
        <w:numPr>
          <w:ilvl w:val="0"/>
          <w:numId w:val="1"/>
        </w:numPr>
      </w:pPr>
      <w:r w:rsidRPr="00516B04">
        <w:t>There are slightly more men than women in this class. The numbers in the class increase by age up to pension age and then reduce as most retire.</w:t>
      </w:r>
    </w:p>
    <w:p w14:paraId="510BC987" w14:textId="77777777" w:rsidR="00266179" w:rsidRPr="00266A91" w:rsidRDefault="00266179" w:rsidP="00266179">
      <w:pPr>
        <w:pStyle w:val="Minorheading"/>
      </w:pPr>
      <w:r w:rsidRPr="00266A91">
        <w:t>Movements into</w:t>
      </w:r>
      <w:r>
        <w:t xml:space="preserve"> and out of</w:t>
      </w:r>
      <w:r w:rsidRPr="00266A91">
        <w:t xml:space="preserve"> this class</w:t>
      </w:r>
    </w:p>
    <w:p w14:paraId="4AEAC706" w14:textId="1A90EF44" w:rsidR="007629AE" w:rsidRPr="007B77B6" w:rsidRDefault="007629AE" w:rsidP="007629AE">
      <w:pPr>
        <w:pStyle w:val="PwCNormal"/>
        <w:numPr>
          <w:ilvl w:val="0"/>
          <w:numId w:val="1"/>
        </w:numPr>
      </w:pPr>
      <w:r w:rsidRPr="00266A91">
        <w:t xml:space="preserve">Over the last </w:t>
      </w:r>
      <w:r w:rsidR="007A314E">
        <w:t>three</w:t>
      </w:r>
      <w:r w:rsidRPr="00266A91">
        <w:t xml:space="preserve"> years, </w:t>
      </w:r>
      <w:r>
        <w:t>the number of people entering and exiting this class has fluctuated due to a number of policy changes as well as data maturity affecting the most recent year. In 2015/16 there were 28,500 people (around 3.5</w:t>
      </w:r>
      <w:r w:rsidRPr="00266A91">
        <w:t>% of the people in this class) enter</w:t>
      </w:r>
      <w:r>
        <w:t>ing</w:t>
      </w:r>
      <w:r w:rsidRPr="00266A91">
        <w:t xml:space="preserve"> this class from another welfare class or from outside the welfare system</w:t>
      </w:r>
      <w:r>
        <w:t>. In the same year, 56,300</w:t>
      </w:r>
      <w:r w:rsidRPr="00266A91">
        <w:t xml:space="preserve"> people (</w:t>
      </w:r>
      <w:r>
        <w:t>around 7.0%</w:t>
      </w:r>
      <w:r w:rsidRPr="00A716AE">
        <w:t xml:space="preserve"> of people in this class) transitioned out of the </w:t>
      </w:r>
      <w:r>
        <w:t>Disability Support Pension</w:t>
      </w:r>
      <w:r w:rsidRPr="00A716AE">
        <w:t xml:space="preserve"> class.</w:t>
      </w:r>
      <w:r>
        <w:t xml:space="preserve"> </w:t>
      </w:r>
      <w:r w:rsidRPr="00A716AE">
        <w:t>The following chart shows the breakdown of these transitions by previous</w:t>
      </w:r>
      <w:r>
        <w:t>/destination class and year of transition.</w:t>
      </w:r>
      <w:r w:rsidRPr="00266A91">
        <w:t xml:space="preserve"> </w:t>
      </w:r>
      <w:r w:rsidRPr="007B77B6">
        <w:t xml:space="preserve">Note </w:t>
      </w:r>
      <w:r>
        <w:t xml:space="preserve">that </w:t>
      </w:r>
      <w:r w:rsidRPr="007B77B6">
        <w:t>the</w:t>
      </w:r>
      <w:r>
        <w:t xml:space="preserve"> number of entries for 2016/</w:t>
      </w:r>
      <w:r w:rsidRPr="007B77B6">
        <w:t>1</w:t>
      </w:r>
      <w:r>
        <w:t>7</w:t>
      </w:r>
      <w:r w:rsidRPr="007B77B6">
        <w:t xml:space="preserve"> </w:t>
      </w:r>
      <w:r>
        <w:t xml:space="preserve">are </w:t>
      </w:r>
      <w:r w:rsidRPr="007B77B6">
        <w:t xml:space="preserve">materially impacted by data maturity and </w:t>
      </w:r>
      <w:r>
        <w:t>is likely to be understated.</w:t>
      </w:r>
    </w:p>
    <w:p w14:paraId="2BE21450" w14:textId="1DBF0AA1" w:rsidR="007629AE" w:rsidRPr="0057506F" w:rsidRDefault="007629AE" w:rsidP="007629AE">
      <w:pPr>
        <w:pStyle w:val="Caption"/>
      </w:pPr>
      <w:r w:rsidRPr="00A716AE">
        <w:lastRenderedPageBreak/>
        <w:t xml:space="preserve">Figure </w:t>
      </w:r>
      <w:fldSimple w:instr=" SEQ Figure \* ARABIC ">
        <w:r w:rsidR="00C93C1A">
          <w:rPr>
            <w:noProof/>
          </w:rPr>
          <w:t>71</w:t>
        </w:r>
      </w:fldSimple>
      <w:r w:rsidRPr="00A716AE">
        <w:t>: Number of peo</w:t>
      </w:r>
      <w:r>
        <w:t xml:space="preserve">ple entering and exiting </w:t>
      </w:r>
      <w:r w:rsidR="00871E70">
        <w:t>c</w:t>
      </w:r>
      <w:r>
        <w:t>lass 5</w:t>
      </w:r>
      <w:r w:rsidRPr="00A716AE">
        <w:t xml:space="preserve"> – </w:t>
      </w:r>
      <w:r>
        <w:t>Disability Support</w:t>
      </w:r>
    </w:p>
    <w:p w14:paraId="1B320074" w14:textId="77777777" w:rsidR="007629AE" w:rsidRPr="0057506F" w:rsidRDefault="007629AE" w:rsidP="007629AE">
      <w:pPr>
        <w:pStyle w:val="PwCNormal"/>
        <w:numPr>
          <w:ilvl w:val="0"/>
          <w:numId w:val="1"/>
        </w:numPr>
      </w:pPr>
      <w:r w:rsidRPr="005012B4">
        <w:rPr>
          <w:noProof/>
          <w:lang w:eastAsia="en-AU"/>
        </w:rPr>
        <w:drawing>
          <wp:inline distT="0" distB="0" distL="0" distR="0" wp14:anchorId="331473B9" wp14:editId="6C032DAD">
            <wp:extent cx="5832475" cy="2018658"/>
            <wp:effectExtent l="0" t="0" r="0" b="1270"/>
            <wp:docPr id="297" name="Picture 297" descr="This figure is a stacked column chart with ten columns. The vertical axis displays the number of people ranging from 0 to 70,000. &#10;&#10;The horizontal axis is split into two sections; the first five columns show the numbers of entrants into the Disability Support class and the second five columns show the number of exits from the Disability Support class. In each section, the set of five columns represent the last five financial years; 2013, 2014, 2015, 2016 and 2017. &#10;&#10;For the first section, the columns showing the number of entrants into the Disability Support class for each financial year are split into previous class. These classes include; 1 Studying, 2 Working Age, 3 Parents, 4 Carers, 6 Pension Age, 7 Non-IS Family, 8 Non-IS Carer, 9 Non-IS Other, 10 Previous Welfare Recipient, 11 Dead and 12 Rest of the Australian Population. &#10;&#10;The chart shows that the number of entries into Class 5 were; 57,000 in 2013, 51,000 in 2014, 42,000 in 2015, 28,000 in 2016 and 16,000 in 2017. The majority of entrants come from Class 2 Working Age, Class 10 Previous Welfare Recipient or Class 12 Rest of the Australian Population. &#10;&#10;For the second section, the columns showing the number of exits from the Disability Support class for each financial year are split into destination class. These classes include; 1 Studying, 2 Working Age, 3 Parents, 4 Carers, 6 Pension Age, 7 Non-IS Family, 8 Non-IS Carer, 9 Non-IS Other, 10 Previous Welfare Recipient, 11 Dead and 12 Rest of the Australian Population. &#10;&#10;The chart shows that the number of exits out of Class 5 were; 59,000 in 2013, 47,000 in 2014, 56,000 in 2015, 56,000 in 2016 and 49,000 in 2017. The majority of individuals who exit move to Class 6 Pension Age or Class 11 Dead.&#10;&#10;Further discussion of the key features shown in the chart can be found in the accompanying text within the report.&#10;" title=": Number of people entering and exiting class 5 – Disability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832475" cy="2018658"/>
                    </a:xfrm>
                    <a:prstGeom prst="rect">
                      <a:avLst/>
                    </a:prstGeom>
                    <a:noFill/>
                    <a:ln>
                      <a:noFill/>
                    </a:ln>
                  </pic:spPr>
                </pic:pic>
              </a:graphicData>
            </a:graphic>
          </wp:inline>
        </w:drawing>
      </w:r>
    </w:p>
    <w:p w14:paraId="68482F3D" w14:textId="77777777" w:rsidR="007629AE" w:rsidRPr="0057506F" w:rsidRDefault="007629AE" w:rsidP="007629AE">
      <w:pPr>
        <w:pStyle w:val="PwCNormal"/>
        <w:numPr>
          <w:ilvl w:val="0"/>
          <w:numId w:val="1"/>
        </w:numPr>
        <w:jc w:val="center"/>
      </w:pPr>
      <w:r w:rsidRPr="005012B4">
        <w:rPr>
          <w:noProof/>
          <w:lang w:eastAsia="en-AU"/>
        </w:rPr>
        <w:drawing>
          <wp:inline distT="0" distB="0" distL="0" distR="0" wp14:anchorId="7E2EE010" wp14:editId="6E49BB20">
            <wp:extent cx="5385600" cy="468000"/>
            <wp:effectExtent l="0" t="0" r="0" b="8255"/>
            <wp:docPr id="312" name="Picture 312" descr="Class key: studying, working age, parents, carers, disability support, pension age, non-income support family, non-income support carer, non-income support other, previous welfare recipient, rest of the Australian population and dead. &#10;" title="Class 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344933D8" w14:textId="77777777" w:rsidR="007629AE" w:rsidRPr="007B77B6" w:rsidRDefault="007629AE" w:rsidP="007629AE">
      <w:pPr>
        <w:pStyle w:val="PwCNormal"/>
        <w:numPr>
          <w:ilvl w:val="0"/>
          <w:numId w:val="1"/>
        </w:numPr>
      </w:pPr>
      <w:r w:rsidRPr="007B77B6">
        <w:t>We can see that people in this class primarily came from the Working Age class, with the remainder mostly coming from outside the welfare system. The number of entries into DSP increases with age, up until retirement age.</w:t>
      </w:r>
    </w:p>
    <w:p w14:paraId="7756A288" w14:textId="77777777" w:rsidR="007629AE" w:rsidRPr="007B77B6" w:rsidRDefault="007629AE" w:rsidP="007629AE">
      <w:pPr>
        <w:pStyle w:val="PwCNormal"/>
        <w:numPr>
          <w:ilvl w:val="0"/>
          <w:numId w:val="1"/>
        </w:numPr>
      </w:pPr>
      <w:r w:rsidRPr="007B77B6">
        <w:t>We have observed a strong decreasing trend in the number of people entering this class over the last five years. The following table shows the number of entrants into this class over the last five years.</w:t>
      </w:r>
    </w:p>
    <w:p w14:paraId="51A63D08" w14:textId="731FF794" w:rsidR="007629AE" w:rsidRPr="007B77B6" w:rsidRDefault="007629AE" w:rsidP="007629AE">
      <w:pPr>
        <w:pStyle w:val="Caption"/>
      </w:pPr>
      <w:r w:rsidRPr="007B77B6">
        <w:t xml:space="preserve">Table </w:t>
      </w:r>
      <w:fldSimple w:instr=" SEQ Table \* ARABIC ">
        <w:r w:rsidR="00C93C1A">
          <w:rPr>
            <w:noProof/>
          </w:rPr>
          <w:t>33</w:t>
        </w:r>
      </w:fldSimple>
      <w:r w:rsidRPr="007B77B6">
        <w:t xml:space="preserve">: Number of people entering </w:t>
      </w:r>
      <w:r w:rsidR="00871E70">
        <w:t>c</w:t>
      </w:r>
      <w:r w:rsidRPr="007B77B6">
        <w:t>lass 5 – Disability Support in the last 5 years</w:t>
      </w:r>
    </w:p>
    <w:tbl>
      <w:tblPr>
        <w:tblStyle w:val="ListTable3-Accent61"/>
        <w:tblW w:w="3998" w:type="dxa"/>
        <w:tblInd w:w="108" w:type="dxa"/>
        <w:tblLook w:val="04A0" w:firstRow="1" w:lastRow="0" w:firstColumn="1" w:lastColumn="0" w:noHBand="0" w:noVBand="1"/>
        <w:tblCaption w:val=" Number of people entering Class 5 – Disability Support in the last 5 years"/>
        <w:tblDescription w:val="This table shows the number of people entering Class 5 Disability Support over the last five years. There is a column for total number of entrants and a % reduction versus the previous year column. &#10;&#10;In 2012/13, there were 56,664 entrants to class 5. Between 2013/14 and 2014/15 this number dropped at an increasing rate. By 2015/16 there were only 28,478 entrants. This was a 32% reduction compared to the previous year. In 2016/17 the number of entrants dropped 42% compared to 2015/16.&#10;&#10;The data provided in this table is described in more detail in the accompanying text in the report.&#10;"/>
      </w:tblPr>
      <w:tblGrid>
        <w:gridCol w:w="1332"/>
        <w:gridCol w:w="1333"/>
        <w:gridCol w:w="1333"/>
      </w:tblGrid>
      <w:tr w:rsidR="007629AE" w:rsidRPr="007B77B6" w14:paraId="11151938" w14:textId="77777777" w:rsidTr="007B0A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32" w:type="dxa"/>
            <w:tcBorders>
              <w:right w:val="single" w:sz="4" w:space="0" w:color="E0301E" w:themeColor="accent6"/>
            </w:tcBorders>
          </w:tcPr>
          <w:p w14:paraId="71803F09" w14:textId="77777777" w:rsidR="007629AE" w:rsidRPr="007B77B6" w:rsidRDefault="007629AE" w:rsidP="007B0A8D">
            <w:pPr>
              <w:pStyle w:val="TableTextSmall"/>
              <w:rPr>
                <w:rFonts w:asciiTheme="majorHAnsi" w:hAnsiTheme="majorHAnsi"/>
                <w:color w:val="FFFFFF" w:themeColor="background1"/>
              </w:rPr>
            </w:pPr>
            <w:r w:rsidRPr="007B77B6">
              <w:rPr>
                <w:rFonts w:asciiTheme="majorHAnsi" w:hAnsiTheme="majorHAnsi"/>
                <w:color w:val="FFFFFF" w:themeColor="background1"/>
              </w:rPr>
              <w:t>Financial Year</w:t>
            </w:r>
          </w:p>
        </w:tc>
        <w:tc>
          <w:tcPr>
            <w:tcW w:w="1333" w:type="dxa"/>
            <w:tcBorders>
              <w:left w:val="single" w:sz="4" w:space="0" w:color="E0301E" w:themeColor="accent6"/>
            </w:tcBorders>
          </w:tcPr>
          <w:p w14:paraId="5FFF2205" w14:textId="77777777" w:rsidR="007629AE" w:rsidRPr="007B77B6" w:rsidRDefault="007629AE" w:rsidP="007B0A8D">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7B77B6">
              <w:rPr>
                <w:rFonts w:asciiTheme="majorHAnsi" w:hAnsiTheme="majorHAnsi"/>
                <w:color w:val="FFFFFF" w:themeColor="background1"/>
              </w:rPr>
              <w:t>Total</w:t>
            </w:r>
          </w:p>
        </w:tc>
        <w:tc>
          <w:tcPr>
            <w:tcW w:w="1333" w:type="dxa"/>
          </w:tcPr>
          <w:p w14:paraId="59C90D6E" w14:textId="77777777" w:rsidR="007629AE" w:rsidRPr="007B77B6" w:rsidRDefault="007629AE" w:rsidP="007B0A8D">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7B77B6">
              <w:rPr>
                <w:rFonts w:asciiTheme="majorHAnsi" w:hAnsiTheme="majorHAnsi"/>
                <w:color w:val="FFFFFF" w:themeColor="background1"/>
              </w:rPr>
              <w:t>% Reduction vs Previous Year</w:t>
            </w:r>
          </w:p>
        </w:tc>
      </w:tr>
      <w:tr w:rsidR="007629AE" w:rsidRPr="007B77B6" w14:paraId="1CEECF5B" w14:textId="77777777" w:rsidTr="007B0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71752E2A" w14:textId="77777777" w:rsidR="007629AE" w:rsidRPr="007B77B6" w:rsidRDefault="007629AE" w:rsidP="007B0A8D">
            <w:pPr>
              <w:pStyle w:val="TableTextSmall"/>
            </w:pPr>
            <w:r w:rsidRPr="007B77B6">
              <w:t>2012/13</w:t>
            </w:r>
          </w:p>
        </w:tc>
        <w:tc>
          <w:tcPr>
            <w:tcW w:w="1333" w:type="dxa"/>
            <w:tcBorders>
              <w:left w:val="single" w:sz="4" w:space="0" w:color="E0301E" w:themeColor="accent6"/>
            </w:tcBorders>
            <w:vAlign w:val="bottom"/>
          </w:tcPr>
          <w:p w14:paraId="377903A2" w14:textId="77777777" w:rsidR="007629AE" w:rsidRPr="007B77B6" w:rsidRDefault="007629AE" w:rsidP="007B0A8D">
            <w:pPr>
              <w:pStyle w:val="TableTextSmall"/>
              <w:jc w:val="center"/>
              <w:cnfStyle w:val="000000100000" w:firstRow="0" w:lastRow="0" w:firstColumn="0" w:lastColumn="0" w:oddVBand="0" w:evenVBand="0" w:oddHBand="1" w:evenHBand="0" w:firstRowFirstColumn="0" w:firstRowLastColumn="0" w:lastRowFirstColumn="0" w:lastRowLastColumn="0"/>
            </w:pPr>
            <w:r>
              <w:t>56</w:t>
            </w:r>
            <w:r w:rsidRPr="007B77B6">
              <w:t>,</w:t>
            </w:r>
            <w:r>
              <w:t>664</w:t>
            </w:r>
          </w:p>
        </w:tc>
        <w:tc>
          <w:tcPr>
            <w:tcW w:w="1333" w:type="dxa"/>
            <w:vAlign w:val="bottom"/>
          </w:tcPr>
          <w:p w14:paraId="388D39CA" w14:textId="77777777" w:rsidR="007629AE" w:rsidRPr="007B77B6" w:rsidRDefault="007629AE" w:rsidP="007B0A8D">
            <w:pPr>
              <w:pStyle w:val="TableTextSmall"/>
              <w:jc w:val="center"/>
              <w:cnfStyle w:val="000000100000" w:firstRow="0" w:lastRow="0" w:firstColumn="0" w:lastColumn="0" w:oddVBand="0" w:evenVBand="0" w:oddHBand="1" w:evenHBand="0" w:firstRowFirstColumn="0" w:firstRowLastColumn="0" w:lastRowFirstColumn="0" w:lastRowLastColumn="0"/>
            </w:pPr>
          </w:p>
        </w:tc>
      </w:tr>
      <w:tr w:rsidR="007629AE" w:rsidRPr="007B77B6" w14:paraId="237BD140" w14:textId="77777777" w:rsidTr="007B0A8D">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109588CA" w14:textId="77777777" w:rsidR="007629AE" w:rsidRPr="007B77B6" w:rsidRDefault="007629AE" w:rsidP="007B0A8D">
            <w:pPr>
              <w:pStyle w:val="TableTextSmall"/>
            </w:pPr>
            <w:r w:rsidRPr="007B77B6">
              <w:t>2013/14</w:t>
            </w:r>
          </w:p>
        </w:tc>
        <w:tc>
          <w:tcPr>
            <w:tcW w:w="1333" w:type="dxa"/>
            <w:tcBorders>
              <w:left w:val="single" w:sz="4" w:space="0" w:color="E0301E" w:themeColor="accent6"/>
            </w:tcBorders>
          </w:tcPr>
          <w:p w14:paraId="53AD5FBC" w14:textId="77777777" w:rsidR="007629AE" w:rsidRPr="007B77B6" w:rsidRDefault="007629AE" w:rsidP="007B0A8D">
            <w:pPr>
              <w:pStyle w:val="TableTextSmall"/>
              <w:jc w:val="center"/>
              <w:cnfStyle w:val="000000000000" w:firstRow="0" w:lastRow="0" w:firstColumn="0" w:lastColumn="0" w:oddVBand="0" w:evenVBand="0" w:oddHBand="0" w:evenHBand="0" w:firstRowFirstColumn="0" w:firstRowLastColumn="0" w:lastRowFirstColumn="0" w:lastRowLastColumn="0"/>
            </w:pPr>
            <w:r w:rsidRPr="0003096B">
              <w:t>51,478</w:t>
            </w:r>
          </w:p>
        </w:tc>
        <w:tc>
          <w:tcPr>
            <w:tcW w:w="1333" w:type="dxa"/>
            <w:vAlign w:val="bottom"/>
          </w:tcPr>
          <w:p w14:paraId="3D3E8B89" w14:textId="77777777" w:rsidR="007629AE" w:rsidRPr="007B77B6" w:rsidRDefault="007629AE" w:rsidP="007B0A8D">
            <w:pPr>
              <w:pStyle w:val="TableTextSmall"/>
              <w:jc w:val="center"/>
              <w:cnfStyle w:val="000000000000" w:firstRow="0" w:lastRow="0" w:firstColumn="0" w:lastColumn="0" w:oddVBand="0" w:evenVBand="0" w:oddHBand="0" w:evenHBand="0" w:firstRowFirstColumn="0" w:firstRowLastColumn="0" w:lastRowFirstColumn="0" w:lastRowLastColumn="0"/>
            </w:pPr>
            <w:r>
              <w:t>-9</w:t>
            </w:r>
            <w:r w:rsidRPr="007B77B6">
              <w:t>%</w:t>
            </w:r>
          </w:p>
        </w:tc>
      </w:tr>
      <w:tr w:rsidR="007629AE" w:rsidRPr="007B77B6" w14:paraId="2288FB7D" w14:textId="77777777" w:rsidTr="007B0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60174CDB" w14:textId="77777777" w:rsidR="007629AE" w:rsidRPr="007B77B6" w:rsidRDefault="007629AE" w:rsidP="007B0A8D">
            <w:pPr>
              <w:pStyle w:val="TableTextSmall"/>
            </w:pPr>
            <w:r w:rsidRPr="007B77B6">
              <w:t>2014/15</w:t>
            </w:r>
          </w:p>
        </w:tc>
        <w:tc>
          <w:tcPr>
            <w:tcW w:w="1333" w:type="dxa"/>
            <w:tcBorders>
              <w:left w:val="single" w:sz="4" w:space="0" w:color="E0301E" w:themeColor="accent6"/>
            </w:tcBorders>
          </w:tcPr>
          <w:p w14:paraId="78EC47C5" w14:textId="77777777" w:rsidR="007629AE" w:rsidRPr="007B77B6" w:rsidRDefault="007629AE" w:rsidP="007B0A8D">
            <w:pPr>
              <w:pStyle w:val="TableTextSmall"/>
              <w:jc w:val="center"/>
              <w:cnfStyle w:val="000000100000" w:firstRow="0" w:lastRow="0" w:firstColumn="0" w:lastColumn="0" w:oddVBand="0" w:evenVBand="0" w:oddHBand="1" w:evenHBand="0" w:firstRowFirstColumn="0" w:firstRowLastColumn="0" w:lastRowFirstColumn="0" w:lastRowLastColumn="0"/>
            </w:pPr>
            <w:r w:rsidRPr="0003096B">
              <w:t>41,654</w:t>
            </w:r>
          </w:p>
        </w:tc>
        <w:tc>
          <w:tcPr>
            <w:tcW w:w="1333" w:type="dxa"/>
            <w:vAlign w:val="bottom"/>
          </w:tcPr>
          <w:p w14:paraId="1B8A4515" w14:textId="77777777" w:rsidR="007629AE" w:rsidRPr="007B77B6" w:rsidRDefault="007629AE" w:rsidP="007B0A8D">
            <w:pPr>
              <w:pStyle w:val="TableTextSmall"/>
              <w:jc w:val="center"/>
              <w:cnfStyle w:val="000000100000" w:firstRow="0" w:lastRow="0" w:firstColumn="0" w:lastColumn="0" w:oddVBand="0" w:evenVBand="0" w:oddHBand="1" w:evenHBand="0" w:firstRowFirstColumn="0" w:firstRowLastColumn="0" w:lastRowFirstColumn="0" w:lastRowLastColumn="0"/>
            </w:pPr>
            <w:r w:rsidRPr="007B77B6">
              <w:t>-</w:t>
            </w:r>
            <w:r>
              <w:t>1</w:t>
            </w:r>
            <w:r w:rsidRPr="007B77B6">
              <w:t>9%</w:t>
            </w:r>
          </w:p>
        </w:tc>
      </w:tr>
      <w:tr w:rsidR="007629AE" w:rsidRPr="007B77B6" w14:paraId="42F25938" w14:textId="77777777" w:rsidTr="007B0A8D">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7C24C179" w14:textId="77777777" w:rsidR="007629AE" w:rsidRPr="007B77B6" w:rsidRDefault="007629AE" w:rsidP="007B0A8D">
            <w:pPr>
              <w:pStyle w:val="TableTextSmall"/>
            </w:pPr>
            <w:r w:rsidRPr="007B77B6">
              <w:t>2015/16</w:t>
            </w:r>
          </w:p>
        </w:tc>
        <w:tc>
          <w:tcPr>
            <w:tcW w:w="1333" w:type="dxa"/>
            <w:tcBorders>
              <w:left w:val="single" w:sz="4" w:space="0" w:color="E0301E" w:themeColor="accent6"/>
            </w:tcBorders>
          </w:tcPr>
          <w:p w14:paraId="291F41B5" w14:textId="77777777" w:rsidR="007629AE" w:rsidRPr="007B77B6" w:rsidRDefault="007629AE" w:rsidP="007B0A8D">
            <w:pPr>
              <w:pStyle w:val="TableTextSmall"/>
              <w:jc w:val="center"/>
              <w:cnfStyle w:val="000000000000" w:firstRow="0" w:lastRow="0" w:firstColumn="0" w:lastColumn="0" w:oddVBand="0" w:evenVBand="0" w:oddHBand="0" w:evenHBand="0" w:firstRowFirstColumn="0" w:firstRowLastColumn="0" w:lastRowFirstColumn="0" w:lastRowLastColumn="0"/>
            </w:pPr>
            <w:r w:rsidRPr="0003096B">
              <w:t>28,478</w:t>
            </w:r>
          </w:p>
        </w:tc>
        <w:tc>
          <w:tcPr>
            <w:tcW w:w="1333" w:type="dxa"/>
            <w:vAlign w:val="bottom"/>
          </w:tcPr>
          <w:p w14:paraId="2F28953F" w14:textId="77777777" w:rsidR="007629AE" w:rsidRPr="007B77B6" w:rsidRDefault="007629AE" w:rsidP="007B0A8D">
            <w:pPr>
              <w:pStyle w:val="TableTextSmall"/>
              <w:jc w:val="center"/>
              <w:cnfStyle w:val="000000000000" w:firstRow="0" w:lastRow="0" w:firstColumn="0" w:lastColumn="0" w:oddVBand="0" w:evenVBand="0" w:oddHBand="0" w:evenHBand="0" w:firstRowFirstColumn="0" w:firstRowLastColumn="0" w:lastRowFirstColumn="0" w:lastRowLastColumn="0"/>
            </w:pPr>
            <w:r>
              <w:t>-32</w:t>
            </w:r>
            <w:r w:rsidRPr="007B77B6">
              <w:t>%</w:t>
            </w:r>
          </w:p>
        </w:tc>
      </w:tr>
      <w:tr w:rsidR="007629AE" w:rsidRPr="009210D0" w14:paraId="30A64B7C" w14:textId="77777777" w:rsidTr="007B0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6655902F" w14:textId="77777777" w:rsidR="007629AE" w:rsidRPr="007B77B6" w:rsidRDefault="007629AE" w:rsidP="007B0A8D">
            <w:pPr>
              <w:pStyle w:val="TableTextSmall"/>
            </w:pPr>
            <w:r>
              <w:t>2016/17</w:t>
            </w:r>
          </w:p>
        </w:tc>
        <w:tc>
          <w:tcPr>
            <w:tcW w:w="1333" w:type="dxa"/>
            <w:tcBorders>
              <w:left w:val="single" w:sz="4" w:space="0" w:color="E0301E" w:themeColor="accent6"/>
            </w:tcBorders>
          </w:tcPr>
          <w:p w14:paraId="7B8948EA" w14:textId="77777777" w:rsidR="007629AE" w:rsidRPr="007B77B6" w:rsidRDefault="007629AE" w:rsidP="007B0A8D">
            <w:pPr>
              <w:pStyle w:val="TableTextSmall"/>
              <w:jc w:val="center"/>
              <w:cnfStyle w:val="000000100000" w:firstRow="0" w:lastRow="0" w:firstColumn="0" w:lastColumn="0" w:oddVBand="0" w:evenVBand="0" w:oddHBand="1" w:evenHBand="0" w:firstRowFirstColumn="0" w:firstRowLastColumn="0" w:lastRowFirstColumn="0" w:lastRowLastColumn="0"/>
            </w:pPr>
            <w:r w:rsidRPr="0003096B">
              <w:t>16,419</w:t>
            </w:r>
          </w:p>
        </w:tc>
        <w:tc>
          <w:tcPr>
            <w:tcW w:w="1333" w:type="dxa"/>
            <w:vAlign w:val="bottom"/>
          </w:tcPr>
          <w:p w14:paraId="5CBF4426" w14:textId="77777777" w:rsidR="007629AE" w:rsidRPr="007B77B6" w:rsidRDefault="007629AE" w:rsidP="007B0A8D">
            <w:pPr>
              <w:pStyle w:val="TableTextSmall"/>
              <w:jc w:val="center"/>
              <w:cnfStyle w:val="000000100000" w:firstRow="0" w:lastRow="0" w:firstColumn="0" w:lastColumn="0" w:oddVBand="0" w:evenVBand="0" w:oddHBand="1" w:evenHBand="0" w:firstRowFirstColumn="0" w:firstRowLastColumn="0" w:lastRowFirstColumn="0" w:lastRowLastColumn="0"/>
            </w:pPr>
            <w:r>
              <w:t>-42</w:t>
            </w:r>
            <w:r w:rsidRPr="007B77B6">
              <w:t>%</w:t>
            </w:r>
          </w:p>
        </w:tc>
      </w:tr>
    </w:tbl>
    <w:p w14:paraId="76AA9A2D" w14:textId="77777777" w:rsidR="007629AE" w:rsidRPr="007B77B6" w:rsidRDefault="007629AE" w:rsidP="007629AE">
      <w:pPr>
        <w:pStyle w:val="PwCNormal"/>
        <w:numPr>
          <w:ilvl w:val="0"/>
          <w:numId w:val="1"/>
        </w:numPr>
      </w:pPr>
      <w:r w:rsidRPr="007B77B6">
        <w:t>Note the</w:t>
      </w:r>
      <w:r>
        <w:t xml:space="preserve"> figure for 2016/</w:t>
      </w:r>
      <w:r w:rsidRPr="007B77B6">
        <w:t>1</w:t>
      </w:r>
      <w:r>
        <w:t>7</w:t>
      </w:r>
      <w:r w:rsidRPr="007B77B6">
        <w:t xml:space="preserve"> is likely to be materially impacted by data maturity and hence the reduction for this year will be less when the data is fully mature.</w:t>
      </w:r>
    </w:p>
    <w:p w14:paraId="09E9B127" w14:textId="77777777" w:rsidR="007629AE" w:rsidRDefault="007629AE" w:rsidP="007629AE">
      <w:pPr>
        <w:pStyle w:val="PwCNormal"/>
        <w:numPr>
          <w:ilvl w:val="0"/>
          <w:numId w:val="1"/>
        </w:numPr>
      </w:pPr>
      <w:r w:rsidRPr="00390ADE">
        <w:t>We have discussed this with the Department and understand this experience is likely to be a reflection of a series of policy changes that have been made over recent years, all tightening the eligibility criteria for the Disability Support Pension.</w:t>
      </w:r>
    </w:p>
    <w:p w14:paraId="653DE1EF" w14:textId="77777777" w:rsidR="007629AE" w:rsidRPr="00820A58" w:rsidRDefault="007629AE" w:rsidP="007629AE">
      <w:pPr>
        <w:pStyle w:val="PwCNormal"/>
        <w:numPr>
          <w:ilvl w:val="0"/>
          <w:numId w:val="1"/>
        </w:numPr>
      </w:pPr>
      <w:r w:rsidRPr="00820A58">
        <w:t xml:space="preserve">We can see that people in this class show very limited mobility. The main exits from the class are through retirement or death. Notwithstanding this, in the 2015/16 year, we have observed </w:t>
      </w:r>
      <w:r>
        <w:t xml:space="preserve">that </w:t>
      </w:r>
      <w:r w:rsidRPr="00820A58">
        <w:t xml:space="preserve">a material number of people aged under 40 exit the class, mainly into the other income support classes. This is </w:t>
      </w:r>
      <w:r>
        <w:t xml:space="preserve">understood to be driven by </w:t>
      </w:r>
      <w:r w:rsidRPr="00820A58">
        <w:t xml:space="preserve">medical reviews conducted by the Department of Human Services (DHS), which </w:t>
      </w:r>
      <w:r>
        <w:t xml:space="preserve">were expected </w:t>
      </w:r>
      <w:r w:rsidRPr="00820A58">
        <w:t>to result in a higher exit rate (relative to historical levels) in the short term.</w:t>
      </w:r>
      <w:r>
        <w:t xml:space="preserve"> The medical reviews have continued in 2016/17 however, the impact seen in 2016/17 is less. </w:t>
      </w:r>
      <w:r w:rsidRPr="00820A58">
        <w:t xml:space="preserve">This experience can be seen in the table below, which shows the historic number of people leaving the Disability Support Pension class prior to retirement age. </w:t>
      </w:r>
    </w:p>
    <w:p w14:paraId="12117394" w14:textId="7485F626" w:rsidR="007629AE" w:rsidRPr="00820A58" w:rsidRDefault="007629AE" w:rsidP="007629AE">
      <w:pPr>
        <w:pStyle w:val="Caption"/>
      </w:pPr>
      <w:r w:rsidRPr="00820A58">
        <w:lastRenderedPageBreak/>
        <w:t xml:space="preserve">Table </w:t>
      </w:r>
      <w:fldSimple w:instr=" SEQ Table \* ARABIC ">
        <w:r w:rsidR="00C93C1A">
          <w:rPr>
            <w:noProof/>
          </w:rPr>
          <w:t>34</w:t>
        </w:r>
      </w:fldSimple>
      <w:r w:rsidRPr="00820A58">
        <w:t xml:space="preserve">: Number of people leaving </w:t>
      </w:r>
      <w:r w:rsidR="00871E70">
        <w:t>c</w:t>
      </w:r>
      <w:r w:rsidRPr="00820A58">
        <w:t xml:space="preserve">lass 5 – Disability Support prior to retirement in the last </w:t>
      </w:r>
      <w:r w:rsidR="00F667C9">
        <w:t>five</w:t>
      </w:r>
      <w:r w:rsidR="00F667C9" w:rsidRPr="00820A58">
        <w:t xml:space="preserve"> </w:t>
      </w:r>
      <w:r w:rsidRPr="00820A58">
        <w:t>years</w:t>
      </w:r>
    </w:p>
    <w:tbl>
      <w:tblPr>
        <w:tblStyle w:val="ListTable3-Accent61"/>
        <w:tblW w:w="7797" w:type="dxa"/>
        <w:tblInd w:w="108" w:type="dxa"/>
        <w:tblLook w:val="04A0" w:firstRow="1" w:lastRow="0" w:firstColumn="1" w:lastColumn="0" w:noHBand="0" w:noVBand="1"/>
        <w:tblCaption w:val=" Number of people leaving Class 5 – Disability Support prior to retirement in the last 5 years"/>
        <w:tblDescription w:val="This table shows the number of people exiting Class 5 Disability Support over the last five years. There is a column for number of people remaining in class 5, a second column showing the number of people leaving class 5 and going to an income support class and a third column that shows the number of people who leave class 5 and no longer receive income support. The final column shows the total exits.&#10;&#10;The table shows that between 2012/13 and 2014/15 the number of people exiting to other income support classes rose slightly (1,310 in 2012/13 to 1,754 in 2014/15), and then steeply in the 2015/16 year to 5,232. The number of people exiting to non income support classes has declined over the last 5 years from 18,750 in 2012/13 to 17,135 in 2016/17. &#10;&#10;The data provided in this table is described in more detail in the accompanying text in the report.&#10;"/>
      </w:tblPr>
      <w:tblGrid>
        <w:gridCol w:w="1332"/>
        <w:gridCol w:w="1616"/>
        <w:gridCol w:w="1616"/>
        <w:gridCol w:w="1616"/>
        <w:gridCol w:w="1617"/>
      </w:tblGrid>
      <w:tr w:rsidR="007629AE" w:rsidRPr="00820A58" w14:paraId="58F5A068" w14:textId="77777777" w:rsidTr="007B0A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32" w:type="dxa"/>
            <w:tcBorders>
              <w:right w:val="single" w:sz="4" w:space="0" w:color="E0301E" w:themeColor="accent6"/>
            </w:tcBorders>
          </w:tcPr>
          <w:p w14:paraId="428BC1DE" w14:textId="77777777" w:rsidR="007629AE" w:rsidRPr="00820A58" w:rsidRDefault="007629AE" w:rsidP="001D1763">
            <w:pPr>
              <w:pStyle w:val="TableTextSmall"/>
              <w:keepNext/>
              <w:rPr>
                <w:rFonts w:asciiTheme="majorHAnsi" w:hAnsiTheme="majorHAnsi"/>
                <w:color w:val="FFFFFF" w:themeColor="background1"/>
              </w:rPr>
            </w:pPr>
            <w:r w:rsidRPr="00820A58">
              <w:rPr>
                <w:rFonts w:asciiTheme="majorHAnsi" w:hAnsiTheme="majorHAnsi"/>
                <w:color w:val="FFFFFF" w:themeColor="background1"/>
              </w:rPr>
              <w:t>Financial Year</w:t>
            </w:r>
          </w:p>
        </w:tc>
        <w:tc>
          <w:tcPr>
            <w:tcW w:w="1616" w:type="dxa"/>
            <w:tcBorders>
              <w:top w:val="single" w:sz="4" w:space="0" w:color="E0301E" w:themeColor="accent6"/>
              <w:left w:val="single" w:sz="4" w:space="0" w:color="E0301E" w:themeColor="accent6"/>
              <w:bottom w:val="single" w:sz="4" w:space="0" w:color="E0301E" w:themeColor="accent6"/>
            </w:tcBorders>
          </w:tcPr>
          <w:p w14:paraId="069937F8" w14:textId="42D68F97" w:rsidR="007629AE" w:rsidRPr="00820A58" w:rsidRDefault="007629AE"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20A58">
              <w:rPr>
                <w:rFonts w:asciiTheme="majorHAnsi" w:hAnsiTheme="majorHAnsi"/>
                <w:color w:val="FFFFFF" w:themeColor="background1"/>
              </w:rPr>
              <w:t xml:space="preserve">Remaining in </w:t>
            </w:r>
            <w:r w:rsidR="00871E70">
              <w:rPr>
                <w:rFonts w:asciiTheme="majorHAnsi" w:hAnsiTheme="majorHAnsi"/>
                <w:color w:val="FFFFFF" w:themeColor="background1"/>
              </w:rPr>
              <w:t>c</w:t>
            </w:r>
            <w:r w:rsidRPr="00820A58">
              <w:rPr>
                <w:rFonts w:asciiTheme="majorHAnsi" w:hAnsiTheme="majorHAnsi"/>
                <w:color w:val="FFFFFF" w:themeColor="background1"/>
              </w:rPr>
              <w:t>lass 5</w:t>
            </w:r>
          </w:p>
        </w:tc>
        <w:tc>
          <w:tcPr>
            <w:tcW w:w="1616" w:type="dxa"/>
            <w:tcBorders>
              <w:top w:val="single" w:sz="4" w:space="0" w:color="E0301E" w:themeColor="accent6"/>
              <w:bottom w:val="single" w:sz="4" w:space="0" w:color="E0301E" w:themeColor="accent6"/>
              <w:right w:val="nil"/>
            </w:tcBorders>
          </w:tcPr>
          <w:p w14:paraId="3F04E229" w14:textId="3C4F62FB" w:rsidR="007629AE" w:rsidRPr="00820A58" w:rsidRDefault="007629AE"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20A58">
              <w:rPr>
                <w:rFonts w:asciiTheme="majorHAnsi" w:hAnsiTheme="majorHAnsi"/>
                <w:color w:val="FFFFFF" w:themeColor="background1"/>
              </w:rPr>
              <w:t xml:space="preserve">Leaving </w:t>
            </w:r>
            <w:r w:rsidR="00871E70">
              <w:rPr>
                <w:rFonts w:asciiTheme="majorHAnsi" w:hAnsiTheme="majorHAnsi"/>
                <w:color w:val="FFFFFF" w:themeColor="background1"/>
              </w:rPr>
              <w:t>c</w:t>
            </w:r>
            <w:r w:rsidRPr="00820A58">
              <w:rPr>
                <w:rFonts w:asciiTheme="majorHAnsi" w:hAnsiTheme="majorHAnsi"/>
                <w:color w:val="FFFFFF" w:themeColor="background1"/>
              </w:rPr>
              <w:t>lass 5 to an income support class</w:t>
            </w:r>
          </w:p>
        </w:tc>
        <w:tc>
          <w:tcPr>
            <w:tcW w:w="1616" w:type="dxa"/>
            <w:tcBorders>
              <w:top w:val="single" w:sz="4" w:space="0" w:color="E0301E" w:themeColor="accent6"/>
              <w:left w:val="nil"/>
              <w:bottom w:val="single" w:sz="4" w:space="0" w:color="E0301E" w:themeColor="accent6"/>
              <w:right w:val="single" w:sz="4" w:space="0" w:color="E0301E" w:themeColor="accent6"/>
            </w:tcBorders>
          </w:tcPr>
          <w:p w14:paraId="39651A28" w14:textId="4C9509D4" w:rsidR="007629AE" w:rsidRPr="00820A58" w:rsidRDefault="007629AE"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20A58">
              <w:rPr>
                <w:rFonts w:asciiTheme="majorHAnsi" w:hAnsiTheme="majorHAnsi"/>
                <w:color w:val="FFFFFF" w:themeColor="background1"/>
              </w:rPr>
              <w:t xml:space="preserve">Leaving </w:t>
            </w:r>
            <w:r w:rsidR="00871E70">
              <w:rPr>
                <w:rFonts w:asciiTheme="majorHAnsi" w:hAnsiTheme="majorHAnsi"/>
                <w:color w:val="FFFFFF" w:themeColor="background1"/>
              </w:rPr>
              <w:t>c</w:t>
            </w:r>
            <w:r w:rsidRPr="00820A58">
              <w:rPr>
                <w:rFonts w:asciiTheme="majorHAnsi" w:hAnsiTheme="majorHAnsi"/>
                <w:color w:val="FFFFFF" w:themeColor="background1"/>
              </w:rPr>
              <w:t xml:space="preserve">lass 5 and no longer on income support </w:t>
            </w:r>
          </w:p>
        </w:tc>
        <w:tc>
          <w:tcPr>
            <w:tcW w:w="1617" w:type="dxa"/>
            <w:tcBorders>
              <w:left w:val="single" w:sz="4" w:space="0" w:color="E0301E" w:themeColor="accent6"/>
            </w:tcBorders>
          </w:tcPr>
          <w:p w14:paraId="76A95382" w14:textId="77777777" w:rsidR="007629AE" w:rsidRPr="00820A58" w:rsidRDefault="007629AE"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820A58">
              <w:rPr>
                <w:rFonts w:asciiTheme="majorHAnsi" w:hAnsiTheme="majorHAnsi"/>
                <w:color w:val="FFFFFF" w:themeColor="background1"/>
              </w:rPr>
              <w:t>Total</w:t>
            </w:r>
          </w:p>
        </w:tc>
      </w:tr>
      <w:tr w:rsidR="007629AE" w:rsidRPr="00820A58" w14:paraId="7FBF00D0" w14:textId="77777777" w:rsidTr="007B0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62178B1F" w14:textId="77777777" w:rsidR="007629AE" w:rsidRPr="00820A58" w:rsidRDefault="007629AE" w:rsidP="001D1763">
            <w:pPr>
              <w:pStyle w:val="TableTextSmall"/>
              <w:keepNext/>
            </w:pPr>
            <w:r w:rsidRPr="00820A58">
              <w:t>2012/13</w:t>
            </w:r>
          </w:p>
        </w:tc>
        <w:tc>
          <w:tcPr>
            <w:tcW w:w="1616" w:type="dxa"/>
            <w:tcBorders>
              <w:left w:val="single" w:sz="4" w:space="0" w:color="E0301E" w:themeColor="accent6"/>
            </w:tcBorders>
          </w:tcPr>
          <w:p w14:paraId="3C412032" w14:textId="77777777" w:rsidR="007629AE" w:rsidRPr="00820A58" w:rsidRDefault="007629AE" w:rsidP="001D1763">
            <w:pPr>
              <w:pStyle w:val="TableTextSmall"/>
              <w:keepNext/>
              <w:jc w:val="center"/>
              <w:cnfStyle w:val="000000100000" w:firstRow="0" w:lastRow="0" w:firstColumn="0" w:lastColumn="0" w:oddVBand="0" w:evenVBand="0" w:oddHBand="1" w:evenHBand="0" w:firstRowFirstColumn="0" w:firstRowLastColumn="0" w:lastRowFirstColumn="0" w:lastRowLastColumn="0"/>
              <w:rPr>
                <w:rFonts w:cs="Times New Roman"/>
                <w:snapToGrid/>
                <w:lang w:eastAsia="en-AU"/>
              </w:rPr>
            </w:pPr>
            <w:r w:rsidRPr="00F41A15">
              <w:t>752,190</w:t>
            </w:r>
          </w:p>
        </w:tc>
        <w:tc>
          <w:tcPr>
            <w:tcW w:w="1616" w:type="dxa"/>
            <w:tcBorders>
              <w:right w:val="nil"/>
            </w:tcBorders>
          </w:tcPr>
          <w:p w14:paraId="297CE247" w14:textId="77777777" w:rsidR="007629AE" w:rsidRPr="00820A58" w:rsidRDefault="007629AE" w:rsidP="001D1763">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F41A15">
              <w:t>1,310</w:t>
            </w:r>
          </w:p>
        </w:tc>
        <w:tc>
          <w:tcPr>
            <w:tcW w:w="1616" w:type="dxa"/>
            <w:tcBorders>
              <w:left w:val="nil"/>
              <w:right w:val="single" w:sz="4" w:space="0" w:color="E0301E" w:themeColor="accent6"/>
            </w:tcBorders>
          </w:tcPr>
          <w:p w14:paraId="3701758A" w14:textId="77777777" w:rsidR="007629AE" w:rsidRPr="00820A58" w:rsidRDefault="007629AE" w:rsidP="001D1763">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F41A15">
              <w:t>18,750</w:t>
            </w:r>
          </w:p>
        </w:tc>
        <w:tc>
          <w:tcPr>
            <w:tcW w:w="1617" w:type="dxa"/>
            <w:tcBorders>
              <w:left w:val="single" w:sz="4" w:space="0" w:color="E0301E" w:themeColor="accent6"/>
            </w:tcBorders>
          </w:tcPr>
          <w:p w14:paraId="4E070E5E" w14:textId="77777777" w:rsidR="007629AE" w:rsidRPr="00820A58" w:rsidRDefault="007629AE" w:rsidP="001D1763">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F41A15">
              <w:t>772,250</w:t>
            </w:r>
          </w:p>
        </w:tc>
      </w:tr>
      <w:tr w:rsidR="007629AE" w:rsidRPr="00820A58" w14:paraId="6CD51A88" w14:textId="77777777" w:rsidTr="007B0A8D">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5D8F3581" w14:textId="77777777" w:rsidR="007629AE" w:rsidRPr="00820A58" w:rsidRDefault="007629AE" w:rsidP="001D1763">
            <w:pPr>
              <w:pStyle w:val="TableTextSmall"/>
              <w:keepNext/>
            </w:pPr>
            <w:r w:rsidRPr="00820A58">
              <w:t>2013/14</w:t>
            </w:r>
          </w:p>
        </w:tc>
        <w:tc>
          <w:tcPr>
            <w:tcW w:w="1616" w:type="dxa"/>
            <w:tcBorders>
              <w:top w:val="single" w:sz="4" w:space="0" w:color="E0301E" w:themeColor="accent6"/>
              <w:left w:val="single" w:sz="4" w:space="0" w:color="E0301E" w:themeColor="accent6"/>
              <w:bottom w:val="single" w:sz="4" w:space="0" w:color="E0301E" w:themeColor="accent6"/>
            </w:tcBorders>
          </w:tcPr>
          <w:p w14:paraId="5A047F23" w14:textId="77777777" w:rsidR="007629AE" w:rsidRPr="00820A58" w:rsidRDefault="007629AE" w:rsidP="001D1763">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F41A15">
              <w:t>758,885</w:t>
            </w:r>
          </w:p>
        </w:tc>
        <w:tc>
          <w:tcPr>
            <w:tcW w:w="1616" w:type="dxa"/>
            <w:tcBorders>
              <w:top w:val="single" w:sz="4" w:space="0" w:color="E0301E" w:themeColor="accent6"/>
              <w:bottom w:val="single" w:sz="4" w:space="0" w:color="E0301E" w:themeColor="accent6"/>
              <w:right w:val="nil"/>
            </w:tcBorders>
          </w:tcPr>
          <w:p w14:paraId="798E436B" w14:textId="77777777" w:rsidR="007629AE" w:rsidRPr="00820A58" w:rsidRDefault="007629AE" w:rsidP="001D1763">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F41A15">
              <w:t>1,244</w:t>
            </w:r>
          </w:p>
        </w:tc>
        <w:tc>
          <w:tcPr>
            <w:tcW w:w="1616" w:type="dxa"/>
            <w:tcBorders>
              <w:top w:val="single" w:sz="4" w:space="0" w:color="E0301E" w:themeColor="accent6"/>
              <w:left w:val="nil"/>
              <w:bottom w:val="single" w:sz="4" w:space="0" w:color="E0301E" w:themeColor="accent6"/>
              <w:right w:val="single" w:sz="4" w:space="0" w:color="E0301E" w:themeColor="accent6"/>
            </w:tcBorders>
          </w:tcPr>
          <w:p w14:paraId="61BD5AAD" w14:textId="77777777" w:rsidR="007629AE" w:rsidRPr="00820A58" w:rsidRDefault="007629AE" w:rsidP="001D1763">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F41A15">
              <w:t>17,596</w:t>
            </w:r>
          </w:p>
        </w:tc>
        <w:tc>
          <w:tcPr>
            <w:tcW w:w="1617" w:type="dxa"/>
            <w:tcBorders>
              <w:left w:val="single" w:sz="4" w:space="0" w:color="E0301E" w:themeColor="accent6"/>
            </w:tcBorders>
          </w:tcPr>
          <w:p w14:paraId="384C93F6" w14:textId="77777777" w:rsidR="007629AE" w:rsidRPr="00820A58" w:rsidRDefault="007629AE" w:rsidP="001D1763">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F41A15">
              <w:t>777,725</w:t>
            </w:r>
          </w:p>
        </w:tc>
      </w:tr>
      <w:tr w:rsidR="007629AE" w:rsidRPr="00820A58" w14:paraId="5A5F1B38" w14:textId="77777777" w:rsidTr="007B0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4667CF43" w14:textId="77777777" w:rsidR="007629AE" w:rsidRPr="00820A58" w:rsidRDefault="007629AE" w:rsidP="001D1763">
            <w:pPr>
              <w:pStyle w:val="TableTextSmall"/>
              <w:keepNext/>
            </w:pPr>
            <w:r w:rsidRPr="00820A58">
              <w:t>2014/15</w:t>
            </w:r>
          </w:p>
        </w:tc>
        <w:tc>
          <w:tcPr>
            <w:tcW w:w="1616" w:type="dxa"/>
            <w:tcBorders>
              <w:left w:val="single" w:sz="4" w:space="0" w:color="E0301E" w:themeColor="accent6"/>
            </w:tcBorders>
          </w:tcPr>
          <w:p w14:paraId="178720EC" w14:textId="77777777" w:rsidR="007629AE" w:rsidRPr="00820A58" w:rsidRDefault="007629AE" w:rsidP="001D1763">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F41A15">
              <w:t>749,429</w:t>
            </w:r>
          </w:p>
        </w:tc>
        <w:tc>
          <w:tcPr>
            <w:tcW w:w="1616" w:type="dxa"/>
            <w:tcBorders>
              <w:right w:val="nil"/>
            </w:tcBorders>
          </w:tcPr>
          <w:p w14:paraId="3606C092" w14:textId="77777777" w:rsidR="007629AE" w:rsidRPr="00820A58" w:rsidRDefault="007629AE" w:rsidP="001D1763">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F41A15">
              <w:t>1,754</w:t>
            </w:r>
          </w:p>
        </w:tc>
        <w:tc>
          <w:tcPr>
            <w:tcW w:w="1616" w:type="dxa"/>
            <w:tcBorders>
              <w:left w:val="nil"/>
              <w:right w:val="single" w:sz="4" w:space="0" w:color="E0301E" w:themeColor="accent6"/>
            </w:tcBorders>
          </w:tcPr>
          <w:p w14:paraId="3C167BC7" w14:textId="77777777" w:rsidR="007629AE" w:rsidRPr="00820A58" w:rsidRDefault="007629AE" w:rsidP="001D1763">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F41A15">
              <w:t>17,591</w:t>
            </w:r>
          </w:p>
        </w:tc>
        <w:tc>
          <w:tcPr>
            <w:tcW w:w="1617" w:type="dxa"/>
            <w:tcBorders>
              <w:left w:val="single" w:sz="4" w:space="0" w:color="E0301E" w:themeColor="accent6"/>
            </w:tcBorders>
          </w:tcPr>
          <w:p w14:paraId="459759DC" w14:textId="77777777" w:rsidR="007629AE" w:rsidRPr="00820A58" w:rsidRDefault="007629AE" w:rsidP="001D1763">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F41A15">
              <w:t>768,774</w:t>
            </w:r>
          </w:p>
        </w:tc>
      </w:tr>
      <w:tr w:rsidR="007629AE" w:rsidRPr="00820A58" w14:paraId="27FC7D49" w14:textId="77777777" w:rsidTr="007B0A8D">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0DA42C6E" w14:textId="77777777" w:rsidR="007629AE" w:rsidRPr="00820A58" w:rsidRDefault="007629AE" w:rsidP="001D1763">
            <w:pPr>
              <w:pStyle w:val="TableTextSmall"/>
              <w:keepNext/>
            </w:pPr>
            <w:r w:rsidRPr="00820A58">
              <w:t>2015/16</w:t>
            </w:r>
          </w:p>
        </w:tc>
        <w:tc>
          <w:tcPr>
            <w:tcW w:w="1616" w:type="dxa"/>
            <w:tcBorders>
              <w:top w:val="single" w:sz="4" w:space="0" w:color="E0301E" w:themeColor="accent6"/>
              <w:left w:val="single" w:sz="4" w:space="0" w:color="E0301E" w:themeColor="accent6"/>
              <w:bottom w:val="single" w:sz="4" w:space="0" w:color="E0301E" w:themeColor="accent6"/>
            </w:tcBorders>
          </w:tcPr>
          <w:p w14:paraId="6E493FD1" w14:textId="77777777" w:rsidR="007629AE" w:rsidRPr="00820A58" w:rsidRDefault="007629AE" w:rsidP="001D1763">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F41A15">
              <w:t>728,954</w:t>
            </w:r>
          </w:p>
        </w:tc>
        <w:tc>
          <w:tcPr>
            <w:tcW w:w="1616" w:type="dxa"/>
            <w:tcBorders>
              <w:top w:val="single" w:sz="4" w:space="0" w:color="E0301E" w:themeColor="accent6"/>
              <w:bottom w:val="single" w:sz="4" w:space="0" w:color="E0301E" w:themeColor="accent6"/>
              <w:right w:val="nil"/>
            </w:tcBorders>
          </w:tcPr>
          <w:p w14:paraId="0B221630" w14:textId="77777777" w:rsidR="007629AE" w:rsidRPr="00820A58" w:rsidRDefault="007629AE" w:rsidP="001D1763">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F41A15">
              <w:t>5,232</w:t>
            </w:r>
          </w:p>
        </w:tc>
        <w:tc>
          <w:tcPr>
            <w:tcW w:w="1616" w:type="dxa"/>
            <w:tcBorders>
              <w:top w:val="single" w:sz="4" w:space="0" w:color="E0301E" w:themeColor="accent6"/>
              <w:left w:val="nil"/>
              <w:bottom w:val="single" w:sz="4" w:space="0" w:color="E0301E" w:themeColor="accent6"/>
              <w:right w:val="single" w:sz="4" w:space="0" w:color="E0301E" w:themeColor="accent6"/>
            </w:tcBorders>
          </w:tcPr>
          <w:p w14:paraId="35B9DA39" w14:textId="77777777" w:rsidR="007629AE" w:rsidRPr="00820A58" w:rsidRDefault="007629AE" w:rsidP="001D1763">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F41A15">
              <w:t>17,416</w:t>
            </w:r>
          </w:p>
        </w:tc>
        <w:tc>
          <w:tcPr>
            <w:tcW w:w="1617" w:type="dxa"/>
            <w:tcBorders>
              <w:left w:val="single" w:sz="4" w:space="0" w:color="E0301E" w:themeColor="accent6"/>
            </w:tcBorders>
          </w:tcPr>
          <w:p w14:paraId="35F58BAF" w14:textId="77777777" w:rsidR="007629AE" w:rsidRPr="00820A58" w:rsidRDefault="007629AE" w:rsidP="001D1763">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F41A15">
              <w:t>751,602</w:t>
            </w:r>
          </w:p>
        </w:tc>
      </w:tr>
      <w:tr w:rsidR="007629AE" w:rsidRPr="009210D0" w14:paraId="3EACA8E9" w14:textId="77777777" w:rsidTr="007B0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Borders>
              <w:right w:val="single" w:sz="4" w:space="0" w:color="E0301E" w:themeColor="accent6"/>
            </w:tcBorders>
          </w:tcPr>
          <w:p w14:paraId="1C5F22A7" w14:textId="77777777" w:rsidR="007629AE" w:rsidRPr="00820A58" w:rsidRDefault="007629AE" w:rsidP="007B0A8D">
            <w:pPr>
              <w:pStyle w:val="TableTextSmall"/>
            </w:pPr>
            <w:r>
              <w:t>2016/17</w:t>
            </w:r>
          </w:p>
        </w:tc>
        <w:tc>
          <w:tcPr>
            <w:tcW w:w="1616" w:type="dxa"/>
            <w:tcBorders>
              <w:left w:val="single" w:sz="4" w:space="0" w:color="E0301E" w:themeColor="accent6"/>
            </w:tcBorders>
          </w:tcPr>
          <w:p w14:paraId="08C11EF0" w14:textId="77777777" w:rsidR="007629AE" w:rsidRPr="00820A58" w:rsidRDefault="007629AE" w:rsidP="007B0A8D">
            <w:pPr>
              <w:pStyle w:val="TableTextSmall"/>
              <w:jc w:val="center"/>
              <w:cnfStyle w:val="000000100000" w:firstRow="0" w:lastRow="0" w:firstColumn="0" w:lastColumn="0" w:oddVBand="0" w:evenVBand="0" w:oddHBand="1" w:evenHBand="0" w:firstRowFirstColumn="0" w:firstRowLastColumn="0" w:lastRowFirstColumn="0" w:lastRowLastColumn="0"/>
            </w:pPr>
            <w:r w:rsidRPr="00F41A15">
              <w:t>701,643</w:t>
            </w:r>
          </w:p>
        </w:tc>
        <w:tc>
          <w:tcPr>
            <w:tcW w:w="1616" w:type="dxa"/>
            <w:tcBorders>
              <w:right w:val="nil"/>
            </w:tcBorders>
          </w:tcPr>
          <w:p w14:paraId="73CC8E7D" w14:textId="77777777" w:rsidR="007629AE" w:rsidRPr="00820A58" w:rsidRDefault="007629AE" w:rsidP="007B0A8D">
            <w:pPr>
              <w:pStyle w:val="TableTextSmall"/>
              <w:jc w:val="center"/>
              <w:cnfStyle w:val="000000100000" w:firstRow="0" w:lastRow="0" w:firstColumn="0" w:lastColumn="0" w:oddVBand="0" w:evenVBand="0" w:oddHBand="1" w:evenHBand="0" w:firstRowFirstColumn="0" w:firstRowLastColumn="0" w:lastRowFirstColumn="0" w:lastRowLastColumn="0"/>
            </w:pPr>
            <w:r w:rsidRPr="00F41A15">
              <w:t>2,165</w:t>
            </w:r>
          </w:p>
        </w:tc>
        <w:tc>
          <w:tcPr>
            <w:tcW w:w="1616" w:type="dxa"/>
            <w:tcBorders>
              <w:left w:val="nil"/>
              <w:right w:val="single" w:sz="4" w:space="0" w:color="E0301E" w:themeColor="accent6"/>
            </w:tcBorders>
          </w:tcPr>
          <w:p w14:paraId="09833F2F" w14:textId="77777777" w:rsidR="007629AE" w:rsidRPr="00820A58" w:rsidRDefault="007629AE" w:rsidP="007B0A8D">
            <w:pPr>
              <w:pStyle w:val="TableTextSmall"/>
              <w:jc w:val="center"/>
              <w:cnfStyle w:val="000000100000" w:firstRow="0" w:lastRow="0" w:firstColumn="0" w:lastColumn="0" w:oddVBand="0" w:evenVBand="0" w:oddHBand="1" w:evenHBand="0" w:firstRowFirstColumn="0" w:firstRowLastColumn="0" w:lastRowFirstColumn="0" w:lastRowLastColumn="0"/>
            </w:pPr>
            <w:r w:rsidRPr="00F41A15">
              <w:t>17,135</w:t>
            </w:r>
          </w:p>
        </w:tc>
        <w:tc>
          <w:tcPr>
            <w:tcW w:w="1617" w:type="dxa"/>
            <w:tcBorders>
              <w:left w:val="single" w:sz="4" w:space="0" w:color="E0301E" w:themeColor="accent6"/>
            </w:tcBorders>
          </w:tcPr>
          <w:p w14:paraId="0B1BA59A" w14:textId="77777777" w:rsidR="007629AE" w:rsidRPr="00820A58" w:rsidRDefault="007629AE" w:rsidP="007B0A8D">
            <w:pPr>
              <w:pStyle w:val="TableTextSmall"/>
              <w:jc w:val="center"/>
              <w:cnfStyle w:val="000000100000" w:firstRow="0" w:lastRow="0" w:firstColumn="0" w:lastColumn="0" w:oddVBand="0" w:evenVBand="0" w:oddHBand="1" w:evenHBand="0" w:firstRowFirstColumn="0" w:firstRowLastColumn="0" w:lastRowFirstColumn="0" w:lastRowLastColumn="0"/>
            </w:pPr>
            <w:r w:rsidRPr="00F41A15">
              <w:t>720,943</w:t>
            </w:r>
          </w:p>
        </w:tc>
      </w:tr>
    </w:tbl>
    <w:p w14:paraId="00D8D3AE" w14:textId="0CA6F145" w:rsidR="007629AE" w:rsidRPr="00820A58" w:rsidRDefault="007629AE" w:rsidP="007629AE">
      <w:pPr>
        <w:pStyle w:val="PwCNormal"/>
        <w:numPr>
          <w:ilvl w:val="0"/>
          <w:numId w:val="1"/>
        </w:numPr>
      </w:pPr>
      <w:r>
        <w:t>The medical reviews and tightened eligibility criteria have reduced the number of people receiving DSP but increased the proportion of individuals with a severe medical condition. The proportion of DSP recipients</w:t>
      </w:r>
      <w:r w:rsidR="001D1763">
        <w:t xml:space="preserve"> entering the class</w:t>
      </w:r>
      <w:r>
        <w:t xml:space="preserve"> with cancer as their primary medical condition has doubled over the last </w:t>
      </w:r>
      <w:r w:rsidR="00722399">
        <w:t>five</w:t>
      </w:r>
      <w:r>
        <w:t xml:space="preserve"> years from 10% to 20%.</w:t>
      </w:r>
    </w:p>
    <w:p w14:paraId="193D764E" w14:textId="77777777" w:rsidR="007629AE" w:rsidRPr="00E115DB" w:rsidRDefault="007629AE" w:rsidP="007629AE">
      <w:pPr>
        <w:pStyle w:val="Minorheading"/>
      </w:pPr>
      <w:r w:rsidRPr="00E115DB">
        <w:t>Payments received</w:t>
      </w:r>
    </w:p>
    <w:p w14:paraId="65F05BBC" w14:textId="77777777" w:rsidR="007629AE" w:rsidRPr="00E115DB" w:rsidRDefault="007629AE" w:rsidP="007629AE">
      <w:pPr>
        <w:pStyle w:val="PwCNormal"/>
        <w:numPr>
          <w:ilvl w:val="0"/>
          <w:numId w:val="1"/>
        </w:numPr>
      </w:pPr>
      <w:r w:rsidRPr="00E115DB">
        <w:t>During 2016/17, people in this class received a total of $17.1 billion. This is 15.3% of the total payments made in 2016/17. The charts below show the average amount paid in a year to each person in this class.</w:t>
      </w:r>
    </w:p>
    <w:p w14:paraId="50FC38FD" w14:textId="45079609" w:rsidR="007629AE" w:rsidRPr="0057506F" w:rsidRDefault="007629AE" w:rsidP="007629AE">
      <w:pPr>
        <w:pStyle w:val="Caption"/>
      </w:pPr>
      <w:r w:rsidRPr="00FC7C1A">
        <w:t xml:space="preserve">Figure </w:t>
      </w:r>
      <w:fldSimple w:instr=" SEQ Figure \* ARABIC ">
        <w:r w:rsidR="00C93C1A">
          <w:rPr>
            <w:noProof/>
          </w:rPr>
          <w:t>72</w:t>
        </w:r>
      </w:fldSimple>
      <w:r w:rsidRPr="00FC7C1A">
        <w:t>: Average</w:t>
      </w:r>
      <w:r w:rsidRPr="00E115DB">
        <w:t xml:space="preserve"> payments per person in </w:t>
      </w:r>
      <w:r w:rsidR="00871E70">
        <w:t>c</w:t>
      </w:r>
      <w:r w:rsidRPr="00E115DB">
        <w:t>lass 5 – Disability Support (restated to 2016/17 $ values)</w:t>
      </w:r>
    </w:p>
    <w:p w14:paraId="77232377" w14:textId="77777777" w:rsidR="007629AE" w:rsidRPr="0057506F" w:rsidRDefault="007629AE" w:rsidP="007629AE">
      <w:pPr>
        <w:pStyle w:val="PwCNormal"/>
        <w:numPr>
          <w:ilvl w:val="0"/>
          <w:numId w:val="1"/>
        </w:numPr>
      </w:pPr>
      <w:r w:rsidRPr="009C6D1B">
        <w:rPr>
          <w:noProof/>
          <w:lang w:eastAsia="en-AU"/>
        </w:rPr>
        <w:drawing>
          <wp:inline distT="0" distB="0" distL="0" distR="0" wp14:anchorId="08BD84C5" wp14:editId="64EFE359">
            <wp:extent cx="5832475" cy="2039127"/>
            <wp:effectExtent l="0" t="0" r="0" b="0"/>
            <wp:docPr id="220" name="Picture 220" descr="This figure is a stacked column chart. The vertical axis displays the average payment per person in the Disability Support Class, ranging from $0 to $25,000.&#10;&#10;The horizontal axis is split into two sections; the first for males and the second for females. Each section is further split to show the last five financial years; 2013, 2014, 2015, 2016 and 2017.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5 was: $20,200 for 2013; $20,700 for 2014; $20,900 for 2015; $21,200 for 2016; and $21,300 for 2017.&#10;&#10;For females the approximate average payment per person in Class 5 was: $22,300 for 2013; $22,900 for 2014; $23,100 for 2015; $23,300 for 2016; and $22900 for 2017.&#10;&#10;The majority of payments for males were from the IS Disability category, with a smaller amount from the Other – General Allowances category. The majority of payments for females were from the IS Disability category, with a smaller amount coming from the Other – General Allowances and Other – FTB categories.&#10;&#10;The key features of this chart are described in the accompanying text within the report.&#10;" title="Average payments per person in class 5 – Disability Support (restated to 2016/17 $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32475" cy="2039127"/>
                    </a:xfrm>
                    <a:prstGeom prst="rect">
                      <a:avLst/>
                    </a:prstGeom>
                    <a:noFill/>
                    <a:ln>
                      <a:noFill/>
                    </a:ln>
                  </pic:spPr>
                </pic:pic>
              </a:graphicData>
            </a:graphic>
          </wp:inline>
        </w:drawing>
      </w:r>
    </w:p>
    <w:p w14:paraId="1A14791B" w14:textId="77777777" w:rsidR="007629AE" w:rsidRPr="0057506F" w:rsidRDefault="007629AE" w:rsidP="007629AE">
      <w:pPr>
        <w:pStyle w:val="PwCNormal"/>
        <w:numPr>
          <w:ilvl w:val="0"/>
          <w:numId w:val="0"/>
        </w:numPr>
        <w:ind w:firstLine="720"/>
      </w:pPr>
      <w:r w:rsidRPr="009C6D1B">
        <w:rPr>
          <w:noProof/>
          <w:lang w:eastAsia="en-AU"/>
        </w:rPr>
        <w:drawing>
          <wp:inline distT="0" distB="0" distL="0" distR="0" wp14:anchorId="023E239C" wp14:editId="09A63CEE">
            <wp:extent cx="4860000" cy="467785"/>
            <wp:effectExtent l="0" t="0" r="0" b="8890"/>
            <wp:docPr id="3115" name="Picture 3115"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60000" cy="467785"/>
                    </a:xfrm>
                    <a:prstGeom prst="rect">
                      <a:avLst/>
                    </a:prstGeom>
                    <a:noFill/>
                    <a:ln>
                      <a:noFill/>
                    </a:ln>
                  </pic:spPr>
                </pic:pic>
              </a:graphicData>
            </a:graphic>
          </wp:inline>
        </w:drawing>
      </w:r>
    </w:p>
    <w:p w14:paraId="1E76B170" w14:textId="77777777" w:rsidR="007629AE" w:rsidRPr="00E115DB" w:rsidRDefault="007629AE" w:rsidP="007629AE">
      <w:pPr>
        <w:pStyle w:val="PwCNormal"/>
        <w:numPr>
          <w:ilvl w:val="0"/>
          <w:numId w:val="1"/>
        </w:numPr>
      </w:pPr>
      <w:r w:rsidRPr="00E115DB">
        <w:t xml:space="preserve">The average payment made in 2016/17 was $22,000 with slightly higher average payments being made to women than men, as a result of them being more likely to also be claiming FTB. </w:t>
      </w:r>
    </w:p>
    <w:p w14:paraId="4A81EB1B" w14:textId="77777777" w:rsidR="007629AE" w:rsidRPr="00E115DB" w:rsidRDefault="007629AE" w:rsidP="007629AE">
      <w:pPr>
        <w:pStyle w:val="Heading4"/>
      </w:pPr>
      <w:r w:rsidRPr="00E115DB">
        <w:t>Changes in model fitting this valuation</w:t>
      </w:r>
    </w:p>
    <w:p w14:paraId="75254758" w14:textId="3A8F0A49" w:rsidR="007629AE" w:rsidRDefault="007629AE" w:rsidP="00964D65">
      <w:pPr>
        <w:pStyle w:val="PwCNormal"/>
        <w:numPr>
          <w:ilvl w:val="0"/>
          <w:numId w:val="33"/>
        </w:numPr>
      </w:pPr>
      <w:r>
        <w:t xml:space="preserve">There were no significant changes to the Disability Support Pension model assumptions this valuation. The new intergenerational variable was considered but was not found to have a strong relationship with the dynamics of people in </w:t>
      </w:r>
      <w:r w:rsidR="00871E70">
        <w:t>c</w:t>
      </w:r>
      <w:r>
        <w:t xml:space="preserve">lass </w:t>
      </w:r>
      <w:r w:rsidR="002F0CBF">
        <w:t>‘</w:t>
      </w:r>
      <w:r>
        <w:t>5 Disability Support Pension</w:t>
      </w:r>
      <w:r w:rsidR="002F0CBF">
        <w:t>’</w:t>
      </w:r>
      <w:r>
        <w:t xml:space="preserve"> as it was for other income support classes.</w:t>
      </w:r>
    </w:p>
    <w:p w14:paraId="322EE152" w14:textId="77777777" w:rsidR="007629AE" w:rsidRPr="00CF1687" w:rsidRDefault="007629AE" w:rsidP="007629AE">
      <w:pPr>
        <w:pStyle w:val="Heading4"/>
      </w:pPr>
      <w:r w:rsidRPr="00CF1687">
        <w:t>What does the model show for current Disability Support Pensioners?</w:t>
      </w:r>
    </w:p>
    <w:p w14:paraId="4B86E56C" w14:textId="77777777" w:rsidR="007629AE" w:rsidRPr="00CF1687" w:rsidRDefault="007629AE" w:rsidP="007629AE">
      <w:pPr>
        <w:pStyle w:val="Minorheading"/>
      </w:pPr>
      <w:r w:rsidRPr="00CF1687">
        <w:t>Lifetime costs</w:t>
      </w:r>
    </w:p>
    <w:p w14:paraId="111C49E3" w14:textId="77777777" w:rsidR="007629AE" w:rsidRDefault="007629AE" w:rsidP="007629AE">
      <w:pPr>
        <w:pStyle w:val="PwCNormal"/>
        <w:numPr>
          <w:ilvl w:val="0"/>
          <w:numId w:val="1"/>
        </w:numPr>
      </w:pPr>
      <w:r w:rsidRPr="00CF1687">
        <w:t xml:space="preserve">We estimated the lifetime cost for the people in this class to be </w:t>
      </w:r>
      <w:r w:rsidRPr="00CF1687">
        <w:rPr>
          <w:b/>
        </w:rPr>
        <w:t>$35</w:t>
      </w:r>
      <w:r>
        <w:rPr>
          <w:b/>
        </w:rPr>
        <w:t>1</w:t>
      </w:r>
      <w:r w:rsidRPr="00CF1687">
        <w:rPr>
          <w:b/>
        </w:rPr>
        <w:t>bn</w:t>
      </w:r>
      <w:r w:rsidRPr="00CF1687">
        <w:t xml:space="preserve"> (or </w:t>
      </w:r>
      <w:r>
        <w:rPr>
          <w:b/>
        </w:rPr>
        <w:t>7.5</w:t>
      </w:r>
      <w:r w:rsidRPr="00CF1687">
        <w:rPr>
          <w:b/>
        </w:rPr>
        <w:t>%</w:t>
      </w:r>
      <w:r w:rsidRPr="00CF1687">
        <w:t xml:space="preserve"> of the total lifetime cost). The average lifetime cost for people in this class is </w:t>
      </w:r>
      <w:r w:rsidRPr="00CF1687">
        <w:rPr>
          <w:b/>
        </w:rPr>
        <w:t>$4</w:t>
      </w:r>
      <w:r>
        <w:rPr>
          <w:b/>
        </w:rPr>
        <w:t>62</w:t>
      </w:r>
      <w:r w:rsidRPr="00CF1687">
        <w:rPr>
          <w:b/>
        </w:rPr>
        <w:t>,000</w:t>
      </w:r>
      <w:r w:rsidRPr="00CF1687">
        <w:t xml:space="preserve">. It is interesting to note that this class represents around </w:t>
      </w:r>
      <w:r>
        <w:t>9</w:t>
      </w:r>
      <w:r w:rsidRPr="00CF1687">
        <w:t xml:space="preserve">% of current welfare recipients but </w:t>
      </w:r>
      <w:r>
        <w:t>a significantly greater proportion (16</w:t>
      </w:r>
      <w:r w:rsidRPr="00CF1687">
        <w:t>%</w:t>
      </w:r>
      <w:r>
        <w:t>)</w:t>
      </w:r>
      <w:r w:rsidRPr="00CF1687">
        <w:t xml:space="preserve"> of total lifetime costs for current welfare recipients. This is because these welfare recipients are less likely than average to exit the system.</w:t>
      </w:r>
    </w:p>
    <w:p w14:paraId="75E61BF7" w14:textId="054B414A" w:rsidR="00266179" w:rsidRPr="00CF1687" w:rsidRDefault="007629AE" w:rsidP="007629AE">
      <w:pPr>
        <w:pStyle w:val="PwCNormal"/>
        <w:numPr>
          <w:ilvl w:val="0"/>
          <w:numId w:val="1"/>
        </w:numPr>
      </w:pPr>
      <w:r w:rsidRPr="00CF1687">
        <w:t>The variation in average lifetime cost by age and gender is illustrated in the figure below.</w:t>
      </w:r>
    </w:p>
    <w:p w14:paraId="17CBCF57" w14:textId="4F139F0D" w:rsidR="00266179" w:rsidRPr="00AA297F" w:rsidRDefault="00266179" w:rsidP="00266179">
      <w:pPr>
        <w:pStyle w:val="Caption"/>
      </w:pPr>
      <w:r w:rsidRPr="00AA297F">
        <w:lastRenderedPageBreak/>
        <w:t xml:space="preserve">Figure </w:t>
      </w:r>
      <w:fldSimple w:instr=" SEQ Figure \* ARABIC ">
        <w:r w:rsidR="00C93C1A">
          <w:rPr>
            <w:noProof/>
          </w:rPr>
          <w:t>73</w:t>
        </w:r>
      </w:fldSimple>
      <w:r w:rsidRPr="00AA297F">
        <w:t>: Average lifetime cost by age and gender (</w:t>
      </w:r>
      <w:r w:rsidR="00871E70">
        <w:t>c</w:t>
      </w:r>
      <w:r w:rsidRPr="00AA297F">
        <w:t>lass 5)</w:t>
      </w:r>
    </w:p>
    <w:tbl>
      <w:tblPr>
        <w:tblStyle w:val="Tables-APBase"/>
        <w:tblW w:w="508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Average lifetime cost by age and gender (Class 5)&#10;"/>
        <w:tblDescription w:val="This figure is a horizontal bar chart showing average lifetime cost by age for males and females separately. The vertical axis shows age with the data shown ranging from 16 to 80. The horizontal axis shows the average lifetime cost with the data shown ranging from $0 to $8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782,000 individuals who were in the disability support pensioner class at 30 June 2016. &#10;&#10;The average lifetime cost by age is very similar across males and females, although females have an average lifetime cost that is consistently higher than males of the same age, by approximately $50,000 to $80,000. This difference mostly arises from slightly higher age pension and FTB components.&#10;&#10;Young males (aged 16 to 25) have an average lifetime cost of approximately $600,000 as compared to young females who have an average lifetime cost of approximately $700,000. These average lifetime costs reduce steadily by age to about $200,000 for males and $245,000 for females by age 75.&#10;&#10;The features shown in the chart are discussed further in the accompanying text within the report.&#10;"/>
      </w:tblPr>
      <w:tblGrid>
        <w:gridCol w:w="6686"/>
        <w:gridCol w:w="3560"/>
      </w:tblGrid>
      <w:tr w:rsidR="00266179" w:rsidRPr="009210D0" w14:paraId="121DA6C7" w14:textId="77777777" w:rsidTr="007B0A8D">
        <w:trPr>
          <w:trHeight w:val="3402"/>
          <w:tblHeader/>
        </w:trPr>
        <w:tc>
          <w:tcPr>
            <w:tcW w:w="6235" w:type="dxa"/>
          </w:tcPr>
          <w:p w14:paraId="00DDF2C8" w14:textId="1529A1EE" w:rsidR="00266179" w:rsidRPr="00AA297F" w:rsidRDefault="0003042D" w:rsidP="00407066">
            <w:pPr>
              <w:pStyle w:val="TableTextSmall"/>
              <w:keepNext/>
              <w:rPr>
                <w:lang w:eastAsia="en-AU"/>
              </w:rPr>
            </w:pPr>
            <w:r w:rsidRPr="0003042D">
              <w:rPr>
                <w:noProof/>
                <w:lang w:eastAsia="en-AU"/>
              </w:rPr>
              <w:drawing>
                <wp:inline distT="0" distB="0" distL="0" distR="0" wp14:anchorId="7AE38F56" wp14:editId="1657FB97">
                  <wp:extent cx="3727365" cy="2160000"/>
                  <wp:effectExtent l="0" t="0" r="0" b="0"/>
                  <wp:docPr id="3846" name="Picture 3846" descr="This figure is a horizontal bar chart showing average lifetime cost by age for males and females separately. The vertical axis shows age with the data shown ranging from 16 to 81. The horizontal axis shows the average lifetime cost with the data shown ranging from $0 to $8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760,000 individuals who were in the disability support pensioner class at 30 June 2017. &#10;&#10;The average lifetime cost by age is very similar across males and females, although females have an average lifetime cost that is consistently higher than males of the same age, by approximately $50,000 to $80,000. This difference mostly arises from slightly higher age pension and FTB components.&#10;&#10;Young males (aged 16 to 25) have an average lifetime cost of approximately $600,000 as compared to young females who have an average lifetime cost of approximately $700,000. These average lifetime costs reduce steadily by age to about $220,000 for males and $260,000 for females by age 75.&#10;&#10;The features shown in the chart are discussed further in the accompanying text within the report.&#10;" title="Average lifetime cost by age and gender (clas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727365" cy="2160000"/>
                          </a:xfrm>
                          <a:prstGeom prst="rect">
                            <a:avLst/>
                          </a:prstGeom>
                          <a:noFill/>
                          <a:ln>
                            <a:noFill/>
                          </a:ln>
                        </pic:spPr>
                      </pic:pic>
                    </a:graphicData>
                  </a:graphic>
                </wp:inline>
              </w:drawing>
            </w:r>
          </w:p>
        </w:tc>
        <w:tc>
          <w:tcPr>
            <w:tcW w:w="3320" w:type="dxa"/>
          </w:tcPr>
          <w:p w14:paraId="5DB7A2A5" w14:textId="77777777" w:rsidR="00266179" w:rsidRPr="00AA297F" w:rsidRDefault="00266179" w:rsidP="00407066">
            <w:pPr>
              <w:pStyle w:val="TableTextSmall"/>
              <w:keepNext/>
              <w:rPr>
                <w:lang w:eastAsia="en-AU"/>
              </w:rPr>
            </w:pPr>
          </w:p>
          <w:p w14:paraId="68E7726D" w14:textId="77777777" w:rsidR="00266179" w:rsidRPr="00AA297F" w:rsidRDefault="00266179" w:rsidP="00407066">
            <w:pPr>
              <w:pStyle w:val="TableTextSmall"/>
              <w:keepNext/>
              <w:rPr>
                <w:lang w:eastAsia="en-AU"/>
              </w:rPr>
            </w:pPr>
            <w:r w:rsidRPr="00AA297F">
              <w:rPr>
                <w:noProof/>
                <w:lang w:eastAsia="en-AU"/>
              </w:rPr>
              <w:drawing>
                <wp:inline distT="0" distB="0" distL="0" distR="0" wp14:anchorId="5134917C" wp14:editId="4DDAB37C">
                  <wp:extent cx="1087397" cy="1620000"/>
                  <wp:effectExtent l="0" t="0" r="0" b="0"/>
                  <wp:docPr id="3116" name="Picture 3116"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7397" cy="1620000"/>
                          </a:xfrm>
                          <a:prstGeom prst="rect">
                            <a:avLst/>
                          </a:prstGeom>
                          <a:noFill/>
                          <a:ln>
                            <a:noFill/>
                          </a:ln>
                        </pic:spPr>
                      </pic:pic>
                    </a:graphicData>
                  </a:graphic>
                </wp:inline>
              </w:drawing>
            </w:r>
          </w:p>
        </w:tc>
      </w:tr>
    </w:tbl>
    <w:p w14:paraId="19E4540B" w14:textId="238A12E1" w:rsidR="007B0A8D" w:rsidRPr="00AA297F" w:rsidRDefault="007B0A8D" w:rsidP="007B0A8D">
      <w:pPr>
        <w:pStyle w:val="PwCNormal"/>
        <w:numPr>
          <w:ilvl w:val="0"/>
          <w:numId w:val="0"/>
        </w:numPr>
      </w:pPr>
      <w:r w:rsidRPr="00AA297F">
        <w:t xml:space="preserve">We can see that the most substantial part of this average lifetime cost is for the </w:t>
      </w:r>
      <w:r w:rsidR="003D4216">
        <w:t>D</w:t>
      </w:r>
      <w:r w:rsidRPr="00AA297F">
        <w:t xml:space="preserve">isability </w:t>
      </w:r>
      <w:r w:rsidR="003D4216">
        <w:t>S</w:t>
      </w:r>
      <w:r w:rsidRPr="00AA297F">
        <w:t xml:space="preserve">upport </w:t>
      </w:r>
      <w:r w:rsidR="003D4216">
        <w:t>P</w:t>
      </w:r>
      <w:r w:rsidRPr="00AA297F">
        <w:t xml:space="preserve">ension itself, with the </w:t>
      </w:r>
      <w:r w:rsidR="003D4216">
        <w:t>A</w:t>
      </w:r>
      <w:r w:rsidRPr="00AA297F">
        <w:t xml:space="preserve">ge </w:t>
      </w:r>
      <w:r w:rsidR="003D4216">
        <w:t>P</w:t>
      </w:r>
      <w:r w:rsidRPr="00AA297F">
        <w:t xml:space="preserve">ension also being a key component of the average lifetime cost for people below pension age. </w:t>
      </w:r>
      <w:r>
        <w:t>S</w:t>
      </w:r>
      <w:r w:rsidRPr="00AA297F">
        <w:t>upplements paid along</w:t>
      </w:r>
      <w:r>
        <w:t xml:space="preserve"> with</w:t>
      </w:r>
      <w:r w:rsidRPr="00AA297F">
        <w:t xml:space="preserve"> the pension also contribute to the cost.</w:t>
      </w:r>
    </w:p>
    <w:p w14:paraId="6778D6F3" w14:textId="77777777" w:rsidR="007B0A8D" w:rsidRPr="00AA297F" w:rsidRDefault="007B0A8D" w:rsidP="007B0A8D">
      <w:pPr>
        <w:pStyle w:val="PwCNormal"/>
        <w:numPr>
          <w:ilvl w:val="0"/>
          <w:numId w:val="0"/>
        </w:numPr>
      </w:pPr>
      <w:r w:rsidRPr="00AA297F">
        <w:t>The average lifetime cost is higher for younger people with a steady reduction as people age. This is a reflection of the extremely high persistency in the payment system for people in this class – as people are not expected to exit the system, the main determinant of the lifetime cost is then the expected duration of the person’s future lifetime.</w:t>
      </w:r>
    </w:p>
    <w:p w14:paraId="53007EE1" w14:textId="758A9447" w:rsidR="00266179" w:rsidRDefault="007B0A8D" w:rsidP="007B0A8D">
      <w:pPr>
        <w:pStyle w:val="PwCNormal"/>
        <w:numPr>
          <w:ilvl w:val="0"/>
          <w:numId w:val="0"/>
        </w:numPr>
      </w:pPr>
      <w:r w:rsidRPr="00AA297F">
        <w:t xml:space="preserve">The average lifetime cost pyramid shows a change at age 65 as most people would leave this class and instead be in the Age Pension class once they are over this age. For the small proportion of people who continue in this class once they are above their pension age, the lifetime cost is comprised primarily of the </w:t>
      </w:r>
      <w:r w:rsidR="006D014F">
        <w:t>Disability Support Pension</w:t>
      </w:r>
      <w:r w:rsidRPr="00AA297F">
        <w:t>. This simply reflects the reduced likelihood of them transitioning to the age pension at some later stage.</w:t>
      </w:r>
    </w:p>
    <w:p w14:paraId="123990ED" w14:textId="47C816EC" w:rsidR="000E7587" w:rsidRDefault="000E7587" w:rsidP="001B78F7">
      <w:pPr>
        <w:pStyle w:val="PwCNormal"/>
        <w:numPr>
          <w:ilvl w:val="0"/>
          <w:numId w:val="0"/>
        </w:numPr>
      </w:pPr>
      <w:r w:rsidRPr="001B78F7">
        <w:t>To further explore differences in the average lifetime costs for people within class 5, we have prepared the table below, which shows the average lifetime cost for 45</w:t>
      </w:r>
      <w:r w:rsidR="00710E45" w:rsidRPr="001B78F7">
        <w:t xml:space="preserve"> to </w:t>
      </w:r>
      <w:r w:rsidRPr="001B78F7">
        <w:t xml:space="preserve">54 year olds currently receiving </w:t>
      </w:r>
      <w:r w:rsidR="006D014F" w:rsidRPr="001B78F7">
        <w:t>Disability Support Pension</w:t>
      </w:r>
      <w:r w:rsidRPr="001B78F7">
        <w:t xml:space="preserve"> payments, split by key characteristics. We have selected a </w:t>
      </w:r>
      <w:r w:rsidR="000131CD">
        <w:t xml:space="preserve">set </w:t>
      </w:r>
      <w:r w:rsidRPr="001B78F7">
        <w:t>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w:t>
      </w:r>
      <w:r w:rsidR="00003814">
        <w:t xml:space="preserve"> Further, the variations and relativities to the average lifetime cost that have been shown may differ for other age bands.</w:t>
      </w:r>
    </w:p>
    <w:p w14:paraId="64190FA4" w14:textId="0D4DC2A4" w:rsidR="000E7587" w:rsidRDefault="000E7587" w:rsidP="000E7587">
      <w:pPr>
        <w:pStyle w:val="Caption"/>
      </w:pPr>
      <w:r w:rsidRPr="003719FC">
        <w:lastRenderedPageBreak/>
        <w:t xml:space="preserve">Table </w:t>
      </w:r>
      <w:fldSimple w:instr=" SEQ Table \* ARABIC ">
        <w:r w:rsidR="00C93C1A">
          <w:rPr>
            <w:noProof/>
          </w:rPr>
          <w:t>35</w:t>
        </w:r>
      </w:fldSimple>
      <w:r w:rsidRPr="003719FC">
        <w:t xml:space="preserve">: </w:t>
      </w:r>
      <w:r>
        <w:t>Average lifetime cost for 45</w:t>
      </w:r>
      <w:r w:rsidR="00710E45">
        <w:t xml:space="preserve"> to </w:t>
      </w:r>
      <w:r>
        <w:t xml:space="preserve">54 year old </w:t>
      </w:r>
      <w:r w:rsidR="006D014F">
        <w:t>Disability Support Pension</w:t>
      </w:r>
      <w:r>
        <w:t xml:space="preserve"> recipients split by key characteristics</w:t>
      </w:r>
    </w:p>
    <w:tbl>
      <w:tblPr>
        <w:tblStyle w:val="ListTable3-Accent61"/>
        <w:tblW w:w="9781" w:type="dxa"/>
        <w:tblInd w:w="108" w:type="dxa"/>
        <w:tblLayout w:type="fixed"/>
        <w:tblLook w:val="04A0" w:firstRow="1" w:lastRow="0" w:firstColumn="1" w:lastColumn="0" w:noHBand="0" w:noVBand="1"/>
        <w:tblCaption w:val="Average lifetime cost for 45 to 54 year old Disability Support Pension recipients split by key characteristics"/>
        <w:tblDescription w:val="This table displays data for average lifetime costs of 45 to 54 year olds on disability support pension payments by key characteristics. The columns show the number of people, number of people as % of cohort, average lifetime cost, and average lifetime cost relative to the whole cohort. The rows show data for four different key characteristics, DSP medical condition, earnings, number of children, and class before entering ‘5 Disability Support’. This is further divided by their respective categories. &#10;&#10;Further features of the data in this table are discussed in the accompanying text within the report.&#10;"/>
      </w:tblPr>
      <w:tblGrid>
        <w:gridCol w:w="3828"/>
        <w:gridCol w:w="1134"/>
        <w:gridCol w:w="1606"/>
        <w:gridCol w:w="1606"/>
        <w:gridCol w:w="1607"/>
      </w:tblGrid>
      <w:tr w:rsidR="006114CC" w:rsidRPr="006114CC" w14:paraId="1F2FA312" w14:textId="77777777" w:rsidTr="00E42ACF">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100" w:firstRow="0" w:lastRow="0" w:firstColumn="1" w:lastColumn="0" w:oddVBand="0" w:evenVBand="0" w:oddHBand="0" w:evenHBand="0" w:firstRowFirstColumn="1" w:firstRowLastColumn="0" w:lastRowFirstColumn="0" w:lastRowLastColumn="0"/>
            <w:tcW w:w="3828" w:type="dxa"/>
            <w:noWrap/>
            <w:hideMark/>
          </w:tcPr>
          <w:p w14:paraId="355184DD" w14:textId="77777777" w:rsidR="006114CC" w:rsidRPr="006114CC" w:rsidRDefault="006114CC" w:rsidP="00C36A7A">
            <w:pPr>
              <w:pStyle w:val="TableTextSmall"/>
              <w:keepNext/>
              <w:rPr>
                <w:rFonts w:asciiTheme="majorHAnsi" w:hAnsiTheme="majorHAnsi"/>
                <w:bCs w:val="0"/>
                <w:color w:val="FFFFFF" w:themeColor="background1"/>
                <w:lang w:eastAsia="en-AU"/>
              </w:rPr>
            </w:pPr>
          </w:p>
        </w:tc>
        <w:tc>
          <w:tcPr>
            <w:tcW w:w="1134" w:type="dxa"/>
            <w:noWrap/>
            <w:hideMark/>
          </w:tcPr>
          <w:p w14:paraId="1362E2D6"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w:t>
            </w:r>
          </w:p>
        </w:tc>
        <w:tc>
          <w:tcPr>
            <w:tcW w:w="1606" w:type="dxa"/>
            <w:hideMark/>
          </w:tcPr>
          <w:p w14:paraId="53A4E955"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 as % of cohort</w:t>
            </w:r>
          </w:p>
        </w:tc>
        <w:tc>
          <w:tcPr>
            <w:tcW w:w="1606" w:type="dxa"/>
            <w:hideMark/>
          </w:tcPr>
          <w:p w14:paraId="7898478E"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w:t>
            </w:r>
          </w:p>
        </w:tc>
        <w:tc>
          <w:tcPr>
            <w:tcW w:w="1607" w:type="dxa"/>
          </w:tcPr>
          <w:p w14:paraId="04FDFF16"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relative to cohort</w:t>
            </w:r>
          </w:p>
        </w:tc>
      </w:tr>
      <w:tr w:rsidR="0069611A" w:rsidRPr="006114CC" w14:paraId="22D51A5D"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shd w:val="clear" w:color="auto" w:fill="F7DCE1" w:themeFill="accent4" w:themeFillTint="33"/>
            <w:noWrap/>
            <w:hideMark/>
          </w:tcPr>
          <w:p w14:paraId="018FA63C" w14:textId="77777777" w:rsidR="0069611A" w:rsidRPr="006114CC" w:rsidRDefault="0069611A" w:rsidP="0069611A">
            <w:pPr>
              <w:pStyle w:val="TableTextSmall"/>
              <w:keepNext/>
              <w:rPr>
                <w:rFonts w:asciiTheme="majorHAnsi" w:hAnsiTheme="majorHAnsi"/>
                <w:bCs w:val="0"/>
                <w:color w:val="595959" w:themeColor="text1" w:themeTint="A6"/>
                <w:lang w:eastAsia="en-AU"/>
              </w:rPr>
            </w:pPr>
            <w:r w:rsidRPr="006114CC">
              <w:rPr>
                <w:rFonts w:ascii="Arial" w:hAnsi="Arial"/>
                <w:color w:val="595959"/>
                <w:szCs w:val="16"/>
              </w:rPr>
              <w:t>Total</w:t>
            </w:r>
          </w:p>
        </w:tc>
        <w:tc>
          <w:tcPr>
            <w:tcW w:w="1134" w:type="dxa"/>
            <w:shd w:val="clear" w:color="auto" w:fill="F7DCE1" w:themeFill="accent4" w:themeFillTint="33"/>
            <w:noWrap/>
            <w:hideMark/>
          </w:tcPr>
          <w:p w14:paraId="7EE90437"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114CC">
              <w:rPr>
                <w:rFonts w:ascii="Arial" w:hAnsi="Arial"/>
                <w:b/>
                <w:bCs/>
                <w:color w:val="595959"/>
                <w:szCs w:val="16"/>
              </w:rPr>
              <w:t>188,000</w:t>
            </w:r>
          </w:p>
        </w:tc>
        <w:tc>
          <w:tcPr>
            <w:tcW w:w="1606" w:type="dxa"/>
            <w:shd w:val="clear" w:color="auto" w:fill="F7DCE1" w:themeFill="accent4" w:themeFillTint="33"/>
            <w:noWrap/>
            <w:hideMark/>
          </w:tcPr>
          <w:p w14:paraId="4C53A991"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114CC">
              <w:rPr>
                <w:rFonts w:ascii="Arial" w:hAnsi="Arial"/>
                <w:b/>
                <w:bCs/>
                <w:color w:val="595959"/>
                <w:szCs w:val="16"/>
              </w:rPr>
              <w:t>100%</w:t>
            </w:r>
          </w:p>
        </w:tc>
        <w:tc>
          <w:tcPr>
            <w:tcW w:w="1606" w:type="dxa"/>
            <w:shd w:val="clear" w:color="auto" w:fill="F7DCE1" w:themeFill="accent4" w:themeFillTint="33"/>
            <w:noWrap/>
            <w:vAlign w:val="bottom"/>
          </w:tcPr>
          <w:p w14:paraId="409D0128" w14:textId="7B30D68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472,000</w:t>
            </w:r>
          </w:p>
        </w:tc>
        <w:tc>
          <w:tcPr>
            <w:tcW w:w="1607" w:type="dxa"/>
            <w:shd w:val="clear" w:color="auto" w:fill="F7DCE1" w:themeFill="accent4" w:themeFillTint="33"/>
            <w:vAlign w:val="bottom"/>
          </w:tcPr>
          <w:p w14:paraId="6242416F" w14:textId="1BA402A5"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r>
      <w:tr w:rsidR="0069611A" w:rsidRPr="006114CC" w14:paraId="73329FD1"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hideMark/>
          </w:tcPr>
          <w:p w14:paraId="64612FDC" w14:textId="77777777" w:rsidR="0069611A" w:rsidRPr="006114CC" w:rsidRDefault="0069611A" w:rsidP="0069611A">
            <w:pPr>
              <w:pStyle w:val="TableTextSmall"/>
              <w:keepNext/>
              <w:rPr>
                <w:rFonts w:asciiTheme="majorHAnsi" w:hAnsiTheme="majorHAnsi"/>
                <w:bCs w:val="0"/>
                <w:i/>
                <w:color w:val="595959" w:themeColor="text1" w:themeTint="A6"/>
                <w:lang w:eastAsia="en-AU"/>
              </w:rPr>
            </w:pPr>
            <w:r w:rsidRPr="006114CC">
              <w:rPr>
                <w:rFonts w:ascii="Arial" w:hAnsi="Arial"/>
                <w:color w:val="595959"/>
                <w:szCs w:val="16"/>
              </w:rPr>
              <w:t>DSP medical condition</w:t>
            </w:r>
          </w:p>
        </w:tc>
        <w:tc>
          <w:tcPr>
            <w:tcW w:w="1134" w:type="dxa"/>
            <w:tcBorders>
              <w:top w:val="single" w:sz="4" w:space="0" w:color="E0301E" w:themeColor="accent6"/>
              <w:bottom w:val="nil"/>
            </w:tcBorders>
            <w:noWrap/>
            <w:hideMark/>
          </w:tcPr>
          <w:p w14:paraId="7F75EF19"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p>
        </w:tc>
        <w:tc>
          <w:tcPr>
            <w:tcW w:w="1606" w:type="dxa"/>
            <w:tcBorders>
              <w:top w:val="single" w:sz="4" w:space="0" w:color="E0301E" w:themeColor="accent6"/>
              <w:bottom w:val="nil"/>
            </w:tcBorders>
            <w:noWrap/>
            <w:hideMark/>
          </w:tcPr>
          <w:p w14:paraId="6A628CAA"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6" w:type="dxa"/>
            <w:tcBorders>
              <w:top w:val="single" w:sz="4" w:space="0" w:color="E0301E" w:themeColor="accent6"/>
              <w:bottom w:val="nil"/>
            </w:tcBorders>
            <w:noWrap/>
            <w:vAlign w:val="bottom"/>
          </w:tcPr>
          <w:p w14:paraId="61BB35E4"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7" w:type="dxa"/>
            <w:tcBorders>
              <w:top w:val="single" w:sz="4" w:space="0" w:color="E0301E" w:themeColor="accent6"/>
              <w:bottom w:val="nil"/>
              <w:right w:val="single" w:sz="4" w:space="0" w:color="E0301E" w:themeColor="accent6"/>
            </w:tcBorders>
            <w:vAlign w:val="bottom"/>
          </w:tcPr>
          <w:p w14:paraId="660F4763"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r>
      <w:tr w:rsidR="0069611A" w:rsidRPr="006114CC" w14:paraId="582BECC2"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hideMark/>
          </w:tcPr>
          <w:p w14:paraId="782A029E" w14:textId="77777777" w:rsidR="0069611A" w:rsidRPr="006114CC" w:rsidRDefault="0069611A" w:rsidP="0069611A">
            <w:pPr>
              <w:pStyle w:val="TableTextSmall"/>
              <w:keepNext/>
              <w:rPr>
                <w:rFonts w:asciiTheme="majorHAnsi" w:hAnsiTheme="majorHAnsi"/>
                <w:b w:val="0"/>
                <w:bCs w:val="0"/>
                <w:i/>
                <w:color w:val="595959" w:themeColor="text1" w:themeTint="A6"/>
                <w:lang w:eastAsia="en-AU"/>
              </w:rPr>
            </w:pPr>
            <w:r w:rsidRPr="006114CC">
              <w:rPr>
                <w:rFonts w:ascii="Arial" w:hAnsi="Arial"/>
                <w:i/>
                <w:iCs/>
                <w:color w:val="595959"/>
                <w:szCs w:val="16"/>
              </w:rPr>
              <w:t xml:space="preserve">    - Acquired brain impairment</w:t>
            </w:r>
          </w:p>
        </w:tc>
        <w:tc>
          <w:tcPr>
            <w:tcW w:w="1134" w:type="dxa"/>
            <w:tcBorders>
              <w:top w:val="nil"/>
              <w:bottom w:val="nil"/>
            </w:tcBorders>
            <w:noWrap/>
            <w:hideMark/>
          </w:tcPr>
          <w:p w14:paraId="7EB3649A"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lang w:eastAsia="en-AU"/>
              </w:rPr>
            </w:pPr>
            <w:r w:rsidRPr="006114CC">
              <w:rPr>
                <w:rFonts w:ascii="Arial" w:hAnsi="Arial"/>
                <w:color w:val="595959"/>
                <w:szCs w:val="16"/>
              </w:rPr>
              <w:t>6,000</w:t>
            </w:r>
          </w:p>
        </w:tc>
        <w:tc>
          <w:tcPr>
            <w:tcW w:w="1606" w:type="dxa"/>
            <w:tcBorders>
              <w:top w:val="nil"/>
              <w:bottom w:val="nil"/>
            </w:tcBorders>
            <w:noWrap/>
            <w:hideMark/>
          </w:tcPr>
          <w:p w14:paraId="432755DE"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sidRPr="006114CC">
              <w:rPr>
                <w:rFonts w:ascii="Arial" w:hAnsi="Arial"/>
                <w:color w:val="595959"/>
                <w:szCs w:val="16"/>
              </w:rPr>
              <w:t>3%</w:t>
            </w:r>
          </w:p>
        </w:tc>
        <w:tc>
          <w:tcPr>
            <w:tcW w:w="1606" w:type="dxa"/>
            <w:tcBorders>
              <w:top w:val="nil"/>
              <w:bottom w:val="nil"/>
            </w:tcBorders>
            <w:noWrap/>
            <w:vAlign w:val="bottom"/>
          </w:tcPr>
          <w:p w14:paraId="5715EB1B" w14:textId="7E062D8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465,000</w:t>
            </w:r>
          </w:p>
        </w:tc>
        <w:tc>
          <w:tcPr>
            <w:tcW w:w="1607" w:type="dxa"/>
            <w:tcBorders>
              <w:top w:val="nil"/>
              <w:bottom w:val="nil"/>
              <w:right w:val="single" w:sz="4" w:space="0" w:color="E0301E" w:themeColor="accent6"/>
            </w:tcBorders>
            <w:vAlign w:val="bottom"/>
          </w:tcPr>
          <w:p w14:paraId="7EE95341" w14:textId="4E0EBAF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98%</w:t>
            </w:r>
          </w:p>
        </w:tc>
      </w:tr>
      <w:tr w:rsidR="0069611A" w:rsidRPr="006114CC" w14:paraId="0BDF6DD4"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2826A9F7"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Cancer/tumour</w:t>
            </w:r>
          </w:p>
        </w:tc>
        <w:tc>
          <w:tcPr>
            <w:tcW w:w="1134" w:type="dxa"/>
            <w:tcBorders>
              <w:top w:val="nil"/>
              <w:bottom w:val="nil"/>
            </w:tcBorders>
            <w:noWrap/>
          </w:tcPr>
          <w:p w14:paraId="6E533A40"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4,000</w:t>
            </w:r>
          </w:p>
        </w:tc>
        <w:tc>
          <w:tcPr>
            <w:tcW w:w="1606" w:type="dxa"/>
            <w:tcBorders>
              <w:top w:val="nil"/>
              <w:bottom w:val="nil"/>
            </w:tcBorders>
            <w:noWrap/>
          </w:tcPr>
          <w:p w14:paraId="09EE9B12"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2%</w:t>
            </w:r>
          </w:p>
        </w:tc>
        <w:tc>
          <w:tcPr>
            <w:tcW w:w="1606" w:type="dxa"/>
            <w:tcBorders>
              <w:top w:val="nil"/>
              <w:bottom w:val="nil"/>
            </w:tcBorders>
            <w:noWrap/>
            <w:vAlign w:val="bottom"/>
          </w:tcPr>
          <w:p w14:paraId="21BFB1B8" w14:textId="262669E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153,000</w:t>
            </w:r>
          </w:p>
        </w:tc>
        <w:tc>
          <w:tcPr>
            <w:tcW w:w="1607" w:type="dxa"/>
            <w:tcBorders>
              <w:top w:val="nil"/>
              <w:bottom w:val="nil"/>
              <w:right w:val="single" w:sz="4" w:space="0" w:color="E0301E" w:themeColor="accent6"/>
            </w:tcBorders>
            <w:vAlign w:val="bottom"/>
          </w:tcPr>
          <w:p w14:paraId="5211B1D1" w14:textId="2ABA495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32%</w:t>
            </w:r>
          </w:p>
        </w:tc>
      </w:tr>
      <w:tr w:rsidR="0069611A" w:rsidRPr="006114CC" w14:paraId="22C65CB5"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15851BC2"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Circulatory &amp; respiratory system</w:t>
            </w:r>
          </w:p>
        </w:tc>
        <w:tc>
          <w:tcPr>
            <w:tcW w:w="1134" w:type="dxa"/>
            <w:tcBorders>
              <w:top w:val="nil"/>
              <w:bottom w:val="nil"/>
            </w:tcBorders>
            <w:noWrap/>
          </w:tcPr>
          <w:p w14:paraId="2E86AEBB"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8,000</w:t>
            </w:r>
          </w:p>
        </w:tc>
        <w:tc>
          <w:tcPr>
            <w:tcW w:w="1606" w:type="dxa"/>
            <w:tcBorders>
              <w:top w:val="nil"/>
              <w:bottom w:val="nil"/>
            </w:tcBorders>
            <w:noWrap/>
          </w:tcPr>
          <w:p w14:paraId="7FE9F9D2"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4%</w:t>
            </w:r>
          </w:p>
        </w:tc>
        <w:tc>
          <w:tcPr>
            <w:tcW w:w="1606" w:type="dxa"/>
            <w:tcBorders>
              <w:top w:val="nil"/>
              <w:bottom w:val="nil"/>
            </w:tcBorders>
            <w:noWrap/>
            <w:vAlign w:val="bottom"/>
          </w:tcPr>
          <w:p w14:paraId="4E21EED7" w14:textId="479B865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457,000</w:t>
            </w:r>
          </w:p>
        </w:tc>
        <w:tc>
          <w:tcPr>
            <w:tcW w:w="1607" w:type="dxa"/>
            <w:tcBorders>
              <w:top w:val="nil"/>
              <w:bottom w:val="nil"/>
              <w:right w:val="single" w:sz="4" w:space="0" w:color="E0301E" w:themeColor="accent6"/>
            </w:tcBorders>
            <w:vAlign w:val="bottom"/>
          </w:tcPr>
          <w:p w14:paraId="06D48A32" w14:textId="347C756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97%</w:t>
            </w:r>
          </w:p>
        </w:tc>
      </w:tr>
      <w:tr w:rsidR="0069611A" w:rsidRPr="006114CC" w14:paraId="062945F4"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2EDF5C9A"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Congenital anomalies &amp; inherited disorders</w:t>
            </w:r>
          </w:p>
        </w:tc>
        <w:tc>
          <w:tcPr>
            <w:tcW w:w="1134" w:type="dxa"/>
            <w:tcBorders>
              <w:top w:val="nil"/>
              <w:bottom w:val="nil"/>
            </w:tcBorders>
            <w:noWrap/>
          </w:tcPr>
          <w:p w14:paraId="49F05969"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3,000</w:t>
            </w:r>
          </w:p>
        </w:tc>
        <w:tc>
          <w:tcPr>
            <w:tcW w:w="1606" w:type="dxa"/>
            <w:tcBorders>
              <w:top w:val="nil"/>
              <w:bottom w:val="nil"/>
            </w:tcBorders>
            <w:noWrap/>
          </w:tcPr>
          <w:p w14:paraId="24A2E657"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w:t>
            </w:r>
          </w:p>
        </w:tc>
        <w:tc>
          <w:tcPr>
            <w:tcW w:w="1606" w:type="dxa"/>
            <w:tcBorders>
              <w:top w:val="nil"/>
              <w:bottom w:val="nil"/>
            </w:tcBorders>
            <w:noWrap/>
            <w:vAlign w:val="bottom"/>
          </w:tcPr>
          <w:p w14:paraId="186B5F3D" w14:textId="25B05E5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494,000</w:t>
            </w:r>
          </w:p>
        </w:tc>
        <w:tc>
          <w:tcPr>
            <w:tcW w:w="1607" w:type="dxa"/>
            <w:tcBorders>
              <w:top w:val="nil"/>
              <w:bottom w:val="nil"/>
              <w:right w:val="single" w:sz="4" w:space="0" w:color="E0301E" w:themeColor="accent6"/>
            </w:tcBorders>
            <w:vAlign w:val="bottom"/>
          </w:tcPr>
          <w:p w14:paraId="6A317383" w14:textId="7A20D1E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105%</w:t>
            </w:r>
          </w:p>
        </w:tc>
      </w:tr>
      <w:tr w:rsidR="0069611A" w:rsidRPr="006114CC" w14:paraId="0FC92C40"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786D618D"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Intellectual/learning</w:t>
            </w:r>
          </w:p>
        </w:tc>
        <w:tc>
          <w:tcPr>
            <w:tcW w:w="1134" w:type="dxa"/>
            <w:tcBorders>
              <w:top w:val="nil"/>
              <w:bottom w:val="nil"/>
            </w:tcBorders>
            <w:noWrap/>
          </w:tcPr>
          <w:p w14:paraId="17445C1B"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18,000</w:t>
            </w:r>
          </w:p>
        </w:tc>
        <w:tc>
          <w:tcPr>
            <w:tcW w:w="1606" w:type="dxa"/>
            <w:tcBorders>
              <w:top w:val="nil"/>
              <w:bottom w:val="nil"/>
            </w:tcBorders>
            <w:noWrap/>
          </w:tcPr>
          <w:p w14:paraId="348E3148"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10%</w:t>
            </w:r>
          </w:p>
        </w:tc>
        <w:tc>
          <w:tcPr>
            <w:tcW w:w="1606" w:type="dxa"/>
            <w:tcBorders>
              <w:top w:val="nil"/>
              <w:bottom w:val="nil"/>
            </w:tcBorders>
            <w:noWrap/>
            <w:vAlign w:val="bottom"/>
          </w:tcPr>
          <w:p w14:paraId="4E0556D8" w14:textId="5820722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496,000</w:t>
            </w:r>
          </w:p>
        </w:tc>
        <w:tc>
          <w:tcPr>
            <w:tcW w:w="1607" w:type="dxa"/>
            <w:tcBorders>
              <w:top w:val="nil"/>
              <w:bottom w:val="nil"/>
              <w:right w:val="single" w:sz="4" w:space="0" w:color="E0301E" w:themeColor="accent6"/>
            </w:tcBorders>
            <w:vAlign w:val="bottom"/>
          </w:tcPr>
          <w:p w14:paraId="3DE18572" w14:textId="6FC79AF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105%</w:t>
            </w:r>
          </w:p>
        </w:tc>
      </w:tr>
      <w:tr w:rsidR="0069611A" w:rsidRPr="006114CC" w14:paraId="0B8A6171"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33B351D1"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Musculo-skeletal &amp; connective tissue</w:t>
            </w:r>
          </w:p>
        </w:tc>
        <w:tc>
          <w:tcPr>
            <w:tcW w:w="1134" w:type="dxa"/>
            <w:tcBorders>
              <w:top w:val="nil"/>
              <w:bottom w:val="nil"/>
            </w:tcBorders>
            <w:noWrap/>
          </w:tcPr>
          <w:p w14:paraId="01568C1B"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40,000</w:t>
            </w:r>
          </w:p>
        </w:tc>
        <w:tc>
          <w:tcPr>
            <w:tcW w:w="1606" w:type="dxa"/>
            <w:tcBorders>
              <w:top w:val="nil"/>
              <w:bottom w:val="nil"/>
            </w:tcBorders>
            <w:noWrap/>
          </w:tcPr>
          <w:p w14:paraId="70499EBA"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21%</w:t>
            </w:r>
          </w:p>
        </w:tc>
        <w:tc>
          <w:tcPr>
            <w:tcW w:w="1606" w:type="dxa"/>
            <w:tcBorders>
              <w:top w:val="nil"/>
              <w:bottom w:val="nil"/>
            </w:tcBorders>
            <w:noWrap/>
            <w:vAlign w:val="bottom"/>
          </w:tcPr>
          <w:p w14:paraId="535B4B3E" w14:textId="5791691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461,000</w:t>
            </w:r>
          </w:p>
        </w:tc>
        <w:tc>
          <w:tcPr>
            <w:tcW w:w="1607" w:type="dxa"/>
            <w:tcBorders>
              <w:top w:val="nil"/>
              <w:bottom w:val="nil"/>
              <w:right w:val="single" w:sz="4" w:space="0" w:color="E0301E" w:themeColor="accent6"/>
            </w:tcBorders>
            <w:vAlign w:val="bottom"/>
          </w:tcPr>
          <w:p w14:paraId="706270B2" w14:textId="0079BCBA"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98%</w:t>
            </w:r>
          </w:p>
        </w:tc>
      </w:tr>
      <w:tr w:rsidR="0069611A" w:rsidRPr="006114CC" w14:paraId="2158AD3D"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56C8DA6E"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Nervous system</w:t>
            </w:r>
          </w:p>
        </w:tc>
        <w:tc>
          <w:tcPr>
            <w:tcW w:w="1134" w:type="dxa"/>
            <w:tcBorders>
              <w:top w:val="nil"/>
              <w:bottom w:val="nil"/>
            </w:tcBorders>
            <w:noWrap/>
          </w:tcPr>
          <w:p w14:paraId="72709882"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10,000</w:t>
            </w:r>
          </w:p>
        </w:tc>
        <w:tc>
          <w:tcPr>
            <w:tcW w:w="1606" w:type="dxa"/>
            <w:tcBorders>
              <w:top w:val="nil"/>
              <w:bottom w:val="nil"/>
            </w:tcBorders>
            <w:noWrap/>
          </w:tcPr>
          <w:p w14:paraId="6497984E"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5%</w:t>
            </w:r>
          </w:p>
        </w:tc>
        <w:tc>
          <w:tcPr>
            <w:tcW w:w="1606" w:type="dxa"/>
            <w:tcBorders>
              <w:top w:val="nil"/>
              <w:bottom w:val="nil"/>
            </w:tcBorders>
            <w:noWrap/>
            <w:vAlign w:val="bottom"/>
          </w:tcPr>
          <w:p w14:paraId="26BAC387" w14:textId="5949DA79"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476,000</w:t>
            </w:r>
          </w:p>
        </w:tc>
        <w:tc>
          <w:tcPr>
            <w:tcW w:w="1607" w:type="dxa"/>
            <w:tcBorders>
              <w:top w:val="nil"/>
              <w:bottom w:val="nil"/>
              <w:right w:val="single" w:sz="4" w:space="0" w:color="E0301E" w:themeColor="accent6"/>
            </w:tcBorders>
            <w:vAlign w:val="bottom"/>
          </w:tcPr>
          <w:p w14:paraId="65EBC7B1" w14:textId="014F48E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101%</w:t>
            </w:r>
          </w:p>
        </w:tc>
      </w:tr>
      <w:tr w:rsidR="0069611A" w:rsidRPr="006114CC" w14:paraId="08820317"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61FAD221"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Poorly defined cause / chronic pain</w:t>
            </w:r>
          </w:p>
        </w:tc>
        <w:tc>
          <w:tcPr>
            <w:tcW w:w="1134" w:type="dxa"/>
            <w:tcBorders>
              <w:top w:val="nil"/>
              <w:bottom w:val="nil"/>
            </w:tcBorders>
            <w:noWrap/>
          </w:tcPr>
          <w:p w14:paraId="6E5C1513"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8,000</w:t>
            </w:r>
          </w:p>
        </w:tc>
        <w:tc>
          <w:tcPr>
            <w:tcW w:w="1606" w:type="dxa"/>
            <w:tcBorders>
              <w:top w:val="nil"/>
              <w:bottom w:val="nil"/>
            </w:tcBorders>
            <w:noWrap/>
          </w:tcPr>
          <w:p w14:paraId="5DA178FB"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4%</w:t>
            </w:r>
          </w:p>
        </w:tc>
        <w:tc>
          <w:tcPr>
            <w:tcW w:w="1606" w:type="dxa"/>
            <w:tcBorders>
              <w:top w:val="nil"/>
              <w:bottom w:val="nil"/>
            </w:tcBorders>
            <w:noWrap/>
            <w:vAlign w:val="bottom"/>
          </w:tcPr>
          <w:p w14:paraId="16AB116C" w14:textId="59AD596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476,000</w:t>
            </w:r>
          </w:p>
        </w:tc>
        <w:tc>
          <w:tcPr>
            <w:tcW w:w="1607" w:type="dxa"/>
            <w:tcBorders>
              <w:top w:val="nil"/>
              <w:bottom w:val="nil"/>
              <w:right w:val="single" w:sz="4" w:space="0" w:color="E0301E" w:themeColor="accent6"/>
            </w:tcBorders>
            <w:vAlign w:val="bottom"/>
          </w:tcPr>
          <w:p w14:paraId="3BC826B7" w14:textId="6A4CA6A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101%</w:t>
            </w:r>
          </w:p>
        </w:tc>
      </w:tr>
      <w:tr w:rsidR="0069611A" w:rsidRPr="006114CC" w14:paraId="064B50EF"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7EBD3D34"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Psychological/psychiatric</w:t>
            </w:r>
          </w:p>
        </w:tc>
        <w:tc>
          <w:tcPr>
            <w:tcW w:w="1134" w:type="dxa"/>
            <w:tcBorders>
              <w:top w:val="nil"/>
              <w:bottom w:val="nil"/>
            </w:tcBorders>
            <w:noWrap/>
          </w:tcPr>
          <w:p w14:paraId="3CE1E868"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74,000</w:t>
            </w:r>
          </w:p>
        </w:tc>
        <w:tc>
          <w:tcPr>
            <w:tcW w:w="1606" w:type="dxa"/>
            <w:tcBorders>
              <w:top w:val="nil"/>
              <w:bottom w:val="nil"/>
            </w:tcBorders>
            <w:noWrap/>
          </w:tcPr>
          <w:p w14:paraId="419DA2A4"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39%</w:t>
            </w:r>
          </w:p>
        </w:tc>
        <w:tc>
          <w:tcPr>
            <w:tcW w:w="1606" w:type="dxa"/>
            <w:tcBorders>
              <w:top w:val="nil"/>
              <w:bottom w:val="nil"/>
            </w:tcBorders>
            <w:noWrap/>
            <w:vAlign w:val="bottom"/>
          </w:tcPr>
          <w:p w14:paraId="577544A5" w14:textId="19A33EB9"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489,000</w:t>
            </w:r>
          </w:p>
        </w:tc>
        <w:tc>
          <w:tcPr>
            <w:tcW w:w="1607" w:type="dxa"/>
            <w:tcBorders>
              <w:top w:val="nil"/>
              <w:bottom w:val="nil"/>
              <w:right w:val="single" w:sz="4" w:space="0" w:color="E0301E" w:themeColor="accent6"/>
            </w:tcBorders>
            <w:vAlign w:val="bottom"/>
          </w:tcPr>
          <w:p w14:paraId="48D74A54" w14:textId="26AA0D0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103%</w:t>
            </w:r>
          </w:p>
        </w:tc>
      </w:tr>
      <w:tr w:rsidR="0069611A" w:rsidRPr="006114CC" w14:paraId="151B2A17"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126CA131"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Other</w:t>
            </w:r>
          </w:p>
        </w:tc>
        <w:tc>
          <w:tcPr>
            <w:tcW w:w="1134" w:type="dxa"/>
            <w:tcBorders>
              <w:top w:val="nil"/>
              <w:bottom w:val="single" w:sz="4" w:space="0" w:color="E0301E" w:themeColor="accent6"/>
            </w:tcBorders>
            <w:noWrap/>
          </w:tcPr>
          <w:p w14:paraId="6C708966"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18,000</w:t>
            </w:r>
          </w:p>
        </w:tc>
        <w:tc>
          <w:tcPr>
            <w:tcW w:w="1606" w:type="dxa"/>
            <w:tcBorders>
              <w:top w:val="nil"/>
              <w:bottom w:val="single" w:sz="4" w:space="0" w:color="E0301E" w:themeColor="accent6"/>
            </w:tcBorders>
            <w:noWrap/>
          </w:tcPr>
          <w:p w14:paraId="3453FB87"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10%</w:t>
            </w:r>
          </w:p>
        </w:tc>
        <w:tc>
          <w:tcPr>
            <w:tcW w:w="1606" w:type="dxa"/>
            <w:tcBorders>
              <w:top w:val="nil"/>
              <w:bottom w:val="single" w:sz="4" w:space="0" w:color="E0301E" w:themeColor="accent6"/>
            </w:tcBorders>
            <w:noWrap/>
            <w:vAlign w:val="bottom"/>
          </w:tcPr>
          <w:p w14:paraId="14E52C0F" w14:textId="64C3C7B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471,000</w:t>
            </w:r>
          </w:p>
        </w:tc>
        <w:tc>
          <w:tcPr>
            <w:tcW w:w="1607" w:type="dxa"/>
            <w:tcBorders>
              <w:top w:val="nil"/>
              <w:bottom w:val="single" w:sz="4" w:space="0" w:color="E0301E" w:themeColor="accent6"/>
              <w:right w:val="single" w:sz="4" w:space="0" w:color="E0301E" w:themeColor="accent6"/>
            </w:tcBorders>
            <w:vAlign w:val="bottom"/>
          </w:tcPr>
          <w:p w14:paraId="36D7EFE6" w14:textId="45D1E4CA"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100%</w:t>
            </w:r>
          </w:p>
        </w:tc>
      </w:tr>
      <w:tr w:rsidR="0069611A" w:rsidRPr="006114CC" w14:paraId="37ADB200"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tcPr>
          <w:p w14:paraId="4E2A7E89"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Earnings</w:t>
            </w:r>
          </w:p>
        </w:tc>
        <w:tc>
          <w:tcPr>
            <w:tcW w:w="1134" w:type="dxa"/>
            <w:tcBorders>
              <w:bottom w:val="nil"/>
            </w:tcBorders>
            <w:noWrap/>
          </w:tcPr>
          <w:p w14:paraId="4F4520DD"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tcPr>
          <w:p w14:paraId="2A0AA8FC"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76019832"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3638AF66"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3B55D394"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1D926A97"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No earnings</w:t>
            </w:r>
          </w:p>
        </w:tc>
        <w:tc>
          <w:tcPr>
            <w:tcW w:w="1134" w:type="dxa"/>
            <w:tcBorders>
              <w:top w:val="nil"/>
              <w:bottom w:val="nil"/>
            </w:tcBorders>
            <w:noWrap/>
          </w:tcPr>
          <w:p w14:paraId="150FEC5D"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167,000</w:t>
            </w:r>
          </w:p>
        </w:tc>
        <w:tc>
          <w:tcPr>
            <w:tcW w:w="1606" w:type="dxa"/>
            <w:tcBorders>
              <w:top w:val="nil"/>
              <w:bottom w:val="nil"/>
            </w:tcBorders>
            <w:noWrap/>
          </w:tcPr>
          <w:p w14:paraId="1EEB6688"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89%</w:t>
            </w:r>
          </w:p>
        </w:tc>
        <w:tc>
          <w:tcPr>
            <w:tcW w:w="1606" w:type="dxa"/>
            <w:tcBorders>
              <w:top w:val="nil"/>
              <w:bottom w:val="nil"/>
            </w:tcBorders>
            <w:noWrap/>
            <w:vAlign w:val="bottom"/>
          </w:tcPr>
          <w:p w14:paraId="47C93278" w14:textId="2042F86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474,000</w:t>
            </w:r>
          </w:p>
        </w:tc>
        <w:tc>
          <w:tcPr>
            <w:tcW w:w="1607" w:type="dxa"/>
            <w:tcBorders>
              <w:top w:val="nil"/>
              <w:bottom w:val="nil"/>
              <w:right w:val="single" w:sz="4" w:space="0" w:color="E0301E" w:themeColor="accent6"/>
            </w:tcBorders>
            <w:vAlign w:val="bottom"/>
          </w:tcPr>
          <w:p w14:paraId="0CA1EEE1" w14:textId="443FFA7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100%</w:t>
            </w:r>
          </w:p>
        </w:tc>
      </w:tr>
      <w:tr w:rsidR="0069611A" w:rsidRPr="006114CC" w14:paraId="1307FA61"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tcBorders>
            <w:noWrap/>
          </w:tcPr>
          <w:p w14:paraId="66A2A430"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Has earnings</w:t>
            </w:r>
          </w:p>
        </w:tc>
        <w:tc>
          <w:tcPr>
            <w:tcW w:w="1134" w:type="dxa"/>
            <w:tcBorders>
              <w:top w:val="nil"/>
            </w:tcBorders>
            <w:noWrap/>
          </w:tcPr>
          <w:p w14:paraId="0881B3F6"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21,000</w:t>
            </w:r>
          </w:p>
        </w:tc>
        <w:tc>
          <w:tcPr>
            <w:tcW w:w="1606" w:type="dxa"/>
            <w:tcBorders>
              <w:top w:val="nil"/>
            </w:tcBorders>
            <w:noWrap/>
          </w:tcPr>
          <w:p w14:paraId="72E194C5"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11%</w:t>
            </w:r>
          </w:p>
        </w:tc>
        <w:tc>
          <w:tcPr>
            <w:tcW w:w="1606" w:type="dxa"/>
            <w:tcBorders>
              <w:top w:val="nil"/>
            </w:tcBorders>
            <w:noWrap/>
            <w:vAlign w:val="bottom"/>
          </w:tcPr>
          <w:p w14:paraId="53153071" w14:textId="65782415"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457,000</w:t>
            </w:r>
          </w:p>
        </w:tc>
        <w:tc>
          <w:tcPr>
            <w:tcW w:w="1607" w:type="dxa"/>
            <w:tcBorders>
              <w:top w:val="nil"/>
              <w:right w:val="single" w:sz="4" w:space="0" w:color="E0301E" w:themeColor="accent6"/>
            </w:tcBorders>
            <w:vAlign w:val="bottom"/>
          </w:tcPr>
          <w:p w14:paraId="6EF04806" w14:textId="4D0D21B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97%</w:t>
            </w:r>
          </w:p>
        </w:tc>
      </w:tr>
      <w:tr w:rsidR="0069611A" w:rsidRPr="006114CC" w14:paraId="4591BD94"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tcPr>
          <w:p w14:paraId="341D19CE"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Number of children</w:t>
            </w:r>
          </w:p>
        </w:tc>
        <w:tc>
          <w:tcPr>
            <w:tcW w:w="1134" w:type="dxa"/>
            <w:tcBorders>
              <w:top w:val="single" w:sz="4" w:space="0" w:color="E0301E" w:themeColor="accent6"/>
              <w:bottom w:val="nil"/>
            </w:tcBorders>
            <w:noWrap/>
          </w:tcPr>
          <w:p w14:paraId="5B73C103"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tcPr>
          <w:p w14:paraId="02C06D61"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2B30DB2F"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top w:val="single" w:sz="4" w:space="0" w:color="E0301E" w:themeColor="accent6"/>
              <w:bottom w:val="nil"/>
              <w:right w:val="single" w:sz="4" w:space="0" w:color="E0301E" w:themeColor="accent6"/>
            </w:tcBorders>
            <w:vAlign w:val="bottom"/>
          </w:tcPr>
          <w:p w14:paraId="0C5575B8"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114CC" w14:paraId="0C8387B0"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0322B747"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No children</w:t>
            </w:r>
          </w:p>
        </w:tc>
        <w:tc>
          <w:tcPr>
            <w:tcW w:w="1134" w:type="dxa"/>
            <w:tcBorders>
              <w:top w:val="nil"/>
              <w:bottom w:val="nil"/>
            </w:tcBorders>
            <w:noWrap/>
          </w:tcPr>
          <w:p w14:paraId="65DDD078"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141,000</w:t>
            </w:r>
          </w:p>
        </w:tc>
        <w:tc>
          <w:tcPr>
            <w:tcW w:w="1606" w:type="dxa"/>
            <w:tcBorders>
              <w:top w:val="nil"/>
              <w:bottom w:val="nil"/>
            </w:tcBorders>
            <w:noWrap/>
          </w:tcPr>
          <w:p w14:paraId="099375D9"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75%</w:t>
            </w:r>
          </w:p>
        </w:tc>
        <w:tc>
          <w:tcPr>
            <w:tcW w:w="1606" w:type="dxa"/>
            <w:tcBorders>
              <w:top w:val="nil"/>
              <w:bottom w:val="nil"/>
            </w:tcBorders>
            <w:noWrap/>
            <w:vAlign w:val="bottom"/>
          </w:tcPr>
          <w:p w14:paraId="791CBFAC" w14:textId="0BD2DBB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478,000</w:t>
            </w:r>
          </w:p>
        </w:tc>
        <w:tc>
          <w:tcPr>
            <w:tcW w:w="1607" w:type="dxa"/>
            <w:tcBorders>
              <w:top w:val="nil"/>
              <w:bottom w:val="nil"/>
              <w:right w:val="single" w:sz="4" w:space="0" w:color="E0301E" w:themeColor="accent6"/>
            </w:tcBorders>
            <w:vAlign w:val="bottom"/>
          </w:tcPr>
          <w:p w14:paraId="5EF23260" w14:textId="3343055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101%</w:t>
            </w:r>
          </w:p>
        </w:tc>
      </w:tr>
      <w:tr w:rsidR="0069611A" w:rsidRPr="006114CC" w14:paraId="64DA043A"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2CF91340"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- 1 child</w:t>
            </w:r>
          </w:p>
        </w:tc>
        <w:tc>
          <w:tcPr>
            <w:tcW w:w="1134" w:type="dxa"/>
            <w:tcBorders>
              <w:top w:val="nil"/>
              <w:bottom w:val="nil"/>
            </w:tcBorders>
            <w:noWrap/>
          </w:tcPr>
          <w:p w14:paraId="6A644D72"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25,000</w:t>
            </w:r>
          </w:p>
        </w:tc>
        <w:tc>
          <w:tcPr>
            <w:tcW w:w="1606" w:type="dxa"/>
            <w:tcBorders>
              <w:top w:val="nil"/>
              <w:bottom w:val="nil"/>
            </w:tcBorders>
            <w:noWrap/>
          </w:tcPr>
          <w:p w14:paraId="24FC0E65"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14%</w:t>
            </w:r>
          </w:p>
        </w:tc>
        <w:tc>
          <w:tcPr>
            <w:tcW w:w="1606" w:type="dxa"/>
            <w:tcBorders>
              <w:top w:val="nil"/>
              <w:bottom w:val="nil"/>
            </w:tcBorders>
            <w:noWrap/>
            <w:vAlign w:val="bottom"/>
          </w:tcPr>
          <w:p w14:paraId="74C0F575" w14:textId="2D2FE37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465,000</w:t>
            </w:r>
          </w:p>
        </w:tc>
        <w:tc>
          <w:tcPr>
            <w:tcW w:w="1607" w:type="dxa"/>
            <w:tcBorders>
              <w:top w:val="nil"/>
              <w:bottom w:val="nil"/>
              <w:right w:val="single" w:sz="4" w:space="0" w:color="E0301E" w:themeColor="accent6"/>
            </w:tcBorders>
            <w:vAlign w:val="bottom"/>
          </w:tcPr>
          <w:p w14:paraId="29956F42" w14:textId="213653C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98%</w:t>
            </w:r>
          </w:p>
        </w:tc>
      </w:tr>
      <w:tr w:rsidR="0069611A" w:rsidRPr="006114CC" w14:paraId="35BF62DC"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1AE10954"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- 2 children</w:t>
            </w:r>
          </w:p>
        </w:tc>
        <w:tc>
          <w:tcPr>
            <w:tcW w:w="1134" w:type="dxa"/>
            <w:tcBorders>
              <w:top w:val="nil"/>
              <w:bottom w:val="nil"/>
            </w:tcBorders>
            <w:noWrap/>
          </w:tcPr>
          <w:p w14:paraId="462F9057"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13,000</w:t>
            </w:r>
          </w:p>
        </w:tc>
        <w:tc>
          <w:tcPr>
            <w:tcW w:w="1606" w:type="dxa"/>
            <w:tcBorders>
              <w:top w:val="nil"/>
              <w:bottom w:val="nil"/>
            </w:tcBorders>
            <w:noWrap/>
          </w:tcPr>
          <w:p w14:paraId="29C1359E"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7%</w:t>
            </w:r>
          </w:p>
        </w:tc>
        <w:tc>
          <w:tcPr>
            <w:tcW w:w="1606" w:type="dxa"/>
            <w:tcBorders>
              <w:top w:val="nil"/>
              <w:bottom w:val="nil"/>
            </w:tcBorders>
            <w:noWrap/>
            <w:vAlign w:val="bottom"/>
          </w:tcPr>
          <w:p w14:paraId="7432CA55" w14:textId="3C38C35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449,000</w:t>
            </w:r>
          </w:p>
        </w:tc>
        <w:tc>
          <w:tcPr>
            <w:tcW w:w="1607" w:type="dxa"/>
            <w:tcBorders>
              <w:top w:val="nil"/>
              <w:bottom w:val="nil"/>
              <w:right w:val="single" w:sz="4" w:space="0" w:color="E0301E" w:themeColor="accent6"/>
            </w:tcBorders>
            <w:vAlign w:val="bottom"/>
          </w:tcPr>
          <w:p w14:paraId="5B891A36" w14:textId="68AA0C4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95%</w:t>
            </w:r>
          </w:p>
        </w:tc>
      </w:tr>
      <w:tr w:rsidR="0069611A" w:rsidRPr="006114CC" w14:paraId="7B75CD95"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0A405237"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- 3+ children</w:t>
            </w:r>
          </w:p>
        </w:tc>
        <w:tc>
          <w:tcPr>
            <w:tcW w:w="1134" w:type="dxa"/>
            <w:tcBorders>
              <w:top w:val="nil"/>
              <w:bottom w:val="single" w:sz="4" w:space="0" w:color="E0301E" w:themeColor="accent6"/>
            </w:tcBorders>
            <w:noWrap/>
          </w:tcPr>
          <w:p w14:paraId="609EB59C"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8,000</w:t>
            </w:r>
          </w:p>
        </w:tc>
        <w:tc>
          <w:tcPr>
            <w:tcW w:w="1606" w:type="dxa"/>
            <w:tcBorders>
              <w:top w:val="nil"/>
              <w:bottom w:val="single" w:sz="4" w:space="0" w:color="E0301E" w:themeColor="accent6"/>
            </w:tcBorders>
            <w:noWrap/>
          </w:tcPr>
          <w:p w14:paraId="43AA1343"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4%</w:t>
            </w:r>
          </w:p>
        </w:tc>
        <w:tc>
          <w:tcPr>
            <w:tcW w:w="1606" w:type="dxa"/>
            <w:tcBorders>
              <w:top w:val="nil"/>
              <w:bottom w:val="single" w:sz="4" w:space="0" w:color="E0301E" w:themeColor="accent6"/>
            </w:tcBorders>
            <w:noWrap/>
            <w:vAlign w:val="bottom"/>
          </w:tcPr>
          <w:p w14:paraId="6EB1D943" w14:textId="5EA725A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431,000</w:t>
            </w:r>
          </w:p>
        </w:tc>
        <w:tc>
          <w:tcPr>
            <w:tcW w:w="1607" w:type="dxa"/>
            <w:tcBorders>
              <w:top w:val="nil"/>
              <w:bottom w:val="single" w:sz="4" w:space="0" w:color="E0301E" w:themeColor="accent6"/>
              <w:right w:val="single" w:sz="4" w:space="0" w:color="E0301E" w:themeColor="accent6"/>
            </w:tcBorders>
            <w:vAlign w:val="bottom"/>
          </w:tcPr>
          <w:p w14:paraId="37E8DD12" w14:textId="4D5BD07B"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91%</w:t>
            </w:r>
          </w:p>
        </w:tc>
      </w:tr>
      <w:tr w:rsidR="0069611A" w:rsidRPr="006114CC" w14:paraId="2F389DAC"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tcPr>
          <w:p w14:paraId="715CC95B"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Class before entering '5 Disability Support'</w:t>
            </w:r>
          </w:p>
        </w:tc>
        <w:tc>
          <w:tcPr>
            <w:tcW w:w="1134" w:type="dxa"/>
            <w:tcBorders>
              <w:bottom w:val="nil"/>
            </w:tcBorders>
            <w:noWrap/>
          </w:tcPr>
          <w:p w14:paraId="0FA5AE8F"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tcPr>
          <w:p w14:paraId="62265939"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7439BF2A"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666797D4"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4EDEA876"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2A059A6A"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Income support</w:t>
            </w:r>
          </w:p>
        </w:tc>
        <w:tc>
          <w:tcPr>
            <w:tcW w:w="1134" w:type="dxa"/>
            <w:tcBorders>
              <w:top w:val="nil"/>
              <w:bottom w:val="nil"/>
            </w:tcBorders>
            <w:noWrap/>
          </w:tcPr>
          <w:p w14:paraId="3401A090"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92,000</w:t>
            </w:r>
          </w:p>
        </w:tc>
        <w:tc>
          <w:tcPr>
            <w:tcW w:w="1606" w:type="dxa"/>
            <w:tcBorders>
              <w:top w:val="nil"/>
              <w:bottom w:val="nil"/>
            </w:tcBorders>
            <w:noWrap/>
          </w:tcPr>
          <w:p w14:paraId="3D7975CD"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49%</w:t>
            </w:r>
          </w:p>
        </w:tc>
        <w:tc>
          <w:tcPr>
            <w:tcW w:w="1606" w:type="dxa"/>
            <w:tcBorders>
              <w:top w:val="nil"/>
              <w:bottom w:val="nil"/>
            </w:tcBorders>
            <w:noWrap/>
            <w:vAlign w:val="bottom"/>
          </w:tcPr>
          <w:p w14:paraId="77A909DE" w14:textId="5659D89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477,000</w:t>
            </w:r>
          </w:p>
        </w:tc>
        <w:tc>
          <w:tcPr>
            <w:tcW w:w="1607" w:type="dxa"/>
            <w:tcBorders>
              <w:top w:val="nil"/>
              <w:bottom w:val="nil"/>
              <w:right w:val="single" w:sz="4" w:space="0" w:color="E0301E" w:themeColor="accent6"/>
            </w:tcBorders>
            <w:vAlign w:val="bottom"/>
          </w:tcPr>
          <w:p w14:paraId="2AEC8608" w14:textId="4FD73E3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101%</w:t>
            </w:r>
          </w:p>
        </w:tc>
      </w:tr>
      <w:tr w:rsidR="0069611A" w:rsidRPr="006114CC" w14:paraId="40C24F5C"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4EF1A29D"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Non income support</w:t>
            </w:r>
          </w:p>
        </w:tc>
        <w:tc>
          <w:tcPr>
            <w:tcW w:w="1134" w:type="dxa"/>
            <w:tcBorders>
              <w:top w:val="nil"/>
              <w:bottom w:val="nil"/>
            </w:tcBorders>
            <w:noWrap/>
          </w:tcPr>
          <w:p w14:paraId="26F84285"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10,000</w:t>
            </w:r>
          </w:p>
        </w:tc>
        <w:tc>
          <w:tcPr>
            <w:tcW w:w="1606" w:type="dxa"/>
            <w:tcBorders>
              <w:top w:val="nil"/>
              <w:bottom w:val="nil"/>
            </w:tcBorders>
            <w:noWrap/>
          </w:tcPr>
          <w:p w14:paraId="1D1CA7DC"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5%</w:t>
            </w:r>
          </w:p>
        </w:tc>
        <w:tc>
          <w:tcPr>
            <w:tcW w:w="1606" w:type="dxa"/>
            <w:tcBorders>
              <w:top w:val="nil"/>
              <w:bottom w:val="nil"/>
            </w:tcBorders>
            <w:noWrap/>
            <w:vAlign w:val="bottom"/>
          </w:tcPr>
          <w:p w14:paraId="6F605798" w14:textId="0F7AE5F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442,000</w:t>
            </w:r>
          </w:p>
        </w:tc>
        <w:tc>
          <w:tcPr>
            <w:tcW w:w="1607" w:type="dxa"/>
            <w:tcBorders>
              <w:top w:val="nil"/>
              <w:bottom w:val="nil"/>
              <w:right w:val="single" w:sz="4" w:space="0" w:color="E0301E" w:themeColor="accent6"/>
            </w:tcBorders>
            <w:vAlign w:val="bottom"/>
          </w:tcPr>
          <w:p w14:paraId="5E0D56A8" w14:textId="78D5766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94%</w:t>
            </w:r>
          </w:p>
        </w:tc>
      </w:tr>
      <w:tr w:rsidR="0069611A" w:rsidRPr="006114CC" w14:paraId="254157DA"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796B5E93"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Previous client/non client</w:t>
            </w:r>
          </w:p>
        </w:tc>
        <w:tc>
          <w:tcPr>
            <w:tcW w:w="1134" w:type="dxa"/>
            <w:tcBorders>
              <w:top w:val="nil"/>
              <w:bottom w:val="single" w:sz="4" w:space="0" w:color="E0301E" w:themeColor="accent6"/>
            </w:tcBorders>
            <w:noWrap/>
          </w:tcPr>
          <w:p w14:paraId="27182BA9"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86,000</w:t>
            </w:r>
          </w:p>
        </w:tc>
        <w:tc>
          <w:tcPr>
            <w:tcW w:w="1606" w:type="dxa"/>
            <w:tcBorders>
              <w:top w:val="nil"/>
              <w:bottom w:val="single" w:sz="4" w:space="0" w:color="E0301E" w:themeColor="accent6"/>
            </w:tcBorders>
            <w:noWrap/>
          </w:tcPr>
          <w:p w14:paraId="654FA86A"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46%</w:t>
            </w:r>
          </w:p>
        </w:tc>
        <w:tc>
          <w:tcPr>
            <w:tcW w:w="1606" w:type="dxa"/>
            <w:tcBorders>
              <w:top w:val="nil"/>
              <w:bottom w:val="single" w:sz="4" w:space="0" w:color="E0301E" w:themeColor="accent6"/>
            </w:tcBorders>
            <w:noWrap/>
            <w:vAlign w:val="bottom"/>
          </w:tcPr>
          <w:p w14:paraId="3BFCE949" w14:textId="302CD5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471,000</w:t>
            </w:r>
          </w:p>
        </w:tc>
        <w:tc>
          <w:tcPr>
            <w:tcW w:w="1607" w:type="dxa"/>
            <w:tcBorders>
              <w:top w:val="nil"/>
              <w:bottom w:val="single" w:sz="4" w:space="0" w:color="E0301E" w:themeColor="accent6"/>
              <w:right w:val="single" w:sz="4" w:space="0" w:color="E0301E" w:themeColor="accent6"/>
            </w:tcBorders>
            <w:vAlign w:val="bottom"/>
          </w:tcPr>
          <w:p w14:paraId="708E7C3E" w14:textId="430613F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100%</w:t>
            </w:r>
          </w:p>
        </w:tc>
      </w:tr>
    </w:tbl>
    <w:p w14:paraId="3712B7EE" w14:textId="7C5D38D8" w:rsidR="000E7587" w:rsidRDefault="000E7587" w:rsidP="00964D65">
      <w:pPr>
        <w:pStyle w:val="PwCNormal"/>
        <w:numPr>
          <w:ilvl w:val="0"/>
          <w:numId w:val="33"/>
        </w:numPr>
      </w:pPr>
      <w:r w:rsidRPr="00434AE3">
        <w:t xml:space="preserve">From the </w:t>
      </w:r>
      <w:r>
        <w:t>table</w:t>
      </w:r>
      <w:r w:rsidRPr="00434AE3">
        <w:t>, we can see that</w:t>
      </w:r>
      <w:r>
        <w:t xml:space="preserve"> for the current cohort of 45</w:t>
      </w:r>
      <w:r w:rsidR="00710E45">
        <w:t xml:space="preserve"> to </w:t>
      </w:r>
      <w:r>
        <w:t xml:space="preserve">54 year old </w:t>
      </w:r>
      <w:r w:rsidR="006D014F">
        <w:t>Disability Support Pension</w:t>
      </w:r>
      <w:r>
        <w:t>s recipients:</w:t>
      </w:r>
    </w:p>
    <w:p w14:paraId="6426EE24" w14:textId="77777777" w:rsidR="000E7587" w:rsidRDefault="000E7587" w:rsidP="000E7587">
      <w:pPr>
        <w:pStyle w:val="ListBullet"/>
      </w:pPr>
      <w:r>
        <w:t>T</w:t>
      </w:r>
      <w:r w:rsidRPr="00434AE3">
        <w:t xml:space="preserve">hose </w:t>
      </w:r>
      <w:r>
        <w:t>with congenital anomalies or learning disabilities tend to have higher average lifetime costs.</w:t>
      </w:r>
    </w:p>
    <w:p w14:paraId="0D0BA159" w14:textId="1F5AC090" w:rsidR="000E7587" w:rsidRPr="00AA297F" w:rsidRDefault="000E7587" w:rsidP="000E7587">
      <w:pPr>
        <w:pStyle w:val="PwCNormal"/>
        <w:numPr>
          <w:ilvl w:val="0"/>
          <w:numId w:val="0"/>
        </w:numPr>
      </w:pPr>
      <w:r>
        <w:t xml:space="preserve">Those with more children tend to have lower lifetime costs. This trend is the opposite to the trends observed in other classes and is likely related to the fact that those </w:t>
      </w:r>
      <w:r w:rsidR="006D014F">
        <w:t>Disability Support Pension</w:t>
      </w:r>
      <w:r>
        <w:t>ers with more children are less likely to have severe medical conditions.</w:t>
      </w:r>
    </w:p>
    <w:p w14:paraId="2E4B1BCB" w14:textId="77777777" w:rsidR="00B51738" w:rsidRPr="00F8046D" w:rsidRDefault="00B51738" w:rsidP="00B51738">
      <w:pPr>
        <w:pStyle w:val="Minorheading"/>
      </w:pPr>
      <w:r w:rsidRPr="00F8046D">
        <w:t xml:space="preserve">Change in lifetime costs since the </w:t>
      </w:r>
      <w:r>
        <w:t>2016</w:t>
      </w:r>
      <w:r w:rsidRPr="00F8046D">
        <w:t xml:space="preserve"> valuation</w:t>
      </w:r>
    </w:p>
    <w:p w14:paraId="1275FB90" w14:textId="0F506CEA" w:rsidR="00B51738" w:rsidRPr="00F8046D" w:rsidRDefault="00B51738" w:rsidP="00B51738">
      <w:pPr>
        <w:pStyle w:val="PwCNormal"/>
        <w:numPr>
          <w:ilvl w:val="0"/>
          <w:numId w:val="0"/>
        </w:numPr>
      </w:pPr>
      <w:r w:rsidRPr="00F8046D">
        <w:t xml:space="preserve">The lifetime cost for the people in this class </w:t>
      </w:r>
      <w:r w:rsidR="00C37F57">
        <w:t>is</w:t>
      </w:r>
      <w:r w:rsidR="00C37F57" w:rsidRPr="00F8046D">
        <w:t xml:space="preserve"> </w:t>
      </w:r>
      <w:r w:rsidRPr="00F8046D">
        <w:rPr>
          <w:b/>
        </w:rPr>
        <w:t>$35</w:t>
      </w:r>
      <w:r>
        <w:rPr>
          <w:b/>
        </w:rPr>
        <w:t>1</w:t>
      </w:r>
      <w:r w:rsidRPr="00F8046D">
        <w:rPr>
          <w:b/>
        </w:rPr>
        <w:t>bn</w:t>
      </w:r>
      <w:r w:rsidR="00C37F57">
        <w:t xml:space="preserve">, </w:t>
      </w:r>
      <w:r>
        <w:t xml:space="preserve">a </w:t>
      </w:r>
      <w:r w:rsidR="00C37F57">
        <w:t xml:space="preserve">small </w:t>
      </w:r>
      <w:r>
        <w:t xml:space="preserve">reduction </w:t>
      </w:r>
      <w:r w:rsidRPr="00F8046D">
        <w:t xml:space="preserve">of </w:t>
      </w:r>
      <w:r>
        <w:rPr>
          <w:b/>
        </w:rPr>
        <w:t>$1</w:t>
      </w:r>
      <w:r w:rsidRPr="00F8046D">
        <w:rPr>
          <w:b/>
        </w:rPr>
        <w:t>bn</w:t>
      </w:r>
      <w:r w:rsidRPr="00F8046D">
        <w:t xml:space="preserve"> compared to the </w:t>
      </w:r>
      <w:r w:rsidR="001749D8">
        <w:t>June 2016</w:t>
      </w:r>
      <w:r w:rsidR="001749D8" w:rsidRPr="00F8046D">
        <w:t xml:space="preserve"> </w:t>
      </w:r>
      <w:r w:rsidRPr="00F8046D">
        <w:t>valuation. This was driv</w:t>
      </w:r>
      <w:r>
        <w:t>en by a reduction in the number of people in this class</w:t>
      </w:r>
      <w:r w:rsidRPr="00F8046D">
        <w:t xml:space="preserve">, </w:t>
      </w:r>
      <w:r w:rsidR="00C37F57">
        <w:t xml:space="preserve">almost completely </w:t>
      </w:r>
      <w:r w:rsidRPr="00F8046D">
        <w:t>offset by a</w:t>
      </w:r>
      <w:r>
        <w:t>n</w:t>
      </w:r>
      <w:r w:rsidRPr="00F8046D">
        <w:t xml:space="preserve"> </w:t>
      </w:r>
      <w:r>
        <w:t>increase in the average cost</w:t>
      </w:r>
      <w:r w:rsidRPr="00F8046D">
        <w:t>:</w:t>
      </w:r>
    </w:p>
    <w:p w14:paraId="53407B5C" w14:textId="77777777" w:rsidR="00B51738" w:rsidRPr="00F8046D" w:rsidRDefault="00B51738" w:rsidP="002757B8">
      <w:pPr>
        <w:pStyle w:val="ListBullet"/>
      </w:pPr>
      <w:r w:rsidRPr="00F8046D">
        <w:t>Both higher exits (most likely a result of the medical reviews) and lower new entrant numbers into DSP (likely a result of the tightened eligibility assessment process) have contributed to a lower number of people (population) in this class. These changes do not directly impact the average lifetime cost for those people remaining in the class.</w:t>
      </w:r>
    </w:p>
    <w:p w14:paraId="6BC94D2A" w14:textId="77777777" w:rsidR="00B51738" w:rsidRPr="00F8046D" w:rsidRDefault="00B51738" w:rsidP="002757B8">
      <w:pPr>
        <w:pStyle w:val="ListBullet"/>
      </w:pPr>
      <w:r w:rsidRPr="00F8046D">
        <w:t xml:space="preserve">The </w:t>
      </w:r>
      <w:r>
        <w:t>average cost has increased by $12</w:t>
      </w:r>
      <w:r w:rsidRPr="00F8046D">
        <w:t>,000 (</w:t>
      </w:r>
      <w:r>
        <w:t>2.6</w:t>
      </w:r>
      <w:r w:rsidRPr="00F8046D">
        <w:t>%) since the previous valuation. The following table provides a breakdown of the change in average lifetime cost by payment category.</w:t>
      </w:r>
    </w:p>
    <w:p w14:paraId="24A22ECF" w14:textId="2D2FF753" w:rsidR="00B51738" w:rsidRPr="002404D0" w:rsidRDefault="00B51738" w:rsidP="00B51738">
      <w:pPr>
        <w:pStyle w:val="Caption"/>
      </w:pPr>
      <w:r w:rsidRPr="002404D0">
        <w:lastRenderedPageBreak/>
        <w:t xml:space="preserve">Table </w:t>
      </w:r>
      <w:fldSimple w:instr=" SEQ Table \* ARABIC ">
        <w:r w:rsidR="00C93C1A">
          <w:rPr>
            <w:noProof/>
          </w:rPr>
          <w:t>36</w:t>
        </w:r>
      </w:fldSimple>
      <w:r w:rsidRPr="002404D0">
        <w:t xml:space="preserve">: Breakdown of change in average lifetime cost for </w:t>
      </w:r>
      <w:r w:rsidR="00871E70">
        <w:t>c</w:t>
      </w:r>
      <w:r w:rsidRPr="002404D0">
        <w:t>lass 5 by payment category</w:t>
      </w:r>
    </w:p>
    <w:tbl>
      <w:tblPr>
        <w:tblStyle w:val="ListTable3-Accent62"/>
        <w:tblW w:w="9781" w:type="dxa"/>
        <w:tblInd w:w="108" w:type="dxa"/>
        <w:tblLayout w:type="fixed"/>
        <w:tblCellMar>
          <w:left w:w="57" w:type="dxa"/>
          <w:right w:w="57" w:type="dxa"/>
        </w:tblCellMar>
        <w:tblLook w:val="04A0" w:firstRow="1" w:lastRow="0" w:firstColumn="1" w:lastColumn="0" w:noHBand="0" w:noVBand="1"/>
        <w:tblCaption w:val=" Breakdown of change in average lifetime cost for Class 5 by payment category"/>
        <w:tblDescription w:val="This table shows the breakdown of the total change in average lifetime cost for Class 5 into; change in people in class, change in inflation, policy changes and other changes. These are shown as rows in the table.&#10;&#10;The changes in lifetime cost are considered by relevant payment categories for Class 5; IS Disability Support, IS Other (excluding the pension), IS Age Pension, Non IS Family Supplements and Non IS Other Supplements. These are shown as columns in the table alongside a total change column.&#10;&#10;Further features of the data in this table are discussed in the accompanying text within the report.&#10;"/>
      </w:tblPr>
      <w:tblGrid>
        <w:gridCol w:w="3119"/>
        <w:gridCol w:w="1276"/>
        <w:gridCol w:w="992"/>
        <w:gridCol w:w="992"/>
        <w:gridCol w:w="992"/>
        <w:gridCol w:w="1205"/>
        <w:gridCol w:w="1205"/>
      </w:tblGrid>
      <w:tr w:rsidR="00B51738" w:rsidRPr="002404D0" w14:paraId="25867721"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7CEA7A10" w14:textId="77777777" w:rsidR="00B51738" w:rsidRPr="002404D0" w:rsidRDefault="00B51738" w:rsidP="009E7C59">
            <w:pPr>
              <w:pStyle w:val="TableTextSmall"/>
              <w:keepNext/>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4A59A0DD" w14:textId="77777777" w:rsidR="00B51738" w:rsidRPr="002404D0"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992" w:type="dxa"/>
            <w:tcBorders>
              <w:left w:val="single" w:sz="4" w:space="0" w:color="FFFFFF" w:themeColor="background1"/>
              <w:bottom w:val="single" w:sz="4" w:space="0" w:color="FFFFFF" w:themeColor="background1"/>
              <w:right w:val="nil"/>
            </w:tcBorders>
          </w:tcPr>
          <w:p w14:paraId="6B7D0B3C" w14:textId="77777777" w:rsidR="00B51738" w:rsidRPr="002404D0"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p>
        </w:tc>
        <w:tc>
          <w:tcPr>
            <w:tcW w:w="992" w:type="dxa"/>
            <w:tcBorders>
              <w:left w:val="nil"/>
              <w:bottom w:val="single" w:sz="4" w:space="0" w:color="FFFFFF" w:themeColor="background1"/>
              <w:right w:val="nil"/>
            </w:tcBorders>
          </w:tcPr>
          <w:p w14:paraId="3724EB8B" w14:textId="77777777" w:rsidR="00B51738" w:rsidRPr="002404D0"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rPr>
            </w:pPr>
            <w:r w:rsidRPr="002404D0">
              <w:rPr>
                <w:rFonts w:asciiTheme="majorHAnsi" w:hAnsiTheme="majorHAnsi"/>
                <w:color w:val="FFFFFF" w:themeColor="background1"/>
              </w:rPr>
              <w:t>IS</w:t>
            </w:r>
          </w:p>
        </w:tc>
        <w:tc>
          <w:tcPr>
            <w:tcW w:w="992" w:type="dxa"/>
            <w:tcBorders>
              <w:left w:val="nil"/>
              <w:bottom w:val="single" w:sz="4" w:space="0" w:color="FFFFFF" w:themeColor="background1"/>
              <w:right w:val="single" w:sz="4" w:space="0" w:color="FFFFFF" w:themeColor="background1"/>
            </w:tcBorders>
          </w:tcPr>
          <w:p w14:paraId="1E6CF8F5" w14:textId="77777777" w:rsidR="00B51738" w:rsidRPr="002404D0"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05" w:type="dxa"/>
            <w:tcBorders>
              <w:left w:val="single" w:sz="4" w:space="0" w:color="FFFFFF" w:themeColor="background1"/>
              <w:bottom w:val="single" w:sz="4" w:space="0" w:color="FFFFFF" w:themeColor="background1"/>
            </w:tcBorders>
          </w:tcPr>
          <w:p w14:paraId="55979117" w14:textId="77777777" w:rsidR="00B51738" w:rsidRPr="002404D0" w:rsidRDefault="00B51738" w:rsidP="009E7C59">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2404D0">
              <w:rPr>
                <w:rFonts w:asciiTheme="majorHAnsi" w:hAnsiTheme="majorHAnsi"/>
                <w:color w:val="FFFFFF" w:themeColor="background1"/>
              </w:rPr>
              <w:t>Non</w:t>
            </w:r>
          </w:p>
        </w:tc>
        <w:tc>
          <w:tcPr>
            <w:tcW w:w="1205" w:type="dxa"/>
            <w:tcBorders>
              <w:bottom w:val="single" w:sz="4" w:space="0" w:color="FFFFFF" w:themeColor="background1"/>
            </w:tcBorders>
          </w:tcPr>
          <w:p w14:paraId="32A60123" w14:textId="77777777" w:rsidR="00B51738" w:rsidRPr="002404D0" w:rsidRDefault="00B51738" w:rsidP="009E7C59">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404D0">
              <w:rPr>
                <w:rFonts w:asciiTheme="majorHAnsi" w:hAnsiTheme="majorHAnsi"/>
                <w:color w:val="FFFFFF" w:themeColor="background1"/>
              </w:rPr>
              <w:t>IS</w:t>
            </w:r>
          </w:p>
        </w:tc>
      </w:tr>
      <w:tr w:rsidR="00B51738" w:rsidRPr="002404D0" w14:paraId="0AC75C7D"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3294F78B" w14:textId="77777777" w:rsidR="00B51738" w:rsidRPr="002404D0" w:rsidRDefault="00B51738" w:rsidP="009E7C59">
            <w:pPr>
              <w:pStyle w:val="TableTextSmall"/>
              <w:keepNext/>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17E95F13" w14:textId="77777777" w:rsidR="00B51738" w:rsidRPr="002404D0"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404D0">
              <w:rPr>
                <w:rFonts w:asciiTheme="majorHAnsi" w:hAnsiTheme="majorHAnsi"/>
                <w:color w:val="FFFFFF" w:themeColor="background1"/>
              </w:rPr>
              <w:t>Total</w:t>
            </w:r>
          </w:p>
        </w:tc>
        <w:tc>
          <w:tcPr>
            <w:tcW w:w="992" w:type="dxa"/>
            <w:tcBorders>
              <w:top w:val="single" w:sz="4" w:space="0" w:color="FFFFFF" w:themeColor="background1"/>
              <w:left w:val="single" w:sz="4" w:space="0" w:color="FFFFFF" w:themeColor="background1"/>
              <w:bottom w:val="single" w:sz="4" w:space="0" w:color="E0301E" w:themeColor="accent6"/>
            </w:tcBorders>
          </w:tcPr>
          <w:p w14:paraId="6EF10BA1" w14:textId="77777777" w:rsidR="00B51738" w:rsidRPr="002404D0"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2404D0">
              <w:rPr>
                <w:rFonts w:asciiTheme="majorHAnsi" w:hAnsiTheme="majorHAnsi"/>
                <w:color w:val="FFFFFF" w:themeColor="background1"/>
              </w:rPr>
              <w:t>Disability Support</w:t>
            </w:r>
          </w:p>
        </w:tc>
        <w:tc>
          <w:tcPr>
            <w:tcW w:w="992" w:type="dxa"/>
            <w:tcBorders>
              <w:top w:val="single" w:sz="4" w:space="0" w:color="FFFFFF" w:themeColor="background1"/>
              <w:bottom w:val="single" w:sz="4" w:space="0" w:color="E0301E" w:themeColor="accent6"/>
            </w:tcBorders>
          </w:tcPr>
          <w:p w14:paraId="30581461" w14:textId="77777777" w:rsidR="00B51738" w:rsidRPr="002404D0"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2404D0">
              <w:rPr>
                <w:rFonts w:asciiTheme="majorHAnsi" w:hAnsiTheme="majorHAnsi"/>
                <w:color w:val="FFFFFF" w:themeColor="background1"/>
              </w:rPr>
              <w:t>Other</w:t>
            </w:r>
            <w:r w:rsidRPr="002404D0">
              <w:rPr>
                <w:rFonts w:asciiTheme="majorHAnsi" w:hAnsiTheme="majorHAnsi"/>
                <w:color w:val="FFFFFF" w:themeColor="background1"/>
              </w:rPr>
              <w:br/>
              <w:t>(excl. Age Pension)</w:t>
            </w:r>
          </w:p>
        </w:tc>
        <w:tc>
          <w:tcPr>
            <w:tcW w:w="992" w:type="dxa"/>
            <w:tcBorders>
              <w:top w:val="single" w:sz="4" w:space="0" w:color="FFFFFF" w:themeColor="background1"/>
              <w:bottom w:val="single" w:sz="4" w:space="0" w:color="E0301E" w:themeColor="accent6"/>
              <w:right w:val="single" w:sz="4" w:space="0" w:color="FFFFFF" w:themeColor="background1"/>
            </w:tcBorders>
          </w:tcPr>
          <w:p w14:paraId="3E128E80" w14:textId="77777777" w:rsidR="00B51738" w:rsidRPr="002404D0"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2404D0">
              <w:rPr>
                <w:rFonts w:asciiTheme="majorHAnsi" w:hAnsiTheme="majorHAnsi"/>
                <w:color w:val="FFFFFF" w:themeColor="background1"/>
              </w:rPr>
              <w:t>Age Pension</w:t>
            </w:r>
          </w:p>
        </w:tc>
        <w:tc>
          <w:tcPr>
            <w:tcW w:w="1205" w:type="dxa"/>
            <w:tcBorders>
              <w:top w:val="single" w:sz="4" w:space="0" w:color="FFFFFF" w:themeColor="background1"/>
              <w:left w:val="single" w:sz="4" w:space="0" w:color="FFFFFF" w:themeColor="background1"/>
              <w:bottom w:val="single" w:sz="4" w:space="0" w:color="E0301E" w:themeColor="accent6"/>
            </w:tcBorders>
          </w:tcPr>
          <w:p w14:paraId="68F1A65B" w14:textId="77777777" w:rsidR="00B51738" w:rsidRPr="002404D0"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2404D0">
              <w:rPr>
                <w:rFonts w:asciiTheme="majorHAnsi" w:hAnsiTheme="majorHAnsi"/>
                <w:color w:val="FFFFFF" w:themeColor="background1"/>
              </w:rPr>
              <w:t>Family Supplements</w:t>
            </w:r>
          </w:p>
        </w:tc>
        <w:tc>
          <w:tcPr>
            <w:tcW w:w="1205" w:type="dxa"/>
            <w:tcBorders>
              <w:top w:val="single" w:sz="4" w:space="0" w:color="FFFFFF" w:themeColor="background1"/>
              <w:bottom w:val="single" w:sz="4" w:space="0" w:color="E0301E" w:themeColor="accent6"/>
            </w:tcBorders>
          </w:tcPr>
          <w:p w14:paraId="1987D371" w14:textId="77777777" w:rsidR="00B51738" w:rsidRPr="002404D0" w:rsidRDefault="00B51738" w:rsidP="009E7C59">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2404D0">
              <w:rPr>
                <w:rFonts w:asciiTheme="majorHAnsi" w:hAnsiTheme="majorHAnsi"/>
                <w:color w:val="FFFFFF" w:themeColor="background1"/>
              </w:rPr>
              <w:t>Other Supplements</w:t>
            </w:r>
          </w:p>
        </w:tc>
      </w:tr>
      <w:tr w:rsidR="00AA1061" w:rsidRPr="002404D0" w14:paraId="582DC4EB"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1D33D0FF" w14:textId="77777777" w:rsidR="00AA1061" w:rsidRPr="002404D0" w:rsidRDefault="00AA1061" w:rsidP="00AA1061">
            <w:pPr>
              <w:pStyle w:val="TableTextSmall"/>
              <w:keepNext/>
            </w:pPr>
            <w:r w:rsidRPr="002404D0">
              <w:t>Jun-1</w:t>
            </w:r>
            <w:r>
              <w:t>6</w:t>
            </w:r>
            <w:r w:rsidRPr="002404D0">
              <w:t xml:space="preserve"> Total Lifetime Cost</w:t>
            </w:r>
          </w:p>
        </w:tc>
        <w:tc>
          <w:tcPr>
            <w:tcW w:w="1276" w:type="dxa"/>
            <w:tcBorders>
              <w:left w:val="single" w:sz="4" w:space="0" w:color="E0301E" w:themeColor="accent6"/>
              <w:bottom w:val="nil"/>
              <w:right w:val="single" w:sz="4" w:space="0" w:color="E0301E" w:themeColor="accent6"/>
            </w:tcBorders>
          </w:tcPr>
          <w:p w14:paraId="67E59935" w14:textId="03C6B141" w:rsidR="00AA1061" w:rsidRPr="002404D0"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rPr>
                <w:snapToGrid/>
                <w:color w:val="auto"/>
                <w:lang w:eastAsia="en-AU"/>
              </w:rPr>
            </w:pPr>
            <w:r w:rsidRPr="004B051C">
              <w:t>$352bn</w:t>
            </w:r>
          </w:p>
        </w:tc>
        <w:tc>
          <w:tcPr>
            <w:tcW w:w="992" w:type="dxa"/>
            <w:tcBorders>
              <w:left w:val="single" w:sz="4" w:space="0" w:color="E0301E" w:themeColor="accent6"/>
              <w:bottom w:val="nil"/>
            </w:tcBorders>
            <w:shd w:val="clear" w:color="auto" w:fill="D9D9D9" w:themeFill="background1" w:themeFillShade="D9"/>
          </w:tcPr>
          <w:p w14:paraId="6E336689" w14:textId="77777777" w:rsidR="00AA1061" w:rsidRPr="002404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bottom w:val="nil"/>
            </w:tcBorders>
            <w:shd w:val="clear" w:color="auto" w:fill="D9D9D9" w:themeFill="background1" w:themeFillShade="D9"/>
          </w:tcPr>
          <w:p w14:paraId="44F17F45" w14:textId="77777777" w:rsidR="00AA1061" w:rsidRPr="002404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bottom w:val="nil"/>
              <w:right w:val="nil"/>
            </w:tcBorders>
            <w:shd w:val="clear" w:color="auto" w:fill="D9D9D9" w:themeFill="background1" w:themeFillShade="D9"/>
          </w:tcPr>
          <w:p w14:paraId="7FAC4A50" w14:textId="77777777" w:rsidR="00AA1061" w:rsidRPr="002404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left w:val="nil"/>
              <w:bottom w:val="nil"/>
            </w:tcBorders>
            <w:shd w:val="clear" w:color="auto" w:fill="D9D9D9" w:themeFill="background1" w:themeFillShade="D9"/>
          </w:tcPr>
          <w:p w14:paraId="0FABCD83" w14:textId="77777777" w:rsidR="00AA1061" w:rsidRPr="002404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bottom w:val="nil"/>
            </w:tcBorders>
            <w:shd w:val="clear" w:color="auto" w:fill="D9D9D9" w:themeFill="background1" w:themeFillShade="D9"/>
          </w:tcPr>
          <w:p w14:paraId="4CF7C42D" w14:textId="77777777" w:rsidR="00AA1061" w:rsidRPr="002404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r>
      <w:tr w:rsidR="00AA1061" w:rsidRPr="002404D0" w14:paraId="189D9C3A"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6EE84BA7" w14:textId="77777777" w:rsidR="00AA1061" w:rsidRPr="002404D0" w:rsidRDefault="00AA1061" w:rsidP="00AA1061">
            <w:pPr>
              <w:pStyle w:val="TableTextSmall"/>
              <w:keepNext/>
            </w:pPr>
            <w:r>
              <w:t>Jun-17</w:t>
            </w:r>
            <w:r w:rsidRPr="002404D0">
              <w:t xml:space="preserve">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tcPr>
          <w:p w14:paraId="60AB2F2A" w14:textId="788AB7DE" w:rsidR="00AA1061" w:rsidRPr="002404D0"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4B051C">
              <w:t>$351bn</w:t>
            </w:r>
          </w:p>
        </w:tc>
        <w:tc>
          <w:tcPr>
            <w:tcW w:w="992" w:type="dxa"/>
            <w:tcBorders>
              <w:top w:val="nil"/>
              <w:left w:val="single" w:sz="4" w:space="0" w:color="E0301E" w:themeColor="accent6"/>
              <w:bottom w:val="nil"/>
            </w:tcBorders>
            <w:shd w:val="clear" w:color="auto" w:fill="D9D9D9" w:themeFill="background1" w:themeFillShade="D9"/>
          </w:tcPr>
          <w:p w14:paraId="223D54DF" w14:textId="77777777" w:rsidR="00AA1061" w:rsidRPr="002404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tcBorders>
            <w:shd w:val="clear" w:color="auto" w:fill="D9D9D9" w:themeFill="background1" w:themeFillShade="D9"/>
          </w:tcPr>
          <w:p w14:paraId="25EDB718" w14:textId="77777777" w:rsidR="00AA1061" w:rsidRPr="002404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tcPr>
          <w:p w14:paraId="2B95E385" w14:textId="77777777" w:rsidR="00AA1061" w:rsidRPr="002404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tcPr>
          <w:p w14:paraId="304629F4" w14:textId="77777777" w:rsidR="00AA1061" w:rsidRPr="002404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nil"/>
            </w:tcBorders>
            <w:shd w:val="clear" w:color="auto" w:fill="D9D9D9" w:themeFill="background1" w:themeFillShade="D9"/>
          </w:tcPr>
          <w:p w14:paraId="0EC437CE" w14:textId="77777777" w:rsidR="00AA1061" w:rsidRPr="002404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r>
      <w:tr w:rsidR="00AA1061" w:rsidRPr="002404D0" w14:paraId="1962C595"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717F0DFF" w14:textId="77777777" w:rsidR="00AA1061" w:rsidRPr="002404D0" w:rsidRDefault="00AA1061" w:rsidP="00AA1061">
            <w:pPr>
              <w:pStyle w:val="TableTextSmall"/>
              <w:keepNext/>
            </w:pPr>
            <w:r w:rsidRPr="002404D0">
              <w:t>Change in Total Lifetime Cost</w:t>
            </w:r>
          </w:p>
        </w:tc>
        <w:tc>
          <w:tcPr>
            <w:tcW w:w="1276" w:type="dxa"/>
            <w:tcBorders>
              <w:left w:val="single" w:sz="4" w:space="0" w:color="E0301E" w:themeColor="accent6"/>
              <w:bottom w:val="nil"/>
              <w:right w:val="single" w:sz="4" w:space="0" w:color="E0301E" w:themeColor="accent6"/>
            </w:tcBorders>
          </w:tcPr>
          <w:p w14:paraId="3248E0EE" w14:textId="7CBCB4C2" w:rsidR="00AA1061" w:rsidRPr="002404D0"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4B051C">
              <w:t>-$1bn (-0.2%)</w:t>
            </w:r>
          </w:p>
        </w:tc>
        <w:tc>
          <w:tcPr>
            <w:tcW w:w="992" w:type="dxa"/>
            <w:tcBorders>
              <w:top w:val="nil"/>
              <w:left w:val="single" w:sz="4" w:space="0" w:color="E0301E" w:themeColor="accent6"/>
              <w:bottom w:val="nil"/>
            </w:tcBorders>
            <w:shd w:val="clear" w:color="auto" w:fill="D9D9D9" w:themeFill="background1" w:themeFillShade="D9"/>
          </w:tcPr>
          <w:p w14:paraId="30E9D684" w14:textId="77777777" w:rsidR="00AA1061" w:rsidRPr="002404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tcBorders>
            <w:shd w:val="clear" w:color="auto" w:fill="D9D9D9" w:themeFill="background1" w:themeFillShade="D9"/>
          </w:tcPr>
          <w:p w14:paraId="15D74771" w14:textId="77777777" w:rsidR="00AA1061" w:rsidRPr="002404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992" w:type="dxa"/>
            <w:tcBorders>
              <w:top w:val="nil"/>
              <w:bottom w:val="nil"/>
              <w:right w:val="nil"/>
            </w:tcBorders>
            <w:shd w:val="clear" w:color="auto" w:fill="D9D9D9" w:themeFill="background1" w:themeFillShade="D9"/>
          </w:tcPr>
          <w:p w14:paraId="7EDC8A72" w14:textId="77777777" w:rsidR="00AA1061" w:rsidRPr="002404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left w:val="nil"/>
              <w:bottom w:val="nil"/>
            </w:tcBorders>
            <w:shd w:val="clear" w:color="auto" w:fill="D9D9D9" w:themeFill="background1" w:themeFillShade="D9"/>
          </w:tcPr>
          <w:p w14:paraId="6DB833CB" w14:textId="77777777" w:rsidR="00AA1061" w:rsidRPr="002404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205" w:type="dxa"/>
            <w:tcBorders>
              <w:top w:val="nil"/>
              <w:bottom w:val="nil"/>
            </w:tcBorders>
            <w:shd w:val="clear" w:color="auto" w:fill="D9D9D9" w:themeFill="background1" w:themeFillShade="D9"/>
          </w:tcPr>
          <w:p w14:paraId="4EA7E0AA" w14:textId="77777777" w:rsidR="00AA1061" w:rsidRPr="002404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r>
      <w:tr w:rsidR="00AA1061" w:rsidRPr="002404D0" w14:paraId="3BF17135"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7D42A736" w14:textId="77777777" w:rsidR="00AA1061" w:rsidRPr="002404D0" w:rsidRDefault="00AA1061" w:rsidP="00AA1061">
            <w:pPr>
              <w:pStyle w:val="TableTextSmall"/>
              <w:keepNext/>
            </w:pPr>
            <w:r w:rsidRPr="003719FC">
              <w:t xml:space="preserve">Change due to </w:t>
            </w:r>
            <w:r>
              <w:t>People in Class</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tcPr>
          <w:p w14:paraId="0115CAC4" w14:textId="6E6F7314" w:rsidR="00AA1061" w:rsidRPr="002404D0"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4B051C">
              <w:t>-2.8%</w:t>
            </w:r>
          </w:p>
        </w:tc>
        <w:tc>
          <w:tcPr>
            <w:tcW w:w="992" w:type="dxa"/>
            <w:tcBorders>
              <w:top w:val="nil"/>
              <w:left w:val="single" w:sz="4" w:space="0" w:color="E0301E" w:themeColor="accent6"/>
              <w:bottom w:val="single" w:sz="4" w:space="0" w:color="E0301E" w:themeColor="accent6"/>
            </w:tcBorders>
            <w:shd w:val="clear" w:color="auto" w:fill="D9D9D9" w:themeFill="background1" w:themeFillShade="D9"/>
          </w:tcPr>
          <w:p w14:paraId="3C107654" w14:textId="77777777" w:rsidR="00AA1061" w:rsidRPr="002404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tcBorders>
            <w:shd w:val="clear" w:color="auto" w:fill="D9D9D9" w:themeFill="background1" w:themeFillShade="D9"/>
          </w:tcPr>
          <w:p w14:paraId="5E98460A" w14:textId="77777777" w:rsidR="00AA1061" w:rsidRPr="002404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992" w:type="dxa"/>
            <w:tcBorders>
              <w:top w:val="nil"/>
              <w:bottom w:val="single" w:sz="4" w:space="0" w:color="E0301E" w:themeColor="accent6"/>
              <w:right w:val="nil"/>
            </w:tcBorders>
            <w:shd w:val="clear" w:color="auto" w:fill="D9D9D9" w:themeFill="background1" w:themeFillShade="D9"/>
          </w:tcPr>
          <w:p w14:paraId="12C3C48D" w14:textId="77777777" w:rsidR="00AA1061" w:rsidRPr="002404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left w:val="nil"/>
              <w:bottom w:val="single" w:sz="4" w:space="0" w:color="E0301E" w:themeColor="accent6"/>
            </w:tcBorders>
            <w:shd w:val="clear" w:color="auto" w:fill="D9D9D9" w:themeFill="background1" w:themeFillShade="D9"/>
          </w:tcPr>
          <w:p w14:paraId="7B5823AB" w14:textId="77777777" w:rsidR="00AA1061" w:rsidRPr="002404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205" w:type="dxa"/>
            <w:tcBorders>
              <w:top w:val="nil"/>
              <w:bottom w:val="single" w:sz="4" w:space="0" w:color="E0301E" w:themeColor="accent6"/>
            </w:tcBorders>
            <w:shd w:val="clear" w:color="auto" w:fill="D9D9D9" w:themeFill="background1" w:themeFillShade="D9"/>
          </w:tcPr>
          <w:p w14:paraId="7F5D5E23" w14:textId="77777777" w:rsidR="00AA1061" w:rsidRPr="002404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r>
      <w:tr w:rsidR="00AA1061" w:rsidRPr="002404D0" w14:paraId="3F47680F"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3890C7E9" w14:textId="77777777" w:rsidR="00AA1061" w:rsidRPr="002404D0" w:rsidRDefault="00AA1061" w:rsidP="00AA1061">
            <w:pPr>
              <w:pStyle w:val="TableTextSmall"/>
              <w:keepNext/>
            </w:pPr>
            <w:r w:rsidRPr="002404D0">
              <w:t>Change due to Average Lifetime Cost</w:t>
            </w:r>
          </w:p>
        </w:tc>
        <w:tc>
          <w:tcPr>
            <w:tcW w:w="1276" w:type="dxa"/>
            <w:tcBorders>
              <w:left w:val="single" w:sz="4" w:space="0" w:color="E0301E" w:themeColor="accent6"/>
              <w:bottom w:val="nil"/>
              <w:right w:val="single" w:sz="4" w:space="0" w:color="E0301E" w:themeColor="accent6"/>
            </w:tcBorders>
          </w:tcPr>
          <w:p w14:paraId="2551FE54" w14:textId="449EC92A" w:rsidR="00AA1061" w:rsidRPr="002404D0"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4B051C">
              <w:t>+$12k (+2.6%)</w:t>
            </w:r>
          </w:p>
        </w:tc>
        <w:tc>
          <w:tcPr>
            <w:tcW w:w="992" w:type="dxa"/>
            <w:tcBorders>
              <w:left w:val="single" w:sz="4" w:space="0" w:color="E0301E" w:themeColor="accent6"/>
              <w:bottom w:val="nil"/>
            </w:tcBorders>
          </w:tcPr>
          <w:p w14:paraId="55969755" w14:textId="1A9836B0" w:rsidR="00AA1061" w:rsidRPr="002404D0"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4B051C">
              <w:t>+$14k</w:t>
            </w:r>
          </w:p>
        </w:tc>
        <w:tc>
          <w:tcPr>
            <w:tcW w:w="992" w:type="dxa"/>
            <w:tcBorders>
              <w:bottom w:val="nil"/>
            </w:tcBorders>
          </w:tcPr>
          <w:p w14:paraId="0D388846" w14:textId="5C76BD07"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992" w:type="dxa"/>
            <w:tcBorders>
              <w:bottom w:val="nil"/>
              <w:right w:val="dashed" w:sz="4" w:space="0" w:color="E0301E" w:themeColor="accent6"/>
            </w:tcBorders>
          </w:tcPr>
          <w:p w14:paraId="4CD0AA97" w14:textId="523E8D22" w:rsidR="00AA1061" w:rsidRPr="002404D0"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4B051C">
              <w:t>-$3k</w:t>
            </w:r>
          </w:p>
        </w:tc>
        <w:tc>
          <w:tcPr>
            <w:tcW w:w="1205" w:type="dxa"/>
            <w:tcBorders>
              <w:left w:val="dashed" w:sz="4" w:space="0" w:color="E0301E" w:themeColor="accent6"/>
              <w:bottom w:val="nil"/>
            </w:tcBorders>
          </w:tcPr>
          <w:p w14:paraId="7C2D2F6E" w14:textId="44B93827"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05" w:type="dxa"/>
            <w:tcBorders>
              <w:bottom w:val="nil"/>
            </w:tcBorders>
          </w:tcPr>
          <w:p w14:paraId="6C818139" w14:textId="10AC121A"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r>
      <w:tr w:rsidR="00AA1061" w:rsidRPr="002404D0" w14:paraId="4C6A2E7A"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316FE722" w14:textId="77777777" w:rsidR="00AA1061" w:rsidRPr="002404D0" w:rsidRDefault="00AA1061" w:rsidP="00AA1061">
            <w:pPr>
              <w:pStyle w:val="TableTextSmall"/>
              <w:keepNext/>
              <w:rPr>
                <w:b w:val="0"/>
              </w:rPr>
            </w:pPr>
            <w:r w:rsidRPr="002404D0">
              <w:t>- Impact of change in inflation</w:t>
            </w:r>
          </w:p>
        </w:tc>
        <w:tc>
          <w:tcPr>
            <w:tcW w:w="1276" w:type="dxa"/>
            <w:tcBorders>
              <w:top w:val="nil"/>
              <w:left w:val="single" w:sz="4" w:space="0" w:color="E0301E" w:themeColor="accent6"/>
              <w:bottom w:val="nil"/>
              <w:right w:val="single" w:sz="4" w:space="0" w:color="E0301E" w:themeColor="accent6"/>
            </w:tcBorders>
          </w:tcPr>
          <w:p w14:paraId="2D02DB78" w14:textId="343F326F" w:rsidR="00AA1061" w:rsidRPr="002404D0"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4B051C">
              <w:t>+$16k</w:t>
            </w:r>
          </w:p>
        </w:tc>
        <w:tc>
          <w:tcPr>
            <w:tcW w:w="992" w:type="dxa"/>
            <w:tcBorders>
              <w:top w:val="nil"/>
              <w:left w:val="single" w:sz="4" w:space="0" w:color="E0301E" w:themeColor="accent6"/>
              <w:bottom w:val="nil"/>
            </w:tcBorders>
          </w:tcPr>
          <w:p w14:paraId="61AA5572" w14:textId="777E8EA2" w:rsidR="00AA1061" w:rsidRPr="002404D0"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4B051C">
              <w:t>+$9k</w:t>
            </w:r>
          </w:p>
        </w:tc>
        <w:tc>
          <w:tcPr>
            <w:tcW w:w="992" w:type="dxa"/>
            <w:tcBorders>
              <w:top w:val="nil"/>
              <w:bottom w:val="nil"/>
            </w:tcBorders>
          </w:tcPr>
          <w:p w14:paraId="5E9CE1DC" w14:textId="4D32D38A"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992" w:type="dxa"/>
            <w:tcBorders>
              <w:top w:val="nil"/>
              <w:bottom w:val="nil"/>
              <w:right w:val="dashed" w:sz="4" w:space="0" w:color="E0301E" w:themeColor="accent6"/>
            </w:tcBorders>
          </w:tcPr>
          <w:p w14:paraId="4391A0E5" w14:textId="31EA242F" w:rsidR="00AA1061" w:rsidRPr="002404D0"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4B051C">
              <w:t>+$5k</w:t>
            </w:r>
          </w:p>
        </w:tc>
        <w:tc>
          <w:tcPr>
            <w:tcW w:w="1205" w:type="dxa"/>
            <w:tcBorders>
              <w:top w:val="nil"/>
              <w:left w:val="dashed" w:sz="4" w:space="0" w:color="E0301E" w:themeColor="accent6"/>
              <w:bottom w:val="nil"/>
            </w:tcBorders>
          </w:tcPr>
          <w:p w14:paraId="44D64137" w14:textId="7E7AEAC0"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05" w:type="dxa"/>
            <w:tcBorders>
              <w:top w:val="nil"/>
              <w:bottom w:val="nil"/>
            </w:tcBorders>
          </w:tcPr>
          <w:p w14:paraId="6A90B484" w14:textId="4C8CB31F" w:rsidR="00AA1061" w:rsidRPr="002404D0"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4B051C">
              <w:t>+$1k</w:t>
            </w:r>
          </w:p>
        </w:tc>
      </w:tr>
      <w:tr w:rsidR="000672D7" w:rsidRPr="002404D0" w14:paraId="3DD2BDB8"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2085E832" w14:textId="77777777" w:rsidR="000672D7" w:rsidRPr="002404D0" w:rsidRDefault="000672D7" w:rsidP="000672D7">
            <w:pPr>
              <w:pStyle w:val="TableTextSmall"/>
              <w:keepNext/>
              <w:rPr>
                <w:b w:val="0"/>
              </w:rPr>
            </w:pPr>
            <w:r w:rsidRPr="002404D0">
              <w:t>- Impact of policy changes</w:t>
            </w:r>
          </w:p>
        </w:tc>
        <w:tc>
          <w:tcPr>
            <w:tcW w:w="1276" w:type="dxa"/>
            <w:tcBorders>
              <w:top w:val="nil"/>
              <w:left w:val="single" w:sz="4" w:space="0" w:color="E0301E" w:themeColor="accent6"/>
              <w:bottom w:val="nil"/>
              <w:right w:val="single" w:sz="4" w:space="0" w:color="E0301E" w:themeColor="accent6"/>
            </w:tcBorders>
          </w:tcPr>
          <w:p w14:paraId="4C2992E4" w14:textId="4CC09157"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992" w:type="dxa"/>
            <w:tcBorders>
              <w:top w:val="nil"/>
              <w:left w:val="single" w:sz="4" w:space="0" w:color="E0301E" w:themeColor="accent6"/>
              <w:bottom w:val="nil"/>
            </w:tcBorders>
          </w:tcPr>
          <w:p w14:paraId="71F50EAA" w14:textId="68A714E3"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4C4E66">
              <w:rPr>
                <w:color w:val="A6A6A6" w:themeColor="background1" w:themeShade="A6"/>
              </w:rPr>
              <w:t>&lt;$1k</w:t>
            </w:r>
          </w:p>
        </w:tc>
        <w:tc>
          <w:tcPr>
            <w:tcW w:w="992" w:type="dxa"/>
            <w:tcBorders>
              <w:top w:val="nil"/>
              <w:bottom w:val="nil"/>
            </w:tcBorders>
          </w:tcPr>
          <w:p w14:paraId="614087CB" w14:textId="61F47146"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4C4E66">
              <w:rPr>
                <w:color w:val="A6A6A6" w:themeColor="background1" w:themeShade="A6"/>
              </w:rPr>
              <w:t>&lt;$1k</w:t>
            </w:r>
          </w:p>
        </w:tc>
        <w:tc>
          <w:tcPr>
            <w:tcW w:w="992" w:type="dxa"/>
            <w:tcBorders>
              <w:top w:val="nil"/>
              <w:bottom w:val="nil"/>
              <w:right w:val="dashed" w:sz="4" w:space="0" w:color="E0301E" w:themeColor="accent6"/>
            </w:tcBorders>
          </w:tcPr>
          <w:p w14:paraId="03A6504A" w14:textId="1942B7D4"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4C4E66">
              <w:rPr>
                <w:color w:val="A6A6A6" w:themeColor="background1" w:themeShade="A6"/>
              </w:rPr>
              <w:t>&lt;$1k</w:t>
            </w:r>
          </w:p>
        </w:tc>
        <w:tc>
          <w:tcPr>
            <w:tcW w:w="1205" w:type="dxa"/>
            <w:tcBorders>
              <w:top w:val="nil"/>
              <w:left w:val="dashed" w:sz="4" w:space="0" w:color="E0301E" w:themeColor="accent6"/>
              <w:bottom w:val="nil"/>
            </w:tcBorders>
          </w:tcPr>
          <w:p w14:paraId="1E62DCAF" w14:textId="330A00A7"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4C4E66">
              <w:rPr>
                <w:color w:val="A6A6A6" w:themeColor="background1" w:themeShade="A6"/>
              </w:rPr>
              <w:t>&lt;$1k</w:t>
            </w:r>
          </w:p>
        </w:tc>
        <w:tc>
          <w:tcPr>
            <w:tcW w:w="1205" w:type="dxa"/>
            <w:tcBorders>
              <w:top w:val="nil"/>
              <w:bottom w:val="nil"/>
            </w:tcBorders>
          </w:tcPr>
          <w:p w14:paraId="51B8E915" w14:textId="0CD16355"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4C4E66">
              <w:rPr>
                <w:color w:val="A6A6A6" w:themeColor="background1" w:themeShade="A6"/>
              </w:rPr>
              <w:t>&lt;$1k</w:t>
            </w:r>
          </w:p>
        </w:tc>
      </w:tr>
      <w:tr w:rsidR="00AA1061" w:rsidRPr="009210D0" w14:paraId="524BF5D6"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58C515AE" w14:textId="77777777" w:rsidR="00AA1061" w:rsidRPr="002404D0" w:rsidRDefault="00AA1061" w:rsidP="00AA1061">
            <w:pPr>
              <w:pStyle w:val="TableTextSmall"/>
              <w:rPr>
                <w:b w:val="0"/>
              </w:rPr>
            </w:pPr>
            <w:r w:rsidRPr="002404D0">
              <w:t>- Impact of other changes</w:t>
            </w:r>
          </w:p>
        </w:tc>
        <w:tc>
          <w:tcPr>
            <w:tcW w:w="1276" w:type="dxa"/>
            <w:tcBorders>
              <w:top w:val="nil"/>
              <w:left w:val="single" w:sz="4" w:space="0" w:color="E0301E" w:themeColor="accent6"/>
              <w:right w:val="single" w:sz="4" w:space="0" w:color="E0301E" w:themeColor="accent6"/>
            </w:tcBorders>
          </w:tcPr>
          <w:p w14:paraId="1BDDAC40" w14:textId="57DC68DA" w:rsidR="00AA1061" w:rsidRPr="002404D0"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uto"/>
              </w:rPr>
            </w:pPr>
            <w:r w:rsidRPr="004B051C">
              <w:t>-$3k</w:t>
            </w:r>
          </w:p>
        </w:tc>
        <w:tc>
          <w:tcPr>
            <w:tcW w:w="992" w:type="dxa"/>
            <w:tcBorders>
              <w:top w:val="nil"/>
              <w:left w:val="single" w:sz="4" w:space="0" w:color="E0301E" w:themeColor="accent6"/>
            </w:tcBorders>
          </w:tcPr>
          <w:p w14:paraId="2225C647" w14:textId="3DAF5D25" w:rsidR="00AA1061" w:rsidRPr="002404D0"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r w:rsidRPr="004B051C">
              <w:t>+$5k</w:t>
            </w:r>
          </w:p>
        </w:tc>
        <w:tc>
          <w:tcPr>
            <w:tcW w:w="992" w:type="dxa"/>
            <w:tcBorders>
              <w:top w:val="nil"/>
            </w:tcBorders>
          </w:tcPr>
          <w:p w14:paraId="1E346005" w14:textId="0B952824"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992" w:type="dxa"/>
            <w:tcBorders>
              <w:top w:val="nil"/>
              <w:right w:val="dashed" w:sz="4" w:space="0" w:color="E0301E" w:themeColor="accent6"/>
            </w:tcBorders>
          </w:tcPr>
          <w:p w14:paraId="5A546B91" w14:textId="74319C6E" w:rsidR="00AA1061" w:rsidRPr="002404D0"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r w:rsidRPr="004B051C">
              <w:t>-$8k</w:t>
            </w:r>
          </w:p>
        </w:tc>
        <w:tc>
          <w:tcPr>
            <w:tcW w:w="1205" w:type="dxa"/>
            <w:tcBorders>
              <w:top w:val="nil"/>
              <w:left w:val="dashed" w:sz="4" w:space="0" w:color="E0301E" w:themeColor="accent6"/>
            </w:tcBorders>
          </w:tcPr>
          <w:p w14:paraId="73AF8C03" w14:textId="2E4B205F"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05" w:type="dxa"/>
            <w:tcBorders>
              <w:top w:val="nil"/>
            </w:tcBorders>
          </w:tcPr>
          <w:p w14:paraId="309B5656" w14:textId="283BF318"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r>
    </w:tbl>
    <w:p w14:paraId="362AA9DF" w14:textId="1EE9A93A" w:rsidR="00822C99" w:rsidRPr="00654EEE" w:rsidRDefault="00822C99" w:rsidP="00822C99">
      <w:pPr>
        <w:pStyle w:val="PwCNormal"/>
        <w:numPr>
          <w:ilvl w:val="0"/>
          <w:numId w:val="33"/>
        </w:numPr>
      </w:pPr>
      <w:r w:rsidRPr="00654EEE">
        <w:t xml:space="preserve">The </w:t>
      </w:r>
      <w:r w:rsidR="00003814">
        <w:t>change</w:t>
      </w:r>
      <w:r w:rsidR="00003814" w:rsidRPr="00654EEE">
        <w:t xml:space="preserve"> </w:t>
      </w:r>
      <w:r w:rsidRPr="00654EEE">
        <w:t>in average cost has been primarily driven by:</w:t>
      </w:r>
    </w:p>
    <w:p w14:paraId="1DC38DC1" w14:textId="77777777" w:rsidR="00822C99" w:rsidRPr="00017177" w:rsidRDefault="00822C99" w:rsidP="00822C99">
      <w:pPr>
        <w:pStyle w:val="ListBullet"/>
      </w:pPr>
      <w:r w:rsidRPr="00017177">
        <w:t>an increase in the cost of future payments as a result of inflation;</w:t>
      </w:r>
    </w:p>
    <w:p w14:paraId="7221F25D" w14:textId="1E35F58E" w:rsidR="00822C99" w:rsidRPr="00411889" w:rsidRDefault="00822C99" w:rsidP="00822C99">
      <w:pPr>
        <w:pStyle w:val="ListBullet"/>
      </w:pPr>
      <w:r w:rsidRPr="00411889">
        <w:t>the continued impact of the DSP medical reviews</w:t>
      </w:r>
      <w:r w:rsidR="000672D7">
        <w:t xml:space="preserve"> and tightened eligibility criteria</w:t>
      </w:r>
      <w:r w:rsidRPr="00411889">
        <w:t xml:space="preserve"> leading to </w:t>
      </w:r>
      <w:r>
        <w:t xml:space="preserve">a group of current </w:t>
      </w:r>
      <w:r w:rsidRPr="00411889">
        <w:t>DSP</w:t>
      </w:r>
      <w:r>
        <w:t xml:space="preserve"> recipients who have a more severe disability on average compared to the group of DSP recipients at the previous valuation, and as a result have a higher expected persistence on DSP payments and are expected to receive a higher rate of payment</w:t>
      </w:r>
      <w:r w:rsidRPr="00411889">
        <w:t>; and</w:t>
      </w:r>
    </w:p>
    <w:p w14:paraId="1B5BBE0B" w14:textId="7E10A4FC" w:rsidR="00822C99" w:rsidRDefault="00C37F57" w:rsidP="00F514B0">
      <w:pPr>
        <w:pStyle w:val="ListBullet"/>
      </w:pPr>
      <w:r w:rsidRPr="005F7C50">
        <w:t xml:space="preserve">a </w:t>
      </w:r>
      <w:r w:rsidR="00003814">
        <w:t xml:space="preserve">reduction </w:t>
      </w:r>
      <w:r w:rsidRPr="005F7C50">
        <w:t xml:space="preserve">in the expected amount of </w:t>
      </w:r>
      <w:r w:rsidR="00003814">
        <w:t xml:space="preserve">future </w:t>
      </w:r>
      <w:r w:rsidRPr="005F7C50">
        <w:t>Age Pension payments</w:t>
      </w:r>
      <w:r>
        <w:t xml:space="preserve"> - the average Age Pension size has been adjusted in response to the observed increase in average payments to new pensioners</w:t>
      </w:r>
      <w:r w:rsidRPr="005F7C50">
        <w:t>.</w:t>
      </w:r>
      <w:r w:rsidR="00822C99">
        <w:t xml:space="preserve"> This</w:t>
      </w:r>
      <w:r w:rsidR="00822C99" w:rsidRPr="00654EEE">
        <w:t xml:space="preserve"> increas</w:t>
      </w:r>
      <w:r w:rsidR="00822C99">
        <w:t xml:space="preserve">e is however more than offset by </w:t>
      </w:r>
      <w:r w:rsidR="00822C99" w:rsidRPr="00EA1B60">
        <w:t xml:space="preserve">a </w:t>
      </w:r>
      <w:r w:rsidR="00822C99">
        <w:t xml:space="preserve">smaller </w:t>
      </w:r>
      <w:r w:rsidR="00822C99" w:rsidRPr="00EA1B60">
        <w:t xml:space="preserve">proportion of DSP recipients transitioning to Age Pension payments. This may be due to </w:t>
      </w:r>
      <w:r w:rsidR="00822C99">
        <w:t>there being a higher proportion of current DSP recipients who have cancer relative to the group at the previous valuation, and as a result being more likely to pass away earlier and draw less on the age pension</w:t>
      </w:r>
      <w:r w:rsidR="00822C99" w:rsidRPr="00EA1B60">
        <w:t>.</w:t>
      </w:r>
    </w:p>
    <w:p w14:paraId="7971A636" w14:textId="77777777" w:rsidR="00266179" w:rsidRPr="005D46E2" w:rsidRDefault="00266179" w:rsidP="00266179">
      <w:pPr>
        <w:pStyle w:val="Minorheading"/>
      </w:pPr>
      <w:r w:rsidRPr="005D46E2">
        <w:t>Future outcomes</w:t>
      </w:r>
    </w:p>
    <w:p w14:paraId="1802569D" w14:textId="77777777" w:rsidR="00266179" w:rsidRPr="005D46E2" w:rsidRDefault="00266179" w:rsidP="00266179">
      <w:pPr>
        <w:pStyle w:val="PwCNormal-keepwithnext"/>
        <w:numPr>
          <w:ilvl w:val="0"/>
          <w:numId w:val="1"/>
        </w:numPr>
      </w:pPr>
      <w:r w:rsidRPr="005D46E2">
        <w:t xml:space="preserve">In developing the valuation results, the projection model also produces information on the expected transitions for people out of each class, as shown below. </w:t>
      </w:r>
    </w:p>
    <w:p w14:paraId="2CC17537" w14:textId="3EC99003" w:rsidR="00266179" w:rsidRPr="005D46E2" w:rsidRDefault="00266179" w:rsidP="00266179">
      <w:pPr>
        <w:pStyle w:val="Caption"/>
      </w:pPr>
      <w:r w:rsidRPr="005D46E2">
        <w:t xml:space="preserve">Figure </w:t>
      </w:r>
      <w:fldSimple w:instr=" SEQ Figure \* ARABIC ">
        <w:r w:rsidR="00C93C1A">
          <w:rPr>
            <w:noProof/>
          </w:rPr>
          <w:t>74</w:t>
        </w:r>
      </w:fldSimple>
      <w:r w:rsidRPr="005D46E2">
        <w:t xml:space="preserve">: Expected future trajectory for people in </w:t>
      </w:r>
      <w:r w:rsidR="00871E70">
        <w:t>c</w:t>
      </w:r>
      <w:r w:rsidRPr="005D46E2">
        <w:t>lass 5</w:t>
      </w:r>
    </w:p>
    <w:tbl>
      <w:tblPr>
        <w:tblStyle w:val="Tables-APBase"/>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5"/>
        <w:tblDescription w:val="This figure is a vertical bar chart. The horizontal axis shows the years 2016 to 2086. The 7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782,000 individuals who were in the disability support class at 30 June 2016.&#10;&#10;The chart shows that around 60% of this group are projected to be in the disability support class in 2026, with a large majority of the remaining 40% projected to be in either the pension age class or the dead class. The chart shows that most people are projected to only exit the class through either retirement or death, with less than 10% of this group projected to move to any of the other welfare classes at any future year. &#10;&#10;The features shown in the chart are discussed further in the accompanying text within the report.&#10;"/>
      </w:tblPr>
      <w:tblGrid>
        <w:gridCol w:w="6920"/>
        <w:gridCol w:w="3161"/>
      </w:tblGrid>
      <w:tr w:rsidR="00266179" w:rsidRPr="009210D0" w14:paraId="1B6F3A67" w14:textId="77777777" w:rsidTr="007B0A8D">
        <w:trPr>
          <w:tblHeader/>
        </w:trPr>
        <w:tc>
          <w:tcPr>
            <w:tcW w:w="6453" w:type="dxa"/>
          </w:tcPr>
          <w:p w14:paraId="14BA90F4" w14:textId="77777777" w:rsidR="00266179" w:rsidRPr="005D46E2" w:rsidRDefault="00266179" w:rsidP="00407066">
            <w:pPr>
              <w:pStyle w:val="TableTextSmall"/>
            </w:pPr>
            <w:r w:rsidRPr="005D46E2">
              <w:rPr>
                <w:noProof/>
                <w:lang w:eastAsia="en-AU"/>
              </w:rPr>
              <w:drawing>
                <wp:inline distT="0" distB="0" distL="0" distR="0" wp14:anchorId="639EFE56" wp14:editId="2304D6CB">
                  <wp:extent cx="4028510" cy="2160000"/>
                  <wp:effectExtent l="0" t="0" r="0" b="0"/>
                  <wp:docPr id="838" name="Picture 838" descr="This figure is a vertical bar chart. The horizontal axis shows the years 2017 to 2047. The 3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760,000 individuals who were in the disability support class at 30 June 2017.&#10;&#10;The chart shows that around 60% of this group are projected to be in the disability support class in 2027, with a large majority of the remaining 40% projected to be in either the pension age class or the dead class. The chart shows that most people are projected to only exit the class through either retirement or death, with less than 10% of this group projected to move to any of the other welfare classes at any future year. &#10;&#10;The Jun16 proportion of people in all active classes and the Jun16 proportion of people in the Disability Support class are also shown. For all active classes, the proportion of people in Jun17 is between 0% - 3% lower than in the previous year while for the Disability Support class, the proportion of people in Jun17 is between 0% - 3% higher than in the previous year. &#10;&#10;The features shown in the chart are discussed further in the accompanying text within the report.&#10;" title="Expected future trajectory for people in clas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028510" cy="2160000"/>
                          </a:xfrm>
                          <a:prstGeom prst="rect">
                            <a:avLst/>
                          </a:prstGeom>
                          <a:noFill/>
                          <a:ln>
                            <a:noFill/>
                          </a:ln>
                        </pic:spPr>
                      </pic:pic>
                    </a:graphicData>
                  </a:graphic>
                </wp:inline>
              </w:drawing>
            </w:r>
          </w:p>
        </w:tc>
        <w:tc>
          <w:tcPr>
            <w:tcW w:w="2948" w:type="dxa"/>
          </w:tcPr>
          <w:p w14:paraId="5457AF8A" w14:textId="77777777" w:rsidR="00266179" w:rsidRPr="005D46E2" w:rsidRDefault="00266179" w:rsidP="00407066">
            <w:pPr>
              <w:pStyle w:val="TableTextSmall"/>
            </w:pPr>
          </w:p>
          <w:p w14:paraId="42F6253D" w14:textId="53EEDE93" w:rsidR="00266179" w:rsidRPr="005D46E2" w:rsidRDefault="003668BA" w:rsidP="00407066">
            <w:pPr>
              <w:pStyle w:val="TableTextSmall"/>
            </w:pPr>
            <w:r w:rsidRPr="003668BA">
              <w:rPr>
                <w:noProof/>
                <w:lang w:eastAsia="en-AU"/>
              </w:rPr>
              <w:drawing>
                <wp:inline distT="0" distB="0" distL="0" distR="0" wp14:anchorId="0DDD818D" wp14:editId="01D13CDF">
                  <wp:extent cx="1440000" cy="1779387"/>
                  <wp:effectExtent l="0" t="0" r="0" b="0"/>
                  <wp:docPr id="3897" name="Picture 3897"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p w14:paraId="77FF6268" w14:textId="77777777" w:rsidR="00266179" w:rsidRPr="005D46E2" w:rsidRDefault="00266179" w:rsidP="00407066">
            <w:pPr>
              <w:pStyle w:val="TableTextSmall"/>
            </w:pPr>
          </w:p>
        </w:tc>
      </w:tr>
    </w:tbl>
    <w:p w14:paraId="610BE47A" w14:textId="77777777" w:rsidR="007B0A8D" w:rsidRPr="004730B3" w:rsidRDefault="007B0A8D" w:rsidP="007B0A8D">
      <w:pPr>
        <w:pStyle w:val="PwCNormal"/>
        <w:numPr>
          <w:ilvl w:val="0"/>
          <w:numId w:val="0"/>
        </w:numPr>
      </w:pPr>
      <w:r w:rsidRPr="004730B3">
        <w:t xml:space="preserve">This reinforces the observation that most people </w:t>
      </w:r>
      <w:r>
        <w:t xml:space="preserve">are </w:t>
      </w:r>
      <w:r w:rsidRPr="004730B3">
        <w:t xml:space="preserve">only </w:t>
      </w:r>
      <w:r>
        <w:t xml:space="preserve">expected to </w:t>
      </w:r>
      <w:r w:rsidRPr="004730B3">
        <w:t xml:space="preserve">exit this class through death or retirement. </w:t>
      </w:r>
    </w:p>
    <w:p w14:paraId="2049164E" w14:textId="0C17BC59" w:rsidR="007B0A8D" w:rsidRPr="004730B3" w:rsidRDefault="007B0A8D" w:rsidP="007B0A8D">
      <w:pPr>
        <w:pStyle w:val="ListBullet"/>
      </w:pPr>
      <w:r w:rsidRPr="004730B3">
        <w:t xml:space="preserve">More than 60% of the people in this class are </w:t>
      </w:r>
      <w:r>
        <w:t>projected</w:t>
      </w:r>
      <w:r w:rsidRPr="004730B3">
        <w:t xml:space="preserve"> to remain there for the next 10 years (or exit and subsequently return) and 38% are expected still to be receiving </w:t>
      </w:r>
      <w:r w:rsidR="006D014F">
        <w:t>Disability Support Pension</w:t>
      </w:r>
      <w:r w:rsidRPr="004730B3">
        <w:t xml:space="preserve"> in 20 years’ time.</w:t>
      </w:r>
    </w:p>
    <w:p w14:paraId="40866B7D" w14:textId="0668F6D0" w:rsidR="00266179" w:rsidRPr="004730B3" w:rsidRDefault="007B0A8D" w:rsidP="007B0A8D">
      <w:pPr>
        <w:pStyle w:val="ListBullet"/>
      </w:pPr>
      <w:r w:rsidRPr="004730B3">
        <w:t xml:space="preserve">54% of the people currently in the class are expected to be receiving either DSP or </w:t>
      </w:r>
      <w:r w:rsidR="003D4216">
        <w:t>A</w:t>
      </w:r>
      <w:r w:rsidRPr="004730B3">
        <w:t xml:space="preserve">ge </w:t>
      </w:r>
      <w:r w:rsidR="003D4216">
        <w:t>P</w:t>
      </w:r>
      <w:r w:rsidRPr="004730B3">
        <w:t>ension in 30 years’ time (and are most likely to also do so for all the intervening years).</w:t>
      </w:r>
    </w:p>
    <w:p w14:paraId="7FD67020" w14:textId="77777777" w:rsidR="00266179" w:rsidRPr="002577A7" w:rsidRDefault="00266179" w:rsidP="00266179">
      <w:pPr>
        <w:pStyle w:val="Minorheading"/>
      </w:pPr>
      <w:r w:rsidRPr="002577A7">
        <w:lastRenderedPageBreak/>
        <w:t>Duration</w:t>
      </w:r>
    </w:p>
    <w:p w14:paraId="60987408" w14:textId="77777777" w:rsidR="00266179" w:rsidRPr="002577A7" w:rsidRDefault="00266179" w:rsidP="00266179">
      <w:pPr>
        <w:pStyle w:val="PwCNormal"/>
        <w:numPr>
          <w:ilvl w:val="0"/>
          <w:numId w:val="1"/>
        </w:numPr>
      </w:pPr>
      <w:r w:rsidRPr="002577A7">
        <w:t xml:space="preserve">The average future life expectancy for the Disability Support class is </w:t>
      </w:r>
      <w:r w:rsidRPr="002577A7">
        <w:rPr>
          <w:b/>
        </w:rPr>
        <w:t>34</w:t>
      </w:r>
      <w:r w:rsidRPr="002577A7">
        <w:t xml:space="preserve"> years. This reflects that a significant proportion of this class is approaching retirement age.</w:t>
      </w:r>
    </w:p>
    <w:p w14:paraId="53A85336" w14:textId="77777777" w:rsidR="00266179" w:rsidRPr="002577A7" w:rsidRDefault="00266179" w:rsidP="00266179">
      <w:pPr>
        <w:pStyle w:val="PwCNormal"/>
        <w:numPr>
          <w:ilvl w:val="0"/>
          <w:numId w:val="0"/>
        </w:numPr>
      </w:pPr>
      <w:r w:rsidRPr="002577A7">
        <w:t>The table below provides a summary of the expected welfare system use of people currently in this class over this time. This has been developed by considering which classes people move into as they move through the welfare system over their lives.</w:t>
      </w:r>
    </w:p>
    <w:p w14:paraId="7B8D2591" w14:textId="10C7A4CF" w:rsidR="00266179" w:rsidRPr="002577A7" w:rsidRDefault="00266179" w:rsidP="00266179">
      <w:pPr>
        <w:pStyle w:val="Caption"/>
      </w:pPr>
      <w:r w:rsidRPr="002577A7">
        <w:t xml:space="preserve">Table </w:t>
      </w:r>
      <w:fldSimple w:instr=" SEQ Table \* ARABIC ">
        <w:r w:rsidR="00C93C1A">
          <w:rPr>
            <w:noProof/>
          </w:rPr>
          <w:t>37</w:t>
        </w:r>
      </w:fldSimple>
      <w:r w:rsidRPr="002577A7">
        <w:t xml:space="preserve">: Expected durations in welfare system for people currently in </w:t>
      </w:r>
      <w:r w:rsidR="00871E70">
        <w:t>c</w:t>
      </w:r>
      <w:r w:rsidRPr="002577A7">
        <w:t>lass 5</w:t>
      </w:r>
    </w:p>
    <w:tbl>
      <w:tblPr>
        <w:tblStyle w:val="ListTable3-Accent61"/>
        <w:tblW w:w="8868" w:type="dxa"/>
        <w:tblInd w:w="108" w:type="dxa"/>
        <w:tblLook w:val="04A0" w:firstRow="1" w:lastRow="0" w:firstColumn="1" w:lastColumn="0" w:noHBand="0" w:noVBand="1"/>
        <w:tblCaption w:val=" Expected durations in welfare system for people currently in Class 5"/>
        <w:tblDescription w:val="This table provides data on the expected number of years people currently in Class 5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roportion of their future lifetime.  The expected future life expectancy of people in Class 5 is 34 years. Further features of the data in this table are discussed in the accompanying text within the report."/>
      </w:tblPr>
      <w:tblGrid>
        <w:gridCol w:w="3828"/>
        <w:gridCol w:w="2520"/>
        <w:gridCol w:w="2520"/>
      </w:tblGrid>
      <w:tr w:rsidR="00266179" w:rsidRPr="009210D0" w14:paraId="7AB8DCA0" w14:textId="77777777" w:rsidTr="004070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70E71B8B" w14:textId="77777777" w:rsidR="00266179" w:rsidRPr="002577A7" w:rsidRDefault="00266179" w:rsidP="00407066">
            <w:pPr>
              <w:pStyle w:val="TableTextSmall"/>
              <w:jc w:val="center"/>
              <w:rPr>
                <w:rFonts w:asciiTheme="majorHAnsi" w:hAnsiTheme="majorHAnsi"/>
                <w:color w:val="FFFFFF" w:themeColor="background1"/>
              </w:rPr>
            </w:pPr>
          </w:p>
        </w:tc>
        <w:tc>
          <w:tcPr>
            <w:tcW w:w="2520" w:type="dxa"/>
          </w:tcPr>
          <w:p w14:paraId="6D1884AD" w14:textId="77777777" w:rsidR="00266179" w:rsidRPr="002577A7" w:rsidRDefault="00266179" w:rsidP="00407066">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577A7">
              <w:rPr>
                <w:rFonts w:asciiTheme="majorHAnsi" w:hAnsiTheme="majorHAnsi"/>
                <w:color w:val="FFFFFF" w:themeColor="background1"/>
              </w:rPr>
              <w:t>Expected Years</w:t>
            </w:r>
          </w:p>
        </w:tc>
        <w:tc>
          <w:tcPr>
            <w:tcW w:w="2520" w:type="dxa"/>
          </w:tcPr>
          <w:p w14:paraId="60A6D150" w14:textId="77777777" w:rsidR="00266179" w:rsidRPr="002577A7" w:rsidRDefault="00266179" w:rsidP="00407066">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577A7">
              <w:rPr>
                <w:rFonts w:asciiTheme="majorHAnsi" w:hAnsiTheme="majorHAnsi"/>
                <w:color w:val="FFFFFF" w:themeColor="background1"/>
              </w:rPr>
              <w:t>Proportion of Future Lifetime</w:t>
            </w:r>
          </w:p>
        </w:tc>
      </w:tr>
      <w:tr w:rsidR="00266179" w:rsidRPr="009210D0" w14:paraId="0AD9C8BA" w14:textId="77777777" w:rsidTr="00407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0F4DBEA" w14:textId="77777777" w:rsidR="00266179" w:rsidRPr="002577A7" w:rsidRDefault="00266179" w:rsidP="00407066">
            <w:pPr>
              <w:pStyle w:val="TableTextSmall"/>
            </w:pPr>
            <w:r w:rsidRPr="002577A7">
              <w:t>Years with some income support payments:</w:t>
            </w:r>
          </w:p>
          <w:p w14:paraId="6CA56829" w14:textId="4561738F" w:rsidR="00266179" w:rsidRPr="002577A7" w:rsidRDefault="00266179" w:rsidP="00964D65">
            <w:pPr>
              <w:pStyle w:val="TableTextSmall"/>
              <w:numPr>
                <w:ilvl w:val="0"/>
                <w:numId w:val="36"/>
              </w:numPr>
            </w:pPr>
            <w:r w:rsidRPr="002577A7">
              <w:t>Not age pension (classes 1-5)</w:t>
            </w:r>
          </w:p>
          <w:p w14:paraId="2099EA07" w14:textId="6ED9141A" w:rsidR="00266179" w:rsidRPr="002577A7" w:rsidRDefault="00266179" w:rsidP="00964D65">
            <w:pPr>
              <w:pStyle w:val="TableTextSmall"/>
              <w:numPr>
                <w:ilvl w:val="0"/>
                <w:numId w:val="36"/>
              </w:numPr>
            </w:pPr>
            <w:r w:rsidRPr="002577A7">
              <w:t>Age pension (class 6)</w:t>
            </w:r>
          </w:p>
        </w:tc>
        <w:tc>
          <w:tcPr>
            <w:tcW w:w="2520" w:type="dxa"/>
          </w:tcPr>
          <w:p w14:paraId="4BB3CF35" w14:textId="77777777" w:rsidR="00266179" w:rsidRPr="002577A7" w:rsidRDefault="00266179" w:rsidP="00407066">
            <w:pPr>
              <w:pStyle w:val="TableTextSmall"/>
              <w:jc w:val="center"/>
              <w:cnfStyle w:val="000000100000" w:firstRow="0" w:lastRow="0" w:firstColumn="0" w:lastColumn="0" w:oddVBand="0" w:evenVBand="0" w:oddHBand="1" w:evenHBand="0" w:firstRowFirstColumn="0" w:firstRowLastColumn="0" w:lastRowFirstColumn="0" w:lastRowLastColumn="0"/>
            </w:pPr>
            <w:r w:rsidRPr="002577A7">
              <w:br/>
              <w:t>18</w:t>
            </w:r>
          </w:p>
          <w:p w14:paraId="4C20F4BA" w14:textId="77777777" w:rsidR="00266179" w:rsidRPr="002577A7" w:rsidRDefault="00266179" w:rsidP="00407066">
            <w:pPr>
              <w:pStyle w:val="TableTextSmall"/>
              <w:jc w:val="center"/>
              <w:cnfStyle w:val="000000100000" w:firstRow="0" w:lastRow="0" w:firstColumn="0" w:lastColumn="0" w:oddVBand="0" w:evenVBand="0" w:oddHBand="1" w:evenHBand="0" w:firstRowFirstColumn="0" w:firstRowLastColumn="0" w:lastRowFirstColumn="0" w:lastRowLastColumn="0"/>
            </w:pPr>
            <w:r>
              <w:t>14</w:t>
            </w:r>
          </w:p>
        </w:tc>
        <w:tc>
          <w:tcPr>
            <w:tcW w:w="2520" w:type="dxa"/>
          </w:tcPr>
          <w:p w14:paraId="2759608F" w14:textId="77777777" w:rsidR="00266179" w:rsidRPr="002577A7" w:rsidRDefault="00266179" w:rsidP="00407066">
            <w:pPr>
              <w:pStyle w:val="TableTextSmall"/>
              <w:jc w:val="center"/>
              <w:cnfStyle w:val="000000100000" w:firstRow="0" w:lastRow="0" w:firstColumn="0" w:lastColumn="0" w:oddVBand="0" w:evenVBand="0" w:oddHBand="1" w:evenHBand="0" w:firstRowFirstColumn="0" w:firstRowLastColumn="0" w:lastRowFirstColumn="0" w:lastRowLastColumn="0"/>
            </w:pPr>
            <w:r w:rsidRPr="002577A7">
              <w:br/>
              <w:t>5</w:t>
            </w:r>
            <w:r>
              <w:t>4</w:t>
            </w:r>
            <w:r w:rsidRPr="002577A7">
              <w:t>%</w:t>
            </w:r>
          </w:p>
          <w:p w14:paraId="2ADA1163" w14:textId="77777777" w:rsidR="00266179" w:rsidRPr="002577A7" w:rsidRDefault="00266179" w:rsidP="00407066">
            <w:pPr>
              <w:pStyle w:val="TableTextSmall"/>
              <w:jc w:val="center"/>
              <w:cnfStyle w:val="000000100000" w:firstRow="0" w:lastRow="0" w:firstColumn="0" w:lastColumn="0" w:oddVBand="0" w:evenVBand="0" w:oddHBand="1" w:evenHBand="0" w:firstRowFirstColumn="0" w:firstRowLastColumn="0" w:lastRowFirstColumn="0" w:lastRowLastColumn="0"/>
            </w:pPr>
            <w:r w:rsidRPr="002577A7">
              <w:t>4</w:t>
            </w:r>
            <w:r>
              <w:t>1</w:t>
            </w:r>
            <w:r w:rsidRPr="002577A7">
              <w:t>%</w:t>
            </w:r>
          </w:p>
        </w:tc>
      </w:tr>
      <w:tr w:rsidR="00266179" w:rsidRPr="009210D0" w14:paraId="0466FDFE" w14:textId="77777777" w:rsidTr="00407066">
        <w:tc>
          <w:tcPr>
            <w:cnfStyle w:val="001000000000" w:firstRow="0" w:lastRow="0" w:firstColumn="1" w:lastColumn="0" w:oddVBand="0" w:evenVBand="0" w:oddHBand="0" w:evenHBand="0" w:firstRowFirstColumn="0" w:firstRowLastColumn="0" w:lastRowFirstColumn="0" w:lastRowLastColumn="0"/>
            <w:tcW w:w="3828" w:type="dxa"/>
          </w:tcPr>
          <w:p w14:paraId="5FF63F2A" w14:textId="64E7AB58" w:rsidR="00266179" w:rsidRPr="002577A7" w:rsidRDefault="00266179" w:rsidP="00407066">
            <w:pPr>
              <w:pStyle w:val="TableTextSmall"/>
            </w:pPr>
            <w:r w:rsidRPr="002577A7">
              <w:t xml:space="preserve">Years with </w:t>
            </w:r>
            <w:r w:rsidR="005B3E7D">
              <w:t>non income</w:t>
            </w:r>
            <w:r w:rsidRPr="002577A7">
              <w:t xml:space="preserve"> support payments only</w:t>
            </w:r>
          </w:p>
        </w:tc>
        <w:tc>
          <w:tcPr>
            <w:tcW w:w="2520" w:type="dxa"/>
          </w:tcPr>
          <w:p w14:paraId="04E225EC" w14:textId="77777777" w:rsidR="00266179" w:rsidRPr="002577A7" w:rsidRDefault="00266179" w:rsidP="00407066">
            <w:pPr>
              <w:pStyle w:val="TableTextSmall"/>
              <w:jc w:val="center"/>
              <w:cnfStyle w:val="000000000000" w:firstRow="0" w:lastRow="0" w:firstColumn="0" w:lastColumn="0" w:oddVBand="0" w:evenVBand="0" w:oddHBand="0" w:evenHBand="0" w:firstRowFirstColumn="0" w:firstRowLastColumn="0" w:lastRowFirstColumn="0" w:lastRowLastColumn="0"/>
            </w:pPr>
            <w:r w:rsidRPr="002577A7">
              <w:t>0</w:t>
            </w:r>
          </w:p>
        </w:tc>
        <w:tc>
          <w:tcPr>
            <w:tcW w:w="2520" w:type="dxa"/>
          </w:tcPr>
          <w:p w14:paraId="72D58548" w14:textId="77777777" w:rsidR="00266179" w:rsidRPr="002577A7" w:rsidRDefault="00266179" w:rsidP="00407066">
            <w:pPr>
              <w:pStyle w:val="TableTextSmall"/>
              <w:jc w:val="center"/>
              <w:cnfStyle w:val="000000000000" w:firstRow="0" w:lastRow="0" w:firstColumn="0" w:lastColumn="0" w:oddVBand="0" w:evenVBand="0" w:oddHBand="0" w:evenHBand="0" w:firstRowFirstColumn="0" w:firstRowLastColumn="0" w:lastRowFirstColumn="0" w:lastRowLastColumn="0"/>
            </w:pPr>
            <w:r w:rsidRPr="002577A7">
              <w:t>1%</w:t>
            </w:r>
          </w:p>
        </w:tc>
      </w:tr>
      <w:tr w:rsidR="00266179" w:rsidRPr="009210D0" w14:paraId="4B0BF01B" w14:textId="77777777" w:rsidTr="00407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E2A9CDC" w14:textId="77777777" w:rsidR="00266179" w:rsidRPr="002577A7" w:rsidRDefault="00266179" w:rsidP="00407066">
            <w:pPr>
              <w:pStyle w:val="TableTextSmall"/>
            </w:pPr>
            <w:r w:rsidRPr="002577A7">
              <w:t>Years not receiving any welfare payments</w:t>
            </w:r>
          </w:p>
        </w:tc>
        <w:tc>
          <w:tcPr>
            <w:tcW w:w="2520" w:type="dxa"/>
          </w:tcPr>
          <w:p w14:paraId="43D0AED7" w14:textId="77777777" w:rsidR="00266179" w:rsidRPr="002577A7" w:rsidRDefault="00266179" w:rsidP="00407066">
            <w:pPr>
              <w:pStyle w:val="TableTextSmall"/>
              <w:jc w:val="center"/>
              <w:cnfStyle w:val="000000100000" w:firstRow="0" w:lastRow="0" w:firstColumn="0" w:lastColumn="0" w:oddVBand="0" w:evenVBand="0" w:oddHBand="1" w:evenHBand="0" w:firstRowFirstColumn="0" w:firstRowLastColumn="0" w:lastRowFirstColumn="0" w:lastRowLastColumn="0"/>
            </w:pPr>
            <w:r w:rsidRPr="002577A7">
              <w:t>1</w:t>
            </w:r>
          </w:p>
        </w:tc>
        <w:tc>
          <w:tcPr>
            <w:tcW w:w="2520" w:type="dxa"/>
          </w:tcPr>
          <w:p w14:paraId="37D03EF4" w14:textId="77777777" w:rsidR="00266179" w:rsidRPr="002577A7" w:rsidRDefault="00266179" w:rsidP="00407066">
            <w:pPr>
              <w:pStyle w:val="TableTextSmall"/>
              <w:jc w:val="center"/>
              <w:cnfStyle w:val="000000100000" w:firstRow="0" w:lastRow="0" w:firstColumn="0" w:lastColumn="0" w:oddVBand="0" w:evenVBand="0" w:oddHBand="1" w:evenHBand="0" w:firstRowFirstColumn="0" w:firstRowLastColumn="0" w:lastRowFirstColumn="0" w:lastRowLastColumn="0"/>
            </w:pPr>
            <w:r>
              <w:t>4</w:t>
            </w:r>
            <w:r w:rsidRPr="002577A7">
              <w:t>%</w:t>
            </w:r>
          </w:p>
        </w:tc>
      </w:tr>
      <w:tr w:rsidR="00266179" w:rsidRPr="009210D0" w14:paraId="6690EB45" w14:textId="77777777" w:rsidTr="00407066">
        <w:tc>
          <w:tcPr>
            <w:cnfStyle w:val="001000000000" w:firstRow="0" w:lastRow="0" w:firstColumn="1" w:lastColumn="0" w:oddVBand="0" w:evenVBand="0" w:oddHBand="0" w:evenHBand="0" w:firstRowFirstColumn="0" w:firstRowLastColumn="0" w:lastRowFirstColumn="0" w:lastRowLastColumn="0"/>
            <w:tcW w:w="3828" w:type="dxa"/>
          </w:tcPr>
          <w:p w14:paraId="24071101" w14:textId="77777777" w:rsidR="00266179" w:rsidRPr="002577A7" w:rsidRDefault="00266179" w:rsidP="00407066">
            <w:pPr>
              <w:pStyle w:val="TableTextSmall"/>
            </w:pPr>
            <w:r w:rsidRPr="002577A7">
              <w:t>Total</w:t>
            </w:r>
          </w:p>
        </w:tc>
        <w:tc>
          <w:tcPr>
            <w:tcW w:w="2520" w:type="dxa"/>
          </w:tcPr>
          <w:p w14:paraId="3E241AFF" w14:textId="77777777" w:rsidR="00266179" w:rsidRPr="002577A7" w:rsidRDefault="00266179" w:rsidP="00407066">
            <w:pPr>
              <w:pStyle w:val="TableTextSmall"/>
              <w:jc w:val="center"/>
              <w:cnfStyle w:val="000000000000" w:firstRow="0" w:lastRow="0" w:firstColumn="0" w:lastColumn="0" w:oddVBand="0" w:evenVBand="0" w:oddHBand="0" w:evenHBand="0" w:firstRowFirstColumn="0" w:firstRowLastColumn="0" w:lastRowFirstColumn="0" w:lastRowLastColumn="0"/>
            </w:pPr>
            <w:r w:rsidRPr="002577A7">
              <w:t>34</w:t>
            </w:r>
          </w:p>
        </w:tc>
        <w:tc>
          <w:tcPr>
            <w:tcW w:w="2520" w:type="dxa"/>
          </w:tcPr>
          <w:p w14:paraId="0A2C74FE" w14:textId="77777777" w:rsidR="00266179" w:rsidRPr="002577A7" w:rsidRDefault="00266179" w:rsidP="00407066">
            <w:pPr>
              <w:pStyle w:val="TableTextSmall"/>
              <w:jc w:val="center"/>
              <w:cnfStyle w:val="000000000000" w:firstRow="0" w:lastRow="0" w:firstColumn="0" w:lastColumn="0" w:oddVBand="0" w:evenVBand="0" w:oddHBand="0" w:evenHBand="0" w:firstRowFirstColumn="0" w:firstRowLastColumn="0" w:lastRowFirstColumn="0" w:lastRowLastColumn="0"/>
            </w:pPr>
            <w:r w:rsidRPr="002577A7">
              <w:t>100%</w:t>
            </w:r>
          </w:p>
        </w:tc>
      </w:tr>
    </w:tbl>
    <w:p w14:paraId="17AD3702" w14:textId="77777777" w:rsidR="005846DC" w:rsidRPr="0057506F" w:rsidRDefault="005846DC" w:rsidP="00142D83">
      <w:pPr>
        <w:pStyle w:val="PwCNormal"/>
      </w:pPr>
    </w:p>
    <w:p w14:paraId="6B240923" w14:textId="77777777" w:rsidR="00142D83" w:rsidRPr="0057506F" w:rsidRDefault="00142D83">
      <w:pPr>
        <w:kinsoku/>
        <w:overflowPunct/>
        <w:autoSpaceDE/>
        <w:autoSpaceDN/>
        <w:adjustRightInd/>
        <w:snapToGrid/>
      </w:pPr>
      <w:r w:rsidRPr="0057506F">
        <w:br w:type="page"/>
      </w:r>
    </w:p>
    <w:p w14:paraId="607F7382" w14:textId="5C5EAB9A" w:rsidR="005846DC" w:rsidRPr="000E6396" w:rsidRDefault="005846DC" w:rsidP="005846DC">
      <w:pPr>
        <w:pStyle w:val="Heading3"/>
      </w:pPr>
      <w:bookmarkStart w:id="234" w:name="_Toc506388231"/>
      <w:r w:rsidRPr="000E6396">
        <w:lastRenderedPageBreak/>
        <w:t>Age Pensioners</w:t>
      </w:r>
      <w:bookmarkEnd w:id="234"/>
      <w:r w:rsidRPr="000E639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contains the key points relating to age pensioners."/>
      </w:tblPr>
      <w:tblGrid>
        <w:gridCol w:w="10081"/>
      </w:tblGrid>
      <w:tr w:rsidR="007B0A8D" w:rsidRPr="006B0F86" w14:paraId="7B782FBC" w14:textId="77777777" w:rsidTr="007B0A8D">
        <w:trPr>
          <w:trHeight w:val="1260"/>
          <w:tblHeader/>
        </w:trPr>
        <w:tc>
          <w:tcPr>
            <w:tcW w:w="10081" w:type="dxa"/>
            <w:shd w:val="clear" w:color="auto" w:fill="F3ABA4" w:themeFill="accent6" w:themeFillTint="66"/>
          </w:tcPr>
          <w:p w14:paraId="0392FDA0" w14:textId="64BE8E41" w:rsidR="007B0A8D" w:rsidRPr="006B0F86" w:rsidRDefault="008D4D1B" w:rsidP="007B0A8D">
            <w:pPr>
              <w:pStyle w:val="PwCNormal"/>
              <w:numPr>
                <w:ilvl w:val="0"/>
                <w:numId w:val="1"/>
              </w:numPr>
              <w:rPr>
                <w:b/>
              </w:rPr>
            </w:pPr>
            <w:r>
              <w:rPr>
                <w:b/>
              </w:rPr>
              <w:t>Key points</w:t>
            </w:r>
          </w:p>
          <w:p w14:paraId="3918849E" w14:textId="560A4209" w:rsidR="007B0A8D" w:rsidRPr="001A5237" w:rsidRDefault="007B0A8D" w:rsidP="007B0A8D">
            <w:pPr>
              <w:pStyle w:val="PwCNormal"/>
              <w:numPr>
                <w:ilvl w:val="0"/>
                <w:numId w:val="0"/>
              </w:numPr>
            </w:pPr>
            <w:r w:rsidRPr="001A5237">
              <w:t>There were 2,5</w:t>
            </w:r>
            <w:r>
              <w:t>9</w:t>
            </w:r>
            <w:r w:rsidR="001D5C14">
              <w:t>5</w:t>
            </w:r>
            <w:r w:rsidRPr="001A5237">
              <w:t xml:space="preserve">,000 people in the Age Pension class in 2017, </w:t>
            </w:r>
            <w:r>
              <w:t>who were mostly</w:t>
            </w:r>
            <w:r w:rsidRPr="001A5237">
              <w:t xml:space="preserve"> aged 65</w:t>
            </w:r>
            <w:r>
              <w:t xml:space="preserve"> and over</w:t>
            </w:r>
            <w:r w:rsidRPr="001A5237">
              <w:t xml:space="preserve">. The Age Pensioner class is very immobile with very few people transitioning off payment before the end of their life. </w:t>
            </w:r>
            <w:r>
              <w:t>Age pension payments in 2016/17 were $38.9 billion representing 9% of Australian Government estimated revenue and 2% of GDP.</w:t>
            </w:r>
          </w:p>
          <w:p w14:paraId="7CA482A7" w14:textId="62942CE2" w:rsidR="007B0A8D" w:rsidRPr="008833C9" w:rsidRDefault="007B0A8D" w:rsidP="007B0A8D">
            <w:pPr>
              <w:pStyle w:val="Bullet1"/>
            </w:pPr>
            <w:r w:rsidRPr="008833C9">
              <w:t xml:space="preserve">For the last five years there </w:t>
            </w:r>
            <w:r>
              <w:t>have</w:t>
            </w:r>
            <w:r w:rsidRPr="008833C9">
              <w:t xml:space="preserve"> been more people entering the Age Pension class than those exiting</w:t>
            </w:r>
            <w:r>
              <w:t>,</w:t>
            </w:r>
            <w:r w:rsidRPr="008833C9">
              <w:t xml:space="preserve"> resulting in a growing population of age pensioners. This trend is expected to continue well into the future.</w:t>
            </w:r>
          </w:p>
          <w:p w14:paraId="4E353807" w14:textId="13EF9305" w:rsidR="007B0A8D" w:rsidRPr="001A5237" w:rsidRDefault="007B0A8D" w:rsidP="007B0A8D">
            <w:pPr>
              <w:pStyle w:val="Bullet1"/>
            </w:pPr>
            <w:r w:rsidRPr="001A5237">
              <w:t>On 1 January 2017 the asset</w:t>
            </w:r>
            <w:r w:rsidR="00647550">
              <w:t>s</w:t>
            </w:r>
            <w:r w:rsidRPr="001A5237">
              <w:t xml:space="preserve"> test changes were implemented, increasing the assets threshold and increasing the taper rate. This led to the cancellation of benefits for approximately 100,000 </w:t>
            </w:r>
            <w:r>
              <w:t>age pensioners, as well as the re-calculation of pensions for many other pensioners with some payments increasing and other</w:t>
            </w:r>
            <w:r w:rsidR="00A47F87">
              <w:t>s</w:t>
            </w:r>
            <w:r>
              <w:t xml:space="preserve"> decreasing.</w:t>
            </w:r>
          </w:p>
          <w:p w14:paraId="6AB34C04" w14:textId="0A8A6631" w:rsidR="007B0A8D" w:rsidRPr="006B0F86" w:rsidRDefault="007B0A8D" w:rsidP="0033779C">
            <w:pPr>
              <w:pStyle w:val="Bullet1"/>
            </w:pPr>
            <w:r w:rsidRPr="00EC08E1">
              <w:t xml:space="preserve">From 1 July 2017 the </w:t>
            </w:r>
            <w:r w:rsidR="0033779C">
              <w:t>A</w:t>
            </w:r>
            <w:r w:rsidRPr="00EC08E1">
              <w:t xml:space="preserve">ge </w:t>
            </w:r>
            <w:r w:rsidR="0033779C">
              <w:t>P</w:t>
            </w:r>
            <w:r w:rsidRPr="00EC08E1">
              <w:t>ension age will be 65.5. The pension age will increase by half a year every two years for each of the next six years, until it reaches 67 by 1 July 2023.</w:t>
            </w:r>
            <w:r>
              <w:t xml:space="preserve"> </w:t>
            </w:r>
          </w:p>
        </w:tc>
      </w:tr>
    </w:tbl>
    <w:p w14:paraId="4CCC29EB" w14:textId="77777777" w:rsidR="007B0A8D" w:rsidRPr="00491FD2" w:rsidRDefault="007B0A8D" w:rsidP="007B0A8D">
      <w:pPr>
        <w:pStyle w:val="Heading4"/>
      </w:pPr>
      <w:r w:rsidRPr="00491FD2">
        <w:t>What does the data tell us about Age Pensioners?</w:t>
      </w:r>
    </w:p>
    <w:p w14:paraId="4F71087E" w14:textId="55A69835" w:rsidR="007B0A8D" w:rsidRDefault="007B0A8D" w:rsidP="007B0A8D">
      <w:pPr>
        <w:pStyle w:val="PwCNormal"/>
        <w:numPr>
          <w:ilvl w:val="0"/>
          <w:numId w:val="0"/>
        </w:numPr>
      </w:pPr>
      <w:r w:rsidRPr="006F7AC0">
        <w:t>There were 2,59</w:t>
      </w:r>
      <w:r w:rsidR="00B513F7">
        <w:t>5,000</w:t>
      </w:r>
      <w:r w:rsidRPr="006F7AC0">
        <w:t xml:space="preserve"> people in the Age Pension class in the 2017 model population. This represents 10.5% of the population of Australia which is a decrease from 10.6% at the previous valuation, and 32.3% of current welfare recipients; it is the biggest income support class by a considerable margin.</w:t>
      </w:r>
    </w:p>
    <w:p w14:paraId="3E5FA7BC" w14:textId="77777777" w:rsidR="007B0A8D" w:rsidRPr="00491FD2" w:rsidRDefault="007B0A8D" w:rsidP="007B0A8D">
      <w:pPr>
        <w:pStyle w:val="PwCNormal"/>
        <w:numPr>
          <w:ilvl w:val="0"/>
          <w:numId w:val="0"/>
        </w:numPr>
      </w:pPr>
      <w:r w:rsidRPr="00491FD2">
        <w:t>The following chart shows a breakdown of the number of people in the Age Pension class by age and gender.</w:t>
      </w:r>
    </w:p>
    <w:p w14:paraId="76B2A897" w14:textId="732A1047" w:rsidR="007B0A8D" w:rsidRPr="00491FD2" w:rsidRDefault="007B0A8D" w:rsidP="007B0A8D">
      <w:pPr>
        <w:pStyle w:val="Caption"/>
      </w:pPr>
      <w:r w:rsidRPr="00491FD2">
        <w:t xml:space="preserve">Figure </w:t>
      </w:r>
      <w:fldSimple w:instr=" SEQ Figure \* ARABIC ">
        <w:r w:rsidR="00C93C1A">
          <w:rPr>
            <w:noProof/>
          </w:rPr>
          <w:t>75</w:t>
        </w:r>
      </w:fldSimple>
      <w:r w:rsidRPr="00491FD2">
        <w:t xml:space="preserve">: 2017 profile of people in </w:t>
      </w:r>
      <w:r w:rsidR="00871E70">
        <w:t>c</w:t>
      </w:r>
      <w:r w:rsidRPr="00491FD2">
        <w:t>lass 6 – Pension Age (age/gender)</w:t>
      </w:r>
    </w:p>
    <w:tbl>
      <w:tblPr>
        <w:tblStyle w:val="Tables-APBase"/>
        <w:tblW w:w="434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2016 profile of people in Class 6 – Pension Age (age/gender)&#10;"/>
        <w:tblDescription w:val="This figure is a horizontal bar chart showing the number of people in the Pension Age Class at Jun16 by age for males and females separately. The vertical axis shows age with the data shown ranging from 38 to 110. The horizontal axis shows the number of people ranging from 0 to 85,000. The number of males at each age are shown by the horizontal bars to the left of the vertical axis and the number of females at each age are shown by horizontal bars to the right.&#10;&#10;The chart is based on the 2,551,000 individuals who were in the Pension Age class at 30 June 2016. &#10;&#10;The chart shows that the number of males and females in the pension age class prior to age 64 is similar by age; however, there are more females for all ages. Prior to age 64, there is a small number of females only. The number of pension age clients peaks at 73,000 and 84,000 for males and females respectively, at age 68.&#10;"/>
      </w:tblPr>
      <w:tblGrid>
        <w:gridCol w:w="6232"/>
        <w:gridCol w:w="2530"/>
      </w:tblGrid>
      <w:tr w:rsidR="007B0A8D" w:rsidRPr="009210D0" w14:paraId="6DEB522A" w14:textId="77777777" w:rsidTr="007B0A8D">
        <w:trPr>
          <w:tblHeader/>
        </w:trPr>
        <w:tc>
          <w:tcPr>
            <w:tcW w:w="5812" w:type="dxa"/>
          </w:tcPr>
          <w:p w14:paraId="3EFAAC21" w14:textId="77777777" w:rsidR="007B0A8D" w:rsidRPr="00491FD2" w:rsidRDefault="007B0A8D" w:rsidP="007B0A8D">
            <w:pPr>
              <w:pStyle w:val="TableTextSmall"/>
              <w:keepNext/>
              <w:rPr>
                <w:lang w:eastAsia="en-AU"/>
              </w:rPr>
            </w:pPr>
            <w:r w:rsidRPr="00491FD2">
              <w:rPr>
                <w:noProof/>
                <w:lang w:eastAsia="en-AU"/>
              </w:rPr>
              <w:drawing>
                <wp:inline distT="0" distB="0" distL="0" distR="0" wp14:anchorId="5725EA1A" wp14:editId="7BBC9736">
                  <wp:extent cx="3652800" cy="2160000"/>
                  <wp:effectExtent l="0" t="0" r="5080" b="0"/>
                  <wp:docPr id="197" name="Picture 197" descr="This figure is a horizontal bar chart showing the number of people in the Pension Age Class at Jun17 by age for males and females separately. The vertical axis shows age with the data shown ranging from 39 to 90. The horizontal axis shows the number of people ranging from 0 to 100,000. The number of males at each age are shown by the horizontal bars to the left of the vertical axis and the number of females at each age are shown by horizontal bars to the right.&#10;&#10;The chart is based on the 2,595,000 individuals who were in the Pension Age class at 30 June 2017. &#10;&#10;The chart shows that the number of males and females in the pension age class prior to age 64 is similar by age; however, there are more females for all ages. Prior to age 64, there is a small number of females only. The number of pension age clients peaks at 73,000 and 84,000 for males and females respectively, at age 70.&#10;" title="2017 profile of people in class 6 – Pension Age (age/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652800" cy="2160000"/>
                          </a:xfrm>
                          <a:prstGeom prst="rect">
                            <a:avLst/>
                          </a:prstGeom>
                          <a:noFill/>
                          <a:ln>
                            <a:noFill/>
                          </a:ln>
                        </pic:spPr>
                      </pic:pic>
                    </a:graphicData>
                  </a:graphic>
                </wp:inline>
              </w:drawing>
            </w:r>
          </w:p>
        </w:tc>
        <w:tc>
          <w:tcPr>
            <w:tcW w:w="2359" w:type="dxa"/>
          </w:tcPr>
          <w:p w14:paraId="31AA50D2" w14:textId="77777777" w:rsidR="007B0A8D" w:rsidRPr="00491FD2" w:rsidRDefault="007B0A8D" w:rsidP="007B0A8D">
            <w:pPr>
              <w:pStyle w:val="TableTextSmall"/>
              <w:keepNext/>
              <w:rPr>
                <w:lang w:eastAsia="en-AU"/>
              </w:rPr>
            </w:pPr>
          </w:p>
        </w:tc>
      </w:tr>
    </w:tbl>
    <w:p w14:paraId="77BC1934" w14:textId="56D29EE1" w:rsidR="007B0A8D" w:rsidRPr="00491FD2" w:rsidRDefault="007B0A8D" w:rsidP="007B0A8D">
      <w:pPr>
        <w:pStyle w:val="PwCNormal"/>
        <w:numPr>
          <w:ilvl w:val="0"/>
          <w:numId w:val="0"/>
        </w:numPr>
      </w:pPr>
      <w:r w:rsidRPr="00491FD2">
        <w:t>From the chart, we can see that while there are a mix of both men and women, there are more woman at every age. This is most likely a result of greater female longevity. The vast majority of people in the class are past pension age, however a small number of younger people have been include</w:t>
      </w:r>
      <w:r w:rsidR="003D4216">
        <w:t>d through their receipt of the W</w:t>
      </w:r>
      <w:r w:rsidRPr="00491FD2">
        <w:t xml:space="preserve">ife </w:t>
      </w:r>
      <w:r w:rsidR="003D4216">
        <w:t>P</w:t>
      </w:r>
      <w:r w:rsidRPr="00491FD2">
        <w:t>ension.</w:t>
      </w:r>
    </w:p>
    <w:p w14:paraId="061FDB27" w14:textId="77777777" w:rsidR="007B0A8D" w:rsidRPr="00491FD2" w:rsidRDefault="007B0A8D" w:rsidP="007B0A8D">
      <w:pPr>
        <w:pStyle w:val="Minorheading"/>
      </w:pPr>
      <w:r w:rsidRPr="00491FD2">
        <w:t>Movements into and out of this class</w:t>
      </w:r>
    </w:p>
    <w:p w14:paraId="0F271301" w14:textId="7F3FEF97" w:rsidR="007B0A8D" w:rsidRPr="0057506F" w:rsidRDefault="007B0A8D" w:rsidP="007B0A8D">
      <w:pPr>
        <w:pStyle w:val="PwCNormal"/>
        <w:numPr>
          <w:ilvl w:val="0"/>
          <w:numId w:val="1"/>
        </w:numPr>
      </w:pPr>
      <w:r w:rsidRPr="0014049C">
        <w:t xml:space="preserve">Over the last </w:t>
      </w:r>
      <w:r w:rsidR="007A314E">
        <w:t>three</w:t>
      </w:r>
      <w:r w:rsidRPr="0014049C">
        <w:t xml:space="preserve"> years, an average of 168,600 people (around 6.4% of the people in this class) per annum entered this class from another welfare class or fr</w:t>
      </w:r>
      <w:r>
        <w:t>om outside the welfare system.</w:t>
      </w:r>
      <w:r w:rsidRPr="0014049C">
        <w:t xml:space="preserve"> Over this same period an average of 108,800 people (around 4.1% of people in this class) per annum have transitioned out of the Age Pension</w:t>
      </w:r>
      <w:r w:rsidR="008E2225">
        <w:t xml:space="preserve"> </w:t>
      </w:r>
      <w:r w:rsidRPr="00063A00">
        <w:t>class</w:t>
      </w:r>
      <w:r>
        <w:t>.</w:t>
      </w:r>
    </w:p>
    <w:p w14:paraId="6910CACD" w14:textId="77777777" w:rsidR="007B0A8D" w:rsidRPr="00063A00" w:rsidRDefault="007B0A8D" w:rsidP="007B0A8D">
      <w:pPr>
        <w:pStyle w:val="PwCNormal-keepwithnext"/>
        <w:numPr>
          <w:ilvl w:val="0"/>
          <w:numId w:val="1"/>
        </w:numPr>
      </w:pPr>
      <w:r w:rsidRPr="00063A00">
        <w:lastRenderedPageBreak/>
        <w:t>The following chart shows the breakdown of these transitions by previous</w:t>
      </w:r>
      <w:r>
        <w:t>/destination</w:t>
      </w:r>
      <w:r w:rsidRPr="00063A00">
        <w:t xml:space="preserve"> class and year of transition. </w:t>
      </w:r>
    </w:p>
    <w:p w14:paraId="44411894" w14:textId="2FBF6AA1" w:rsidR="007B0A8D" w:rsidRPr="0057506F" w:rsidRDefault="007B0A8D" w:rsidP="007B0A8D">
      <w:pPr>
        <w:pStyle w:val="Caption"/>
      </w:pPr>
      <w:r w:rsidRPr="00A716AE">
        <w:t xml:space="preserve">Figure </w:t>
      </w:r>
      <w:fldSimple w:instr=" SEQ Figure \* ARABIC ">
        <w:r w:rsidR="00C93C1A">
          <w:rPr>
            <w:noProof/>
          </w:rPr>
          <w:t>76</w:t>
        </w:r>
      </w:fldSimple>
      <w:r w:rsidRPr="00A716AE">
        <w:t>: Number of peo</w:t>
      </w:r>
      <w:r>
        <w:t xml:space="preserve">ple entering and exiting </w:t>
      </w:r>
      <w:r w:rsidR="00871E70">
        <w:t>c</w:t>
      </w:r>
      <w:r>
        <w:t>lass 6</w:t>
      </w:r>
      <w:r w:rsidRPr="00A716AE">
        <w:t xml:space="preserve"> – </w:t>
      </w:r>
      <w:r>
        <w:t>Pension Age</w:t>
      </w:r>
    </w:p>
    <w:p w14:paraId="1058B425" w14:textId="77777777" w:rsidR="007B0A8D" w:rsidRPr="0057506F" w:rsidRDefault="007B0A8D" w:rsidP="007B0A8D">
      <w:pPr>
        <w:pStyle w:val="PwCNormal"/>
        <w:numPr>
          <w:ilvl w:val="0"/>
          <w:numId w:val="1"/>
        </w:numPr>
      </w:pPr>
      <w:r w:rsidRPr="008A349B">
        <w:rPr>
          <w:noProof/>
          <w:lang w:eastAsia="en-AU"/>
        </w:rPr>
        <w:drawing>
          <wp:inline distT="0" distB="0" distL="0" distR="0" wp14:anchorId="6BE8AC61" wp14:editId="20D6AECE">
            <wp:extent cx="5832475" cy="2018658"/>
            <wp:effectExtent l="0" t="0" r="0" b="1270"/>
            <wp:docPr id="299" name="Picture 299" descr="This figure is a stacked column chart with ten columns. The vertical axis displays the number of people ranging from 0 to 200,000. &#10;&#10;The horizontal axis is split into two sections; the first five columns show the numbers of entrants into the Pension Age class and the second five columns show the number of exits from the Pension Age class. In each section, the set of five columns represent the last five financial years; 2013, 2014, 2015, 2016 and 2017. &#10;&#10;For the first section, the columns showing the number of entrants into the Pension Age class for each financial year are split into previous class. These classes include; 1 Studying, 2 Working Age, 3 Parents, 4 Carers, 5 Disability Support, 7 Non-IS Family, 8 Non-IS Carer, 9 Non-IS Other, 10 Previous Welfare Recipient, 11 Dead and 12 Rest of the Australian Population. &#10;&#10;The chart shows that the number of entries into Class 6 were; 176,000 in 2013, 151,000 in 2014, 187,000 in 2015, 177,000 in 2016 and 142,000 in 2017. The majority of entrants come from Class 12 Rest of the Australian Population or Class 5 Disability Support. &#10;&#10;For the second section, the columns showing the number of exits from the Pension Age class for each financial year are split into destination class. These classes include; 1 Studying, 2 Working Age, 3 Parents, 4 Carers, 5 Disability Support, 7 Non-IS Family, 8 Non-IS Carer, 9 Non-IS Other, 10 Previous Welfare Recipient, 11 Dead and 12 Rest of the Australian Population. &#10;&#10;The chart shows that the number of exits out of Class 6 were; 98,000 in 2013, 102,000 in 2014, 103,000 in 2015, 108,000 in 2016 and 115,000 in 2017. The majority of individuals who exit move to Class 11 Dead.&#10;&#10;Further discussion of the key features shown in the chart can be found in the accompanying text within the report.&#10;" title="Number of people entering and exiting class 6 – Pensio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832475" cy="2018658"/>
                    </a:xfrm>
                    <a:prstGeom prst="rect">
                      <a:avLst/>
                    </a:prstGeom>
                    <a:noFill/>
                    <a:ln>
                      <a:noFill/>
                    </a:ln>
                  </pic:spPr>
                </pic:pic>
              </a:graphicData>
            </a:graphic>
          </wp:inline>
        </w:drawing>
      </w:r>
    </w:p>
    <w:p w14:paraId="3603A2C5" w14:textId="77777777" w:rsidR="007B0A8D" w:rsidRPr="0057506F" w:rsidRDefault="007B0A8D" w:rsidP="007B0A8D">
      <w:pPr>
        <w:pStyle w:val="PwCNormal"/>
        <w:numPr>
          <w:ilvl w:val="0"/>
          <w:numId w:val="1"/>
        </w:numPr>
        <w:jc w:val="center"/>
      </w:pPr>
      <w:r w:rsidRPr="008A349B">
        <w:rPr>
          <w:noProof/>
          <w:lang w:eastAsia="en-AU"/>
        </w:rPr>
        <w:drawing>
          <wp:inline distT="0" distB="0" distL="0" distR="0" wp14:anchorId="5ECF156B" wp14:editId="28954808">
            <wp:extent cx="5385600" cy="468000"/>
            <wp:effectExtent l="0" t="0" r="0" b="8255"/>
            <wp:docPr id="3095" name="Picture 3095" descr="Class key: studying, working age, parents, carers, disability support, pension age, non-income support family, non-income support carer, non-income support other, previous welfare recipient, rest of the Australian population and dead. &#10;" title="Clas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4488234D" w14:textId="6433A5DD" w:rsidR="007B0A8D" w:rsidRPr="0057506F" w:rsidRDefault="007B0A8D" w:rsidP="007B0A8D">
      <w:pPr>
        <w:pStyle w:val="PwCNormal"/>
        <w:numPr>
          <w:ilvl w:val="0"/>
          <w:numId w:val="1"/>
        </w:numPr>
      </w:pPr>
      <w:r w:rsidRPr="0014049C">
        <w:t>We can see that</w:t>
      </w:r>
      <w:r>
        <w:t xml:space="preserve"> people typically enter the Age Pension class either from outsi</w:t>
      </w:r>
      <w:r w:rsidRPr="00AD5A09">
        <w:t>de the welfare system, or through the Working Age, Disability Support Pension, or Non IS Other classes. The majority of people enter the class upon reaching their age pension qualifying age (pension age</w:t>
      </w:r>
      <w:r>
        <w:t>)</w:t>
      </w:r>
      <w:r w:rsidRPr="00AD5A09">
        <w:t xml:space="preserve">. </w:t>
      </w:r>
    </w:p>
    <w:p w14:paraId="35BF229B" w14:textId="2C6EFF74" w:rsidR="007B0A8D" w:rsidRDefault="007B0A8D" w:rsidP="007B0A8D">
      <w:pPr>
        <w:pStyle w:val="PwCNormal"/>
        <w:numPr>
          <w:ilvl w:val="0"/>
          <w:numId w:val="1"/>
        </w:numPr>
      </w:pPr>
      <w:r w:rsidRPr="00186260">
        <w:t xml:space="preserve">Over the last five years, there </w:t>
      </w:r>
      <w:r>
        <w:t>have</w:t>
      </w:r>
      <w:r w:rsidRPr="00186260">
        <w:t xml:space="preserve"> been fewer people leaving the Age Pension class than entering. Aside from those at the end of their life, only a very small number of people leave the class presumably as a result of changes in their personal circumstances</w:t>
      </w:r>
      <w:r>
        <w:t xml:space="preserve"> which affects their eligibility</w:t>
      </w:r>
      <w:r w:rsidRPr="00186260">
        <w:t>.</w:t>
      </w:r>
      <w:r>
        <w:t xml:space="preserve"> It is possible that these changes in circumstances are temporary and they will re-enter the Age Pension class later in life.</w:t>
      </w:r>
    </w:p>
    <w:p w14:paraId="009F61CA" w14:textId="394ADBC2" w:rsidR="007B0A8D" w:rsidRDefault="007B0A8D" w:rsidP="007B0A8D">
      <w:pPr>
        <w:pStyle w:val="PwCNormal"/>
        <w:numPr>
          <w:ilvl w:val="0"/>
          <w:numId w:val="1"/>
        </w:numPr>
      </w:pPr>
      <w:r>
        <w:t>On 1 January 2017 the asset</w:t>
      </w:r>
      <w:r w:rsidR="00647550">
        <w:t>s</w:t>
      </w:r>
      <w:r>
        <w:t xml:space="preserve"> test changes were implemented, increasing the assets threshold and increasing the taper rate. This led to the cancellation of benefits for approximately 100,000 age pensioners, as well as the re-calculation of pensions for many other pensioners with some payments increasing and other decreasing. Those who were cancelled will not exit the Age Pension class until 2017/18 as they received the age p</w:t>
      </w:r>
      <w:r w:rsidR="003D4216">
        <w:t>ension payment for some of 2016</w:t>
      </w:r>
      <w:r w:rsidR="00710E45">
        <w:t>/</w:t>
      </w:r>
      <w:r>
        <w:t>17. As such this cancellation impact is expected in the first year of the projection rather than in the history.</w:t>
      </w:r>
    </w:p>
    <w:p w14:paraId="7D772ED0" w14:textId="0D777536" w:rsidR="007B0A8D" w:rsidRDefault="007B0A8D" w:rsidP="007B0A8D">
      <w:pPr>
        <w:pStyle w:val="PwCNormal"/>
        <w:numPr>
          <w:ilvl w:val="0"/>
          <w:numId w:val="1"/>
        </w:numPr>
      </w:pPr>
      <w:r>
        <w:t>An additional impact is the lower expected entries into age pension following the tightening of this criteria. This will have acted to reduce the number of people entering into age pension after 1 January 2017 and has contributed towards</w:t>
      </w:r>
      <w:r w:rsidR="003D4216">
        <w:t xml:space="preserve"> the lower entries seen in 2016</w:t>
      </w:r>
      <w:r w:rsidR="00710E45">
        <w:t>/</w:t>
      </w:r>
      <w:r>
        <w:t>17 above. Note that the 2016/17 year is also impacted by data maturity which has acted to reduce the number of entries shown in the year.</w:t>
      </w:r>
    </w:p>
    <w:p w14:paraId="604BD6C0" w14:textId="4E0729C0" w:rsidR="007B0A8D" w:rsidRDefault="007B0A8D" w:rsidP="007B0A8D">
      <w:pPr>
        <w:pStyle w:val="PwCNormal"/>
        <w:numPr>
          <w:ilvl w:val="0"/>
          <w:numId w:val="1"/>
        </w:numPr>
      </w:pPr>
      <w:r>
        <w:t>It can also be seen that entri</w:t>
      </w:r>
      <w:r w:rsidR="003D4216">
        <w:t>es into A</w:t>
      </w:r>
      <w:r>
        <w:t xml:space="preserve">ge </w:t>
      </w:r>
      <w:r w:rsidR="003D4216">
        <w:t>P</w:t>
      </w:r>
      <w:r>
        <w:t>ension in 2013</w:t>
      </w:r>
      <w:r w:rsidR="00710E45">
        <w:t>/</w:t>
      </w:r>
      <w:r>
        <w:t xml:space="preserve">14 were lower than in other recent years. This in due to the </w:t>
      </w:r>
      <w:r w:rsidR="0021451C">
        <w:t>A</w:t>
      </w:r>
      <w:r>
        <w:t xml:space="preserve">ge </w:t>
      </w:r>
      <w:r w:rsidR="0021451C">
        <w:t>Pe</w:t>
      </w:r>
      <w:r>
        <w:t xml:space="preserve">nsion age for females which increased from 64.5 to 65 for females turning 65 after 31 December 2013. The </w:t>
      </w:r>
      <w:r w:rsidR="0021451C">
        <w:t>A</w:t>
      </w:r>
      <w:r>
        <w:t xml:space="preserve">ge </w:t>
      </w:r>
      <w:r w:rsidR="0021451C">
        <w:t>P</w:t>
      </w:r>
      <w:r>
        <w:t>ension age for males was 65 during this full period.</w:t>
      </w:r>
    </w:p>
    <w:p w14:paraId="587A6C6C" w14:textId="77777777" w:rsidR="007B0A8D" w:rsidRPr="00EF6433" w:rsidRDefault="007B0A8D" w:rsidP="007B0A8D">
      <w:pPr>
        <w:pStyle w:val="Minorheading"/>
      </w:pPr>
      <w:r w:rsidRPr="00EF6433">
        <w:t>Payments received</w:t>
      </w:r>
    </w:p>
    <w:p w14:paraId="6B9E61EB" w14:textId="77777777" w:rsidR="007B0A8D" w:rsidRPr="00EF6433" w:rsidRDefault="007B0A8D" w:rsidP="007B0A8D">
      <w:pPr>
        <w:pStyle w:val="PwCNormal"/>
        <w:numPr>
          <w:ilvl w:val="0"/>
          <w:numId w:val="1"/>
        </w:numPr>
      </w:pPr>
      <w:r w:rsidRPr="00EF6433">
        <w:t>During 2016/17, people in this class received a total of $45.4 billion. This is 40.8% of the total payments made in 2016/17. The charts below show the average amount paid in a year to each person in this class</w:t>
      </w:r>
      <w:r>
        <w:t>, split by the categories of payments received</w:t>
      </w:r>
      <w:r w:rsidRPr="00EF6433">
        <w:t>.</w:t>
      </w:r>
    </w:p>
    <w:p w14:paraId="361F69C9" w14:textId="5D6A7F9F" w:rsidR="007B0A8D" w:rsidRPr="00D8406A" w:rsidRDefault="007B0A8D" w:rsidP="007B0A8D">
      <w:pPr>
        <w:pStyle w:val="Caption"/>
      </w:pPr>
      <w:r w:rsidRPr="00D8406A">
        <w:lastRenderedPageBreak/>
        <w:t xml:space="preserve">Figure </w:t>
      </w:r>
      <w:fldSimple w:instr=" SEQ Figure \* ARABIC ">
        <w:r w:rsidR="00C93C1A">
          <w:rPr>
            <w:noProof/>
          </w:rPr>
          <w:t>77</w:t>
        </w:r>
      </w:fldSimple>
      <w:r w:rsidRPr="00D8406A">
        <w:t xml:space="preserve">: Average payments per person in </w:t>
      </w:r>
      <w:r w:rsidR="00871E70">
        <w:t>c</w:t>
      </w:r>
      <w:r w:rsidRPr="00D8406A">
        <w:t>lass 6 – Pension Age (restated to 2016/17 $ values)</w:t>
      </w:r>
    </w:p>
    <w:p w14:paraId="6E2A0FC5" w14:textId="77777777" w:rsidR="007B0A8D" w:rsidRPr="0057506F" w:rsidRDefault="007B0A8D" w:rsidP="007B0A8D">
      <w:pPr>
        <w:pStyle w:val="PwCNormal"/>
        <w:numPr>
          <w:ilvl w:val="0"/>
          <w:numId w:val="1"/>
        </w:numPr>
      </w:pPr>
      <w:r w:rsidRPr="00A164BB">
        <w:rPr>
          <w:noProof/>
          <w:lang w:eastAsia="en-AU"/>
        </w:rPr>
        <w:drawing>
          <wp:inline distT="0" distB="0" distL="0" distR="0" wp14:anchorId="3D504305" wp14:editId="2AC6ECF3">
            <wp:extent cx="5832475" cy="2039127"/>
            <wp:effectExtent l="0" t="0" r="0" b="0"/>
            <wp:docPr id="221" name="Picture 221" descr="This figure is a stacked column chart. The vertical axis displays the average payment per person in the Pension Age Class, ranging from $0 to $20,000.&#10;&#10;The horizontal axis is split into two sections; the first for males and the second for females. Each section is further split to show the last five financial years; 2013, 2014, 2015, 2016 and 2017.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6 was: $15,900 for 2013; $16,100 for 2014; $16,000 for 2015; $16,000 for 2016; and $15,900 for 2017.&#10;&#10;For females the approximate average payment per person in Class 6 was: $17,700 for 2013; $18,000 for 2014; $17,900 for 2015; $17,800 for 2016; and $17,700 for 2017.&#10;&#10;The vast majority of payments for both males and females were from the IS Age payment category. A small portion of total average payments also comes from the Other – General Allowances category. &#10;&#10;The key features of this chart are described in the accompanying text within the report.&#10;&#10;" title="Average payments per person in class 6 – Pension Age (restated to 2016/17 $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32475" cy="2039127"/>
                    </a:xfrm>
                    <a:prstGeom prst="rect">
                      <a:avLst/>
                    </a:prstGeom>
                    <a:noFill/>
                    <a:ln>
                      <a:noFill/>
                    </a:ln>
                  </pic:spPr>
                </pic:pic>
              </a:graphicData>
            </a:graphic>
          </wp:inline>
        </w:drawing>
      </w:r>
    </w:p>
    <w:p w14:paraId="5EABEAE8" w14:textId="77777777" w:rsidR="007B0A8D" w:rsidRPr="0057506F" w:rsidRDefault="007B0A8D" w:rsidP="007B0A8D">
      <w:pPr>
        <w:pStyle w:val="PwCNormal"/>
        <w:numPr>
          <w:ilvl w:val="0"/>
          <w:numId w:val="0"/>
        </w:numPr>
        <w:ind w:firstLine="720"/>
      </w:pPr>
      <w:r w:rsidRPr="00A164BB">
        <w:rPr>
          <w:noProof/>
          <w:lang w:eastAsia="en-AU"/>
        </w:rPr>
        <w:drawing>
          <wp:inline distT="0" distB="0" distL="0" distR="0" wp14:anchorId="5781809B" wp14:editId="0F9843B5">
            <wp:extent cx="4860000" cy="467785"/>
            <wp:effectExtent l="0" t="0" r="0" b="8890"/>
            <wp:docPr id="384" name="Picture 384"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60000" cy="467785"/>
                    </a:xfrm>
                    <a:prstGeom prst="rect">
                      <a:avLst/>
                    </a:prstGeom>
                    <a:noFill/>
                    <a:ln>
                      <a:noFill/>
                    </a:ln>
                  </pic:spPr>
                </pic:pic>
              </a:graphicData>
            </a:graphic>
          </wp:inline>
        </w:drawing>
      </w:r>
    </w:p>
    <w:p w14:paraId="045FA751" w14:textId="77777777" w:rsidR="007B0A8D" w:rsidRPr="00D8406A" w:rsidRDefault="007B0A8D" w:rsidP="007B0A8D">
      <w:pPr>
        <w:pStyle w:val="PwCNormal"/>
        <w:numPr>
          <w:ilvl w:val="0"/>
          <w:numId w:val="1"/>
        </w:numPr>
      </w:pPr>
      <w:r w:rsidRPr="00D8406A">
        <w:t>The average payment made in 2016/17 was $16,900. The average payments are slightly higher for women than men, possibly as a result of more of them receiving the single rate.</w:t>
      </w:r>
    </w:p>
    <w:p w14:paraId="64A28A84" w14:textId="77777777" w:rsidR="007B0A8D" w:rsidRPr="00C4715F" w:rsidRDefault="007B0A8D" w:rsidP="007B0A8D">
      <w:pPr>
        <w:pStyle w:val="Heading4"/>
      </w:pPr>
      <w:r w:rsidRPr="00C4715F">
        <w:t>Changes in model fitting this valuation</w:t>
      </w:r>
    </w:p>
    <w:p w14:paraId="4AA8DDB8" w14:textId="74ED2EF8" w:rsidR="007B0A8D" w:rsidRDefault="007B0A8D" w:rsidP="00964D65">
      <w:pPr>
        <w:pStyle w:val="PwCNormal"/>
        <w:numPr>
          <w:ilvl w:val="0"/>
          <w:numId w:val="33"/>
        </w:numPr>
      </w:pPr>
      <w:r>
        <w:t xml:space="preserve">There were no significant changes to the Age Pensioners model assumptions this valuation. The new intergenerational variable was considered but was not found to have a strong relationship with the dynamics of people in </w:t>
      </w:r>
      <w:r w:rsidR="00871E70">
        <w:t>c</w:t>
      </w:r>
      <w:r>
        <w:t xml:space="preserve">lass </w:t>
      </w:r>
      <w:r w:rsidR="002F0CBF">
        <w:t>‘</w:t>
      </w:r>
      <w:r>
        <w:t>6 Age Pension</w:t>
      </w:r>
      <w:r w:rsidR="002F0CBF">
        <w:t>’</w:t>
      </w:r>
      <w:r>
        <w:t xml:space="preserve"> as it was for other income support classes.</w:t>
      </w:r>
    </w:p>
    <w:p w14:paraId="4B4EA7AC" w14:textId="77777777" w:rsidR="007B0A8D" w:rsidRPr="00874C4A" w:rsidRDefault="007B0A8D" w:rsidP="007B0A8D">
      <w:pPr>
        <w:pStyle w:val="Heading4"/>
      </w:pPr>
      <w:r w:rsidRPr="00874C4A">
        <w:t>What does the model show for current Age Pensioners?</w:t>
      </w:r>
    </w:p>
    <w:p w14:paraId="2383446F" w14:textId="77777777" w:rsidR="007B0A8D" w:rsidRPr="00874C4A" w:rsidRDefault="007B0A8D" w:rsidP="007B0A8D">
      <w:pPr>
        <w:pStyle w:val="Minorheading"/>
      </w:pPr>
      <w:r w:rsidRPr="00874C4A">
        <w:t>Lifetime costs</w:t>
      </w:r>
    </w:p>
    <w:p w14:paraId="54C9F3EA" w14:textId="7DE50CB8" w:rsidR="005846DC" w:rsidRPr="00874C4A" w:rsidRDefault="007B0A8D" w:rsidP="007B0A8D">
      <w:pPr>
        <w:pStyle w:val="PwCNormal"/>
        <w:numPr>
          <w:ilvl w:val="0"/>
          <w:numId w:val="1"/>
        </w:numPr>
      </w:pPr>
      <w:r w:rsidRPr="00874C4A">
        <w:t xml:space="preserve">We estimated the lifetime cost for the people in this class to be </w:t>
      </w:r>
      <w:r w:rsidRPr="00874C4A">
        <w:rPr>
          <w:b/>
        </w:rPr>
        <w:t>$542bn</w:t>
      </w:r>
      <w:r w:rsidRPr="00874C4A">
        <w:t xml:space="preserve"> (or </w:t>
      </w:r>
      <w:r w:rsidRPr="00874C4A">
        <w:rPr>
          <w:b/>
        </w:rPr>
        <w:t>11.6%</w:t>
      </w:r>
      <w:r w:rsidRPr="00874C4A">
        <w:t xml:space="preserve"> of the total lifetime cost). The average lifetime cost for people in this class is </w:t>
      </w:r>
      <w:r w:rsidRPr="00874C4A">
        <w:rPr>
          <w:b/>
        </w:rPr>
        <w:t>$209,000</w:t>
      </w:r>
      <w:r w:rsidRPr="00874C4A">
        <w:t>. The variation in average lifetime cost by age and gender is illustrated in the figure below.</w:t>
      </w:r>
    </w:p>
    <w:p w14:paraId="629F3F08" w14:textId="59AEEE7F" w:rsidR="005846DC" w:rsidRPr="00514927" w:rsidRDefault="005846DC" w:rsidP="005846DC">
      <w:pPr>
        <w:pStyle w:val="Caption"/>
      </w:pPr>
      <w:r w:rsidRPr="00514927">
        <w:t xml:space="preserve">Figure </w:t>
      </w:r>
      <w:fldSimple w:instr=" SEQ Figure \* ARABIC ">
        <w:r w:rsidR="00C93C1A">
          <w:rPr>
            <w:noProof/>
          </w:rPr>
          <w:t>78</w:t>
        </w:r>
      </w:fldSimple>
      <w:r w:rsidRPr="00514927">
        <w:t>: Average lifetime cost by age and gender (</w:t>
      </w:r>
      <w:r w:rsidR="00871E70">
        <w:t>c</w:t>
      </w:r>
      <w:r w:rsidRPr="00514927">
        <w:t>lass 6)</w:t>
      </w:r>
    </w:p>
    <w:tbl>
      <w:tblPr>
        <w:tblStyle w:val="Tables-APBase"/>
        <w:tblW w:w="508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has a chart&#10;"/>
      </w:tblPr>
      <w:tblGrid>
        <w:gridCol w:w="6686"/>
        <w:gridCol w:w="3560"/>
      </w:tblGrid>
      <w:tr w:rsidR="005846DC" w:rsidRPr="009210D0" w14:paraId="3F8E60CD" w14:textId="77777777" w:rsidTr="00A64116">
        <w:trPr>
          <w:trHeight w:val="3402"/>
          <w:tblHeader/>
        </w:trPr>
        <w:tc>
          <w:tcPr>
            <w:tcW w:w="6236" w:type="dxa"/>
          </w:tcPr>
          <w:p w14:paraId="12420CBF" w14:textId="1689CB0D" w:rsidR="005846DC" w:rsidRPr="00514927" w:rsidRDefault="00A64116" w:rsidP="000D6C29">
            <w:pPr>
              <w:pStyle w:val="TableTextSmall"/>
              <w:keepNext/>
              <w:rPr>
                <w:lang w:eastAsia="en-AU"/>
              </w:rPr>
            </w:pPr>
            <w:r w:rsidRPr="00A64116">
              <w:rPr>
                <w:noProof/>
                <w:lang w:eastAsia="en-AU"/>
              </w:rPr>
              <w:drawing>
                <wp:inline distT="0" distB="0" distL="0" distR="0" wp14:anchorId="1C3536B7" wp14:editId="4E42C5F6">
                  <wp:extent cx="3714545" cy="2160000"/>
                  <wp:effectExtent l="0" t="0" r="0" b="0"/>
                  <wp:docPr id="3848" name="Picture 3848" descr="This figure is a horizontal bar chart showing average lifetime cost by age for males and females separately. The vertical axis shows age with the data shown ranging from 50 to 90. The horizontal axis shows the average lifetime cost with the data shown ranging from $0 to $5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2,595,000 individuals who were in the age pensioner class at 30 June 2017. &#10;&#10;Females aged 50 to 65 (recipients of the wife pension or the widow B pension) have an average lifetime cost starting at close to $450,000 at age 50 decreasing with age to approximately $330,000 at age 65. Average lifetime costs below age 65 are only shown for females.&#10;&#10;For people aged 65 and over, the average lifetime cost by age is very similar across males and females, although females have an average lifetime cost that is consistently higher than males of the same age, by approximately $30,000 to $40,000. Males aged 65 have an average lifetime cost of approximately $285,000 compared to females aged 65 who have an average lifetime cost of approximately $325,000. These average lifetime costs reduce steadily by age to $100,000 for females and $80,000 for males at age 90.&#10;&#10;The features shown in the chart are discussed further in the accompanying text within the report.&#10;" title="Average lifetime cost by age and gender (clas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714545" cy="2160000"/>
                          </a:xfrm>
                          <a:prstGeom prst="rect">
                            <a:avLst/>
                          </a:prstGeom>
                          <a:noFill/>
                          <a:ln>
                            <a:noFill/>
                          </a:ln>
                        </pic:spPr>
                      </pic:pic>
                    </a:graphicData>
                  </a:graphic>
                </wp:inline>
              </w:drawing>
            </w:r>
          </w:p>
        </w:tc>
        <w:tc>
          <w:tcPr>
            <w:tcW w:w="3320" w:type="dxa"/>
          </w:tcPr>
          <w:p w14:paraId="0AEFB203" w14:textId="77777777" w:rsidR="005846DC" w:rsidRPr="00514927" w:rsidRDefault="005846DC" w:rsidP="000D6C29">
            <w:pPr>
              <w:pStyle w:val="TableTextSmall"/>
              <w:keepNext/>
              <w:rPr>
                <w:lang w:eastAsia="en-AU"/>
              </w:rPr>
            </w:pPr>
          </w:p>
          <w:p w14:paraId="288CE087" w14:textId="77777777" w:rsidR="005846DC" w:rsidRPr="00514927" w:rsidRDefault="005846DC" w:rsidP="000D6C29">
            <w:pPr>
              <w:pStyle w:val="TableTextSmall"/>
              <w:keepNext/>
              <w:rPr>
                <w:lang w:eastAsia="en-AU"/>
              </w:rPr>
            </w:pPr>
            <w:r w:rsidRPr="00514927">
              <w:rPr>
                <w:noProof/>
                <w:lang w:eastAsia="en-AU"/>
              </w:rPr>
              <w:drawing>
                <wp:inline distT="0" distB="0" distL="0" distR="0" wp14:anchorId="7219B417" wp14:editId="3BB6F634">
                  <wp:extent cx="1087397" cy="1620000"/>
                  <wp:effectExtent l="0" t="0" r="0" b="0"/>
                  <wp:docPr id="3847" name="Picture 3847"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7397" cy="1620000"/>
                          </a:xfrm>
                          <a:prstGeom prst="rect">
                            <a:avLst/>
                          </a:prstGeom>
                          <a:noFill/>
                          <a:ln>
                            <a:noFill/>
                          </a:ln>
                        </pic:spPr>
                      </pic:pic>
                    </a:graphicData>
                  </a:graphic>
                </wp:inline>
              </w:drawing>
            </w:r>
          </w:p>
        </w:tc>
      </w:tr>
    </w:tbl>
    <w:p w14:paraId="5424766F" w14:textId="165AB871" w:rsidR="005846DC" w:rsidRPr="0057506F" w:rsidRDefault="005846DC" w:rsidP="005846DC">
      <w:pPr>
        <w:pStyle w:val="PwCNormal"/>
        <w:numPr>
          <w:ilvl w:val="0"/>
          <w:numId w:val="0"/>
        </w:numPr>
      </w:pPr>
      <w:r w:rsidRPr="00874C4A">
        <w:t xml:space="preserve">The pyramid or ‘inverse funnel’ shape illustrates the reductions in average lifetime cost as age increases. This is simply a function of the expected future lifetimes for people who have currently reached the ages shown. The average lifetime costs range from around </w:t>
      </w:r>
      <w:r w:rsidRPr="00874C4A">
        <w:rPr>
          <w:b/>
        </w:rPr>
        <w:t>$</w:t>
      </w:r>
      <w:r w:rsidR="00874C4A" w:rsidRPr="00874C4A">
        <w:rPr>
          <w:b/>
        </w:rPr>
        <w:t>327</w:t>
      </w:r>
      <w:r w:rsidRPr="00874C4A">
        <w:rPr>
          <w:b/>
        </w:rPr>
        <w:t>,000</w:t>
      </w:r>
      <w:r w:rsidRPr="00874C4A">
        <w:t xml:space="preserve"> for </w:t>
      </w:r>
      <w:r w:rsidR="00874C4A" w:rsidRPr="00874C4A">
        <w:t xml:space="preserve">women </w:t>
      </w:r>
      <w:r w:rsidRPr="00874C4A">
        <w:t>age</w:t>
      </w:r>
      <w:r w:rsidR="00874C4A" w:rsidRPr="00874C4A">
        <w:t>d</w:t>
      </w:r>
      <w:r w:rsidRPr="00874C4A">
        <w:t xml:space="preserve"> 65 to around </w:t>
      </w:r>
      <w:r w:rsidRPr="00874C4A">
        <w:rPr>
          <w:b/>
        </w:rPr>
        <w:t>$</w:t>
      </w:r>
      <w:r w:rsidR="00874C4A" w:rsidRPr="00874C4A">
        <w:rPr>
          <w:b/>
        </w:rPr>
        <w:t>81</w:t>
      </w:r>
      <w:r w:rsidRPr="00874C4A">
        <w:rPr>
          <w:b/>
        </w:rPr>
        <w:t>,000</w:t>
      </w:r>
      <w:r w:rsidRPr="00874C4A">
        <w:t xml:space="preserve"> </w:t>
      </w:r>
      <w:r w:rsidR="00874C4A" w:rsidRPr="00874C4A">
        <w:t xml:space="preserve">for men </w:t>
      </w:r>
      <w:r w:rsidRPr="00874C4A">
        <w:t>age</w:t>
      </w:r>
      <w:r w:rsidR="00874C4A" w:rsidRPr="00874C4A">
        <w:t>d</w:t>
      </w:r>
      <w:r w:rsidRPr="00874C4A">
        <w:t xml:space="preserve"> 90.</w:t>
      </w:r>
      <w:r w:rsidR="00AD433E" w:rsidRPr="00874C4A">
        <w:t xml:space="preserve"> </w:t>
      </w:r>
      <w:r w:rsidRPr="00874C4A">
        <w:t>As can be seen, almo</w:t>
      </w:r>
      <w:r w:rsidR="003D4216">
        <w:t>st all of the cost is from the Age P</w:t>
      </w:r>
      <w:r w:rsidRPr="00874C4A">
        <w:t xml:space="preserve">ension; the remainder is the cost of the pension supplements and living allowance payment types (e.g. </w:t>
      </w:r>
      <w:r w:rsidR="003D4216">
        <w:t>E</w:t>
      </w:r>
      <w:r w:rsidRPr="00874C4A">
        <w:t xml:space="preserve">nergy </w:t>
      </w:r>
      <w:r w:rsidR="003D4216">
        <w:t>S</w:t>
      </w:r>
      <w:r w:rsidRPr="00874C4A">
        <w:t>upplement) that are paid alongside the pension.</w:t>
      </w:r>
    </w:p>
    <w:p w14:paraId="15E051A0" w14:textId="5A684C25" w:rsidR="005846DC" w:rsidRDefault="005846DC" w:rsidP="005846DC">
      <w:pPr>
        <w:pStyle w:val="PwCNormal"/>
        <w:numPr>
          <w:ilvl w:val="0"/>
          <w:numId w:val="0"/>
        </w:numPr>
      </w:pPr>
      <w:r w:rsidRPr="00874C4A">
        <w:lastRenderedPageBreak/>
        <w:t>There are very small numbers of people in this class below retirement age (app</w:t>
      </w:r>
      <w:r w:rsidR="00874C4A" w:rsidRPr="00874C4A">
        <w:t>rox. 8,000 people or around 0.3</w:t>
      </w:r>
      <w:r w:rsidRPr="00874C4A">
        <w:t xml:space="preserve">% of the class). Typically these are people receiving </w:t>
      </w:r>
      <w:r w:rsidR="00A66978" w:rsidRPr="00874C4A">
        <w:t xml:space="preserve">the </w:t>
      </w:r>
      <w:r w:rsidR="003D4216">
        <w:t>W</w:t>
      </w:r>
      <w:r w:rsidRPr="00874C4A">
        <w:t xml:space="preserve">ife </w:t>
      </w:r>
      <w:r w:rsidR="003D4216">
        <w:t>P</w:t>
      </w:r>
      <w:r w:rsidRPr="00874C4A">
        <w:t>ension. The existence of this group extends the pyramid to younger ages and the average lifetime costs are larger again as a result of the combined effect of the longer future lifetime and the expectation of this group being highly likely to remain in the class for the remainder of their lifetimes.</w:t>
      </w:r>
    </w:p>
    <w:p w14:paraId="32FD6832" w14:textId="37B577F7" w:rsidR="000E7587" w:rsidRDefault="000E7587" w:rsidP="001B78F7">
      <w:pPr>
        <w:pStyle w:val="PwCNormal"/>
        <w:numPr>
          <w:ilvl w:val="0"/>
          <w:numId w:val="0"/>
        </w:numPr>
      </w:pPr>
      <w:r w:rsidRPr="001B78F7">
        <w:t>To further explore differences in the average lifetime costs for people within class 6, we have prepared the table below, which shows the average lifetime cost for 65</w:t>
      </w:r>
      <w:r w:rsidR="00710E45" w:rsidRPr="001B78F7">
        <w:t xml:space="preserve"> to </w:t>
      </w:r>
      <w:r w:rsidRPr="001B78F7">
        <w:t xml:space="preserve">69 year olds currently receiving </w:t>
      </w:r>
      <w:r w:rsidR="006D014F" w:rsidRPr="001B78F7">
        <w:t>Age Pension payments</w:t>
      </w:r>
      <w:r w:rsidRPr="001B78F7">
        <w:t xml:space="preserve">, split by key characteristics. We have selected a </w:t>
      </w:r>
      <w:r w:rsidR="000131CD">
        <w:t xml:space="preserve">set </w:t>
      </w:r>
      <w:r w:rsidRPr="001B78F7">
        <w:t>age group to reduce the effect of age on the future lifetime cost. It is important to note that some characteristics serve as proxies for more fundamental socio-economic factors, and as such, they may not necessarily be the underlying cause of any differences observed in the average lifetime costs of individuals.</w:t>
      </w:r>
      <w:r w:rsidR="00003814">
        <w:t xml:space="preserve"> Further, the variations and relativities to the average lifetime cost that have been shown may differ for other age bands.</w:t>
      </w:r>
    </w:p>
    <w:p w14:paraId="3E931EE1" w14:textId="1B3B75DC" w:rsidR="000E7587" w:rsidRDefault="000E7587" w:rsidP="000E7587">
      <w:pPr>
        <w:pStyle w:val="Caption"/>
      </w:pPr>
      <w:r w:rsidRPr="003719FC">
        <w:t xml:space="preserve">Table </w:t>
      </w:r>
      <w:fldSimple w:instr=" SEQ Table \* ARABIC ">
        <w:r w:rsidR="00C93C1A">
          <w:rPr>
            <w:noProof/>
          </w:rPr>
          <w:t>38</w:t>
        </w:r>
      </w:fldSimple>
      <w:r w:rsidRPr="003719FC">
        <w:t xml:space="preserve">: </w:t>
      </w:r>
      <w:r>
        <w:t>Average lifetime cost for 65</w:t>
      </w:r>
      <w:r w:rsidR="00710E45">
        <w:t xml:space="preserve"> to </w:t>
      </w:r>
      <w:r>
        <w:t>69 year old Age Pension recipients split by key characteristics</w:t>
      </w:r>
    </w:p>
    <w:tbl>
      <w:tblPr>
        <w:tblStyle w:val="ListTable3-Accent61"/>
        <w:tblW w:w="9781" w:type="dxa"/>
        <w:tblInd w:w="108" w:type="dxa"/>
        <w:tblLayout w:type="fixed"/>
        <w:tblLook w:val="04A0" w:firstRow="1" w:lastRow="0" w:firstColumn="1" w:lastColumn="0" w:noHBand="0" w:noVBand="1"/>
        <w:tblCaption w:val="Average lifetime cost for 65 to 69 year old Age Pension recipients split by key characteristics"/>
        <w:tblDescription w:val="This table displays data for average lifetime costs of 65 to 69 year olds on age pension payments by key characteristics. The columns show the number of people, number of people as % of cohort, average lifetime cost, and average lifetime cost relative to the whole cohort. The rows show data for three different key characteristics, marital status, whether received ‘Other Carer’ payment, and payment rate (over latest year). This is further divided by their respective categories. &#10;&#10;Further features of the data in this table are discussed in the accompanying text within the report.&#10;"/>
      </w:tblPr>
      <w:tblGrid>
        <w:gridCol w:w="3828"/>
        <w:gridCol w:w="1134"/>
        <w:gridCol w:w="1606"/>
        <w:gridCol w:w="1606"/>
        <w:gridCol w:w="1607"/>
      </w:tblGrid>
      <w:tr w:rsidR="006114CC" w:rsidRPr="006114CC" w14:paraId="69B81FA5" w14:textId="77777777" w:rsidTr="00E42ACF">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100" w:firstRow="0" w:lastRow="0" w:firstColumn="1" w:lastColumn="0" w:oddVBand="0" w:evenVBand="0" w:oddHBand="0" w:evenHBand="0" w:firstRowFirstColumn="1" w:firstRowLastColumn="0" w:lastRowFirstColumn="0" w:lastRowLastColumn="0"/>
            <w:tcW w:w="3828" w:type="dxa"/>
            <w:noWrap/>
            <w:hideMark/>
          </w:tcPr>
          <w:p w14:paraId="2A5EBBDD" w14:textId="77777777" w:rsidR="006114CC" w:rsidRPr="00660D81" w:rsidRDefault="006114CC" w:rsidP="00C36A7A">
            <w:pPr>
              <w:pStyle w:val="TableTextSmall"/>
              <w:keepNext/>
              <w:rPr>
                <w:rFonts w:asciiTheme="majorHAnsi" w:hAnsiTheme="majorHAnsi"/>
                <w:bCs w:val="0"/>
                <w:color w:val="FFFFFF" w:themeColor="background1"/>
                <w:lang w:eastAsia="en-AU"/>
              </w:rPr>
            </w:pPr>
          </w:p>
        </w:tc>
        <w:tc>
          <w:tcPr>
            <w:tcW w:w="1134" w:type="dxa"/>
            <w:noWrap/>
            <w:hideMark/>
          </w:tcPr>
          <w:p w14:paraId="0F59D059"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w:t>
            </w:r>
          </w:p>
        </w:tc>
        <w:tc>
          <w:tcPr>
            <w:tcW w:w="1606" w:type="dxa"/>
            <w:hideMark/>
          </w:tcPr>
          <w:p w14:paraId="039AAF9E"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 as % of cohort</w:t>
            </w:r>
          </w:p>
        </w:tc>
        <w:tc>
          <w:tcPr>
            <w:tcW w:w="1606" w:type="dxa"/>
            <w:hideMark/>
          </w:tcPr>
          <w:p w14:paraId="604FE63C"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w:t>
            </w:r>
          </w:p>
        </w:tc>
        <w:tc>
          <w:tcPr>
            <w:tcW w:w="1607" w:type="dxa"/>
          </w:tcPr>
          <w:p w14:paraId="74408195"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relative to cohort</w:t>
            </w:r>
          </w:p>
        </w:tc>
      </w:tr>
      <w:tr w:rsidR="0069611A" w:rsidRPr="006114CC" w14:paraId="55530800"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7A2FA25" w14:textId="77777777" w:rsidR="0069611A" w:rsidRPr="006114CC" w:rsidRDefault="0069611A" w:rsidP="0069611A">
            <w:pPr>
              <w:pStyle w:val="TableTextSmall"/>
              <w:keepNext/>
              <w:rPr>
                <w:rFonts w:asciiTheme="majorHAnsi" w:hAnsiTheme="majorHAnsi"/>
                <w:bCs w:val="0"/>
                <w:color w:val="595959" w:themeColor="text1" w:themeTint="A6"/>
                <w:lang w:eastAsia="en-AU"/>
              </w:rPr>
            </w:pPr>
            <w:r w:rsidRPr="006114CC">
              <w:rPr>
                <w:rFonts w:ascii="Arial" w:hAnsi="Arial"/>
                <w:color w:val="595959"/>
                <w:szCs w:val="16"/>
              </w:rPr>
              <w:t>Total</w:t>
            </w:r>
          </w:p>
        </w:tc>
        <w:tc>
          <w:tcPr>
            <w:tcW w:w="1134" w:type="dxa"/>
            <w:noWrap/>
            <w:hideMark/>
          </w:tcPr>
          <w:p w14:paraId="22634B4A"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114CC">
              <w:rPr>
                <w:rFonts w:ascii="Arial" w:hAnsi="Arial"/>
                <w:b/>
                <w:bCs/>
                <w:color w:val="595959"/>
                <w:szCs w:val="16"/>
              </w:rPr>
              <w:t>635,000</w:t>
            </w:r>
          </w:p>
        </w:tc>
        <w:tc>
          <w:tcPr>
            <w:tcW w:w="1606" w:type="dxa"/>
            <w:noWrap/>
            <w:hideMark/>
          </w:tcPr>
          <w:p w14:paraId="564C144C"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114CC">
              <w:rPr>
                <w:rFonts w:ascii="Arial" w:hAnsi="Arial"/>
                <w:b/>
                <w:bCs/>
                <w:color w:val="595959"/>
                <w:szCs w:val="16"/>
              </w:rPr>
              <w:t>100%</w:t>
            </w:r>
          </w:p>
        </w:tc>
        <w:tc>
          <w:tcPr>
            <w:tcW w:w="1606" w:type="dxa"/>
            <w:noWrap/>
            <w:vAlign w:val="bottom"/>
          </w:tcPr>
          <w:p w14:paraId="3FB38D36" w14:textId="53253324" w:rsidR="0069611A" w:rsidRP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9611A">
              <w:rPr>
                <w:rFonts w:ascii="Arial" w:hAnsi="Arial"/>
                <w:b/>
                <w:bCs/>
                <w:color w:val="595959"/>
                <w:szCs w:val="16"/>
              </w:rPr>
              <w:t>280,000</w:t>
            </w:r>
          </w:p>
        </w:tc>
        <w:tc>
          <w:tcPr>
            <w:tcW w:w="1607" w:type="dxa"/>
            <w:vAlign w:val="bottom"/>
          </w:tcPr>
          <w:p w14:paraId="663D3625" w14:textId="5527CB16" w:rsidR="0069611A" w:rsidRPr="0069611A"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9611A">
              <w:rPr>
                <w:rFonts w:ascii="Arial" w:hAnsi="Arial"/>
                <w:b/>
                <w:bCs/>
                <w:color w:val="595959"/>
                <w:szCs w:val="16"/>
              </w:rPr>
              <w:t>100%</w:t>
            </w:r>
          </w:p>
        </w:tc>
      </w:tr>
      <w:tr w:rsidR="0069611A" w:rsidRPr="006114CC" w14:paraId="521C2402"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D66CAAE" w14:textId="77777777" w:rsidR="0069611A" w:rsidRPr="006114CC" w:rsidRDefault="0069611A" w:rsidP="0069611A">
            <w:pPr>
              <w:pStyle w:val="TableTextSmall"/>
              <w:keepNext/>
              <w:rPr>
                <w:rFonts w:asciiTheme="majorHAnsi" w:hAnsiTheme="majorHAnsi"/>
                <w:bCs w:val="0"/>
                <w:i/>
                <w:color w:val="595959" w:themeColor="text1" w:themeTint="A6"/>
                <w:lang w:eastAsia="en-AU"/>
              </w:rPr>
            </w:pPr>
            <w:r w:rsidRPr="006114CC">
              <w:rPr>
                <w:rFonts w:ascii="Arial" w:hAnsi="Arial"/>
                <w:color w:val="595959"/>
                <w:szCs w:val="16"/>
              </w:rPr>
              <w:t>Marital status</w:t>
            </w:r>
          </w:p>
        </w:tc>
        <w:tc>
          <w:tcPr>
            <w:tcW w:w="1134" w:type="dxa"/>
            <w:noWrap/>
            <w:hideMark/>
          </w:tcPr>
          <w:p w14:paraId="1B7A5785"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p>
        </w:tc>
        <w:tc>
          <w:tcPr>
            <w:tcW w:w="1606" w:type="dxa"/>
            <w:noWrap/>
            <w:hideMark/>
          </w:tcPr>
          <w:p w14:paraId="3F7C48C8"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6" w:type="dxa"/>
            <w:noWrap/>
            <w:vAlign w:val="bottom"/>
          </w:tcPr>
          <w:p w14:paraId="1E00F4BA"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7" w:type="dxa"/>
            <w:vAlign w:val="bottom"/>
          </w:tcPr>
          <w:p w14:paraId="25B955C5"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r>
      <w:tr w:rsidR="0069611A" w:rsidRPr="006114CC" w14:paraId="317FC1C1"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C9E3878" w14:textId="77777777" w:rsidR="0069611A" w:rsidRPr="006114CC" w:rsidRDefault="0069611A" w:rsidP="0069611A">
            <w:pPr>
              <w:pStyle w:val="TableTextSmall"/>
              <w:keepNext/>
              <w:rPr>
                <w:rFonts w:asciiTheme="majorHAnsi" w:hAnsiTheme="majorHAnsi"/>
                <w:b w:val="0"/>
                <w:bCs w:val="0"/>
                <w:i/>
                <w:color w:val="595959" w:themeColor="text1" w:themeTint="A6"/>
                <w:lang w:eastAsia="en-AU"/>
              </w:rPr>
            </w:pPr>
            <w:r w:rsidRPr="006114CC">
              <w:rPr>
                <w:rFonts w:ascii="Arial" w:hAnsi="Arial"/>
                <w:i/>
                <w:iCs/>
                <w:color w:val="595959"/>
                <w:szCs w:val="16"/>
              </w:rPr>
              <w:t xml:space="preserve">    - Single</w:t>
            </w:r>
          </w:p>
        </w:tc>
        <w:tc>
          <w:tcPr>
            <w:tcW w:w="1134" w:type="dxa"/>
            <w:noWrap/>
            <w:hideMark/>
          </w:tcPr>
          <w:p w14:paraId="7CE921F7"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lang w:eastAsia="en-AU"/>
              </w:rPr>
            </w:pPr>
            <w:r w:rsidRPr="006114CC">
              <w:rPr>
                <w:rFonts w:ascii="Arial" w:hAnsi="Arial"/>
                <w:color w:val="595959"/>
                <w:szCs w:val="16"/>
              </w:rPr>
              <w:t>246,000</w:t>
            </w:r>
          </w:p>
        </w:tc>
        <w:tc>
          <w:tcPr>
            <w:tcW w:w="1606" w:type="dxa"/>
            <w:noWrap/>
            <w:hideMark/>
          </w:tcPr>
          <w:p w14:paraId="16C900C9"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sidRPr="006114CC">
              <w:rPr>
                <w:rFonts w:ascii="Arial" w:hAnsi="Arial"/>
                <w:color w:val="595959"/>
                <w:szCs w:val="16"/>
              </w:rPr>
              <w:t>39%</w:t>
            </w:r>
          </w:p>
        </w:tc>
        <w:tc>
          <w:tcPr>
            <w:tcW w:w="1606" w:type="dxa"/>
            <w:noWrap/>
            <w:vAlign w:val="bottom"/>
          </w:tcPr>
          <w:p w14:paraId="382FE2D5" w14:textId="72A6F11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330,000</w:t>
            </w:r>
          </w:p>
        </w:tc>
        <w:tc>
          <w:tcPr>
            <w:tcW w:w="1607" w:type="dxa"/>
            <w:vAlign w:val="bottom"/>
          </w:tcPr>
          <w:p w14:paraId="201DC79E" w14:textId="097CFBD8"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118%</w:t>
            </w:r>
          </w:p>
        </w:tc>
      </w:tr>
      <w:tr w:rsidR="0069611A" w:rsidRPr="006114CC" w14:paraId="6BFEDE17"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noWrap/>
          </w:tcPr>
          <w:p w14:paraId="0D38DC4A"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Partnered</w:t>
            </w:r>
          </w:p>
        </w:tc>
        <w:tc>
          <w:tcPr>
            <w:tcW w:w="1134" w:type="dxa"/>
            <w:noWrap/>
          </w:tcPr>
          <w:p w14:paraId="5967A7D2"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389,000</w:t>
            </w:r>
          </w:p>
        </w:tc>
        <w:tc>
          <w:tcPr>
            <w:tcW w:w="1606" w:type="dxa"/>
            <w:noWrap/>
          </w:tcPr>
          <w:p w14:paraId="789E122E"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61%</w:t>
            </w:r>
          </w:p>
        </w:tc>
        <w:tc>
          <w:tcPr>
            <w:tcW w:w="1606" w:type="dxa"/>
            <w:noWrap/>
            <w:vAlign w:val="bottom"/>
          </w:tcPr>
          <w:p w14:paraId="632C6851" w14:textId="1AD64F5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248,000</w:t>
            </w:r>
          </w:p>
        </w:tc>
        <w:tc>
          <w:tcPr>
            <w:tcW w:w="1607" w:type="dxa"/>
            <w:vAlign w:val="bottom"/>
          </w:tcPr>
          <w:p w14:paraId="39AAE423" w14:textId="2AAE3CC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89%</w:t>
            </w:r>
          </w:p>
        </w:tc>
      </w:tr>
      <w:tr w:rsidR="0069611A" w:rsidRPr="006114CC" w14:paraId="21AD7BD3"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noWrap/>
          </w:tcPr>
          <w:p w14:paraId="2B9B0E38"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Received ‘Other Carer’ payment</w:t>
            </w:r>
          </w:p>
        </w:tc>
        <w:tc>
          <w:tcPr>
            <w:tcW w:w="1134" w:type="dxa"/>
            <w:noWrap/>
          </w:tcPr>
          <w:p w14:paraId="767D498A"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noWrap/>
          </w:tcPr>
          <w:p w14:paraId="3F7B331C"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noWrap/>
            <w:vAlign w:val="bottom"/>
          </w:tcPr>
          <w:p w14:paraId="74649C4D"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vAlign w:val="bottom"/>
          </w:tcPr>
          <w:p w14:paraId="52CD1BB9"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3989908D"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noWrap/>
          </w:tcPr>
          <w:p w14:paraId="17740B8C"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No</w:t>
            </w:r>
          </w:p>
        </w:tc>
        <w:tc>
          <w:tcPr>
            <w:tcW w:w="1134" w:type="dxa"/>
            <w:noWrap/>
          </w:tcPr>
          <w:p w14:paraId="59EBAEAF"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605,000</w:t>
            </w:r>
          </w:p>
        </w:tc>
        <w:tc>
          <w:tcPr>
            <w:tcW w:w="1606" w:type="dxa"/>
            <w:noWrap/>
          </w:tcPr>
          <w:p w14:paraId="41994B96"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95%</w:t>
            </w:r>
          </w:p>
        </w:tc>
        <w:tc>
          <w:tcPr>
            <w:tcW w:w="1606" w:type="dxa"/>
            <w:noWrap/>
            <w:vAlign w:val="bottom"/>
          </w:tcPr>
          <w:p w14:paraId="30F5956E" w14:textId="795D9FE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279,000</w:t>
            </w:r>
          </w:p>
        </w:tc>
        <w:tc>
          <w:tcPr>
            <w:tcW w:w="1607" w:type="dxa"/>
            <w:vAlign w:val="bottom"/>
          </w:tcPr>
          <w:p w14:paraId="587271EE" w14:textId="17CBB74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100%</w:t>
            </w:r>
          </w:p>
        </w:tc>
      </w:tr>
      <w:tr w:rsidR="0069611A" w:rsidRPr="006114CC" w14:paraId="1DCE976D"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noWrap/>
          </w:tcPr>
          <w:p w14:paraId="6D7B49EF"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Yes</w:t>
            </w:r>
          </w:p>
        </w:tc>
        <w:tc>
          <w:tcPr>
            <w:tcW w:w="1134" w:type="dxa"/>
            <w:noWrap/>
          </w:tcPr>
          <w:p w14:paraId="2DD0586D"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30,000</w:t>
            </w:r>
          </w:p>
        </w:tc>
        <w:tc>
          <w:tcPr>
            <w:tcW w:w="1606" w:type="dxa"/>
            <w:noWrap/>
          </w:tcPr>
          <w:p w14:paraId="2CDD1827"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5%</w:t>
            </w:r>
          </w:p>
        </w:tc>
        <w:tc>
          <w:tcPr>
            <w:tcW w:w="1606" w:type="dxa"/>
            <w:noWrap/>
            <w:vAlign w:val="bottom"/>
          </w:tcPr>
          <w:p w14:paraId="38F45FBE" w14:textId="7D42391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293,000</w:t>
            </w:r>
          </w:p>
        </w:tc>
        <w:tc>
          <w:tcPr>
            <w:tcW w:w="1607" w:type="dxa"/>
            <w:vAlign w:val="bottom"/>
          </w:tcPr>
          <w:p w14:paraId="1209D21F" w14:textId="7095FB1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105%</w:t>
            </w:r>
          </w:p>
        </w:tc>
      </w:tr>
      <w:tr w:rsidR="0069611A" w:rsidRPr="006114CC" w14:paraId="082E2562"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noWrap/>
          </w:tcPr>
          <w:p w14:paraId="1993F1DD" w14:textId="4B7D933D" w:rsidR="0069611A" w:rsidRPr="006114CC" w:rsidRDefault="0069611A" w:rsidP="0069611A">
            <w:pPr>
              <w:pStyle w:val="TableTextSmall"/>
              <w:keepNext/>
              <w:rPr>
                <w:rFonts w:ascii="Arial" w:hAnsi="Arial"/>
                <w:i/>
                <w:iCs/>
                <w:color w:val="595959"/>
                <w:szCs w:val="16"/>
              </w:rPr>
            </w:pPr>
            <w:r w:rsidRPr="00D97681">
              <w:rPr>
                <w:rFonts w:ascii="Arial" w:hAnsi="Arial"/>
                <w:color w:val="595959"/>
                <w:szCs w:val="16"/>
              </w:rPr>
              <w:t>Payment rate (over latest year)</w:t>
            </w:r>
          </w:p>
        </w:tc>
        <w:tc>
          <w:tcPr>
            <w:tcW w:w="1134" w:type="dxa"/>
            <w:noWrap/>
          </w:tcPr>
          <w:p w14:paraId="5BB266C7"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noWrap/>
          </w:tcPr>
          <w:p w14:paraId="661DC2AC"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noWrap/>
            <w:vAlign w:val="bottom"/>
          </w:tcPr>
          <w:p w14:paraId="1EC22D48"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vAlign w:val="bottom"/>
          </w:tcPr>
          <w:p w14:paraId="1A4FF31B"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114CC" w14:paraId="53FD7579"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noWrap/>
          </w:tcPr>
          <w:p w14:paraId="6D5CDA85"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Partial rate/partial year</w:t>
            </w:r>
          </w:p>
        </w:tc>
        <w:tc>
          <w:tcPr>
            <w:tcW w:w="1134" w:type="dxa"/>
            <w:noWrap/>
          </w:tcPr>
          <w:p w14:paraId="1E3809D1"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355,000</w:t>
            </w:r>
          </w:p>
        </w:tc>
        <w:tc>
          <w:tcPr>
            <w:tcW w:w="1606" w:type="dxa"/>
            <w:noWrap/>
          </w:tcPr>
          <w:p w14:paraId="66DD672C"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56%</w:t>
            </w:r>
          </w:p>
        </w:tc>
        <w:tc>
          <w:tcPr>
            <w:tcW w:w="1606" w:type="dxa"/>
            <w:noWrap/>
            <w:vAlign w:val="bottom"/>
          </w:tcPr>
          <w:p w14:paraId="56CBF16D" w14:textId="44CE1DA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248,000</w:t>
            </w:r>
          </w:p>
        </w:tc>
        <w:tc>
          <w:tcPr>
            <w:tcW w:w="1607" w:type="dxa"/>
            <w:vAlign w:val="bottom"/>
          </w:tcPr>
          <w:p w14:paraId="68F9D8C2" w14:textId="3255A05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89%</w:t>
            </w:r>
          </w:p>
        </w:tc>
      </w:tr>
      <w:tr w:rsidR="0069611A" w:rsidRPr="006114CC" w14:paraId="72FEF16A"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noWrap/>
          </w:tcPr>
          <w:p w14:paraId="3D908B7C"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Max partnered rate, full year</w:t>
            </w:r>
          </w:p>
        </w:tc>
        <w:tc>
          <w:tcPr>
            <w:tcW w:w="1134" w:type="dxa"/>
            <w:noWrap/>
          </w:tcPr>
          <w:p w14:paraId="6D43D66E"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108,000</w:t>
            </w:r>
          </w:p>
        </w:tc>
        <w:tc>
          <w:tcPr>
            <w:tcW w:w="1606" w:type="dxa"/>
            <w:noWrap/>
          </w:tcPr>
          <w:p w14:paraId="5E86379D"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17%</w:t>
            </w:r>
          </w:p>
        </w:tc>
        <w:tc>
          <w:tcPr>
            <w:tcW w:w="1606" w:type="dxa"/>
            <w:noWrap/>
            <w:vAlign w:val="bottom"/>
          </w:tcPr>
          <w:p w14:paraId="5E107366" w14:textId="19F3D97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281,000</w:t>
            </w:r>
          </w:p>
        </w:tc>
        <w:tc>
          <w:tcPr>
            <w:tcW w:w="1607" w:type="dxa"/>
            <w:vAlign w:val="bottom"/>
          </w:tcPr>
          <w:p w14:paraId="38280970" w14:textId="3AEA206A"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101%</w:t>
            </w:r>
          </w:p>
        </w:tc>
      </w:tr>
      <w:tr w:rsidR="0069611A" w:rsidRPr="006114CC" w14:paraId="63ED178E"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noWrap/>
          </w:tcPr>
          <w:p w14:paraId="398066A5"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Partial single rate/partial year</w:t>
            </w:r>
          </w:p>
        </w:tc>
        <w:tc>
          <w:tcPr>
            <w:tcW w:w="1134" w:type="dxa"/>
            <w:noWrap/>
          </w:tcPr>
          <w:p w14:paraId="0DEE9A97"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56,000</w:t>
            </w:r>
          </w:p>
        </w:tc>
        <w:tc>
          <w:tcPr>
            <w:tcW w:w="1606" w:type="dxa"/>
            <w:noWrap/>
          </w:tcPr>
          <w:p w14:paraId="15AD53BF"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9%</w:t>
            </w:r>
          </w:p>
        </w:tc>
        <w:tc>
          <w:tcPr>
            <w:tcW w:w="1606" w:type="dxa"/>
            <w:noWrap/>
            <w:vAlign w:val="bottom"/>
          </w:tcPr>
          <w:p w14:paraId="35728567" w14:textId="42EA643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332,000</w:t>
            </w:r>
          </w:p>
        </w:tc>
        <w:tc>
          <w:tcPr>
            <w:tcW w:w="1607" w:type="dxa"/>
            <w:vAlign w:val="bottom"/>
          </w:tcPr>
          <w:p w14:paraId="0574910B" w14:textId="3513666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119%</w:t>
            </w:r>
          </w:p>
        </w:tc>
      </w:tr>
      <w:tr w:rsidR="0069611A" w:rsidRPr="00660D81" w14:paraId="6A931D47"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noWrap/>
          </w:tcPr>
          <w:p w14:paraId="19AD8425"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Max single rate, full year</w:t>
            </w:r>
          </w:p>
        </w:tc>
        <w:tc>
          <w:tcPr>
            <w:tcW w:w="1134" w:type="dxa"/>
            <w:noWrap/>
          </w:tcPr>
          <w:p w14:paraId="30B345F3"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116,000</w:t>
            </w:r>
          </w:p>
        </w:tc>
        <w:tc>
          <w:tcPr>
            <w:tcW w:w="1606" w:type="dxa"/>
            <w:noWrap/>
          </w:tcPr>
          <w:p w14:paraId="688F5231"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18%</w:t>
            </w:r>
          </w:p>
        </w:tc>
        <w:tc>
          <w:tcPr>
            <w:tcW w:w="1606" w:type="dxa"/>
            <w:noWrap/>
            <w:vAlign w:val="bottom"/>
          </w:tcPr>
          <w:p w14:paraId="5D51169D" w14:textId="444D3246"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349,000</w:t>
            </w:r>
          </w:p>
        </w:tc>
        <w:tc>
          <w:tcPr>
            <w:tcW w:w="1607" w:type="dxa"/>
            <w:vAlign w:val="bottom"/>
          </w:tcPr>
          <w:p w14:paraId="0ADD65B2" w14:textId="608E76A1" w:rsidR="0069611A"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125%</w:t>
            </w:r>
          </w:p>
        </w:tc>
      </w:tr>
    </w:tbl>
    <w:p w14:paraId="46FE040C" w14:textId="43A09289" w:rsidR="000E7587" w:rsidRDefault="000E7587" w:rsidP="00964D65">
      <w:pPr>
        <w:pStyle w:val="PwCNormal"/>
        <w:numPr>
          <w:ilvl w:val="0"/>
          <w:numId w:val="33"/>
        </w:numPr>
      </w:pPr>
      <w:r w:rsidRPr="00434AE3">
        <w:t xml:space="preserve">From the </w:t>
      </w:r>
      <w:r>
        <w:t>table</w:t>
      </w:r>
      <w:r w:rsidRPr="00434AE3">
        <w:t>, we can see that</w:t>
      </w:r>
      <w:r>
        <w:t xml:space="preserve"> for the current cohort of </w:t>
      </w:r>
      <w:r w:rsidR="001D5C14">
        <w:t>Age Pension recipients aged 65 to 69</w:t>
      </w:r>
      <w:r>
        <w:t>:</w:t>
      </w:r>
    </w:p>
    <w:p w14:paraId="19EE0AC4" w14:textId="77777777" w:rsidR="000E7587" w:rsidRDefault="000E7587" w:rsidP="000E7587">
      <w:pPr>
        <w:pStyle w:val="ListBullet"/>
      </w:pPr>
      <w:r>
        <w:t>Single pensioners have higher average lifetime costs compared to partnered pensioners.</w:t>
      </w:r>
    </w:p>
    <w:p w14:paraId="1C7E43D8" w14:textId="5C1FC2D7" w:rsidR="000E7587" w:rsidRDefault="000E7587" w:rsidP="000E7587">
      <w:pPr>
        <w:pStyle w:val="PwCNormal"/>
        <w:numPr>
          <w:ilvl w:val="0"/>
          <w:numId w:val="0"/>
        </w:numPr>
      </w:pPr>
      <w:r>
        <w:t>Those pensioners providing some form of care for another person tend to have higher average lifetime costs.</w:t>
      </w:r>
    </w:p>
    <w:p w14:paraId="59A81DAC" w14:textId="14D794FA" w:rsidR="005846DC" w:rsidRPr="007B1705" w:rsidRDefault="005846DC" w:rsidP="005846DC">
      <w:pPr>
        <w:pStyle w:val="Minorheading"/>
      </w:pPr>
      <w:r w:rsidRPr="007B1705">
        <w:t xml:space="preserve">Change in lifetime costs since the </w:t>
      </w:r>
      <w:r w:rsidR="00035CA3">
        <w:t>2016</w:t>
      </w:r>
      <w:r w:rsidRPr="007B1705">
        <w:t xml:space="preserve"> valuation</w:t>
      </w:r>
    </w:p>
    <w:p w14:paraId="3E34C43C" w14:textId="22D81254" w:rsidR="007B0A8D" w:rsidRPr="0057506F" w:rsidRDefault="007B0A8D" w:rsidP="007B0A8D">
      <w:pPr>
        <w:pStyle w:val="PwCNormal"/>
        <w:numPr>
          <w:ilvl w:val="0"/>
          <w:numId w:val="0"/>
        </w:numPr>
      </w:pPr>
      <w:r w:rsidRPr="007B1705">
        <w:t xml:space="preserve">The lifetime cost for the people in this class </w:t>
      </w:r>
      <w:r w:rsidR="00684B12">
        <w:t>is</w:t>
      </w:r>
      <w:r w:rsidRPr="007B1705">
        <w:t xml:space="preserve"> $542bn</w:t>
      </w:r>
      <w:r w:rsidR="00684B12">
        <w:t>,</w:t>
      </w:r>
      <w:r w:rsidRPr="007B1705">
        <w:t xml:space="preserve"> an increase of $24bn </w:t>
      </w:r>
      <w:r>
        <w:t xml:space="preserve">(4.6%) </w:t>
      </w:r>
      <w:r w:rsidRPr="007B1705">
        <w:t xml:space="preserve">compared to the 2016 valuation. This </w:t>
      </w:r>
      <w:r w:rsidR="00684B12">
        <w:t xml:space="preserve">is due to both </w:t>
      </w:r>
      <w:r w:rsidRPr="007B1705">
        <w:t xml:space="preserve">an increase in the </w:t>
      </w:r>
      <w:r>
        <w:t xml:space="preserve">average cost </w:t>
      </w:r>
      <w:r w:rsidRPr="007B1705">
        <w:t>of people in this class compared to the previous valuation</w:t>
      </w:r>
      <w:r w:rsidR="00684B12">
        <w:t xml:space="preserve"> and, to a lesser extent, an increase in the number of people in this class</w:t>
      </w:r>
      <w:r w:rsidRPr="007B1705">
        <w:t>:</w:t>
      </w:r>
    </w:p>
    <w:p w14:paraId="095910BC" w14:textId="5643F3AF" w:rsidR="007B0A8D" w:rsidRPr="00C50D2B" w:rsidRDefault="007B0A8D" w:rsidP="009D25A0">
      <w:pPr>
        <w:pStyle w:val="ListBullet"/>
      </w:pPr>
      <w:r w:rsidRPr="00C50D2B">
        <w:t>The number of age pensioners has increased by 1.</w:t>
      </w:r>
      <w:r w:rsidR="00A64D11" w:rsidRPr="00C50D2B">
        <w:t>7</w:t>
      </w:r>
      <w:r w:rsidRPr="00C50D2B">
        <w:t xml:space="preserve">%; this is </w:t>
      </w:r>
      <w:r w:rsidR="009D25A0" w:rsidRPr="00C50D2B">
        <w:t>below</w:t>
      </w:r>
      <w:r w:rsidRPr="00C50D2B">
        <w:t xml:space="preserve"> expectations </w:t>
      </w:r>
      <w:r w:rsidR="009D25A0" w:rsidRPr="00C50D2B">
        <w:t xml:space="preserve">compared to the June 2016 valuation due to decreasing </w:t>
      </w:r>
      <w:r w:rsidR="003D6F77" w:rsidRPr="00C50D2B">
        <w:t>entr</w:t>
      </w:r>
      <w:r w:rsidR="003D6F77">
        <w:t>y rates</w:t>
      </w:r>
      <w:r w:rsidR="003D6F77" w:rsidRPr="00C50D2B">
        <w:t xml:space="preserve"> </w:t>
      </w:r>
      <w:r w:rsidR="009D25A0" w:rsidRPr="00C50D2B">
        <w:t>into this class over the last year.</w:t>
      </w:r>
    </w:p>
    <w:p w14:paraId="3A80FD5F" w14:textId="24DDC63E" w:rsidR="00372F5B" w:rsidRPr="007B1705" w:rsidRDefault="00AC1E1E" w:rsidP="007B0A8D">
      <w:pPr>
        <w:pStyle w:val="ListBullet"/>
      </w:pPr>
      <w:r w:rsidRPr="00035CA3">
        <w:t xml:space="preserve">The average cost of age pensioners has increased by </w:t>
      </w:r>
      <w:r>
        <w:t>$6,000 (2.8</w:t>
      </w:r>
      <w:r w:rsidRPr="00035CA3">
        <w:t>%</w:t>
      </w:r>
      <w:r>
        <w:t>) since the previous valuation</w:t>
      </w:r>
      <w:r w:rsidRPr="00035CA3">
        <w:t xml:space="preserve"> largely </w:t>
      </w:r>
      <w:r>
        <w:t xml:space="preserve">due to </w:t>
      </w:r>
      <w:r w:rsidRPr="00035CA3">
        <w:t xml:space="preserve">the </w:t>
      </w:r>
      <w:r w:rsidRPr="00155F25">
        <w:t>increase in the cost of future payments as a result of inflation</w:t>
      </w:r>
      <w:r w:rsidRPr="00035CA3">
        <w:t>. The following table provides a breakdown of the change in average lifetime cost by</w:t>
      </w:r>
      <w:r w:rsidRPr="007B1705">
        <w:t xml:space="preserve"> payment category.</w:t>
      </w:r>
    </w:p>
    <w:p w14:paraId="0184EA13" w14:textId="7B944092" w:rsidR="00372F5B" w:rsidRPr="007B1705" w:rsidRDefault="00372F5B" w:rsidP="00372F5B">
      <w:pPr>
        <w:pStyle w:val="Caption"/>
      </w:pPr>
      <w:r w:rsidRPr="007B1705">
        <w:lastRenderedPageBreak/>
        <w:t xml:space="preserve">Table </w:t>
      </w:r>
      <w:fldSimple w:instr=" SEQ Table \* ARABIC ">
        <w:r w:rsidR="00C93C1A">
          <w:rPr>
            <w:noProof/>
          </w:rPr>
          <w:t>39</w:t>
        </w:r>
      </w:fldSimple>
      <w:r w:rsidRPr="007B1705">
        <w:t xml:space="preserve">: Breakdown of change in average lifetime cost for </w:t>
      </w:r>
      <w:r w:rsidR="00871E70">
        <w:t>c</w:t>
      </w:r>
      <w:r w:rsidRPr="007B1705">
        <w:t>lass 6 by payment category</w:t>
      </w:r>
    </w:p>
    <w:tbl>
      <w:tblPr>
        <w:tblStyle w:val="ListTable3-Accent62"/>
        <w:tblW w:w="9498" w:type="dxa"/>
        <w:tblInd w:w="108" w:type="dxa"/>
        <w:tblLayout w:type="fixed"/>
        <w:tblCellMar>
          <w:left w:w="57" w:type="dxa"/>
          <w:right w:w="57" w:type="dxa"/>
        </w:tblCellMar>
        <w:tblLook w:val="04A0" w:firstRow="1" w:lastRow="0" w:firstColumn="1" w:lastColumn="0" w:noHBand="0" w:noVBand="1"/>
        <w:tblCaption w:val=" Breakdown of change in average lifetime cost for Class 6 by payment category"/>
        <w:tblDescription w:val="This table shows the breakdown of the total change in average lifetime cost for Class 6 into; change in people in class, change in inflation, policy changes and other changes. These are shown as rows in the table.&#10;&#10;The changes in lifetime cost are considered by relevant payment categories for Class 6; IS Non Age Pension, IS Age Pension, Non IS Family Supplements and Non IS Other Supplements. These are shown as columns in the table alongside a total change column.&#10;&#10;Further features of the data in this table are discussed in the accompanying text within the report.&#10;"/>
      </w:tblPr>
      <w:tblGrid>
        <w:gridCol w:w="3119"/>
        <w:gridCol w:w="1276"/>
        <w:gridCol w:w="1240"/>
        <w:gridCol w:w="1240"/>
        <w:gridCol w:w="1347"/>
        <w:gridCol w:w="1276"/>
      </w:tblGrid>
      <w:tr w:rsidR="00372F5B" w:rsidRPr="007B1705" w14:paraId="4C62C73C"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63149618" w14:textId="77777777" w:rsidR="00372F5B" w:rsidRPr="007B1705" w:rsidRDefault="00372F5B" w:rsidP="001D1763">
            <w:pPr>
              <w:pStyle w:val="TableTextSmall"/>
              <w:keepNext/>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27CF0398" w14:textId="77777777" w:rsidR="00372F5B" w:rsidRPr="007B1705" w:rsidRDefault="00372F5B"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40" w:type="dxa"/>
            <w:tcBorders>
              <w:left w:val="single" w:sz="4" w:space="0" w:color="FFFFFF" w:themeColor="background1"/>
              <w:bottom w:val="single" w:sz="4" w:space="0" w:color="FFFFFF" w:themeColor="background1"/>
              <w:right w:val="nil"/>
            </w:tcBorders>
          </w:tcPr>
          <w:p w14:paraId="4BC99A3C" w14:textId="77777777" w:rsidR="00372F5B" w:rsidRPr="007B1705" w:rsidRDefault="00372F5B" w:rsidP="001D1763">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rPr>
              <w:t>IS</w:t>
            </w:r>
          </w:p>
        </w:tc>
        <w:tc>
          <w:tcPr>
            <w:tcW w:w="1240" w:type="dxa"/>
            <w:tcBorders>
              <w:left w:val="nil"/>
              <w:bottom w:val="single" w:sz="4" w:space="0" w:color="FFFFFF" w:themeColor="background1"/>
              <w:right w:val="single" w:sz="4" w:space="0" w:color="FFFFFF" w:themeColor="background1"/>
            </w:tcBorders>
          </w:tcPr>
          <w:p w14:paraId="102EDC99" w14:textId="77777777" w:rsidR="00372F5B" w:rsidRPr="007B1705" w:rsidRDefault="00372F5B" w:rsidP="001D1763">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p>
        </w:tc>
        <w:tc>
          <w:tcPr>
            <w:tcW w:w="1347" w:type="dxa"/>
            <w:tcBorders>
              <w:left w:val="single" w:sz="4" w:space="0" w:color="FFFFFF" w:themeColor="background1"/>
              <w:bottom w:val="single" w:sz="4" w:space="0" w:color="FFFFFF" w:themeColor="background1"/>
            </w:tcBorders>
          </w:tcPr>
          <w:p w14:paraId="70D1832A" w14:textId="77777777" w:rsidR="00372F5B" w:rsidRPr="007B1705" w:rsidRDefault="00372F5B" w:rsidP="001D1763">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Pr>
                <w:rFonts w:asciiTheme="majorHAnsi" w:hAnsiTheme="majorHAnsi"/>
                <w:color w:val="FFFFFF" w:themeColor="background1"/>
              </w:rPr>
              <w:t>Non</w:t>
            </w:r>
          </w:p>
        </w:tc>
        <w:tc>
          <w:tcPr>
            <w:tcW w:w="1276" w:type="dxa"/>
            <w:tcBorders>
              <w:bottom w:val="single" w:sz="4" w:space="0" w:color="FFFFFF" w:themeColor="background1"/>
            </w:tcBorders>
          </w:tcPr>
          <w:p w14:paraId="30A1DB31" w14:textId="77777777" w:rsidR="00372F5B" w:rsidRPr="007B1705" w:rsidRDefault="00372F5B" w:rsidP="001D1763">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rPr>
              <w:t>IS</w:t>
            </w:r>
          </w:p>
        </w:tc>
      </w:tr>
      <w:tr w:rsidR="00372F5B" w:rsidRPr="009210D0" w14:paraId="7AE00817"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048219E0" w14:textId="77777777" w:rsidR="00372F5B" w:rsidRPr="007B1705" w:rsidRDefault="00372F5B" w:rsidP="001D1763">
            <w:pPr>
              <w:pStyle w:val="TableTextSmall"/>
              <w:keepNext/>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0E274805" w14:textId="77777777" w:rsidR="00372F5B" w:rsidRPr="007B1705" w:rsidRDefault="00372F5B"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7B1705">
              <w:rPr>
                <w:rFonts w:asciiTheme="majorHAnsi" w:hAnsiTheme="majorHAnsi"/>
                <w:color w:val="FFFFFF" w:themeColor="background1"/>
              </w:rPr>
              <w:t>Total</w:t>
            </w:r>
          </w:p>
        </w:tc>
        <w:tc>
          <w:tcPr>
            <w:tcW w:w="1240" w:type="dxa"/>
            <w:tcBorders>
              <w:top w:val="single" w:sz="4" w:space="0" w:color="FFFFFF" w:themeColor="background1"/>
              <w:left w:val="single" w:sz="4" w:space="0" w:color="FFFFFF" w:themeColor="background1"/>
              <w:bottom w:val="single" w:sz="4" w:space="0" w:color="E0301E" w:themeColor="accent6"/>
            </w:tcBorders>
          </w:tcPr>
          <w:p w14:paraId="1402B0A6" w14:textId="77777777" w:rsidR="00372F5B" w:rsidRPr="007B1705" w:rsidRDefault="00372F5B"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7B1705">
              <w:rPr>
                <w:rFonts w:asciiTheme="majorHAnsi" w:hAnsiTheme="majorHAnsi"/>
                <w:color w:val="FFFFFF" w:themeColor="background1"/>
              </w:rPr>
              <w:t>Non Age Pension</w:t>
            </w:r>
          </w:p>
        </w:tc>
        <w:tc>
          <w:tcPr>
            <w:tcW w:w="1240" w:type="dxa"/>
            <w:tcBorders>
              <w:top w:val="single" w:sz="4" w:space="0" w:color="FFFFFF" w:themeColor="background1"/>
              <w:bottom w:val="single" w:sz="4" w:space="0" w:color="E0301E" w:themeColor="accent6"/>
              <w:right w:val="single" w:sz="4" w:space="0" w:color="FFFFFF" w:themeColor="background1"/>
            </w:tcBorders>
          </w:tcPr>
          <w:p w14:paraId="463F990F" w14:textId="77777777" w:rsidR="00372F5B" w:rsidRPr="007B1705" w:rsidRDefault="00372F5B"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7B1705">
              <w:rPr>
                <w:rFonts w:asciiTheme="majorHAnsi" w:hAnsiTheme="majorHAnsi"/>
                <w:color w:val="FFFFFF" w:themeColor="background1"/>
              </w:rPr>
              <w:t>Age Pension</w:t>
            </w:r>
          </w:p>
        </w:tc>
        <w:tc>
          <w:tcPr>
            <w:tcW w:w="1347" w:type="dxa"/>
            <w:tcBorders>
              <w:top w:val="single" w:sz="4" w:space="0" w:color="FFFFFF" w:themeColor="background1"/>
              <w:left w:val="single" w:sz="4" w:space="0" w:color="FFFFFF" w:themeColor="background1"/>
              <w:bottom w:val="single" w:sz="4" w:space="0" w:color="E0301E" w:themeColor="accent6"/>
            </w:tcBorders>
          </w:tcPr>
          <w:p w14:paraId="10DFBC9A" w14:textId="77777777" w:rsidR="00372F5B" w:rsidRPr="007B1705" w:rsidRDefault="00372F5B"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7B1705">
              <w:rPr>
                <w:rFonts w:asciiTheme="majorHAnsi" w:hAnsiTheme="majorHAnsi"/>
                <w:color w:val="FFFFFF" w:themeColor="background1"/>
              </w:rPr>
              <w:t>Family Supplements</w:t>
            </w:r>
          </w:p>
        </w:tc>
        <w:tc>
          <w:tcPr>
            <w:tcW w:w="1276" w:type="dxa"/>
            <w:tcBorders>
              <w:top w:val="single" w:sz="4" w:space="0" w:color="FFFFFF" w:themeColor="background1"/>
              <w:bottom w:val="single" w:sz="4" w:space="0" w:color="E0301E" w:themeColor="accent6"/>
            </w:tcBorders>
          </w:tcPr>
          <w:p w14:paraId="725325DA" w14:textId="77777777" w:rsidR="00372F5B" w:rsidRPr="007B1705" w:rsidRDefault="00372F5B"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7B1705">
              <w:rPr>
                <w:rFonts w:asciiTheme="majorHAnsi" w:hAnsiTheme="majorHAnsi"/>
                <w:color w:val="FFFFFF" w:themeColor="background1"/>
              </w:rPr>
              <w:t>Other Supplements</w:t>
            </w:r>
          </w:p>
        </w:tc>
      </w:tr>
      <w:tr w:rsidR="00AA1061" w:rsidRPr="009210D0" w14:paraId="798507E2"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7FA349C5" w14:textId="77777777" w:rsidR="00AA1061" w:rsidRPr="009210D0" w:rsidRDefault="00AA1061" w:rsidP="00AA1061">
            <w:pPr>
              <w:pStyle w:val="TableTextSmall"/>
              <w:keepNext/>
              <w:rPr>
                <w:highlight w:val="yellow"/>
              </w:rPr>
            </w:pPr>
            <w:r w:rsidRPr="00301BD2">
              <w:t>Jun-16 Total Lifetime Cost</w:t>
            </w:r>
          </w:p>
        </w:tc>
        <w:tc>
          <w:tcPr>
            <w:tcW w:w="1276" w:type="dxa"/>
            <w:tcBorders>
              <w:left w:val="single" w:sz="4" w:space="0" w:color="E0301E" w:themeColor="accent6"/>
              <w:bottom w:val="nil"/>
              <w:right w:val="single" w:sz="4" w:space="0" w:color="E0301E" w:themeColor="accent6"/>
            </w:tcBorders>
          </w:tcPr>
          <w:p w14:paraId="36520EAA" w14:textId="10FC4B2F" w:rsidR="00AA1061" w:rsidRPr="009210D0"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rPr>
                <w:highlight w:val="yellow"/>
              </w:rPr>
            </w:pPr>
            <w:r w:rsidRPr="00CB6BAA">
              <w:t>$518bn</w:t>
            </w:r>
          </w:p>
        </w:tc>
        <w:tc>
          <w:tcPr>
            <w:tcW w:w="1240" w:type="dxa"/>
            <w:tcBorders>
              <w:left w:val="single" w:sz="4" w:space="0" w:color="E0301E" w:themeColor="accent6"/>
              <w:bottom w:val="nil"/>
            </w:tcBorders>
            <w:shd w:val="clear" w:color="auto" w:fill="D9D9D9" w:themeFill="background1" w:themeFillShade="D9"/>
          </w:tcPr>
          <w:p w14:paraId="05097298" w14:textId="77777777" w:rsidR="00AA1061" w:rsidRPr="009210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rPr>
                <w:highlight w:val="yellow"/>
              </w:rPr>
            </w:pPr>
          </w:p>
        </w:tc>
        <w:tc>
          <w:tcPr>
            <w:tcW w:w="1240" w:type="dxa"/>
            <w:tcBorders>
              <w:bottom w:val="nil"/>
              <w:right w:val="nil"/>
            </w:tcBorders>
            <w:shd w:val="clear" w:color="auto" w:fill="D9D9D9" w:themeFill="background1" w:themeFillShade="D9"/>
          </w:tcPr>
          <w:p w14:paraId="567DD4BC" w14:textId="77777777" w:rsidR="00AA1061" w:rsidRPr="009210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rPr>
                <w:highlight w:val="yellow"/>
              </w:rPr>
            </w:pPr>
          </w:p>
        </w:tc>
        <w:tc>
          <w:tcPr>
            <w:tcW w:w="1347" w:type="dxa"/>
            <w:tcBorders>
              <w:left w:val="nil"/>
              <w:bottom w:val="nil"/>
            </w:tcBorders>
            <w:shd w:val="clear" w:color="auto" w:fill="D9D9D9" w:themeFill="background1" w:themeFillShade="D9"/>
          </w:tcPr>
          <w:p w14:paraId="34570DE2" w14:textId="77777777" w:rsidR="00AA1061" w:rsidRPr="009210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rPr>
                <w:highlight w:val="yellow"/>
              </w:rPr>
            </w:pPr>
          </w:p>
        </w:tc>
        <w:tc>
          <w:tcPr>
            <w:tcW w:w="1276" w:type="dxa"/>
            <w:tcBorders>
              <w:bottom w:val="nil"/>
            </w:tcBorders>
            <w:shd w:val="clear" w:color="auto" w:fill="D9D9D9" w:themeFill="background1" w:themeFillShade="D9"/>
          </w:tcPr>
          <w:p w14:paraId="0ABC6BED" w14:textId="77777777" w:rsidR="00AA1061" w:rsidRPr="009210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rPr>
                <w:highlight w:val="yellow"/>
              </w:rPr>
            </w:pPr>
          </w:p>
        </w:tc>
      </w:tr>
      <w:tr w:rsidR="00AA1061" w:rsidRPr="009210D0" w14:paraId="57BF5CB8"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7F8C706B" w14:textId="77777777" w:rsidR="00AA1061" w:rsidRPr="009210D0" w:rsidRDefault="00AA1061" w:rsidP="00AA1061">
            <w:pPr>
              <w:pStyle w:val="TableTextSmall"/>
              <w:keepNext/>
              <w:rPr>
                <w:highlight w:val="yellow"/>
              </w:rPr>
            </w:pPr>
            <w:r w:rsidRPr="00301BD2">
              <w:t>Jun-17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tcPr>
          <w:p w14:paraId="49C1BADF" w14:textId="39DD00FF" w:rsidR="00AA1061" w:rsidRPr="009210D0"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highlight w:val="yellow"/>
              </w:rPr>
            </w:pPr>
            <w:r w:rsidRPr="00CB6BAA">
              <w:t>$542bn</w:t>
            </w:r>
          </w:p>
        </w:tc>
        <w:tc>
          <w:tcPr>
            <w:tcW w:w="1240" w:type="dxa"/>
            <w:tcBorders>
              <w:top w:val="nil"/>
              <w:left w:val="single" w:sz="4" w:space="0" w:color="E0301E" w:themeColor="accent6"/>
              <w:bottom w:val="nil"/>
            </w:tcBorders>
            <w:shd w:val="clear" w:color="auto" w:fill="D9D9D9" w:themeFill="background1" w:themeFillShade="D9"/>
          </w:tcPr>
          <w:p w14:paraId="282ADC8C" w14:textId="77777777" w:rsidR="00AA1061" w:rsidRPr="009210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rPr>
                <w:highlight w:val="yellow"/>
              </w:rPr>
            </w:pPr>
          </w:p>
        </w:tc>
        <w:tc>
          <w:tcPr>
            <w:tcW w:w="1240" w:type="dxa"/>
            <w:tcBorders>
              <w:top w:val="nil"/>
              <w:bottom w:val="nil"/>
              <w:right w:val="nil"/>
            </w:tcBorders>
            <w:shd w:val="clear" w:color="auto" w:fill="D9D9D9" w:themeFill="background1" w:themeFillShade="D9"/>
          </w:tcPr>
          <w:p w14:paraId="0F5BB10B" w14:textId="77777777" w:rsidR="00AA1061" w:rsidRPr="009210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rPr>
                <w:highlight w:val="yellow"/>
              </w:rPr>
            </w:pPr>
          </w:p>
        </w:tc>
        <w:tc>
          <w:tcPr>
            <w:tcW w:w="1347" w:type="dxa"/>
            <w:tcBorders>
              <w:top w:val="nil"/>
              <w:left w:val="nil"/>
              <w:bottom w:val="nil"/>
            </w:tcBorders>
            <w:shd w:val="clear" w:color="auto" w:fill="D9D9D9" w:themeFill="background1" w:themeFillShade="D9"/>
          </w:tcPr>
          <w:p w14:paraId="4BA39FBA" w14:textId="77777777" w:rsidR="00AA1061" w:rsidRPr="009210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rPr>
                <w:highlight w:val="yellow"/>
              </w:rPr>
            </w:pPr>
          </w:p>
        </w:tc>
        <w:tc>
          <w:tcPr>
            <w:tcW w:w="1276" w:type="dxa"/>
            <w:tcBorders>
              <w:top w:val="nil"/>
              <w:bottom w:val="nil"/>
            </w:tcBorders>
            <w:shd w:val="clear" w:color="auto" w:fill="D9D9D9" w:themeFill="background1" w:themeFillShade="D9"/>
          </w:tcPr>
          <w:p w14:paraId="5F338D44" w14:textId="77777777" w:rsidR="00AA1061" w:rsidRPr="009210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rPr>
                <w:highlight w:val="yellow"/>
              </w:rPr>
            </w:pPr>
          </w:p>
        </w:tc>
      </w:tr>
      <w:tr w:rsidR="00AA1061" w:rsidRPr="009210D0" w14:paraId="0DD1FCDD"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6354D1B6" w14:textId="77777777" w:rsidR="00AA1061" w:rsidRPr="009210D0" w:rsidRDefault="00AA1061" w:rsidP="00AA1061">
            <w:pPr>
              <w:pStyle w:val="TableTextSmall"/>
              <w:keepNext/>
              <w:rPr>
                <w:highlight w:val="yellow"/>
              </w:rPr>
            </w:pPr>
            <w:r w:rsidRPr="00301BD2">
              <w:t>Change in Total Lifetime Cost</w:t>
            </w:r>
          </w:p>
        </w:tc>
        <w:tc>
          <w:tcPr>
            <w:tcW w:w="1276" w:type="dxa"/>
            <w:tcBorders>
              <w:left w:val="single" w:sz="4" w:space="0" w:color="E0301E" w:themeColor="accent6"/>
              <w:bottom w:val="nil"/>
              <w:right w:val="single" w:sz="4" w:space="0" w:color="E0301E" w:themeColor="accent6"/>
            </w:tcBorders>
          </w:tcPr>
          <w:p w14:paraId="47FE2F46" w14:textId="6E7C15F1" w:rsidR="00AA1061" w:rsidRPr="009210D0"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rPr>
                <w:highlight w:val="yellow"/>
              </w:rPr>
            </w:pPr>
            <w:r w:rsidRPr="00CB6BAA">
              <w:t>+$24bn (+4.6%)</w:t>
            </w:r>
          </w:p>
        </w:tc>
        <w:tc>
          <w:tcPr>
            <w:tcW w:w="1240" w:type="dxa"/>
            <w:tcBorders>
              <w:top w:val="nil"/>
              <w:left w:val="single" w:sz="4" w:space="0" w:color="E0301E" w:themeColor="accent6"/>
              <w:bottom w:val="nil"/>
            </w:tcBorders>
            <w:shd w:val="clear" w:color="auto" w:fill="D9D9D9" w:themeFill="background1" w:themeFillShade="D9"/>
          </w:tcPr>
          <w:p w14:paraId="7D686971" w14:textId="77777777" w:rsidR="00AA1061" w:rsidRPr="009210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rPr>
                <w:highlight w:val="yellow"/>
              </w:rPr>
            </w:pPr>
          </w:p>
        </w:tc>
        <w:tc>
          <w:tcPr>
            <w:tcW w:w="1240" w:type="dxa"/>
            <w:tcBorders>
              <w:top w:val="nil"/>
              <w:bottom w:val="nil"/>
              <w:right w:val="nil"/>
            </w:tcBorders>
            <w:shd w:val="clear" w:color="auto" w:fill="D9D9D9" w:themeFill="background1" w:themeFillShade="D9"/>
          </w:tcPr>
          <w:p w14:paraId="29A20C2A" w14:textId="77777777" w:rsidR="00AA1061" w:rsidRPr="009210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rPr>
                <w:highlight w:val="yellow"/>
              </w:rPr>
            </w:pPr>
          </w:p>
        </w:tc>
        <w:tc>
          <w:tcPr>
            <w:tcW w:w="1347" w:type="dxa"/>
            <w:tcBorders>
              <w:top w:val="nil"/>
              <w:left w:val="nil"/>
              <w:bottom w:val="nil"/>
            </w:tcBorders>
            <w:shd w:val="clear" w:color="auto" w:fill="D9D9D9" w:themeFill="background1" w:themeFillShade="D9"/>
          </w:tcPr>
          <w:p w14:paraId="48B96154" w14:textId="77777777" w:rsidR="00AA1061" w:rsidRPr="009210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rPr>
                <w:highlight w:val="yellow"/>
              </w:rPr>
            </w:pPr>
          </w:p>
        </w:tc>
        <w:tc>
          <w:tcPr>
            <w:tcW w:w="1276" w:type="dxa"/>
            <w:tcBorders>
              <w:top w:val="nil"/>
              <w:bottom w:val="nil"/>
            </w:tcBorders>
            <w:shd w:val="clear" w:color="auto" w:fill="D9D9D9" w:themeFill="background1" w:themeFillShade="D9"/>
          </w:tcPr>
          <w:p w14:paraId="0AD7A497" w14:textId="77777777" w:rsidR="00AA1061" w:rsidRPr="009210D0"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rPr>
                <w:highlight w:val="yellow"/>
              </w:rPr>
            </w:pPr>
          </w:p>
        </w:tc>
      </w:tr>
      <w:tr w:rsidR="00AA1061" w:rsidRPr="009210D0" w14:paraId="61218C4F"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4BDE731D" w14:textId="77777777" w:rsidR="00AA1061" w:rsidRPr="009210D0" w:rsidRDefault="00AA1061" w:rsidP="00AA1061">
            <w:pPr>
              <w:pStyle w:val="TableTextSmall"/>
              <w:keepNext/>
              <w:rPr>
                <w:highlight w:val="yellow"/>
              </w:rPr>
            </w:pPr>
            <w:r w:rsidRPr="00301BD2">
              <w:t>Change due to People in Class</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tcPr>
          <w:p w14:paraId="2FF30EA8" w14:textId="2962C08E" w:rsidR="00AA1061" w:rsidRPr="009210D0"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highlight w:val="yellow"/>
              </w:rPr>
            </w:pPr>
            <w:r w:rsidRPr="00CB6BAA">
              <w:t>+1.7%</w:t>
            </w:r>
          </w:p>
        </w:tc>
        <w:tc>
          <w:tcPr>
            <w:tcW w:w="1240" w:type="dxa"/>
            <w:tcBorders>
              <w:top w:val="nil"/>
              <w:left w:val="single" w:sz="4" w:space="0" w:color="E0301E" w:themeColor="accent6"/>
              <w:bottom w:val="single" w:sz="4" w:space="0" w:color="E0301E" w:themeColor="accent6"/>
            </w:tcBorders>
            <w:shd w:val="clear" w:color="auto" w:fill="D9D9D9" w:themeFill="background1" w:themeFillShade="D9"/>
          </w:tcPr>
          <w:p w14:paraId="1A8604D2" w14:textId="77777777" w:rsidR="00AA1061" w:rsidRPr="009210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rPr>
                <w:highlight w:val="yellow"/>
              </w:rPr>
            </w:pPr>
          </w:p>
        </w:tc>
        <w:tc>
          <w:tcPr>
            <w:tcW w:w="1240" w:type="dxa"/>
            <w:tcBorders>
              <w:top w:val="nil"/>
              <w:bottom w:val="single" w:sz="4" w:space="0" w:color="E0301E" w:themeColor="accent6"/>
              <w:right w:val="nil"/>
            </w:tcBorders>
            <w:shd w:val="clear" w:color="auto" w:fill="D9D9D9" w:themeFill="background1" w:themeFillShade="D9"/>
          </w:tcPr>
          <w:p w14:paraId="2273B233" w14:textId="77777777" w:rsidR="00AA1061" w:rsidRPr="009210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rPr>
                <w:highlight w:val="yellow"/>
              </w:rPr>
            </w:pPr>
          </w:p>
        </w:tc>
        <w:tc>
          <w:tcPr>
            <w:tcW w:w="1347" w:type="dxa"/>
            <w:tcBorders>
              <w:top w:val="nil"/>
              <w:left w:val="nil"/>
              <w:bottom w:val="single" w:sz="4" w:space="0" w:color="E0301E" w:themeColor="accent6"/>
            </w:tcBorders>
            <w:shd w:val="clear" w:color="auto" w:fill="D9D9D9" w:themeFill="background1" w:themeFillShade="D9"/>
          </w:tcPr>
          <w:p w14:paraId="4B88140F" w14:textId="77777777" w:rsidR="00AA1061" w:rsidRPr="009210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rPr>
                <w:highlight w:val="yellow"/>
              </w:rPr>
            </w:pPr>
          </w:p>
        </w:tc>
        <w:tc>
          <w:tcPr>
            <w:tcW w:w="1276" w:type="dxa"/>
            <w:tcBorders>
              <w:top w:val="nil"/>
              <w:bottom w:val="single" w:sz="4" w:space="0" w:color="E0301E" w:themeColor="accent6"/>
            </w:tcBorders>
            <w:shd w:val="clear" w:color="auto" w:fill="D9D9D9" w:themeFill="background1" w:themeFillShade="D9"/>
          </w:tcPr>
          <w:p w14:paraId="3E7672DE" w14:textId="77777777" w:rsidR="00AA1061" w:rsidRPr="009210D0"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rPr>
                <w:highlight w:val="yellow"/>
              </w:rPr>
            </w:pPr>
          </w:p>
        </w:tc>
      </w:tr>
      <w:tr w:rsidR="00AA1061" w:rsidRPr="009210D0" w14:paraId="3EFB3985"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5F108E7C" w14:textId="77777777" w:rsidR="00AA1061" w:rsidRPr="009210D0" w:rsidRDefault="00AA1061" w:rsidP="00AA1061">
            <w:pPr>
              <w:pStyle w:val="TableTextSmall"/>
              <w:keepNext/>
              <w:rPr>
                <w:highlight w:val="yellow"/>
              </w:rPr>
            </w:pPr>
            <w:r w:rsidRPr="00301BD2">
              <w:t>Change due to Average Lifetime Cost</w:t>
            </w:r>
          </w:p>
        </w:tc>
        <w:tc>
          <w:tcPr>
            <w:tcW w:w="1276" w:type="dxa"/>
            <w:tcBorders>
              <w:left w:val="single" w:sz="4" w:space="0" w:color="E0301E" w:themeColor="accent6"/>
              <w:bottom w:val="nil"/>
              <w:right w:val="single" w:sz="4" w:space="0" w:color="E0301E" w:themeColor="accent6"/>
            </w:tcBorders>
          </w:tcPr>
          <w:p w14:paraId="19371872" w14:textId="4C81C0C1" w:rsidR="00AA1061" w:rsidRPr="009210D0"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highlight w:val="yellow"/>
              </w:rPr>
            </w:pPr>
            <w:r w:rsidRPr="00CB6BAA">
              <w:t>+$6k (+2.8%)</w:t>
            </w:r>
          </w:p>
        </w:tc>
        <w:tc>
          <w:tcPr>
            <w:tcW w:w="1240" w:type="dxa"/>
            <w:tcBorders>
              <w:left w:val="single" w:sz="4" w:space="0" w:color="E0301E" w:themeColor="accent6"/>
              <w:bottom w:val="nil"/>
            </w:tcBorders>
          </w:tcPr>
          <w:p w14:paraId="71B18861" w14:textId="28CC9CA8"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highlight w:val="yellow"/>
              </w:rPr>
            </w:pPr>
            <w:r w:rsidRPr="00AA1061">
              <w:rPr>
                <w:color w:val="A6A6A6" w:themeColor="background1" w:themeShade="A6"/>
              </w:rPr>
              <w:t>&lt;$1k</w:t>
            </w:r>
          </w:p>
        </w:tc>
        <w:tc>
          <w:tcPr>
            <w:tcW w:w="1240" w:type="dxa"/>
            <w:tcBorders>
              <w:bottom w:val="nil"/>
              <w:right w:val="dashed" w:sz="4" w:space="0" w:color="E0301E" w:themeColor="accent6"/>
            </w:tcBorders>
          </w:tcPr>
          <w:p w14:paraId="42C9EF91" w14:textId="4CA2AC20" w:rsidR="00AA1061" w:rsidRPr="009210D0"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highlight w:val="yellow"/>
              </w:rPr>
            </w:pPr>
            <w:r w:rsidRPr="00CB6BAA">
              <w:t>+$5k</w:t>
            </w:r>
          </w:p>
        </w:tc>
        <w:tc>
          <w:tcPr>
            <w:tcW w:w="1347" w:type="dxa"/>
            <w:tcBorders>
              <w:left w:val="dashed" w:sz="4" w:space="0" w:color="E0301E" w:themeColor="accent6"/>
              <w:bottom w:val="nil"/>
            </w:tcBorders>
          </w:tcPr>
          <w:p w14:paraId="57F8711B" w14:textId="17B23253"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highlight w:val="yellow"/>
              </w:rPr>
            </w:pPr>
            <w:r w:rsidRPr="00AA1061">
              <w:rPr>
                <w:color w:val="A6A6A6" w:themeColor="background1" w:themeShade="A6"/>
              </w:rPr>
              <w:t>&lt;$1k</w:t>
            </w:r>
          </w:p>
        </w:tc>
        <w:tc>
          <w:tcPr>
            <w:tcW w:w="1276" w:type="dxa"/>
            <w:tcBorders>
              <w:bottom w:val="nil"/>
            </w:tcBorders>
          </w:tcPr>
          <w:p w14:paraId="7117F412" w14:textId="2A4166CE"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highlight w:val="yellow"/>
              </w:rPr>
            </w:pPr>
            <w:r w:rsidRPr="00AA1061">
              <w:rPr>
                <w:color w:val="A6A6A6" w:themeColor="background1" w:themeShade="A6"/>
              </w:rPr>
              <w:t>&lt;$1k</w:t>
            </w:r>
          </w:p>
        </w:tc>
      </w:tr>
      <w:tr w:rsidR="00AA1061" w:rsidRPr="009210D0" w14:paraId="02863D24"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46DA7B35" w14:textId="77777777" w:rsidR="00AA1061" w:rsidRPr="009210D0" w:rsidRDefault="00AA1061" w:rsidP="00AA1061">
            <w:pPr>
              <w:pStyle w:val="TableTextSmall"/>
              <w:keepNext/>
              <w:rPr>
                <w:b w:val="0"/>
                <w:highlight w:val="yellow"/>
              </w:rPr>
            </w:pPr>
            <w:r w:rsidRPr="002404D0">
              <w:t>- Impact of change in inflation</w:t>
            </w:r>
          </w:p>
        </w:tc>
        <w:tc>
          <w:tcPr>
            <w:tcW w:w="1276" w:type="dxa"/>
            <w:tcBorders>
              <w:top w:val="nil"/>
              <w:left w:val="single" w:sz="4" w:space="0" w:color="E0301E" w:themeColor="accent6"/>
              <w:bottom w:val="nil"/>
              <w:right w:val="single" w:sz="4" w:space="0" w:color="E0301E" w:themeColor="accent6"/>
            </w:tcBorders>
          </w:tcPr>
          <w:p w14:paraId="46B57C91" w14:textId="2A11BFB5" w:rsidR="00AA1061" w:rsidRPr="009210D0"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highlight w:val="yellow"/>
              </w:rPr>
            </w:pPr>
            <w:r w:rsidRPr="00CB6BAA">
              <w:t>+$7k</w:t>
            </w:r>
          </w:p>
        </w:tc>
        <w:tc>
          <w:tcPr>
            <w:tcW w:w="1240" w:type="dxa"/>
            <w:tcBorders>
              <w:top w:val="nil"/>
              <w:left w:val="single" w:sz="4" w:space="0" w:color="E0301E" w:themeColor="accent6"/>
              <w:bottom w:val="nil"/>
            </w:tcBorders>
          </w:tcPr>
          <w:p w14:paraId="3B789820" w14:textId="05F4588D"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highlight w:val="yellow"/>
              </w:rPr>
            </w:pPr>
            <w:r w:rsidRPr="00AA1061">
              <w:rPr>
                <w:color w:val="A6A6A6" w:themeColor="background1" w:themeShade="A6"/>
              </w:rPr>
              <w:t>&lt;$1k</w:t>
            </w:r>
          </w:p>
        </w:tc>
        <w:tc>
          <w:tcPr>
            <w:tcW w:w="1240" w:type="dxa"/>
            <w:tcBorders>
              <w:top w:val="nil"/>
              <w:bottom w:val="nil"/>
              <w:right w:val="dashed" w:sz="4" w:space="0" w:color="E0301E" w:themeColor="accent6"/>
            </w:tcBorders>
          </w:tcPr>
          <w:p w14:paraId="1C70C81D" w14:textId="09F5CBE1" w:rsidR="00AA1061" w:rsidRPr="009210D0"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highlight w:val="yellow"/>
              </w:rPr>
            </w:pPr>
            <w:r w:rsidRPr="00CB6BAA">
              <w:t>+$6k</w:t>
            </w:r>
          </w:p>
        </w:tc>
        <w:tc>
          <w:tcPr>
            <w:tcW w:w="1347" w:type="dxa"/>
            <w:tcBorders>
              <w:top w:val="nil"/>
              <w:left w:val="dashed" w:sz="4" w:space="0" w:color="E0301E" w:themeColor="accent6"/>
              <w:bottom w:val="nil"/>
            </w:tcBorders>
          </w:tcPr>
          <w:p w14:paraId="2DB9B4C3" w14:textId="359B221F"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highlight w:val="yellow"/>
              </w:rPr>
            </w:pPr>
            <w:r w:rsidRPr="00AA1061">
              <w:rPr>
                <w:color w:val="A6A6A6" w:themeColor="background1" w:themeShade="A6"/>
              </w:rPr>
              <w:t>&lt;$1k</w:t>
            </w:r>
          </w:p>
        </w:tc>
        <w:tc>
          <w:tcPr>
            <w:tcW w:w="1276" w:type="dxa"/>
            <w:tcBorders>
              <w:top w:val="nil"/>
              <w:bottom w:val="nil"/>
            </w:tcBorders>
          </w:tcPr>
          <w:p w14:paraId="48586778" w14:textId="1B78DF9F"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highlight w:val="yellow"/>
              </w:rPr>
            </w:pPr>
            <w:r w:rsidRPr="00AA1061">
              <w:rPr>
                <w:color w:val="A6A6A6" w:themeColor="background1" w:themeShade="A6"/>
              </w:rPr>
              <w:t>&lt;$1k</w:t>
            </w:r>
          </w:p>
        </w:tc>
      </w:tr>
      <w:tr w:rsidR="000672D7" w:rsidRPr="009210D0" w14:paraId="0786452E"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72E439AF" w14:textId="77777777" w:rsidR="000672D7" w:rsidRPr="009210D0" w:rsidRDefault="000672D7" w:rsidP="000672D7">
            <w:pPr>
              <w:pStyle w:val="TableTextSmall"/>
              <w:keepNext/>
              <w:rPr>
                <w:b w:val="0"/>
                <w:highlight w:val="yellow"/>
              </w:rPr>
            </w:pPr>
            <w:r w:rsidRPr="002404D0">
              <w:t>- Impact of policy changes</w:t>
            </w:r>
          </w:p>
        </w:tc>
        <w:tc>
          <w:tcPr>
            <w:tcW w:w="1276" w:type="dxa"/>
            <w:tcBorders>
              <w:top w:val="nil"/>
              <w:left w:val="single" w:sz="4" w:space="0" w:color="E0301E" w:themeColor="accent6"/>
              <w:bottom w:val="nil"/>
              <w:right w:val="single" w:sz="4" w:space="0" w:color="E0301E" w:themeColor="accent6"/>
            </w:tcBorders>
          </w:tcPr>
          <w:p w14:paraId="3885E3D7" w14:textId="0727A0DF"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highlight w:val="yellow"/>
              </w:rPr>
            </w:pPr>
            <w:r w:rsidRPr="00AA1061">
              <w:rPr>
                <w:color w:val="A6A6A6" w:themeColor="background1" w:themeShade="A6"/>
              </w:rPr>
              <w:t>&lt;$1k</w:t>
            </w:r>
          </w:p>
        </w:tc>
        <w:tc>
          <w:tcPr>
            <w:tcW w:w="1240" w:type="dxa"/>
            <w:tcBorders>
              <w:top w:val="nil"/>
              <w:left w:val="single" w:sz="4" w:space="0" w:color="E0301E" w:themeColor="accent6"/>
              <w:bottom w:val="nil"/>
            </w:tcBorders>
          </w:tcPr>
          <w:p w14:paraId="038283DA" w14:textId="10830AC0"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highlight w:val="yellow"/>
              </w:rPr>
            </w:pPr>
            <w:r w:rsidRPr="00147937">
              <w:rPr>
                <w:color w:val="A6A6A6" w:themeColor="background1" w:themeShade="A6"/>
              </w:rPr>
              <w:t>&lt;$1k</w:t>
            </w:r>
          </w:p>
        </w:tc>
        <w:tc>
          <w:tcPr>
            <w:tcW w:w="1240" w:type="dxa"/>
            <w:tcBorders>
              <w:top w:val="nil"/>
              <w:bottom w:val="nil"/>
              <w:right w:val="dashed" w:sz="4" w:space="0" w:color="E0301E" w:themeColor="accent6"/>
            </w:tcBorders>
          </w:tcPr>
          <w:p w14:paraId="41090661" w14:textId="5018C6EF"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highlight w:val="yellow"/>
              </w:rPr>
            </w:pPr>
            <w:r w:rsidRPr="00147937">
              <w:rPr>
                <w:color w:val="A6A6A6" w:themeColor="background1" w:themeShade="A6"/>
              </w:rPr>
              <w:t>&lt;$1k</w:t>
            </w:r>
          </w:p>
        </w:tc>
        <w:tc>
          <w:tcPr>
            <w:tcW w:w="1347" w:type="dxa"/>
            <w:tcBorders>
              <w:top w:val="nil"/>
              <w:left w:val="dashed" w:sz="4" w:space="0" w:color="E0301E" w:themeColor="accent6"/>
              <w:bottom w:val="nil"/>
            </w:tcBorders>
          </w:tcPr>
          <w:p w14:paraId="12469C52" w14:textId="1F2CC6DA"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highlight w:val="yellow"/>
              </w:rPr>
            </w:pPr>
            <w:r w:rsidRPr="00147937">
              <w:rPr>
                <w:color w:val="A6A6A6" w:themeColor="background1" w:themeShade="A6"/>
              </w:rPr>
              <w:t>&lt;$1k</w:t>
            </w:r>
          </w:p>
        </w:tc>
        <w:tc>
          <w:tcPr>
            <w:tcW w:w="1276" w:type="dxa"/>
            <w:tcBorders>
              <w:top w:val="nil"/>
              <w:bottom w:val="nil"/>
            </w:tcBorders>
          </w:tcPr>
          <w:p w14:paraId="39E7AA8A" w14:textId="7A5843BB"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highlight w:val="yellow"/>
              </w:rPr>
            </w:pPr>
            <w:r w:rsidRPr="00147937">
              <w:rPr>
                <w:color w:val="A6A6A6" w:themeColor="background1" w:themeShade="A6"/>
              </w:rPr>
              <w:t>&lt;$1k</w:t>
            </w:r>
          </w:p>
        </w:tc>
      </w:tr>
      <w:tr w:rsidR="00AA1061" w:rsidRPr="009210D0" w14:paraId="025CDAC2"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4518AF68" w14:textId="77777777" w:rsidR="00AA1061" w:rsidRPr="009210D0" w:rsidRDefault="00AA1061" w:rsidP="00AA1061">
            <w:pPr>
              <w:pStyle w:val="TableTextSmall"/>
              <w:rPr>
                <w:b w:val="0"/>
                <w:highlight w:val="yellow"/>
              </w:rPr>
            </w:pPr>
            <w:r w:rsidRPr="002404D0">
              <w:t>- Impact of other changes</w:t>
            </w:r>
          </w:p>
        </w:tc>
        <w:tc>
          <w:tcPr>
            <w:tcW w:w="1276" w:type="dxa"/>
            <w:tcBorders>
              <w:top w:val="nil"/>
              <w:left w:val="single" w:sz="4" w:space="0" w:color="E0301E" w:themeColor="accent6"/>
              <w:right w:val="single" w:sz="4" w:space="0" w:color="E0301E" w:themeColor="accent6"/>
            </w:tcBorders>
          </w:tcPr>
          <w:p w14:paraId="5F0DFD60" w14:textId="272B4409"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highlight w:val="yellow"/>
              </w:rPr>
            </w:pPr>
            <w:r w:rsidRPr="00AA1061">
              <w:rPr>
                <w:color w:val="A6A6A6" w:themeColor="background1" w:themeShade="A6"/>
              </w:rPr>
              <w:t>&lt;$1k</w:t>
            </w:r>
          </w:p>
        </w:tc>
        <w:tc>
          <w:tcPr>
            <w:tcW w:w="1240" w:type="dxa"/>
            <w:tcBorders>
              <w:top w:val="nil"/>
              <w:left w:val="single" w:sz="4" w:space="0" w:color="E0301E" w:themeColor="accent6"/>
            </w:tcBorders>
          </w:tcPr>
          <w:p w14:paraId="36BE287D" w14:textId="41DDE4B6"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highlight w:val="yellow"/>
              </w:rPr>
            </w:pPr>
            <w:r w:rsidRPr="00AA1061">
              <w:rPr>
                <w:color w:val="A6A6A6" w:themeColor="background1" w:themeShade="A6"/>
              </w:rPr>
              <w:t>&lt;$1k</w:t>
            </w:r>
          </w:p>
        </w:tc>
        <w:tc>
          <w:tcPr>
            <w:tcW w:w="1240" w:type="dxa"/>
            <w:tcBorders>
              <w:top w:val="nil"/>
              <w:right w:val="dashed" w:sz="4" w:space="0" w:color="E0301E" w:themeColor="accent6"/>
            </w:tcBorders>
          </w:tcPr>
          <w:p w14:paraId="38240A5E" w14:textId="789BF2FB"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highlight w:val="yellow"/>
              </w:rPr>
            </w:pPr>
            <w:r w:rsidRPr="00AA1061">
              <w:rPr>
                <w:color w:val="A6A6A6" w:themeColor="background1" w:themeShade="A6"/>
              </w:rPr>
              <w:t>&lt;$1k</w:t>
            </w:r>
          </w:p>
        </w:tc>
        <w:tc>
          <w:tcPr>
            <w:tcW w:w="1347" w:type="dxa"/>
            <w:tcBorders>
              <w:top w:val="nil"/>
              <w:left w:val="dashed" w:sz="4" w:space="0" w:color="E0301E" w:themeColor="accent6"/>
            </w:tcBorders>
          </w:tcPr>
          <w:p w14:paraId="59AE9283" w14:textId="11C5715C"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highlight w:val="yellow"/>
              </w:rPr>
            </w:pPr>
            <w:r w:rsidRPr="00AA1061">
              <w:rPr>
                <w:color w:val="A6A6A6" w:themeColor="background1" w:themeShade="A6"/>
              </w:rPr>
              <w:t>&lt;$1k</w:t>
            </w:r>
          </w:p>
        </w:tc>
        <w:tc>
          <w:tcPr>
            <w:tcW w:w="1276" w:type="dxa"/>
            <w:tcBorders>
              <w:top w:val="nil"/>
            </w:tcBorders>
          </w:tcPr>
          <w:p w14:paraId="193787AE" w14:textId="5E9A98BB"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highlight w:val="yellow"/>
              </w:rPr>
            </w:pPr>
            <w:r w:rsidRPr="00AA1061">
              <w:rPr>
                <w:color w:val="A6A6A6" w:themeColor="background1" w:themeShade="A6"/>
              </w:rPr>
              <w:t>&lt;$1k</w:t>
            </w:r>
          </w:p>
        </w:tc>
      </w:tr>
    </w:tbl>
    <w:p w14:paraId="03D7FBF1" w14:textId="77777777" w:rsidR="00822C99" w:rsidRDefault="00822C99" w:rsidP="00822C99">
      <w:pPr>
        <w:pStyle w:val="PwCNormal"/>
        <w:numPr>
          <w:ilvl w:val="0"/>
          <w:numId w:val="1"/>
        </w:numPr>
      </w:pPr>
      <w:r>
        <w:t xml:space="preserve">Aside from the </w:t>
      </w:r>
      <w:r w:rsidRPr="001B78F7">
        <w:t>increase in the cost of future payments as a result of inflation</w:t>
      </w:r>
      <w:r>
        <w:t xml:space="preserve">, the assumption updates </w:t>
      </w:r>
      <w:r w:rsidRPr="00DB2732">
        <w:t xml:space="preserve">at this valuation have </w:t>
      </w:r>
      <w:r>
        <w:t xml:space="preserve">had a neutral </w:t>
      </w:r>
      <w:r w:rsidRPr="00DB2732">
        <w:t>impact on the lifetime cost assessment for the older group of people who comprise this class.</w:t>
      </w:r>
    </w:p>
    <w:p w14:paraId="08F0D394" w14:textId="4D35A142" w:rsidR="00372F5B" w:rsidRPr="003B40FE" w:rsidRDefault="00822C99" w:rsidP="00684B12">
      <w:pPr>
        <w:pStyle w:val="PwCNormal"/>
        <w:numPr>
          <w:ilvl w:val="0"/>
          <w:numId w:val="1"/>
        </w:numPr>
      </w:pPr>
      <w:r w:rsidRPr="003B40FE">
        <w:t>There has been a reduction in the average lifetime cost of Age Pension payments as a result of a slight increase in the probability of transition</w:t>
      </w:r>
      <w:r>
        <w:t>ing</w:t>
      </w:r>
      <w:r w:rsidRPr="003B40FE">
        <w:t xml:space="preserve"> </w:t>
      </w:r>
      <w:r>
        <w:t xml:space="preserve">into </w:t>
      </w:r>
      <w:r w:rsidRPr="003B40FE">
        <w:t>class 9 (the observed number of people persisting in class 6 has fallen).</w:t>
      </w:r>
      <w:r>
        <w:t xml:space="preserve"> </w:t>
      </w:r>
      <w:r w:rsidRPr="003B40FE">
        <w:t xml:space="preserve">This has been fully offset by an increase in the expected amount of Age Pension payments received when receiving the Age Pension </w:t>
      </w:r>
      <w:r w:rsidR="00684B12">
        <w:t>- the average Age Pension size has been adjusted in response to the observed increase in average payments to new pensioners</w:t>
      </w:r>
      <w:r w:rsidR="00684B12" w:rsidRPr="005F7C50">
        <w:t>.</w:t>
      </w:r>
    </w:p>
    <w:p w14:paraId="1BA3FA81" w14:textId="77777777" w:rsidR="005846DC" w:rsidRPr="00874C4A" w:rsidRDefault="005846DC" w:rsidP="005846DC">
      <w:pPr>
        <w:pStyle w:val="Minorheading"/>
      </w:pPr>
      <w:r w:rsidRPr="00874C4A">
        <w:t>Future outcomes</w:t>
      </w:r>
    </w:p>
    <w:p w14:paraId="7CCDDF95" w14:textId="77777777" w:rsidR="005846DC" w:rsidRPr="00874C4A" w:rsidRDefault="005846DC" w:rsidP="005846DC">
      <w:pPr>
        <w:pStyle w:val="PwCNormal"/>
        <w:numPr>
          <w:ilvl w:val="0"/>
          <w:numId w:val="0"/>
        </w:numPr>
      </w:pPr>
      <w:r w:rsidRPr="00874C4A">
        <w:t xml:space="preserve">In developing the valuation results the projection model also produces information on the expected transitions for people out of each class, as shown below. </w:t>
      </w:r>
    </w:p>
    <w:p w14:paraId="0107443B" w14:textId="27006205" w:rsidR="005846DC" w:rsidRPr="00874C4A" w:rsidRDefault="005846DC" w:rsidP="005846DC">
      <w:pPr>
        <w:pStyle w:val="Caption"/>
      </w:pPr>
      <w:r w:rsidRPr="00874C4A">
        <w:t xml:space="preserve">Figure </w:t>
      </w:r>
      <w:fldSimple w:instr=" SEQ Figure \* ARABIC ">
        <w:r w:rsidR="00C93C1A">
          <w:rPr>
            <w:noProof/>
          </w:rPr>
          <w:t>79</w:t>
        </w:r>
      </w:fldSimple>
      <w:r w:rsidRPr="00874C4A">
        <w:t xml:space="preserve">: Expected future trajectory for people in </w:t>
      </w:r>
      <w:r w:rsidR="00871E70">
        <w:t>c</w:t>
      </w:r>
      <w:r w:rsidRPr="00874C4A">
        <w:t>lass 6</w:t>
      </w:r>
    </w:p>
    <w:tbl>
      <w:tblPr>
        <w:tblStyle w:val="Tables-APBase"/>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771"/>
        <w:gridCol w:w="3310"/>
      </w:tblGrid>
      <w:tr w:rsidR="005846DC" w:rsidRPr="00874C4A" w14:paraId="276C13BC" w14:textId="77777777" w:rsidTr="009C6553">
        <w:trPr>
          <w:tblHeader/>
        </w:trPr>
        <w:tc>
          <w:tcPr>
            <w:tcW w:w="6379" w:type="dxa"/>
          </w:tcPr>
          <w:p w14:paraId="0ED12A88" w14:textId="7BD8BA79" w:rsidR="005846DC" w:rsidRPr="00874C4A" w:rsidRDefault="00CD6B82" w:rsidP="000D6C29">
            <w:pPr>
              <w:pStyle w:val="TableTextSmall"/>
            </w:pPr>
            <w:r w:rsidRPr="00CD6B82">
              <w:rPr>
                <w:noProof/>
                <w:lang w:eastAsia="en-AU"/>
              </w:rPr>
              <w:drawing>
                <wp:inline distT="0" distB="0" distL="0" distR="0" wp14:anchorId="72BEA26A" wp14:editId="47C091EF">
                  <wp:extent cx="3870960" cy="2156460"/>
                  <wp:effectExtent l="0" t="0" r="0" b="0"/>
                  <wp:docPr id="1044" name="Picture 1044" descr="This figure is a vertical bar chart. The horizontal axis shows the years 2017 to 2047. The 3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2,595,000 individuals who were in the pension age class at 30 June 2017.&#10;&#10;Most of this group are projected to stay in the pension age class for the remainder of their natural lives at which point they transition to the dead class. Around 30% of people in this group are expected to still be in the pension age class in 2037. &#10;&#10;The Jun16 proportion of people in all active classes and the Jun16 proportion of people in the Pension Age class are also shown. For all active classes, the proportion of people in Jun17 is extremely similar to the previous year while for the Pension Age class, the proportion of people in Jun17 is between 0%-3% higher than the previous year. &#10;&#10;&#10;The features shown in the chart are discussed further in the accompanying text within the report.&#10;&#10;" title="Expected future trajectory for people in clas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870960" cy="2156460"/>
                          </a:xfrm>
                          <a:prstGeom prst="rect">
                            <a:avLst/>
                          </a:prstGeom>
                          <a:noFill/>
                          <a:ln>
                            <a:noFill/>
                          </a:ln>
                        </pic:spPr>
                      </pic:pic>
                    </a:graphicData>
                  </a:graphic>
                </wp:inline>
              </w:drawing>
            </w:r>
          </w:p>
        </w:tc>
        <w:tc>
          <w:tcPr>
            <w:tcW w:w="3119" w:type="dxa"/>
          </w:tcPr>
          <w:p w14:paraId="0959657F" w14:textId="77777777" w:rsidR="005846DC" w:rsidRPr="00874C4A" w:rsidRDefault="005846DC" w:rsidP="000D6C29">
            <w:pPr>
              <w:pStyle w:val="TableTextSmall"/>
            </w:pPr>
          </w:p>
          <w:p w14:paraId="4597800E" w14:textId="129B8067" w:rsidR="005846DC" w:rsidRPr="00874C4A" w:rsidRDefault="003668BA" w:rsidP="000D6C29">
            <w:pPr>
              <w:pStyle w:val="TableTextSmall"/>
            </w:pPr>
            <w:r w:rsidRPr="003668BA">
              <w:rPr>
                <w:noProof/>
                <w:lang w:eastAsia="en-AU"/>
              </w:rPr>
              <w:drawing>
                <wp:inline distT="0" distB="0" distL="0" distR="0" wp14:anchorId="7299BA45" wp14:editId="50A482BE">
                  <wp:extent cx="1440000" cy="1779387"/>
                  <wp:effectExtent l="0" t="0" r="0" b="0"/>
                  <wp:docPr id="3898" name="Picture 3898"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p w14:paraId="60188325" w14:textId="77777777" w:rsidR="005846DC" w:rsidRPr="00874C4A" w:rsidRDefault="005846DC" w:rsidP="000D6C29">
            <w:pPr>
              <w:pStyle w:val="TableTextSmall"/>
            </w:pPr>
          </w:p>
        </w:tc>
      </w:tr>
    </w:tbl>
    <w:p w14:paraId="783DDF59" w14:textId="77777777" w:rsidR="005846DC" w:rsidRPr="00874C4A" w:rsidRDefault="005846DC" w:rsidP="005846DC">
      <w:pPr>
        <w:pStyle w:val="PwCNormal"/>
        <w:numPr>
          <w:ilvl w:val="0"/>
          <w:numId w:val="1"/>
        </w:numPr>
      </w:pPr>
      <w:r w:rsidRPr="00874C4A">
        <w:t>We can see that a very small proportion of this class exit and, as is intended for age pensioners, the rest stay on the payment for their remainder of their natural lives.</w:t>
      </w:r>
    </w:p>
    <w:p w14:paraId="78AE412E" w14:textId="77777777" w:rsidR="005846DC" w:rsidRPr="00664384" w:rsidRDefault="005846DC" w:rsidP="005846DC">
      <w:pPr>
        <w:pStyle w:val="Minorheading"/>
      </w:pPr>
      <w:r w:rsidRPr="00664384">
        <w:t>Duration</w:t>
      </w:r>
    </w:p>
    <w:p w14:paraId="5007789F" w14:textId="1A790A31" w:rsidR="005846DC" w:rsidRPr="00664384" w:rsidRDefault="005846DC" w:rsidP="00EC326F">
      <w:pPr>
        <w:pStyle w:val="PwCNormal"/>
        <w:numPr>
          <w:ilvl w:val="0"/>
          <w:numId w:val="0"/>
        </w:numPr>
      </w:pPr>
      <w:r w:rsidRPr="00664384">
        <w:t xml:space="preserve">The average future life expectancy for the Age Pension class is </w:t>
      </w:r>
      <w:r w:rsidR="002336D0" w:rsidRPr="00664384">
        <w:rPr>
          <w:b/>
        </w:rPr>
        <w:t>1</w:t>
      </w:r>
      <w:r w:rsidR="00664384" w:rsidRPr="00664384">
        <w:rPr>
          <w:b/>
        </w:rPr>
        <w:t>4</w:t>
      </w:r>
      <w:r w:rsidR="002336D0" w:rsidRPr="00664384">
        <w:t xml:space="preserve"> </w:t>
      </w:r>
      <w:r w:rsidRPr="00664384">
        <w:t>years. This reflects the</w:t>
      </w:r>
      <w:r w:rsidR="00664384" w:rsidRPr="00664384">
        <w:t xml:space="preserve"> older</w:t>
      </w:r>
      <w:r w:rsidRPr="00664384">
        <w:t xml:space="preserve"> age profile of this class.</w:t>
      </w:r>
      <w:r w:rsidR="00AD433E" w:rsidRPr="00664384">
        <w:t xml:space="preserve"> </w:t>
      </w:r>
      <w:r w:rsidRPr="00664384">
        <w:t>The table below provides a summary of the expected welfare system use of people currently in this class over this time. This has been developed by considering which classes people move into as they move through the welfare system over their lives.</w:t>
      </w:r>
    </w:p>
    <w:p w14:paraId="49AB4FCA" w14:textId="216AF0EA" w:rsidR="005846DC" w:rsidRPr="00664384" w:rsidRDefault="005846DC" w:rsidP="005846DC">
      <w:pPr>
        <w:pStyle w:val="Caption"/>
      </w:pPr>
      <w:r w:rsidRPr="00664384">
        <w:lastRenderedPageBreak/>
        <w:t xml:space="preserve">Table </w:t>
      </w:r>
      <w:fldSimple w:instr=" SEQ Table \* ARABIC ">
        <w:r w:rsidR="00C93C1A">
          <w:rPr>
            <w:noProof/>
          </w:rPr>
          <w:t>40</w:t>
        </w:r>
      </w:fldSimple>
      <w:r w:rsidRPr="00664384">
        <w:t xml:space="preserve">: Expected durations in welfare system for people currently in </w:t>
      </w:r>
      <w:r w:rsidR="00871E70">
        <w:t>c</w:t>
      </w:r>
      <w:r w:rsidRPr="00664384">
        <w:t>lass 6</w:t>
      </w:r>
    </w:p>
    <w:tbl>
      <w:tblPr>
        <w:tblStyle w:val="ListTable3-Accent61"/>
        <w:tblW w:w="8868" w:type="dxa"/>
        <w:tblInd w:w="108" w:type="dxa"/>
        <w:tblLook w:val="04A0" w:firstRow="1" w:lastRow="0" w:firstColumn="1" w:lastColumn="0" w:noHBand="0" w:noVBand="1"/>
        <w:tblCaption w:val=" Expected durations in welfare system for people currently in Class 6"/>
        <w:tblDescription w:val="This table provides data on the expected number of years people currently in Class 6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roportion of their future lifetime.  The expected future life expectancy of people in Class 6 is 14 years. &#10;&#10;Further features of the data in this table are discussed in the accompanying text within the report.&#10;"/>
      </w:tblPr>
      <w:tblGrid>
        <w:gridCol w:w="3828"/>
        <w:gridCol w:w="2520"/>
        <w:gridCol w:w="2520"/>
      </w:tblGrid>
      <w:tr w:rsidR="005846DC" w:rsidRPr="00664384" w14:paraId="23DB819C"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4C20E507" w14:textId="77777777" w:rsidR="005846DC" w:rsidRPr="00664384" w:rsidRDefault="005846DC" w:rsidP="001D1763">
            <w:pPr>
              <w:pStyle w:val="TableTextSmall"/>
              <w:keepNext/>
              <w:jc w:val="center"/>
              <w:rPr>
                <w:rFonts w:asciiTheme="majorHAnsi" w:hAnsiTheme="majorHAnsi"/>
                <w:color w:val="FFFFFF" w:themeColor="background1"/>
              </w:rPr>
            </w:pPr>
          </w:p>
        </w:tc>
        <w:tc>
          <w:tcPr>
            <w:tcW w:w="2520" w:type="dxa"/>
          </w:tcPr>
          <w:p w14:paraId="24FF25EC" w14:textId="77777777" w:rsidR="005846DC" w:rsidRPr="00664384" w:rsidRDefault="005846DC"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664384">
              <w:rPr>
                <w:rFonts w:asciiTheme="majorHAnsi" w:hAnsiTheme="majorHAnsi"/>
                <w:color w:val="FFFFFF" w:themeColor="background1"/>
              </w:rPr>
              <w:t>Expected Years</w:t>
            </w:r>
          </w:p>
        </w:tc>
        <w:tc>
          <w:tcPr>
            <w:tcW w:w="2520" w:type="dxa"/>
          </w:tcPr>
          <w:p w14:paraId="6B5E832F" w14:textId="77777777" w:rsidR="005846DC" w:rsidRPr="00664384" w:rsidRDefault="005846DC"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664384">
              <w:rPr>
                <w:rFonts w:asciiTheme="majorHAnsi" w:hAnsiTheme="majorHAnsi"/>
                <w:color w:val="FFFFFF" w:themeColor="background1"/>
              </w:rPr>
              <w:t>Proportion of Future Lifetime</w:t>
            </w:r>
          </w:p>
        </w:tc>
      </w:tr>
      <w:tr w:rsidR="005846DC" w:rsidRPr="00664384" w14:paraId="1C9F0826"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70807ED" w14:textId="77777777" w:rsidR="005846DC" w:rsidRPr="00664384" w:rsidRDefault="005846DC" w:rsidP="001D1763">
            <w:pPr>
              <w:pStyle w:val="TableTextSmall"/>
              <w:keepNext/>
            </w:pPr>
            <w:r w:rsidRPr="00664384">
              <w:t>Years with some income support payments:</w:t>
            </w:r>
          </w:p>
          <w:p w14:paraId="4A24E929" w14:textId="4EE42CC9" w:rsidR="005846DC" w:rsidRPr="00664384" w:rsidRDefault="005846DC" w:rsidP="001D1763">
            <w:pPr>
              <w:pStyle w:val="TableTextSmall"/>
              <w:keepNext/>
              <w:numPr>
                <w:ilvl w:val="0"/>
                <w:numId w:val="36"/>
              </w:numPr>
            </w:pPr>
            <w:r w:rsidRPr="00664384">
              <w:t>Not age pension (classes 1-5)</w:t>
            </w:r>
          </w:p>
          <w:p w14:paraId="0511B07A" w14:textId="3406D44F" w:rsidR="005846DC" w:rsidRPr="00664384" w:rsidRDefault="005846DC" w:rsidP="001D1763">
            <w:pPr>
              <w:pStyle w:val="TableTextSmall"/>
              <w:keepNext/>
              <w:numPr>
                <w:ilvl w:val="0"/>
                <w:numId w:val="36"/>
              </w:numPr>
            </w:pPr>
            <w:r w:rsidRPr="00664384">
              <w:t>Age pension (class 6)</w:t>
            </w:r>
          </w:p>
        </w:tc>
        <w:tc>
          <w:tcPr>
            <w:tcW w:w="2520" w:type="dxa"/>
          </w:tcPr>
          <w:p w14:paraId="12ABDEFD" w14:textId="77777777" w:rsidR="005846DC" w:rsidRPr="00664384" w:rsidRDefault="005846DC" w:rsidP="001D1763">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64384">
              <w:br/>
            </w:r>
            <w:r w:rsidR="00AD433E" w:rsidRPr="00664384">
              <w:t>&lt;1</w:t>
            </w:r>
          </w:p>
          <w:p w14:paraId="669638E5" w14:textId="281EF090" w:rsidR="005846DC" w:rsidRPr="00664384" w:rsidRDefault="00AD433E" w:rsidP="001D1763">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64384">
              <w:t>1</w:t>
            </w:r>
            <w:r w:rsidR="00664384">
              <w:t>3</w:t>
            </w:r>
          </w:p>
        </w:tc>
        <w:tc>
          <w:tcPr>
            <w:tcW w:w="2520" w:type="dxa"/>
          </w:tcPr>
          <w:p w14:paraId="2C1190BE" w14:textId="77777777" w:rsidR="005846DC" w:rsidRPr="00664384" w:rsidRDefault="005846DC" w:rsidP="001D1763">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64384">
              <w:br/>
              <w:t>0%</w:t>
            </w:r>
          </w:p>
          <w:p w14:paraId="38EAA3EA" w14:textId="26349F83" w:rsidR="005846DC" w:rsidRPr="00664384" w:rsidRDefault="005846DC" w:rsidP="001D1763">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64384">
              <w:t>9</w:t>
            </w:r>
            <w:r w:rsidR="00664384">
              <w:t>4</w:t>
            </w:r>
            <w:r w:rsidRPr="00664384">
              <w:t>%</w:t>
            </w:r>
          </w:p>
        </w:tc>
      </w:tr>
      <w:tr w:rsidR="005846DC" w:rsidRPr="00664384" w14:paraId="22FCB04B"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1C085FDD" w14:textId="0D14F27B" w:rsidR="005846DC" w:rsidRPr="00664384" w:rsidRDefault="005846DC" w:rsidP="001D1763">
            <w:pPr>
              <w:pStyle w:val="TableTextSmall"/>
              <w:keepNext/>
            </w:pPr>
            <w:r w:rsidRPr="00664384">
              <w:t xml:space="preserve">Years with </w:t>
            </w:r>
            <w:r w:rsidR="005B3E7D">
              <w:t>non income</w:t>
            </w:r>
            <w:r w:rsidRPr="00664384">
              <w:t xml:space="preserve"> support payments only</w:t>
            </w:r>
          </w:p>
        </w:tc>
        <w:tc>
          <w:tcPr>
            <w:tcW w:w="2520" w:type="dxa"/>
          </w:tcPr>
          <w:p w14:paraId="085274C2" w14:textId="77777777" w:rsidR="005846DC" w:rsidRPr="00664384" w:rsidRDefault="00AD433E" w:rsidP="001D1763">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664384">
              <w:t>&lt;1</w:t>
            </w:r>
          </w:p>
        </w:tc>
        <w:tc>
          <w:tcPr>
            <w:tcW w:w="2520" w:type="dxa"/>
          </w:tcPr>
          <w:p w14:paraId="5E55F74A" w14:textId="7712800A" w:rsidR="005846DC" w:rsidRPr="00664384" w:rsidRDefault="00664384" w:rsidP="001D1763">
            <w:pPr>
              <w:pStyle w:val="TableTextSmall"/>
              <w:keepNext/>
              <w:jc w:val="center"/>
              <w:cnfStyle w:val="000000000000" w:firstRow="0" w:lastRow="0" w:firstColumn="0" w:lastColumn="0" w:oddVBand="0" w:evenVBand="0" w:oddHBand="0" w:evenHBand="0" w:firstRowFirstColumn="0" w:firstRowLastColumn="0" w:lastRowFirstColumn="0" w:lastRowLastColumn="0"/>
            </w:pPr>
            <w:r>
              <w:t>3</w:t>
            </w:r>
            <w:r w:rsidR="005846DC" w:rsidRPr="00664384">
              <w:t>%</w:t>
            </w:r>
          </w:p>
        </w:tc>
      </w:tr>
      <w:tr w:rsidR="005846DC" w:rsidRPr="00664384" w14:paraId="19A7413F"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30401FD" w14:textId="77777777" w:rsidR="005846DC" w:rsidRPr="00664384" w:rsidRDefault="005846DC" w:rsidP="001D1763">
            <w:pPr>
              <w:pStyle w:val="TableTextSmall"/>
              <w:keepNext/>
            </w:pPr>
            <w:r w:rsidRPr="00664384">
              <w:t>Years not receiving any welfare payments</w:t>
            </w:r>
          </w:p>
        </w:tc>
        <w:tc>
          <w:tcPr>
            <w:tcW w:w="2520" w:type="dxa"/>
          </w:tcPr>
          <w:p w14:paraId="5BCD3175" w14:textId="77777777" w:rsidR="005846DC" w:rsidRPr="00664384" w:rsidRDefault="00AD433E" w:rsidP="001D1763">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64384">
              <w:t>&lt;1</w:t>
            </w:r>
          </w:p>
        </w:tc>
        <w:tc>
          <w:tcPr>
            <w:tcW w:w="2520" w:type="dxa"/>
          </w:tcPr>
          <w:p w14:paraId="69EF3A94" w14:textId="77777777" w:rsidR="005846DC" w:rsidRPr="00664384" w:rsidRDefault="005846DC" w:rsidP="001D1763">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64384">
              <w:t>3%</w:t>
            </w:r>
          </w:p>
        </w:tc>
      </w:tr>
      <w:tr w:rsidR="005846DC" w:rsidRPr="00664384" w14:paraId="084A9D71"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407EBC91" w14:textId="77777777" w:rsidR="005846DC" w:rsidRPr="00664384" w:rsidRDefault="005846DC" w:rsidP="000D6C29">
            <w:pPr>
              <w:pStyle w:val="TableTextSmall"/>
            </w:pPr>
            <w:r w:rsidRPr="00664384">
              <w:t>Total</w:t>
            </w:r>
          </w:p>
        </w:tc>
        <w:tc>
          <w:tcPr>
            <w:tcW w:w="2520" w:type="dxa"/>
          </w:tcPr>
          <w:p w14:paraId="5914E6BC" w14:textId="76B71A20" w:rsidR="005846DC" w:rsidRPr="00664384" w:rsidRDefault="00E76799" w:rsidP="00E76799">
            <w:pPr>
              <w:pStyle w:val="TableTextSmall"/>
              <w:jc w:val="center"/>
              <w:cnfStyle w:val="000000000000" w:firstRow="0" w:lastRow="0" w:firstColumn="0" w:lastColumn="0" w:oddVBand="0" w:evenVBand="0" w:oddHBand="0" w:evenHBand="0" w:firstRowFirstColumn="0" w:firstRowLastColumn="0" w:lastRowFirstColumn="0" w:lastRowLastColumn="0"/>
            </w:pPr>
            <w:r w:rsidRPr="00664384">
              <w:t>1</w:t>
            </w:r>
            <w:r w:rsidR="00664384">
              <w:t>4</w:t>
            </w:r>
          </w:p>
        </w:tc>
        <w:tc>
          <w:tcPr>
            <w:tcW w:w="2520" w:type="dxa"/>
          </w:tcPr>
          <w:p w14:paraId="11E48EE5" w14:textId="77777777" w:rsidR="005846DC" w:rsidRPr="00664384" w:rsidRDefault="005846DC"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664384">
              <w:t>100%</w:t>
            </w:r>
          </w:p>
        </w:tc>
      </w:tr>
    </w:tbl>
    <w:p w14:paraId="3186BF02" w14:textId="77777777" w:rsidR="005846DC" w:rsidRPr="00664384" w:rsidRDefault="005846DC" w:rsidP="00AD433E">
      <w:pPr>
        <w:pStyle w:val="PwCNormal-Single"/>
      </w:pPr>
    </w:p>
    <w:p w14:paraId="160D7A04" w14:textId="77777777" w:rsidR="00716FF0" w:rsidRPr="0057506F" w:rsidRDefault="00716FF0" w:rsidP="00AD433E">
      <w:pPr>
        <w:pStyle w:val="PwCNormal-Single"/>
      </w:pPr>
    </w:p>
    <w:p w14:paraId="195A8A18" w14:textId="77777777" w:rsidR="003D1206" w:rsidRPr="0057506F" w:rsidRDefault="003D1206" w:rsidP="003D1206">
      <w:pPr>
        <w:pStyle w:val="PwCNormal"/>
        <w:numPr>
          <w:ilvl w:val="0"/>
          <w:numId w:val="0"/>
        </w:numPr>
        <w:sectPr w:rsidR="003D1206" w:rsidRPr="0057506F" w:rsidSect="009D2617">
          <w:pgSz w:w="11907" w:h="16840" w:code="9"/>
          <w:pgMar w:top="1588" w:right="1021" w:bottom="1418" w:left="1021" w:header="567" w:footer="567" w:gutter="0"/>
          <w:cols w:space="227"/>
          <w:docGrid w:linePitch="360"/>
        </w:sectPr>
      </w:pPr>
    </w:p>
    <w:p w14:paraId="09861CE4" w14:textId="77A71646" w:rsidR="007B0A8D" w:rsidRDefault="007B0A8D" w:rsidP="007B0A8D">
      <w:pPr>
        <w:pStyle w:val="Heading2"/>
      </w:pPr>
      <w:bookmarkStart w:id="235" w:name="_Ref466373125"/>
      <w:bookmarkStart w:id="236" w:name="_Ref466374252"/>
      <w:bookmarkStart w:id="237" w:name="_Toc506388232"/>
      <w:bookmarkStart w:id="238" w:name="_Toc455499437"/>
      <w:bookmarkStart w:id="239" w:name="_Toc455502458"/>
      <w:bookmarkEnd w:id="185"/>
      <w:bookmarkEnd w:id="227"/>
      <w:bookmarkEnd w:id="228"/>
      <w:bookmarkEnd w:id="229"/>
      <w:r w:rsidRPr="00A1077D">
        <w:lastRenderedPageBreak/>
        <w:t xml:space="preserve">Results for </w:t>
      </w:r>
      <w:r w:rsidR="005B3E7D">
        <w:t>non income</w:t>
      </w:r>
      <w:r w:rsidRPr="00A1077D">
        <w:t xml:space="preserve"> support recipients</w:t>
      </w:r>
      <w:bookmarkEnd w:id="235"/>
      <w:bookmarkEnd w:id="236"/>
      <w:bookmarkEnd w:id="237"/>
    </w:p>
    <w:p w14:paraId="790F1816" w14:textId="600E611B" w:rsidR="007B0A8D" w:rsidRDefault="007B0A8D" w:rsidP="007B0A8D">
      <w:pPr>
        <w:pStyle w:val="PwCNormal"/>
        <w:numPr>
          <w:ilvl w:val="0"/>
          <w:numId w:val="0"/>
        </w:numPr>
      </w:pPr>
      <w:r>
        <w:t>In this section, we continue to discuss the profile of the classes and the key considerations for setting the assumptions, and the class-level lifetime cost results</w:t>
      </w:r>
      <w:r w:rsidRPr="001E518A">
        <w:t>.</w:t>
      </w:r>
      <w:r>
        <w:t xml:space="preserve"> This section covers the </w:t>
      </w:r>
      <w:r w:rsidR="005B3E7D">
        <w:t>non income</w:t>
      </w:r>
      <w:r>
        <w:t xml:space="preserve"> support classes.</w:t>
      </w:r>
    </w:p>
    <w:p w14:paraId="531C0C36" w14:textId="77777777" w:rsidR="007B0A8D" w:rsidRPr="00D7279A" w:rsidRDefault="007B0A8D" w:rsidP="007B0A8D">
      <w:pPr>
        <w:pStyle w:val="PwCNormal"/>
        <w:numPr>
          <w:ilvl w:val="0"/>
          <w:numId w:val="0"/>
        </w:numPr>
      </w:pPr>
      <w:r>
        <w:t>We have also set out key points at the top of each subsection.</w:t>
      </w:r>
    </w:p>
    <w:p w14:paraId="760D5625" w14:textId="77777777" w:rsidR="007B0A8D" w:rsidRPr="000E6396" w:rsidRDefault="007B0A8D" w:rsidP="007B0A8D">
      <w:pPr>
        <w:pStyle w:val="Heading3"/>
      </w:pPr>
      <w:bookmarkStart w:id="240" w:name="_Ref466372845"/>
      <w:bookmarkStart w:id="241" w:name="_Ref466418929"/>
      <w:bookmarkStart w:id="242" w:name="_Toc506388233"/>
      <w:r w:rsidRPr="000E6396">
        <w:t>Non income support – Family</w:t>
      </w:r>
      <w:bookmarkEnd w:id="240"/>
      <w:bookmarkEnd w:id="241"/>
      <w:bookmarkEnd w:id="242"/>
    </w:p>
    <w:p w14:paraId="78AEC42C" w14:textId="77777777" w:rsidR="007B0A8D" w:rsidRPr="00AE5121" w:rsidRDefault="007B0A8D" w:rsidP="007B0A8D">
      <w:pPr>
        <w:pStyle w:val="PwCNormal"/>
        <w:numPr>
          <w:ilvl w:val="0"/>
          <w:numId w:val="0"/>
        </w:numPr>
      </w:pPr>
      <w:r w:rsidRPr="00AE5121">
        <w:t>People are in this class if they have not received any income support payment in the financial year but received a FTB, family or new parent payment in the previous financial year.</w:t>
      </w:r>
    </w:p>
    <w:p w14:paraId="63A8BA34" w14:textId="5D7BD4B0" w:rsidR="007B0A8D" w:rsidRDefault="007B0A8D" w:rsidP="007B0A8D">
      <w:pPr>
        <w:pStyle w:val="PwCNormal"/>
        <w:numPr>
          <w:ilvl w:val="0"/>
          <w:numId w:val="1"/>
        </w:numPr>
      </w:pPr>
      <w:r w:rsidRPr="00AE5121">
        <w:t xml:space="preserve">The precise definition of this class includes a one year timing lag </w:t>
      </w:r>
      <w:r>
        <w:t>so that family payments are considered from the previous year rather than the current year when allocating people to this class. This</w:t>
      </w:r>
      <w:r w:rsidR="001D5C14">
        <w:t xml:space="preserve"> definition has been used</w:t>
      </w:r>
      <w:r>
        <w:t xml:space="preserve"> as data maturity has a particularly big impact on FTB payments since these are often claimed well after the year end through tax returns</w:t>
      </w:r>
      <w:r w:rsidRPr="00AE5121">
        <w:t>. This means that new recipients of family payments who are not receiving income support payments typically enter into class 9, and then transition to class 7 for the remainder of the period during which they receive any of the family payment categories.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contains the key points related to the Non Income Support-Family class"/>
      </w:tblPr>
      <w:tblGrid>
        <w:gridCol w:w="10081"/>
      </w:tblGrid>
      <w:tr w:rsidR="007B0A8D" w:rsidRPr="006B0F86" w14:paraId="471816C5" w14:textId="77777777" w:rsidTr="007B0A8D">
        <w:trPr>
          <w:trHeight w:val="1260"/>
          <w:tblHeader/>
        </w:trPr>
        <w:tc>
          <w:tcPr>
            <w:tcW w:w="10081" w:type="dxa"/>
            <w:shd w:val="clear" w:color="auto" w:fill="F3ABA4" w:themeFill="accent6" w:themeFillTint="66"/>
          </w:tcPr>
          <w:p w14:paraId="5AFC3E39" w14:textId="77777777" w:rsidR="007B0A8D" w:rsidRPr="006B0F86" w:rsidRDefault="007B0A8D" w:rsidP="007B0A8D">
            <w:pPr>
              <w:pStyle w:val="PwCNormal"/>
              <w:numPr>
                <w:ilvl w:val="0"/>
                <w:numId w:val="1"/>
              </w:numPr>
              <w:rPr>
                <w:b/>
              </w:rPr>
            </w:pPr>
            <w:r>
              <w:rPr>
                <w:b/>
              </w:rPr>
              <w:t>Key points</w:t>
            </w:r>
          </w:p>
          <w:p w14:paraId="19EBE8AD" w14:textId="77777777" w:rsidR="007B0A8D" w:rsidRPr="00336E4E" w:rsidRDefault="007B0A8D" w:rsidP="007B0A8D">
            <w:pPr>
              <w:pStyle w:val="PwCNormal"/>
              <w:numPr>
                <w:ilvl w:val="0"/>
                <w:numId w:val="0"/>
              </w:numPr>
            </w:pPr>
            <w:r w:rsidRPr="00336E4E">
              <w:t xml:space="preserve">There were 1,544,000 people in the Non IS Family class in 2017. </w:t>
            </w:r>
            <w:r>
              <w:t xml:space="preserve">80% of this class are women and are predominately aged in their mid-twenties to late-forties. </w:t>
            </w:r>
          </w:p>
          <w:p w14:paraId="0A49F1C5" w14:textId="11E5178E" w:rsidR="007B0A8D" w:rsidRPr="00336E4E" w:rsidRDefault="007B0A8D" w:rsidP="007B0A8D">
            <w:pPr>
              <w:pStyle w:val="Bullet1"/>
            </w:pPr>
            <w:r w:rsidRPr="00336E4E">
              <w:t>Over the recent history there have been multiple changes to policies affecting family payments. There has been several changes which have tig</w:t>
            </w:r>
            <w:r w:rsidR="003D4216">
              <w:t>htened the criteria to receive F</w:t>
            </w:r>
            <w:r w:rsidRPr="00336E4E">
              <w:t xml:space="preserve">amily </w:t>
            </w:r>
            <w:r w:rsidR="003D4216">
              <w:t>T</w:t>
            </w:r>
            <w:r w:rsidRPr="00336E4E">
              <w:t xml:space="preserve">ax </w:t>
            </w:r>
            <w:r w:rsidR="003D4216">
              <w:t>B</w:t>
            </w:r>
            <w:r w:rsidRPr="00336E4E">
              <w:t xml:space="preserve">enefits, and some benefits have been repealed. </w:t>
            </w:r>
          </w:p>
          <w:p w14:paraId="51CCB987" w14:textId="729B3AB4" w:rsidR="007B0A8D" w:rsidRDefault="007B0A8D" w:rsidP="007B0A8D">
            <w:pPr>
              <w:pStyle w:val="Bullet1"/>
            </w:pPr>
            <w:r w:rsidRPr="00BE2F68">
              <w:t>The number of people leaving the class has stabilised over the last three years at a level comparable to entries to the class.</w:t>
            </w:r>
            <w:r>
              <w:t xml:space="preserve"> In general, single people are </w:t>
            </w:r>
            <w:r w:rsidRPr="00F96D80">
              <w:t xml:space="preserve">less likely than partnered people to stay in </w:t>
            </w:r>
            <w:r>
              <w:t>this class</w:t>
            </w:r>
            <w:r w:rsidRPr="00F96D80">
              <w:t xml:space="preserve">, and are far more likely to transition </w:t>
            </w:r>
            <w:r>
              <w:t xml:space="preserve">onto the </w:t>
            </w:r>
            <w:r w:rsidR="0070204F">
              <w:t>P</w:t>
            </w:r>
            <w:r>
              <w:t>arenting payment.</w:t>
            </w:r>
          </w:p>
          <w:p w14:paraId="35F65B44" w14:textId="54BD1229" w:rsidR="007B0A8D" w:rsidRPr="006B0F86" w:rsidRDefault="007B0A8D" w:rsidP="007B0A8D">
            <w:pPr>
              <w:pStyle w:val="Bullet1"/>
            </w:pPr>
            <w:r w:rsidRPr="00336E4E">
              <w:t>Average child care costs per recipient have been increasing by almost 10% per year over the last three years</w:t>
            </w:r>
            <w:r w:rsidR="00042940">
              <w:t xml:space="preserve"> (n</w:t>
            </w:r>
            <w:r w:rsidR="0040714F">
              <w:t xml:space="preserve">ote that child care costs in this case refer to </w:t>
            </w:r>
            <w:r w:rsidR="00A16A8D">
              <w:t xml:space="preserve">Government </w:t>
            </w:r>
            <w:r w:rsidR="0040714F">
              <w:t>welfare expenditure on child care rather than costs incurred by the individual on child care</w:t>
            </w:r>
            <w:r w:rsidR="00042940">
              <w:t>).</w:t>
            </w:r>
          </w:p>
        </w:tc>
      </w:tr>
    </w:tbl>
    <w:p w14:paraId="022E5FF5" w14:textId="77777777" w:rsidR="007B0A8D" w:rsidRPr="00AE5121" w:rsidRDefault="007B0A8D" w:rsidP="007B0A8D">
      <w:pPr>
        <w:pStyle w:val="Heading4"/>
      </w:pPr>
      <w:r w:rsidRPr="00AE5121">
        <w:t>What does the data tell us about the Non IS Family class?</w:t>
      </w:r>
    </w:p>
    <w:p w14:paraId="4823EC0E" w14:textId="52EA3EA7" w:rsidR="007B0A8D" w:rsidRPr="00AE38E5" w:rsidRDefault="007B0A8D" w:rsidP="007B0A8D">
      <w:pPr>
        <w:pStyle w:val="PwCNormal"/>
        <w:numPr>
          <w:ilvl w:val="0"/>
          <w:numId w:val="1"/>
        </w:numPr>
      </w:pPr>
      <w:r w:rsidRPr="00AE38E5">
        <w:t>There were 1,54</w:t>
      </w:r>
      <w:r w:rsidR="00B513F7">
        <w:t>4,000</w:t>
      </w:r>
      <w:r w:rsidRPr="00AE38E5">
        <w:t xml:space="preserve"> people in the Non IS Family class in the 2017 model population. </w:t>
      </w:r>
      <w:r>
        <w:t xml:space="preserve">This represents 6.3% of the population of Australia which is a decrease </w:t>
      </w:r>
      <w:r w:rsidRPr="002D2D76">
        <w:t>from 6.4% at the previous</w:t>
      </w:r>
      <w:r>
        <w:t xml:space="preserve"> valuation, and 19.2% of current welfare recipients.</w:t>
      </w:r>
    </w:p>
    <w:p w14:paraId="2523BBD1" w14:textId="77777777" w:rsidR="007B0A8D" w:rsidRPr="00AE38E5" w:rsidRDefault="007B0A8D" w:rsidP="007B0A8D">
      <w:pPr>
        <w:pStyle w:val="PwCNormal-keepwithnext"/>
        <w:numPr>
          <w:ilvl w:val="0"/>
          <w:numId w:val="1"/>
        </w:numPr>
      </w:pPr>
      <w:r w:rsidRPr="00AE38E5">
        <w:lastRenderedPageBreak/>
        <w:t>The following chart shows a breakdown of the number of people in the Non IS Family class by age and gender.</w:t>
      </w:r>
    </w:p>
    <w:p w14:paraId="66E90C87" w14:textId="7F727364" w:rsidR="007B0A8D" w:rsidRPr="00AE38E5" w:rsidRDefault="007B0A8D" w:rsidP="007B0A8D">
      <w:pPr>
        <w:pStyle w:val="Caption"/>
      </w:pPr>
      <w:r w:rsidRPr="00AE38E5">
        <w:t xml:space="preserve">Figure </w:t>
      </w:r>
      <w:fldSimple w:instr=" SEQ Figure \* ARABIC ">
        <w:r w:rsidR="00C93C1A">
          <w:rPr>
            <w:noProof/>
          </w:rPr>
          <w:t>80</w:t>
        </w:r>
      </w:fldSimple>
      <w:r w:rsidRPr="00AE38E5">
        <w:t>: 201</w:t>
      </w:r>
      <w:r>
        <w:t>7</w:t>
      </w:r>
      <w:r w:rsidRPr="00AE38E5">
        <w:t xml:space="preserve"> profile of people in </w:t>
      </w:r>
      <w:r w:rsidR="00871E70">
        <w:t>c</w:t>
      </w:r>
      <w:r w:rsidRPr="00AE38E5">
        <w:t>lass 7 – Non IS Family (age/gender)</w:t>
      </w:r>
    </w:p>
    <w:tbl>
      <w:tblPr>
        <w:tblW w:w="3921" w:type="pct"/>
        <w:tblLayout w:type="fixed"/>
        <w:tblLook w:val="04A0" w:firstRow="1" w:lastRow="0" w:firstColumn="1" w:lastColumn="0" w:noHBand="0" w:noVBand="1"/>
        <w:tblCaption w:val=" 2016 profile of people in Class 7 – Non IS Family (age/gender)"/>
        <w:tblDescription w:val="This figure is a horizontal bar chart showing the number of people in the Non IS Family class at Jun16 by age for males and females separately. The vertical axis shows age with the data shown ranging from 14 to 95. The horizontal axis shows the number of people ranging from 0 to 80,000. The number of males at each age are shown by the horizontal bars to the left of the vertical axis and the number of females at each age are shown by horizontal bars to the right.&#10;&#10;The chart is based on the 1,554,000 individuals who were in the Non IS Family class at 30 June 2016. &#10;&#10;The chart shows that the people in this class are predominately females aged between 20 and 55. The number of females peaks at approximately 62,000 at age 37 and number of males peaks at approximately 15,000 at the same age.&#10;"/>
      </w:tblPr>
      <w:tblGrid>
        <w:gridCol w:w="6204"/>
        <w:gridCol w:w="1702"/>
      </w:tblGrid>
      <w:tr w:rsidR="007B0A8D" w:rsidRPr="009210D0" w14:paraId="428C5AE7" w14:textId="77777777" w:rsidTr="007B0A8D">
        <w:trPr>
          <w:tblHeader/>
        </w:trPr>
        <w:tc>
          <w:tcPr>
            <w:tcW w:w="6204" w:type="dxa"/>
          </w:tcPr>
          <w:p w14:paraId="15927B73" w14:textId="77777777" w:rsidR="007B0A8D" w:rsidRPr="00AE38E5" w:rsidRDefault="007B0A8D" w:rsidP="007B0A8D">
            <w:pPr>
              <w:pStyle w:val="TableTextSmall"/>
              <w:keepNext/>
              <w:rPr>
                <w:lang w:eastAsia="en-AU"/>
              </w:rPr>
            </w:pPr>
            <w:r w:rsidRPr="00AE38E5">
              <w:rPr>
                <w:noProof/>
                <w:lang w:eastAsia="en-AU"/>
              </w:rPr>
              <w:drawing>
                <wp:inline distT="0" distB="0" distL="0" distR="0" wp14:anchorId="4DC0A017" wp14:editId="6E4CD5DA">
                  <wp:extent cx="3652800" cy="2160000"/>
                  <wp:effectExtent l="0" t="0" r="5080" b="0"/>
                  <wp:docPr id="298" name="Picture 298" descr="This figure is a horizontal bar chart showing the number of people in the Non IS Family class at Jun17 by age for males and females separately. The vertical axis shows age with the data shown ranging from 14 to 90. The horizontal axis shows the number of people ranging from 0 to 80,000. The number of males at each age are shown by the horizontal bars to the left of the vertical axis and the number of females at each age are shown by horizontal bars to the right.&#10;&#10;The chart is based on the 1,544,000 individuals who were in the Non IS Family class at 30 June 2017. &#10;&#10;The chart shows that the people in this class are predominately females aged between 20 and 55. The number of females peaks at approximately 64,000 at age 36 and number of males peaks at approximately 15,000 at the same age.&#10;" title="2017 profile of people in class 7 – Non IS Family (age/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652800" cy="2160000"/>
                          </a:xfrm>
                          <a:prstGeom prst="rect">
                            <a:avLst/>
                          </a:prstGeom>
                          <a:noFill/>
                          <a:ln>
                            <a:noFill/>
                          </a:ln>
                        </pic:spPr>
                      </pic:pic>
                    </a:graphicData>
                  </a:graphic>
                </wp:inline>
              </w:drawing>
            </w:r>
          </w:p>
        </w:tc>
        <w:tc>
          <w:tcPr>
            <w:tcW w:w="1702" w:type="dxa"/>
          </w:tcPr>
          <w:p w14:paraId="2F96AD8A" w14:textId="77777777" w:rsidR="007B0A8D" w:rsidRPr="00AE38E5" w:rsidRDefault="007B0A8D" w:rsidP="007B0A8D">
            <w:pPr>
              <w:pStyle w:val="TableTextSmall"/>
              <w:keepNext/>
              <w:rPr>
                <w:lang w:eastAsia="en-AU"/>
              </w:rPr>
            </w:pPr>
          </w:p>
        </w:tc>
      </w:tr>
    </w:tbl>
    <w:p w14:paraId="1D882C9B" w14:textId="64C1C4A7" w:rsidR="007B0A8D" w:rsidRPr="0057506F" w:rsidRDefault="007B0A8D" w:rsidP="007B0A8D">
      <w:pPr>
        <w:pStyle w:val="PwCNormal"/>
        <w:numPr>
          <w:ilvl w:val="0"/>
          <w:numId w:val="0"/>
        </w:numPr>
      </w:pPr>
      <w:r w:rsidRPr="00AE38E5">
        <w:t xml:space="preserve">From the chart, we can see that there are a mix of both men and women, albeit with </w:t>
      </w:r>
      <w:r>
        <w:t xml:space="preserve">substantially more </w:t>
      </w:r>
      <w:r w:rsidRPr="00AE38E5">
        <w:t xml:space="preserve">women at </w:t>
      </w:r>
      <w:r>
        <w:t xml:space="preserve">all </w:t>
      </w:r>
      <w:r w:rsidRPr="00AE38E5">
        <w:t xml:space="preserve">ages. The people in this class are predominately aged 20 to 60, with class numbers peaking </w:t>
      </w:r>
      <w:r w:rsidR="006E3740">
        <w:t>at around</w:t>
      </w:r>
      <w:r w:rsidR="006E3740" w:rsidRPr="00AE38E5">
        <w:t xml:space="preserve"> </w:t>
      </w:r>
      <w:r w:rsidRPr="00AE38E5">
        <w:t>the mid-thirties.</w:t>
      </w:r>
    </w:p>
    <w:p w14:paraId="0C24043D" w14:textId="77777777" w:rsidR="007B0A8D" w:rsidRPr="00063A00" w:rsidRDefault="007B0A8D" w:rsidP="007B0A8D">
      <w:pPr>
        <w:pStyle w:val="Minorheading"/>
      </w:pPr>
      <w:r w:rsidRPr="00063A00">
        <w:t>Movements into and out of this class</w:t>
      </w:r>
    </w:p>
    <w:p w14:paraId="5CC3480A" w14:textId="49D0BAED" w:rsidR="007B0A8D" w:rsidRDefault="007B0A8D" w:rsidP="007B0A8D">
      <w:pPr>
        <w:pStyle w:val="PwCNormal"/>
        <w:numPr>
          <w:ilvl w:val="0"/>
          <w:numId w:val="1"/>
        </w:numPr>
      </w:pPr>
      <w:r w:rsidRPr="00063A00">
        <w:t xml:space="preserve">Over the last </w:t>
      </w:r>
      <w:r w:rsidR="007A314E">
        <w:t>three</w:t>
      </w:r>
      <w:r w:rsidRPr="00063A00">
        <w:t xml:space="preserve"> years, an average of 3</w:t>
      </w:r>
      <w:r>
        <w:t>1</w:t>
      </w:r>
      <w:r w:rsidRPr="00063A00">
        <w:t>2,500 people (around 2</w:t>
      </w:r>
      <w:r>
        <w:t>0</w:t>
      </w:r>
      <w:r w:rsidRPr="00063A00">
        <w:t>.</w:t>
      </w:r>
      <w:r>
        <w:t>3</w:t>
      </w:r>
      <w:r w:rsidRPr="00063A00">
        <w:t>% of the people in this class) per annum enter</w:t>
      </w:r>
      <w:r>
        <w:t>ed</w:t>
      </w:r>
      <w:r w:rsidRPr="00063A00">
        <w:t xml:space="preserve"> this class from another welfare class (note that </w:t>
      </w:r>
      <w:r w:rsidR="001D5C14">
        <w:t>owing</w:t>
      </w:r>
      <w:r w:rsidR="001D5C14" w:rsidRPr="00063A00">
        <w:t xml:space="preserve"> </w:t>
      </w:r>
      <w:r w:rsidRPr="00063A00">
        <w:t>to the lagged definition, it is not possible to transition directly into this class from outside the welfare system). Over this same period an average of 3</w:t>
      </w:r>
      <w:r>
        <w:t>10</w:t>
      </w:r>
      <w:r w:rsidRPr="00063A00">
        <w:t>,</w:t>
      </w:r>
      <w:r>
        <w:t>7</w:t>
      </w:r>
      <w:r w:rsidRPr="00063A00">
        <w:t>00 people (around 2</w:t>
      </w:r>
      <w:r>
        <w:t>0</w:t>
      </w:r>
      <w:r w:rsidRPr="00063A00">
        <w:t xml:space="preserve">.1% of people in this class) per annum </w:t>
      </w:r>
      <w:r>
        <w:t xml:space="preserve">have transitioned out of the </w:t>
      </w:r>
      <w:r w:rsidRPr="00063A00">
        <w:t>Non IS Family class.</w:t>
      </w:r>
    </w:p>
    <w:p w14:paraId="4AAF8418" w14:textId="77777777" w:rsidR="007B0A8D" w:rsidRPr="00063A00" w:rsidRDefault="007B0A8D" w:rsidP="007B0A8D">
      <w:pPr>
        <w:pStyle w:val="PwCNormal-keepwithnext"/>
        <w:numPr>
          <w:ilvl w:val="0"/>
          <w:numId w:val="1"/>
        </w:numPr>
      </w:pPr>
      <w:r w:rsidRPr="00063A00">
        <w:t>The following chart shows the breakdown of these transitions by previous</w:t>
      </w:r>
      <w:r>
        <w:t>/destination</w:t>
      </w:r>
      <w:r w:rsidRPr="00063A00">
        <w:t xml:space="preserve"> class and year of transition. </w:t>
      </w:r>
    </w:p>
    <w:p w14:paraId="4A6B6C1A" w14:textId="78A22849" w:rsidR="007B0A8D" w:rsidRPr="0057506F" w:rsidRDefault="007B0A8D" w:rsidP="007B0A8D">
      <w:pPr>
        <w:pStyle w:val="Caption"/>
      </w:pPr>
      <w:r w:rsidRPr="00A716AE">
        <w:t xml:space="preserve">Figure </w:t>
      </w:r>
      <w:fldSimple w:instr=" SEQ Figure \* ARABIC ">
        <w:r w:rsidR="00C93C1A">
          <w:rPr>
            <w:noProof/>
          </w:rPr>
          <w:t>81</w:t>
        </w:r>
      </w:fldSimple>
      <w:r w:rsidRPr="00A716AE">
        <w:t>: Number of peo</w:t>
      </w:r>
      <w:r>
        <w:t xml:space="preserve">ple entering and exiting </w:t>
      </w:r>
      <w:r w:rsidR="00871E70">
        <w:t>c</w:t>
      </w:r>
      <w:r>
        <w:t>lass 7</w:t>
      </w:r>
      <w:r w:rsidRPr="00A716AE">
        <w:t xml:space="preserve"> – </w:t>
      </w:r>
      <w:r>
        <w:t>Non IS Family</w:t>
      </w:r>
    </w:p>
    <w:p w14:paraId="161F040E" w14:textId="77777777" w:rsidR="007B0A8D" w:rsidRPr="0057506F" w:rsidRDefault="007B0A8D" w:rsidP="007B0A8D">
      <w:pPr>
        <w:pStyle w:val="PwCNormal"/>
        <w:numPr>
          <w:ilvl w:val="0"/>
          <w:numId w:val="1"/>
        </w:numPr>
      </w:pPr>
      <w:r w:rsidRPr="00727DB6">
        <w:rPr>
          <w:noProof/>
          <w:lang w:eastAsia="en-AU"/>
        </w:rPr>
        <w:drawing>
          <wp:inline distT="0" distB="0" distL="0" distR="0" wp14:anchorId="7DA86BB4" wp14:editId="32CA6D94">
            <wp:extent cx="6264275" cy="2168107"/>
            <wp:effectExtent l="0" t="0" r="3175" b="3810"/>
            <wp:docPr id="300" name="Picture 300" descr="This figure is a stacked column chart with ten columns. The vertical axis displays the number of people ranging from 0 to 350,000. &#10;&#10;The horizontal axis is split into two sections; the first five columns show the numbers of entrants into the Non IS Family class and the second five columns show the number of exits from the Non IS Family class. In each section, the set of five columns represent the last five financial years; 2013, 2014, 2015, 2016 and 2017. &#10;&#10;For the first section, the columns showing the number of entrants into the Non IS Family class for each financial year are split into previous class. These classes include; 1 Studying, 2 Working Age, 3 Parents, 4 Carers, 5 Disability Support, 6 Pension Age, 8 Non-IS Carer, 9 Non-IS Other, 10 Previous Welfare Recipient, 11 Dead and 12 Rest of the Australian Population. &#10;&#10;The chart shows that the number of entries into Class 7 were; 272,000 in 2013, 272,000 in 2014, 312,000 in 2015, 304,000 in 2016 and 322,000 in 2017. The majority of entrants come from Class 9 Non IS Other and Class 3 Parents. &#10;&#10;For the second section, the columns showing the number of exits from the Non IS Family class for each financial year are split into destination class. These classes include; 1 Studying, 2 Working Age, 3 Parents, 4 Carers, 5 Disability Support, 6 Pension Age, 8 Non-IS Carer, 9 Non-IS Other, 10 Previous Welfare Recipient, 11 Dead and 12 Rest of the Australian Population. &#10;&#10;The chart shows that the number of exits out of Class 7 were; 223,000 in 2013, 243,000 in 2014, 308,000 in 2015, 313,000 in 2016 and 311,000 in 2017. The majority of individuals who exit move to Class 10 Previous Welfare Recipient.&#10;&#10;Further discussion of the key features shown in the chart can be found in the accompanying text within the report.&#10;" title="Number of people entering and exiting class 7 – Non IS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264275" cy="2168107"/>
                    </a:xfrm>
                    <a:prstGeom prst="rect">
                      <a:avLst/>
                    </a:prstGeom>
                    <a:noFill/>
                    <a:ln>
                      <a:noFill/>
                    </a:ln>
                  </pic:spPr>
                </pic:pic>
              </a:graphicData>
            </a:graphic>
          </wp:inline>
        </w:drawing>
      </w:r>
    </w:p>
    <w:p w14:paraId="3EEB4210" w14:textId="77777777" w:rsidR="007B0A8D" w:rsidRPr="0057506F" w:rsidRDefault="007B0A8D" w:rsidP="007B0A8D">
      <w:pPr>
        <w:pStyle w:val="PwCNormal"/>
        <w:keepNext/>
        <w:keepLines/>
        <w:numPr>
          <w:ilvl w:val="0"/>
          <w:numId w:val="1"/>
        </w:numPr>
        <w:jc w:val="center"/>
      </w:pPr>
      <w:r w:rsidRPr="00727DB6">
        <w:rPr>
          <w:noProof/>
          <w:lang w:eastAsia="en-AU"/>
        </w:rPr>
        <w:drawing>
          <wp:inline distT="0" distB="0" distL="0" distR="0" wp14:anchorId="3C2D98BA" wp14:editId="7F291EEE">
            <wp:extent cx="5385600" cy="468000"/>
            <wp:effectExtent l="0" t="0" r="0" b="8255"/>
            <wp:docPr id="3158" name="Picture 3158" descr="Class key: studying, working age, parents, carers, disability support, pension age, non-income support family, non-income support carer, non-income support other, previous welfare recipient, rest of the Australian population and dead. &#10;" title="Clas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62522365" w14:textId="77777777" w:rsidR="007B0A8D" w:rsidRDefault="007B0A8D" w:rsidP="007B0A8D">
      <w:pPr>
        <w:pStyle w:val="PwCNormal"/>
        <w:numPr>
          <w:ilvl w:val="0"/>
          <w:numId w:val="1"/>
        </w:numPr>
      </w:pPr>
      <w:r>
        <w:t>We can see that people predominately enter this class from class ‘9 Non IS Other’ and some enter from class ‘3 Parents’ or ‘2 Working Age’. We can also see that the majority of people who leave this class also leave the welfare system. Men who don’t leave the system tend to transition into class ‘2 Working Age’ or ‘9 Non IS Other’, while women who don’t leave tend to transition to ‘3 Parents’ (under age 40),</w:t>
      </w:r>
      <w:r w:rsidRPr="00DE4EDB">
        <w:t xml:space="preserve"> </w:t>
      </w:r>
      <w:r>
        <w:t>‘2 Working Age’ (over age 40), ‘9 Non IS Other’ (across ages 30 to 45). Some women also transition into ‘4 Carers’.</w:t>
      </w:r>
    </w:p>
    <w:p w14:paraId="0424D3C1" w14:textId="77777777" w:rsidR="007B0A8D" w:rsidRDefault="007B0A8D" w:rsidP="007B0A8D">
      <w:pPr>
        <w:pStyle w:val="PwCNormal"/>
        <w:numPr>
          <w:ilvl w:val="0"/>
          <w:numId w:val="1"/>
        </w:numPr>
      </w:pPr>
      <w:r>
        <w:lastRenderedPageBreak/>
        <w:t xml:space="preserve">Both exits and entries from and to class ‘7 Non IS Family’ have stabilised since 2015 at a higher level than the preceding years. There have been a number of policy changes targeted at Family Tax Benefit over this period, including reductions in the maximum age of dependent children and reductions to maximum incomes. </w:t>
      </w:r>
    </w:p>
    <w:p w14:paraId="13DC4279" w14:textId="77777777" w:rsidR="007B0A8D" w:rsidRPr="00F33BAC" w:rsidRDefault="007B0A8D" w:rsidP="007B0A8D">
      <w:pPr>
        <w:pStyle w:val="Minorheading"/>
      </w:pPr>
      <w:r w:rsidRPr="00F33BAC">
        <w:t>Payments received</w:t>
      </w:r>
    </w:p>
    <w:p w14:paraId="03EEC7A5" w14:textId="77777777" w:rsidR="007B0A8D" w:rsidRPr="00F33BAC" w:rsidRDefault="007B0A8D" w:rsidP="007B0A8D">
      <w:pPr>
        <w:pStyle w:val="PwCNormal-keepwithnext"/>
        <w:numPr>
          <w:ilvl w:val="0"/>
          <w:numId w:val="1"/>
        </w:numPr>
      </w:pPr>
      <w:r w:rsidRPr="00F33BAC">
        <w:t>During 2016/17, people in this class received a total of $8.3 billion. This is 7.4% of the total payments made in 2016/17. The charts below show the average amount paid in a year to each person in this class</w:t>
      </w:r>
      <w:r>
        <w:t>, split by the categories of payments received</w:t>
      </w:r>
      <w:r w:rsidRPr="00F33BAC">
        <w:t>.</w:t>
      </w:r>
    </w:p>
    <w:p w14:paraId="7A6DB471" w14:textId="7FF06EC1" w:rsidR="007B0A8D" w:rsidRPr="00F33BAC" w:rsidRDefault="007B0A8D" w:rsidP="007B0A8D">
      <w:pPr>
        <w:pStyle w:val="Caption"/>
      </w:pPr>
      <w:r w:rsidRPr="00F33BAC">
        <w:t xml:space="preserve">Figure </w:t>
      </w:r>
      <w:fldSimple w:instr=" SEQ Figure \* ARABIC ">
        <w:r w:rsidR="00C93C1A">
          <w:rPr>
            <w:noProof/>
          </w:rPr>
          <w:t>82</w:t>
        </w:r>
      </w:fldSimple>
      <w:r w:rsidRPr="00F33BAC">
        <w:t xml:space="preserve">: Average payments per person in </w:t>
      </w:r>
      <w:r w:rsidR="00871E70">
        <w:t>c</w:t>
      </w:r>
      <w:r w:rsidRPr="00F33BAC">
        <w:t>lass 7 – Non IS Family (restated to 2016/17 $ values)</w:t>
      </w:r>
    </w:p>
    <w:p w14:paraId="5DB05965" w14:textId="77777777" w:rsidR="007B0A8D" w:rsidRPr="0057506F" w:rsidRDefault="007B0A8D" w:rsidP="007B0A8D">
      <w:pPr>
        <w:pStyle w:val="PwCNormal"/>
        <w:numPr>
          <w:ilvl w:val="0"/>
          <w:numId w:val="1"/>
        </w:numPr>
      </w:pPr>
      <w:r w:rsidRPr="00A164BB">
        <w:rPr>
          <w:noProof/>
          <w:lang w:eastAsia="en-AU"/>
        </w:rPr>
        <w:drawing>
          <wp:inline distT="0" distB="0" distL="0" distR="0" wp14:anchorId="532BD44B" wp14:editId="42F70DBB">
            <wp:extent cx="6178206" cy="2160000"/>
            <wp:effectExtent l="0" t="0" r="0" b="0"/>
            <wp:docPr id="222" name="Picture 222" descr="This figure is a stacked column chart. The vertical axis displays the average payment per person in the Non IS Family Class, ranging from $0 to $10,000.&#10;&#10;The horizontal axis is split into two sections; the first for males and the second for females. Each section is further split to show the last five financial years; 2013, 2014, 2015, 2016 and 2017.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7 was: $7,900 for 2013; $7,300 for 2014; $6,500 for 2015; $6,300 for 2016; and $4,500 for 2017.&#10;&#10;For females the approximate average payment per person in Class 7 was: $8,900 for 2013; $8,900 for 2014; $9,100 for 2015; $8,800 for 2016; and $5,600 for 2017.&#10;&#10;The majority of payments for both males and females were from the Other – FTB and Other – Family categories.&#10;&#10;The key features of this chart are described in the accompanying text within the report.&#10;" title="Average payments per person in class 7 – Non IS Family (restated to 2016/17 $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78206" cy="2160000"/>
                    </a:xfrm>
                    <a:prstGeom prst="rect">
                      <a:avLst/>
                    </a:prstGeom>
                    <a:noFill/>
                    <a:ln>
                      <a:noFill/>
                    </a:ln>
                  </pic:spPr>
                </pic:pic>
              </a:graphicData>
            </a:graphic>
          </wp:inline>
        </w:drawing>
      </w:r>
    </w:p>
    <w:p w14:paraId="51626BC1" w14:textId="77777777" w:rsidR="007B0A8D" w:rsidRPr="0057506F" w:rsidRDefault="007B0A8D" w:rsidP="007B0A8D">
      <w:pPr>
        <w:pStyle w:val="PwCNormal"/>
        <w:numPr>
          <w:ilvl w:val="0"/>
          <w:numId w:val="0"/>
        </w:numPr>
        <w:ind w:firstLine="720"/>
      </w:pPr>
      <w:r w:rsidRPr="00A164BB">
        <w:rPr>
          <w:noProof/>
          <w:lang w:eastAsia="en-AU"/>
        </w:rPr>
        <w:drawing>
          <wp:inline distT="0" distB="0" distL="0" distR="0" wp14:anchorId="5C0542B4" wp14:editId="761EB936">
            <wp:extent cx="4860000" cy="467785"/>
            <wp:effectExtent l="0" t="0" r="0" b="8890"/>
            <wp:docPr id="3899" name="Picture 3899"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for Fig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60000" cy="467785"/>
                    </a:xfrm>
                    <a:prstGeom prst="rect">
                      <a:avLst/>
                    </a:prstGeom>
                    <a:noFill/>
                    <a:ln>
                      <a:noFill/>
                    </a:ln>
                  </pic:spPr>
                </pic:pic>
              </a:graphicData>
            </a:graphic>
          </wp:inline>
        </w:drawing>
      </w:r>
    </w:p>
    <w:p w14:paraId="47CCB2D0" w14:textId="77777777" w:rsidR="007B0A8D" w:rsidRPr="00592D52" w:rsidRDefault="007B0A8D" w:rsidP="007B0A8D">
      <w:pPr>
        <w:pStyle w:val="PwCNormal"/>
        <w:numPr>
          <w:ilvl w:val="0"/>
          <w:numId w:val="1"/>
        </w:numPr>
      </w:pPr>
      <w:r w:rsidRPr="00F33BAC">
        <w:t xml:space="preserve">As shown in the chart above, the average amount per person for 2016/17 is significantly lower than prior years. This is due to the </w:t>
      </w:r>
      <w:r>
        <w:t xml:space="preserve">impact of the </w:t>
      </w:r>
      <w:r w:rsidRPr="00F33BAC">
        <w:t xml:space="preserve">data maturity issue </w:t>
      </w:r>
      <w:r>
        <w:t xml:space="preserve">where </w:t>
      </w:r>
      <w:r w:rsidRPr="00F33BAC">
        <w:t xml:space="preserve">Family Tax </w:t>
      </w:r>
      <w:r>
        <w:t xml:space="preserve">Benefit and </w:t>
      </w:r>
      <w:r w:rsidRPr="00F33BAC">
        <w:t xml:space="preserve">child care </w:t>
      </w:r>
      <w:r>
        <w:t>payment information for the latest year is not f</w:t>
      </w:r>
      <w:r w:rsidRPr="00592D52">
        <w:t>ully known at 30 June</w:t>
      </w:r>
      <w:r>
        <w:t> 2017</w:t>
      </w:r>
      <w:r w:rsidRPr="00592D52">
        <w:t xml:space="preserve">. Additional information collected after 30 June (predominately though income tax assessments) updates the data retrospectively and ‘corrects’ the understatement previously observed in past years. </w:t>
      </w:r>
    </w:p>
    <w:p w14:paraId="12F4BE64" w14:textId="77777777" w:rsidR="007B0A8D" w:rsidRPr="00592D52" w:rsidRDefault="007B0A8D" w:rsidP="007B0A8D">
      <w:pPr>
        <w:pStyle w:val="PwCNormal"/>
        <w:numPr>
          <w:ilvl w:val="0"/>
          <w:numId w:val="1"/>
        </w:numPr>
      </w:pPr>
      <w:r w:rsidRPr="00592D52">
        <w:t>The average payment made in 2015/16 (noting the understating of 2016/17) was $8,300 with higher average payments being made to women ($8,800) than men ($6,300) as a result of women claiming higher amounts of child care payments and New Parents allowances. This average amount per person is much lower than that for people in the income support classes.</w:t>
      </w:r>
    </w:p>
    <w:p w14:paraId="5238BA39" w14:textId="77777777" w:rsidR="007B0A8D" w:rsidRPr="00C4715F" w:rsidRDefault="007B0A8D" w:rsidP="007B0A8D">
      <w:pPr>
        <w:pStyle w:val="Heading4"/>
      </w:pPr>
      <w:r w:rsidRPr="00C4715F">
        <w:t>Changes in model fitting this valuation</w:t>
      </w:r>
    </w:p>
    <w:p w14:paraId="654D09E0" w14:textId="7A3F2B00" w:rsidR="007B0A8D" w:rsidRDefault="007B0A8D" w:rsidP="00964D65">
      <w:pPr>
        <w:pStyle w:val="PwCNormal"/>
        <w:numPr>
          <w:ilvl w:val="0"/>
          <w:numId w:val="33"/>
        </w:numPr>
      </w:pPr>
      <w:r>
        <w:t xml:space="preserve">This year we have enhanced the </w:t>
      </w:r>
      <w:r w:rsidRPr="0065314C">
        <w:t xml:space="preserve">Non IS Family </w:t>
      </w:r>
      <w:r>
        <w:t xml:space="preserve">model assumptions to allow for the intergenerational variable. Use of welfare by a person’s parents during childhood was seen to be correlated with a higher likelihood of </w:t>
      </w:r>
      <w:r w:rsidRPr="00F30A94">
        <w:t xml:space="preserve">transitioning onto income support payments or the </w:t>
      </w:r>
      <w:r w:rsidR="003C32DF">
        <w:t>C</w:t>
      </w:r>
      <w:r w:rsidRPr="00F30A94">
        <w:t xml:space="preserve">arer </w:t>
      </w:r>
      <w:r w:rsidR="003C32DF">
        <w:t>A</w:t>
      </w:r>
      <w:r w:rsidRPr="00F30A94">
        <w:t>llowance</w:t>
      </w:r>
      <w:r>
        <w:t>.</w:t>
      </w:r>
    </w:p>
    <w:p w14:paraId="76E738EC" w14:textId="67EB2044" w:rsidR="00C4715F" w:rsidRDefault="007B0A8D" w:rsidP="00964D65">
      <w:pPr>
        <w:pStyle w:val="PwCNormal"/>
        <w:numPr>
          <w:ilvl w:val="0"/>
          <w:numId w:val="33"/>
        </w:numPr>
      </w:pPr>
      <w:r>
        <w:t xml:space="preserve">A </w:t>
      </w:r>
      <w:r w:rsidR="00003814">
        <w:t xml:space="preserve">small </w:t>
      </w:r>
      <w:r>
        <w:t xml:space="preserve">adjustment was made to the utilisation assumptions to reflect the policy change which closed the </w:t>
      </w:r>
      <w:r w:rsidR="003D4216">
        <w:t>E</w:t>
      </w:r>
      <w:r>
        <w:t xml:space="preserve">nergy </w:t>
      </w:r>
      <w:r w:rsidR="003D4216">
        <w:t>S</w:t>
      </w:r>
      <w:r>
        <w:t xml:space="preserve">upplement to new recipients of </w:t>
      </w:r>
      <w:r w:rsidR="003D4216">
        <w:t>F</w:t>
      </w:r>
      <w:r>
        <w:t xml:space="preserve">amily </w:t>
      </w:r>
      <w:r w:rsidR="003D4216">
        <w:t>Tax B</w:t>
      </w:r>
      <w:r>
        <w:t>enefit.</w:t>
      </w:r>
    </w:p>
    <w:p w14:paraId="66284BFD" w14:textId="77777777" w:rsidR="009B2D09" w:rsidRPr="00874C4A" w:rsidRDefault="009B2D09" w:rsidP="009B2D09">
      <w:pPr>
        <w:pStyle w:val="Heading4"/>
      </w:pPr>
      <w:r w:rsidRPr="00874C4A">
        <w:lastRenderedPageBreak/>
        <w:t>What does the model show for people currently in the Non IS family class?</w:t>
      </w:r>
    </w:p>
    <w:p w14:paraId="32F8091F" w14:textId="77777777" w:rsidR="009B2D09" w:rsidRPr="00874C4A" w:rsidRDefault="009B2D09" w:rsidP="009B2D09">
      <w:pPr>
        <w:pStyle w:val="Minorheading"/>
      </w:pPr>
      <w:r w:rsidRPr="00874C4A">
        <w:t>Lifetime costs</w:t>
      </w:r>
    </w:p>
    <w:p w14:paraId="7082A66D" w14:textId="5366714F" w:rsidR="009B2D09" w:rsidRPr="00414ADD" w:rsidRDefault="009B2D09" w:rsidP="00414ADD">
      <w:pPr>
        <w:pStyle w:val="PwCNormal-keepwithnext"/>
      </w:pPr>
      <w:r w:rsidRPr="00874C4A">
        <w:t xml:space="preserve">We estimated the lifetime cost for the people in this class to be </w:t>
      </w:r>
      <w:r w:rsidRPr="00874C4A">
        <w:rPr>
          <w:b/>
        </w:rPr>
        <w:t>$30</w:t>
      </w:r>
      <w:r w:rsidR="00874C4A" w:rsidRPr="00874C4A">
        <w:rPr>
          <w:b/>
        </w:rPr>
        <w:t>3</w:t>
      </w:r>
      <w:r w:rsidRPr="00874C4A">
        <w:rPr>
          <w:b/>
        </w:rPr>
        <w:t>bn</w:t>
      </w:r>
      <w:r w:rsidRPr="00874C4A">
        <w:t xml:space="preserve"> (or </w:t>
      </w:r>
      <w:r w:rsidRPr="00874C4A">
        <w:rPr>
          <w:b/>
        </w:rPr>
        <w:t>6.</w:t>
      </w:r>
      <w:r w:rsidR="00874C4A" w:rsidRPr="00874C4A">
        <w:rPr>
          <w:b/>
        </w:rPr>
        <w:t>5</w:t>
      </w:r>
      <w:r w:rsidRPr="00874C4A">
        <w:rPr>
          <w:b/>
        </w:rPr>
        <w:t>%</w:t>
      </w:r>
      <w:r w:rsidRPr="00874C4A">
        <w:t xml:space="preserve"> of the total lifetime cost). The average lifetime cost for people in this class </w:t>
      </w:r>
      <w:r w:rsidRPr="00414ADD">
        <w:t xml:space="preserve">is </w:t>
      </w:r>
      <w:r w:rsidRPr="00414ADD">
        <w:rPr>
          <w:b/>
        </w:rPr>
        <w:t>$19</w:t>
      </w:r>
      <w:r w:rsidR="00874C4A" w:rsidRPr="00414ADD">
        <w:rPr>
          <w:b/>
        </w:rPr>
        <w:t>7</w:t>
      </w:r>
      <w:r w:rsidRPr="00414ADD">
        <w:rPr>
          <w:b/>
        </w:rPr>
        <w:t>,000</w:t>
      </w:r>
      <w:r w:rsidRPr="00414ADD">
        <w:t>, with the lifetime cost being higher for women (</w:t>
      </w:r>
      <w:r w:rsidRPr="00414ADD">
        <w:rPr>
          <w:b/>
        </w:rPr>
        <w:t>$20</w:t>
      </w:r>
      <w:r w:rsidR="00414ADD" w:rsidRPr="00414ADD">
        <w:rPr>
          <w:b/>
        </w:rPr>
        <w:t>4</w:t>
      </w:r>
      <w:r w:rsidRPr="00414ADD">
        <w:rPr>
          <w:b/>
        </w:rPr>
        <w:t>,000</w:t>
      </w:r>
      <w:r w:rsidRPr="00414ADD">
        <w:t>) than for men (</w:t>
      </w:r>
      <w:r w:rsidRPr="00414ADD">
        <w:rPr>
          <w:b/>
        </w:rPr>
        <w:t>$1</w:t>
      </w:r>
      <w:r w:rsidR="00414ADD" w:rsidRPr="00414ADD">
        <w:rPr>
          <w:b/>
        </w:rPr>
        <w:t>64</w:t>
      </w:r>
      <w:r w:rsidRPr="00414ADD">
        <w:rPr>
          <w:b/>
        </w:rPr>
        <w:t>,000</w:t>
      </w:r>
      <w:r w:rsidRPr="00414ADD">
        <w:t xml:space="preserve">). The variation by age and gender illustrated in the figure below. </w:t>
      </w:r>
    </w:p>
    <w:p w14:paraId="5F379E54" w14:textId="45D5D43B" w:rsidR="009B2D09" w:rsidRPr="00514927" w:rsidRDefault="009B2D09" w:rsidP="009B2D09">
      <w:pPr>
        <w:pStyle w:val="Caption"/>
      </w:pPr>
      <w:r w:rsidRPr="00514927">
        <w:t xml:space="preserve">Figure </w:t>
      </w:r>
      <w:fldSimple w:instr=" SEQ Figure \* ARABIC ">
        <w:r w:rsidR="00C93C1A">
          <w:rPr>
            <w:noProof/>
          </w:rPr>
          <w:t>83</w:t>
        </w:r>
      </w:fldSimple>
      <w:r w:rsidRPr="00514927">
        <w:t xml:space="preserve">: Average lifetime cost by age and gender </w:t>
      </w:r>
      <w:r w:rsidR="00871E70">
        <w:t xml:space="preserve">(class </w:t>
      </w:r>
      <w:r w:rsidRPr="00514927">
        <w:t>7)</w:t>
      </w:r>
    </w:p>
    <w:tbl>
      <w:tblPr>
        <w:tblStyle w:val="Tables-APBase"/>
        <w:tblW w:w="442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236"/>
        <w:gridCol w:w="2694"/>
      </w:tblGrid>
      <w:tr w:rsidR="009B2D09" w:rsidRPr="009210D0" w14:paraId="7A897A58" w14:textId="77777777" w:rsidTr="00A64116">
        <w:trPr>
          <w:trHeight w:val="3402"/>
          <w:tblHeader/>
        </w:trPr>
        <w:tc>
          <w:tcPr>
            <w:tcW w:w="6236" w:type="dxa"/>
          </w:tcPr>
          <w:p w14:paraId="73C1EABB" w14:textId="4600F2F3" w:rsidR="009B2D09" w:rsidRPr="00514927" w:rsidRDefault="00514927" w:rsidP="000D6C29">
            <w:pPr>
              <w:pStyle w:val="TableTextSmall"/>
              <w:keepNext/>
              <w:rPr>
                <w:lang w:eastAsia="en-AU"/>
              </w:rPr>
            </w:pPr>
            <w:r w:rsidRPr="00514927">
              <w:rPr>
                <w:lang w:eastAsia="en-AU"/>
              </w:rPr>
              <w:t xml:space="preserve"> </w:t>
            </w:r>
            <w:r w:rsidR="00A64116" w:rsidRPr="00A64116">
              <w:rPr>
                <w:noProof/>
                <w:lang w:eastAsia="en-AU"/>
              </w:rPr>
              <w:drawing>
                <wp:inline distT="0" distB="0" distL="0" distR="0" wp14:anchorId="72BB826A" wp14:editId="51DBE9BA">
                  <wp:extent cx="3727365" cy="2160000"/>
                  <wp:effectExtent l="0" t="0" r="0" b="0"/>
                  <wp:docPr id="3849" name="Picture 3849" descr="This figure is a horizontal bar chart showing average lifetime cost by age for males and females separately. The vertical axis shows age with the data shown ranging from 19 to 70. The horizontal axis shows the average lifetime cost with the data shown ranging from $0 to $5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1,544,000 individuals who were in the non income support – family class at 30 June 2017. &#10;&#10;Males aged 20 to 65 have a lifetime cost of about $170,000 for all ages in this range. Average lifetime cost for males after age 65 decreases with age to approximately $105,000 at age 69.&#10;&#10;Females aged 19 to 21 have an average lifetime cost of approximately $395,000. The driver of the difference between the average lifetime cost of males and females is largely the higher expected family components. The average lifetime cost of females decreases with age after age 21 to approximately $180,000 to $220,000 for females aged 40 to 60. &#10;&#10;The features shown in the chart are discussed further in the accompanying text within the report.&#10;" title="Average lifetime cost by age and gender (clas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727365" cy="2160000"/>
                          </a:xfrm>
                          <a:prstGeom prst="rect">
                            <a:avLst/>
                          </a:prstGeom>
                          <a:noFill/>
                          <a:ln>
                            <a:noFill/>
                          </a:ln>
                        </pic:spPr>
                      </pic:pic>
                    </a:graphicData>
                  </a:graphic>
                </wp:inline>
              </w:drawing>
            </w:r>
          </w:p>
        </w:tc>
        <w:tc>
          <w:tcPr>
            <w:tcW w:w="2694" w:type="dxa"/>
          </w:tcPr>
          <w:p w14:paraId="71570F8D" w14:textId="77777777" w:rsidR="009B2D09" w:rsidRPr="00514927" w:rsidRDefault="009B2D09" w:rsidP="000D6C29">
            <w:pPr>
              <w:pStyle w:val="TableTextSmall"/>
              <w:keepNext/>
              <w:rPr>
                <w:lang w:eastAsia="en-AU"/>
              </w:rPr>
            </w:pPr>
          </w:p>
          <w:p w14:paraId="33FC8BBC" w14:textId="55DAE70C" w:rsidR="009B2D09" w:rsidRPr="00514927" w:rsidRDefault="009B2D09" w:rsidP="000D6C29">
            <w:pPr>
              <w:pStyle w:val="TableTextSmall"/>
              <w:keepNext/>
              <w:rPr>
                <w:lang w:eastAsia="en-AU"/>
              </w:rPr>
            </w:pPr>
            <w:r w:rsidRPr="00514927">
              <w:rPr>
                <w:noProof/>
                <w:lang w:eastAsia="en-AU"/>
              </w:rPr>
              <w:drawing>
                <wp:inline distT="0" distB="0" distL="0" distR="0" wp14:anchorId="429CA8F2" wp14:editId="3AFB8F13">
                  <wp:extent cx="1087397" cy="1620000"/>
                  <wp:effectExtent l="0" t="0" r="0" b="0"/>
                  <wp:docPr id="3902" name="Picture 3902"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7397" cy="1620000"/>
                          </a:xfrm>
                          <a:prstGeom prst="rect">
                            <a:avLst/>
                          </a:prstGeom>
                          <a:noFill/>
                          <a:ln>
                            <a:noFill/>
                          </a:ln>
                        </pic:spPr>
                      </pic:pic>
                    </a:graphicData>
                  </a:graphic>
                </wp:inline>
              </w:drawing>
            </w:r>
          </w:p>
        </w:tc>
      </w:tr>
    </w:tbl>
    <w:p w14:paraId="0EF14B57" w14:textId="712F7687" w:rsidR="00261202" w:rsidRPr="00261202" w:rsidRDefault="009B2D09" w:rsidP="009B2D09">
      <w:pPr>
        <w:pStyle w:val="PwCNormal"/>
        <w:numPr>
          <w:ilvl w:val="0"/>
          <w:numId w:val="0"/>
        </w:numPr>
      </w:pPr>
      <w:r w:rsidRPr="00261202">
        <w:t xml:space="preserve">The most substantial part of this average lifetime cost for both genders is for the </w:t>
      </w:r>
      <w:r w:rsidR="00ED5494">
        <w:t>Age P</w:t>
      </w:r>
      <w:r w:rsidRPr="00261202">
        <w:t>ension</w:t>
      </w:r>
      <w:r w:rsidR="00261202" w:rsidRPr="00261202">
        <w:t xml:space="preserve"> as there is a high chance of the people moving onto the </w:t>
      </w:r>
      <w:r w:rsidR="00ED5494">
        <w:t>A</w:t>
      </w:r>
      <w:r w:rsidR="00261202" w:rsidRPr="00261202">
        <w:t xml:space="preserve">ge </w:t>
      </w:r>
      <w:r w:rsidR="00ED5494">
        <w:t>P</w:t>
      </w:r>
      <w:r w:rsidR="00261202" w:rsidRPr="00261202">
        <w:t>ension as they reach pension age</w:t>
      </w:r>
      <w:r w:rsidRPr="00261202">
        <w:t xml:space="preserve">. </w:t>
      </w:r>
      <w:r w:rsidR="00261202" w:rsidRPr="00261202">
        <w:t xml:space="preserve">Above the age of 40 the average lifetime cost of men and women is similar. The driver of the higher average lifetime cost for women under the age of 40 is the </w:t>
      </w:r>
      <w:r w:rsidRPr="00261202">
        <w:t>significant contributions from FTB</w:t>
      </w:r>
      <w:r w:rsidR="00121828" w:rsidRPr="00261202">
        <w:t xml:space="preserve"> and</w:t>
      </w:r>
      <w:r w:rsidR="00261202">
        <w:t xml:space="preserve"> family payments, combined with </w:t>
      </w:r>
      <w:r w:rsidR="0070204F">
        <w:t>P</w:t>
      </w:r>
      <w:r w:rsidR="00261202">
        <w:t>arenting payments. This difference is substantially higher for younger women, and the reduction in future cost by age reflects the expected future time in receipt of family related payments for older people.</w:t>
      </w:r>
    </w:p>
    <w:p w14:paraId="7A4EE848" w14:textId="658F3C27" w:rsidR="009B2D09" w:rsidRDefault="009B2D09" w:rsidP="00261202">
      <w:pPr>
        <w:pStyle w:val="PwCNormal"/>
      </w:pPr>
      <w:r w:rsidRPr="00261202">
        <w:t>The average lifetime cost pyramid shows a significant change at age 65 with mu</w:t>
      </w:r>
      <w:r w:rsidR="00261202">
        <w:t xml:space="preserve">ch lower costs for older people. </w:t>
      </w:r>
      <w:r w:rsidR="00261202" w:rsidRPr="00261202">
        <w:t>T</w:t>
      </w:r>
      <w:r w:rsidRPr="00261202">
        <w:t xml:space="preserve">o be above age 65 and </w:t>
      </w:r>
      <w:r w:rsidR="00121828" w:rsidRPr="00261202">
        <w:t xml:space="preserve">still </w:t>
      </w:r>
      <w:r w:rsidRPr="00261202">
        <w:t xml:space="preserve">be in this class </w:t>
      </w:r>
      <w:r w:rsidR="00261202" w:rsidRPr="00261202">
        <w:t xml:space="preserve">means that </w:t>
      </w:r>
      <w:r w:rsidRPr="00261202">
        <w:t xml:space="preserve">they cannot be receiving </w:t>
      </w:r>
      <w:r w:rsidR="00261202" w:rsidRPr="00261202">
        <w:t xml:space="preserve">the </w:t>
      </w:r>
      <w:r w:rsidRPr="00261202">
        <w:t xml:space="preserve">age pension at present. This means they are </w:t>
      </w:r>
      <w:r w:rsidR="00ED5494">
        <w:t>far less likely to receive the A</w:t>
      </w:r>
      <w:r w:rsidRPr="00261202">
        <w:t xml:space="preserve">ge </w:t>
      </w:r>
      <w:r w:rsidR="00ED5494">
        <w:t>P</w:t>
      </w:r>
      <w:r w:rsidRPr="00261202">
        <w:t>ension in future than a typical person in the population and hence have a lower average lifetime cost.</w:t>
      </w:r>
    </w:p>
    <w:p w14:paraId="249B2876" w14:textId="4B41D5D7" w:rsidR="00D97824" w:rsidRPr="0057506F" w:rsidRDefault="00D97824" w:rsidP="00D97824">
      <w:pPr>
        <w:pStyle w:val="PwCNormal"/>
        <w:numPr>
          <w:ilvl w:val="0"/>
          <w:numId w:val="1"/>
        </w:numPr>
      </w:pPr>
      <w:r>
        <w:t>The table below outlines the average lifetime cost for 30</w:t>
      </w:r>
      <w:r w:rsidR="00710E45">
        <w:t xml:space="preserve"> to </w:t>
      </w:r>
      <w:r>
        <w:t xml:space="preserve">39 year olds currently receiving Non IS Family payments, split by key characteristics. We have selected a </w:t>
      </w:r>
      <w:r w:rsidR="000131CD">
        <w:t xml:space="preserve">set </w:t>
      </w:r>
      <w:r>
        <w:t xml:space="preserve">age group to reduce the effect of age on the future lifetime cost. </w:t>
      </w:r>
      <w:r w:rsidRPr="00DD2C39">
        <w:t>It is important to note that some characteristics serve as proxies for more fundamental socio-economic factors, and as such, they may not necessarily be the underlying cause of any differences observed in the average lifetime costs of individuals.</w:t>
      </w:r>
      <w:r w:rsidR="00003814">
        <w:t xml:space="preserve"> Further, the variations and relativities to the average lifetime cost that have been shown may differ for other age bands.</w:t>
      </w:r>
    </w:p>
    <w:p w14:paraId="6F6BF8CD" w14:textId="029DB04A" w:rsidR="00D97824" w:rsidRDefault="00D97824" w:rsidP="00D97824">
      <w:pPr>
        <w:pStyle w:val="Caption"/>
      </w:pPr>
      <w:r w:rsidRPr="00035CA3">
        <w:lastRenderedPageBreak/>
        <w:t>Ta</w:t>
      </w:r>
      <w:r w:rsidRPr="002D25C5">
        <w:t xml:space="preserve">ble </w:t>
      </w:r>
      <w:fldSimple w:instr=" SEQ Table \* ARABIC ">
        <w:r w:rsidR="00C93C1A">
          <w:rPr>
            <w:noProof/>
          </w:rPr>
          <w:t>41</w:t>
        </w:r>
      </w:fldSimple>
      <w:r w:rsidRPr="002D25C5">
        <w:t xml:space="preserve">: </w:t>
      </w:r>
      <w:r>
        <w:t>Average lifetime cost for 30</w:t>
      </w:r>
      <w:r w:rsidR="00710E45">
        <w:t xml:space="preserve"> to </w:t>
      </w:r>
      <w:r>
        <w:t>39 year old Non IS Family recipients split by key characteristics</w:t>
      </w:r>
    </w:p>
    <w:tbl>
      <w:tblPr>
        <w:tblStyle w:val="ListTable3-Accent61"/>
        <w:tblW w:w="9781" w:type="dxa"/>
        <w:tblInd w:w="108" w:type="dxa"/>
        <w:tblLayout w:type="fixed"/>
        <w:tblLook w:val="04A0" w:firstRow="1" w:lastRow="0" w:firstColumn="1" w:lastColumn="0" w:noHBand="0" w:noVBand="1"/>
        <w:tblCaption w:val="Average lifetime cost for 30 to 39 year old Non IS Family recipients split by key "/>
        <w:tblDescription w:val="This table displays data for average lifetime costs of 30 to 39 year olds on Non IS Family payments by key characteristics. The columns show the number of people, number of people as % of cohort, average lifetime cost, and average lifetime cost relative to cohort. The rows show data for four different key characteristics, number of children, age of youngest child, marital status, and class before entering ‘7 Non IS Family’. This is further divided by their respective categories. &#10;&#10;Further features of the data in this table are discussed in the accompanying text within the report.&#10;"/>
      </w:tblPr>
      <w:tblGrid>
        <w:gridCol w:w="3828"/>
        <w:gridCol w:w="1134"/>
        <w:gridCol w:w="1606"/>
        <w:gridCol w:w="1606"/>
        <w:gridCol w:w="1607"/>
      </w:tblGrid>
      <w:tr w:rsidR="006114CC" w:rsidRPr="006114CC" w14:paraId="7BDC10EA" w14:textId="77777777" w:rsidTr="00E42ACF">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100" w:firstRow="0" w:lastRow="0" w:firstColumn="1" w:lastColumn="0" w:oddVBand="0" w:evenVBand="0" w:oddHBand="0" w:evenHBand="0" w:firstRowFirstColumn="1" w:firstRowLastColumn="0" w:lastRowFirstColumn="0" w:lastRowLastColumn="0"/>
            <w:tcW w:w="3828" w:type="dxa"/>
            <w:noWrap/>
            <w:hideMark/>
          </w:tcPr>
          <w:p w14:paraId="4E061DE0" w14:textId="77777777" w:rsidR="006114CC" w:rsidRPr="00660D81" w:rsidRDefault="006114CC" w:rsidP="00C36A7A">
            <w:pPr>
              <w:pStyle w:val="TableTextSmall"/>
              <w:keepNext/>
              <w:rPr>
                <w:rFonts w:asciiTheme="majorHAnsi" w:hAnsiTheme="majorHAnsi"/>
                <w:bCs w:val="0"/>
                <w:color w:val="FFFFFF" w:themeColor="background1"/>
                <w:lang w:eastAsia="en-AU"/>
              </w:rPr>
            </w:pPr>
          </w:p>
        </w:tc>
        <w:tc>
          <w:tcPr>
            <w:tcW w:w="1134" w:type="dxa"/>
            <w:noWrap/>
            <w:hideMark/>
          </w:tcPr>
          <w:p w14:paraId="5BB4E6E0"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w:t>
            </w:r>
          </w:p>
        </w:tc>
        <w:tc>
          <w:tcPr>
            <w:tcW w:w="1606" w:type="dxa"/>
            <w:hideMark/>
          </w:tcPr>
          <w:p w14:paraId="460A0AAC"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 as % of cohort</w:t>
            </w:r>
          </w:p>
        </w:tc>
        <w:tc>
          <w:tcPr>
            <w:tcW w:w="1606" w:type="dxa"/>
            <w:hideMark/>
          </w:tcPr>
          <w:p w14:paraId="0A484686"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w:t>
            </w:r>
          </w:p>
        </w:tc>
        <w:tc>
          <w:tcPr>
            <w:tcW w:w="1607" w:type="dxa"/>
          </w:tcPr>
          <w:p w14:paraId="11C63496"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relative to cohort</w:t>
            </w:r>
          </w:p>
        </w:tc>
      </w:tr>
      <w:tr w:rsidR="0069611A" w:rsidRPr="006114CC" w14:paraId="4DA2A72C"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shd w:val="clear" w:color="auto" w:fill="F7DCE1" w:themeFill="accent4" w:themeFillTint="33"/>
            <w:noWrap/>
            <w:hideMark/>
          </w:tcPr>
          <w:p w14:paraId="4481EA94" w14:textId="77777777" w:rsidR="0069611A" w:rsidRPr="006114CC" w:rsidRDefault="0069611A" w:rsidP="0069611A">
            <w:pPr>
              <w:pStyle w:val="TableTextSmall"/>
              <w:keepNext/>
              <w:rPr>
                <w:rFonts w:asciiTheme="majorHAnsi" w:hAnsiTheme="majorHAnsi"/>
                <w:bCs w:val="0"/>
                <w:color w:val="595959" w:themeColor="text1" w:themeTint="A6"/>
                <w:lang w:eastAsia="en-AU"/>
              </w:rPr>
            </w:pPr>
            <w:r w:rsidRPr="006114CC">
              <w:rPr>
                <w:rFonts w:ascii="Arial" w:hAnsi="Arial"/>
                <w:color w:val="595959"/>
                <w:szCs w:val="16"/>
              </w:rPr>
              <w:t>Total</w:t>
            </w:r>
          </w:p>
        </w:tc>
        <w:tc>
          <w:tcPr>
            <w:tcW w:w="1134" w:type="dxa"/>
            <w:shd w:val="clear" w:color="auto" w:fill="F7DCE1" w:themeFill="accent4" w:themeFillTint="33"/>
            <w:noWrap/>
            <w:hideMark/>
          </w:tcPr>
          <w:p w14:paraId="4710F620"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114CC">
              <w:rPr>
                <w:rFonts w:ascii="Arial" w:hAnsi="Arial"/>
                <w:b/>
                <w:bCs/>
                <w:color w:val="595959"/>
                <w:szCs w:val="16"/>
              </w:rPr>
              <w:t>693,000</w:t>
            </w:r>
          </w:p>
        </w:tc>
        <w:tc>
          <w:tcPr>
            <w:tcW w:w="1606" w:type="dxa"/>
            <w:shd w:val="clear" w:color="auto" w:fill="F7DCE1" w:themeFill="accent4" w:themeFillTint="33"/>
            <w:noWrap/>
            <w:hideMark/>
          </w:tcPr>
          <w:p w14:paraId="70BEF29A"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sidRPr="006114CC">
              <w:rPr>
                <w:rFonts w:ascii="Arial" w:hAnsi="Arial"/>
                <w:b/>
                <w:bCs/>
                <w:color w:val="595959"/>
                <w:szCs w:val="16"/>
              </w:rPr>
              <w:t>100%</w:t>
            </w:r>
          </w:p>
        </w:tc>
        <w:tc>
          <w:tcPr>
            <w:tcW w:w="1606" w:type="dxa"/>
            <w:shd w:val="clear" w:color="auto" w:fill="F7DCE1" w:themeFill="accent4" w:themeFillTint="33"/>
            <w:noWrap/>
            <w:vAlign w:val="bottom"/>
          </w:tcPr>
          <w:p w14:paraId="686DFB00" w14:textId="7680A93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200,000</w:t>
            </w:r>
          </w:p>
        </w:tc>
        <w:tc>
          <w:tcPr>
            <w:tcW w:w="1607" w:type="dxa"/>
            <w:shd w:val="clear" w:color="auto" w:fill="F7DCE1" w:themeFill="accent4" w:themeFillTint="33"/>
            <w:vAlign w:val="bottom"/>
          </w:tcPr>
          <w:p w14:paraId="5E430EFB" w14:textId="40E7EAB6"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r>
      <w:tr w:rsidR="0069611A" w:rsidRPr="006114CC" w14:paraId="1F8EAE09"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hideMark/>
          </w:tcPr>
          <w:p w14:paraId="73F423B7" w14:textId="77777777" w:rsidR="0069611A" w:rsidRPr="006114CC" w:rsidRDefault="0069611A" w:rsidP="0069611A">
            <w:pPr>
              <w:pStyle w:val="TableTextSmall"/>
              <w:keepNext/>
              <w:rPr>
                <w:rFonts w:asciiTheme="majorHAnsi" w:hAnsiTheme="majorHAnsi"/>
                <w:bCs w:val="0"/>
                <w:i/>
                <w:color w:val="595959" w:themeColor="text1" w:themeTint="A6"/>
                <w:lang w:eastAsia="en-AU"/>
              </w:rPr>
            </w:pPr>
            <w:r w:rsidRPr="006114CC">
              <w:rPr>
                <w:rFonts w:ascii="Arial" w:hAnsi="Arial"/>
                <w:color w:val="595959"/>
                <w:szCs w:val="16"/>
              </w:rPr>
              <w:t>Number of children</w:t>
            </w:r>
          </w:p>
        </w:tc>
        <w:tc>
          <w:tcPr>
            <w:tcW w:w="1134" w:type="dxa"/>
            <w:tcBorders>
              <w:top w:val="single" w:sz="4" w:space="0" w:color="E0301E" w:themeColor="accent6"/>
              <w:bottom w:val="nil"/>
            </w:tcBorders>
            <w:noWrap/>
            <w:hideMark/>
          </w:tcPr>
          <w:p w14:paraId="780B106C"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p>
        </w:tc>
        <w:tc>
          <w:tcPr>
            <w:tcW w:w="1606" w:type="dxa"/>
            <w:tcBorders>
              <w:top w:val="single" w:sz="4" w:space="0" w:color="E0301E" w:themeColor="accent6"/>
              <w:bottom w:val="nil"/>
            </w:tcBorders>
            <w:noWrap/>
            <w:hideMark/>
          </w:tcPr>
          <w:p w14:paraId="5B8203A2"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6" w:type="dxa"/>
            <w:tcBorders>
              <w:top w:val="single" w:sz="4" w:space="0" w:color="E0301E" w:themeColor="accent6"/>
              <w:bottom w:val="nil"/>
            </w:tcBorders>
            <w:noWrap/>
            <w:vAlign w:val="bottom"/>
          </w:tcPr>
          <w:p w14:paraId="25D23632"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7" w:type="dxa"/>
            <w:tcBorders>
              <w:top w:val="single" w:sz="4" w:space="0" w:color="E0301E" w:themeColor="accent6"/>
              <w:bottom w:val="nil"/>
              <w:right w:val="single" w:sz="4" w:space="0" w:color="E0301E" w:themeColor="accent6"/>
            </w:tcBorders>
            <w:vAlign w:val="bottom"/>
          </w:tcPr>
          <w:p w14:paraId="0C75D590"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r>
      <w:tr w:rsidR="0069611A" w:rsidRPr="006114CC" w14:paraId="57110290"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hideMark/>
          </w:tcPr>
          <w:p w14:paraId="3FB75601" w14:textId="77777777" w:rsidR="0069611A" w:rsidRPr="006114CC" w:rsidRDefault="0069611A" w:rsidP="0069611A">
            <w:pPr>
              <w:pStyle w:val="TableTextSmall"/>
              <w:keepNext/>
              <w:rPr>
                <w:rFonts w:asciiTheme="majorHAnsi" w:hAnsiTheme="majorHAnsi"/>
                <w:b w:val="0"/>
                <w:bCs w:val="0"/>
                <w:i/>
                <w:color w:val="595959" w:themeColor="text1" w:themeTint="A6"/>
                <w:lang w:eastAsia="en-AU"/>
              </w:rPr>
            </w:pPr>
            <w:r w:rsidRPr="006114CC">
              <w:rPr>
                <w:rFonts w:ascii="Arial" w:hAnsi="Arial"/>
                <w:i/>
                <w:iCs/>
                <w:color w:val="595959"/>
                <w:szCs w:val="16"/>
              </w:rPr>
              <w:t xml:space="preserve">    - No children</w:t>
            </w:r>
          </w:p>
        </w:tc>
        <w:tc>
          <w:tcPr>
            <w:tcW w:w="1134" w:type="dxa"/>
            <w:tcBorders>
              <w:top w:val="nil"/>
              <w:bottom w:val="nil"/>
            </w:tcBorders>
            <w:noWrap/>
            <w:hideMark/>
          </w:tcPr>
          <w:p w14:paraId="776B29D2"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lang w:eastAsia="en-AU"/>
              </w:rPr>
            </w:pPr>
            <w:r w:rsidRPr="006114CC">
              <w:rPr>
                <w:rFonts w:ascii="Arial" w:hAnsi="Arial"/>
                <w:color w:val="595959"/>
                <w:szCs w:val="16"/>
              </w:rPr>
              <w:t>12,000</w:t>
            </w:r>
          </w:p>
        </w:tc>
        <w:tc>
          <w:tcPr>
            <w:tcW w:w="1606" w:type="dxa"/>
            <w:tcBorders>
              <w:top w:val="nil"/>
              <w:bottom w:val="nil"/>
            </w:tcBorders>
            <w:noWrap/>
            <w:hideMark/>
          </w:tcPr>
          <w:p w14:paraId="653045BD"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sidRPr="006114CC">
              <w:rPr>
                <w:rFonts w:ascii="Arial" w:hAnsi="Arial"/>
                <w:color w:val="595959"/>
                <w:szCs w:val="16"/>
              </w:rPr>
              <w:t>2%</w:t>
            </w:r>
          </w:p>
        </w:tc>
        <w:tc>
          <w:tcPr>
            <w:tcW w:w="1606" w:type="dxa"/>
            <w:tcBorders>
              <w:top w:val="nil"/>
              <w:bottom w:val="nil"/>
            </w:tcBorders>
            <w:noWrap/>
            <w:vAlign w:val="bottom"/>
          </w:tcPr>
          <w:p w14:paraId="07F04598" w14:textId="1C24292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169,000</w:t>
            </w:r>
          </w:p>
        </w:tc>
        <w:tc>
          <w:tcPr>
            <w:tcW w:w="1607" w:type="dxa"/>
            <w:tcBorders>
              <w:top w:val="nil"/>
              <w:bottom w:val="nil"/>
              <w:right w:val="single" w:sz="4" w:space="0" w:color="E0301E" w:themeColor="accent6"/>
            </w:tcBorders>
            <w:vAlign w:val="bottom"/>
          </w:tcPr>
          <w:p w14:paraId="27AA9B35" w14:textId="324B794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85%</w:t>
            </w:r>
          </w:p>
        </w:tc>
      </w:tr>
      <w:tr w:rsidR="0069611A" w:rsidRPr="006114CC" w14:paraId="4AC46C6C"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429C4500"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- 1 child</w:t>
            </w:r>
          </w:p>
        </w:tc>
        <w:tc>
          <w:tcPr>
            <w:tcW w:w="1134" w:type="dxa"/>
            <w:tcBorders>
              <w:top w:val="nil"/>
              <w:bottom w:val="nil"/>
            </w:tcBorders>
            <w:noWrap/>
          </w:tcPr>
          <w:p w14:paraId="000FE00E"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222,000</w:t>
            </w:r>
          </w:p>
        </w:tc>
        <w:tc>
          <w:tcPr>
            <w:tcW w:w="1606" w:type="dxa"/>
            <w:tcBorders>
              <w:top w:val="nil"/>
              <w:bottom w:val="nil"/>
            </w:tcBorders>
            <w:noWrap/>
          </w:tcPr>
          <w:p w14:paraId="7C131E66"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32%</w:t>
            </w:r>
          </w:p>
        </w:tc>
        <w:tc>
          <w:tcPr>
            <w:tcW w:w="1606" w:type="dxa"/>
            <w:tcBorders>
              <w:top w:val="nil"/>
              <w:bottom w:val="nil"/>
            </w:tcBorders>
            <w:noWrap/>
            <w:vAlign w:val="bottom"/>
          </w:tcPr>
          <w:p w14:paraId="04821A6F" w14:textId="1477CCB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194,000</w:t>
            </w:r>
          </w:p>
        </w:tc>
        <w:tc>
          <w:tcPr>
            <w:tcW w:w="1607" w:type="dxa"/>
            <w:tcBorders>
              <w:top w:val="nil"/>
              <w:bottom w:val="nil"/>
              <w:right w:val="single" w:sz="4" w:space="0" w:color="E0301E" w:themeColor="accent6"/>
            </w:tcBorders>
            <w:vAlign w:val="bottom"/>
          </w:tcPr>
          <w:p w14:paraId="0E3CBA51" w14:textId="52F660DA"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97%</w:t>
            </w:r>
          </w:p>
        </w:tc>
      </w:tr>
      <w:tr w:rsidR="0069611A" w:rsidRPr="006114CC" w14:paraId="3B0F3E10"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6C805182"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- 2 children</w:t>
            </w:r>
          </w:p>
        </w:tc>
        <w:tc>
          <w:tcPr>
            <w:tcW w:w="1134" w:type="dxa"/>
            <w:tcBorders>
              <w:top w:val="nil"/>
              <w:bottom w:val="nil"/>
            </w:tcBorders>
            <w:noWrap/>
          </w:tcPr>
          <w:p w14:paraId="11C3E61C"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302,000</w:t>
            </w:r>
          </w:p>
        </w:tc>
        <w:tc>
          <w:tcPr>
            <w:tcW w:w="1606" w:type="dxa"/>
            <w:tcBorders>
              <w:top w:val="nil"/>
              <w:bottom w:val="nil"/>
            </w:tcBorders>
            <w:noWrap/>
          </w:tcPr>
          <w:p w14:paraId="235F79A5"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44%</w:t>
            </w:r>
          </w:p>
        </w:tc>
        <w:tc>
          <w:tcPr>
            <w:tcW w:w="1606" w:type="dxa"/>
            <w:tcBorders>
              <w:top w:val="nil"/>
              <w:bottom w:val="nil"/>
            </w:tcBorders>
            <w:noWrap/>
            <w:vAlign w:val="bottom"/>
          </w:tcPr>
          <w:p w14:paraId="20CA6EA2" w14:textId="50EE5E2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190,000</w:t>
            </w:r>
          </w:p>
        </w:tc>
        <w:tc>
          <w:tcPr>
            <w:tcW w:w="1607" w:type="dxa"/>
            <w:tcBorders>
              <w:top w:val="nil"/>
              <w:bottom w:val="nil"/>
              <w:right w:val="single" w:sz="4" w:space="0" w:color="E0301E" w:themeColor="accent6"/>
            </w:tcBorders>
            <w:vAlign w:val="bottom"/>
          </w:tcPr>
          <w:p w14:paraId="1102FF77" w14:textId="639E67D6"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95%</w:t>
            </w:r>
          </w:p>
        </w:tc>
      </w:tr>
      <w:tr w:rsidR="0069611A" w:rsidRPr="006114CC" w14:paraId="7FB659C3"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52CCD0BD"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- 3+ children</w:t>
            </w:r>
          </w:p>
        </w:tc>
        <w:tc>
          <w:tcPr>
            <w:tcW w:w="1134" w:type="dxa"/>
            <w:tcBorders>
              <w:top w:val="nil"/>
              <w:bottom w:val="single" w:sz="4" w:space="0" w:color="E0301E" w:themeColor="accent6"/>
            </w:tcBorders>
            <w:noWrap/>
          </w:tcPr>
          <w:p w14:paraId="1670D634"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157,000</w:t>
            </w:r>
          </w:p>
        </w:tc>
        <w:tc>
          <w:tcPr>
            <w:tcW w:w="1606" w:type="dxa"/>
            <w:tcBorders>
              <w:top w:val="nil"/>
              <w:bottom w:val="single" w:sz="4" w:space="0" w:color="E0301E" w:themeColor="accent6"/>
            </w:tcBorders>
            <w:noWrap/>
          </w:tcPr>
          <w:p w14:paraId="01D63FD1"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23%</w:t>
            </w:r>
          </w:p>
        </w:tc>
        <w:tc>
          <w:tcPr>
            <w:tcW w:w="1606" w:type="dxa"/>
            <w:tcBorders>
              <w:top w:val="nil"/>
              <w:bottom w:val="single" w:sz="4" w:space="0" w:color="E0301E" w:themeColor="accent6"/>
            </w:tcBorders>
            <w:noWrap/>
            <w:vAlign w:val="bottom"/>
          </w:tcPr>
          <w:p w14:paraId="135AEDE0" w14:textId="4F02780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229,000</w:t>
            </w:r>
          </w:p>
        </w:tc>
        <w:tc>
          <w:tcPr>
            <w:tcW w:w="1607" w:type="dxa"/>
            <w:tcBorders>
              <w:top w:val="nil"/>
              <w:bottom w:val="single" w:sz="4" w:space="0" w:color="E0301E" w:themeColor="accent6"/>
              <w:right w:val="single" w:sz="4" w:space="0" w:color="E0301E" w:themeColor="accent6"/>
            </w:tcBorders>
            <w:vAlign w:val="bottom"/>
          </w:tcPr>
          <w:p w14:paraId="22645FA7" w14:textId="2CC26A1F"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115%</w:t>
            </w:r>
          </w:p>
        </w:tc>
      </w:tr>
      <w:tr w:rsidR="0069611A" w:rsidRPr="006114CC" w14:paraId="1F7CCBDD"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tcPr>
          <w:p w14:paraId="119E94B7"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Age of youngest child</w:t>
            </w:r>
          </w:p>
        </w:tc>
        <w:tc>
          <w:tcPr>
            <w:tcW w:w="1134" w:type="dxa"/>
            <w:tcBorders>
              <w:bottom w:val="nil"/>
            </w:tcBorders>
            <w:noWrap/>
          </w:tcPr>
          <w:p w14:paraId="0BBBE229"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tcPr>
          <w:p w14:paraId="41E002C8"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49D77BDC"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6AB79284"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55BFE11F"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11A5A512"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No children</w:t>
            </w:r>
          </w:p>
        </w:tc>
        <w:tc>
          <w:tcPr>
            <w:tcW w:w="1134" w:type="dxa"/>
            <w:tcBorders>
              <w:top w:val="nil"/>
              <w:bottom w:val="nil"/>
            </w:tcBorders>
            <w:noWrap/>
          </w:tcPr>
          <w:p w14:paraId="1ABA5778"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12,000</w:t>
            </w:r>
          </w:p>
        </w:tc>
        <w:tc>
          <w:tcPr>
            <w:tcW w:w="1606" w:type="dxa"/>
            <w:tcBorders>
              <w:top w:val="nil"/>
              <w:bottom w:val="nil"/>
            </w:tcBorders>
            <w:noWrap/>
          </w:tcPr>
          <w:p w14:paraId="79BA4559"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2%</w:t>
            </w:r>
          </w:p>
        </w:tc>
        <w:tc>
          <w:tcPr>
            <w:tcW w:w="1606" w:type="dxa"/>
            <w:tcBorders>
              <w:top w:val="nil"/>
              <w:bottom w:val="nil"/>
            </w:tcBorders>
            <w:noWrap/>
            <w:vAlign w:val="bottom"/>
          </w:tcPr>
          <w:p w14:paraId="7A034E5B" w14:textId="396E041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169,000</w:t>
            </w:r>
          </w:p>
        </w:tc>
        <w:tc>
          <w:tcPr>
            <w:tcW w:w="1607" w:type="dxa"/>
            <w:tcBorders>
              <w:top w:val="nil"/>
              <w:bottom w:val="nil"/>
              <w:right w:val="single" w:sz="4" w:space="0" w:color="E0301E" w:themeColor="accent6"/>
            </w:tcBorders>
            <w:vAlign w:val="bottom"/>
          </w:tcPr>
          <w:p w14:paraId="6BE1EFF8" w14:textId="4CA00EF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85%</w:t>
            </w:r>
          </w:p>
        </w:tc>
      </w:tr>
      <w:tr w:rsidR="0069611A" w:rsidRPr="006114CC" w14:paraId="33C88D80"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3D2C4EFC"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New born</w:t>
            </w:r>
          </w:p>
        </w:tc>
        <w:tc>
          <w:tcPr>
            <w:tcW w:w="1134" w:type="dxa"/>
            <w:tcBorders>
              <w:top w:val="nil"/>
              <w:bottom w:val="nil"/>
            </w:tcBorders>
            <w:noWrap/>
          </w:tcPr>
          <w:p w14:paraId="67DEE286"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57,000</w:t>
            </w:r>
          </w:p>
        </w:tc>
        <w:tc>
          <w:tcPr>
            <w:tcW w:w="1606" w:type="dxa"/>
            <w:tcBorders>
              <w:top w:val="nil"/>
              <w:bottom w:val="nil"/>
            </w:tcBorders>
            <w:noWrap/>
          </w:tcPr>
          <w:p w14:paraId="6CA52BBC"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8%</w:t>
            </w:r>
          </w:p>
        </w:tc>
        <w:tc>
          <w:tcPr>
            <w:tcW w:w="1606" w:type="dxa"/>
            <w:tcBorders>
              <w:top w:val="nil"/>
              <w:bottom w:val="nil"/>
            </w:tcBorders>
            <w:noWrap/>
            <w:vAlign w:val="bottom"/>
          </w:tcPr>
          <w:p w14:paraId="178BAB35" w14:textId="336A27E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238,000</w:t>
            </w:r>
          </w:p>
        </w:tc>
        <w:tc>
          <w:tcPr>
            <w:tcW w:w="1607" w:type="dxa"/>
            <w:tcBorders>
              <w:top w:val="nil"/>
              <w:bottom w:val="nil"/>
              <w:right w:val="single" w:sz="4" w:space="0" w:color="E0301E" w:themeColor="accent6"/>
            </w:tcBorders>
            <w:vAlign w:val="bottom"/>
          </w:tcPr>
          <w:p w14:paraId="6433D6E9" w14:textId="0A8A1939"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119%</w:t>
            </w:r>
          </w:p>
        </w:tc>
      </w:tr>
      <w:tr w:rsidR="0069611A" w:rsidRPr="006114CC" w14:paraId="6BC2DD0F"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2FE92DB6"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- 1-6 Years old</w:t>
            </w:r>
          </w:p>
        </w:tc>
        <w:tc>
          <w:tcPr>
            <w:tcW w:w="1134" w:type="dxa"/>
            <w:tcBorders>
              <w:top w:val="nil"/>
              <w:bottom w:val="nil"/>
            </w:tcBorders>
            <w:noWrap/>
          </w:tcPr>
          <w:p w14:paraId="1F8B5A2A"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512,000</w:t>
            </w:r>
          </w:p>
        </w:tc>
        <w:tc>
          <w:tcPr>
            <w:tcW w:w="1606" w:type="dxa"/>
            <w:tcBorders>
              <w:top w:val="nil"/>
              <w:bottom w:val="nil"/>
            </w:tcBorders>
            <w:noWrap/>
          </w:tcPr>
          <w:p w14:paraId="400EB5D4"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74%</w:t>
            </w:r>
          </w:p>
        </w:tc>
        <w:tc>
          <w:tcPr>
            <w:tcW w:w="1606" w:type="dxa"/>
            <w:tcBorders>
              <w:top w:val="nil"/>
              <w:bottom w:val="nil"/>
            </w:tcBorders>
            <w:noWrap/>
            <w:vAlign w:val="bottom"/>
          </w:tcPr>
          <w:p w14:paraId="0F62652E" w14:textId="6EF651AF"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197,000</w:t>
            </w:r>
          </w:p>
        </w:tc>
        <w:tc>
          <w:tcPr>
            <w:tcW w:w="1607" w:type="dxa"/>
            <w:tcBorders>
              <w:top w:val="nil"/>
              <w:bottom w:val="nil"/>
              <w:right w:val="single" w:sz="4" w:space="0" w:color="E0301E" w:themeColor="accent6"/>
            </w:tcBorders>
            <w:vAlign w:val="bottom"/>
          </w:tcPr>
          <w:p w14:paraId="4CD03D0C" w14:textId="7AA88654"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99%</w:t>
            </w:r>
          </w:p>
        </w:tc>
      </w:tr>
      <w:tr w:rsidR="0069611A" w:rsidRPr="006114CC" w14:paraId="3C51682C"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2DA77146"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- 7-8 Years old</w:t>
            </w:r>
          </w:p>
        </w:tc>
        <w:tc>
          <w:tcPr>
            <w:tcW w:w="1134" w:type="dxa"/>
            <w:tcBorders>
              <w:top w:val="nil"/>
              <w:bottom w:val="nil"/>
            </w:tcBorders>
            <w:noWrap/>
          </w:tcPr>
          <w:p w14:paraId="0BB168C5"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50,000</w:t>
            </w:r>
          </w:p>
        </w:tc>
        <w:tc>
          <w:tcPr>
            <w:tcW w:w="1606" w:type="dxa"/>
            <w:tcBorders>
              <w:top w:val="nil"/>
              <w:bottom w:val="nil"/>
            </w:tcBorders>
            <w:noWrap/>
          </w:tcPr>
          <w:p w14:paraId="300CF4FB"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7%</w:t>
            </w:r>
          </w:p>
        </w:tc>
        <w:tc>
          <w:tcPr>
            <w:tcW w:w="1606" w:type="dxa"/>
            <w:tcBorders>
              <w:top w:val="nil"/>
              <w:bottom w:val="nil"/>
            </w:tcBorders>
            <w:noWrap/>
            <w:vAlign w:val="bottom"/>
          </w:tcPr>
          <w:p w14:paraId="7C1F097C" w14:textId="2E364A1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189,000</w:t>
            </w:r>
          </w:p>
        </w:tc>
        <w:tc>
          <w:tcPr>
            <w:tcW w:w="1607" w:type="dxa"/>
            <w:tcBorders>
              <w:top w:val="nil"/>
              <w:bottom w:val="nil"/>
              <w:right w:val="single" w:sz="4" w:space="0" w:color="E0301E" w:themeColor="accent6"/>
            </w:tcBorders>
            <w:vAlign w:val="bottom"/>
          </w:tcPr>
          <w:p w14:paraId="4DBBE51D" w14:textId="73C60F4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95%</w:t>
            </w:r>
          </w:p>
        </w:tc>
      </w:tr>
      <w:tr w:rsidR="0069611A" w:rsidRPr="006114CC" w14:paraId="1693C682"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1A162346"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- 9-15 Years old</w:t>
            </w:r>
          </w:p>
        </w:tc>
        <w:tc>
          <w:tcPr>
            <w:tcW w:w="1134" w:type="dxa"/>
            <w:tcBorders>
              <w:top w:val="nil"/>
              <w:bottom w:val="nil"/>
            </w:tcBorders>
            <w:noWrap/>
          </w:tcPr>
          <w:p w14:paraId="5E53EC40"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58,000</w:t>
            </w:r>
          </w:p>
        </w:tc>
        <w:tc>
          <w:tcPr>
            <w:tcW w:w="1606" w:type="dxa"/>
            <w:tcBorders>
              <w:top w:val="nil"/>
              <w:bottom w:val="nil"/>
            </w:tcBorders>
            <w:noWrap/>
          </w:tcPr>
          <w:p w14:paraId="549B3974"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8%</w:t>
            </w:r>
          </w:p>
        </w:tc>
        <w:tc>
          <w:tcPr>
            <w:tcW w:w="1606" w:type="dxa"/>
            <w:tcBorders>
              <w:top w:val="nil"/>
              <w:bottom w:val="nil"/>
            </w:tcBorders>
            <w:noWrap/>
            <w:vAlign w:val="bottom"/>
          </w:tcPr>
          <w:p w14:paraId="61F7E7B0" w14:textId="10450158"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197,000</w:t>
            </w:r>
          </w:p>
        </w:tc>
        <w:tc>
          <w:tcPr>
            <w:tcW w:w="1607" w:type="dxa"/>
            <w:tcBorders>
              <w:top w:val="nil"/>
              <w:bottom w:val="nil"/>
              <w:right w:val="single" w:sz="4" w:space="0" w:color="E0301E" w:themeColor="accent6"/>
            </w:tcBorders>
            <w:vAlign w:val="bottom"/>
          </w:tcPr>
          <w:p w14:paraId="7E802EE3" w14:textId="42514BD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99%</w:t>
            </w:r>
          </w:p>
        </w:tc>
      </w:tr>
      <w:tr w:rsidR="0069611A" w:rsidRPr="006114CC" w14:paraId="65F70E41"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tcBorders>
            <w:noWrap/>
          </w:tcPr>
          <w:p w14:paraId="3E332F6F" w14:textId="0D188FBB" w:rsidR="0069611A" w:rsidRPr="00C22895" w:rsidRDefault="0069611A" w:rsidP="0069611A">
            <w:pPr>
              <w:kinsoku/>
              <w:overflowPunct/>
              <w:autoSpaceDE/>
              <w:autoSpaceDN/>
              <w:adjustRightInd/>
              <w:snapToGrid/>
              <w:rPr>
                <w:rFonts w:ascii="Arial" w:hAnsi="Arial"/>
                <w:b w:val="0"/>
                <w:i/>
                <w:iCs/>
                <w:snapToGrid/>
                <w:color w:val="595959"/>
                <w:sz w:val="16"/>
                <w:szCs w:val="16"/>
                <w:lang w:eastAsia="en-AU"/>
              </w:rPr>
            </w:pPr>
            <w:r w:rsidRPr="00C22895">
              <w:rPr>
                <w:rFonts w:ascii="Arial" w:hAnsi="Arial"/>
                <w:i/>
                <w:iCs/>
                <w:color w:val="595959"/>
                <w:sz w:val="16"/>
                <w:szCs w:val="16"/>
              </w:rPr>
              <w:t xml:space="preserve">    - 16-18 Years old</w:t>
            </w:r>
          </w:p>
        </w:tc>
        <w:tc>
          <w:tcPr>
            <w:tcW w:w="1134" w:type="dxa"/>
            <w:tcBorders>
              <w:top w:val="nil"/>
            </w:tcBorders>
            <w:noWrap/>
          </w:tcPr>
          <w:p w14:paraId="4CAF96BB"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4,000</w:t>
            </w:r>
          </w:p>
        </w:tc>
        <w:tc>
          <w:tcPr>
            <w:tcW w:w="1606" w:type="dxa"/>
            <w:tcBorders>
              <w:top w:val="nil"/>
            </w:tcBorders>
            <w:noWrap/>
          </w:tcPr>
          <w:p w14:paraId="073662DF"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1%</w:t>
            </w:r>
          </w:p>
        </w:tc>
        <w:tc>
          <w:tcPr>
            <w:tcW w:w="1606" w:type="dxa"/>
            <w:tcBorders>
              <w:top w:val="nil"/>
            </w:tcBorders>
            <w:noWrap/>
            <w:vAlign w:val="bottom"/>
          </w:tcPr>
          <w:p w14:paraId="4C7BBDCF" w14:textId="43D7136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193,000</w:t>
            </w:r>
          </w:p>
        </w:tc>
        <w:tc>
          <w:tcPr>
            <w:tcW w:w="1607" w:type="dxa"/>
            <w:tcBorders>
              <w:top w:val="nil"/>
              <w:right w:val="single" w:sz="4" w:space="0" w:color="E0301E" w:themeColor="accent6"/>
            </w:tcBorders>
            <w:vAlign w:val="bottom"/>
          </w:tcPr>
          <w:p w14:paraId="422D7BE6" w14:textId="2D112FC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97%</w:t>
            </w:r>
          </w:p>
        </w:tc>
      </w:tr>
      <w:tr w:rsidR="0069611A" w:rsidRPr="006114CC" w14:paraId="73BBFEAE"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tcPr>
          <w:p w14:paraId="51EABC70"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Marital status</w:t>
            </w:r>
          </w:p>
        </w:tc>
        <w:tc>
          <w:tcPr>
            <w:tcW w:w="1134" w:type="dxa"/>
            <w:tcBorders>
              <w:top w:val="single" w:sz="4" w:space="0" w:color="E0301E" w:themeColor="accent6"/>
              <w:bottom w:val="nil"/>
            </w:tcBorders>
            <w:noWrap/>
          </w:tcPr>
          <w:p w14:paraId="354BF2F3"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tcPr>
          <w:p w14:paraId="3DB41B16"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417FE76B"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top w:val="single" w:sz="4" w:space="0" w:color="E0301E" w:themeColor="accent6"/>
              <w:bottom w:val="nil"/>
              <w:right w:val="single" w:sz="4" w:space="0" w:color="E0301E" w:themeColor="accent6"/>
            </w:tcBorders>
            <w:vAlign w:val="bottom"/>
          </w:tcPr>
          <w:p w14:paraId="62DDD833"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114CC" w14:paraId="7CD09FF0"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0E265778"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Single</w:t>
            </w:r>
          </w:p>
        </w:tc>
        <w:tc>
          <w:tcPr>
            <w:tcW w:w="1134" w:type="dxa"/>
            <w:tcBorders>
              <w:top w:val="nil"/>
              <w:bottom w:val="nil"/>
            </w:tcBorders>
            <w:noWrap/>
          </w:tcPr>
          <w:p w14:paraId="6FF64C9D"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57,000</w:t>
            </w:r>
          </w:p>
        </w:tc>
        <w:tc>
          <w:tcPr>
            <w:tcW w:w="1606" w:type="dxa"/>
            <w:tcBorders>
              <w:top w:val="nil"/>
              <w:bottom w:val="nil"/>
            </w:tcBorders>
            <w:noWrap/>
          </w:tcPr>
          <w:p w14:paraId="56E621D0"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8%</w:t>
            </w:r>
          </w:p>
        </w:tc>
        <w:tc>
          <w:tcPr>
            <w:tcW w:w="1606" w:type="dxa"/>
            <w:tcBorders>
              <w:top w:val="nil"/>
              <w:bottom w:val="nil"/>
            </w:tcBorders>
            <w:noWrap/>
            <w:vAlign w:val="bottom"/>
          </w:tcPr>
          <w:p w14:paraId="55AC0F4A" w14:textId="07622CA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270,000</w:t>
            </w:r>
          </w:p>
        </w:tc>
        <w:tc>
          <w:tcPr>
            <w:tcW w:w="1607" w:type="dxa"/>
            <w:tcBorders>
              <w:top w:val="nil"/>
              <w:bottom w:val="nil"/>
              <w:right w:val="single" w:sz="4" w:space="0" w:color="E0301E" w:themeColor="accent6"/>
            </w:tcBorders>
            <w:vAlign w:val="bottom"/>
          </w:tcPr>
          <w:p w14:paraId="44D364D9" w14:textId="5C57A9D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135%</w:t>
            </w:r>
          </w:p>
        </w:tc>
      </w:tr>
      <w:tr w:rsidR="0069611A" w:rsidRPr="006114CC" w14:paraId="1E7B744D"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6A94A27C"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Partnered</w:t>
            </w:r>
          </w:p>
        </w:tc>
        <w:tc>
          <w:tcPr>
            <w:tcW w:w="1134" w:type="dxa"/>
            <w:tcBorders>
              <w:top w:val="nil"/>
              <w:bottom w:val="single" w:sz="4" w:space="0" w:color="E0301E" w:themeColor="accent6"/>
            </w:tcBorders>
            <w:noWrap/>
          </w:tcPr>
          <w:p w14:paraId="632A6941"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636,000</w:t>
            </w:r>
          </w:p>
        </w:tc>
        <w:tc>
          <w:tcPr>
            <w:tcW w:w="1606" w:type="dxa"/>
            <w:tcBorders>
              <w:top w:val="nil"/>
              <w:bottom w:val="single" w:sz="4" w:space="0" w:color="E0301E" w:themeColor="accent6"/>
            </w:tcBorders>
            <w:noWrap/>
          </w:tcPr>
          <w:p w14:paraId="6D14C644"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92%</w:t>
            </w:r>
          </w:p>
        </w:tc>
        <w:tc>
          <w:tcPr>
            <w:tcW w:w="1606" w:type="dxa"/>
            <w:tcBorders>
              <w:top w:val="nil"/>
              <w:bottom w:val="single" w:sz="4" w:space="0" w:color="E0301E" w:themeColor="accent6"/>
            </w:tcBorders>
            <w:noWrap/>
            <w:vAlign w:val="bottom"/>
          </w:tcPr>
          <w:p w14:paraId="51070EDF" w14:textId="2A1C105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193,000</w:t>
            </w:r>
          </w:p>
        </w:tc>
        <w:tc>
          <w:tcPr>
            <w:tcW w:w="1607" w:type="dxa"/>
            <w:tcBorders>
              <w:top w:val="nil"/>
              <w:bottom w:val="single" w:sz="4" w:space="0" w:color="E0301E" w:themeColor="accent6"/>
              <w:right w:val="single" w:sz="4" w:space="0" w:color="E0301E" w:themeColor="accent6"/>
            </w:tcBorders>
            <w:vAlign w:val="bottom"/>
          </w:tcPr>
          <w:p w14:paraId="16D257B5" w14:textId="11AB0AD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97%</w:t>
            </w:r>
          </w:p>
        </w:tc>
      </w:tr>
      <w:tr w:rsidR="0069611A" w:rsidRPr="006114CC" w14:paraId="48E106BC"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tcPr>
          <w:p w14:paraId="012974A2"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Class before entering '7 Non IS Family'</w:t>
            </w:r>
          </w:p>
        </w:tc>
        <w:tc>
          <w:tcPr>
            <w:tcW w:w="1134" w:type="dxa"/>
            <w:tcBorders>
              <w:bottom w:val="nil"/>
            </w:tcBorders>
            <w:noWrap/>
          </w:tcPr>
          <w:p w14:paraId="2E6C2958"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tcPr>
          <w:p w14:paraId="067ADB2E"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32373A42"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0BC2BD33"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3DBE6940" w14:textId="77777777" w:rsidTr="007E0C1E">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7BCC3B23"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Income support</w:t>
            </w:r>
          </w:p>
        </w:tc>
        <w:tc>
          <w:tcPr>
            <w:tcW w:w="1134" w:type="dxa"/>
            <w:tcBorders>
              <w:top w:val="nil"/>
              <w:bottom w:val="nil"/>
            </w:tcBorders>
            <w:noWrap/>
          </w:tcPr>
          <w:p w14:paraId="6505B855"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122,000</w:t>
            </w:r>
          </w:p>
        </w:tc>
        <w:tc>
          <w:tcPr>
            <w:tcW w:w="1606" w:type="dxa"/>
            <w:tcBorders>
              <w:top w:val="nil"/>
              <w:bottom w:val="nil"/>
            </w:tcBorders>
            <w:noWrap/>
          </w:tcPr>
          <w:p w14:paraId="277D7038"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sidRPr="006114CC">
              <w:rPr>
                <w:rFonts w:ascii="Arial" w:hAnsi="Arial"/>
                <w:color w:val="595959"/>
                <w:szCs w:val="16"/>
              </w:rPr>
              <w:t>18%</w:t>
            </w:r>
          </w:p>
        </w:tc>
        <w:tc>
          <w:tcPr>
            <w:tcW w:w="1606" w:type="dxa"/>
            <w:tcBorders>
              <w:top w:val="nil"/>
              <w:bottom w:val="nil"/>
            </w:tcBorders>
            <w:noWrap/>
            <w:vAlign w:val="bottom"/>
          </w:tcPr>
          <w:p w14:paraId="1246D7EF" w14:textId="69CC5111"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243,000</w:t>
            </w:r>
          </w:p>
        </w:tc>
        <w:tc>
          <w:tcPr>
            <w:tcW w:w="1607" w:type="dxa"/>
            <w:tcBorders>
              <w:top w:val="nil"/>
              <w:bottom w:val="nil"/>
              <w:right w:val="single" w:sz="4" w:space="0" w:color="E0301E" w:themeColor="accent6"/>
            </w:tcBorders>
            <w:vAlign w:val="bottom"/>
          </w:tcPr>
          <w:p w14:paraId="42D69928" w14:textId="5E4EED6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122%</w:t>
            </w:r>
          </w:p>
        </w:tc>
      </w:tr>
      <w:tr w:rsidR="0069611A" w:rsidRPr="006114CC" w14:paraId="012E9E1B" w14:textId="77777777" w:rsidTr="007E0C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tcBorders>
            <w:noWrap/>
          </w:tcPr>
          <w:p w14:paraId="4CD88E4C"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Non income support</w:t>
            </w:r>
          </w:p>
        </w:tc>
        <w:tc>
          <w:tcPr>
            <w:tcW w:w="1134" w:type="dxa"/>
            <w:tcBorders>
              <w:top w:val="nil"/>
            </w:tcBorders>
            <w:noWrap/>
          </w:tcPr>
          <w:p w14:paraId="2AD7CF7B"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571,000</w:t>
            </w:r>
          </w:p>
        </w:tc>
        <w:tc>
          <w:tcPr>
            <w:tcW w:w="1606" w:type="dxa"/>
            <w:tcBorders>
              <w:top w:val="nil"/>
            </w:tcBorders>
            <w:noWrap/>
          </w:tcPr>
          <w:p w14:paraId="343F5B4E"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sidRPr="006114CC">
              <w:rPr>
                <w:rFonts w:ascii="Arial" w:hAnsi="Arial"/>
                <w:color w:val="595959"/>
                <w:szCs w:val="16"/>
              </w:rPr>
              <w:t>82%</w:t>
            </w:r>
          </w:p>
        </w:tc>
        <w:tc>
          <w:tcPr>
            <w:tcW w:w="1606" w:type="dxa"/>
            <w:tcBorders>
              <w:top w:val="nil"/>
            </w:tcBorders>
            <w:noWrap/>
            <w:vAlign w:val="bottom"/>
          </w:tcPr>
          <w:p w14:paraId="7D9E8CF5" w14:textId="14F5E49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190,000</w:t>
            </w:r>
          </w:p>
        </w:tc>
        <w:tc>
          <w:tcPr>
            <w:tcW w:w="1607" w:type="dxa"/>
            <w:tcBorders>
              <w:top w:val="nil"/>
              <w:right w:val="single" w:sz="4" w:space="0" w:color="E0301E" w:themeColor="accent6"/>
            </w:tcBorders>
            <w:vAlign w:val="bottom"/>
          </w:tcPr>
          <w:p w14:paraId="46929A19" w14:textId="384FC88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95%</w:t>
            </w:r>
          </w:p>
        </w:tc>
      </w:tr>
    </w:tbl>
    <w:p w14:paraId="55A4C135" w14:textId="36462067" w:rsidR="001D5C14" w:rsidRDefault="001D5C14" w:rsidP="001D5C14">
      <w:pPr>
        <w:pStyle w:val="Sources"/>
      </w:pPr>
      <w:r>
        <w:t>Note: The class definition means that people can remain in this class for a year after they stop receiving family payments.</w:t>
      </w:r>
    </w:p>
    <w:p w14:paraId="1D60A9C4" w14:textId="77777777" w:rsidR="00D97824" w:rsidRDefault="00D97824" w:rsidP="00D97824">
      <w:pPr>
        <w:pStyle w:val="PwCNormal"/>
        <w:numPr>
          <w:ilvl w:val="0"/>
          <w:numId w:val="0"/>
        </w:numPr>
      </w:pPr>
      <w:r w:rsidRPr="006114CC">
        <w:t>From the table above we can see that for current Non IS Family recipients:</w:t>
      </w:r>
    </w:p>
    <w:p w14:paraId="205D888A" w14:textId="77777777" w:rsidR="00D97824" w:rsidRDefault="00D97824" w:rsidP="00D97824">
      <w:pPr>
        <w:pStyle w:val="ListBullet"/>
      </w:pPr>
      <w:r>
        <w:t xml:space="preserve">Those with </w:t>
      </w:r>
      <w:r w:rsidRPr="00846DA4">
        <w:rPr>
          <w:b/>
        </w:rPr>
        <w:t>more children</w:t>
      </w:r>
      <w:r>
        <w:t xml:space="preserve"> have a higher average lifetime cost compared to those who have fewer children;</w:t>
      </w:r>
    </w:p>
    <w:p w14:paraId="3F4BE2C9" w14:textId="77777777" w:rsidR="00D97824" w:rsidRDefault="00D97824" w:rsidP="00D97824">
      <w:pPr>
        <w:pStyle w:val="ListBullet"/>
      </w:pPr>
      <w:r>
        <w:t xml:space="preserve">Those with </w:t>
      </w:r>
      <w:r>
        <w:rPr>
          <w:b/>
        </w:rPr>
        <w:t>newborn children</w:t>
      </w:r>
      <w:r>
        <w:t xml:space="preserve"> have a higher average lifetime cost;</w:t>
      </w:r>
    </w:p>
    <w:p w14:paraId="5D480BE4" w14:textId="77777777" w:rsidR="00D97824" w:rsidRDefault="00D97824" w:rsidP="00D97824">
      <w:pPr>
        <w:pStyle w:val="ListBullet"/>
      </w:pPr>
      <w:r w:rsidRPr="00846DA4">
        <w:rPr>
          <w:b/>
        </w:rPr>
        <w:t>Single welfare recipients</w:t>
      </w:r>
      <w:r>
        <w:t xml:space="preserve"> have a higher average lifetime cost compared to partnered welfare recipients;</w:t>
      </w:r>
    </w:p>
    <w:p w14:paraId="4D67DD21" w14:textId="2FFCFF9F" w:rsidR="00D97824" w:rsidRDefault="00D97824" w:rsidP="00D97824">
      <w:pPr>
        <w:pStyle w:val="PwCNormal"/>
      </w:pPr>
      <w:r>
        <w:t xml:space="preserve">Those who were </w:t>
      </w:r>
      <w:r w:rsidRPr="00846DA4">
        <w:rPr>
          <w:b/>
        </w:rPr>
        <w:t>previously receiving income support</w:t>
      </w:r>
      <w:r>
        <w:t xml:space="preserve"> welfare payments have a higher average lifetime compared to those who were previously receiving non income support payments.</w:t>
      </w:r>
    </w:p>
    <w:p w14:paraId="5BC9273D" w14:textId="11F5C161" w:rsidR="009B2D09" w:rsidRPr="00035CA3" w:rsidRDefault="009B2D09" w:rsidP="009B2D09">
      <w:pPr>
        <w:pStyle w:val="Minorheading"/>
      </w:pPr>
      <w:r w:rsidRPr="00035CA3">
        <w:t xml:space="preserve">Change in lifetime costs since the </w:t>
      </w:r>
      <w:r w:rsidR="00035CA3" w:rsidRPr="00035CA3">
        <w:t>2016</w:t>
      </w:r>
      <w:r w:rsidRPr="00035CA3">
        <w:t xml:space="preserve"> valuation</w:t>
      </w:r>
    </w:p>
    <w:p w14:paraId="20821BFA" w14:textId="643AF491" w:rsidR="00372F5B" w:rsidRPr="00035CA3" w:rsidRDefault="00372F5B" w:rsidP="00372F5B">
      <w:pPr>
        <w:pStyle w:val="PwCNormal"/>
        <w:numPr>
          <w:ilvl w:val="0"/>
          <w:numId w:val="0"/>
        </w:numPr>
      </w:pPr>
      <w:r w:rsidRPr="00035CA3">
        <w:t xml:space="preserve">The lifetime cost for the people in this class </w:t>
      </w:r>
      <w:r w:rsidR="00684B12">
        <w:t>is</w:t>
      </w:r>
      <w:r w:rsidRPr="00035CA3">
        <w:t xml:space="preserve"> $303bn</w:t>
      </w:r>
      <w:r w:rsidR="00684B12">
        <w:t>,</w:t>
      </w:r>
      <w:r w:rsidRPr="00035CA3">
        <w:t xml:space="preserve"> an increase of $2bn compared to the </w:t>
      </w:r>
      <w:r>
        <w:t>2016</w:t>
      </w:r>
      <w:r w:rsidRPr="00035CA3">
        <w:t xml:space="preserve"> valuation. This was driven by an increase in the average cost (as opposed to a change in population in this class):</w:t>
      </w:r>
    </w:p>
    <w:p w14:paraId="3A7813D0" w14:textId="0B082B8C" w:rsidR="00372F5B" w:rsidRPr="00035CA3" w:rsidRDefault="00372F5B" w:rsidP="002757B8">
      <w:pPr>
        <w:pStyle w:val="ListBullet"/>
      </w:pPr>
      <w:r w:rsidRPr="00035CA3">
        <w:t>The number of people in this class has remained relatively similar (0.</w:t>
      </w:r>
      <w:r w:rsidR="00A64D11">
        <w:t>6</w:t>
      </w:r>
      <w:r w:rsidRPr="00035CA3">
        <w:t xml:space="preserve">% </w:t>
      </w:r>
      <w:r w:rsidR="00A64D11">
        <w:t>lower</w:t>
      </w:r>
      <w:r>
        <w:t>) to the previous valuation</w:t>
      </w:r>
      <w:r w:rsidRPr="00035CA3">
        <w:t xml:space="preserve">. </w:t>
      </w:r>
    </w:p>
    <w:p w14:paraId="2B9CE087" w14:textId="50E76975" w:rsidR="00372F5B" w:rsidRPr="00035CA3" w:rsidRDefault="00372F5B" w:rsidP="002757B8">
      <w:pPr>
        <w:pStyle w:val="ListBullet"/>
      </w:pPr>
      <w:r w:rsidRPr="00035CA3">
        <w:t>The average cost has increased by $</w:t>
      </w:r>
      <w:r w:rsidR="00A64D11">
        <w:t>3</w:t>
      </w:r>
      <w:r w:rsidRPr="00035CA3">
        <w:t>,000 (</w:t>
      </w:r>
      <w:r w:rsidR="00A64D11">
        <w:t>1</w:t>
      </w:r>
      <w:r w:rsidRPr="00035CA3">
        <w:t>.</w:t>
      </w:r>
      <w:r w:rsidR="00A64D11">
        <w:t>4</w:t>
      </w:r>
      <w:r w:rsidRPr="00035CA3">
        <w:t>%</w:t>
      </w:r>
      <w:r>
        <w:t>) since the previous valuation</w:t>
      </w:r>
      <w:r w:rsidRPr="00035CA3">
        <w:t>.</w:t>
      </w:r>
      <w:r>
        <w:t xml:space="preserve"> </w:t>
      </w:r>
      <w:r w:rsidRPr="00035CA3">
        <w:t>The following table provides a breakdown of the change in average lifetime cost by payment category.</w:t>
      </w:r>
    </w:p>
    <w:p w14:paraId="3C5E61A0" w14:textId="353D52DA" w:rsidR="00372F5B" w:rsidRPr="002D25C5" w:rsidRDefault="00372F5B" w:rsidP="00372F5B">
      <w:pPr>
        <w:pStyle w:val="Caption"/>
      </w:pPr>
      <w:r w:rsidRPr="00035CA3">
        <w:lastRenderedPageBreak/>
        <w:t>Ta</w:t>
      </w:r>
      <w:r w:rsidRPr="002D25C5">
        <w:t xml:space="preserve">ble </w:t>
      </w:r>
      <w:fldSimple w:instr=" SEQ Table \* ARABIC ">
        <w:r w:rsidR="00C93C1A">
          <w:rPr>
            <w:noProof/>
          </w:rPr>
          <w:t>42</w:t>
        </w:r>
      </w:fldSimple>
      <w:r w:rsidRPr="002D25C5">
        <w:t xml:space="preserve">: Breakdown of change in average lifetime cost for </w:t>
      </w:r>
      <w:r w:rsidR="00871E70">
        <w:t>c</w:t>
      </w:r>
      <w:r w:rsidRPr="002D25C5">
        <w:t>lass 7 by payment category</w:t>
      </w:r>
    </w:p>
    <w:tbl>
      <w:tblPr>
        <w:tblStyle w:val="ListTable3-Accent62"/>
        <w:tblW w:w="9498" w:type="dxa"/>
        <w:tblInd w:w="108" w:type="dxa"/>
        <w:tblLayout w:type="fixed"/>
        <w:tblCellMar>
          <w:left w:w="57" w:type="dxa"/>
          <w:right w:w="57" w:type="dxa"/>
        </w:tblCellMar>
        <w:tblLook w:val="04A0" w:firstRow="1" w:lastRow="0" w:firstColumn="1" w:lastColumn="0" w:noHBand="0" w:noVBand="1"/>
        <w:tblCaption w:val=" Breakdown of change in average lifetime cost for Class 7 by payment category"/>
        <w:tblDescription w:val="This table shows the breakdown of the total change in average lifetime cost for Class 7 into; change in people in class, change in inflation, policy changes and other changes. These are shown as rows in the table.&#10;&#10;The changes in lifetime cost are considered by relevant payment categories for Class 7; IS Non Age Pension, IS Age Pension, Non IS Family Supplements and Non IS Other Supplements. These are shown as columns in the table alongside a total change column.&#10;&#10;Further features of the data in this table are discussed in the accompanying text within the report.&#10;"/>
      </w:tblPr>
      <w:tblGrid>
        <w:gridCol w:w="3119"/>
        <w:gridCol w:w="1276"/>
        <w:gridCol w:w="1240"/>
        <w:gridCol w:w="1240"/>
        <w:gridCol w:w="1311"/>
        <w:gridCol w:w="1312"/>
      </w:tblGrid>
      <w:tr w:rsidR="00372F5B" w:rsidRPr="009210D0" w14:paraId="1891CAE1"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0BD41503" w14:textId="77777777" w:rsidR="00372F5B" w:rsidRPr="002D25C5" w:rsidRDefault="00372F5B" w:rsidP="001D5C14">
            <w:pPr>
              <w:pStyle w:val="TableTextSmall"/>
              <w:keepNext/>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6236DE6B" w14:textId="77777777" w:rsidR="00372F5B" w:rsidRPr="002D25C5" w:rsidRDefault="00372F5B" w:rsidP="001D5C1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40" w:type="dxa"/>
            <w:tcBorders>
              <w:left w:val="single" w:sz="4" w:space="0" w:color="FFFFFF" w:themeColor="background1"/>
              <w:bottom w:val="single" w:sz="4" w:space="0" w:color="FFFFFF" w:themeColor="background1"/>
              <w:right w:val="nil"/>
            </w:tcBorders>
          </w:tcPr>
          <w:p w14:paraId="6DFF8FE7" w14:textId="77777777" w:rsidR="00372F5B" w:rsidRPr="002D25C5" w:rsidRDefault="00372F5B" w:rsidP="001D5C14">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D25C5">
              <w:rPr>
                <w:rFonts w:asciiTheme="majorHAnsi" w:hAnsiTheme="majorHAnsi"/>
                <w:color w:val="FFFFFF" w:themeColor="background1"/>
              </w:rPr>
              <w:t>Income</w:t>
            </w:r>
          </w:p>
        </w:tc>
        <w:tc>
          <w:tcPr>
            <w:tcW w:w="1240" w:type="dxa"/>
            <w:tcBorders>
              <w:left w:val="nil"/>
              <w:bottom w:val="single" w:sz="4" w:space="0" w:color="FFFFFF" w:themeColor="background1"/>
              <w:right w:val="single" w:sz="4" w:space="0" w:color="FFFFFF" w:themeColor="background1"/>
            </w:tcBorders>
          </w:tcPr>
          <w:p w14:paraId="00407361" w14:textId="77777777" w:rsidR="00372F5B" w:rsidRPr="002D25C5" w:rsidRDefault="00372F5B" w:rsidP="001D5C14">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2D25C5">
              <w:rPr>
                <w:rFonts w:asciiTheme="majorHAnsi" w:hAnsiTheme="majorHAnsi"/>
                <w:color w:val="FFFFFF" w:themeColor="background1"/>
              </w:rPr>
              <w:t>Support</w:t>
            </w:r>
          </w:p>
        </w:tc>
        <w:tc>
          <w:tcPr>
            <w:tcW w:w="1311" w:type="dxa"/>
            <w:tcBorders>
              <w:left w:val="single" w:sz="4" w:space="0" w:color="FFFFFF" w:themeColor="background1"/>
            </w:tcBorders>
          </w:tcPr>
          <w:p w14:paraId="4396F76D" w14:textId="25AEF113" w:rsidR="00372F5B" w:rsidRPr="002D25C5" w:rsidRDefault="005B3E7D" w:rsidP="001D5C14">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Pr>
                <w:rFonts w:asciiTheme="majorHAnsi" w:hAnsiTheme="majorHAnsi"/>
                <w:color w:val="FFFFFF" w:themeColor="background1"/>
              </w:rPr>
              <w:t>Non Income</w:t>
            </w:r>
          </w:p>
        </w:tc>
        <w:tc>
          <w:tcPr>
            <w:tcW w:w="1312" w:type="dxa"/>
            <w:tcBorders>
              <w:bottom w:val="single" w:sz="4" w:space="0" w:color="FFFFFF" w:themeColor="background1"/>
            </w:tcBorders>
          </w:tcPr>
          <w:p w14:paraId="119EEA5E" w14:textId="77777777" w:rsidR="00372F5B" w:rsidRPr="002D25C5" w:rsidRDefault="00372F5B" w:rsidP="001D5C14">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D25C5">
              <w:rPr>
                <w:rFonts w:asciiTheme="majorHAnsi" w:hAnsiTheme="majorHAnsi"/>
                <w:color w:val="FFFFFF" w:themeColor="background1"/>
              </w:rPr>
              <w:t>Support</w:t>
            </w:r>
          </w:p>
        </w:tc>
      </w:tr>
      <w:tr w:rsidR="00372F5B" w:rsidRPr="002D25C5" w14:paraId="21C19D5B"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2C20CC17" w14:textId="77777777" w:rsidR="00372F5B" w:rsidRPr="002D25C5" w:rsidRDefault="00372F5B" w:rsidP="001D5C14">
            <w:pPr>
              <w:pStyle w:val="TableTextSmall"/>
              <w:keepNext/>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01426A99" w14:textId="77777777" w:rsidR="00372F5B" w:rsidRPr="002D25C5" w:rsidRDefault="00372F5B" w:rsidP="001D5C1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D25C5">
              <w:rPr>
                <w:rFonts w:asciiTheme="majorHAnsi" w:hAnsiTheme="majorHAnsi"/>
                <w:color w:val="FFFFFF" w:themeColor="background1"/>
              </w:rPr>
              <w:t>Total</w:t>
            </w:r>
          </w:p>
        </w:tc>
        <w:tc>
          <w:tcPr>
            <w:tcW w:w="1240" w:type="dxa"/>
            <w:tcBorders>
              <w:top w:val="single" w:sz="4" w:space="0" w:color="FFFFFF" w:themeColor="background1"/>
              <w:left w:val="single" w:sz="4" w:space="0" w:color="FFFFFF" w:themeColor="background1"/>
              <w:bottom w:val="single" w:sz="4" w:space="0" w:color="E0301E" w:themeColor="accent6"/>
            </w:tcBorders>
          </w:tcPr>
          <w:p w14:paraId="6C0013B2" w14:textId="77777777" w:rsidR="00372F5B" w:rsidRPr="002D25C5" w:rsidRDefault="00372F5B" w:rsidP="001D5C1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2D25C5">
              <w:rPr>
                <w:rFonts w:asciiTheme="majorHAnsi" w:hAnsiTheme="majorHAnsi"/>
                <w:color w:val="FFFFFF" w:themeColor="background1"/>
              </w:rPr>
              <w:t>Non Age Pension</w:t>
            </w:r>
          </w:p>
        </w:tc>
        <w:tc>
          <w:tcPr>
            <w:tcW w:w="1240" w:type="dxa"/>
            <w:tcBorders>
              <w:top w:val="single" w:sz="4" w:space="0" w:color="FFFFFF" w:themeColor="background1"/>
              <w:bottom w:val="single" w:sz="4" w:space="0" w:color="E0301E" w:themeColor="accent6"/>
              <w:right w:val="single" w:sz="4" w:space="0" w:color="FFFFFF" w:themeColor="background1"/>
            </w:tcBorders>
          </w:tcPr>
          <w:p w14:paraId="5A0082A2" w14:textId="77777777" w:rsidR="00372F5B" w:rsidRPr="002D25C5" w:rsidRDefault="00372F5B" w:rsidP="001D5C1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2D25C5">
              <w:rPr>
                <w:rFonts w:asciiTheme="majorHAnsi" w:hAnsiTheme="majorHAnsi"/>
                <w:color w:val="FFFFFF" w:themeColor="background1"/>
              </w:rPr>
              <w:t>Age Pension</w:t>
            </w:r>
          </w:p>
        </w:tc>
        <w:tc>
          <w:tcPr>
            <w:tcW w:w="1311" w:type="dxa"/>
            <w:tcBorders>
              <w:top w:val="single" w:sz="4" w:space="0" w:color="FFFFFF" w:themeColor="background1"/>
              <w:left w:val="single" w:sz="4" w:space="0" w:color="FFFFFF" w:themeColor="background1"/>
              <w:bottom w:val="single" w:sz="4" w:space="0" w:color="E0301E" w:themeColor="accent6"/>
            </w:tcBorders>
          </w:tcPr>
          <w:p w14:paraId="60A066AD" w14:textId="77777777" w:rsidR="00372F5B" w:rsidRPr="002D25C5" w:rsidRDefault="00372F5B" w:rsidP="001D5C1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2D25C5">
              <w:rPr>
                <w:rFonts w:asciiTheme="majorHAnsi" w:hAnsiTheme="majorHAnsi"/>
                <w:color w:val="FFFFFF" w:themeColor="background1"/>
              </w:rPr>
              <w:t>Family Supplements</w:t>
            </w:r>
          </w:p>
        </w:tc>
        <w:tc>
          <w:tcPr>
            <w:tcW w:w="1312" w:type="dxa"/>
            <w:tcBorders>
              <w:bottom w:val="single" w:sz="4" w:space="0" w:color="E0301E" w:themeColor="accent6"/>
            </w:tcBorders>
          </w:tcPr>
          <w:p w14:paraId="048FF549" w14:textId="77777777" w:rsidR="00372F5B" w:rsidRPr="002D25C5" w:rsidRDefault="00372F5B" w:rsidP="001D5C1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2D25C5">
              <w:rPr>
                <w:rFonts w:asciiTheme="majorHAnsi" w:hAnsiTheme="majorHAnsi"/>
                <w:color w:val="FFFFFF" w:themeColor="background1"/>
              </w:rPr>
              <w:t>Other Supplements</w:t>
            </w:r>
          </w:p>
        </w:tc>
      </w:tr>
      <w:tr w:rsidR="00AA1061" w:rsidRPr="002D25C5" w14:paraId="559CE150"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1BBE6981" w14:textId="77777777" w:rsidR="00AA1061" w:rsidRPr="002D25C5" w:rsidRDefault="00AA1061" w:rsidP="00AA1061">
            <w:pPr>
              <w:pStyle w:val="TableTextSmall"/>
              <w:keepNext/>
            </w:pPr>
            <w:r>
              <w:t>Jun-16</w:t>
            </w:r>
            <w:r w:rsidRPr="002D25C5">
              <w:t xml:space="preserve"> Total Lifetime Cost</w:t>
            </w:r>
          </w:p>
        </w:tc>
        <w:tc>
          <w:tcPr>
            <w:tcW w:w="1276" w:type="dxa"/>
            <w:tcBorders>
              <w:left w:val="single" w:sz="4" w:space="0" w:color="E0301E" w:themeColor="accent6"/>
              <w:bottom w:val="nil"/>
              <w:right w:val="single" w:sz="4" w:space="0" w:color="E0301E" w:themeColor="accent6"/>
            </w:tcBorders>
          </w:tcPr>
          <w:p w14:paraId="72E22B3D" w14:textId="762EEC97" w:rsidR="00AA1061" w:rsidRPr="002D25C5"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9C207B">
              <w:t>$301bn</w:t>
            </w:r>
          </w:p>
        </w:tc>
        <w:tc>
          <w:tcPr>
            <w:tcW w:w="1240" w:type="dxa"/>
            <w:tcBorders>
              <w:left w:val="single" w:sz="4" w:space="0" w:color="E0301E" w:themeColor="accent6"/>
              <w:bottom w:val="nil"/>
            </w:tcBorders>
            <w:shd w:val="clear" w:color="auto" w:fill="D9D9D9" w:themeFill="background1" w:themeFillShade="D9"/>
          </w:tcPr>
          <w:p w14:paraId="69A1B7E5"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240" w:type="dxa"/>
            <w:tcBorders>
              <w:bottom w:val="nil"/>
              <w:right w:val="nil"/>
            </w:tcBorders>
            <w:shd w:val="clear" w:color="auto" w:fill="D9D9D9" w:themeFill="background1" w:themeFillShade="D9"/>
          </w:tcPr>
          <w:p w14:paraId="7C18CC64"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311" w:type="dxa"/>
            <w:tcBorders>
              <w:left w:val="nil"/>
              <w:bottom w:val="nil"/>
            </w:tcBorders>
            <w:shd w:val="clear" w:color="auto" w:fill="D9D9D9" w:themeFill="background1" w:themeFillShade="D9"/>
          </w:tcPr>
          <w:p w14:paraId="5E66105D"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312" w:type="dxa"/>
            <w:tcBorders>
              <w:bottom w:val="nil"/>
            </w:tcBorders>
            <w:shd w:val="clear" w:color="auto" w:fill="D9D9D9" w:themeFill="background1" w:themeFillShade="D9"/>
          </w:tcPr>
          <w:p w14:paraId="0C8E9954"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r>
      <w:tr w:rsidR="00AA1061" w:rsidRPr="002D25C5" w14:paraId="0C84CADD"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7E7CA3EF" w14:textId="77777777" w:rsidR="00AA1061" w:rsidRPr="002D25C5" w:rsidRDefault="00AA1061" w:rsidP="00AA1061">
            <w:pPr>
              <w:pStyle w:val="TableTextSmall"/>
              <w:keepNext/>
            </w:pPr>
            <w:r>
              <w:t>Jun-17</w:t>
            </w:r>
            <w:r w:rsidRPr="002D25C5">
              <w:t xml:space="preserve">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tcPr>
          <w:p w14:paraId="0EA9FAEB" w14:textId="01374815" w:rsidR="00AA1061" w:rsidRPr="002D25C5"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9C207B">
              <w:t>$303bn</w:t>
            </w:r>
          </w:p>
        </w:tc>
        <w:tc>
          <w:tcPr>
            <w:tcW w:w="1240" w:type="dxa"/>
            <w:tcBorders>
              <w:top w:val="nil"/>
              <w:left w:val="single" w:sz="4" w:space="0" w:color="E0301E" w:themeColor="accent6"/>
              <w:bottom w:val="nil"/>
            </w:tcBorders>
            <w:shd w:val="clear" w:color="auto" w:fill="D9D9D9" w:themeFill="background1" w:themeFillShade="D9"/>
          </w:tcPr>
          <w:p w14:paraId="2A0BBCD9"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tcPr>
          <w:p w14:paraId="1F58A282"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tcPr>
          <w:p w14:paraId="265F0841"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nil"/>
            </w:tcBorders>
            <w:shd w:val="clear" w:color="auto" w:fill="D9D9D9" w:themeFill="background1" w:themeFillShade="D9"/>
          </w:tcPr>
          <w:p w14:paraId="26CC73D7"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r>
      <w:tr w:rsidR="00AA1061" w:rsidRPr="002D25C5" w14:paraId="7B45A9B6"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5D6725E6" w14:textId="77777777" w:rsidR="00AA1061" w:rsidRPr="002D25C5" w:rsidRDefault="00AA1061" w:rsidP="00AA1061">
            <w:pPr>
              <w:pStyle w:val="TableTextSmall"/>
              <w:keepNext/>
            </w:pPr>
            <w:r w:rsidRPr="002D25C5">
              <w:t>Change in Total Lifetime Cost</w:t>
            </w:r>
          </w:p>
        </w:tc>
        <w:tc>
          <w:tcPr>
            <w:tcW w:w="1276" w:type="dxa"/>
            <w:tcBorders>
              <w:left w:val="single" w:sz="4" w:space="0" w:color="E0301E" w:themeColor="accent6"/>
              <w:bottom w:val="nil"/>
              <w:right w:val="single" w:sz="4" w:space="0" w:color="E0301E" w:themeColor="accent6"/>
            </w:tcBorders>
            <w:tcMar>
              <w:left w:w="0" w:type="dxa"/>
              <w:right w:w="0" w:type="dxa"/>
            </w:tcMar>
          </w:tcPr>
          <w:p w14:paraId="5925C970" w14:textId="40D4FE68" w:rsidR="00AA1061" w:rsidRPr="002D25C5"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9C207B">
              <w:t>+$2bn (+0.8%)</w:t>
            </w:r>
          </w:p>
        </w:tc>
        <w:tc>
          <w:tcPr>
            <w:tcW w:w="1240" w:type="dxa"/>
            <w:tcBorders>
              <w:top w:val="nil"/>
              <w:left w:val="single" w:sz="4" w:space="0" w:color="E0301E" w:themeColor="accent6"/>
              <w:bottom w:val="nil"/>
            </w:tcBorders>
            <w:shd w:val="clear" w:color="auto" w:fill="D9D9D9" w:themeFill="background1" w:themeFillShade="D9"/>
          </w:tcPr>
          <w:p w14:paraId="19ADA236"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tcPr>
          <w:p w14:paraId="3534A0E6"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tcPr>
          <w:p w14:paraId="3F0D62A2"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312" w:type="dxa"/>
            <w:tcBorders>
              <w:top w:val="nil"/>
              <w:bottom w:val="nil"/>
            </w:tcBorders>
            <w:shd w:val="clear" w:color="auto" w:fill="D9D9D9" w:themeFill="background1" w:themeFillShade="D9"/>
          </w:tcPr>
          <w:p w14:paraId="7F8DBAD6"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r>
      <w:tr w:rsidR="00AA1061" w:rsidRPr="002D25C5" w14:paraId="0B5B943F"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3A8CA2A1" w14:textId="77777777" w:rsidR="00AA1061" w:rsidRPr="002D25C5" w:rsidRDefault="00AA1061" w:rsidP="00AA1061">
            <w:pPr>
              <w:pStyle w:val="TableTextSmall"/>
              <w:keepNext/>
            </w:pPr>
            <w:r>
              <w:t>Change due to People in Class</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tcPr>
          <w:p w14:paraId="4047C98A" w14:textId="4630BF23" w:rsidR="00AA1061" w:rsidRPr="002D25C5"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9C207B">
              <w:t>-0.6%</w:t>
            </w:r>
          </w:p>
        </w:tc>
        <w:tc>
          <w:tcPr>
            <w:tcW w:w="1240" w:type="dxa"/>
            <w:tcBorders>
              <w:top w:val="nil"/>
              <w:left w:val="single" w:sz="4" w:space="0" w:color="E0301E" w:themeColor="accent6"/>
              <w:bottom w:val="single" w:sz="4" w:space="0" w:color="E0301E" w:themeColor="accent6"/>
            </w:tcBorders>
            <w:shd w:val="clear" w:color="auto" w:fill="D9D9D9" w:themeFill="background1" w:themeFillShade="D9"/>
          </w:tcPr>
          <w:p w14:paraId="1D0B7ED0"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single" w:sz="4" w:space="0" w:color="E0301E" w:themeColor="accent6"/>
              <w:right w:val="nil"/>
            </w:tcBorders>
            <w:shd w:val="clear" w:color="auto" w:fill="D9D9D9" w:themeFill="background1" w:themeFillShade="D9"/>
          </w:tcPr>
          <w:p w14:paraId="5D0CB692"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single" w:sz="4" w:space="0" w:color="E0301E" w:themeColor="accent6"/>
            </w:tcBorders>
            <w:shd w:val="clear" w:color="auto" w:fill="D9D9D9" w:themeFill="background1" w:themeFillShade="D9"/>
          </w:tcPr>
          <w:p w14:paraId="4BC4E40B"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single" w:sz="4" w:space="0" w:color="E0301E" w:themeColor="accent6"/>
            </w:tcBorders>
            <w:shd w:val="clear" w:color="auto" w:fill="D9D9D9" w:themeFill="background1" w:themeFillShade="D9"/>
          </w:tcPr>
          <w:p w14:paraId="5B6D4E24"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r>
      <w:tr w:rsidR="00AA1061" w:rsidRPr="002D25C5" w14:paraId="005AD561"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5352EE35" w14:textId="77777777" w:rsidR="00AA1061" w:rsidRPr="002D25C5" w:rsidRDefault="00AA1061" w:rsidP="00AA1061">
            <w:pPr>
              <w:pStyle w:val="TableTextSmall"/>
              <w:keepNext/>
            </w:pPr>
            <w:r w:rsidRPr="002D25C5">
              <w:t>Change due to Average Lifetime Cost</w:t>
            </w:r>
          </w:p>
        </w:tc>
        <w:tc>
          <w:tcPr>
            <w:tcW w:w="1276" w:type="dxa"/>
            <w:tcBorders>
              <w:left w:val="single" w:sz="4" w:space="0" w:color="E0301E" w:themeColor="accent6"/>
              <w:bottom w:val="nil"/>
              <w:right w:val="single" w:sz="4" w:space="0" w:color="E0301E" w:themeColor="accent6"/>
            </w:tcBorders>
          </w:tcPr>
          <w:p w14:paraId="2F893F5F" w14:textId="57218179" w:rsidR="00AA1061" w:rsidRPr="002D25C5"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9C207B">
              <w:t>+$3k (+1.4%)</w:t>
            </w:r>
          </w:p>
        </w:tc>
        <w:tc>
          <w:tcPr>
            <w:tcW w:w="1240" w:type="dxa"/>
            <w:tcBorders>
              <w:left w:val="single" w:sz="4" w:space="0" w:color="E0301E" w:themeColor="accent6"/>
              <w:bottom w:val="nil"/>
            </w:tcBorders>
          </w:tcPr>
          <w:p w14:paraId="3F50EA5E" w14:textId="3B70DE0B" w:rsidR="00AA1061" w:rsidRPr="002D25C5"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9C207B">
              <w:t>-$2k</w:t>
            </w:r>
          </w:p>
        </w:tc>
        <w:tc>
          <w:tcPr>
            <w:tcW w:w="1240" w:type="dxa"/>
            <w:tcBorders>
              <w:bottom w:val="nil"/>
              <w:right w:val="dashed" w:sz="4" w:space="0" w:color="E0301E" w:themeColor="accent6"/>
            </w:tcBorders>
          </w:tcPr>
          <w:p w14:paraId="1E3BDD3C" w14:textId="740312BA" w:rsidR="00AA1061" w:rsidRPr="002D25C5"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9C207B">
              <w:t>+$6k</w:t>
            </w:r>
          </w:p>
        </w:tc>
        <w:tc>
          <w:tcPr>
            <w:tcW w:w="1311" w:type="dxa"/>
            <w:tcBorders>
              <w:left w:val="dashed" w:sz="4" w:space="0" w:color="E0301E" w:themeColor="accent6"/>
              <w:bottom w:val="nil"/>
            </w:tcBorders>
          </w:tcPr>
          <w:p w14:paraId="79A30C67" w14:textId="34F25565"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bottom w:val="nil"/>
            </w:tcBorders>
          </w:tcPr>
          <w:p w14:paraId="7F1FC1CD" w14:textId="4FC2C5DA"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r>
      <w:tr w:rsidR="00AA1061" w:rsidRPr="002D25C5" w14:paraId="3C4BAAE8"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37B8A01D" w14:textId="77777777" w:rsidR="00AA1061" w:rsidRPr="002D25C5" w:rsidRDefault="00AA1061" w:rsidP="00AA1061">
            <w:pPr>
              <w:pStyle w:val="TableTextSmall"/>
              <w:keepNext/>
              <w:rPr>
                <w:b w:val="0"/>
              </w:rPr>
            </w:pPr>
            <w:r w:rsidRPr="002404D0">
              <w:t>- Impact of change in inflation</w:t>
            </w:r>
          </w:p>
        </w:tc>
        <w:tc>
          <w:tcPr>
            <w:tcW w:w="1276" w:type="dxa"/>
            <w:tcBorders>
              <w:top w:val="nil"/>
              <w:left w:val="single" w:sz="4" w:space="0" w:color="E0301E" w:themeColor="accent6"/>
              <w:bottom w:val="nil"/>
              <w:right w:val="single" w:sz="4" w:space="0" w:color="E0301E" w:themeColor="accent6"/>
            </w:tcBorders>
          </w:tcPr>
          <w:p w14:paraId="40E34304" w14:textId="7E2D24F1" w:rsidR="00AA1061" w:rsidRPr="002D25C5"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9C207B">
              <w:t>+$4k</w:t>
            </w:r>
          </w:p>
        </w:tc>
        <w:tc>
          <w:tcPr>
            <w:tcW w:w="1240" w:type="dxa"/>
            <w:tcBorders>
              <w:top w:val="nil"/>
              <w:left w:val="single" w:sz="4" w:space="0" w:color="E0301E" w:themeColor="accent6"/>
              <w:bottom w:val="nil"/>
            </w:tcBorders>
          </w:tcPr>
          <w:p w14:paraId="698EC771" w14:textId="24EF2F35"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top w:val="nil"/>
              <w:bottom w:val="nil"/>
              <w:right w:val="dashed" w:sz="4" w:space="0" w:color="E0301E" w:themeColor="accent6"/>
            </w:tcBorders>
          </w:tcPr>
          <w:p w14:paraId="258635D6" w14:textId="06F2CF43" w:rsidR="00AA1061" w:rsidRPr="002D25C5"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9C207B">
              <w:t>+$3k</w:t>
            </w:r>
          </w:p>
        </w:tc>
        <w:tc>
          <w:tcPr>
            <w:tcW w:w="1311" w:type="dxa"/>
            <w:tcBorders>
              <w:top w:val="nil"/>
              <w:left w:val="dashed" w:sz="4" w:space="0" w:color="E0301E" w:themeColor="accent6"/>
              <w:bottom w:val="nil"/>
            </w:tcBorders>
          </w:tcPr>
          <w:p w14:paraId="28CC08EB" w14:textId="2C05EA00"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top w:val="nil"/>
              <w:bottom w:val="nil"/>
            </w:tcBorders>
          </w:tcPr>
          <w:p w14:paraId="367EDF5C" w14:textId="79EEBF5D"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r>
      <w:tr w:rsidR="000672D7" w:rsidRPr="002D25C5" w14:paraId="2EBF5F23"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3DE861FE" w14:textId="77777777" w:rsidR="000672D7" w:rsidRPr="002D25C5" w:rsidRDefault="000672D7" w:rsidP="000672D7">
            <w:pPr>
              <w:pStyle w:val="TableTextSmall"/>
              <w:keepNext/>
              <w:rPr>
                <w:b w:val="0"/>
              </w:rPr>
            </w:pPr>
            <w:r w:rsidRPr="002404D0">
              <w:t>- Impact of policy changes</w:t>
            </w:r>
          </w:p>
        </w:tc>
        <w:tc>
          <w:tcPr>
            <w:tcW w:w="1276" w:type="dxa"/>
            <w:tcBorders>
              <w:top w:val="nil"/>
              <w:left w:val="single" w:sz="4" w:space="0" w:color="E0301E" w:themeColor="accent6"/>
              <w:bottom w:val="nil"/>
              <w:right w:val="single" w:sz="4" w:space="0" w:color="E0301E" w:themeColor="accent6"/>
            </w:tcBorders>
          </w:tcPr>
          <w:p w14:paraId="170433B4" w14:textId="573049EC"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top w:val="nil"/>
              <w:left w:val="single" w:sz="4" w:space="0" w:color="E0301E" w:themeColor="accent6"/>
              <w:bottom w:val="nil"/>
            </w:tcBorders>
          </w:tcPr>
          <w:p w14:paraId="17403F7C" w14:textId="348B317E"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71761E">
              <w:rPr>
                <w:color w:val="A6A6A6" w:themeColor="background1" w:themeShade="A6"/>
              </w:rPr>
              <w:t>&lt;$1k</w:t>
            </w:r>
          </w:p>
        </w:tc>
        <w:tc>
          <w:tcPr>
            <w:tcW w:w="1240" w:type="dxa"/>
            <w:tcBorders>
              <w:top w:val="nil"/>
              <w:bottom w:val="nil"/>
              <w:right w:val="dashed" w:sz="4" w:space="0" w:color="E0301E" w:themeColor="accent6"/>
            </w:tcBorders>
          </w:tcPr>
          <w:p w14:paraId="16D02947" w14:textId="3AE46EBF"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71761E">
              <w:rPr>
                <w:color w:val="A6A6A6" w:themeColor="background1" w:themeShade="A6"/>
              </w:rPr>
              <w:t>&lt;$1k</w:t>
            </w:r>
          </w:p>
        </w:tc>
        <w:tc>
          <w:tcPr>
            <w:tcW w:w="1311" w:type="dxa"/>
            <w:tcBorders>
              <w:top w:val="nil"/>
              <w:left w:val="dashed" w:sz="4" w:space="0" w:color="E0301E" w:themeColor="accent6"/>
              <w:bottom w:val="nil"/>
            </w:tcBorders>
          </w:tcPr>
          <w:p w14:paraId="4ACC493B" w14:textId="1700067C"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71761E">
              <w:rPr>
                <w:color w:val="A6A6A6" w:themeColor="background1" w:themeShade="A6"/>
              </w:rPr>
              <w:t>&lt;$1k</w:t>
            </w:r>
          </w:p>
        </w:tc>
        <w:tc>
          <w:tcPr>
            <w:tcW w:w="1312" w:type="dxa"/>
            <w:tcBorders>
              <w:top w:val="nil"/>
              <w:bottom w:val="nil"/>
            </w:tcBorders>
          </w:tcPr>
          <w:p w14:paraId="1A223E5E" w14:textId="296CAFA9" w:rsidR="000672D7" w:rsidRPr="00AA1061" w:rsidRDefault="000672D7" w:rsidP="000672D7">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71761E">
              <w:rPr>
                <w:color w:val="A6A6A6" w:themeColor="background1" w:themeShade="A6"/>
              </w:rPr>
              <w:t>&lt;$1k</w:t>
            </w:r>
          </w:p>
        </w:tc>
      </w:tr>
      <w:tr w:rsidR="00AA1061" w:rsidRPr="009210D0" w14:paraId="619FB11C"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7EB18406" w14:textId="77777777" w:rsidR="00AA1061" w:rsidRPr="002D25C5" w:rsidRDefault="00AA1061" w:rsidP="00AA1061">
            <w:pPr>
              <w:pStyle w:val="TableTextSmall"/>
              <w:rPr>
                <w:b w:val="0"/>
              </w:rPr>
            </w:pPr>
            <w:r w:rsidRPr="002404D0">
              <w:t>- Impact of other changes</w:t>
            </w:r>
          </w:p>
        </w:tc>
        <w:tc>
          <w:tcPr>
            <w:tcW w:w="1276" w:type="dxa"/>
            <w:tcBorders>
              <w:top w:val="nil"/>
              <w:left w:val="single" w:sz="4" w:space="0" w:color="E0301E" w:themeColor="accent6"/>
              <w:right w:val="single" w:sz="4" w:space="0" w:color="E0301E" w:themeColor="accent6"/>
            </w:tcBorders>
          </w:tcPr>
          <w:p w14:paraId="7B22D0DD" w14:textId="499BB8BE" w:rsidR="00AA1061" w:rsidRPr="0033544C"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9C207B">
              <w:t>-$2k</w:t>
            </w:r>
          </w:p>
        </w:tc>
        <w:tc>
          <w:tcPr>
            <w:tcW w:w="1240" w:type="dxa"/>
            <w:tcBorders>
              <w:top w:val="nil"/>
              <w:left w:val="single" w:sz="4" w:space="0" w:color="E0301E" w:themeColor="accent6"/>
            </w:tcBorders>
          </w:tcPr>
          <w:p w14:paraId="01B3A3B4" w14:textId="760B1C66" w:rsidR="00AA1061" w:rsidRPr="002D25C5"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r w:rsidRPr="009C207B">
              <w:t>-$3k</w:t>
            </w:r>
          </w:p>
        </w:tc>
        <w:tc>
          <w:tcPr>
            <w:tcW w:w="1240" w:type="dxa"/>
            <w:tcBorders>
              <w:top w:val="nil"/>
              <w:right w:val="dashed" w:sz="4" w:space="0" w:color="E0301E" w:themeColor="accent6"/>
            </w:tcBorders>
          </w:tcPr>
          <w:p w14:paraId="639BD5C7" w14:textId="234D6AEB" w:rsidR="00AA1061" w:rsidRPr="002D25C5"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r w:rsidRPr="009C207B">
              <w:t>+$3k</w:t>
            </w:r>
          </w:p>
        </w:tc>
        <w:tc>
          <w:tcPr>
            <w:tcW w:w="1311" w:type="dxa"/>
            <w:tcBorders>
              <w:top w:val="nil"/>
              <w:left w:val="dashed" w:sz="4" w:space="0" w:color="E0301E" w:themeColor="accent6"/>
            </w:tcBorders>
          </w:tcPr>
          <w:p w14:paraId="6C6525A2" w14:textId="6C0B8891"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top w:val="nil"/>
            </w:tcBorders>
          </w:tcPr>
          <w:p w14:paraId="7F61AFBC" w14:textId="118322A8"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r>
    </w:tbl>
    <w:p w14:paraId="49A20A20" w14:textId="6153B1EF" w:rsidR="000672D7" w:rsidRPr="00003814" w:rsidRDefault="000672D7" w:rsidP="000672D7">
      <w:pPr>
        <w:pStyle w:val="Sources"/>
      </w:pPr>
      <w:r>
        <w:t>Note figures above may not sum to the totals owing to the impact of the ‘&lt;$1k’ items and the impact of other rounding</w:t>
      </w:r>
      <w:r w:rsidRPr="009D51DF">
        <w:t>.</w:t>
      </w:r>
    </w:p>
    <w:p w14:paraId="465A7C14" w14:textId="77777777" w:rsidR="00372F5B" w:rsidRDefault="00372F5B" w:rsidP="00964D65">
      <w:pPr>
        <w:pStyle w:val="PwCNormal"/>
        <w:numPr>
          <w:ilvl w:val="0"/>
          <w:numId w:val="33"/>
        </w:numPr>
      </w:pPr>
      <w:r w:rsidRPr="00764DC6">
        <w:t xml:space="preserve">The increase in average cost is </w:t>
      </w:r>
      <w:r>
        <w:t>driven by:</w:t>
      </w:r>
    </w:p>
    <w:p w14:paraId="1856DD3D" w14:textId="3C781ED4" w:rsidR="00372F5B" w:rsidRPr="0057506F" w:rsidRDefault="008D0F43" w:rsidP="008D0F43">
      <w:pPr>
        <w:pStyle w:val="ListBullet"/>
      </w:pPr>
      <w:r w:rsidRPr="008D0F43">
        <w:t>an increase in the cost of future payments as a result of inflation</w:t>
      </w:r>
      <w:r w:rsidR="00372F5B">
        <w:t>; and</w:t>
      </w:r>
    </w:p>
    <w:p w14:paraId="57723C0F" w14:textId="4D21B637" w:rsidR="00372F5B" w:rsidRPr="00EC6293" w:rsidRDefault="00684B12" w:rsidP="002757B8">
      <w:pPr>
        <w:pStyle w:val="ListBullet"/>
      </w:pPr>
      <w:r w:rsidRPr="005F7C50">
        <w:t>an increase in the expected amount of Age Pension payments</w:t>
      </w:r>
      <w:r>
        <w:t xml:space="preserve"> - the average Age Pension size has been adjusted in response to the observed increase in average payments to new pensioners</w:t>
      </w:r>
      <w:r w:rsidRPr="005F7C50">
        <w:t>.</w:t>
      </w:r>
    </w:p>
    <w:p w14:paraId="5476EF8D" w14:textId="77777777" w:rsidR="00372F5B" w:rsidRPr="00EC6293" w:rsidRDefault="00372F5B" w:rsidP="00964D65">
      <w:pPr>
        <w:pStyle w:val="PwCNormal"/>
        <w:numPr>
          <w:ilvl w:val="0"/>
          <w:numId w:val="33"/>
        </w:numPr>
      </w:pPr>
      <w:r w:rsidRPr="0083411C">
        <w:t>These increases have b</w:t>
      </w:r>
      <w:r w:rsidRPr="00EC6293">
        <w:t>een mostly offset by:</w:t>
      </w:r>
    </w:p>
    <w:p w14:paraId="71D0E7D6" w14:textId="6E1FCB49" w:rsidR="00372F5B" w:rsidRPr="00EC6293" w:rsidRDefault="00D232D3" w:rsidP="002757B8">
      <w:pPr>
        <w:pStyle w:val="ListBullet"/>
      </w:pPr>
      <w:r>
        <w:t>higher rates of exiting the welfare system, reducing the likelihood of utilising income support in the future</w:t>
      </w:r>
      <w:r w:rsidR="00372F5B" w:rsidRPr="00EC6293">
        <w:t>; and</w:t>
      </w:r>
    </w:p>
    <w:p w14:paraId="765AE0FE" w14:textId="618A4968" w:rsidR="00372F5B" w:rsidRPr="00EC6293" w:rsidRDefault="00372F5B" w:rsidP="002757B8">
      <w:pPr>
        <w:pStyle w:val="ListBullet"/>
      </w:pPr>
      <w:r w:rsidRPr="00EC6293">
        <w:t>lower expected amount</w:t>
      </w:r>
      <w:r w:rsidR="00684B12">
        <w:t>s</w:t>
      </w:r>
      <w:r w:rsidRPr="00EC6293">
        <w:t xml:space="preserve"> of family payments (</w:t>
      </w:r>
      <w:r w:rsidR="00684B12">
        <w:t xml:space="preserve">due to </w:t>
      </w:r>
      <w:r w:rsidRPr="00EC6293">
        <w:t>lower expected FTB payments offset by increased child care payments).</w:t>
      </w:r>
    </w:p>
    <w:p w14:paraId="4BCC491A" w14:textId="77777777" w:rsidR="009B2D09" w:rsidRPr="00261202" w:rsidRDefault="009B2D09" w:rsidP="009B2D09">
      <w:pPr>
        <w:pStyle w:val="Minorheading"/>
      </w:pPr>
      <w:r w:rsidRPr="00EC6293">
        <w:t>Future outcomes</w:t>
      </w:r>
    </w:p>
    <w:p w14:paraId="771D458E" w14:textId="77777777" w:rsidR="009B2D09" w:rsidRPr="00261202" w:rsidRDefault="009B2D09" w:rsidP="009B2D09">
      <w:pPr>
        <w:pStyle w:val="PwCNormal"/>
        <w:keepNext/>
        <w:numPr>
          <w:ilvl w:val="0"/>
          <w:numId w:val="0"/>
        </w:numPr>
      </w:pPr>
      <w:r w:rsidRPr="00261202">
        <w:t xml:space="preserve">In developing the valuation results, the projection model produces information on the expected transitions for people out of each class, as shown below. </w:t>
      </w:r>
    </w:p>
    <w:p w14:paraId="390253FE" w14:textId="373BA77D" w:rsidR="009B2D09" w:rsidRPr="00452FA8" w:rsidRDefault="009B2D09" w:rsidP="009B2D09">
      <w:pPr>
        <w:pStyle w:val="Caption"/>
      </w:pPr>
      <w:r w:rsidRPr="00452FA8">
        <w:t xml:space="preserve">Figure </w:t>
      </w:r>
      <w:fldSimple w:instr=" SEQ Figure \* ARABIC ">
        <w:r w:rsidR="00C93C1A">
          <w:rPr>
            <w:noProof/>
          </w:rPr>
          <w:t>84</w:t>
        </w:r>
      </w:fldSimple>
      <w:r w:rsidRPr="00452FA8">
        <w:t xml:space="preserve">: Expected future trajectory for people in </w:t>
      </w:r>
      <w:r w:rsidR="00871E70">
        <w:t>c</w:t>
      </w:r>
      <w:r w:rsidRPr="00452FA8">
        <w:t>lass 7</w:t>
      </w:r>
    </w:p>
    <w:tbl>
      <w:tblPr>
        <w:tblStyle w:val="Tables-APBase"/>
        <w:tblW w:w="471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521"/>
        <w:gridCol w:w="2977"/>
      </w:tblGrid>
      <w:tr w:rsidR="009B2D09" w:rsidRPr="009210D0" w14:paraId="6E1B7D3D" w14:textId="77777777" w:rsidTr="009C6553">
        <w:trPr>
          <w:tblHeader/>
        </w:trPr>
        <w:tc>
          <w:tcPr>
            <w:tcW w:w="6521" w:type="dxa"/>
          </w:tcPr>
          <w:p w14:paraId="295D1768" w14:textId="0D3118B0" w:rsidR="009B2D09" w:rsidRPr="00452FA8" w:rsidRDefault="000A5A21" w:rsidP="000D6C29">
            <w:pPr>
              <w:pStyle w:val="TableTextSmall"/>
            </w:pPr>
            <w:r w:rsidRPr="000A5A21">
              <w:rPr>
                <w:noProof/>
                <w:lang w:eastAsia="en-AU"/>
              </w:rPr>
              <w:drawing>
                <wp:inline distT="0" distB="0" distL="0" distR="0" wp14:anchorId="04E20734" wp14:editId="3B69F5AC">
                  <wp:extent cx="3870960" cy="2156460"/>
                  <wp:effectExtent l="0" t="0" r="0" b="0"/>
                  <wp:docPr id="1045" name="Picture 1045" descr="This figure is a vertical bar chart. The horizontal axis shows the years 2017 to 2047. The 3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1,544,000 individuals who were in the non income support family class at 30 June 2017.&#10;&#10;This chart shows that 45% of this group are expected to still be in the non-income support family class in 2022 and 21% are expected to be in the same class in 2027. The main transitions out of this class pre-retirement are to the previous welfare recipient, working age, disability support and carer classes. The majority of people transitioning from this class are projected to exit the payment system, with over 50% expected to have exited to the previous welfare recipient class by 2027. A large proportion of this group are projected to transition to the pension age class in later years with 34% of the group projected to be in that class in 2047.&#10;&#10;The Jun16 proportion of people in all active classes and the Jun16 proportion of people in the Non IS Family class are also shown. In both cases, the proportion of people in Jun17 is between 0% - 10% lower than in the previous year. &#10;&#10;&#10;The features shown in the chart are discussed further in the accompanying text within the report.&#10;" title="Expected future trajectory for people in clas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870960" cy="2156460"/>
                          </a:xfrm>
                          <a:prstGeom prst="rect">
                            <a:avLst/>
                          </a:prstGeom>
                          <a:noFill/>
                          <a:ln>
                            <a:noFill/>
                          </a:ln>
                        </pic:spPr>
                      </pic:pic>
                    </a:graphicData>
                  </a:graphic>
                </wp:inline>
              </w:drawing>
            </w:r>
          </w:p>
        </w:tc>
        <w:tc>
          <w:tcPr>
            <w:tcW w:w="2977" w:type="dxa"/>
          </w:tcPr>
          <w:p w14:paraId="7357CC57" w14:textId="77777777" w:rsidR="009B2D09" w:rsidRPr="00452FA8" w:rsidRDefault="009B2D09" w:rsidP="000D6C29">
            <w:pPr>
              <w:pStyle w:val="TableTextSmall"/>
            </w:pPr>
          </w:p>
          <w:p w14:paraId="0A472476" w14:textId="1E36D114" w:rsidR="009B2D09" w:rsidRPr="00452FA8" w:rsidRDefault="003668BA" w:rsidP="000D6C29">
            <w:pPr>
              <w:pStyle w:val="TableTextSmall"/>
            </w:pPr>
            <w:r w:rsidRPr="003668BA">
              <w:rPr>
                <w:noProof/>
                <w:lang w:eastAsia="en-AU"/>
              </w:rPr>
              <w:drawing>
                <wp:inline distT="0" distB="0" distL="0" distR="0" wp14:anchorId="37FFBD90" wp14:editId="0BCF36E6">
                  <wp:extent cx="1440000" cy="1779387"/>
                  <wp:effectExtent l="0" t="0" r="0" b="0"/>
                  <wp:docPr id="3900" name="Picture 3900"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p w14:paraId="664E8A46" w14:textId="77777777" w:rsidR="009B2D09" w:rsidRPr="00452FA8" w:rsidRDefault="009B2D09" w:rsidP="000D6C29">
            <w:pPr>
              <w:pStyle w:val="TableTextSmall"/>
            </w:pPr>
          </w:p>
        </w:tc>
      </w:tr>
    </w:tbl>
    <w:p w14:paraId="4C924910" w14:textId="77777777" w:rsidR="007B0A8D" w:rsidRPr="0035326F" w:rsidRDefault="007B0A8D" w:rsidP="007B0A8D">
      <w:pPr>
        <w:pStyle w:val="PwCNormal-keepwithnext"/>
        <w:numPr>
          <w:ilvl w:val="0"/>
          <w:numId w:val="1"/>
        </w:numPr>
      </w:pPr>
      <w:r w:rsidRPr="0035326F">
        <w:t xml:space="preserve">We can see that: </w:t>
      </w:r>
    </w:p>
    <w:p w14:paraId="2309B957" w14:textId="003CF322" w:rsidR="007B0A8D" w:rsidRPr="0035326F" w:rsidRDefault="007B0A8D" w:rsidP="007B0A8D">
      <w:pPr>
        <w:pStyle w:val="Bullet1"/>
      </w:pPr>
      <w:r w:rsidRPr="0035326F">
        <w:t xml:space="preserve">In </w:t>
      </w:r>
      <w:r w:rsidR="00722399">
        <w:t>five</w:t>
      </w:r>
      <w:r w:rsidRPr="0035326F">
        <w:t xml:space="preserve"> years</w:t>
      </w:r>
      <w:r w:rsidR="00722399">
        <w:t>,</w:t>
      </w:r>
      <w:r w:rsidRPr="0035326F">
        <w:t xml:space="preserve"> </w:t>
      </w:r>
      <w:r>
        <w:t>45</w:t>
      </w:r>
      <w:r w:rsidRPr="0035326F">
        <w:t xml:space="preserve">% of the current class 7 group are </w:t>
      </w:r>
      <w:r>
        <w:t>projected</w:t>
      </w:r>
      <w:r w:rsidRPr="0035326F">
        <w:t xml:space="preserve"> to be in class 7 (having either remained for the full period, or having exited the class and returned by this point).</w:t>
      </w:r>
      <w:r>
        <w:t xml:space="preserve"> In 10 years 21</w:t>
      </w:r>
      <w:r w:rsidRPr="0035326F">
        <w:t xml:space="preserve">% are </w:t>
      </w:r>
      <w:r>
        <w:t>projected</w:t>
      </w:r>
      <w:r w:rsidRPr="0035326F">
        <w:t xml:space="preserve"> to be in class 7. This pattern of behaviour is likely to be determined by the eligibility criteria for </w:t>
      </w:r>
      <w:r w:rsidR="001749D8">
        <w:t>F</w:t>
      </w:r>
      <w:r w:rsidRPr="0035326F">
        <w:t xml:space="preserve">amily </w:t>
      </w:r>
      <w:r w:rsidR="001749D8">
        <w:t>T</w:t>
      </w:r>
      <w:r w:rsidRPr="0035326F">
        <w:t xml:space="preserve">ax </w:t>
      </w:r>
      <w:r w:rsidR="001749D8">
        <w:t>B</w:t>
      </w:r>
      <w:r w:rsidRPr="0035326F">
        <w:t xml:space="preserve">enefit (linked to child ages) and </w:t>
      </w:r>
      <w:r w:rsidR="0070204F">
        <w:t>C</w:t>
      </w:r>
      <w:r w:rsidRPr="0035326F">
        <w:t xml:space="preserve">hild </w:t>
      </w:r>
      <w:r w:rsidR="0070204F">
        <w:t>C</w:t>
      </w:r>
      <w:r w:rsidRPr="0035326F">
        <w:t xml:space="preserve">are </w:t>
      </w:r>
      <w:r w:rsidR="0070204F">
        <w:t>B</w:t>
      </w:r>
      <w:r w:rsidRPr="0035326F">
        <w:t>enefits as these are the main payment types which cause people to be in this class.</w:t>
      </w:r>
    </w:p>
    <w:p w14:paraId="4717FFDE" w14:textId="77777777" w:rsidR="007B0A8D" w:rsidRPr="0035326F" w:rsidRDefault="007B0A8D" w:rsidP="007B0A8D">
      <w:pPr>
        <w:pStyle w:val="Bullet1"/>
      </w:pPr>
      <w:r w:rsidRPr="0035326F">
        <w:t xml:space="preserve">The majority of the people who </w:t>
      </w:r>
      <w:r>
        <w:t xml:space="preserve">are projected to </w:t>
      </w:r>
      <w:r w:rsidRPr="0035326F">
        <w:t>exit this class exit the payment system</w:t>
      </w:r>
      <w:r>
        <w:t xml:space="preserve"> completely</w:t>
      </w:r>
      <w:r w:rsidRPr="0035326F">
        <w:t>.</w:t>
      </w:r>
    </w:p>
    <w:p w14:paraId="7EBFC980" w14:textId="0E947CE3" w:rsidR="007B0A8D" w:rsidRPr="0035326F" w:rsidRDefault="007B0A8D" w:rsidP="007B0A8D">
      <w:pPr>
        <w:pStyle w:val="Bullet1"/>
      </w:pPr>
      <w:r w:rsidRPr="0035326F">
        <w:lastRenderedPageBreak/>
        <w:t xml:space="preserve">A small proportion of people </w:t>
      </w:r>
      <w:r>
        <w:t xml:space="preserve">are projected to </w:t>
      </w:r>
      <w:r w:rsidRPr="0035326F">
        <w:t xml:space="preserve">move onto a different payment at the point they exit this class, with the most common destinations first being </w:t>
      </w:r>
      <w:r w:rsidR="003C32DF">
        <w:t>Working Age payments</w:t>
      </w:r>
      <w:r w:rsidRPr="0035326F">
        <w:t>, then the two carer classes, and then later being the age pension.</w:t>
      </w:r>
    </w:p>
    <w:p w14:paraId="1EA23C3F" w14:textId="77777777" w:rsidR="007B0A8D" w:rsidRPr="00664384" w:rsidRDefault="007B0A8D" w:rsidP="007B0A8D">
      <w:pPr>
        <w:pStyle w:val="Minorheading"/>
      </w:pPr>
      <w:r w:rsidRPr="00664384">
        <w:t>Duration</w:t>
      </w:r>
    </w:p>
    <w:p w14:paraId="50EE0365" w14:textId="77777777" w:rsidR="007B0A8D" w:rsidRPr="00610EAE" w:rsidRDefault="007B0A8D" w:rsidP="007B0A8D">
      <w:pPr>
        <w:pStyle w:val="PwCNormal"/>
        <w:numPr>
          <w:ilvl w:val="0"/>
          <w:numId w:val="1"/>
        </w:numPr>
      </w:pPr>
      <w:r w:rsidRPr="00610EAE">
        <w:t xml:space="preserve">The average future life expectancy for the Non IS Family class is </w:t>
      </w:r>
      <w:r w:rsidRPr="00610EAE">
        <w:rPr>
          <w:b/>
        </w:rPr>
        <w:t>51</w:t>
      </w:r>
      <w:r w:rsidRPr="00610EAE">
        <w:t xml:space="preserve"> years. This reflects that the age profile of this class is well distributed across the ages 25 to 55.</w:t>
      </w:r>
    </w:p>
    <w:p w14:paraId="5EC27AF8" w14:textId="5605109B" w:rsidR="009B2D09" w:rsidRPr="00664384" w:rsidRDefault="007B0A8D" w:rsidP="007B0A8D">
      <w:pPr>
        <w:pStyle w:val="PwCNormal"/>
        <w:numPr>
          <w:ilvl w:val="0"/>
          <w:numId w:val="0"/>
        </w:numPr>
      </w:pPr>
      <w:r w:rsidRPr="00664384">
        <w:t>The table below provides a summary of the expected welfare system use of people currently in this class over this time. This has been developed by considering which classes people move into as they move through the welfare system over their lives.</w:t>
      </w:r>
    </w:p>
    <w:p w14:paraId="65F47420" w14:textId="45137DAB" w:rsidR="009B2D09" w:rsidRPr="00664384" w:rsidRDefault="009B2D09" w:rsidP="009B2D09">
      <w:pPr>
        <w:pStyle w:val="Caption"/>
      </w:pPr>
      <w:r w:rsidRPr="00664384">
        <w:t xml:space="preserve">Table </w:t>
      </w:r>
      <w:fldSimple w:instr=" SEQ Table \* ARABIC ">
        <w:r w:rsidR="00C93C1A">
          <w:rPr>
            <w:noProof/>
          </w:rPr>
          <w:t>43</w:t>
        </w:r>
      </w:fldSimple>
      <w:r w:rsidRPr="00664384">
        <w:t xml:space="preserve">: Expected durations in welfare system for people currently in </w:t>
      </w:r>
      <w:r w:rsidR="00871E70">
        <w:t>c</w:t>
      </w:r>
      <w:r w:rsidRPr="00664384">
        <w:t>lass 7</w:t>
      </w:r>
    </w:p>
    <w:tbl>
      <w:tblPr>
        <w:tblStyle w:val="ListTable3-Accent61"/>
        <w:tblW w:w="8868" w:type="dxa"/>
        <w:tblInd w:w="108" w:type="dxa"/>
        <w:tblLook w:val="04A0" w:firstRow="1" w:lastRow="0" w:firstColumn="1" w:lastColumn="0" w:noHBand="0" w:noVBand="1"/>
        <w:tblCaption w:val=" Expected durations in welfare system for people currently in Class 7"/>
        <w:tblDescription w:val="This table provides data on the expected number of years people currently in Class 7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ercentage these years are of future lifetime.  The expected future life expectancy of people in Class 7 is 51 years. &#10;&#10;Further features of the data in this table are discussed in the accompanying text within the report.&#10;"/>
      </w:tblPr>
      <w:tblGrid>
        <w:gridCol w:w="3828"/>
        <w:gridCol w:w="2520"/>
        <w:gridCol w:w="2520"/>
      </w:tblGrid>
      <w:tr w:rsidR="009B2D09" w:rsidRPr="00664384" w14:paraId="37F4A986"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6E17EF60" w14:textId="77777777" w:rsidR="009B2D09" w:rsidRPr="00664384" w:rsidRDefault="009B2D09" w:rsidP="000D6C29">
            <w:pPr>
              <w:pStyle w:val="TableTextSmall"/>
              <w:jc w:val="center"/>
              <w:rPr>
                <w:rFonts w:asciiTheme="majorHAnsi" w:hAnsiTheme="majorHAnsi"/>
                <w:color w:val="FFFFFF" w:themeColor="background1"/>
              </w:rPr>
            </w:pPr>
          </w:p>
        </w:tc>
        <w:tc>
          <w:tcPr>
            <w:tcW w:w="2520" w:type="dxa"/>
          </w:tcPr>
          <w:p w14:paraId="27472A77" w14:textId="77777777" w:rsidR="009B2D09" w:rsidRPr="00664384" w:rsidRDefault="009B2D09"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664384">
              <w:rPr>
                <w:rFonts w:asciiTheme="majorHAnsi" w:hAnsiTheme="majorHAnsi"/>
                <w:color w:val="FFFFFF" w:themeColor="background1"/>
              </w:rPr>
              <w:t>Expected Years</w:t>
            </w:r>
          </w:p>
        </w:tc>
        <w:tc>
          <w:tcPr>
            <w:tcW w:w="2520" w:type="dxa"/>
          </w:tcPr>
          <w:p w14:paraId="7034E2FB" w14:textId="77777777" w:rsidR="009B2D09" w:rsidRPr="00664384" w:rsidRDefault="009B2D09" w:rsidP="000D6C29">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664384">
              <w:rPr>
                <w:rFonts w:asciiTheme="majorHAnsi" w:hAnsiTheme="majorHAnsi"/>
                <w:color w:val="FFFFFF" w:themeColor="background1"/>
              </w:rPr>
              <w:t>Proportion of Future Lifetime</w:t>
            </w:r>
          </w:p>
        </w:tc>
      </w:tr>
      <w:tr w:rsidR="009B2D09" w:rsidRPr="00664384" w14:paraId="4BB1D9F5"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0185AB6" w14:textId="77777777" w:rsidR="009B2D09" w:rsidRPr="00664384" w:rsidRDefault="009B2D09" w:rsidP="000D6C29">
            <w:pPr>
              <w:pStyle w:val="TableTextSmall"/>
            </w:pPr>
            <w:r w:rsidRPr="00664384">
              <w:t>Years with some income support payments:</w:t>
            </w:r>
          </w:p>
          <w:p w14:paraId="015CDA94" w14:textId="35734455" w:rsidR="009B2D09" w:rsidRPr="00664384" w:rsidRDefault="009B2D09" w:rsidP="00964D65">
            <w:pPr>
              <w:pStyle w:val="TableTextSmall"/>
              <w:numPr>
                <w:ilvl w:val="0"/>
                <w:numId w:val="36"/>
              </w:numPr>
            </w:pPr>
            <w:r w:rsidRPr="00664384">
              <w:t>Not age pension (classes 1-5)</w:t>
            </w:r>
          </w:p>
          <w:p w14:paraId="623A06CD" w14:textId="7415D889" w:rsidR="009B2D09" w:rsidRPr="00664384" w:rsidRDefault="009B2D09" w:rsidP="00964D65">
            <w:pPr>
              <w:pStyle w:val="TableTextSmall"/>
              <w:numPr>
                <w:ilvl w:val="0"/>
                <w:numId w:val="36"/>
              </w:numPr>
            </w:pPr>
            <w:r w:rsidRPr="00664384">
              <w:t>Age pension (class 6)</w:t>
            </w:r>
          </w:p>
        </w:tc>
        <w:tc>
          <w:tcPr>
            <w:tcW w:w="2520" w:type="dxa"/>
          </w:tcPr>
          <w:p w14:paraId="6723D8AA" w14:textId="77777777" w:rsidR="009B2D09" w:rsidRPr="00664384" w:rsidRDefault="009B2D09"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664384">
              <w:br/>
              <w:t>4</w:t>
            </w:r>
          </w:p>
          <w:p w14:paraId="653BD02A" w14:textId="77777777" w:rsidR="009B2D09" w:rsidRPr="00664384" w:rsidRDefault="009B2D09"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664384">
              <w:t>16</w:t>
            </w:r>
          </w:p>
        </w:tc>
        <w:tc>
          <w:tcPr>
            <w:tcW w:w="2520" w:type="dxa"/>
          </w:tcPr>
          <w:p w14:paraId="42ADD65D" w14:textId="383A3264" w:rsidR="009B2D09" w:rsidRPr="00664384" w:rsidRDefault="009B2D09" w:rsidP="000D6C29">
            <w:pPr>
              <w:pStyle w:val="TableTextSmall"/>
              <w:jc w:val="center"/>
              <w:cnfStyle w:val="000000100000" w:firstRow="0" w:lastRow="0" w:firstColumn="0" w:lastColumn="0" w:oddVBand="0" w:evenVBand="0" w:oddHBand="1" w:evenHBand="0" w:firstRowFirstColumn="0" w:firstRowLastColumn="0" w:lastRowFirstColumn="0" w:lastRowLastColumn="0"/>
            </w:pPr>
            <w:r w:rsidRPr="00664384">
              <w:br/>
            </w:r>
            <w:r w:rsidR="00664384">
              <w:t>7%</w:t>
            </w:r>
          </w:p>
          <w:p w14:paraId="22059856" w14:textId="472E60E6" w:rsidR="009B2D09" w:rsidRPr="00664384" w:rsidRDefault="00B81E73" w:rsidP="00664384">
            <w:pPr>
              <w:pStyle w:val="TableTextSmall"/>
              <w:jc w:val="center"/>
              <w:cnfStyle w:val="000000100000" w:firstRow="0" w:lastRow="0" w:firstColumn="0" w:lastColumn="0" w:oddVBand="0" w:evenVBand="0" w:oddHBand="1" w:evenHBand="0" w:firstRowFirstColumn="0" w:firstRowLastColumn="0" w:lastRowFirstColumn="0" w:lastRowLastColumn="0"/>
            </w:pPr>
            <w:r w:rsidRPr="00664384">
              <w:t>3</w:t>
            </w:r>
            <w:r w:rsidR="00664384">
              <w:t>1</w:t>
            </w:r>
            <w:r w:rsidR="009B2D09" w:rsidRPr="00664384">
              <w:t>%</w:t>
            </w:r>
          </w:p>
        </w:tc>
      </w:tr>
      <w:tr w:rsidR="009B2D09" w:rsidRPr="00664384" w14:paraId="4BE857CE"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0103671F" w14:textId="0F0EC7DC" w:rsidR="009B2D09" w:rsidRPr="00664384" w:rsidRDefault="009B2D09" w:rsidP="000D6C29">
            <w:pPr>
              <w:pStyle w:val="TableTextSmall"/>
            </w:pPr>
            <w:r w:rsidRPr="00664384">
              <w:t xml:space="preserve">Years with </w:t>
            </w:r>
            <w:r w:rsidR="005B3E7D">
              <w:t>non income</w:t>
            </w:r>
            <w:r w:rsidRPr="00664384">
              <w:t xml:space="preserve"> support payments only</w:t>
            </w:r>
          </w:p>
        </w:tc>
        <w:tc>
          <w:tcPr>
            <w:tcW w:w="2520" w:type="dxa"/>
          </w:tcPr>
          <w:p w14:paraId="7A97BEF0" w14:textId="7435FCFD" w:rsidR="009B2D09" w:rsidRPr="00664384" w:rsidRDefault="00664384" w:rsidP="000D6C29">
            <w:pPr>
              <w:pStyle w:val="TableTextSmall"/>
              <w:jc w:val="center"/>
              <w:cnfStyle w:val="000000000000" w:firstRow="0" w:lastRow="0" w:firstColumn="0" w:lastColumn="0" w:oddVBand="0" w:evenVBand="0" w:oddHBand="0" w:evenHBand="0" w:firstRowFirstColumn="0" w:firstRowLastColumn="0" w:lastRowFirstColumn="0" w:lastRowLastColumn="0"/>
            </w:pPr>
            <w:r>
              <w:t>7</w:t>
            </w:r>
          </w:p>
        </w:tc>
        <w:tc>
          <w:tcPr>
            <w:tcW w:w="2520" w:type="dxa"/>
          </w:tcPr>
          <w:p w14:paraId="2A85039D" w14:textId="5110F9F6" w:rsidR="009B2D09" w:rsidRPr="00664384" w:rsidRDefault="00B81E73" w:rsidP="00664384">
            <w:pPr>
              <w:pStyle w:val="TableTextSmall"/>
              <w:jc w:val="center"/>
              <w:cnfStyle w:val="000000000000" w:firstRow="0" w:lastRow="0" w:firstColumn="0" w:lastColumn="0" w:oddVBand="0" w:evenVBand="0" w:oddHBand="0" w:evenHBand="0" w:firstRowFirstColumn="0" w:firstRowLastColumn="0" w:lastRowFirstColumn="0" w:lastRowLastColumn="0"/>
            </w:pPr>
            <w:r w:rsidRPr="00664384">
              <w:t>1</w:t>
            </w:r>
            <w:r w:rsidR="00664384">
              <w:t>4</w:t>
            </w:r>
            <w:r w:rsidR="009B2D09" w:rsidRPr="00664384">
              <w:t>%</w:t>
            </w:r>
          </w:p>
        </w:tc>
      </w:tr>
      <w:tr w:rsidR="009B2D09" w:rsidRPr="00664384" w14:paraId="78713AA4"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B7D5566" w14:textId="77777777" w:rsidR="009B2D09" w:rsidRPr="00664384" w:rsidRDefault="009B2D09" w:rsidP="000D6C29">
            <w:pPr>
              <w:pStyle w:val="TableTextSmall"/>
            </w:pPr>
            <w:r w:rsidRPr="00664384">
              <w:t>Years not receiving any welfare payments</w:t>
            </w:r>
          </w:p>
        </w:tc>
        <w:tc>
          <w:tcPr>
            <w:tcW w:w="2520" w:type="dxa"/>
          </w:tcPr>
          <w:p w14:paraId="0242028D" w14:textId="32D210A1" w:rsidR="009B2D09" w:rsidRPr="00664384" w:rsidRDefault="00664384" w:rsidP="000D6C29">
            <w:pPr>
              <w:pStyle w:val="TableTextSmall"/>
              <w:jc w:val="center"/>
              <w:cnfStyle w:val="000000100000" w:firstRow="0" w:lastRow="0" w:firstColumn="0" w:lastColumn="0" w:oddVBand="0" w:evenVBand="0" w:oddHBand="1" w:evenHBand="0" w:firstRowFirstColumn="0" w:firstRowLastColumn="0" w:lastRowFirstColumn="0" w:lastRowLastColumn="0"/>
            </w:pPr>
            <w:r>
              <w:t>24</w:t>
            </w:r>
          </w:p>
        </w:tc>
        <w:tc>
          <w:tcPr>
            <w:tcW w:w="2520" w:type="dxa"/>
          </w:tcPr>
          <w:p w14:paraId="39687C31" w14:textId="290999C0" w:rsidR="009B2D09" w:rsidRPr="00664384" w:rsidRDefault="00664384" w:rsidP="000D6C29">
            <w:pPr>
              <w:pStyle w:val="TableTextSmall"/>
              <w:jc w:val="center"/>
              <w:cnfStyle w:val="000000100000" w:firstRow="0" w:lastRow="0" w:firstColumn="0" w:lastColumn="0" w:oddVBand="0" w:evenVBand="0" w:oddHBand="1" w:evenHBand="0" w:firstRowFirstColumn="0" w:firstRowLastColumn="0" w:lastRowFirstColumn="0" w:lastRowLastColumn="0"/>
            </w:pPr>
            <w:r>
              <w:t>48</w:t>
            </w:r>
            <w:r w:rsidR="009B2D09" w:rsidRPr="00664384">
              <w:t>%</w:t>
            </w:r>
          </w:p>
        </w:tc>
      </w:tr>
      <w:tr w:rsidR="009B2D09" w:rsidRPr="009210D0" w14:paraId="44BD8EF8"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2AE3AA6D" w14:textId="77777777" w:rsidR="009B2D09" w:rsidRPr="00664384" w:rsidRDefault="009B2D09" w:rsidP="000D6C29">
            <w:pPr>
              <w:pStyle w:val="TableTextSmall"/>
            </w:pPr>
            <w:r w:rsidRPr="00664384">
              <w:t>Total</w:t>
            </w:r>
          </w:p>
        </w:tc>
        <w:tc>
          <w:tcPr>
            <w:tcW w:w="2520" w:type="dxa"/>
          </w:tcPr>
          <w:p w14:paraId="7B0DF362" w14:textId="77777777" w:rsidR="009B2D09" w:rsidRPr="00664384" w:rsidRDefault="009B2D09" w:rsidP="00B81E73">
            <w:pPr>
              <w:pStyle w:val="TableTextSmall"/>
              <w:jc w:val="center"/>
              <w:cnfStyle w:val="000000000000" w:firstRow="0" w:lastRow="0" w:firstColumn="0" w:lastColumn="0" w:oddVBand="0" w:evenVBand="0" w:oddHBand="0" w:evenHBand="0" w:firstRowFirstColumn="0" w:firstRowLastColumn="0" w:lastRowFirstColumn="0" w:lastRowLastColumn="0"/>
            </w:pPr>
            <w:r w:rsidRPr="00664384">
              <w:t>5</w:t>
            </w:r>
            <w:r w:rsidR="00B81E73" w:rsidRPr="00664384">
              <w:t>1</w:t>
            </w:r>
          </w:p>
        </w:tc>
        <w:tc>
          <w:tcPr>
            <w:tcW w:w="2520" w:type="dxa"/>
          </w:tcPr>
          <w:p w14:paraId="613EE3FF" w14:textId="77777777" w:rsidR="009B2D09" w:rsidRPr="00664384" w:rsidRDefault="009B2D09"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664384">
              <w:t>100%</w:t>
            </w:r>
          </w:p>
        </w:tc>
      </w:tr>
    </w:tbl>
    <w:p w14:paraId="3722980F" w14:textId="77777777" w:rsidR="005B4509" w:rsidRPr="0057506F" w:rsidRDefault="005B4509" w:rsidP="003D6B51">
      <w:pPr>
        <w:pStyle w:val="PwCNormal-Single"/>
      </w:pPr>
    </w:p>
    <w:p w14:paraId="45305ABB" w14:textId="77777777" w:rsidR="005B4509" w:rsidRPr="0057506F" w:rsidRDefault="005B4509" w:rsidP="005B4509">
      <w:pPr>
        <w:pStyle w:val="PwCNormal"/>
        <w:numPr>
          <w:ilvl w:val="0"/>
          <w:numId w:val="0"/>
        </w:numPr>
      </w:pPr>
      <w:r w:rsidRPr="0057506F">
        <w:br w:type="page"/>
      </w:r>
    </w:p>
    <w:p w14:paraId="51CD9BA9" w14:textId="77777777" w:rsidR="007B0A8D" w:rsidRPr="000E6396" w:rsidRDefault="007B0A8D" w:rsidP="007B0A8D">
      <w:pPr>
        <w:pStyle w:val="Heading3"/>
      </w:pPr>
      <w:bookmarkStart w:id="243" w:name="_Toc506388234"/>
      <w:r w:rsidRPr="000E6396">
        <w:lastRenderedPageBreak/>
        <w:t>Non income support – Carers</w:t>
      </w:r>
      <w:bookmarkEnd w:id="243"/>
    </w:p>
    <w:p w14:paraId="57D9793C" w14:textId="77777777" w:rsidR="007B0A8D" w:rsidRDefault="007B0A8D" w:rsidP="007B0A8D">
      <w:pPr>
        <w:pStyle w:val="PwCNormal"/>
        <w:numPr>
          <w:ilvl w:val="0"/>
          <w:numId w:val="1"/>
        </w:numPr>
      </w:pPr>
      <w:r w:rsidRPr="003A1733">
        <w:t xml:space="preserve">As noted previously, this class includes those people receiving Carer Allowance or Carer Supplement, who do not also receive any Carers Payment or any other income support payment. People receiving the Carers Payment are in class 4 and have been discussed in section </w:t>
      </w:r>
      <w:r w:rsidRPr="003A1733">
        <w:fldChar w:fldCharType="begin"/>
      </w:r>
      <w:r w:rsidRPr="003A1733">
        <w:instrText xml:space="preserve"> REF _Ref437438733 \n \h  \* MERGEFORMAT </w:instrText>
      </w:r>
      <w:r w:rsidRPr="003A1733">
        <w:fldChar w:fldCharType="separate"/>
      </w:r>
      <w:r w:rsidR="00C93C1A">
        <w:t>6.4</w:t>
      </w:r>
      <w:r w:rsidRPr="003A1733">
        <w:fldChar w:fldCharType="end"/>
      </w:r>
      <w:r w:rsidRPr="003A173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contains the key points related to the Non Income Support-Carers class."/>
      </w:tblPr>
      <w:tblGrid>
        <w:gridCol w:w="10081"/>
      </w:tblGrid>
      <w:tr w:rsidR="007B0A8D" w:rsidRPr="006B0F86" w14:paraId="18615C3A" w14:textId="77777777" w:rsidTr="007B0A8D">
        <w:trPr>
          <w:trHeight w:val="1260"/>
          <w:tblHeader/>
        </w:trPr>
        <w:tc>
          <w:tcPr>
            <w:tcW w:w="10081" w:type="dxa"/>
            <w:shd w:val="clear" w:color="auto" w:fill="F3ABA4" w:themeFill="accent6" w:themeFillTint="66"/>
          </w:tcPr>
          <w:p w14:paraId="4D0CE0A4" w14:textId="0A300A49" w:rsidR="007B0A8D" w:rsidRPr="00BE2F68" w:rsidRDefault="008D4D1B" w:rsidP="007B0A8D">
            <w:pPr>
              <w:pStyle w:val="PwCNormal"/>
              <w:numPr>
                <w:ilvl w:val="0"/>
                <w:numId w:val="1"/>
              </w:numPr>
              <w:rPr>
                <w:b/>
              </w:rPr>
            </w:pPr>
            <w:r>
              <w:rPr>
                <w:b/>
              </w:rPr>
              <w:t>Key points</w:t>
            </w:r>
          </w:p>
          <w:p w14:paraId="0212D85C" w14:textId="77777777" w:rsidR="007B0A8D" w:rsidRPr="00BE2F68" w:rsidRDefault="007B0A8D" w:rsidP="007B0A8D">
            <w:pPr>
              <w:pStyle w:val="PwCNormal"/>
              <w:numPr>
                <w:ilvl w:val="0"/>
                <w:numId w:val="0"/>
              </w:numPr>
            </w:pPr>
            <w:r w:rsidRPr="00BE2F68">
              <w:t xml:space="preserve">There were 203,000 people in the Non IS Carers class in 2017. Over 80% of this class are women who are </w:t>
            </w:r>
            <w:r>
              <w:t>mostly</w:t>
            </w:r>
            <w:r w:rsidRPr="00BE2F68">
              <w:t xml:space="preserve"> aged from their early-thirties up to retirement age.</w:t>
            </w:r>
          </w:p>
          <w:p w14:paraId="280300AA" w14:textId="77777777" w:rsidR="007B0A8D" w:rsidRDefault="007B0A8D" w:rsidP="007B0A8D">
            <w:pPr>
              <w:pStyle w:val="Bullet1"/>
            </w:pPr>
            <w:r w:rsidRPr="007B6BCD">
              <w:t xml:space="preserve">This is a very stable class with over 80% of people who are aged above 30 continuing to remain in the class each year. </w:t>
            </w:r>
            <w:r>
              <w:t xml:space="preserve">Persistence in class 8 increases with the time spent in class 8. </w:t>
            </w:r>
            <w:r w:rsidRPr="007B6BCD">
              <w:t>This high rate of persistence has increased further in recent times.</w:t>
            </w:r>
            <w:r>
              <w:t xml:space="preserve"> </w:t>
            </w:r>
          </w:p>
          <w:p w14:paraId="163D38ED" w14:textId="77777777" w:rsidR="007B0A8D" w:rsidRPr="007B6BCD" w:rsidRDefault="007B0A8D" w:rsidP="007B0A8D">
            <w:pPr>
              <w:pStyle w:val="Bullet1"/>
            </w:pPr>
            <w:r>
              <w:t xml:space="preserve">Younger carers leaving the class are most likely to transition back to the last class they were in prior to entering class 8, suggesting they were temporary carers who returned to their previous situation. </w:t>
            </w:r>
          </w:p>
          <w:p w14:paraId="45BDAB4C" w14:textId="287B6DA4" w:rsidR="007B0A8D" w:rsidRPr="006B0F86" w:rsidRDefault="007B0A8D" w:rsidP="00ED5494">
            <w:pPr>
              <w:pStyle w:val="Bullet1"/>
            </w:pPr>
            <w:r w:rsidRPr="00333E0B">
              <w:t xml:space="preserve">The average rate of </w:t>
            </w:r>
            <w:r w:rsidR="00ED5494">
              <w:t>C</w:t>
            </w:r>
            <w:r w:rsidRPr="00333E0B">
              <w:t xml:space="preserve">arer </w:t>
            </w:r>
            <w:r w:rsidR="00ED5494">
              <w:t>Allowance and C</w:t>
            </w:r>
            <w:r w:rsidRPr="00333E0B">
              <w:t xml:space="preserve">arer </w:t>
            </w:r>
            <w:r w:rsidR="00ED5494">
              <w:t>S</w:t>
            </w:r>
            <w:r w:rsidRPr="00333E0B">
              <w:t>upplement to people in thi</w:t>
            </w:r>
            <w:r w:rsidR="00ED5494">
              <w:t>s class has been stable, while F</w:t>
            </w:r>
            <w:r w:rsidRPr="00333E0B">
              <w:t xml:space="preserve">amily </w:t>
            </w:r>
            <w:r w:rsidR="00ED5494">
              <w:t>Tax B</w:t>
            </w:r>
            <w:r w:rsidRPr="00333E0B">
              <w:t>enefits have decreased.</w:t>
            </w:r>
          </w:p>
        </w:tc>
      </w:tr>
    </w:tbl>
    <w:p w14:paraId="6A1BD9D6" w14:textId="77777777" w:rsidR="007B0A8D" w:rsidRPr="003A1733" w:rsidRDefault="007B0A8D" w:rsidP="007B0A8D">
      <w:pPr>
        <w:pStyle w:val="Heading4"/>
      </w:pPr>
      <w:r w:rsidRPr="003A1733">
        <w:t xml:space="preserve">What does the data tell us about </w:t>
      </w:r>
      <w:r>
        <w:t xml:space="preserve">the </w:t>
      </w:r>
      <w:r w:rsidRPr="003A1733">
        <w:t>Non IS Carers</w:t>
      </w:r>
      <w:r>
        <w:t xml:space="preserve"> class</w:t>
      </w:r>
      <w:r w:rsidRPr="003A1733">
        <w:t>?</w:t>
      </w:r>
    </w:p>
    <w:p w14:paraId="4980CC7F" w14:textId="069527E7" w:rsidR="007B0A8D" w:rsidRPr="003A1733" w:rsidRDefault="007B0A8D" w:rsidP="007B0A8D">
      <w:pPr>
        <w:pStyle w:val="PwCNormal"/>
        <w:numPr>
          <w:ilvl w:val="0"/>
          <w:numId w:val="0"/>
        </w:numPr>
      </w:pPr>
      <w:r w:rsidRPr="003A1733">
        <w:t>There were 20</w:t>
      </w:r>
      <w:r w:rsidR="00B513F7">
        <w:t>3,000</w:t>
      </w:r>
      <w:r w:rsidRPr="003A1733">
        <w:t xml:space="preserve"> people in the Non IS Carers class in the 2017 model population. This represents 0.8% of the population of Aus</w:t>
      </w:r>
      <w:r w:rsidRPr="002D2D76">
        <w:t>tralia which is unchanged from the previous valuation</w:t>
      </w:r>
      <w:r>
        <w:t>, and 2.5</w:t>
      </w:r>
      <w:r w:rsidRPr="003A1733">
        <w:t>% of current welfare recipients; it is the smallest of all the classes.</w:t>
      </w:r>
    </w:p>
    <w:p w14:paraId="7CAA54BB" w14:textId="6D31F13C" w:rsidR="00AE6C45" w:rsidRPr="003A1733" w:rsidRDefault="007B0A8D" w:rsidP="007B0A8D">
      <w:pPr>
        <w:pStyle w:val="PwCNormal"/>
        <w:numPr>
          <w:ilvl w:val="0"/>
          <w:numId w:val="0"/>
        </w:numPr>
      </w:pPr>
      <w:r w:rsidRPr="003A1733">
        <w:t>The following chart shows a breakdown of the number of people in the Non IS Carers class by age and gender.</w:t>
      </w:r>
    </w:p>
    <w:p w14:paraId="2D8173F5" w14:textId="232872F4" w:rsidR="00AE6C45" w:rsidRPr="003A1733" w:rsidRDefault="00AE6C45" w:rsidP="00AE6C45">
      <w:pPr>
        <w:pStyle w:val="Caption"/>
      </w:pPr>
      <w:r w:rsidRPr="003A1733">
        <w:t xml:space="preserve">Figure </w:t>
      </w:r>
      <w:fldSimple w:instr=" SEQ Figure \* ARABIC ">
        <w:r w:rsidR="00C93C1A">
          <w:rPr>
            <w:noProof/>
          </w:rPr>
          <w:t>85</w:t>
        </w:r>
      </w:fldSimple>
      <w:r w:rsidRPr="003A1733">
        <w:t xml:space="preserve">: 2017 profile of people in </w:t>
      </w:r>
      <w:r w:rsidR="00871E70">
        <w:t>c</w:t>
      </w:r>
      <w:r w:rsidRPr="003A1733">
        <w:t>lass 8 – Non IS Carers (age/gender)</w:t>
      </w:r>
    </w:p>
    <w:tbl>
      <w:tblPr>
        <w:tblStyle w:val="Tables-APBase"/>
        <w:tblW w:w="393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2016 profile of people in Class 8 – Non IS Carers (age/gender)&#10;"/>
        <w:tblDescription w:val="This figure is a horizontal bar chart number of people in the Non IS Carer class at Jun16 by age for males and females separately. The vertical axis shows age with the data shown ranging from 9 to 102. The horizontal axis shows the number of people ranging from 0 to 7,500. The number of males at each age are shown by the horizontal bars to the left of the vertical axis and the number of females at each age are shown by horizontal bars to the right.&#10;&#10;The chart is based on the 201,000 individuals who were in the carers (income support) class at 30 June 2016. &#10;&#10;The chart shows that the people in this class are predominately females aged between 30 and 70. The number of females peaks at approximately 6,700 at age 44. The number of males peaks at approximately 1,000 at age 53.&#10;"/>
      </w:tblPr>
      <w:tblGrid>
        <w:gridCol w:w="6379"/>
        <w:gridCol w:w="1559"/>
      </w:tblGrid>
      <w:tr w:rsidR="00AE6C45" w:rsidRPr="009210D0" w14:paraId="0A82F429" w14:textId="77777777" w:rsidTr="00AE6C45">
        <w:trPr>
          <w:tblHeader/>
        </w:trPr>
        <w:tc>
          <w:tcPr>
            <w:tcW w:w="6379" w:type="dxa"/>
          </w:tcPr>
          <w:p w14:paraId="5A4A58BE" w14:textId="77777777" w:rsidR="00AE6C45" w:rsidRPr="003A1733" w:rsidRDefault="00AE6C45" w:rsidP="00AE6C45">
            <w:pPr>
              <w:pStyle w:val="TableTextSmall"/>
              <w:keepNext/>
              <w:rPr>
                <w:lang w:eastAsia="en-AU"/>
              </w:rPr>
            </w:pPr>
            <w:r w:rsidRPr="003A1733">
              <w:rPr>
                <w:noProof/>
                <w:lang w:eastAsia="en-AU"/>
              </w:rPr>
              <w:drawing>
                <wp:inline distT="0" distB="0" distL="0" distR="0" wp14:anchorId="3A434952" wp14:editId="3C936F73">
                  <wp:extent cx="3652800" cy="2160000"/>
                  <wp:effectExtent l="0" t="0" r="5080" b="0"/>
                  <wp:docPr id="305" name="Picture 305" descr="This figure is a horizontal bar chart number of people in the Non IS Carer class at Jun17 by age for males and females separately. The vertical axis shows age with the data shown ranging from 10 to 90. The horizontal axis shows the number of people ranging from 0 to 7,500. The number of males at each age are shown by the horizontal bars to the left of the vertical axis and the number of females at each age are shown by horizontal bars to the right.&#10;&#10;The chart is based on the 203,000 individuals who were in the carers (income support) class at 30 June 2017. &#10;&#10;The chart shows that the people in this class are predominately females aged between 30 and 70. The number of females peaks at approximately 6,700 at age 45. The number of males peaks at approximately 1,000 at age 46.&#10;" title="2017 profile of people in class 8 – Non IS Carers (age/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652800" cy="2160000"/>
                          </a:xfrm>
                          <a:prstGeom prst="rect">
                            <a:avLst/>
                          </a:prstGeom>
                          <a:noFill/>
                          <a:ln>
                            <a:noFill/>
                          </a:ln>
                        </pic:spPr>
                      </pic:pic>
                    </a:graphicData>
                  </a:graphic>
                </wp:inline>
              </w:drawing>
            </w:r>
          </w:p>
        </w:tc>
        <w:tc>
          <w:tcPr>
            <w:tcW w:w="1559" w:type="dxa"/>
          </w:tcPr>
          <w:p w14:paraId="713B4996" w14:textId="77777777" w:rsidR="00AE6C45" w:rsidRPr="003A1733" w:rsidRDefault="00AE6C45" w:rsidP="00AE6C45">
            <w:pPr>
              <w:pStyle w:val="TableTextSmall"/>
              <w:keepNext/>
              <w:rPr>
                <w:lang w:eastAsia="en-AU"/>
              </w:rPr>
            </w:pPr>
          </w:p>
        </w:tc>
      </w:tr>
    </w:tbl>
    <w:p w14:paraId="592E4365" w14:textId="77777777" w:rsidR="007B0A8D" w:rsidRPr="002A7553" w:rsidRDefault="007B0A8D" w:rsidP="007B0A8D">
      <w:pPr>
        <w:pStyle w:val="PwCNormal"/>
        <w:numPr>
          <w:ilvl w:val="0"/>
          <w:numId w:val="0"/>
        </w:numPr>
      </w:pPr>
      <w:r w:rsidRPr="00AE38E5">
        <w:t xml:space="preserve">From the chart, we can see that there are a mix of both men and women, albeit with </w:t>
      </w:r>
      <w:r>
        <w:t xml:space="preserve">substantially more </w:t>
      </w:r>
      <w:r w:rsidRPr="00AE38E5">
        <w:t xml:space="preserve">women at </w:t>
      </w:r>
      <w:r>
        <w:t xml:space="preserve">all </w:t>
      </w:r>
      <w:r w:rsidRPr="00AE38E5">
        <w:t xml:space="preserve">ages. The </w:t>
      </w:r>
      <w:r w:rsidRPr="002A7553">
        <w:t xml:space="preserve">people in this class are </w:t>
      </w:r>
      <w:r>
        <w:t>mostly</w:t>
      </w:r>
      <w:r w:rsidRPr="002A7553">
        <w:t xml:space="preserve"> aged 30 to 65, with class numbers peaking in the mid-forties. A material number of people stay in the class after retirement age.</w:t>
      </w:r>
    </w:p>
    <w:p w14:paraId="5EDC5A0C" w14:textId="59C08823" w:rsidR="007B0A8D" w:rsidRPr="0057506F" w:rsidRDefault="007B0A8D" w:rsidP="007B0A8D">
      <w:pPr>
        <w:pStyle w:val="Minorheading"/>
      </w:pPr>
      <w:r w:rsidRPr="002A7553">
        <w:t>Movements into and out of this class</w:t>
      </w:r>
      <w:r w:rsidR="000537A3">
        <w:tab/>
      </w:r>
    </w:p>
    <w:p w14:paraId="46776ED4" w14:textId="6A3F05A3" w:rsidR="007B0A8D" w:rsidRPr="002A7553" w:rsidRDefault="007B0A8D" w:rsidP="007B0A8D">
      <w:pPr>
        <w:pStyle w:val="PwCNormal"/>
        <w:numPr>
          <w:ilvl w:val="0"/>
          <w:numId w:val="1"/>
        </w:numPr>
      </w:pPr>
      <w:r>
        <w:t xml:space="preserve">Over the </w:t>
      </w:r>
      <w:r w:rsidR="00D52134">
        <w:t>two</w:t>
      </w:r>
      <w:r>
        <w:t xml:space="preserve"> </w:t>
      </w:r>
      <w:r w:rsidRPr="002A7553">
        <w:t>years</w:t>
      </w:r>
      <w:r>
        <w:t xml:space="preserve"> to 2016</w:t>
      </w:r>
      <w:r w:rsidRPr="002A7553">
        <w:t>, an average of 3</w:t>
      </w:r>
      <w:r>
        <w:t>3,2</w:t>
      </w:r>
      <w:r w:rsidRPr="002A7553">
        <w:t>00</w:t>
      </w:r>
      <w:r>
        <w:rPr>
          <w:rStyle w:val="FootnoteReference"/>
        </w:rPr>
        <w:footnoteReference w:id="7"/>
      </w:r>
      <w:r w:rsidRPr="002A7553">
        <w:t xml:space="preserve"> people (around 1</w:t>
      </w:r>
      <w:r>
        <w:t>6</w:t>
      </w:r>
      <w:r w:rsidRPr="002A7553">
        <w:t>.</w:t>
      </w:r>
      <w:r>
        <w:t>1</w:t>
      </w:r>
      <w:r w:rsidRPr="002A7553">
        <w:t>% of the people in this class) per annum enter</w:t>
      </w:r>
      <w:r>
        <w:t>ed</w:t>
      </w:r>
      <w:r w:rsidRPr="002A7553">
        <w:t xml:space="preserve"> this class from another welfare class or from outside the welfare system. Over </w:t>
      </w:r>
      <w:r>
        <w:t xml:space="preserve">the last </w:t>
      </w:r>
      <w:r w:rsidR="007A314E">
        <w:t>three</w:t>
      </w:r>
      <w:r>
        <w:t xml:space="preserve"> years,</w:t>
      </w:r>
      <w:r w:rsidRPr="002A7553">
        <w:t xml:space="preserve"> an average of 30,600 people (around 14.9% of people in this class) per annum have transitioned out of the Non IS Carers class</w:t>
      </w:r>
      <w:r>
        <w:t>.</w:t>
      </w:r>
    </w:p>
    <w:p w14:paraId="6FF26E65" w14:textId="6EE38724" w:rsidR="00AE6C45" w:rsidRPr="00063A00" w:rsidRDefault="007B0A8D" w:rsidP="007B0A8D">
      <w:pPr>
        <w:pStyle w:val="PwCNormal-keepwithnext"/>
        <w:numPr>
          <w:ilvl w:val="0"/>
          <w:numId w:val="1"/>
        </w:numPr>
      </w:pPr>
      <w:r w:rsidRPr="00063A00">
        <w:lastRenderedPageBreak/>
        <w:t>The following chart shows the breakdown of these transitions by previous</w:t>
      </w:r>
      <w:r>
        <w:t>/destination</w:t>
      </w:r>
      <w:r w:rsidRPr="00063A00">
        <w:t xml:space="preserve"> class and year of transition.</w:t>
      </w:r>
      <w:r w:rsidR="00AE6C45" w:rsidRPr="00063A00">
        <w:t xml:space="preserve"> </w:t>
      </w:r>
    </w:p>
    <w:p w14:paraId="4281FCB9" w14:textId="61CED0A8" w:rsidR="00AE6C45" w:rsidRPr="0057506F" w:rsidRDefault="00AE6C45" w:rsidP="00AE6C45">
      <w:pPr>
        <w:pStyle w:val="Caption"/>
      </w:pPr>
      <w:r w:rsidRPr="00A716AE">
        <w:t xml:space="preserve">Figure </w:t>
      </w:r>
      <w:fldSimple w:instr=" SEQ Figure \* ARABIC ">
        <w:r w:rsidR="00C93C1A">
          <w:rPr>
            <w:noProof/>
          </w:rPr>
          <w:t>86</w:t>
        </w:r>
      </w:fldSimple>
      <w:r w:rsidRPr="00A716AE">
        <w:t>: Number of peo</w:t>
      </w:r>
      <w:r>
        <w:t xml:space="preserve">ple entering and exiting </w:t>
      </w:r>
      <w:r w:rsidR="00871E70">
        <w:t>c</w:t>
      </w:r>
      <w:r>
        <w:t>lass 8</w:t>
      </w:r>
      <w:r w:rsidRPr="00A716AE">
        <w:t xml:space="preserve"> – </w:t>
      </w:r>
      <w:r>
        <w:t>Non IS Carers</w:t>
      </w:r>
    </w:p>
    <w:p w14:paraId="0FC90B91" w14:textId="77777777" w:rsidR="00AE6C45" w:rsidRPr="0057506F" w:rsidRDefault="00AE6C45" w:rsidP="00AE6C45">
      <w:pPr>
        <w:pStyle w:val="PwCNormal-keepwithnext"/>
        <w:numPr>
          <w:ilvl w:val="0"/>
          <w:numId w:val="1"/>
        </w:numPr>
      </w:pPr>
      <w:r w:rsidRPr="00727DB6">
        <w:rPr>
          <w:noProof/>
          <w:lang w:eastAsia="en-AU"/>
        </w:rPr>
        <w:drawing>
          <wp:inline distT="0" distB="0" distL="0" distR="0" wp14:anchorId="125FCC96" wp14:editId="774767B3">
            <wp:extent cx="6264275" cy="2168107"/>
            <wp:effectExtent l="0" t="0" r="3175" b="3810"/>
            <wp:docPr id="301" name="Picture 301" descr="This figure is a stacked column chart with ten columns. The vertical axis displays the number of people ranging from 0 to 40,000. &#10;&#10;The horizontal axis is split into two sections; the first five columns show the numbers of entrants into the Non IS Carers class and the second five columns show the number of exits from the Non IS Carers class. In each section, the set of five columns represent the last five financial years; 2013, 2014, 2015, 2016 and 2017. &#10;&#10;For the first section, the columns showing the number of entrants into the Non IS Carers class for each financial year are split into previous class. These classes include; 1 Studying, 2 Working Age, 3 Parents, 4 Carers, 5 Disability Support, 6 Pension Age, 7 Non IS Family, 9 Non-IS Other, 10 Previous Welfare Recipient, 11 Dead and 12 Rest of the Australian Population. &#10;&#10;The chart shows that the number of entries into Class 8 were; 37,000 in 2013, 35,000 in 2014, 33,000 in 2015, 33,000 in 2016 and 25,000 in 2017. The majority of entrants come from Class 12 Rest of the Australian Population and Class 7 Non IS Family. &#10;&#10;For the second section, the columns showing the number of exits from the Non IS Carers class for each financial year are split into destination class. These classes include; 1 Studying, 2 Working Age, 3 Parents, 4 Carers, 5 Disability Support, 6 Pension Age, 7 Non IS Family, 9 Non-IS Other, 10 Previous Welfare Recipient, 11 Dead and 12 Rest of the Australian Population. &#10;&#10;The chart shows that the number of exits out of Class 8 were; 34,000 in 2013, 34,000 in 2014, 32,000 in 2015, 31,000 in 2016 and 29,000 in 2017. The majority of individuals who exit move to Class 10 Previous Welfare Recipient and Class 4 Carers. &#10;&#10;Further discussion of the key features shown in the chart can be found in the accompanying text within the report.&#10;" title="Number of people entering and exiting class 8 – Non IS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264275" cy="2168107"/>
                    </a:xfrm>
                    <a:prstGeom prst="rect">
                      <a:avLst/>
                    </a:prstGeom>
                    <a:noFill/>
                    <a:ln>
                      <a:noFill/>
                    </a:ln>
                  </pic:spPr>
                </pic:pic>
              </a:graphicData>
            </a:graphic>
          </wp:inline>
        </w:drawing>
      </w:r>
    </w:p>
    <w:p w14:paraId="2ECD82A8" w14:textId="77777777" w:rsidR="00AE6C45" w:rsidRPr="0057506F" w:rsidRDefault="00AE6C45" w:rsidP="00AE6C45">
      <w:pPr>
        <w:pStyle w:val="PwCNormal"/>
        <w:numPr>
          <w:ilvl w:val="0"/>
          <w:numId w:val="0"/>
        </w:numPr>
        <w:jc w:val="center"/>
      </w:pPr>
      <w:r w:rsidRPr="00727DB6">
        <w:rPr>
          <w:noProof/>
          <w:lang w:eastAsia="en-AU"/>
        </w:rPr>
        <w:drawing>
          <wp:inline distT="0" distB="0" distL="0" distR="0" wp14:anchorId="08CE340A" wp14:editId="41BAD408">
            <wp:extent cx="5385600" cy="468000"/>
            <wp:effectExtent l="0" t="0" r="0" b="8255"/>
            <wp:docPr id="3138" name="Picture 3138" descr="Class key: studying, working age, parents, carers, disability support, pension age, non-income support family, non-income support carer, non-income support other, previous welfare recipient, rest of the Australian population and dead. &#10;" title="Clas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3BA10E62" w14:textId="5C5B17F8" w:rsidR="007B0A8D" w:rsidRDefault="007B0A8D" w:rsidP="007B0A8D">
      <w:pPr>
        <w:pStyle w:val="PwCNormal"/>
        <w:numPr>
          <w:ilvl w:val="0"/>
          <w:numId w:val="0"/>
        </w:numPr>
      </w:pPr>
      <w:r w:rsidRPr="002A7553">
        <w:t xml:space="preserve">We can see that people enter this class from a variety of classes. </w:t>
      </w:r>
      <w:r>
        <w:t>P</w:t>
      </w:r>
      <w:r w:rsidRPr="002A7553">
        <w:t xml:space="preserve">eople </w:t>
      </w:r>
      <w:r>
        <w:t xml:space="preserve">predominantly </w:t>
      </w:r>
      <w:r w:rsidRPr="002A7553">
        <w:t xml:space="preserve">enter from </w:t>
      </w:r>
      <w:r w:rsidR="005B3E7D">
        <w:t>non income</w:t>
      </w:r>
      <w:r w:rsidRPr="002A7553">
        <w:t xml:space="preserve"> support classes or from outside of the welfare system. </w:t>
      </w:r>
      <w:r w:rsidRPr="006F7AC0">
        <w:t>Of those who enter</w:t>
      </w:r>
      <w:r>
        <w:t>ed</w:t>
      </w:r>
      <w:r w:rsidRPr="006F7AC0">
        <w:t xml:space="preserve"> from an income support class, their previous class </w:t>
      </w:r>
      <w:r>
        <w:t>was</w:t>
      </w:r>
      <w:r w:rsidRPr="006F7AC0">
        <w:t xml:space="preserve"> generally Working Age, Parents or Carers. Aside from the 2016/17 year which is affected by data maturity, there has been a relatively stable number of people entering this class over the last few years, however exits from this class have been reducing over time.</w:t>
      </w:r>
      <w:r>
        <w:t xml:space="preserve"> </w:t>
      </w:r>
    </w:p>
    <w:p w14:paraId="2CB1969A" w14:textId="77777777" w:rsidR="007B0A8D" w:rsidRDefault="007B0A8D" w:rsidP="007B0A8D">
      <w:pPr>
        <w:pStyle w:val="PwCNormal"/>
        <w:numPr>
          <w:ilvl w:val="0"/>
          <w:numId w:val="0"/>
        </w:numPr>
      </w:pPr>
      <w:r w:rsidRPr="00540A22">
        <w:t xml:space="preserve">Women entering this class under age 50 have primarily come from class ‘7 Non IS Family’, but with material numbers also coming from Working Age, Parents and Carers (income support) as well. </w:t>
      </w:r>
      <w:r>
        <w:t xml:space="preserve">Women entering aged 50 to 65 have primarily come from outside </w:t>
      </w:r>
      <w:r w:rsidRPr="004D5A04">
        <w:t>the system, and those aged above age 65 have come from class ‘9 Non IS Other’. Men entering this class aged 35 and above are increasingly more likely to have entered from outside the welfare system as they get older.</w:t>
      </w:r>
    </w:p>
    <w:p w14:paraId="33EB52FC" w14:textId="77777777" w:rsidR="007B0A8D" w:rsidRPr="004D5A04" w:rsidRDefault="007B0A8D" w:rsidP="007B0A8D">
      <w:pPr>
        <w:pStyle w:val="PwCNormal"/>
        <w:numPr>
          <w:ilvl w:val="0"/>
          <w:numId w:val="0"/>
        </w:numPr>
      </w:pPr>
      <w:r w:rsidRPr="006F7AC0">
        <w:t>Around half of the people leaving this class also leave the welfare system, while the others generally transition to the Working Age, Carer (Income Support) or Non IS Family classes. However, this varies significantly by age – those exiting the welfare system are generally those aged above 40, while those younger than 40 tend to remain within the system on exiting this class.</w:t>
      </w:r>
    </w:p>
    <w:p w14:paraId="65DB5A7F" w14:textId="77777777" w:rsidR="007B0A8D" w:rsidRPr="00865D83" w:rsidRDefault="007B0A8D" w:rsidP="007B0A8D">
      <w:pPr>
        <w:pStyle w:val="Minorheading"/>
      </w:pPr>
      <w:r w:rsidRPr="00865D83">
        <w:lastRenderedPageBreak/>
        <w:t>Payments received</w:t>
      </w:r>
    </w:p>
    <w:p w14:paraId="2B2BA8E2" w14:textId="77777777" w:rsidR="007B0A8D" w:rsidRPr="00865D83" w:rsidRDefault="007B0A8D" w:rsidP="007B0A8D">
      <w:pPr>
        <w:pStyle w:val="PwCNormal-keepwithnext"/>
        <w:numPr>
          <w:ilvl w:val="0"/>
          <w:numId w:val="1"/>
        </w:numPr>
      </w:pPr>
      <w:r w:rsidRPr="00865D83">
        <w:t>During 2016/17, people in this class received a total of $1.4 billion. This is 1.2% of the total payments made in 2016/17. The charts below show the average amount paid in a year to each person in this class</w:t>
      </w:r>
      <w:r>
        <w:t>, split by the categories of payments received</w:t>
      </w:r>
      <w:r w:rsidRPr="00865D83">
        <w:t>.</w:t>
      </w:r>
    </w:p>
    <w:p w14:paraId="44FAAB69" w14:textId="5627AAF3" w:rsidR="007B0A8D" w:rsidRPr="00865D83" w:rsidRDefault="007B0A8D" w:rsidP="007B0A8D">
      <w:pPr>
        <w:pStyle w:val="Caption"/>
      </w:pPr>
      <w:r w:rsidRPr="00865D83">
        <w:t xml:space="preserve">Figure </w:t>
      </w:r>
      <w:fldSimple w:instr=" SEQ Figure \* ARABIC ">
        <w:r w:rsidR="00C93C1A">
          <w:rPr>
            <w:noProof/>
          </w:rPr>
          <w:t>87</w:t>
        </w:r>
      </w:fldSimple>
      <w:r w:rsidRPr="00865D83">
        <w:t xml:space="preserve">: Average payments per person in </w:t>
      </w:r>
      <w:r w:rsidR="00871E70">
        <w:t>c</w:t>
      </w:r>
      <w:r w:rsidRPr="00865D83">
        <w:t>lass 8 – Non IS Carers (restated to 2016/17 $ values)</w:t>
      </w:r>
    </w:p>
    <w:p w14:paraId="5F8EB5A8" w14:textId="77777777" w:rsidR="007B0A8D" w:rsidRPr="0057506F" w:rsidRDefault="007B0A8D" w:rsidP="007B0A8D">
      <w:pPr>
        <w:pStyle w:val="PwCNormal-keepwithnext"/>
        <w:numPr>
          <w:ilvl w:val="0"/>
          <w:numId w:val="1"/>
        </w:numPr>
      </w:pPr>
      <w:r w:rsidRPr="00A164BB">
        <w:rPr>
          <w:noProof/>
          <w:lang w:eastAsia="en-AU"/>
        </w:rPr>
        <w:drawing>
          <wp:inline distT="0" distB="0" distL="0" distR="0" wp14:anchorId="5AD13674" wp14:editId="180EAFF5">
            <wp:extent cx="6178206" cy="2160000"/>
            <wp:effectExtent l="0" t="0" r="0" b="0"/>
            <wp:docPr id="223" name="Picture 223" descr="This figure is a stacked column chart. The vertical axis displays the average payment per person in the Non IS Carers Class, ranging from $0 to $10,000.&#10;&#10;The horizontal axis is split into two sections; the first for males and the second for females. Each section is further split to show the last five financial years; 2013, 2014, 2015, 2016 and 2017.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8 was: $4,900 for 2013; $5,000 for 2014; $5,100 for 2015; $5,000 for 2016; and $4,700 for 2017.&#10;&#10;For females the approximate average payment per person in Class 8 was: $9,000 for 2013; $9,000 for 2014; $8,800 for 2015; $8,500 for 2016; and $7,100 for 2017.&#10;&#10;The majority of payments for males were from the Other – Carer category, with a smaller amount coming from the Other – FTB category. The majority of payments for females was split almost equally between the Other – Carer and Other – FTB categories, with a smaller amount coming from the Other – Family category.&#10;&#10;The key features of this chart are described in the accompanying text within the report.&#10;" title="Average payments per person in class 8 – Non IS Carers (restated to 2016/17 $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78206" cy="2160000"/>
                    </a:xfrm>
                    <a:prstGeom prst="rect">
                      <a:avLst/>
                    </a:prstGeom>
                    <a:noFill/>
                    <a:ln>
                      <a:noFill/>
                    </a:ln>
                  </pic:spPr>
                </pic:pic>
              </a:graphicData>
            </a:graphic>
          </wp:inline>
        </w:drawing>
      </w:r>
    </w:p>
    <w:p w14:paraId="00DBD80F" w14:textId="77777777" w:rsidR="007B0A8D" w:rsidRPr="0057506F" w:rsidRDefault="007B0A8D" w:rsidP="007B0A8D">
      <w:pPr>
        <w:pStyle w:val="PwCNormal"/>
        <w:widowControl w:val="0"/>
        <w:numPr>
          <w:ilvl w:val="0"/>
          <w:numId w:val="0"/>
        </w:numPr>
        <w:ind w:firstLine="720"/>
      </w:pPr>
      <w:r w:rsidRPr="00A164BB">
        <w:rPr>
          <w:noProof/>
          <w:lang w:eastAsia="en-AU"/>
        </w:rPr>
        <w:drawing>
          <wp:inline distT="0" distB="0" distL="0" distR="0" wp14:anchorId="029D9AFE" wp14:editId="0DCE5397">
            <wp:extent cx="4860000" cy="467785"/>
            <wp:effectExtent l="0" t="0" r="0" b="8890"/>
            <wp:docPr id="3922" name="Picture 3922"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60000" cy="467785"/>
                    </a:xfrm>
                    <a:prstGeom prst="rect">
                      <a:avLst/>
                    </a:prstGeom>
                    <a:noFill/>
                    <a:ln>
                      <a:noFill/>
                    </a:ln>
                  </pic:spPr>
                </pic:pic>
              </a:graphicData>
            </a:graphic>
          </wp:inline>
        </w:drawing>
      </w:r>
    </w:p>
    <w:p w14:paraId="0CFC6BC1" w14:textId="77777777" w:rsidR="007B0A8D" w:rsidRPr="00865D83" w:rsidRDefault="007B0A8D" w:rsidP="007B0A8D">
      <w:pPr>
        <w:pStyle w:val="PwCNormal"/>
        <w:numPr>
          <w:ilvl w:val="0"/>
          <w:numId w:val="1"/>
        </w:numPr>
      </w:pPr>
      <w:r w:rsidRPr="00865D83">
        <w:t xml:space="preserve">As shown in the chart above, the average amount per person for 2016/17 is significantly lower than prior years, especially for women. This is due to </w:t>
      </w:r>
      <w:r w:rsidRPr="00F33BAC">
        <w:t xml:space="preserve">the </w:t>
      </w:r>
      <w:r>
        <w:t xml:space="preserve">impact of the </w:t>
      </w:r>
      <w:r w:rsidRPr="00F33BAC">
        <w:t>data maturity issue</w:t>
      </w:r>
      <w:r>
        <w:t xml:space="preserve"> discussed earlier.</w:t>
      </w:r>
    </w:p>
    <w:p w14:paraId="4ABE7659" w14:textId="77777777" w:rsidR="007B0A8D" w:rsidRPr="00865D83" w:rsidRDefault="007B0A8D" w:rsidP="007B0A8D">
      <w:pPr>
        <w:pStyle w:val="PwCNormal"/>
        <w:numPr>
          <w:ilvl w:val="0"/>
          <w:numId w:val="0"/>
        </w:numPr>
      </w:pPr>
      <w:r w:rsidRPr="00865D83">
        <w:t>The average payment made in 2015/16 (noting the understating of 2016/17) was $7,900 with higher average payments being made to women ($8,500) than men ($5,000) as a result of them being more likely to also be claiming FTB and family payments. This average amount per person is much lower than that for people in the income support classes.</w:t>
      </w:r>
    </w:p>
    <w:p w14:paraId="07CF1242" w14:textId="77777777" w:rsidR="007B0A8D" w:rsidRPr="00C4715F" w:rsidRDefault="007B0A8D" w:rsidP="007B0A8D">
      <w:pPr>
        <w:pStyle w:val="Heading4"/>
      </w:pPr>
      <w:r w:rsidRPr="00C4715F">
        <w:t>Changes in model fitting this valuation</w:t>
      </w:r>
    </w:p>
    <w:p w14:paraId="2DFC2892" w14:textId="77777777" w:rsidR="007B0A8D" w:rsidRDefault="007B0A8D" w:rsidP="00964D65">
      <w:pPr>
        <w:pStyle w:val="PwCNormal"/>
        <w:numPr>
          <w:ilvl w:val="0"/>
          <w:numId w:val="33"/>
        </w:numPr>
      </w:pPr>
      <w:r>
        <w:t xml:space="preserve">This year we have enhanced the </w:t>
      </w:r>
      <w:r w:rsidRPr="0065314C">
        <w:t xml:space="preserve">Non IS </w:t>
      </w:r>
      <w:r>
        <w:t>Carers</w:t>
      </w:r>
      <w:r w:rsidRPr="0065314C">
        <w:t xml:space="preserve"> </w:t>
      </w:r>
      <w:r>
        <w:t xml:space="preserve">model assumptions to allow for the intergenerational variable. Use of welfare by a person’s parents during childhood was seen to be correlated with a higher likelihood of </w:t>
      </w:r>
      <w:r w:rsidRPr="00F30A94">
        <w:t>transitioning onto income support payments</w:t>
      </w:r>
      <w:r>
        <w:t xml:space="preserve">. </w:t>
      </w:r>
    </w:p>
    <w:p w14:paraId="3DAD4487" w14:textId="77777777" w:rsidR="007B0A8D" w:rsidRPr="00874C4A" w:rsidRDefault="007B0A8D" w:rsidP="007B0A8D">
      <w:pPr>
        <w:pStyle w:val="Heading4"/>
      </w:pPr>
      <w:r w:rsidRPr="00874C4A">
        <w:t>What does the model show for current Non IS Carers?</w:t>
      </w:r>
    </w:p>
    <w:p w14:paraId="3B2AC091" w14:textId="77777777" w:rsidR="007B0A8D" w:rsidRPr="00874C4A" w:rsidRDefault="007B0A8D" w:rsidP="007B0A8D">
      <w:pPr>
        <w:pStyle w:val="Minorheading"/>
      </w:pPr>
      <w:r w:rsidRPr="00874C4A">
        <w:t>Lifetime costs</w:t>
      </w:r>
    </w:p>
    <w:p w14:paraId="2F55E327" w14:textId="722A4620" w:rsidR="009B2D09" w:rsidRPr="00874C4A" w:rsidRDefault="007B0A8D" w:rsidP="007B0A8D">
      <w:pPr>
        <w:pStyle w:val="PwCNormal"/>
        <w:numPr>
          <w:ilvl w:val="0"/>
          <w:numId w:val="1"/>
        </w:numPr>
      </w:pPr>
      <w:r w:rsidRPr="00874C4A">
        <w:t xml:space="preserve">We estimated the lifetime cost for the people in this class to be </w:t>
      </w:r>
      <w:r w:rsidRPr="00874C4A">
        <w:rPr>
          <w:b/>
        </w:rPr>
        <w:t>$42bn</w:t>
      </w:r>
      <w:r w:rsidRPr="00874C4A">
        <w:t xml:space="preserve"> (or </w:t>
      </w:r>
      <w:r w:rsidRPr="00874C4A">
        <w:rPr>
          <w:b/>
        </w:rPr>
        <w:t>0.9%</w:t>
      </w:r>
      <w:r w:rsidRPr="00874C4A">
        <w:t xml:space="preserve"> of the total lifetime cost). The average lifetime cost for people in this class is </w:t>
      </w:r>
      <w:r w:rsidRPr="00874C4A">
        <w:rPr>
          <w:b/>
        </w:rPr>
        <w:t>$207,000</w:t>
      </w:r>
      <w:r w:rsidRPr="00874C4A">
        <w:t>. The variation in average lifetime cost by age and gender is illustrated in the figure below.</w:t>
      </w:r>
    </w:p>
    <w:p w14:paraId="0CF82CD5" w14:textId="4AD61806" w:rsidR="009B2D09" w:rsidRPr="00514927" w:rsidRDefault="009B2D09" w:rsidP="009B2D09">
      <w:pPr>
        <w:pStyle w:val="Caption"/>
      </w:pPr>
      <w:r w:rsidRPr="00514927">
        <w:lastRenderedPageBreak/>
        <w:t xml:space="preserve">Figure </w:t>
      </w:r>
      <w:fldSimple w:instr=" SEQ Figure \* ARABIC ">
        <w:r w:rsidR="00C93C1A">
          <w:rPr>
            <w:noProof/>
          </w:rPr>
          <w:t>88</w:t>
        </w:r>
      </w:fldSimple>
      <w:r w:rsidRPr="00514927">
        <w:t xml:space="preserve">: Average lifetime cost by age and gender </w:t>
      </w:r>
      <w:r w:rsidR="00871E70">
        <w:t xml:space="preserve">(class </w:t>
      </w:r>
      <w:r w:rsidRPr="00514927">
        <w:t>8)</w:t>
      </w:r>
    </w:p>
    <w:tbl>
      <w:tblPr>
        <w:tblStyle w:val="Tables-APBase"/>
        <w:tblW w:w="471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235"/>
        <w:gridCol w:w="3261"/>
      </w:tblGrid>
      <w:tr w:rsidR="009B2D09" w:rsidRPr="009210D0" w14:paraId="32B87F27" w14:textId="77777777" w:rsidTr="002863C6">
        <w:trPr>
          <w:trHeight w:val="3402"/>
          <w:tblHeader/>
        </w:trPr>
        <w:tc>
          <w:tcPr>
            <w:tcW w:w="6236" w:type="dxa"/>
          </w:tcPr>
          <w:p w14:paraId="27DC9CCE" w14:textId="208299AE" w:rsidR="009B2D09" w:rsidRPr="00514927" w:rsidRDefault="002863C6" w:rsidP="000D6C29">
            <w:pPr>
              <w:pStyle w:val="TableTextSmall"/>
              <w:keepNext/>
              <w:rPr>
                <w:lang w:eastAsia="en-AU"/>
              </w:rPr>
            </w:pPr>
            <w:r w:rsidRPr="002863C6">
              <w:rPr>
                <w:noProof/>
                <w:lang w:eastAsia="en-AU"/>
              </w:rPr>
              <w:drawing>
                <wp:inline distT="0" distB="0" distL="0" distR="0" wp14:anchorId="6F093DBC" wp14:editId="2EA57B55">
                  <wp:extent cx="3714545" cy="2160000"/>
                  <wp:effectExtent l="0" t="0" r="0" b="0"/>
                  <wp:docPr id="20" name="Picture 20" descr="This figure is a horizontal bar chart showing average lifetime cost by age for males and females separately. The vertical axis shows age with the data shown ranging from 22 to 90. The horizontal axis shows the average lifetime cost with the data shown ranging from $0 to $5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203,000 individuals who were in the non income support – carers class at 30 June 2017. &#10;&#10;The average lifetime cost for males aged 23 is $250,000. After this point, average lifetime cost steadily decreases with age to approximately $115,000 at age 65. &#10;&#10;The average lifetime cost of females is approximately $375,000 between ages 21 and 29. The substantially higher average lifetime cost relative to males is due to higher family and non-income support carer components. After age 29, there is a steady reduction in average lifetime cost by age to approximately $100,000 at age 65. &#10;&#10;For both males and females aged over 65, there is a substantial reduction in average lifetime cost by age. People aged 70 have an average lifetime cost of approximately $55,000 and people aged 80 have an average lifetime cost of approximately $25,000.&#10;&#10;The features shown in the chart are discussed further in the accompanying text within the report.&#10;" title="Average lifetime cost by age and gender (clas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714545" cy="2160000"/>
                          </a:xfrm>
                          <a:prstGeom prst="rect">
                            <a:avLst/>
                          </a:prstGeom>
                          <a:noFill/>
                          <a:ln>
                            <a:noFill/>
                          </a:ln>
                        </pic:spPr>
                      </pic:pic>
                    </a:graphicData>
                  </a:graphic>
                </wp:inline>
              </w:drawing>
            </w:r>
          </w:p>
        </w:tc>
        <w:tc>
          <w:tcPr>
            <w:tcW w:w="3261" w:type="dxa"/>
          </w:tcPr>
          <w:p w14:paraId="557851DE" w14:textId="77777777" w:rsidR="009B2D09" w:rsidRPr="00514927" w:rsidRDefault="009B2D09" w:rsidP="000D6C29">
            <w:pPr>
              <w:pStyle w:val="TableTextSmall"/>
              <w:keepNext/>
              <w:rPr>
                <w:lang w:eastAsia="en-AU"/>
              </w:rPr>
            </w:pPr>
          </w:p>
          <w:p w14:paraId="03E992FC" w14:textId="77777777" w:rsidR="009B2D09" w:rsidRPr="00514927" w:rsidRDefault="009B2D09" w:rsidP="000D6C29">
            <w:pPr>
              <w:pStyle w:val="TableTextSmall"/>
              <w:keepNext/>
              <w:rPr>
                <w:lang w:eastAsia="en-AU"/>
              </w:rPr>
            </w:pPr>
            <w:r w:rsidRPr="00514927">
              <w:rPr>
                <w:noProof/>
                <w:lang w:eastAsia="en-AU"/>
              </w:rPr>
              <w:drawing>
                <wp:inline distT="0" distB="0" distL="0" distR="0" wp14:anchorId="14A44978" wp14:editId="1789D682">
                  <wp:extent cx="1087397" cy="1620000"/>
                  <wp:effectExtent l="0" t="0" r="0" b="0"/>
                  <wp:docPr id="3924" name="Picture 3924"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7397" cy="1620000"/>
                          </a:xfrm>
                          <a:prstGeom prst="rect">
                            <a:avLst/>
                          </a:prstGeom>
                          <a:noFill/>
                          <a:ln>
                            <a:noFill/>
                          </a:ln>
                        </pic:spPr>
                      </pic:pic>
                    </a:graphicData>
                  </a:graphic>
                </wp:inline>
              </w:drawing>
            </w:r>
          </w:p>
        </w:tc>
      </w:tr>
    </w:tbl>
    <w:p w14:paraId="6AF2B815" w14:textId="5FF723EE" w:rsidR="009B2D09" w:rsidRPr="00610EAE" w:rsidRDefault="009B2D09" w:rsidP="009B2D09">
      <w:pPr>
        <w:pStyle w:val="PwCNormal"/>
        <w:numPr>
          <w:ilvl w:val="0"/>
          <w:numId w:val="0"/>
        </w:numPr>
      </w:pPr>
      <w:r w:rsidRPr="00610EAE">
        <w:t>The costs differ</w:t>
      </w:r>
      <w:r w:rsidR="00610EAE" w:rsidRPr="00610EAE">
        <w:t xml:space="preserve"> between genders with around $1</w:t>
      </w:r>
      <w:r w:rsidRPr="00610EAE">
        <w:t>8</w:t>
      </w:r>
      <w:r w:rsidR="00610EAE" w:rsidRPr="00610EAE">
        <w:t>5</w:t>
      </w:r>
      <w:r w:rsidRPr="00610EAE">
        <w:t>,000 for men and $21</w:t>
      </w:r>
      <w:r w:rsidR="00D101C0" w:rsidRPr="00610EAE">
        <w:t>2</w:t>
      </w:r>
      <w:r w:rsidRPr="00610EAE">
        <w:t xml:space="preserve">,000 for women. We can see that a major part of the difference is for women </w:t>
      </w:r>
      <w:r w:rsidR="00610EAE">
        <w:t xml:space="preserve">under the age of 40 </w:t>
      </w:r>
      <w:r w:rsidRPr="00610EAE">
        <w:t>and arises from their increased propensity to receive FTB and family payments.</w:t>
      </w:r>
    </w:p>
    <w:p w14:paraId="7C8CF151" w14:textId="446E54BD" w:rsidR="009B2D09" w:rsidRPr="00610EAE" w:rsidRDefault="009B2D09" w:rsidP="009B2D09">
      <w:pPr>
        <w:pStyle w:val="PwCNormal"/>
        <w:numPr>
          <w:ilvl w:val="0"/>
          <w:numId w:val="0"/>
        </w:numPr>
      </w:pPr>
      <w:r w:rsidRPr="00610EAE">
        <w:t>The general shape of this pyramid is similar to that for the previous class (</w:t>
      </w:r>
      <w:r w:rsidR="00F55FFE">
        <w:t>N</w:t>
      </w:r>
      <w:r w:rsidRPr="00610EAE">
        <w:t xml:space="preserve">on IS </w:t>
      </w:r>
      <w:r w:rsidR="00F55FFE">
        <w:t>F</w:t>
      </w:r>
      <w:r w:rsidRPr="00610EAE">
        <w:t>amily) with significant reductions in average lifetime costs once people pass pension age, reflecting that these people are not currently in receipt of age pension.</w:t>
      </w:r>
    </w:p>
    <w:p w14:paraId="46129BA6" w14:textId="177DF56D" w:rsidR="009B2D09" w:rsidRDefault="009B2D09" w:rsidP="009B2D09">
      <w:pPr>
        <w:pStyle w:val="PwCNormal"/>
        <w:numPr>
          <w:ilvl w:val="0"/>
          <w:numId w:val="0"/>
        </w:numPr>
      </w:pPr>
      <w:r w:rsidRPr="00610EAE">
        <w:t xml:space="preserve">At the younger ages there are a myriad of contributions to the assessed average lifetime cost from </w:t>
      </w:r>
      <w:r w:rsidR="0070204F">
        <w:t>W</w:t>
      </w:r>
      <w:r w:rsidRPr="00610EAE">
        <w:t xml:space="preserve">orking </w:t>
      </w:r>
      <w:r w:rsidR="0070204F">
        <w:t>A</w:t>
      </w:r>
      <w:r w:rsidRPr="00610EAE">
        <w:t xml:space="preserve">ge, </w:t>
      </w:r>
      <w:r w:rsidR="0070204F">
        <w:t>D</w:t>
      </w:r>
      <w:r w:rsidRPr="00610EAE">
        <w:t xml:space="preserve">isability </w:t>
      </w:r>
      <w:r w:rsidR="0070204F">
        <w:t>S</w:t>
      </w:r>
      <w:r w:rsidRPr="00610EAE">
        <w:t xml:space="preserve">upport, </w:t>
      </w:r>
      <w:r w:rsidR="0070204F">
        <w:t>C</w:t>
      </w:r>
      <w:r w:rsidRPr="00610EAE">
        <w:t xml:space="preserve">arer and </w:t>
      </w:r>
      <w:r w:rsidR="0070204F">
        <w:t>P</w:t>
      </w:r>
      <w:r w:rsidRPr="00610EAE">
        <w:t>arenting income support payments. This may indicate that some people in this class are quite close to becoming income support recipients and have material likelihoods of transitioning to these classes in future.</w:t>
      </w:r>
    </w:p>
    <w:p w14:paraId="4A52DFB5" w14:textId="0916D04D" w:rsidR="00D97824" w:rsidRPr="0057506F" w:rsidRDefault="00D97824" w:rsidP="00D97824">
      <w:pPr>
        <w:pStyle w:val="PwCNormal"/>
        <w:numPr>
          <w:ilvl w:val="0"/>
          <w:numId w:val="1"/>
        </w:numPr>
      </w:pPr>
      <w:r>
        <w:t>The table below outlines the average lifetime cost for 40</w:t>
      </w:r>
      <w:r w:rsidR="006948E9">
        <w:t xml:space="preserve"> to </w:t>
      </w:r>
      <w:r>
        <w:t xml:space="preserve">49 year olds currently receiving Non IS Carer payments, split by key characteristics. We have selected a </w:t>
      </w:r>
      <w:r w:rsidR="000131CD">
        <w:t xml:space="preserve">set </w:t>
      </w:r>
      <w:r>
        <w:t xml:space="preserve">age group to reduce the effect of age on the future lifetime cost. </w:t>
      </w:r>
      <w:r w:rsidRPr="00DD2C39">
        <w:t>It is important to note that some characteristics serve as proxies for more fundamental socio-economic factors, and as such, they may not necessarily be the underlying cause of any differences observed in the average lifetime costs of individuals.</w:t>
      </w:r>
      <w:r w:rsidR="00003814">
        <w:t xml:space="preserve"> Further, the variations and relativities to the average lifetime cost that have been shown may differ for other age bands.</w:t>
      </w:r>
    </w:p>
    <w:p w14:paraId="685D0907" w14:textId="0F94B01C" w:rsidR="00D97824" w:rsidRDefault="00D97824" w:rsidP="00D97824">
      <w:pPr>
        <w:pStyle w:val="Caption"/>
      </w:pPr>
      <w:r w:rsidRPr="00035CA3">
        <w:lastRenderedPageBreak/>
        <w:t>Ta</w:t>
      </w:r>
      <w:r w:rsidRPr="002D25C5">
        <w:t xml:space="preserve">ble </w:t>
      </w:r>
      <w:fldSimple w:instr=" SEQ Table \* ARABIC ">
        <w:r w:rsidR="00C93C1A">
          <w:rPr>
            <w:noProof/>
          </w:rPr>
          <w:t>44</w:t>
        </w:r>
      </w:fldSimple>
      <w:r w:rsidRPr="002D25C5">
        <w:t xml:space="preserve">: </w:t>
      </w:r>
      <w:r>
        <w:t>Average lifetime cost for 40</w:t>
      </w:r>
      <w:r w:rsidR="006948E9">
        <w:t xml:space="preserve"> to </w:t>
      </w:r>
      <w:r>
        <w:t>49 year old Non IS Carer recipients split by key characteristics</w:t>
      </w:r>
    </w:p>
    <w:tbl>
      <w:tblPr>
        <w:tblStyle w:val="ListTable3-Accent61"/>
        <w:tblW w:w="9781" w:type="dxa"/>
        <w:tblInd w:w="108" w:type="dxa"/>
        <w:tblLayout w:type="fixed"/>
        <w:tblLook w:val="04A0" w:firstRow="1" w:lastRow="0" w:firstColumn="1" w:lastColumn="0" w:noHBand="0" w:noVBand="1"/>
        <w:tblCaption w:val="Average lifetime cost for 40 to 49 year old Non IS Carer recipients split by key characteristics"/>
        <w:tblDescription w:val="This table displays data for average lifetime costs of 40 to 49 year olds on Non IS Carer payments by key characteristics. The columns show the number of people, number of people as % of cohort, average lifetime cost, and average lifetime cost relative to the whole cohort. The rows show data for four different key characteristics, number of adult/child carees, age of youngest child, marital status, class before entering ‘8 Non IS Carer’. This is further divided by their respective categories. &#10;&#10;Further features of the data in this table are discussed in the accompanying text within the report.&#10;"/>
      </w:tblPr>
      <w:tblGrid>
        <w:gridCol w:w="3828"/>
        <w:gridCol w:w="1134"/>
        <w:gridCol w:w="1606"/>
        <w:gridCol w:w="1606"/>
        <w:gridCol w:w="1607"/>
      </w:tblGrid>
      <w:tr w:rsidR="006114CC" w:rsidRPr="006114CC" w14:paraId="0EE3BDF4" w14:textId="77777777" w:rsidTr="00E42ACF">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100" w:firstRow="0" w:lastRow="0" w:firstColumn="1" w:lastColumn="0" w:oddVBand="0" w:evenVBand="0" w:oddHBand="0" w:evenHBand="0" w:firstRowFirstColumn="1" w:firstRowLastColumn="0" w:lastRowFirstColumn="0" w:lastRowLastColumn="0"/>
            <w:tcW w:w="3828" w:type="dxa"/>
            <w:tcBorders>
              <w:bottom w:val="single" w:sz="4" w:space="0" w:color="E0301E" w:themeColor="accent6"/>
            </w:tcBorders>
            <w:noWrap/>
            <w:hideMark/>
          </w:tcPr>
          <w:p w14:paraId="780CC076" w14:textId="77777777" w:rsidR="006114CC" w:rsidRPr="00660D81" w:rsidRDefault="006114CC" w:rsidP="00C36A7A">
            <w:pPr>
              <w:pStyle w:val="TableTextSmall"/>
              <w:keepNext/>
              <w:rPr>
                <w:rFonts w:asciiTheme="majorHAnsi" w:hAnsiTheme="majorHAnsi"/>
                <w:bCs w:val="0"/>
                <w:color w:val="FFFFFF" w:themeColor="background1"/>
                <w:lang w:eastAsia="en-AU"/>
              </w:rPr>
            </w:pPr>
          </w:p>
        </w:tc>
        <w:tc>
          <w:tcPr>
            <w:tcW w:w="1134" w:type="dxa"/>
            <w:tcBorders>
              <w:bottom w:val="single" w:sz="4" w:space="0" w:color="E0301E" w:themeColor="accent6"/>
            </w:tcBorders>
            <w:noWrap/>
            <w:hideMark/>
          </w:tcPr>
          <w:p w14:paraId="1C4058D1"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w:t>
            </w:r>
          </w:p>
        </w:tc>
        <w:tc>
          <w:tcPr>
            <w:tcW w:w="1606" w:type="dxa"/>
            <w:tcBorders>
              <w:bottom w:val="single" w:sz="4" w:space="0" w:color="E0301E" w:themeColor="accent6"/>
            </w:tcBorders>
            <w:hideMark/>
          </w:tcPr>
          <w:p w14:paraId="6B9C1DC5"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 as % of cohort</w:t>
            </w:r>
          </w:p>
        </w:tc>
        <w:tc>
          <w:tcPr>
            <w:tcW w:w="1606" w:type="dxa"/>
            <w:tcBorders>
              <w:bottom w:val="single" w:sz="4" w:space="0" w:color="E0301E" w:themeColor="accent6"/>
            </w:tcBorders>
            <w:hideMark/>
          </w:tcPr>
          <w:p w14:paraId="5F2EF238"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w:t>
            </w:r>
          </w:p>
        </w:tc>
        <w:tc>
          <w:tcPr>
            <w:tcW w:w="1607" w:type="dxa"/>
            <w:tcBorders>
              <w:bottom w:val="single" w:sz="4" w:space="0" w:color="E0301E" w:themeColor="accent6"/>
            </w:tcBorders>
          </w:tcPr>
          <w:p w14:paraId="270F3EAA"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relative to cohort</w:t>
            </w:r>
          </w:p>
        </w:tc>
      </w:tr>
      <w:tr w:rsidR="0069611A" w:rsidRPr="006114CC" w14:paraId="50739F31"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shd w:val="clear" w:color="auto" w:fill="F7DCE1" w:themeFill="accent4" w:themeFillTint="33"/>
            <w:noWrap/>
            <w:vAlign w:val="bottom"/>
            <w:hideMark/>
          </w:tcPr>
          <w:p w14:paraId="51FAE3F9" w14:textId="733FF5AE" w:rsidR="0069611A" w:rsidRPr="00532623" w:rsidRDefault="0069611A" w:rsidP="0069611A">
            <w:pPr>
              <w:pStyle w:val="TableTextSmall"/>
              <w:keepNext/>
              <w:rPr>
                <w:rFonts w:asciiTheme="majorHAnsi" w:hAnsiTheme="majorHAnsi"/>
                <w:bCs w:val="0"/>
                <w:color w:val="595959" w:themeColor="text1" w:themeTint="A6"/>
                <w:lang w:eastAsia="en-AU"/>
              </w:rPr>
            </w:pPr>
            <w:r w:rsidRPr="00532623">
              <w:rPr>
                <w:rFonts w:ascii="Arial" w:hAnsi="Arial"/>
                <w:color w:val="595959"/>
                <w:szCs w:val="16"/>
              </w:rPr>
              <w:t>Total</w:t>
            </w:r>
          </w:p>
        </w:tc>
        <w:tc>
          <w:tcPr>
            <w:tcW w:w="1134" w:type="dxa"/>
            <w:shd w:val="clear" w:color="auto" w:fill="F7DCE1" w:themeFill="accent4" w:themeFillTint="33"/>
            <w:noWrap/>
            <w:vAlign w:val="bottom"/>
            <w:hideMark/>
          </w:tcPr>
          <w:p w14:paraId="2108B95A" w14:textId="4441C36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67,000</w:t>
            </w:r>
          </w:p>
        </w:tc>
        <w:tc>
          <w:tcPr>
            <w:tcW w:w="1606" w:type="dxa"/>
            <w:shd w:val="clear" w:color="auto" w:fill="F7DCE1" w:themeFill="accent4" w:themeFillTint="33"/>
            <w:noWrap/>
            <w:vAlign w:val="bottom"/>
            <w:hideMark/>
          </w:tcPr>
          <w:p w14:paraId="66BB68C4" w14:textId="22E9C9F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c>
          <w:tcPr>
            <w:tcW w:w="1606" w:type="dxa"/>
            <w:shd w:val="clear" w:color="auto" w:fill="F7DCE1" w:themeFill="accent4" w:themeFillTint="33"/>
            <w:noWrap/>
            <w:vAlign w:val="bottom"/>
          </w:tcPr>
          <w:p w14:paraId="3EAF1473" w14:textId="5634CA68"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231,000</w:t>
            </w:r>
          </w:p>
        </w:tc>
        <w:tc>
          <w:tcPr>
            <w:tcW w:w="1607" w:type="dxa"/>
            <w:tcBorders>
              <w:right w:val="single" w:sz="4" w:space="0" w:color="E0301E" w:themeColor="accent6"/>
            </w:tcBorders>
            <w:shd w:val="clear" w:color="auto" w:fill="F7DCE1" w:themeFill="accent4" w:themeFillTint="33"/>
            <w:vAlign w:val="bottom"/>
          </w:tcPr>
          <w:p w14:paraId="5DB0532C" w14:textId="4245E66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r>
      <w:tr w:rsidR="0069611A" w:rsidRPr="006114CC" w14:paraId="6163D262" w14:textId="77777777" w:rsidTr="0069611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vAlign w:val="bottom"/>
            <w:hideMark/>
          </w:tcPr>
          <w:p w14:paraId="7EAEFD54" w14:textId="73C0BEBF" w:rsidR="0069611A" w:rsidRPr="00532623" w:rsidRDefault="0069611A" w:rsidP="0069611A">
            <w:pPr>
              <w:pStyle w:val="TableTextSmall"/>
              <w:keepNext/>
              <w:rPr>
                <w:rFonts w:asciiTheme="majorHAnsi" w:hAnsiTheme="majorHAnsi"/>
                <w:bCs w:val="0"/>
                <w:i/>
                <w:color w:val="595959" w:themeColor="text1" w:themeTint="A6"/>
                <w:lang w:eastAsia="en-AU"/>
              </w:rPr>
            </w:pPr>
            <w:r w:rsidRPr="00532623">
              <w:rPr>
                <w:rFonts w:ascii="Arial" w:hAnsi="Arial"/>
                <w:color w:val="595959"/>
                <w:szCs w:val="16"/>
              </w:rPr>
              <w:t>Number of adult/child carees</w:t>
            </w:r>
          </w:p>
        </w:tc>
        <w:tc>
          <w:tcPr>
            <w:tcW w:w="1134" w:type="dxa"/>
            <w:tcBorders>
              <w:top w:val="single" w:sz="4" w:space="0" w:color="E0301E" w:themeColor="accent6"/>
              <w:bottom w:val="nil"/>
            </w:tcBorders>
            <w:noWrap/>
            <w:vAlign w:val="bottom"/>
            <w:hideMark/>
          </w:tcPr>
          <w:p w14:paraId="1A397A40"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p>
        </w:tc>
        <w:tc>
          <w:tcPr>
            <w:tcW w:w="1606" w:type="dxa"/>
            <w:tcBorders>
              <w:top w:val="single" w:sz="4" w:space="0" w:color="E0301E" w:themeColor="accent6"/>
              <w:bottom w:val="nil"/>
            </w:tcBorders>
            <w:noWrap/>
            <w:vAlign w:val="bottom"/>
            <w:hideMark/>
          </w:tcPr>
          <w:p w14:paraId="2A13B11C"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6" w:type="dxa"/>
            <w:tcBorders>
              <w:top w:val="single" w:sz="4" w:space="0" w:color="E0301E" w:themeColor="accent6"/>
              <w:bottom w:val="nil"/>
            </w:tcBorders>
            <w:noWrap/>
            <w:vAlign w:val="bottom"/>
          </w:tcPr>
          <w:p w14:paraId="507E3A11"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7" w:type="dxa"/>
            <w:tcBorders>
              <w:top w:val="single" w:sz="4" w:space="0" w:color="E0301E" w:themeColor="accent6"/>
              <w:bottom w:val="nil"/>
              <w:right w:val="single" w:sz="4" w:space="0" w:color="E0301E" w:themeColor="accent6"/>
            </w:tcBorders>
            <w:vAlign w:val="bottom"/>
          </w:tcPr>
          <w:p w14:paraId="15866F2D"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r>
      <w:tr w:rsidR="0069611A" w:rsidRPr="006114CC" w14:paraId="29C78CCF"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hideMark/>
          </w:tcPr>
          <w:p w14:paraId="4D8AECEA" w14:textId="17074893" w:rsidR="0069611A" w:rsidRPr="00532623" w:rsidRDefault="0069611A" w:rsidP="0069611A">
            <w:pPr>
              <w:pStyle w:val="TableTextSmall"/>
              <w:keepNext/>
              <w:rPr>
                <w:rFonts w:asciiTheme="majorHAnsi" w:hAnsiTheme="majorHAnsi"/>
                <w:b w:val="0"/>
                <w:bCs w:val="0"/>
                <w:i/>
                <w:color w:val="595959" w:themeColor="text1" w:themeTint="A6"/>
                <w:lang w:eastAsia="en-AU"/>
              </w:rPr>
            </w:pPr>
            <w:r w:rsidRPr="00532623">
              <w:rPr>
                <w:rFonts w:ascii="Arial" w:hAnsi="Arial"/>
                <w:i/>
                <w:iCs/>
                <w:color w:val="595959"/>
                <w:szCs w:val="16"/>
              </w:rPr>
              <w:t xml:space="preserve">    - 1 adult caree only</w:t>
            </w:r>
          </w:p>
        </w:tc>
        <w:tc>
          <w:tcPr>
            <w:tcW w:w="1134" w:type="dxa"/>
            <w:tcBorders>
              <w:top w:val="nil"/>
              <w:bottom w:val="nil"/>
            </w:tcBorders>
            <w:noWrap/>
            <w:vAlign w:val="bottom"/>
            <w:hideMark/>
          </w:tcPr>
          <w:p w14:paraId="65AFBBC0" w14:textId="4C4D37A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lang w:eastAsia="en-AU"/>
              </w:rPr>
            </w:pPr>
            <w:r>
              <w:rPr>
                <w:rFonts w:ascii="Arial" w:hAnsi="Arial"/>
                <w:color w:val="595959"/>
                <w:szCs w:val="16"/>
              </w:rPr>
              <w:t>39,000</w:t>
            </w:r>
          </w:p>
        </w:tc>
        <w:tc>
          <w:tcPr>
            <w:tcW w:w="1606" w:type="dxa"/>
            <w:tcBorders>
              <w:top w:val="nil"/>
              <w:bottom w:val="nil"/>
            </w:tcBorders>
            <w:noWrap/>
            <w:vAlign w:val="bottom"/>
            <w:hideMark/>
          </w:tcPr>
          <w:p w14:paraId="21C2A06D" w14:textId="7A57F47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58%</w:t>
            </w:r>
          </w:p>
        </w:tc>
        <w:tc>
          <w:tcPr>
            <w:tcW w:w="1606" w:type="dxa"/>
            <w:tcBorders>
              <w:top w:val="nil"/>
              <w:bottom w:val="nil"/>
            </w:tcBorders>
            <w:noWrap/>
            <w:vAlign w:val="bottom"/>
          </w:tcPr>
          <w:p w14:paraId="429129BF" w14:textId="0EA3CE9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222,000</w:t>
            </w:r>
          </w:p>
        </w:tc>
        <w:tc>
          <w:tcPr>
            <w:tcW w:w="1607" w:type="dxa"/>
            <w:tcBorders>
              <w:top w:val="nil"/>
              <w:bottom w:val="nil"/>
              <w:right w:val="single" w:sz="4" w:space="0" w:color="E0301E" w:themeColor="accent6"/>
            </w:tcBorders>
            <w:vAlign w:val="bottom"/>
          </w:tcPr>
          <w:p w14:paraId="55FB6E69" w14:textId="3D3A196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96%</w:t>
            </w:r>
          </w:p>
        </w:tc>
      </w:tr>
      <w:tr w:rsidR="0069611A" w:rsidRPr="006114CC" w14:paraId="35DCB5A1"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6771B2CB" w14:textId="1AB8E679"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- 1 child caree only</w:t>
            </w:r>
          </w:p>
        </w:tc>
        <w:tc>
          <w:tcPr>
            <w:tcW w:w="1134" w:type="dxa"/>
            <w:tcBorders>
              <w:top w:val="nil"/>
              <w:bottom w:val="nil"/>
            </w:tcBorders>
            <w:noWrap/>
            <w:vAlign w:val="bottom"/>
          </w:tcPr>
          <w:p w14:paraId="0FE50E89" w14:textId="22A3EB9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20,000</w:t>
            </w:r>
          </w:p>
        </w:tc>
        <w:tc>
          <w:tcPr>
            <w:tcW w:w="1606" w:type="dxa"/>
            <w:tcBorders>
              <w:top w:val="nil"/>
              <w:bottom w:val="nil"/>
            </w:tcBorders>
            <w:noWrap/>
            <w:vAlign w:val="bottom"/>
          </w:tcPr>
          <w:p w14:paraId="616B49C0" w14:textId="29F1060B"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30%</w:t>
            </w:r>
          </w:p>
        </w:tc>
        <w:tc>
          <w:tcPr>
            <w:tcW w:w="1606" w:type="dxa"/>
            <w:tcBorders>
              <w:top w:val="nil"/>
              <w:bottom w:val="nil"/>
            </w:tcBorders>
            <w:noWrap/>
            <w:vAlign w:val="bottom"/>
          </w:tcPr>
          <w:p w14:paraId="6BF93C7D" w14:textId="78EE53D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239,000</w:t>
            </w:r>
          </w:p>
        </w:tc>
        <w:tc>
          <w:tcPr>
            <w:tcW w:w="1607" w:type="dxa"/>
            <w:tcBorders>
              <w:top w:val="nil"/>
              <w:bottom w:val="nil"/>
              <w:right w:val="single" w:sz="4" w:space="0" w:color="E0301E" w:themeColor="accent6"/>
            </w:tcBorders>
            <w:vAlign w:val="bottom"/>
          </w:tcPr>
          <w:p w14:paraId="53927D46" w14:textId="6A1473B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104%</w:t>
            </w:r>
          </w:p>
        </w:tc>
      </w:tr>
      <w:tr w:rsidR="0069611A" w:rsidRPr="006114CC" w14:paraId="683C9940"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6F30BB1A" w14:textId="42B6E166"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- 2+ adult carees only</w:t>
            </w:r>
          </w:p>
        </w:tc>
        <w:tc>
          <w:tcPr>
            <w:tcW w:w="1134" w:type="dxa"/>
            <w:tcBorders>
              <w:top w:val="nil"/>
              <w:bottom w:val="nil"/>
            </w:tcBorders>
            <w:noWrap/>
            <w:vAlign w:val="bottom"/>
          </w:tcPr>
          <w:p w14:paraId="3B86B793" w14:textId="681B4F5C"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5,000</w:t>
            </w:r>
          </w:p>
        </w:tc>
        <w:tc>
          <w:tcPr>
            <w:tcW w:w="1606" w:type="dxa"/>
            <w:tcBorders>
              <w:top w:val="nil"/>
              <w:bottom w:val="nil"/>
            </w:tcBorders>
            <w:noWrap/>
            <w:vAlign w:val="bottom"/>
          </w:tcPr>
          <w:p w14:paraId="3A3D683B" w14:textId="416F065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7%</w:t>
            </w:r>
          </w:p>
        </w:tc>
        <w:tc>
          <w:tcPr>
            <w:tcW w:w="1606" w:type="dxa"/>
            <w:tcBorders>
              <w:top w:val="nil"/>
              <w:bottom w:val="nil"/>
            </w:tcBorders>
            <w:noWrap/>
            <w:vAlign w:val="bottom"/>
          </w:tcPr>
          <w:p w14:paraId="60D47380" w14:textId="2DA82E4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242,000</w:t>
            </w:r>
          </w:p>
        </w:tc>
        <w:tc>
          <w:tcPr>
            <w:tcW w:w="1607" w:type="dxa"/>
            <w:tcBorders>
              <w:top w:val="nil"/>
              <w:bottom w:val="nil"/>
              <w:right w:val="single" w:sz="4" w:space="0" w:color="E0301E" w:themeColor="accent6"/>
            </w:tcBorders>
            <w:vAlign w:val="bottom"/>
          </w:tcPr>
          <w:p w14:paraId="515FEE0F" w14:textId="28049B8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105%</w:t>
            </w:r>
          </w:p>
        </w:tc>
      </w:tr>
      <w:tr w:rsidR="0069611A" w:rsidRPr="006114CC" w14:paraId="70015B29"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77D02A5A" w14:textId="44F12007"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- 2+ child carees only</w:t>
            </w:r>
          </w:p>
        </w:tc>
        <w:tc>
          <w:tcPr>
            <w:tcW w:w="1134" w:type="dxa"/>
            <w:tcBorders>
              <w:top w:val="nil"/>
              <w:bottom w:val="nil"/>
            </w:tcBorders>
            <w:noWrap/>
            <w:vAlign w:val="bottom"/>
          </w:tcPr>
          <w:p w14:paraId="07F5B370" w14:textId="71667E2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1,000</w:t>
            </w:r>
          </w:p>
        </w:tc>
        <w:tc>
          <w:tcPr>
            <w:tcW w:w="1606" w:type="dxa"/>
            <w:tcBorders>
              <w:top w:val="nil"/>
              <w:bottom w:val="nil"/>
            </w:tcBorders>
            <w:noWrap/>
            <w:vAlign w:val="bottom"/>
          </w:tcPr>
          <w:p w14:paraId="77F18329" w14:textId="0401FD81"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w:t>
            </w:r>
          </w:p>
        </w:tc>
        <w:tc>
          <w:tcPr>
            <w:tcW w:w="1606" w:type="dxa"/>
            <w:tcBorders>
              <w:top w:val="nil"/>
              <w:bottom w:val="nil"/>
            </w:tcBorders>
            <w:noWrap/>
            <w:vAlign w:val="bottom"/>
          </w:tcPr>
          <w:p w14:paraId="0741B3EF" w14:textId="53D08C26"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262,000</w:t>
            </w:r>
          </w:p>
        </w:tc>
        <w:tc>
          <w:tcPr>
            <w:tcW w:w="1607" w:type="dxa"/>
            <w:tcBorders>
              <w:top w:val="nil"/>
              <w:bottom w:val="nil"/>
              <w:right w:val="single" w:sz="4" w:space="0" w:color="E0301E" w:themeColor="accent6"/>
            </w:tcBorders>
            <w:vAlign w:val="bottom"/>
          </w:tcPr>
          <w:p w14:paraId="7EA08AFF" w14:textId="029D676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114%</w:t>
            </w:r>
          </w:p>
        </w:tc>
      </w:tr>
      <w:tr w:rsidR="0069611A" w:rsidRPr="006114CC" w14:paraId="3213576A"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tcBorders>
            <w:noWrap/>
            <w:vAlign w:val="bottom"/>
          </w:tcPr>
          <w:p w14:paraId="7F131DEA" w14:textId="40A19606"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Other</w:t>
            </w:r>
          </w:p>
        </w:tc>
        <w:tc>
          <w:tcPr>
            <w:tcW w:w="1134" w:type="dxa"/>
            <w:tcBorders>
              <w:top w:val="nil"/>
            </w:tcBorders>
            <w:noWrap/>
            <w:vAlign w:val="bottom"/>
          </w:tcPr>
          <w:p w14:paraId="1B6F9B1D" w14:textId="6D1523E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3,000</w:t>
            </w:r>
          </w:p>
        </w:tc>
        <w:tc>
          <w:tcPr>
            <w:tcW w:w="1606" w:type="dxa"/>
            <w:tcBorders>
              <w:top w:val="nil"/>
            </w:tcBorders>
            <w:noWrap/>
            <w:vAlign w:val="bottom"/>
          </w:tcPr>
          <w:p w14:paraId="239E59D0" w14:textId="663C464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w:t>
            </w:r>
          </w:p>
        </w:tc>
        <w:tc>
          <w:tcPr>
            <w:tcW w:w="1606" w:type="dxa"/>
            <w:tcBorders>
              <w:top w:val="nil"/>
            </w:tcBorders>
            <w:noWrap/>
            <w:vAlign w:val="bottom"/>
          </w:tcPr>
          <w:p w14:paraId="0CE855D6" w14:textId="6B95570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262,000</w:t>
            </w:r>
          </w:p>
        </w:tc>
        <w:tc>
          <w:tcPr>
            <w:tcW w:w="1607" w:type="dxa"/>
            <w:tcBorders>
              <w:top w:val="nil"/>
              <w:right w:val="single" w:sz="4" w:space="0" w:color="E0301E" w:themeColor="accent6"/>
            </w:tcBorders>
            <w:vAlign w:val="bottom"/>
          </w:tcPr>
          <w:p w14:paraId="48319AFA" w14:textId="5B3780C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114%</w:t>
            </w:r>
          </w:p>
        </w:tc>
      </w:tr>
      <w:tr w:rsidR="0069611A" w:rsidRPr="006114CC" w14:paraId="311EC59C"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vAlign w:val="bottom"/>
          </w:tcPr>
          <w:p w14:paraId="2B0D5B3F" w14:textId="6B1FA7A1" w:rsidR="0069611A" w:rsidRPr="00532623" w:rsidRDefault="0069611A" w:rsidP="0069611A">
            <w:pPr>
              <w:pStyle w:val="TableTextSmall"/>
              <w:keepNext/>
              <w:rPr>
                <w:rFonts w:ascii="Arial" w:hAnsi="Arial"/>
                <w:i/>
                <w:iCs/>
                <w:color w:val="595959"/>
                <w:szCs w:val="16"/>
              </w:rPr>
            </w:pPr>
            <w:r w:rsidRPr="00532623">
              <w:rPr>
                <w:rFonts w:ascii="Arial" w:hAnsi="Arial"/>
                <w:color w:val="595959"/>
                <w:szCs w:val="16"/>
              </w:rPr>
              <w:t>Age of youngest child</w:t>
            </w:r>
          </w:p>
        </w:tc>
        <w:tc>
          <w:tcPr>
            <w:tcW w:w="1134" w:type="dxa"/>
            <w:tcBorders>
              <w:top w:val="single" w:sz="4" w:space="0" w:color="E0301E" w:themeColor="accent6"/>
              <w:bottom w:val="nil"/>
            </w:tcBorders>
            <w:noWrap/>
            <w:vAlign w:val="bottom"/>
          </w:tcPr>
          <w:p w14:paraId="3A723C48" w14:textId="386EC64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4B7F5911" w14:textId="0CBA205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6F88C2E1" w14:textId="5B783F9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top w:val="single" w:sz="4" w:space="0" w:color="E0301E" w:themeColor="accent6"/>
              <w:bottom w:val="nil"/>
              <w:right w:val="single" w:sz="4" w:space="0" w:color="E0301E" w:themeColor="accent6"/>
            </w:tcBorders>
            <w:vAlign w:val="bottom"/>
          </w:tcPr>
          <w:p w14:paraId="6CA92C8B" w14:textId="2F2C595A"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114CC" w14:paraId="32CD05C6"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048FC7EB" w14:textId="06B089FA"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No children</w:t>
            </w:r>
          </w:p>
        </w:tc>
        <w:tc>
          <w:tcPr>
            <w:tcW w:w="1134" w:type="dxa"/>
            <w:tcBorders>
              <w:top w:val="nil"/>
              <w:bottom w:val="nil"/>
            </w:tcBorders>
            <w:noWrap/>
            <w:vAlign w:val="bottom"/>
          </w:tcPr>
          <w:p w14:paraId="1AF53879" w14:textId="3C0E9F9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8,000</w:t>
            </w:r>
          </w:p>
        </w:tc>
        <w:tc>
          <w:tcPr>
            <w:tcW w:w="1606" w:type="dxa"/>
            <w:tcBorders>
              <w:top w:val="nil"/>
              <w:bottom w:val="nil"/>
            </w:tcBorders>
            <w:noWrap/>
            <w:vAlign w:val="bottom"/>
          </w:tcPr>
          <w:p w14:paraId="4C8432FA" w14:textId="760F45A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12%</w:t>
            </w:r>
          </w:p>
        </w:tc>
        <w:tc>
          <w:tcPr>
            <w:tcW w:w="1606" w:type="dxa"/>
            <w:tcBorders>
              <w:top w:val="nil"/>
              <w:bottom w:val="nil"/>
            </w:tcBorders>
            <w:noWrap/>
            <w:vAlign w:val="bottom"/>
          </w:tcPr>
          <w:p w14:paraId="06A4836E" w14:textId="7B53504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255,000</w:t>
            </w:r>
          </w:p>
        </w:tc>
        <w:tc>
          <w:tcPr>
            <w:tcW w:w="1607" w:type="dxa"/>
            <w:tcBorders>
              <w:top w:val="nil"/>
              <w:bottom w:val="nil"/>
              <w:right w:val="single" w:sz="4" w:space="0" w:color="E0301E" w:themeColor="accent6"/>
            </w:tcBorders>
            <w:vAlign w:val="bottom"/>
          </w:tcPr>
          <w:p w14:paraId="7052C7EF" w14:textId="463C21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110%</w:t>
            </w:r>
          </w:p>
        </w:tc>
      </w:tr>
      <w:tr w:rsidR="0069611A" w:rsidRPr="006114CC" w14:paraId="3895AD46"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7E6350C5" w14:textId="4D397F60"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- 0-1 Years old</w:t>
            </w:r>
          </w:p>
        </w:tc>
        <w:tc>
          <w:tcPr>
            <w:tcW w:w="1134" w:type="dxa"/>
            <w:tcBorders>
              <w:top w:val="nil"/>
              <w:bottom w:val="nil"/>
            </w:tcBorders>
            <w:noWrap/>
            <w:vAlign w:val="bottom"/>
          </w:tcPr>
          <w:p w14:paraId="431E9F96" w14:textId="31D8663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1,000</w:t>
            </w:r>
          </w:p>
        </w:tc>
        <w:tc>
          <w:tcPr>
            <w:tcW w:w="1606" w:type="dxa"/>
            <w:tcBorders>
              <w:top w:val="nil"/>
              <w:bottom w:val="nil"/>
            </w:tcBorders>
            <w:noWrap/>
            <w:vAlign w:val="bottom"/>
          </w:tcPr>
          <w:p w14:paraId="08DD0773" w14:textId="55D6D5E6"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w:t>
            </w:r>
          </w:p>
        </w:tc>
        <w:tc>
          <w:tcPr>
            <w:tcW w:w="1606" w:type="dxa"/>
            <w:tcBorders>
              <w:top w:val="nil"/>
              <w:bottom w:val="nil"/>
            </w:tcBorders>
            <w:noWrap/>
            <w:vAlign w:val="bottom"/>
          </w:tcPr>
          <w:p w14:paraId="227384F8" w14:textId="0BDCB25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274,000</w:t>
            </w:r>
          </w:p>
        </w:tc>
        <w:tc>
          <w:tcPr>
            <w:tcW w:w="1607" w:type="dxa"/>
            <w:tcBorders>
              <w:top w:val="nil"/>
              <w:bottom w:val="nil"/>
              <w:right w:val="single" w:sz="4" w:space="0" w:color="E0301E" w:themeColor="accent6"/>
            </w:tcBorders>
            <w:vAlign w:val="bottom"/>
          </w:tcPr>
          <w:p w14:paraId="44C0EECB" w14:textId="2CB3755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119%</w:t>
            </w:r>
          </w:p>
        </w:tc>
      </w:tr>
      <w:tr w:rsidR="0069611A" w:rsidRPr="006114CC" w14:paraId="71954648"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612533DD" w14:textId="0919B270"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- 2-6 Years old</w:t>
            </w:r>
          </w:p>
        </w:tc>
        <w:tc>
          <w:tcPr>
            <w:tcW w:w="1134" w:type="dxa"/>
            <w:tcBorders>
              <w:top w:val="nil"/>
              <w:bottom w:val="nil"/>
            </w:tcBorders>
            <w:noWrap/>
            <w:vAlign w:val="bottom"/>
          </w:tcPr>
          <w:p w14:paraId="6B439287" w14:textId="3F9A188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12,000</w:t>
            </w:r>
          </w:p>
        </w:tc>
        <w:tc>
          <w:tcPr>
            <w:tcW w:w="1606" w:type="dxa"/>
            <w:tcBorders>
              <w:top w:val="nil"/>
              <w:bottom w:val="nil"/>
            </w:tcBorders>
            <w:noWrap/>
            <w:vAlign w:val="bottom"/>
          </w:tcPr>
          <w:p w14:paraId="1A593ECE" w14:textId="5FAAE52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17%</w:t>
            </w:r>
          </w:p>
        </w:tc>
        <w:tc>
          <w:tcPr>
            <w:tcW w:w="1606" w:type="dxa"/>
            <w:tcBorders>
              <w:top w:val="nil"/>
              <w:bottom w:val="nil"/>
            </w:tcBorders>
            <w:noWrap/>
            <w:vAlign w:val="bottom"/>
          </w:tcPr>
          <w:p w14:paraId="6CCB1EC1" w14:textId="7BA9AFD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242,000</w:t>
            </w:r>
          </w:p>
        </w:tc>
        <w:tc>
          <w:tcPr>
            <w:tcW w:w="1607" w:type="dxa"/>
            <w:tcBorders>
              <w:top w:val="nil"/>
              <w:bottom w:val="nil"/>
              <w:right w:val="single" w:sz="4" w:space="0" w:color="E0301E" w:themeColor="accent6"/>
            </w:tcBorders>
            <w:vAlign w:val="bottom"/>
          </w:tcPr>
          <w:p w14:paraId="4767BB9D" w14:textId="37CAF8FC"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105%</w:t>
            </w:r>
          </w:p>
        </w:tc>
      </w:tr>
      <w:tr w:rsidR="0069611A" w:rsidRPr="006114CC" w14:paraId="168F7017"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06B6269B" w14:textId="56E6E936"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- 7-8 Years old</w:t>
            </w:r>
          </w:p>
        </w:tc>
        <w:tc>
          <w:tcPr>
            <w:tcW w:w="1134" w:type="dxa"/>
            <w:tcBorders>
              <w:top w:val="nil"/>
              <w:bottom w:val="nil"/>
            </w:tcBorders>
            <w:noWrap/>
            <w:vAlign w:val="bottom"/>
          </w:tcPr>
          <w:p w14:paraId="14F3B1E6" w14:textId="1A16D51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9,000</w:t>
            </w:r>
          </w:p>
        </w:tc>
        <w:tc>
          <w:tcPr>
            <w:tcW w:w="1606" w:type="dxa"/>
            <w:tcBorders>
              <w:top w:val="nil"/>
              <w:bottom w:val="nil"/>
            </w:tcBorders>
            <w:noWrap/>
            <w:vAlign w:val="bottom"/>
          </w:tcPr>
          <w:p w14:paraId="63FC70C3" w14:textId="0318D87F"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14%</w:t>
            </w:r>
          </w:p>
        </w:tc>
        <w:tc>
          <w:tcPr>
            <w:tcW w:w="1606" w:type="dxa"/>
            <w:tcBorders>
              <w:top w:val="nil"/>
              <w:bottom w:val="nil"/>
            </w:tcBorders>
            <w:noWrap/>
            <w:vAlign w:val="bottom"/>
          </w:tcPr>
          <w:p w14:paraId="667EC91F" w14:textId="00BEB26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227,000</w:t>
            </w:r>
          </w:p>
        </w:tc>
        <w:tc>
          <w:tcPr>
            <w:tcW w:w="1607" w:type="dxa"/>
            <w:tcBorders>
              <w:top w:val="nil"/>
              <w:bottom w:val="nil"/>
              <w:right w:val="single" w:sz="4" w:space="0" w:color="E0301E" w:themeColor="accent6"/>
            </w:tcBorders>
            <w:vAlign w:val="bottom"/>
          </w:tcPr>
          <w:p w14:paraId="28F693C3" w14:textId="2ECE6DD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98%</w:t>
            </w:r>
          </w:p>
        </w:tc>
      </w:tr>
      <w:tr w:rsidR="0069611A" w:rsidRPr="006114CC" w14:paraId="47B93678"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17CBEA70" w14:textId="02B4CD54"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- 9-15 Years old</w:t>
            </w:r>
          </w:p>
        </w:tc>
        <w:tc>
          <w:tcPr>
            <w:tcW w:w="1134" w:type="dxa"/>
            <w:tcBorders>
              <w:top w:val="nil"/>
              <w:bottom w:val="nil"/>
            </w:tcBorders>
            <w:noWrap/>
            <w:vAlign w:val="bottom"/>
          </w:tcPr>
          <w:p w14:paraId="04ED9A7D" w14:textId="44B402DC"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31,000</w:t>
            </w:r>
          </w:p>
        </w:tc>
        <w:tc>
          <w:tcPr>
            <w:tcW w:w="1606" w:type="dxa"/>
            <w:tcBorders>
              <w:top w:val="nil"/>
              <w:bottom w:val="nil"/>
            </w:tcBorders>
            <w:noWrap/>
            <w:vAlign w:val="bottom"/>
          </w:tcPr>
          <w:p w14:paraId="2A4C720C" w14:textId="1B349A1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46%</w:t>
            </w:r>
          </w:p>
        </w:tc>
        <w:tc>
          <w:tcPr>
            <w:tcW w:w="1606" w:type="dxa"/>
            <w:tcBorders>
              <w:top w:val="nil"/>
              <w:bottom w:val="nil"/>
            </w:tcBorders>
            <w:noWrap/>
            <w:vAlign w:val="bottom"/>
          </w:tcPr>
          <w:p w14:paraId="51BFF885" w14:textId="405782F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220,000</w:t>
            </w:r>
          </w:p>
        </w:tc>
        <w:tc>
          <w:tcPr>
            <w:tcW w:w="1607" w:type="dxa"/>
            <w:tcBorders>
              <w:top w:val="nil"/>
              <w:bottom w:val="nil"/>
              <w:right w:val="single" w:sz="4" w:space="0" w:color="E0301E" w:themeColor="accent6"/>
            </w:tcBorders>
            <w:vAlign w:val="bottom"/>
          </w:tcPr>
          <w:p w14:paraId="4CADEF11" w14:textId="7848A1EC"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95%</w:t>
            </w:r>
          </w:p>
        </w:tc>
      </w:tr>
      <w:tr w:rsidR="0069611A" w:rsidRPr="006114CC" w14:paraId="218F5463"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vAlign w:val="bottom"/>
          </w:tcPr>
          <w:p w14:paraId="276B6486" w14:textId="16021AFD"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- 16-18 Years old</w:t>
            </w:r>
          </w:p>
        </w:tc>
        <w:tc>
          <w:tcPr>
            <w:tcW w:w="1134" w:type="dxa"/>
            <w:tcBorders>
              <w:top w:val="nil"/>
              <w:bottom w:val="single" w:sz="4" w:space="0" w:color="E0301E" w:themeColor="accent6"/>
            </w:tcBorders>
            <w:noWrap/>
            <w:vAlign w:val="bottom"/>
          </w:tcPr>
          <w:p w14:paraId="5DFC34BB" w14:textId="3D17BE7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6,000</w:t>
            </w:r>
          </w:p>
        </w:tc>
        <w:tc>
          <w:tcPr>
            <w:tcW w:w="1606" w:type="dxa"/>
            <w:tcBorders>
              <w:top w:val="nil"/>
              <w:bottom w:val="single" w:sz="4" w:space="0" w:color="E0301E" w:themeColor="accent6"/>
            </w:tcBorders>
            <w:noWrap/>
            <w:vAlign w:val="bottom"/>
          </w:tcPr>
          <w:p w14:paraId="2F7FD1C9" w14:textId="24E22CB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w:t>
            </w:r>
          </w:p>
        </w:tc>
        <w:tc>
          <w:tcPr>
            <w:tcW w:w="1606" w:type="dxa"/>
            <w:tcBorders>
              <w:top w:val="nil"/>
              <w:bottom w:val="single" w:sz="4" w:space="0" w:color="E0301E" w:themeColor="accent6"/>
            </w:tcBorders>
            <w:noWrap/>
            <w:vAlign w:val="bottom"/>
          </w:tcPr>
          <w:p w14:paraId="559FDC6B" w14:textId="1578CEE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228,000</w:t>
            </w:r>
          </w:p>
        </w:tc>
        <w:tc>
          <w:tcPr>
            <w:tcW w:w="1607" w:type="dxa"/>
            <w:tcBorders>
              <w:top w:val="nil"/>
              <w:bottom w:val="single" w:sz="4" w:space="0" w:color="E0301E" w:themeColor="accent6"/>
              <w:right w:val="single" w:sz="4" w:space="0" w:color="E0301E" w:themeColor="accent6"/>
            </w:tcBorders>
            <w:vAlign w:val="bottom"/>
          </w:tcPr>
          <w:p w14:paraId="70D7CAE3" w14:textId="56A52FD4"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99%</w:t>
            </w:r>
          </w:p>
        </w:tc>
      </w:tr>
      <w:tr w:rsidR="0069611A" w:rsidRPr="006114CC" w14:paraId="09B51C2B"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vAlign w:val="bottom"/>
          </w:tcPr>
          <w:p w14:paraId="12A51F6D" w14:textId="71E85EC7" w:rsidR="0069611A" w:rsidRPr="00532623" w:rsidRDefault="0069611A" w:rsidP="0069611A">
            <w:pPr>
              <w:pStyle w:val="TableTextSmall"/>
              <w:keepNext/>
              <w:rPr>
                <w:rFonts w:ascii="Arial" w:hAnsi="Arial"/>
                <w:i/>
                <w:iCs/>
                <w:color w:val="595959"/>
                <w:szCs w:val="16"/>
              </w:rPr>
            </w:pPr>
            <w:r w:rsidRPr="00532623">
              <w:rPr>
                <w:rFonts w:ascii="Arial" w:hAnsi="Arial"/>
                <w:color w:val="595959"/>
                <w:szCs w:val="16"/>
              </w:rPr>
              <w:t>Marital status</w:t>
            </w:r>
          </w:p>
        </w:tc>
        <w:tc>
          <w:tcPr>
            <w:tcW w:w="1134" w:type="dxa"/>
            <w:tcBorders>
              <w:bottom w:val="nil"/>
            </w:tcBorders>
            <w:noWrap/>
            <w:vAlign w:val="bottom"/>
          </w:tcPr>
          <w:p w14:paraId="63B35AAF" w14:textId="7A88F4D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72AACD5A" w14:textId="7325184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1D94F779" w14:textId="7121E6C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76E6A782" w14:textId="3C9EA7D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214F85BA"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04064D81" w14:textId="2D3DC0DE"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Single</w:t>
            </w:r>
          </w:p>
        </w:tc>
        <w:tc>
          <w:tcPr>
            <w:tcW w:w="1134" w:type="dxa"/>
            <w:tcBorders>
              <w:top w:val="nil"/>
              <w:bottom w:val="nil"/>
            </w:tcBorders>
            <w:noWrap/>
            <w:vAlign w:val="bottom"/>
          </w:tcPr>
          <w:p w14:paraId="00D803F7" w14:textId="351CCC5B"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12,000</w:t>
            </w:r>
          </w:p>
        </w:tc>
        <w:tc>
          <w:tcPr>
            <w:tcW w:w="1606" w:type="dxa"/>
            <w:tcBorders>
              <w:top w:val="nil"/>
              <w:bottom w:val="nil"/>
            </w:tcBorders>
            <w:noWrap/>
            <w:vAlign w:val="bottom"/>
          </w:tcPr>
          <w:p w14:paraId="7A1CD3BF" w14:textId="2CD89261"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17%</w:t>
            </w:r>
          </w:p>
        </w:tc>
        <w:tc>
          <w:tcPr>
            <w:tcW w:w="1606" w:type="dxa"/>
            <w:tcBorders>
              <w:top w:val="nil"/>
              <w:bottom w:val="nil"/>
            </w:tcBorders>
            <w:noWrap/>
            <w:vAlign w:val="bottom"/>
          </w:tcPr>
          <w:p w14:paraId="3EF44F5B" w14:textId="1A28CAA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296,000</w:t>
            </w:r>
          </w:p>
        </w:tc>
        <w:tc>
          <w:tcPr>
            <w:tcW w:w="1607" w:type="dxa"/>
            <w:tcBorders>
              <w:top w:val="nil"/>
              <w:bottom w:val="nil"/>
              <w:right w:val="single" w:sz="4" w:space="0" w:color="E0301E" w:themeColor="accent6"/>
            </w:tcBorders>
            <w:vAlign w:val="bottom"/>
          </w:tcPr>
          <w:p w14:paraId="3D953CF0" w14:textId="29F3656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128%</w:t>
            </w:r>
          </w:p>
        </w:tc>
      </w:tr>
      <w:tr w:rsidR="0069611A" w:rsidRPr="006114CC" w14:paraId="7D107A32"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tcBorders>
            <w:noWrap/>
            <w:vAlign w:val="bottom"/>
          </w:tcPr>
          <w:p w14:paraId="02C9EF70" w14:textId="41C47B5E"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Partnered</w:t>
            </w:r>
          </w:p>
        </w:tc>
        <w:tc>
          <w:tcPr>
            <w:tcW w:w="1134" w:type="dxa"/>
            <w:tcBorders>
              <w:top w:val="nil"/>
            </w:tcBorders>
            <w:noWrap/>
            <w:vAlign w:val="bottom"/>
          </w:tcPr>
          <w:p w14:paraId="17F35E60" w14:textId="6CA5894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55,000</w:t>
            </w:r>
          </w:p>
        </w:tc>
        <w:tc>
          <w:tcPr>
            <w:tcW w:w="1606" w:type="dxa"/>
            <w:tcBorders>
              <w:top w:val="nil"/>
            </w:tcBorders>
            <w:noWrap/>
            <w:vAlign w:val="bottom"/>
          </w:tcPr>
          <w:p w14:paraId="6E7855AD" w14:textId="1DA8E4B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83%</w:t>
            </w:r>
          </w:p>
        </w:tc>
        <w:tc>
          <w:tcPr>
            <w:tcW w:w="1606" w:type="dxa"/>
            <w:tcBorders>
              <w:top w:val="nil"/>
            </w:tcBorders>
            <w:noWrap/>
            <w:vAlign w:val="bottom"/>
          </w:tcPr>
          <w:p w14:paraId="197BC5A9" w14:textId="7986CAA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217,000</w:t>
            </w:r>
          </w:p>
        </w:tc>
        <w:tc>
          <w:tcPr>
            <w:tcW w:w="1607" w:type="dxa"/>
            <w:tcBorders>
              <w:top w:val="nil"/>
              <w:right w:val="single" w:sz="4" w:space="0" w:color="E0301E" w:themeColor="accent6"/>
            </w:tcBorders>
            <w:vAlign w:val="bottom"/>
          </w:tcPr>
          <w:p w14:paraId="3C5AA8F4" w14:textId="43187FF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94%</w:t>
            </w:r>
          </w:p>
        </w:tc>
      </w:tr>
      <w:tr w:rsidR="0069611A" w:rsidRPr="006114CC" w14:paraId="4C9F9DBD"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vAlign w:val="bottom"/>
          </w:tcPr>
          <w:p w14:paraId="7C2CBD08" w14:textId="618B27C3" w:rsidR="0069611A" w:rsidRPr="00532623" w:rsidRDefault="0069611A" w:rsidP="0069611A">
            <w:pPr>
              <w:pStyle w:val="TableTextSmall"/>
              <w:keepNext/>
              <w:rPr>
                <w:rFonts w:ascii="Arial" w:hAnsi="Arial"/>
                <w:i/>
                <w:iCs/>
                <w:color w:val="595959"/>
                <w:szCs w:val="16"/>
              </w:rPr>
            </w:pPr>
            <w:r w:rsidRPr="00532623">
              <w:rPr>
                <w:rFonts w:ascii="Arial" w:hAnsi="Arial"/>
                <w:color w:val="595959"/>
                <w:szCs w:val="16"/>
              </w:rPr>
              <w:t>Class before entering '8 Non IS Carer'</w:t>
            </w:r>
          </w:p>
        </w:tc>
        <w:tc>
          <w:tcPr>
            <w:tcW w:w="1134" w:type="dxa"/>
            <w:tcBorders>
              <w:top w:val="single" w:sz="4" w:space="0" w:color="E0301E" w:themeColor="accent6"/>
              <w:bottom w:val="nil"/>
            </w:tcBorders>
            <w:noWrap/>
            <w:vAlign w:val="bottom"/>
          </w:tcPr>
          <w:p w14:paraId="5B5CD943" w14:textId="32813CB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1407B4D6" w14:textId="2302AF91"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06B132E3" w14:textId="39160FEA"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top w:val="single" w:sz="4" w:space="0" w:color="E0301E" w:themeColor="accent6"/>
              <w:bottom w:val="nil"/>
              <w:right w:val="single" w:sz="4" w:space="0" w:color="E0301E" w:themeColor="accent6"/>
            </w:tcBorders>
            <w:vAlign w:val="bottom"/>
          </w:tcPr>
          <w:p w14:paraId="56F9EA55" w14:textId="1E6D4D5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114CC" w14:paraId="0184BC91"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227333DA" w14:textId="7560714E"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Income support</w:t>
            </w:r>
          </w:p>
        </w:tc>
        <w:tc>
          <w:tcPr>
            <w:tcW w:w="1134" w:type="dxa"/>
            <w:tcBorders>
              <w:top w:val="nil"/>
              <w:bottom w:val="nil"/>
            </w:tcBorders>
            <w:noWrap/>
            <w:vAlign w:val="bottom"/>
          </w:tcPr>
          <w:p w14:paraId="38990405" w14:textId="0FE7AC3C"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15,000</w:t>
            </w:r>
          </w:p>
        </w:tc>
        <w:tc>
          <w:tcPr>
            <w:tcW w:w="1606" w:type="dxa"/>
            <w:tcBorders>
              <w:top w:val="nil"/>
              <w:bottom w:val="nil"/>
            </w:tcBorders>
            <w:noWrap/>
            <w:vAlign w:val="bottom"/>
          </w:tcPr>
          <w:p w14:paraId="613BF4C7" w14:textId="45C726A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22%</w:t>
            </w:r>
          </w:p>
        </w:tc>
        <w:tc>
          <w:tcPr>
            <w:tcW w:w="1606" w:type="dxa"/>
            <w:tcBorders>
              <w:top w:val="nil"/>
              <w:bottom w:val="nil"/>
            </w:tcBorders>
            <w:noWrap/>
            <w:vAlign w:val="bottom"/>
          </w:tcPr>
          <w:p w14:paraId="542A62A3" w14:textId="1DF316B5"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260,000</w:t>
            </w:r>
          </w:p>
        </w:tc>
        <w:tc>
          <w:tcPr>
            <w:tcW w:w="1607" w:type="dxa"/>
            <w:tcBorders>
              <w:top w:val="nil"/>
              <w:bottom w:val="nil"/>
              <w:right w:val="single" w:sz="4" w:space="0" w:color="E0301E" w:themeColor="accent6"/>
            </w:tcBorders>
            <w:vAlign w:val="bottom"/>
          </w:tcPr>
          <w:p w14:paraId="7916FA14" w14:textId="11BAD2A8"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113%</w:t>
            </w:r>
          </w:p>
        </w:tc>
      </w:tr>
      <w:tr w:rsidR="0069611A" w:rsidRPr="006114CC" w14:paraId="045380E6"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5C42BE59" w14:textId="4F9D6660"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Non income support</w:t>
            </w:r>
          </w:p>
        </w:tc>
        <w:tc>
          <w:tcPr>
            <w:tcW w:w="1134" w:type="dxa"/>
            <w:tcBorders>
              <w:top w:val="nil"/>
              <w:bottom w:val="nil"/>
            </w:tcBorders>
            <w:noWrap/>
            <w:vAlign w:val="bottom"/>
          </w:tcPr>
          <w:p w14:paraId="078D349A" w14:textId="4F4B467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34,000</w:t>
            </w:r>
          </w:p>
        </w:tc>
        <w:tc>
          <w:tcPr>
            <w:tcW w:w="1606" w:type="dxa"/>
            <w:tcBorders>
              <w:top w:val="nil"/>
              <w:bottom w:val="nil"/>
            </w:tcBorders>
            <w:noWrap/>
            <w:vAlign w:val="bottom"/>
          </w:tcPr>
          <w:p w14:paraId="4F27B5D6" w14:textId="35E84F3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51%</w:t>
            </w:r>
          </w:p>
        </w:tc>
        <w:tc>
          <w:tcPr>
            <w:tcW w:w="1606" w:type="dxa"/>
            <w:tcBorders>
              <w:top w:val="nil"/>
              <w:bottom w:val="nil"/>
            </w:tcBorders>
            <w:noWrap/>
            <w:vAlign w:val="bottom"/>
          </w:tcPr>
          <w:p w14:paraId="4177ADEE" w14:textId="473033A6"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221,000</w:t>
            </w:r>
          </w:p>
        </w:tc>
        <w:tc>
          <w:tcPr>
            <w:tcW w:w="1607" w:type="dxa"/>
            <w:tcBorders>
              <w:top w:val="nil"/>
              <w:bottom w:val="nil"/>
              <w:right w:val="single" w:sz="4" w:space="0" w:color="E0301E" w:themeColor="accent6"/>
            </w:tcBorders>
            <w:vAlign w:val="bottom"/>
          </w:tcPr>
          <w:p w14:paraId="27585F7A" w14:textId="1F3A3F1F"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96%</w:t>
            </w:r>
          </w:p>
        </w:tc>
      </w:tr>
      <w:tr w:rsidR="0069611A" w:rsidRPr="006114CC" w14:paraId="55412E7E"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tcBorders>
            <w:noWrap/>
            <w:vAlign w:val="bottom"/>
          </w:tcPr>
          <w:p w14:paraId="1284A62A" w14:textId="3CE354BD" w:rsidR="0069611A" w:rsidRPr="00532623" w:rsidRDefault="0069611A" w:rsidP="0069611A">
            <w:pPr>
              <w:pStyle w:val="TableTextSmall"/>
              <w:keepNext/>
              <w:rPr>
                <w:rFonts w:ascii="Arial" w:hAnsi="Arial"/>
                <w:b w:val="0"/>
                <w:i/>
                <w:iCs/>
                <w:color w:val="595959"/>
                <w:szCs w:val="16"/>
              </w:rPr>
            </w:pPr>
            <w:r w:rsidRPr="00532623">
              <w:rPr>
                <w:rFonts w:ascii="Arial" w:hAnsi="Arial"/>
                <w:i/>
                <w:iCs/>
                <w:color w:val="595959"/>
                <w:szCs w:val="16"/>
              </w:rPr>
              <w:t xml:space="preserve">    - Previous client/non client</w:t>
            </w:r>
          </w:p>
        </w:tc>
        <w:tc>
          <w:tcPr>
            <w:tcW w:w="1134" w:type="dxa"/>
            <w:tcBorders>
              <w:top w:val="nil"/>
            </w:tcBorders>
            <w:noWrap/>
            <w:vAlign w:val="bottom"/>
          </w:tcPr>
          <w:p w14:paraId="05E74BFD" w14:textId="61FBF44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18,000</w:t>
            </w:r>
          </w:p>
        </w:tc>
        <w:tc>
          <w:tcPr>
            <w:tcW w:w="1606" w:type="dxa"/>
            <w:tcBorders>
              <w:top w:val="nil"/>
            </w:tcBorders>
            <w:noWrap/>
            <w:vAlign w:val="bottom"/>
          </w:tcPr>
          <w:p w14:paraId="155ADB44" w14:textId="4AF9992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27%</w:t>
            </w:r>
          </w:p>
        </w:tc>
        <w:tc>
          <w:tcPr>
            <w:tcW w:w="1606" w:type="dxa"/>
            <w:tcBorders>
              <w:top w:val="nil"/>
            </w:tcBorders>
            <w:noWrap/>
            <w:vAlign w:val="bottom"/>
          </w:tcPr>
          <w:p w14:paraId="599A7593" w14:textId="18945D9C"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225,000</w:t>
            </w:r>
          </w:p>
        </w:tc>
        <w:tc>
          <w:tcPr>
            <w:tcW w:w="1607" w:type="dxa"/>
            <w:tcBorders>
              <w:top w:val="nil"/>
              <w:right w:val="single" w:sz="4" w:space="0" w:color="E0301E" w:themeColor="accent6"/>
            </w:tcBorders>
            <w:vAlign w:val="bottom"/>
          </w:tcPr>
          <w:p w14:paraId="159D793F" w14:textId="0ED7D8E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98%</w:t>
            </w:r>
          </w:p>
        </w:tc>
      </w:tr>
    </w:tbl>
    <w:p w14:paraId="4CD9CDD3" w14:textId="77777777" w:rsidR="00D97824" w:rsidRDefault="00D97824" w:rsidP="00D97824">
      <w:pPr>
        <w:pStyle w:val="PwCNormal"/>
        <w:numPr>
          <w:ilvl w:val="0"/>
          <w:numId w:val="0"/>
        </w:numPr>
      </w:pPr>
      <w:r w:rsidRPr="006114CC">
        <w:t>F</w:t>
      </w:r>
      <w:r>
        <w:t>rom the table above we can see that for current Non IS Carer recipients:</w:t>
      </w:r>
    </w:p>
    <w:p w14:paraId="5ABA0113" w14:textId="77777777" w:rsidR="00D97824" w:rsidRDefault="00D97824" w:rsidP="00D97824">
      <w:pPr>
        <w:pStyle w:val="ListBullet"/>
      </w:pPr>
      <w:r>
        <w:t xml:space="preserve">Those with </w:t>
      </w:r>
      <w:r w:rsidRPr="00DC4AE6">
        <w:rPr>
          <w:b/>
        </w:rPr>
        <w:t>adult carees</w:t>
      </w:r>
      <w:r>
        <w:t xml:space="preserve"> have a higher average lifetime cost compared to carers with child carees;</w:t>
      </w:r>
    </w:p>
    <w:p w14:paraId="2CC8258C" w14:textId="77777777" w:rsidR="00D97824" w:rsidRDefault="00D97824" w:rsidP="00D97824">
      <w:pPr>
        <w:pStyle w:val="ListBullet"/>
      </w:pPr>
      <w:r>
        <w:t xml:space="preserve">In general, those with </w:t>
      </w:r>
      <w:r w:rsidRPr="00DC4AE6">
        <w:rPr>
          <w:b/>
        </w:rPr>
        <w:t>younger children</w:t>
      </w:r>
      <w:r>
        <w:t xml:space="preserve"> have a higher average lifetime cost;</w:t>
      </w:r>
    </w:p>
    <w:p w14:paraId="15553810" w14:textId="77777777" w:rsidR="00D97824" w:rsidRDefault="00D97824" w:rsidP="00D97824">
      <w:pPr>
        <w:pStyle w:val="ListBullet"/>
      </w:pPr>
      <w:r w:rsidRPr="00DC4AE6">
        <w:rPr>
          <w:b/>
        </w:rPr>
        <w:t>Single welfare recipients</w:t>
      </w:r>
      <w:r>
        <w:t xml:space="preserve"> have a higher average lifetime cost compared to partnered welfare recipients;</w:t>
      </w:r>
    </w:p>
    <w:p w14:paraId="17E74FC8" w14:textId="01548D3E" w:rsidR="00D97824" w:rsidRDefault="00D97824" w:rsidP="00D97824">
      <w:pPr>
        <w:pStyle w:val="PwCNormal"/>
        <w:numPr>
          <w:ilvl w:val="0"/>
          <w:numId w:val="0"/>
        </w:numPr>
      </w:pPr>
      <w:r>
        <w:t xml:space="preserve">Those who were </w:t>
      </w:r>
      <w:r w:rsidRPr="00DC4AE6">
        <w:rPr>
          <w:b/>
        </w:rPr>
        <w:t>previously</w:t>
      </w:r>
      <w:r>
        <w:t xml:space="preserve"> </w:t>
      </w:r>
      <w:r w:rsidRPr="00DC4AE6">
        <w:rPr>
          <w:b/>
        </w:rPr>
        <w:t>receiving income support welfare payments</w:t>
      </w:r>
      <w:r>
        <w:t xml:space="preserve"> have a higher average lifetime cost compared to those were receiving non income support welfare payments, or were not receiving welfare payments.</w:t>
      </w:r>
    </w:p>
    <w:p w14:paraId="52EA0672" w14:textId="0193BA06" w:rsidR="009B2D09" w:rsidRPr="00764DC6" w:rsidRDefault="009B2D09" w:rsidP="009B2D09">
      <w:pPr>
        <w:pStyle w:val="Minorheading"/>
      </w:pPr>
      <w:r w:rsidRPr="00764DC6">
        <w:t xml:space="preserve">Change in lifetime costs since the </w:t>
      </w:r>
      <w:r w:rsidR="00764DC6" w:rsidRPr="00764DC6">
        <w:t>2016</w:t>
      </w:r>
      <w:r w:rsidRPr="00764DC6">
        <w:t xml:space="preserve"> valuation</w:t>
      </w:r>
    </w:p>
    <w:p w14:paraId="740F1787" w14:textId="32CDC570" w:rsidR="00372F5B" w:rsidRPr="00764DC6" w:rsidRDefault="00372F5B" w:rsidP="00372F5B">
      <w:pPr>
        <w:pStyle w:val="PwCNormal"/>
        <w:numPr>
          <w:ilvl w:val="0"/>
          <w:numId w:val="0"/>
        </w:numPr>
      </w:pPr>
      <w:r w:rsidRPr="00764DC6">
        <w:t xml:space="preserve">The lifetime cost for the people in this class </w:t>
      </w:r>
      <w:r w:rsidR="00684B12">
        <w:t>is</w:t>
      </w:r>
      <w:r w:rsidRPr="00764DC6">
        <w:t xml:space="preserve"> $42bn</w:t>
      </w:r>
      <w:r w:rsidR="00684B12">
        <w:t>,</w:t>
      </w:r>
      <w:r w:rsidRPr="00764DC6">
        <w:t xml:space="preserve"> an increase of $1bn compared to the 2016 valuation. This was driven by an increase in the number of people in this class:</w:t>
      </w:r>
    </w:p>
    <w:p w14:paraId="020686F7" w14:textId="1B1C1868" w:rsidR="00372F5B" w:rsidRPr="00764DC6" w:rsidRDefault="00EB7B98" w:rsidP="002757B8">
      <w:pPr>
        <w:pStyle w:val="ListBullet"/>
      </w:pPr>
      <w:r>
        <w:t>As expected, t</w:t>
      </w:r>
      <w:r w:rsidR="00372F5B" w:rsidRPr="00764DC6">
        <w:t xml:space="preserve">he number of people </w:t>
      </w:r>
      <w:r w:rsidR="00A64D11">
        <w:t>in this class has increased (0.9</w:t>
      </w:r>
      <w:r w:rsidR="00372F5B" w:rsidRPr="00764DC6">
        <w:t>% higher) since the previous valuation.</w:t>
      </w:r>
    </w:p>
    <w:p w14:paraId="4F745B04" w14:textId="67B1EAAD" w:rsidR="00372F5B" w:rsidRPr="00764DC6" w:rsidRDefault="00372F5B" w:rsidP="002757B8">
      <w:pPr>
        <w:pStyle w:val="ListBullet"/>
      </w:pPr>
      <w:r w:rsidRPr="00764DC6">
        <w:t xml:space="preserve">The average cost </w:t>
      </w:r>
      <w:r w:rsidR="00A64D11">
        <w:t>has increased by $1,000 (0.5%)</w:t>
      </w:r>
      <w:r>
        <w:t xml:space="preserve"> </w:t>
      </w:r>
      <w:r w:rsidRPr="00764DC6">
        <w:t>since the previous valuation. The following table provides a breakdown of the change in average lifetime cost by payment category.</w:t>
      </w:r>
    </w:p>
    <w:p w14:paraId="3DD48584" w14:textId="0B42A9F2" w:rsidR="00372F5B" w:rsidRPr="002D25C5" w:rsidRDefault="00372F5B" w:rsidP="00372F5B">
      <w:pPr>
        <w:pStyle w:val="Caption"/>
      </w:pPr>
      <w:r w:rsidRPr="00764DC6">
        <w:lastRenderedPageBreak/>
        <w:t xml:space="preserve">Table </w:t>
      </w:r>
      <w:fldSimple w:instr=" SEQ Table \* ARABIC ">
        <w:r w:rsidR="00C93C1A">
          <w:rPr>
            <w:noProof/>
          </w:rPr>
          <w:t>45</w:t>
        </w:r>
      </w:fldSimple>
      <w:r w:rsidRPr="00764DC6">
        <w:t>: Breakdown of change in averag</w:t>
      </w:r>
      <w:r w:rsidRPr="002D25C5">
        <w:t xml:space="preserve">e lifetime cost for </w:t>
      </w:r>
      <w:r w:rsidR="00871E70">
        <w:t>c</w:t>
      </w:r>
      <w:r w:rsidRPr="002D25C5">
        <w:t>lass 8 by payment category</w:t>
      </w:r>
    </w:p>
    <w:tbl>
      <w:tblPr>
        <w:tblStyle w:val="ListTable3-Accent62"/>
        <w:tblW w:w="9498" w:type="dxa"/>
        <w:tblInd w:w="108" w:type="dxa"/>
        <w:tblLayout w:type="fixed"/>
        <w:tblCellMar>
          <w:left w:w="57" w:type="dxa"/>
          <w:right w:w="57" w:type="dxa"/>
        </w:tblCellMar>
        <w:tblLook w:val="04A0" w:firstRow="1" w:lastRow="0" w:firstColumn="1" w:lastColumn="0" w:noHBand="0" w:noVBand="1"/>
        <w:tblCaption w:val=" Breakdown of change in average lifetime cost for Class 8 by payment category"/>
        <w:tblDescription w:val="This table shows the breakdown of the total change in average lifetime cost for Class 8 into; change in people in class, change in inflation, policy changes and other changes. These are shown as rows in the table.&#10;&#10;The changes in lifetime cost are considered by relevant payment categories for Class 8; IS Non Age Pension, IS Age Pension, Non IS Family Supplements and Non IS Other Supplements. These are shown as columns in the table alongside a total change column.&#10;&#10;Further features of the data in this table are discussed in the accompanying text within the report.&#10;"/>
      </w:tblPr>
      <w:tblGrid>
        <w:gridCol w:w="3119"/>
        <w:gridCol w:w="1276"/>
        <w:gridCol w:w="1240"/>
        <w:gridCol w:w="1240"/>
        <w:gridCol w:w="1311"/>
        <w:gridCol w:w="1312"/>
      </w:tblGrid>
      <w:tr w:rsidR="00372F5B" w:rsidRPr="002D25C5" w14:paraId="65311E13"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1D12FA5D" w14:textId="77777777" w:rsidR="00372F5B" w:rsidRPr="002D25C5" w:rsidRDefault="00372F5B" w:rsidP="001D1763">
            <w:pPr>
              <w:pStyle w:val="TableTextSmall"/>
              <w:keepNext/>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7C1B7A5A" w14:textId="77777777" w:rsidR="00372F5B" w:rsidRPr="002D25C5" w:rsidRDefault="00372F5B"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40" w:type="dxa"/>
            <w:tcBorders>
              <w:left w:val="single" w:sz="4" w:space="0" w:color="FFFFFF" w:themeColor="background1"/>
              <w:bottom w:val="single" w:sz="4" w:space="0" w:color="FFFFFF" w:themeColor="background1"/>
            </w:tcBorders>
          </w:tcPr>
          <w:p w14:paraId="4531D438" w14:textId="77777777" w:rsidR="00372F5B" w:rsidRPr="002D25C5" w:rsidRDefault="00372F5B" w:rsidP="001D1763">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D25C5">
              <w:rPr>
                <w:rFonts w:asciiTheme="majorHAnsi" w:hAnsiTheme="majorHAnsi"/>
                <w:color w:val="FFFFFF" w:themeColor="background1"/>
              </w:rPr>
              <w:t>Income</w:t>
            </w:r>
          </w:p>
        </w:tc>
        <w:tc>
          <w:tcPr>
            <w:tcW w:w="1240" w:type="dxa"/>
            <w:tcBorders>
              <w:left w:val="single" w:sz="4" w:space="0" w:color="E0301E" w:themeColor="accent6"/>
              <w:bottom w:val="single" w:sz="4" w:space="0" w:color="FFFFFF" w:themeColor="background1"/>
              <w:right w:val="single" w:sz="4" w:space="0" w:color="FFFFFF" w:themeColor="background1"/>
            </w:tcBorders>
          </w:tcPr>
          <w:p w14:paraId="23A73632" w14:textId="77777777" w:rsidR="00372F5B" w:rsidRPr="002D25C5" w:rsidRDefault="00372F5B" w:rsidP="001D1763">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2D25C5">
              <w:rPr>
                <w:rFonts w:asciiTheme="majorHAnsi" w:hAnsiTheme="majorHAnsi"/>
                <w:color w:val="FFFFFF" w:themeColor="background1"/>
              </w:rPr>
              <w:t>Support</w:t>
            </w:r>
          </w:p>
        </w:tc>
        <w:tc>
          <w:tcPr>
            <w:tcW w:w="1311" w:type="dxa"/>
            <w:tcBorders>
              <w:left w:val="single" w:sz="4" w:space="0" w:color="FFFFFF" w:themeColor="background1"/>
            </w:tcBorders>
          </w:tcPr>
          <w:p w14:paraId="60D6EB70" w14:textId="7DBF2AA9" w:rsidR="00372F5B" w:rsidRPr="002D25C5" w:rsidRDefault="005B3E7D" w:rsidP="001D1763">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Pr>
                <w:rFonts w:asciiTheme="majorHAnsi" w:hAnsiTheme="majorHAnsi"/>
                <w:color w:val="FFFFFF" w:themeColor="background1"/>
              </w:rPr>
              <w:t>Non Income</w:t>
            </w:r>
          </w:p>
        </w:tc>
        <w:tc>
          <w:tcPr>
            <w:tcW w:w="1312" w:type="dxa"/>
            <w:tcBorders>
              <w:bottom w:val="single" w:sz="4" w:space="0" w:color="FFFFFF" w:themeColor="background1"/>
            </w:tcBorders>
          </w:tcPr>
          <w:p w14:paraId="30130845" w14:textId="77777777" w:rsidR="00372F5B" w:rsidRPr="002D25C5" w:rsidRDefault="00372F5B" w:rsidP="001D1763">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D25C5">
              <w:rPr>
                <w:rFonts w:asciiTheme="majorHAnsi" w:hAnsiTheme="majorHAnsi"/>
                <w:color w:val="FFFFFF" w:themeColor="background1"/>
              </w:rPr>
              <w:t>Support</w:t>
            </w:r>
          </w:p>
        </w:tc>
      </w:tr>
      <w:tr w:rsidR="00372F5B" w:rsidRPr="002D25C5" w14:paraId="24E06C48"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285BA508" w14:textId="77777777" w:rsidR="00372F5B" w:rsidRPr="002D25C5" w:rsidRDefault="00372F5B" w:rsidP="001D1763">
            <w:pPr>
              <w:pStyle w:val="TableTextSmall"/>
              <w:keepNext/>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5ED6ED7C" w14:textId="77777777" w:rsidR="00372F5B" w:rsidRPr="002D25C5" w:rsidRDefault="00372F5B"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D25C5">
              <w:rPr>
                <w:rFonts w:asciiTheme="majorHAnsi" w:hAnsiTheme="majorHAnsi"/>
                <w:color w:val="FFFFFF" w:themeColor="background1"/>
              </w:rPr>
              <w:t>Total</w:t>
            </w:r>
          </w:p>
        </w:tc>
        <w:tc>
          <w:tcPr>
            <w:tcW w:w="1240" w:type="dxa"/>
            <w:tcBorders>
              <w:top w:val="single" w:sz="4" w:space="0" w:color="FFFFFF" w:themeColor="background1"/>
              <w:left w:val="single" w:sz="4" w:space="0" w:color="FFFFFF" w:themeColor="background1"/>
              <w:bottom w:val="single" w:sz="4" w:space="0" w:color="E0301E" w:themeColor="accent6"/>
            </w:tcBorders>
          </w:tcPr>
          <w:p w14:paraId="7661961F" w14:textId="77777777" w:rsidR="00372F5B" w:rsidRPr="002D25C5" w:rsidRDefault="00372F5B"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2D25C5">
              <w:rPr>
                <w:rFonts w:asciiTheme="majorHAnsi" w:hAnsiTheme="majorHAnsi"/>
                <w:color w:val="FFFFFF" w:themeColor="background1"/>
              </w:rPr>
              <w:t>Non Age Pension</w:t>
            </w:r>
          </w:p>
        </w:tc>
        <w:tc>
          <w:tcPr>
            <w:tcW w:w="1240" w:type="dxa"/>
            <w:tcBorders>
              <w:top w:val="single" w:sz="4" w:space="0" w:color="FFFFFF" w:themeColor="background1"/>
              <w:bottom w:val="single" w:sz="4" w:space="0" w:color="E0301E" w:themeColor="accent6"/>
              <w:right w:val="single" w:sz="4" w:space="0" w:color="FFFFFF" w:themeColor="background1"/>
            </w:tcBorders>
          </w:tcPr>
          <w:p w14:paraId="18C90891" w14:textId="77777777" w:rsidR="00372F5B" w:rsidRPr="002D25C5" w:rsidRDefault="00372F5B"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2D25C5">
              <w:rPr>
                <w:rFonts w:asciiTheme="majorHAnsi" w:hAnsiTheme="majorHAnsi"/>
                <w:color w:val="FFFFFF" w:themeColor="background1"/>
              </w:rPr>
              <w:t>Age Pension</w:t>
            </w:r>
          </w:p>
        </w:tc>
        <w:tc>
          <w:tcPr>
            <w:tcW w:w="1311" w:type="dxa"/>
            <w:tcBorders>
              <w:top w:val="single" w:sz="4" w:space="0" w:color="FFFFFF" w:themeColor="background1"/>
              <w:left w:val="single" w:sz="4" w:space="0" w:color="FFFFFF" w:themeColor="background1"/>
              <w:bottom w:val="single" w:sz="4" w:space="0" w:color="E0301E" w:themeColor="accent6"/>
            </w:tcBorders>
          </w:tcPr>
          <w:p w14:paraId="735A6C54" w14:textId="77777777" w:rsidR="00372F5B" w:rsidRPr="002D25C5" w:rsidRDefault="00372F5B"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2D25C5">
              <w:rPr>
                <w:rFonts w:asciiTheme="majorHAnsi" w:hAnsiTheme="majorHAnsi"/>
                <w:color w:val="FFFFFF" w:themeColor="background1"/>
              </w:rPr>
              <w:t>Family Supplements</w:t>
            </w:r>
          </w:p>
        </w:tc>
        <w:tc>
          <w:tcPr>
            <w:tcW w:w="1312" w:type="dxa"/>
            <w:tcBorders>
              <w:bottom w:val="single" w:sz="4" w:space="0" w:color="E0301E" w:themeColor="accent6"/>
            </w:tcBorders>
          </w:tcPr>
          <w:p w14:paraId="6EFAC18F" w14:textId="77777777" w:rsidR="00372F5B" w:rsidRPr="002D25C5" w:rsidRDefault="00372F5B" w:rsidP="001D1763">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2D25C5">
              <w:rPr>
                <w:rFonts w:asciiTheme="majorHAnsi" w:hAnsiTheme="majorHAnsi"/>
                <w:color w:val="FFFFFF" w:themeColor="background1"/>
              </w:rPr>
              <w:t>Other Supplements</w:t>
            </w:r>
          </w:p>
        </w:tc>
      </w:tr>
      <w:tr w:rsidR="00AA1061" w:rsidRPr="002D25C5" w14:paraId="2BA71471"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50A6DE32" w14:textId="77777777" w:rsidR="00AA1061" w:rsidRPr="002D25C5" w:rsidRDefault="00AA1061" w:rsidP="00AA1061">
            <w:pPr>
              <w:pStyle w:val="TableTextSmall"/>
              <w:keepNext/>
            </w:pPr>
            <w:r>
              <w:t>Jun-16</w:t>
            </w:r>
            <w:r w:rsidRPr="002D25C5">
              <w:t xml:space="preserve"> Total Lifetime Cost</w:t>
            </w:r>
          </w:p>
        </w:tc>
        <w:tc>
          <w:tcPr>
            <w:tcW w:w="1276" w:type="dxa"/>
            <w:tcBorders>
              <w:left w:val="single" w:sz="4" w:space="0" w:color="E0301E" w:themeColor="accent6"/>
              <w:bottom w:val="nil"/>
              <w:right w:val="single" w:sz="4" w:space="0" w:color="E0301E" w:themeColor="accent6"/>
            </w:tcBorders>
          </w:tcPr>
          <w:p w14:paraId="2CA70E6A" w14:textId="0D586F91" w:rsidR="00AA1061" w:rsidRPr="002D25C5"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64FE4">
              <w:t>$41bn</w:t>
            </w:r>
          </w:p>
        </w:tc>
        <w:tc>
          <w:tcPr>
            <w:tcW w:w="1240" w:type="dxa"/>
            <w:tcBorders>
              <w:left w:val="single" w:sz="4" w:space="0" w:color="E0301E" w:themeColor="accent6"/>
              <w:bottom w:val="nil"/>
            </w:tcBorders>
            <w:shd w:val="clear" w:color="auto" w:fill="D9D9D9" w:themeFill="background1" w:themeFillShade="D9"/>
          </w:tcPr>
          <w:p w14:paraId="1FE0C1B7"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240" w:type="dxa"/>
            <w:tcBorders>
              <w:bottom w:val="nil"/>
              <w:right w:val="nil"/>
            </w:tcBorders>
            <w:shd w:val="clear" w:color="auto" w:fill="D9D9D9" w:themeFill="background1" w:themeFillShade="D9"/>
          </w:tcPr>
          <w:p w14:paraId="0C744EB8"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311" w:type="dxa"/>
            <w:tcBorders>
              <w:left w:val="nil"/>
              <w:bottom w:val="nil"/>
            </w:tcBorders>
            <w:shd w:val="clear" w:color="auto" w:fill="D9D9D9" w:themeFill="background1" w:themeFillShade="D9"/>
          </w:tcPr>
          <w:p w14:paraId="64FC9606"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312" w:type="dxa"/>
            <w:tcBorders>
              <w:bottom w:val="nil"/>
            </w:tcBorders>
            <w:shd w:val="clear" w:color="auto" w:fill="D9D9D9" w:themeFill="background1" w:themeFillShade="D9"/>
          </w:tcPr>
          <w:p w14:paraId="49145253"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r>
      <w:tr w:rsidR="00AA1061" w:rsidRPr="002D25C5" w14:paraId="73CCA0ED"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43C8082B" w14:textId="77777777" w:rsidR="00AA1061" w:rsidRPr="002D25C5" w:rsidRDefault="00AA1061" w:rsidP="00AA1061">
            <w:pPr>
              <w:pStyle w:val="TableTextSmall"/>
              <w:keepNext/>
            </w:pPr>
            <w:r>
              <w:t>Jun-17</w:t>
            </w:r>
            <w:r w:rsidRPr="002D25C5">
              <w:t xml:space="preserve">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tcPr>
          <w:p w14:paraId="6BEE40A5" w14:textId="14BCCFD7" w:rsidR="00AA1061" w:rsidRPr="002D25C5"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64FE4">
              <w:t>$42bn</w:t>
            </w:r>
          </w:p>
        </w:tc>
        <w:tc>
          <w:tcPr>
            <w:tcW w:w="1240" w:type="dxa"/>
            <w:tcBorders>
              <w:top w:val="nil"/>
              <w:left w:val="single" w:sz="4" w:space="0" w:color="E0301E" w:themeColor="accent6"/>
              <w:bottom w:val="nil"/>
            </w:tcBorders>
            <w:shd w:val="clear" w:color="auto" w:fill="D9D9D9" w:themeFill="background1" w:themeFillShade="D9"/>
          </w:tcPr>
          <w:p w14:paraId="2E32F0C7"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tcPr>
          <w:p w14:paraId="734BDF6D"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tcPr>
          <w:p w14:paraId="40C75055"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nil"/>
            </w:tcBorders>
            <w:shd w:val="clear" w:color="auto" w:fill="D9D9D9" w:themeFill="background1" w:themeFillShade="D9"/>
          </w:tcPr>
          <w:p w14:paraId="3961B0E9"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r>
      <w:tr w:rsidR="00AA1061" w:rsidRPr="002D25C5" w14:paraId="60D8358D"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0C468C7A" w14:textId="77777777" w:rsidR="00AA1061" w:rsidRPr="002D25C5" w:rsidRDefault="00AA1061" w:rsidP="00AA1061">
            <w:pPr>
              <w:pStyle w:val="TableTextSmall"/>
              <w:keepNext/>
            </w:pPr>
            <w:r w:rsidRPr="002D25C5">
              <w:t>Change in Total Lifetime Cost</w:t>
            </w:r>
          </w:p>
        </w:tc>
        <w:tc>
          <w:tcPr>
            <w:tcW w:w="1276" w:type="dxa"/>
            <w:tcBorders>
              <w:left w:val="single" w:sz="4" w:space="0" w:color="E0301E" w:themeColor="accent6"/>
              <w:bottom w:val="nil"/>
              <w:right w:val="single" w:sz="4" w:space="0" w:color="E0301E" w:themeColor="accent6"/>
            </w:tcBorders>
            <w:tcMar>
              <w:left w:w="0" w:type="dxa"/>
              <w:right w:w="0" w:type="dxa"/>
            </w:tcMar>
          </w:tcPr>
          <w:p w14:paraId="0987D8D9" w14:textId="2A7E2D7E" w:rsidR="00AA1061" w:rsidRPr="002D25C5"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64FE4">
              <w:t>+$1bn (+1.4%)</w:t>
            </w:r>
          </w:p>
        </w:tc>
        <w:tc>
          <w:tcPr>
            <w:tcW w:w="1240" w:type="dxa"/>
            <w:tcBorders>
              <w:top w:val="nil"/>
              <w:left w:val="single" w:sz="4" w:space="0" w:color="E0301E" w:themeColor="accent6"/>
              <w:bottom w:val="nil"/>
            </w:tcBorders>
            <w:shd w:val="clear" w:color="auto" w:fill="D9D9D9" w:themeFill="background1" w:themeFillShade="D9"/>
          </w:tcPr>
          <w:p w14:paraId="3B96BCF9"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tcPr>
          <w:p w14:paraId="20DC6284"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tcPr>
          <w:p w14:paraId="41BC356C"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312" w:type="dxa"/>
            <w:tcBorders>
              <w:top w:val="nil"/>
              <w:bottom w:val="nil"/>
            </w:tcBorders>
            <w:shd w:val="clear" w:color="auto" w:fill="D9D9D9" w:themeFill="background1" w:themeFillShade="D9"/>
          </w:tcPr>
          <w:p w14:paraId="6C5A5769" w14:textId="77777777" w:rsidR="00AA1061" w:rsidRPr="002D25C5"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r>
      <w:tr w:rsidR="00AA1061" w:rsidRPr="002D25C5" w14:paraId="3F890A42"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618B5D54" w14:textId="77777777" w:rsidR="00AA1061" w:rsidRPr="002D25C5" w:rsidRDefault="00AA1061" w:rsidP="00AA1061">
            <w:pPr>
              <w:pStyle w:val="TableTextSmall"/>
              <w:keepNext/>
            </w:pPr>
            <w:r w:rsidRPr="002D25C5">
              <w:t>Change due to People in Class</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tcPr>
          <w:p w14:paraId="3A884A10" w14:textId="45A41211" w:rsidR="00AA1061" w:rsidRPr="002D25C5"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E64FE4">
              <w:t>+0.9%</w:t>
            </w:r>
          </w:p>
        </w:tc>
        <w:tc>
          <w:tcPr>
            <w:tcW w:w="1240" w:type="dxa"/>
            <w:tcBorders>
              <w:top w:val="nil"/>
              <w:left w:val="single" w:sz="4" w:space="0" w:color="E0301E" w:themeColor="accent6"/>
              <w:bottom w:val="single" w:sz="4" w:space="0" w:color="E0301E" w:themeColor="accent6"/>
            </w:tcBorders>
            <w:shd w:val="clear" w:color="auto" w:fill="D9D9D9" w:themeFill="background1" w:themeFillShade="D9"/>
          </w:tcPr>
          <w:p w14:paraId="198E2CE5"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single" w:sz="4" w:space="0" w:color="E0301E" w:themeColor="accent6"/>
              <w:right w:val="nil"/>
            </w:tcBorders>
            <w:shd w:val="clear" w:color="auto" w:fill="D9D9D9" w:themeFill="background1" w:themeFillShade="D9"/>
          </w:tcPr>
          <w:p w14:paraId="7E5D01F0"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single" w:sz="4" w:space="0" w:color="E0301E" w:themeColor="accent6"/>
            </w:tcBorders>
            <w:shd w:val="clear" w:color="auto" w:fill="D9D9D9" w:themeFill="background1" w:themeFillShade="D9"/>
          </w:tcPr>
          <w:p w14:paraId="51204F98"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single" w:sz="4" w:space="0" w:color="E0301E" w:themeColor="accent6"/>
            </w:tcBorders>
            <w:shd w:val="clear" w:color="auto" w:fill="D9D9D9" w:themeFill="background1" w:themeFillShade="D9"/>
          </w:tcPr>
          <w:p w14:paraId="5F9A5A5A" w14:textId="77777777" w:rsidR="00AA1061" w:rsidRPr="002D25C5"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r>
      <w:tr w:rsidR="00AA1061" w:rsidRPr="002D25C5" w14:paraId="4DB8B0E0"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075B5E78" w14:textId="77777777" w:rsidR="00AA1061" w:rsidRPr="002D25C5" w:rsidRDefault="00AA1061" w:rsidP="00AA1061">
            <w:pPr>
              <w:pStyle w:val="TableTextSmall"/>
              <w:keepNext/>
            </w:pPr>
            <w:r w:rsidRPr="002D25C5">
              <w:t>Change due to Average Lifetime Cost</w:t>
            </w:r>
          </w:p>
        </w:tc>
        <w:tc>
          <w:tcPr>
            <w:tcW w:w="1276" w:type="dxa"/>
            <w:tcBorders>
              <w:left w:val="single" w:sz="4" w:space="0" w:color="E0301E" w:themeColor="accent6"/>
              <w:bottom w:val="nil"/>
              <w:right w:val="single" w:sz="4" w:space="0" w:color="E0301E" w:themeColor="accent6"/>
            </w:tcBorders>
          </w:tcPr>
          <w:p w14:paraId="5743E8ED" w14:textId="4255E11B" w:rsidR="00AA1061" w:rsidRPr="002D25C5" w:rsidRDefault="00AA1061" w:rsidP="00AA1061">
            <w:pPr>
              <w:pStyle w:val="TableTextSmall"/>
              <w:keepNext/>
              <w:tabs>
                <w:tab w:val="left" w:pos="396"/>
                <w:tab w:val="center" w:pos="581"/>
              </w:tabs>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E64FE4">
              <w:t>+$1k (+0.5%)</w:t>
            </w:r>
          </w:p>
        </w:tc>
        <w:tc>
          <w:tcPr>
            <w:tcW w:w="1240" w:type="dxa"/>
            <w:tcBorders>
              <w:left w:val="single" w:sz="4" w:space="0" w:color="E0301E" w:themeColor="accent6"/>
              <w:bottom w:val="nil"/>
            </w:tcBorders>
          </w:tcPr>
          <w:p w14:paraId="634BA2F0" w14:textId="73A994DC" w:rsidR="00AA1061" w:rsidRPr="002D25C5"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E64FE4">
              <w:t>-$2k</w:t>
            </w:r>
          </w:p>
        </w:tc>
        <w:tc>
          <w:tcPr>
            <w:tcW w:w="1240" w:type="dxa"/>
            <w:tcBorders>
              <w:bottom w:val="nil"/>
              <w:right w:val="dashed" w:sz="4" w:space="0" w:color="E0301E" w:themeColor="accent6"/>
            </w:tcBorders>
          </w:tcPr>
          <w:p w14:paraId="67B6BF08" w14:textId="4BC0A3C6" w:rsidR="00AA1061" w:rsidRPr="002D25C5"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rPr>
                <w:color w:val="808080"/>
              </w:rPr>
            </w:pPr>
            <w:r w:rsidRPr="00E64FE4">
              <w:t>+$4k</w:t>
            </w:r>
          </w:p>
        </w:tc>
        <w:tc>
          <w:tcPr>
            <w:tcW w:w="1311" w:type="dxa"/>
            <w:tcBorders>
              <w:left w:val="dashed" w:sz="4" w:space="0" w:color="E0301E" w:themeColor="accent6"/>
              <w:bottom w:val="nil"/>
            </w:tcBorders>
          </w:tcPr>
          <w:p w14:paraId="68CB7AAF" w14:textId="3857B37A"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bottom w:val="nil"/>
            </w:tcBorders>
          </w:tcPr>
          <w:p w14:paraId="612E712D" w14:textId="178D3347"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r>
      <w:tr w:rsidR="00AA1061" w:rsidRPr="002D25C5" w14:paraId="3A9CEA6C"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41665FEF" w14:textId="77777777" w:rsidR="00AA1061" w:rsidRPr="002D25C5" w:rsidRDefault="00AA1061" w:rsidP="00AA1061">
            <w:pPr>
              <w:pStyle w:val="TableTextSmall"/>
              <w:keepNext/>
              <w:rPr>
                <w:b w:val="0"/>
              </w:rPr>
            </w:pPr>
            <w:r w:rsidRPr="002404D0">
              <w:t>- Impact of change in inflation</w:t>
            </w:r>
          </w:p>
        </w:tc>
        <w:tc>
          <w:tcPr>
            <w:tcW w:w="1276" w:type="dxa"/>
            <w:tcBorders>
              <w:top w:val="nil"/>
              <w:left w:val="single" w:sz="4" w:space="0" w:color="E0301E" w:themeColor="accent6"/>
              <w:bottom w:val="nil"/>
              <w:right w:val="single" w:sz="4" w:space="0" w:color="E0301E" w:themeColor="accent6"/>
            </w:tcBorders>
          </w:tcPr>
          <w:p w14:paraId="0F7B3682" w14:textId="1EF4EA1C" w:rsidR="00AA1061" w:rsidRPr="002D25C5"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64FE4">
              <w:t>+$2k</w:t>
            </w:r>
          </w:p>
        </w:tc>
        <w:tc>
          <w:tcPr>
            <w:tcW w:w="1240" w:type="dxa"/>
            <w:tcBorders>
              <w:top w:val="nil"/>
              <w:left w:val="single" w:sz="4" w:space="0" w:color="E0301E" w:themeColor="accent6"/>
              <w:bottom w:val="nil"/>
            </w:tcBorders>
          </w:tcPr>
          <w:p w14:paraId="04E6D52C" w14:textId="34C5FA4E"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top w:val="nil"/>
              <w:bottom w:val="nil"/>
              <w:right w:val="dashed" w:sz="4" w:space="0" w:color="E0301E" w:themeColor="accent6"/>
            </w:tcBorders>
          </w:tcPr>
          <w:p w14:paraId="268CB873" w14:textId="2A205CC7" w:rsidR="00AA1061" w:rsidRPr="002D25C5"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E64FE4">
              <w:t>+$1k</w:t>
            </w:r>
          </w:p>
        </w:tc>
        <w:tc>
          <w:tcPr>
            <w:tcW w:w="1311" w:type="dxa"/>
            <w:tcBorders>
              <w:top w:val="nil"/>
              <w:left w:val="dashed" w:sz="4" w:space="0" w:color="E0301E" w:themeColor="accent6"/>
              <w:bottom w:val="nil"/>
            </w:tcBorders>
          </w:tcPr>
          <w:p w14:paraId="7F8CE7D8" w14:textId="3693FAFC"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top w:val="nil"/>
              <w:bottom w:val="nil"/>
            </w:tcBorders>
          </w:tcPr>
          <w:p w14:paraId="5BA74207" w14:textId="66107454"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r>
      <w:tr w:rsidR="00F8132F" w:rsidRPr="002D25C5" w14:paraId="3F415724"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30DA0FF2" w14:textId="77777777" w:rsidR="00F8132F" w:rsidRPr="002D25C5" w:rsidRDefault="00F8132F" w:rsidP="00F8132F">
            <w:pPr>
              <w:pStyle w:val="TableTextSmall"/>
              <w:keepNext/>
              <w:rPr>
                <w:b w:val="0"/>
              </w:rPr>
            </w:pPr>
            <w:r w:rsidRPr="002404D0">
              <w:t>- Impact of policy changes</w:t>
            </w:r>
          </w:p>
        </w:tc>
        <w:tc>
          <w:tcPr>
            <w:tcW w:w="1276" w:type="dxa"/>
            <w:tcBorders>
              <w:top w:val="nil"/>
              <w:left w:val="single" w:sz="4" w:space="0" w:color="E0301E" w:themeColor="accent6"/>
              <w:bottom w:val="nil"/>
              <w:right w:val="single" w:sz="4" w:space="0" w:color="E0301E" w:themeColor="accent6"/>
            </w:tcBorders>
          </w:tcPr>
          <w:p w14:paraId="38A2812B" w14:textId="204BB21A"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top w:val="nil"/>
              <w:left w:val="single" w:sz="4" w:space="0" w:color="E0301E" w:themeColor="accent6"/>
              <w:bottom w:val="nil"/>
            </w:tcBorders>
          </w:tcPr>
          <w:p w14:paraId="4D4228AF" w14:textId="77CA6DEA"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9052D0">
              <w:rPr>
                <w:color w:val="A6A6A6" w:themeColor="background1" w:themeShade="A6"/>
              </w:rPr>
              <w:t>&lt;$1k</w:t>
            </w:r>
          </w:p>
        </w:tc>
        <w:tc>
          <w:tcPr>
            <w:tcW w:w="1240" w:type="dxa"/>
            <w:tcBorders>
              <w:top w:val="nil"/>
              <w:bottom w:val="nil"/>
              <w:right w:val="dashed" w:sz="4" w:space="0" w:color="E0301E" w:themeColor="accent6"/>
            </w:tcBorders>
          </w:tcPr>
          <w:p w14:paraId="7E1FA826" w14:textId="6F07078E"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9052D0">
              <w:rPr>
                <w:color w:val="A6A6A6" w:themeColor="background1" w:themeShade="A6"/>
              </w:rPr>
              <w:t>&lt;$1k</w:t>
            </w:r>
          </w:p>
        </w:tc>
        <w:tc>
          <w:tcPr>
            <w:tcW w:w="1311" w:type="dxa"/>
            <w:tcBorders>
              <w:top w:val="nil"/>
              <w:left w:val="dashed" w:sz="4" w:space="0" w:color="E0301E" w:themeColor="accent6"/>
              <w:bottom w:val="nil"/>
            </w:tcBorders>
          </w:tcPr>
          <w:p w14:paraId="1F82AD32" w14:textId="2079DC58"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9052D0">
              <w:rPr>
                <w:color w:val="A6A6A6" w:themeColor="background1" w:themeShade="A6"/>
              </w:rPr>
              <w:t>&lt;$1k</w:t>
            </w:r>
          </w:p>
        </w:tc>
        <w:tc>
          <w:tcPr>
            <w:tcW w:w="1312" w:type="dxa"/>
            <w:tcBorders>
              <w:top w:val="nil"/>
              <w:bottom w:val="nil"/>
            </w:tcBorders>
          </w:tcPr>
          <w:p w14:paraId="733B2683" w14:textId="6A16EEA1"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9052D0">
              <w:rPr>
                <w:color w:val="A6A6A6" w:themeColor="background1" w:themeShade="A6"/>
              </w:rPr>
              <w:t>&lt;$1k</w:t>
            </w:r>
          </w:p>
        </w:tc>
      </w:tr>
      <w:tr w:rsidR="00AA1061" w:rsidRPr="009210D0" w14:paraId="14E50842"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48B8DB1E" w14:textId="77777777" w:rsidR="00AA1061" w:rsidRPr="002D25C5" w:rsidRDefault="00AA1061" w:rsidP="00AA1061">
            <w:pPr>
              <w:pStyle w:val="TableTextSmall"/>
              <w:rPr>
                <w:b w:val="0"/>
              </w:rPr>
            </w:pPr>
            <w:r w:rsidRPr="002404D0">
              <w:t>- Impact of other changes</w:t>
            </w:r>
          </w:p>
        </w:tc>
        <w:tc>
          <w:tcPr>
            <w:tcW w:w="1276" w:type="dxa"/>
            <w:tcBorders>
              <w:top w:val="nil"/>
              <w:left w:val="single" w:sz="4" w:space="0" w:color="E0301E" w:themeColor="accent6"/>
              <w:right w:val="single" w:sz="4" w:space="0" w:color="E0301E" w:themeColor="accent6"/>
            </w:tcBorders>
          </w:tcPr>
          <w:p w14:paraId="76BADBF9" w14:textId="0CCD92CC"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top w:val="nil"/>
              <w:left w:val="single" w:sz="4" w:space="0" w:color="E0301E" w:themeColor="accent6"/>
            </w:tcBorders>
          </w:tcPr>
          <w:p w14:paraId="7995C3A2" w14:textId="45855CB3" w:rsidR="00AA1061" w:rsidRPr="002D25C5"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r w:rsidRPr="00E64FE4">
              <w:t>-$3k</w:t>
            </w:r>
          </w:p>
        </w:tc>
        <w:tc>
          <w:tcPr>
            <w:tcW w:w="1240" w:type="dxa"/>
            <w:tcBorders>
              <w:top w:val="nil"/>
              <w:right w:val="dashed" w:sz="4" w:space="0" w:color="E0301E" w:themeColor="accent6"/>
            </w:tcBorders>
          </w:tcPr>
          <w:p w14:paraId="017F1883" w14:textId="28420889" w:rsidR="00AA1061" w:rsidRPr="002D25C5"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E64FE4">
              <w:t>+$3k</w:t>
            </w:r>
          </w:p>
        </w:tc>
        <w:tc>
          <w:tcPr>
            <w:tcW w:w="1311" w:type="dxa"/>
            <w:tcBorders>
              <w:top w:val="nil"/>
              <w:left w:val="dashed" w:sz="4" w:space="0" w:color="E0301E" w:themeColor="accent6"/>
            </w:tcBorders>
          </w:tcPr>
          <w:p w14:paraId="03DC1A68" w14:textId="084E2A84"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top w:val="nil"/>
            </w:tcBorders>
          </w:tcPr>
          <w:p w14:paraId="2DEDBFD5" w14:textId="39C1CD04"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r>
    </w:tbl>
    <w:p w14:paraId="017FA658" w14:textId="4CAA081D" w:rsidR="00372F5B" w:rsidRPr="004B1A5F" w:rsidRDefault="00E05CA9" w:rsidP="004F14F5">
      <w:pPr>
        <w:pStyle w:val="PwCNormal"/>
        <w:numPr>
          <w:ilvl w:val="0"/>
          <w:numId w:val="33"/>
        </w:numPr>
      </w:pPr>
      <w:r w:rsidRPr="001E1EB8">
        <w:t xml:space="preserve">The </w:t>
      </w:r>
      <w:r w:rsidR="00B642B1">
        <w:t xml:space="preserve">relatively </w:t>
      </w:r>
      <w:r w:rsidRPr="001E1EB8">
        <w:t xml:space="preserve">neutral </w:t>
      </w:r>
      <w:r>
        <w:t xml:space="preserve">change </w:t>
      </w:r>
      <w:r w:rsidR="00B642B1">
        <w:t xml:space="preserve">in average cost </w:t>
      </w:r>
      <w:r>
        <w:t xml:space="preserve">is </w:t>
      </w:r>
      <w:r w:rsidR="00F8132F">
        <w:t xml:space="preserve">the </w:t>
      </w:r>
      <w:r>
        <w:t>result of</w:t>
      </w:r>
      <w:r w:rsidR="006841CB">
        <w:t xml:space="preserve"> </w:t>
      </w:r>
      <w:r w:rsidR="001865D4">
        <w:t xml:space="preserve">an </w:t>
      </w:r>
      <w:r w:rsidRPr="00DC4674">
        <w:t>increase in the cost of future payments as a result of inflation</w:t>
      </w:r>
      <w:r w:rsidR="006841CB">
        <w:t xml:space="preserve">. Also contributing is </w:t>
      </w:r>
      <w:r w:rsidR="00B642B1" w:rsidRPr="005F7C50">
        <w:t>an increase in the expected amount of Age Pension payments</w:t>
      </w:r>
      <w:r w:rsidR="00B642B1">
        <w:t xml:space="preserve"> - the average Age Pension size has been adjusted in response to the observed increase in average payments to new pensioners</w:t>
      </w:r>
      <w:r w:rsidR="00B642B1" w:rsidRPr="005F7C50">
        <w:t>.</w:t>
      </w:r>
      <w:r w:rsidR="006841CB">
        <w:t xml:space="preserve"> These increases are partially </w:t>
      </w:r>
      <w:r w:rsidR="00EB7B98">
        <w:t>offset by</w:t>
      </w:r>
      <w:r w:rsidR="006841CB">
        <w:t xml:space="preserve"> </w:t>
      </w:r>
      <w:r w:rsidR="00EB7B98">
        <w:t>slightly lower expected transitions onto income support and family payments in response to the continuation of a reducing trend in the experience</w:t>
      </w:r>
      <w:r>
        <w:t>.</w:t>
      </w:r>
    </w:p>
    <w:p w14:paraId="3F701D88" w14:textId="77777777" w:rsidR="009B2D09" w:rsidRPr="001E1EB8" w:rsidRDefault="009B2D09" w:rsidP="009B2D09">
      <w:pPr>
        <w:pStyle w:val="Minorheading"/>
      </w:pPr>
      <w:r w:rsidRPr="001E1EB8">
        <w:t>Future outcomes</w:t>
      </w:r>
    </w:p>
    <w:p w14:paraId="4B29CA64" w14:textId="77777777" w:rsidR="009B2D09" w:rsidRPr="001E1EB8" w:rsidRDefault="009B2D09" w:rsidP="009B2D09">
      <w:pPr>
        <w:pStyle w:val="PwCNormal"/>
        <w:keepNext/>
        <w:numPr>
          <w:ilvl w:val="0"/>
          <w:numId w:val="0"/>
        </w:numPr>
      </w:pPr>
      <w:r w:rsidRPr="001E1EB8">
        <w:t xml:space="preserve">In developing the valuation results the projection model produces information on the expected transitions for people out of each class, as shown below. </w:t>
      </w:r>
    </w:p>
    <w:p w14:paraId="1D462BF5" w14:textId="12647FAA" w:rsidR="009B2D09" w:rsidRPr="00452FA8" w:rsidRDefault="009B2D09" w:rsidP="009B2D09">
      <w:pPr>
        <w:pStyle w:val="Caption"/>
      </w:pPr>
      <w:r w:rsidRPr="001E1EB8">
        <w:t xml:space="preserve">Figure </w:t>
      </w:r>
      <w:fldSimple w:instr=" SEQ Figure \* ARABIC ">
        <w:r w:rsidR="00C93C1A">
          <w:rPr>
            <w:noProof/>
          </w:rPr>
          <w:t>89</w:t>
        </w:r>
      </w:fldSimple>
      <w:r w:rsidRPr="001E1EB8">
        <w:t xml:space="preserve">: Expected future trajectory for people in </w:t>
      </w:r>
      <w:r w:rsidR="00871E70">
        <w:t>c</w:t>
      </w:r>
      <w:r w:rsidRPr="001E1EB8">
        <w:t>lass 8</w:t>
      </w:r>
    </w:p>
    <w:tbl>
      <w:tblPr>
        <w:tblStyle w:val="Tables-APBase"/>
        <w:tblW w:w="471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439"/>
        <w:gridCol w:w="3059"/>
      </w:tblGrid>
      <w:tr w:rsidR="009B2D09" w:rsidRPr="009210D0" w14:paraId="07BAEF11" w14:textId="77777777" w:rsidTr="009C6553">
        <w:trPr>
          <w:tblHeader/>
        </w:trPr>
        <w:tc>
          <w:tcPr>
            <w:tcW w:w="6439" w:type="dxa"/>
          </w:tcPr>
          <w:p w14:paraId="28111060" w14:textId="4C481193" w:rsidR="009B2D09" w:rsidRPr="00452FA8" w:rsidRDefault="000A5A21" w:rsidP="000D6C29">
            <w:pPr>
              <w:pStyle w:val="TableTextSmall"/>
            </w:pPr>
            <w:r w:rsidRPr="000A5A21">
              <w:rPr>
                <w:noProof/>
                <w:lang w:eastAsia="en-AU"/>
              </w:rPr>
              <w:drawing>
                <wp:inline distT="0" distB="0" distL="0" distR="0" wp14:anchorId="08806C78" wp14:editId="36917C72">
                  <wp:extent cx="3870960" cy="2156460"/>
                  <wp:effectExtent l="0" t="0" r="0" b="0"/>
                  <wp:docPr id="1046" name="Picture 1046" descr="This figure is a vertical bar chart. The horizontal axis shows the years 2017 to 2047. The 3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203,000 individuals who were in the non-income support carer class at 30 June 2017.&#10;&#10;The chart shows that more than two-thirds of this group are projected to have transitioned out of the non-income support carer class by 2027, with around one-third of those not remaining in the class projected to either exit to the previous welfare recipient class or the dead class. For those moving to another payment class in 2027, working age, pension age, carer and non-income support family classes were the most common destinations. 37% of this group are expected to have transitioned to the pension age class by 2047.&#10;&#10;The Jun16 proportion of people in all active classes and the Jun16 proportion of people in the Non IS Carer class are also shown. In both cases, the proportion of people in Jun17 is between 0% - 10% lower than in the previous year. &#10;&#10;&#10;The features shown in the chart are discussed further in the accompanying text within the report.&#10;" title="Expected future trajectory for people in clas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870960" cy="2156460"/>
                          </a:xfrm>
                          <a:prstGeom prst="rect">
                            <a:avLst/>
                          </a:prstGeom>
                          <a:noFill/>
                          <a:ln>
                            <a:noFill/>
                          </a:ln>
                        </pic:spPr>
                      </pic:pic>
                    </a:graphicData>
                  </a:graphic>
                </wp:inline>
              </w:drawing>
            </w:r>
          </w:p>
        </w:tc>
        <w:tc>
          <w:tcPr>
            <w:tcW w:w="3059" w:type="dxa"/>
          </w:tcPr>
          <w:p w14:paraId="31ADF975" w14:textId="77777777" w:rsidR="009B2D09" w:rsidRPr="00452FA8" w:rsidRDefault="009B2D09" w:rsidP="000D6C29">
            <w:pPr>
              <w:pStyle w:val="TableTextSmall"/>
            </w:pPr>
          </w:p>
          <w:p w14:paraId="7A47DB63" w14:textId="55367B03" w:rsidR="009B2D09" w:rsidRPr="00452FA8" w:rsidRDefault="003668BA" w:rsidP="000D6C29">
            <w:pPr>
              <w:pStyle w:val="TableTextSmall"/>
            </w:pPr>
            <w:r w:rsidRPr="003668BA">
              <w:rPr>
                <w:noProof/>
                <w:lang w:eastAsia="en-AU"/>
              </w:rPr>
              <w:drawing>
                <wp:inline distT="0" distB="0" distL="0" distR="0" wp14:anchorId="2619FFAD" wp14:editId="5441F9AC">
                  <wp:extent cx="1440000" cy="1779387"/>
                  <wp:effectExtent l="0" t="0" r="0" b="0"/>
                  <wp:docPr id="3901" name="Picture 3901"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p w14:paraId="31B855A8" w14:textId="77777777" w:rsidR="009B2D09" w:rsidRPr="00452FA8" w:rsidRDefault="009B2D09" w:rsidP="000D6C29">
            <w:pPr>
              <w:pStyle w:val="TableTextSmall"/>
            </w:pPr>
          </w:p>
        </w:tc>
      </w:tr>
    </w:tbl>
    <w:p w14:paraId="0EFCDF27" w14:textId="77777777" w:rsidR="007B0A8D" w:rsidRPr="00CF68BB" w:rsidRDefault="007B0A8D" w:rsidP="007B0A8D">
      <w:pPr>
        <w:pStyle w:val="PwCNormal"/>
        <w:numPr>
          <w:ilvl w:val="0"/>
          <w:numId w:val="0"/>
        </w:numPr>
      </w:pPr>
      <w:r w:rsidRPr="00CF68BB">
        <w:t>We can see that:</w:t>
      </w:r>
    </w:p>
    <w:p w14:paraId="16099876" w14:textId="77777777" w:rsidR="007B0A8D" w:rsidRPr="00CF68BB" w:rsidRDefault="007B0A8D" w:rsidP="007B0A8D">
      <w:pPr>
        <w:pStyle w:val="Bullet1"/>
      </w:pPr>
      <w:r w:rsidRPr="00CF68BB">
        <w:t xml:space="preserve">Around 71% of people </w:t>
      </w:r>
      <w:r>
        <w:t xml:space="preserve">are projected to </w:t>
      </w:r>
      <w:r w:rsidRPr="00CF68BB">
        <w:t>exit the class over the next 10 years:</w:t>
      </w:r>
    </w:p>
    <w:p w14:paraId="092AB0AD" w14:textId="78AAB384" w:rsidR="007B0A8D" w:rsidRPr="00CF68BB" w:rsidRDefault="007B0A8D" w:rsidP="007B0A8D">
      <w:pPr>
        <w:pStyle w:val="Bullet2"/>
      </w:pPr>
      <w:r w:rsidRPr="00CF68BB">
        <w:t xml:space="preserve">Around 43% of </w:t>
      </w:r>
      <w:r>
        <w:t xml:space="preserve">the starting population are projected to either </w:t>
      </w:r>
      <w:r w:rsidRPr="00CF68BB">
        <w:t>exit the payment system</w:t>
      </w:r>
      <w:r>
        <w:t xml:space="preserve"> or die over this 10</w:t>
      </w:r>
      <w:r w:rsidR="00647550">
        <w:t xml:space="preserve"> </w:t>
      </w:r>
      <w:r>
        <w:t>year period</w:t>
      </w:r>
    </w:p>
    <w:p w14:paraId="45C88D1A" w14:textId="47B5B827" w:rsidR="007B0A8D" w:rsidRPr="00610EAE" w:rsidRDefault="007B0A8D" w:rsidP="007B0A8D">
      <w:pPr>
        <w:pStyle w:val="Bullet2"/>
      </w:pPr>
      <w:r w:rsidRPr="00CF68BB">
        <w:t xml:space="preserve">Around 14% of </w:t>
      </w:r>
      <w:r>
        <w:t xml:space="preserve">the stating population are projected to </w:t>
      </w:r>
      <w:r w:rsidRPr="00CF68BB">
        <w:t xml:space="preserve">move into a pre-retirement income support class </w:t>
      </w:r>
      <w:r>
        <w:t>over this 10</w:t>
      </w:r>
      <w:r w:rsidR="00647550">
        <w:t xml:space="preserve"> </w:t>
      </w:r>
      <w:r>
        <w:t xml:space="preserve">year period, </w:t>
      </w:r>
      <w:r w:rsidRPr="00CF68BB">
        <w:t>with working age and carer</w:t>
      </w:r>
      <w:r w:rsidRPr="00610EAE">
        <w:t xml:space="preserve"> being the most common.</w:t>
      </w:r>
    </w:p>
    <w:p w14:paraId="39D9F763" w14:textId="731011BD" w:rsidR="007B0A8D" w:rsidRPr="00CF68BB" w:rsidRDefault="007B0A8D" w:rsidP="007B0A8D">
      <w:pPr>
        <w:pStyle w:val="Bullet2"/>
      </w:pPr>
      <w:r w:rsidRPr="00CF68BB">
        <w:t xml:space="preserve">A similar proportion </w:t>
      </w:r>
      <w:r>
        <w:t xml:space="preserve">are projected </w:t>
      </w:r>
      <w:r w:rsidR="00400D7F">
        <w:t xml:space="preserve">to </w:t>
      </w:r>
      <w:r w:rsidRPr="00CF68BB">
        <w:t>move into the age pension, non IS family or non IS Other classes</w:t>
      </w:r>
    </w:p>
    <w:p w14:paraId="79F45BBD" w14:textId="77777777" w:rsidR="007B0A8D" w:rsidRPr="000E3534" w:rsidRDefault="007B0A8D" w:rsidP="007B0A8D">
      <w:pPr>
        <w:pStyle w:val="Minorheading"/>
      </w:pPr>
      <w:r w:rsidRPr="000E3534">
        <w:t>Duration</w:t>
      </w:r>
    </w:p>
    <w:p w14:paraId="2E706C81" w14:textId="77777777" w:rsidR="007B0A8D" w:rsidRPr="00CF68BB" w:rsidRDefault="007B0A8D" w:rsidP="007B0A8D">
      <w:pPr>
        <w:pStyle w:val="PwCNormal-keepwithnext"/>
        <w:numPr>
          <w:ilvl w:val="0"/>
          <w:numId w:val="1"/>
        </w:numPr>
      </w:pPr>
      <w:r w:rsidRPr="000E3534">
        <w:t xml:space="preserve">The average future life expectancy for the Non IS </w:t>
      </w:r>
      <w:r w:rsidRPr="00CF68BB">
        <w:t xml:space="preserve">Carers class is </w:t>
      </w:r>
      <w:r w:rsidRPr="00CF68BB">
        <w:rPr>
          <w:b/>
        </w:rPr>
        <w:t>40</w:t>
      </w:r>
      <w:r w:rsidRPr="00CF68BB">
        <w:t xml:space="preserve"> years. This reflects that the age profile of this class is well distributed across most pre-retirement ages.</w:t>
      </w:r>
    </w:p>
    <w:p w14:paraId="6BE842AE" w14:textId="29FF5AAB" w:rsidR="009B2D09" w:rsidRPr="000E3534" w:rsidRDefault="007B0A8D" w:rsidP="007B0A8D">
      <w:pPr>
        <w:pStyle w:val="PwCNormal"/>
        <w:numPr>
          <w:ilvl w:val="0"/>
          <w:numId w:val="0"/>
        </w:numPr>
      </w:pPr>
      <w:r w:rsidRPr="000E3534">
        <w:t>The table below provides a summary of the expected welfare system use of people currently in this class over this time. This has been developed by considering which classes people move into as they move through the welfare system over their lives.</w:t>
      </w:r>
    </w:p>
    <w:p w14:paraId="48530180" w14:textId="21668AE9" w:rsidR="009B2D09" w:rsidRPr="000E3534" w:rsidRDefault="009B2D09" w:rsidP="009B2D09">
      <w:pPr>
        <w:pStyle w:val="Caption"/>
      </w:pPr>
      <w:r w:rsidRPr="000E3534">
        <w:lastRenderedPageBreak/>
        <w:t xml:space="preserve">Table </w:t>
      </w:r>
      <w:fldSimple w:instr=" SEQ Table \* ARABIC ">
        <w:r w:rsidR="00C93C1A">
          <w:rPr>
            <w:noProof/>
          </w:rPr>
          <w:t>46</w:t>
        </w:r>
      </w:fldSimple>
      <w:r w:rsidRPr="000E3534">
        <w:t xml:space="preserve">: Expected durations in welfare system for people currently in </w:t>
      </w:r>
      <w:r w:rsidR="00871E70">
        <w:t>c</w:t>
      </w:r>
      <w:r w:rsidRPr="000E3534">
        <w:t>lass 8</w:t>
      </w:r>
    </w:p>
    <w:tbl>
      <w:tblPr>
        <w:tblStyle w:val="ListTable3-Accent61"/>
        <w:tblW w:w="8868" w:type="dxa"/>
        <w:tblInd w:w="108" w:type="dxa"/>
        <w:tblLook w:val="04A0" w:firstRow="1" w:lastRow="0" w:firstColumn="1" w:lastColumn="0" w:noHBand="0" w:noVBand="1"/>
        <w:tblCaption w:val=" Expected durations in welfare system for people currently in Class 8"/>
        <w:tblDescription w:val="This table provides data on the expected number of years people currently in Class 8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roportion of their future lifetime.  The expected future life expectancy of people in Class 8 is 40 years. &#10;&#10;Further features of the data in this table are discussed in the accompanying text within the report.&#10;"/>
      </w:tblPr>
      <w:tblGrid>
        <w:gridCol w:w="3828"/>
        <w:gridCol w:w="2520"/>
        <w:gridCol w:w="2520"/>
      </w:tblGrid>
      <w:tr w:rsidR="009B2D09" w:rsidRPr="000E3534" w14:paraId="4AE22491"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336D61BE" w14:textId="77777777" w:rsidR="009B2D09" w:rsidRPr="000E3534" w:rsidRDefault="009B2D09" w:rsidP="001D5C14">
            <w:pPr>
              <w:pStyle w:val="TableTextSmall"/>
              <w:keepNext/>
              <w:jc w:val="center"/>
              <w:rPr>
                <w:rFonts w:asciiTheme="majorHAnsi" w:hAnsiTheme="majorHAnsi"/>
                <w:color w:val="FFFFFF" w:themeColor="background1"/>
              </w:rPr>
            </w:pPr>
          </w:p>
        </w:tc>
        <w:tc>
          <w:tcPr>
            <w:tcW w:w="2520" w:type="dxa"/>
          </w:tcPr>
          <w:p w14:paraId="064B927D" w14:textId="77777777" w:rsidR="009B2D09" w:rsidRPr="000E3534" w:rsidRDefault="009B2D09" w:rsidP="001D5C1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0E3534">
              <w:rPr>
                <w:rFonts w:asciiTheme="majorHAnsi" w:hAnsiTheme="majorHAnsi"/>
                <w:color w:val="FFFFFF" w:themeColor="background1"/>
              </w:rPr>
              <w:t>Expected Years</w:t>
            </w:r>
          </w:p>
        </w:tc>
        <w:tc>
          <w:tcPr>
            <w:tcW w:w="2520" w:type="dxa"/>
          </w:tcPr>
          <w:p w14:paraId="1C3F7E6F" w14:textId="77777777" w:rsidR="009B2D09" w:rsidRPr="000E3534" w:rsidRDefault="009B2D09" w:rsidP="001D5C14">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0E3534">
              <w:rPr>
                <w:rFonts w:asciiTheme="majorHAnsi" w:hAnsiTheme="majorHAnsi"/>
                <w:color w:val="FFFFFF" w:themeColor="background1"/>
              </w:rPr>
              <w:t>Proportion of Future Lifetime</w:t>
            </w:r>
          </w:p>
        </w:tc>
      </w:tr>
      <w:tr w:rsidR="009B2D09" w:rsidRPr="000E3534" w14:paraId="6D6D3EB2"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0A1AA03" w14:textId="77777777" w:rsidR="009B2D09" w:rsidRPr="000E3534" w:rsidRDefault="009B2D09" w:rsidP="001D5C14">
            <w:pPr>
              <w:pStyle w:val="TableTextSmall"/>
              <w:keepNext/>
            </w:pPr>
            <w:r w:rsidRPr="000E3534">
              <w:t>Years with some income support payments:</w:t>
            </w:r>
          </w:p>
          <w:p w14:paraId="35041F0A" w14:textId="4BCB1855" w:rsidR="009B2D09" w:rsidRPr="000E3534" w:rsidRDefault="009B2D09" w:rsidP="00964D65">
            <w:pPr>
              <w:pStyle w:val="TableTextSmall"/>
              <w:keepNext/>
              <w:numPr>
                <w:ilvl w:val="0"/>
                <w:numId w:val="36"/>
              </w:numPr>
            </w:pPr>
            <w:r w:rsidRPr="000E3534">
              <w:t>Not age pension (classes 1-5)</w:t>
            </w:r>
          </w:p>
          <w:p w14:paraId="7A279653" w14:textId="511C6551" w:rsidR="009B2D09" w:rsidRPr="000E3534" w:rsidRDefault="009B2D09" w:rsidP="00964D65">
            <w:pPr>
              <w:pStyle w:val="TableTextSmall"/>
              <w:keepNext/>
              <w:numPr>
                <w:ilvl w:val="0"/>
                <w:numId w:val="36"/>
              </w:numPr>
            </w:pPr>
            <w:r w:rsidRPr="000E3534">
              <w:t>Age pension (class 6)</w:t>
            </w:r>
          </w:p>
        </w:tc>
        <w:tc>
          <w:tcPr>
            <w:tcW w:w="2520" w:type="dxa"/>
          </w:tcPr>
          <w:p w14:paraId="5BBEEA3B" w14:textId="77777777" w:rsidR="009B2D09" w:rsidRPr="000E3534" w:rsidRDefault="009B2D09" w:rsidP="001D5C1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0E3534">
              <w:br/>
              <w:t>4</w:t>
            </w:r>
          </w:p>
          <w:p w14:paraId="462CD1D8" w14:textId="77777777" w:rsidR="009B2D09" w:rsidRPr="000E3534" w:rsidRDefault="009B2D09" w:rsidP="001D5C1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0E3534">
              <w:t>13</w:t>
            </w:r>
          </w:p>
        </w:tc>
        <w:tc>
          <w:tcPr>
            <w:tcW w:w="2520" w:type="dxa"/>
          </w:tcPr>
          <w:p w14:paraId="407B2156" w14:textId="77777777" w:rsidR="009B2D09" w:rsidRPr="000E3534" w:rsidRDefault="009B2D09" w:rsidP="001D5C1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0E3534">
              <w:br/>
              <w:t>10%</w:t>
            </w:r>
          </w:p>
          <w:p w14:paraId="4EBAC03A" w14:textId="680D16A4" w:rsidR="009B2D09" w:rsidRPr="000E3534" w:rsidRDefault="009B2D09" w:rsidP="001D5C1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0E3534">
              <w:t>3</w:t>
            </w:r>
            <w:r w:rsidR="000E3534" w:rsidRPr="000E3534">
              <w:t>3</w:t>
            </w:r>
            <w:r w:rsidRPr="000E3534">
              <w:t>%</w:t>
            </w:r>
          </w:p>
        </w:tc>
      </w:tr>
      <w:tr w:rsidR="009B2D09" w:rsidRPr="000E3534" w14:paraId="4F2F7EAA"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130B1366" w14:textId="1F5EE688" w:rsidR="009B2D09" w:rsidRPr="000E3534" w:rsidRDefault="009B2D09" w:rsidP="001D5C14">
            <w:pPr>
              <w:pStyle w:val="TableTextSmall"/>
              <w:keepNext/>
            </w:pPr>
            <w:r w:rsidRPr="000E3534">
              <w:t xml:space="preserve">Years with </w:t>
            </w:r>
            <w:r w:rsidR="005B3E7D">
              <w:t>non income</w:t>
            </w:r>
            <w:r w:rsidRPr="000E3534">
              <w:t xml:space="preserve"> support payments only</w:t>
            </w:r>
          </w:p>
        </w:tc>
        <w:tc>
          <w:tcPr>
            <w:tcW w:w="2520" w:type="dxa"/>
          </w:tcPr>
          <w:p w14:paraId="2AF3F6B7" w14:textId="414487D4" w:rsidR="009B2D09" w:rsidRPr="000E3534" w:rsidRDefault="005B6E9C" w:rsidP="001D5C1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0E3534">
              <w:t>9</w:t>
            </w:r>
          </w:p>
        </w:tc>
        <w:tc>
          <w:tcPr>
            <w:tcW w:w="2520" w:type="dxa"/>
          </w:tcPr>
          <w:p w14:paraId="6C4C88F8" w14:textId="3765AC4C" w:rsidR="009B2D09" w:rsidRPr="000E3534" w:rsidRDefault="009B2D09" w:rsidP="001D5C14">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0E3534">
              <w:t>2</w:t>
            </w:r>
            <w:r w:rsidR="000E3534" w:rsidRPr="000E3534">
              <w:t>3</w:t>
            </w:r>
            <w:r w:rsidRPr="000E3534">
              <w:t>%</w:t>
            </w:r>
          </w:p>
        </w:tc>
      </w:tr>
      <w:tr w:rsidR="009B2D09" w:rsidRPr="000E3534" w14:paraId="34373846" w14:textId="77777777" w:rsidTr="000D6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C1B213D" w14:textId="77777777" w:rsidR="009B2D09" w:rsidRPr="000E3534" w:rsidRDefault="009B2D09" w:rsidP="001D5C14">
            <w:pPr>
              <w:pStyle w:val="TableTextSmall"/>
              <w:keepNext/>
            </w:pPr>
            <w:r w:rsidRPr="000E3534">
              <w:t>Years not receiving any welfare payments</w:t>
            </w:r>
          </w:p>
        </w:tc>
        <w:tc>
          <w:tcPr>
            <w:tcW w:w="2520" w:type="dxa"/>
          </w:tcPr>
          <w:p w14:paraId="67D7070F" w14:textId="10852E2A" w:rsidR="009B2D09" w:rsidRPr="000E3534" w:rsidRDefault="005B6E9C" w:rsidP="001D5C1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0E3534">
              <w:t>13</w:t>
            </w:r>
          </w:p>
        </w:tc>
        <w:tc>
          <w:tcPr>
            <w:tcW w:w="2520" w:type="dxa"/>
          </w:tcPr>
          <w:p w14:paraId="3F36CBDA" w14:textId="08B89B89" w:rsidR="009B2D09" w:rsidRPr="000E3534" w:rsidRDefault="000E3534" w:rsidP="001D5C14">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0E3534">
              <w:t>34</w:t>
            </w:r>
            <w:r w:rsidR="009B2D09" w:rsidRPr="000E3534">
              <w:t>%</w:t>
            </w:r>
          </w:p>
        </w:tc>
      </w:tr>
      <w:tr w:rsidR="009B2D09" w:rsidRPr="009210D0" w14:paraId="4ACE6430" w14:textId="77777777" w:rsidTr="000D6C29">
        <w:tc>
          <w:tcPr>
            <w:cnfStyle w:val="001000000000" w:firstRow="0" w:lastRow="0" w:firstColumn="1" w:lastColumn="0" w:oddVBand="0" w:evenVBand="0" w:oddHBand="0" w:evenHBand="0" w:firstRowFirstColumn="0" w:firstRowLastColumn="0" w:lastRowFirstColumn="0" w:lastRowLastColumn="0"/>
            <w:tcW w:w="3828" w:type="dxa"/>
          </w:tcPr>
          <w:p w14:paraId="4576933F" w14:textId="77777777" w:rsidR="009B2D09" w:rsidRPr="000E3534" w:rsidRDefault="009B2D09" w:rsidP="000D6C29">
            <w:pPr>
              <w:pStyle w:val="TableTextSmall"/>
            </w:pPr>
            <w:r w:rsidRPr="000E3534">
              <w:t>Total</w:t>
            </w:r>
          </w:p>
        </w:tc>
        <w:tc>
          <w:tcPr>
            <w:tcW w:w="2520" w:type="dxa"/>
          </w:tcPr>
          <w:p w14:paraId="70FBAC1A" w14:textId="1A43A9F0" w:rsidR="009B2D09" w:rsidRPr="000E3534" w:rsidRDefault="005B6E9C"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0E3534">
              <w:t>40</w:t>
            </w:r>
          </w:p>
        </w:tc>
        <w:tc>
          <w:tcPr>
            <w:tcW w:w="2520" w:type="dxa"/>
          </w:tcPr>
          <w:p w14:paraId="020667F2" w14:textId="77777777" w:rsidR="009B2D09" w:rsidRPr="000E3534" w:rsidRDefault="009B2D09" w:rsidP="000D6C29">
            <w:pPr>
              <w:pStyle w:val="TableTextSmall"/>
              <w:jc w:val="center"/>
              <w:cnfStyle w:val="000000000000" w:firstRow="0" w:lastRow="0" w:firstColumn="0" w:lastColumn="0" w:oddVBand="0" w:evenVBand="0" w:oddHBand="0" w:evenHBand="0" w:firstRowFirstColumn="0" w:firstRowLastColumn="0" w:lastRowFirstColumn="0" w:lastRowLastColumn="0"/>
            </w:pPr>
            <w:r w:rsidRPr="000E3534">
              <w:t>100%</w:t>
            </w:r>
          </w:p>
        </w:tc>
      </w:tr>
    </w:tbl>
    <w:p w14:paraId="6AE664E5" w14:textId="77777777" w:rsidR="009B2D09" w:rsidRPr="0057506F" w:rsidRDefault="009B2D09" w:rsidP="009B2D09">
      <w:pPr>
        <w:kinsoku/>
        <w:overflowPunct/>
        <w:autoSpaceDE/>
        <w:autoSpaceDN/>
        <w:adjustRightInd/>
        <w:snapToGrid/>
      </w:pPr>
      <w:r w:rsidRPr="0057506F">
        <w:br w:type="page"/>
      </w:r>
    </w:p>
    <w:p w14:paraId="5D673E45" w14:textId="77777777" w:rsidR="007B0A8D" w:rsidRPr="000E6396" w:rsidRDefault="007B0A8D" w:rsidP="007B0A8D">
      <w:pPr>
        <w:pStyle w:val="Heading3"/>
      </w:pPr>
      <w:bookmarkStart w:id="244" w:name="_Ref500344436"/>
      <w:bookmarkStart w:id="245" w:name="_Toc506388235"/>
      <w:r w:rsidRPr="000E6396">
        <w:lastRenderedPageBreak/>
        <w:t>Non income support – Other</w:t>
      </w:r>
      <w:bookmarkEnd w:id="244"/>
      <w:bookmarkEnd w:id="2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contains the key points relating to the Non income support-other class."/>
      </w:tblPr>
      <w:tblGrid>
        <w:gridCol w:w="10081"/>
      </w:tblGrid>
      <w:tr w:rsidR="007B0A8D" w:rsidRPr="006B0F86" w14:paraId="0AE6E6A8" w14:textId="77777777" w:rsidTr="007B0A8D">
        <w:trPr>
          <w:trHeight w:val="1260"/>
          <w:tblHeader/>
        </w:trPr>
        <w:tc>
          <w:tcPr>
            <w:tcW w:w="10081" w:type="dxa"/>
            <w:shd w:val="clear" w:color="auto" w:fill="F3ABA4" w:themeFill="accent6" w:themeFillTint="66"/>
          </w:tcPr>
          <w:p w14:paraId="5CCCC777" w14:textId="63DB44E0" w:rsidR="007B0A8D" w:rsidRPr="006B0F86" w:rsidRDefault="008D4D1B" w:rsidP="007B0A8D">
            <w:pPr>
              <w:pStyle w:val="PwCNormal"/>
              <w:numPr>
                <w:ilvl w:val="0"/>
                <w:numId w:val="1"/>
              </w:numPr>
              <w:rPr>
                <w:b/>
              </w:rPr>
            </w:pPr>
            <w:r>
              <w:rPr>
                <w:b/>
              </w:rPr>
              <w:t>Key points</w:t>
            </w:r>
          </w:p>
          <w:p w14:paraId="370CF75F" w14:textId="7A65D909" w:rsidR="007B0A8D" w:rsidRPr="002C4478" w:rsidRDefault="007B0A8D" w:rsidP="007B0A8D">
            <w:pPr>
              <w:pStyle w:val="PwCNormal"/>
              <w:numPr>
                <w:ilvl w:val="0"/>
                <w:numId w:val="0"/>
              </w:numPr>
            </w:pPr>
            <w:r w:rsidRPr="00EC08E1">
              <w:t xml:space="preserve">There were 557,000 people in the Non IS Other class in 2017. </w:t>
            </w:r>
            <w:r>
              <w:t>There are three distinct groups in this class being; you</w:t>
            </w:r>
            <w:r w:rsidR="001D5C14">
              <w:t>ng people</w:t>
            </w:r>
            <w:r>
              <w:t xml:space="preserve"> receiving school related payments, parents in their first year of family payments, and post-retirement ag</w:t>
            </w:r>
            <w:r w:rsidRPr="002C4478">
              <w:t xml:space="preserve">e people receiving supplements. </w:t>
            </w:r>
          </w:p>
          <w:p w14:paraId="077ADADF" w14:textId="77777777" w:rsidR="007B0A8D" w:rsidRPr="002C4478" w:rsidRDefault="007B0A8D" w:rsidP="007B0A8D">
            <w:pPr>
              <w:pStyle w:val="Bullet1"/>
            </w:pPr>
            <w:r>
              <w:t>T</w:t>
            </w:r>
            <w:r w:rsidRPr="002C4478">
              <w:t xml:space="preserve">he recent policy changes which affect family payments have also impacted this class </w:t>
            </w:r>
            <w:r>
              <w:t>as people receiving family supplements for the first time generally enter the system through the non income support – other class</w:t>
            </w:r>
            <w:r w:rsidRPr="002C4478">
              <w:t>.</w:t>
            </w:r>
            <w:r>
              <w:t xml:space="preserve"> This has contributed toward reduced entries into this class seen over the last four years</w:t>
            </w:r>
            <w:r w:rsidRPr="002C4478">
              <w:t>.</w:t>
            </w:r>
          </w:p>
          <w:p w14:paraId="0F2B4AF2" w14:textId="75EBBED8" w:rsidR="007B0A8D" w:rsidRPr="006B0F86" w:rsidRDefault="007B0A8D" w:rsidP="00ED5494">
            <w:pPr>
              <w:pStyle w:val="Bullet1"/>
            </w:pPr>
            <w:r>
              <w:t xml:space="preserve">With the closure of Carbon Tax compensation (the </w:t>
            </w:r>
            <w:r w:rsidR="00ED5494">
              <w:t>Energy S</w:t>
            </w:r>
            <w:r>
              <w:t>upplement) to new recipients of the Seniors Health Card, the main historical source of entrants into this class above retirement age will disappear going forward. This is expected to substantially change the profile of new entrants to this class, and over time, change the profile of the class.</w:t>
            </w:r>
          </w:p>
        </w:tc>
      </w:tr>
    </w:tbl>
    <w:p w14:paraId="572B6C1C" w14:textId="77777777" w:rsidR="007B0A8D" w:rsidRPr="000E6396" w:rsidRDefault="007B0A8D" w:rsidP="007B0A8D">
      <w:pPr>
        <w:pStyle w:val="Heading4"/>
      </w:pPr>
      <w:r w:rsidRPr="000E6396">
        <w:t>What does the data tell us about this class?</w:t>
      </w:r>
    </w:p>
    <w:p w14:paraId="37DF470A" w14:textId="34825C4C" w:rsidR="007B0A8D" w:rsidRPr="00010396" w:rsidRDefault="007B0A8D" w:rsidP="007B0A8D">
      <w:pPr>
        <w:pStyle w:val="PwCNormal"/>
        <w:numPr>
          <w:ilvl w:val="0"/>
          <w:numId w:val="0"/>
        </w:numPr>
      </w:pPr>
      <w:r w:rsidRPr="00010396">
        <w:t>There were 55</w:t>
      </w:r>
      <w:r>
        <w:t>7</w:t>
      </w:r>
      <w:r w:rsidRPr="00010396">
        <w:t>,</w:t>
      </w:r>
      <w:r>
        <w:t>0</w:t>
      </w:r>
      <w:r w:rsidR="00B513F7">
        <w:t>00</w:t>
      </w:r>
      <w:r w:rsidRPr="00010396">
        <w:t xml:space="preserve"> people in the Non IS Other class in the 2017 model population. This re</w:t>
      </w:r>
      <w:r w:rsidRPr="003A1733">
        <w:t xml:space="preserve">presents </w:t>
      </w:r>
      <w:r>
        <w:t xml:space="preserve">2.3% </w:t>
      </w:r>
      <w:r w:rsidRPr="003A1733">
        <w:t xml:space="preserve">of </w:t>
      </w:r>
      <w:r w:rsidRPr="002D2D76">
        <w:t>the population of Australia which is a decrease from 2.2% at the previous valuation</w:t>
      </w:r>
      <w:r>
        <w:t xml:space="preserve">, </w:t>
      </w:r>
      <w:r w:rsidRPr="00010396">
        <w:t>and 6.9</w:t>
      </w:r>
      <w:r>
        <w:t>% of current welfare recipients.</w:t>
      </w:r>
    </w:p>
    <w:p w14:paraId="0BB50E72" w14:textId="77777777" w:rsidR="007B0A8D" w:rsidRPr="00010396" w:rsidRDefault="007B0A8D" w:rsidP="007B0A8D">
      <w:pPr>
        <w:pStyle w:val="PwCNormal"/>
        <w:numPr>
          <w:ilvl w:val="0"/>
          <w:numId w:val="0"/>
        </w:numPr>
      </w:pPr>
      <w:r w:rsidRPr="00010396">
        <w:t>The following chart shows a breakdown of the number of people in the Non IS Other class by age and gender.</w:t>
      </w:r>
    </w:p>
    <w:p w14:paraId="3BF7EDA7" w14:textId="081BAAA7" w:rsidR="007B0A8D" w:rsidRPr="00010396" w:rsidRDefault="007B0A8D" w:rsidP="007B0A8D">
      <w:pPr>
        <w:pStyle w:val="Caption"/>
      </w:pPr>
      <w:r w:rsidRPr="00010396">
        <w:t xml:space="preserve">Figure </w:t>
      </w:r>
      <w:fldSimple w:instr=" SEQ Figure \* ARABIC ">
        <w:r w:rsidR="00C93C1A">
          <w:rPr>
            <w:noProof/>
          </w:rPr>
          <w:t>90</w:t>
        </w:r>
      </w:fldSimple>
      <w:r w:rsidRPr="00010396">
        <w:t xml:space="preserve">: 2017 profile of people in </w:t>
      </w:r>
      <w:r w:rsidR="00871E70">
        <w:t>c</w:t>
      </w:r>
      <w:r w:rsidRPr="00010396">
        <w:t>lass 9 – Non IS Other (age/gender)</w:t>
      </w:r>
    </w:p>
    <w:tbl>
      <w:tblPr>
        <w:tblStyle w:val="Tables-APBase"/>
        <w:tblW w:w="407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096"/>
        <w:gridCol w:w="2126"/>
      </w:tblGrid>
      <w:tr w:rsidR="007B0A8D" w:rsidRPr="00010396" w14:paraId="17CC6E00" w14:textId="77777777" w:rsidTr="007B0A8D">
        <w:trPr>
          <w:tblHeader/>
        </w:trPr>
        <w:tc>
          <w:tcPr>
            <w:tcW w:w="6096" w:type="dxa"/>
          </w:tcPr>
          <w:p w14:paraId="3164E906" w14:textId="77777777" w:rsidR="007B0A8D" w:rsidRPr="00010396" w:rsidRDefault="007B0A8D" w:rsidP="007B0A8D">
            <w:pPr>
              <w:pStyle w:val="TableTextSmall"/>
              <w:keepNext/>
              <w:rPr>
                <w:lang w:eastAsia="en-AU"/>
              </w:rPr>
            </w:pPr>
            <w:r w:rsidRPr="00010396">
              <w:rPr>
                <w:noProof/>
                <w:lang w:eastAsia="en-AU"/>
              </w:rPr>
              <w:drawing>
                <wp:inline distT="0" distB="0" distL="0" distR="0" wp14:anchorId="1E260A9B" wp14:editId="563B2CBC">
                  <wp:extent cx="3652800" cy="2160000"/>
                  <wp:effectExtent l="0" t="0" r="5080" b="0"/>
                  <wp:docPr id="313" name="Picture 313" descr="This figure is a horizontal bar chart number of people in the Non IS Other class at Jun17 by age for males and females separately. The vertical axis shows age with the data shown ranging from 2 to 90. The horizontal axis shows the number of people ranging from 0 to 15,000. The number of males at each age are shown by the horizontal bars to the left of the vertical axis and the number of females at each age are shown by horizontal bars to the right.&#10;&#10;The chart is based on the 557,000 individuals who were in the Non IS Other class at 30 June 2017. &#10;&#10;The chart shows that most people in this class are aged between 12 and 90. The number of males and females fluctuates with age with spikes of approximately 4,000 males and 4,000 females at age 15, approximately 7,000 males and 11,000 females at 32, and approximately 10,000 males and 11,000 females at 70. The number of males and females has troughs at approximately 500 males and 800 females at age 19 and approximately 400 males and 300 females at 64. &#10;" title="2017 profile of people in class 9 – Non IS Other (age/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652800" cy="2160000"/>
                          </a:xfrm>
                          <a:prstGeom prst="rect">
                            <a:avLst/>
                          </a:prstGeom>
                          <a:noFill/>
                          <a:ln>
                            <a:noFill/>
                          </a:ln>
                        </pic:spPr>
                      </pic:pic>
                    </a:graphicData>
                  </a:graphic>
                </wp:inline>
              </w:drawing>
            </w:r>
          </w:p>
        </w:tc>
        <w:tc>
          <w:tcPr>
            <w:tcW w:w="2126" w:type="dxa"/>
          </w:tcPr>
          <w:p w14:paraId="074C5E5B" w14:textId="77777777" w:rsidR="007B0A8D" w:rsidRPr="00010396" w:rsidRDefault="007B0A8D" w:rsidP="007B0A8D">
            <w:pPr>
              <w:pStyle w:val="TableTextSmall"/>
              <w:keepNext/>
              <w:rPr>
                <w:lang w:eastAsia="en-AU"/>
              </w:rPr>
            </w:pPr>
          </w:p>
        </w:tc>
      </w:tr>
    </w:tbl>
    <w:p w14:paraId="18A4BE89" w14:textId="77777777" w:rsidR="007B0A8D" w:rsidRPr="00010396" w:rsidRDefault="007B0A8D" w:rsidP="007B0A8D">
      <w:pPr>
        <w:pStyle w:val="PwCNormal"/>
        <w:numPr>
          <w:ilvl w:val="0"/>
          <w:numId w:val="0"/>
        </w:numPr>
      </w:pPr>
      <w:r w:rsidRPr="00010396">
        <w:t>From the graph, we can see there are three distinct groups within the class:</w:t>
      </w:r>
    </w:p>
    <w:p w14:paraId="032E3AA8" w14:textId="77777777" w:rsidR="007B0A8D" w:rsidRPr="00010396" w:rsidRDefault="007B0A8D" w:rsidP="007B0A8D">
      <w:pPr>
        <w:pStyle w:val="ListBullet"/>
      </w:pPr>
      <w:r w:rsidRPr="00010396">
        <w:t>a group receiving payments such as school fees allowance or assistance to isolated children payments during their youth;</w:t>
      </w:r>
    </w:p>
    <w:p w14:paraId="1F8CEAF1" w14:textId="4BF7E1A1" w:rsidR="007B0A8D" w:rsidRPr="00010396" w:rsidRDefault="007B0A8D" w:rsidP="007B0A8D">
      <w:pPr>
        <w:pStyle w:val="ListBullet"/>
      </w:pPr>
      <w:r w:rsidRPr="00010396">
        <w:t xml:space="preserve">a group of </w:t>
      </w:r>
      <w:r w:rsidR="0070204F">
        <w:t>P</w:t>
      </w:r>
      <w:r w:rsidRPr="00010396">
        <w:t xml:space="preserve">arenting age people who are receiving FTB, family or new parent payments for their first year (and who subsequently move on to class 7); and </w:t>
      </w:r>
    </w:p>
    <w:p w14:paraId="7C1DE3F6" w14:textId="7F97AE2F" w:rsidR="007B0A8D" w:rsidRPr="00010396" w:rsidRDefault="007B0A8D" w:rsidP="007B0A8D">
      <w:pPr>
        <w:pStyle w:val="ListBullet"/>
      </w:pPr>
      <w:r w:rsidRPr="00010396">
        <w:t xml:space="preserve">a group of people </w:t>
      </w:r>
      <w:r>
        <w:t xml:space="preserve">above pension age </w:t>
      </w:r>
      <w:r w:rsidRPr="00010396">
        <w:t xml:space="preserve">who are typically receiving </w:t>
      </w:r>
      <w:r w:rsidR="00187C2A">
        <w:t>Energy Supplement</w:t>
      </w:r>
      <w:r w:rsidRPr="00010396">
        <w:t>s.</w:t>
      </w:r>
    </w:p>
    <w:p w14:paraId="21BF3EFE" w14:textId="77777777" w:rsidR="007B0A8D" w:rsidRPr="00010396" w:rsidRDefault="007B0A8D" w:rsidP="007B0A8D">
      <w:pPr>
        <w:pStyle w:val="Minorheading"/>
      </w:pPr>
      <w:r w:rsidRPr="00010396">
        <w:t xml:space="preserve">Movements into </w:t>
      </w:r>
      <w:r>
        <w:t xml:space="preserve">and out of </w:t>
      </w:r>
      <w:r w:rsidRPr="00010396">
        <w:t>this class</w:t>
      </w:r>
    </w:p>
    <w:p w14:paraId="40E05C08" w14:textId="675EC0B4" w:rsidR="007B0A8D" w:rsidRPr="002A7553" w:rsidRDefault="007B0A8D" w:rsidP="007B0A8D">
      <w:pPr>
        <w:pStyle w:val="PwCNormal"/>
        <w:numPr>
          <w:ilvl w:val="0"/>
          <w:numId w:val="1"/>
        </w:numPr>
      </w:pPr>
      <w:r>
        <w:t xml:space="preserve">Over the </w:t>
      </w:r>
      <w:r w:rsidR="00D52134">
        <w:t>two</w:t>
      </w:r>
      <w:r w:rsidRPr="00010396">
        <w:t xml:space="preserve"> years</w:t>
      </w:r>
      <w:r>
        <w:t xml:space="preserve"> to 2016</w:t>
      </w:r>
      <w:r w:rsidRPr="00010396">
        <w:t xml:space="preserve">, an average of </w:t>
      </w:r>
      <w:r>
        <w:t>306,900</w:t>
      </w:r>
      <w:r>
        <w:rPr>
          <w:rStyle w:val="FootnoteReference"/>
        </w:rPr>
        <w:footnoteReference w:id="8"/>
      </w:r>
      <w:r w:rsidRPr="00010396">
        <w:t xml:space="preserve"> people (around </w:t>
      </w:r>
      <w:r>
        <w:t>51.0</w:t>
      </w:r>
      <w:r w:rsidRPr="00010396">
        <w:t>% of the people in this class) per annum enter</w:t>
      </w:r>
      <w:r>
        <w:t>ed</w:t>
      </w:r>
      <w:r w:rsidRPr="00010396">
        <w:t xml:space="preserve"> this class from another welfare class or from outside the welfare system. </w:t>
      </w:r>
      <w:r w:rsidRPr="002A7553">
        <w:t xml:space="preserve">Over </w:t>
      </w:r>
      <w:r>
        <w:t xml:space="preserve">the last </w:t>
      </w:r>
      <w:r w:rsidR="007A314E">
        <w:t>three</w:t>
      </w:r>
      <w:r>
        <w:t xml:space="preserve"> </w:t>
      </w:r>
      <w:r>
        <w:lastRenderedPageBreak/>
        <w:t>years, an</w:t>
      </w:r>
      <w:r w:rsidRPr="002A7553">
        <w:t xml:space="preserve"> average of 30</w:t>
      </w:r>
      <w:r>
        <w:t>9</w:t>
      </w:r>
      <w:r w:rsidRPr="002A7553">
        <w:t xml:space="preserve">,600 people (around </w:t>
      </w:r>
      <w:r>
        <w:t>52</w:t>
      </w:r>
      <w:r w:rsidRPr="002A7553">
        <w:t>.</w:t>
      </w:r>
      <w:r>
        <w:t>6</w:t>
      </w:r>
      <w:r w:rsidRPr="002A7553">
        <w:t xml:space="preserve">% of people in this class) per annum have transitioned out of the Non IS </w:t>
      </w:r>
      <w:r>
        <w:t>Other</w:t>
      </w:r>
      <w:r w:rsidRPr="002A7553">
        <w:t xml:space="preserve"> class</w:t>
      </w:r>
      <w:r>
        <w:t>.</w:t>
      </w:r>
    </w:p>
    <w:p w14:paraId="7A377CDD" w14:textId="77777777" w:rsidR="007B0A8D" w:rsidRPr="00063A00" w:rsidRDefault="007B0A8D" w:rsidP="007B0A8D">
      <w:pPr>
        <w:pStyle w:val="PwCNormal-keepwithnext"/>
        <w:numPr>
          <w:ilvl w:val="0"/>
          <w:numId w:val="1"/>
        </w:numPr>
      </w:pPr>
      <w:r w:rsidRPr="00063A00">
        <w:t>The following chart shows the breakdown of these transitions by previous</w:t>
      </w:r>
      <w:r>
        <w:t>/destination</w:t>
      </w:r>
      <w:r w:rsidRPr="00063A00">
        <w:t xml:space="preserve"> class and year of transition. </w:t>
      </w:r>
    </w:p>
    <w:p w14:paraId="3DBE21F2" w14:textId="286E7062" w:rsidR="007B0A8D" w:rsidRPr="0057506F" w:rsidRDefault="007B0A8D" w:rsidP="007B0A8D">
      <w:pPr>
        <w:pStyle w:val="Caption"/>
      </w:pPr>
      <w:r w:rsidRPr="00A716AE">
        <w:t xml:space="preserve">Figure </w:t>
      </w:r>
      <w:fldSimple w:instr=" SEQ Figure \* ARABIC ">
        <w:r w:rsidR="00C93C1A">
          <w:rPr>
            <w:noProof/>
          </w:rPr>
          <w:t>91</w:t>
        </w:r>
      </w:fldSimple>
      <w:r w:rsidRPr="00A716AE">
        <w:t>: Number of peo</w:t>
      </w:r>
      <w:r>
        <w:t xml:space="preserve">ple entering and exiting </w:t>
      </w:r>
      <w:r w:rsidR="00871E70">
        <w:t>c</w:t>
      </w:r>
      <w:r>
        <w:t>lass 9</w:t>
      </w:r>
      <w:r w:rsidRPr="00A716AE">
        <w:t xml:space="preserve"> – </w:t>
      </w:r>
      <w:r>
        <w:t>Non IS Other</w:t>
      </w:r>
    </w:p>
    <w:p w14:paraId="42291DE6" w14:textId="77777777" w:rsidR="007B0A8D" w:rsidRPr="0057506F" w:rsidRDefault="007B0A8D" w:rsidP="007B0A8D">
      <w:pPr>
        <w:pStyle w:val="PwCNormal"/>
        <w:numPr>
          <w:ilvl w:val="0"/>
          <w:numId w:val="1"/>
        </w:numPr>
      </w:pPr>
      <w:r w:rsidRPr="00106A88">
        <w:rPr>
          <w:noProof/>
          <w:lang w:eastAsia="en-AU"/>
        </w:rPr>
        <w:drawing>
          <wp:inline distT="0" distB="0" distL="0" distR="0" wp14:anchorId="0363C6AB" wp14:editId="0E180796">
            <wp:extent cx="6264275" cy="2168107"/>
            <wp:effectExtent l="0" t="0" r="3175" b="3810"/>
            <wp:docPr id="302" name="Picture 302" descr="This figure is a stacked column chart with ten columns. The vertical axis displays the number of people ranging from 0 to 350,000. &#10;&#10;The horizontal axis is split into two sections; the first five columns show the numbers of entrants into the Non IS Other class and the second five columns show the number of exits from the Non IS Other class. In each section, the set of five columns represent the last five financial years; 2013, 2014, 2015, 2016 and 2017. &#10;&#10;For the first section, the columns showing the number of entrants into the Non IS Other class for each financial year are split into previous class. These classes include; 1 Studying, 2 Working Age, 3 Parents, 4 Carers, 5 Disability Support, 6 Pension Age, 7 Non IS Family, 8 Non IS Carer, 10 Previous Welfare Recipient, 11 Dead and 12 Rest of the Australian Population. &#10;&#10;The chart shows that the number of entries into Class 9 were; 275,000 in 2013, 318,000 in 2014, 312,000 in 2015, 302,000 in 2016 and 267,000 in 2017. The majority of entrants come from Class 12 Rest of the Australian Population and Class 10 Previous Welfare Recipient. &#10;&#10;For the second section, the columns showing the number of exits from the Non IS Other class for each financial year are split into destination class. These classes include; 1 Studying, 2 Working Age, 3 Parents, 4 Carers, 5 Disability Support, 6 Pension Age, 7 Non IS Family, 8 Non IS Carer, 10 Previous Welfare Recipient, 11 Dead and 12 Rest of the Australian Population. &#10;&#10;The chart shows that the number of exits out of Class 9 were; 268,000 in 2013, 270,000 in 2014, 317,000 in 2015, 310,000 in 2016 and 302,000 in 2017. The majority of individuals who exit move to Class 7 Non IS Family. &#10;&#10;Further discussion of the key features shown in the chart can be found in the accompanying text within the report.&#10;" title="Number of people entering and exiting class 9 – Non I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264275" cy="2168107"/>
                    </a:xfrm>
                    <a:prstGeom prst="rect">
                      <a:avLst/>
                    </a:prstGeom>
                    <a:noFill/>
                    <a:ln>
                      <a:noFill/>
                    </a:ln>
                  </pic:spPr>
                </pic:pic>
              </a:graphicData>
            </a:graphic>
          </wp:inline>
        </w:drawing>
      </w:r>
    </w:p>
    <w:p w14:paraId="3E6CEA5B" w14:textId="77777777" w:rsidR="007B0A8D" w:rsidRPr="0057506F" w:rsidRDefault="007B0A8D" w:rsidP="007B0A8D">
      <w:pPr>
        <w:pStyle w:val="PwCNormal"/>
        <w:numPr>
          <w:ilvl w:val="0"/>
          <w:numId w:val="1"/>
        </w:numPr>
        <w:jc w:val="center"/>
      </w:pPr>
      <w:r w:rsidRPr="00106A88">
        <w:rPr>
          <w:noProof/>
          <w:lang w:eastAsia="en-AU"/>
        </w:rPr>
        <w:drawing>
          <wp:inline distT="0" distB="0" distL="0" distR="0" wp14:anchorId="3789DDDD" wp14:editId="55ABCE1C">
            <wp:extent cx="5385600" cy="468000"/>
            <wp:effectExtent l="0" t="0" r="0" b="8255"/>
            <wp:docPr id="3164" name="Picture 3164" descr="Class key: studying, working age, parents, carers, disability support, pension age, non-income support family, non-income support carer, non-income support other, previous welfare recipient, rest of the Australian population and dead. &#10;" title="Clas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73676AD0" w14:textId="21D00322" w:rsidR="007B0A8D" w:rsidRDefault="007B0A8D" w:rsidP="007B0A8D">
      <w:pPr>
        <w:pStyle w:val="PwCNormal"/>
        <w:numPr>
          <w:ilvl w:val="0"/>
          <w:numId w:val="1"/>
        </w:numPr>
      </w:pPr>
      <w:r w:rsidRPr="00010396">
        <w:t xml:space="preserve">We can see that people predominately enter this class directly from outside the welfare system, </w:t>
      </w:r>
      <w:r>
        <w:t xml:space="preserve">and </w:t>
      </w:r>
      <w:r w:rsidRPr="00010396">
        <w:t xml:space="preserve">around half of </w:t>
      </w:r>
      <w:r>
        <w:t>entrants to this class</w:t>
      </w:r>
      <w:r w:rsidRPr="00010396">
        <w:t xml:space="preserve"> have not rec</w:t>
      </w:r>
      <w:r>
        <w:t>eived a welfare payment in the 16</w:t>
      </w:r>
      <w:r w:rsidRPr="00010396">
        <w:t xml:space="preserve"> years of data available</w:t>
      </w:r>
      <w:r>
        <w:t xml:space="preserve"> (and therefore enter from the rest of population class)</w:t>
      </w:r>
      <w:r w:rsidRPr="00010396">
        <w:t xml:space="preserve">. </w:t>
      </w:r>
      <w:r>
        <w:t xml:space="preserve">The number of people entering this class has decreased over time. People above pension age have predominately entered due to an entitlement to the </w:t>
      </w:r>
      <w:r w:rsidR="00187C2A">
        <w:t>Energy Supplement</w:t>
      </w:r>
      <w:r>
        <w:t xml:space="preserve"> through their Seniors Health Card. </w:t>
      </w:r>
      <w:r w:rsidRPr="00010396">
        <w:t>The people who enter this class from other active classes typically do so from the Non IS Family class</w:t>
      </w:r>
      <w:r w:rsidRPr="00540A22">
        <w:t xml:space="preserve">. </w:t>
      </w:r>
    </w:p>
    <w:p w14:paraId="6179B1E2" w14:textId="1D996039" w:rsidR="007B0A8D" w:rsidRPr="0057506F" w:rsidRDefault="007B0A8D" w:rsidP="007B0A8D">
      <w:pPr>
        <w:pStyle w:val="PwCNormal"/>
        <w:numPr>
          <w:ilvl w:val="0"/>
          <w:numId w:val="1"/>
        </w:numPr>
      </w:pPr>
      <w:r>
        <w:t>Most people who leave this class transition into class ‘7 Non IS Family’. This is due to the one year timing lag (</w:t>
      </w:r>
      <w:r w:rsidRPr="00AE5121">
        <w:t xml:space="preserve">explained in </w:t>
      </w:r>
      <w:r w:rsidR="00491DA0">
        <w:t>s</w:t>
      </w:r>
      <w:r w:rsidRPr="00381D3A">
        <w:t xml:space="preserve">ection </w:t>
      </w:r>
      <w:r w:rsidR="00381D3A" w:rsidRPr="00381D3A">
        <w:fldChar w:fldCharType="begin"/>
      </w:r>
      <w:r w:rsidR="00381D3A" w:rsidRPr="00381D3A">
        <w:instrText xml:space="preserve"> REF _Ref466372845 \r \h </w:instrText>
      </w:r>
      <w:r w:rsidR="00381D3A">
        <w:instrText xml:space="preserve"> \* MERGEFORMAT </w:instrText>
      </w:r>
      <w:r w:rsidR="00381D3A" w:rsidRPr="00381D3A">
        <w:fldChar w:fldCharType="separate"/>
      </w:r>
      <w:r w:rsidR="00C93C1A">
        <w:t>7.1</w:t>
      </w:r>
      <w:r w:rsidR="00381D3A" w:rsidRPr="00381D3A">
        <w:fldChar w:fldCharType="end"/>
      </w:r>
      <w:r w:rsidRPr="00381D3A">
        <w:t>),</w:t>
      </w:r>
      <w:r>
        <w:t xml:space="preserve"> which leads this class to be a gateway into class 7 for people aged 20 to 60. Above the age of 65 most people leaving this class transition into class ‘6 </w:t>
      </w:r>
      <w:r w:rsidR="00FE30F6">
        <w:t>Age Pension</w:t>
      </w:r>
      <w:r>
        <w:t>’. There has been a reduction in people exiting the class over the last two years with exits slightly outstripping entries for the last three years.</w:t>
      </w:r>
      <w:r w:rsidR="00482DBF">
        <w:t xml:space="preserve"> In 2017, there has been a noticeable reduction in people moving from this class onto the age pension.</w:t>
      </w:r>
    </w:p>
    <w:p w14:paraId="14AA22EA" w14:textId="77777777" w:rsidR="007B0A8D" w:rsidRPr="00DF53AF" w:rsidRDefault="007B0A8D" w:rsidP="007B0A8D">
      <w:pPr>
        <w:pStyle w:val="Minorheading"/>
      </w:pPr>
      <w:r w:rsidRPr="00DF53AF">
        <w:t>Payments received</w:t>
      </w:r>
    </w:p>
    <w:p w14:paraId="5E0A2F7E" w14:textId="77777777" w:rsidR="007B0A8D" w:rsidRPr="00DF53AF" w:rsidRDefault="007B0A8D" w:rsidP="007B0A8D">
      <w:pPr>
        <w:pStyle w:val="PwCNormal"/>
        <w:numPr>
          <w:ilvl w:val="0"/>
          <w:numId w:val="1"/>
        </w:numPr>
      </w:pPr>
      <w:r w:rsidRPr="00DF53AF">
        <w:t>During 2016/17, people in this class received a total of $1.6 billion. This is 1.4% of the total payments made in 2016/17. The charts below show the average amount paid in a year to each person in this class</w:t>
      </w:r>
      <w:r>
        <w:t>, split by the categories of payments received</w:t>
      </w:r>
      <w:r w:rsidRPr="00DF53AF">
        <w:t>.</w:t>
      </w:r>
    </w:p>
    <w:p w14:paraId="47CCCF5D" w14:textId="2FDA1D6B" w:rsidR="007B0A8D" w:rsidRPr="00DF53AF" w:rsidRDefault="007B0A8D" w:rsidP="007B0A8D">
      <w:pPr>
        <w:pStyle w:val="Caption"/>
      </w:pPr>
      <w:r w:rsidRPr="00DF53AF">
        <w:lastRenderedPageBreak/>
        <w:t xml:space="preserve">Figure </w:t>
      </w:r>
      <w:fldSimple w:instr=" SEQ Figure \* ARABIC ">
        <w:r w:rsidR="00C93C1A">
          <w:rPr>
            <w:noProof/>
          </w:rPr>
          <w:t>92</w:t>
        </w:r>
      </w:fldSimple>
      <w:r w:rsidRPr="00DF53AF">
        <w:t xml:space="preserve">: Average payments per person in </w:t>
      </w:r>
      <w:r w:rsidR="00871E70">
        <w:t>c</w:t>
      </w:r>
      <w:r w:rsidRPr="00DF53AF">
        <w:t>lass 9 – Non IS Other (restated to 2016/17 $ values)</w:t>
      </w:r>
    </w:p>
    <w:p w14:paraId="173BED6B" w14:textId="77777777" w:rsidR="007B0A8D" w:rsidRPr="0057506F" w:rsidRDefault="007B0A8D" w:rsidP="007B0A8D">
      <w:pPr>
        <w:pStyle w:val="PwCNormal"/>
        <w:numPr>
          <w:ilvl w:val="0"/>
          <w:numId w:val="1"/>
        </w:numPr>
      </w:pPr>
      <w:r w:rsidRPr="006703F3">
        <w:rPr>
          <w:noProof/>
          <w:lang w:eastAsia="en-AU"/>
        </w:rPr>
        <w:drawing>
          <wp:inline distT="0" distB="0" distL="0" distR="0" wp14:anchorId="1283AB3E" wp14:editId="6322AD99">
            <wp:extent cx="6178206" cy="2160000"/>
            <wp:effectExtent l="0" t="0" r="0" b="0"/>
            <wp:docPr id="288" name="Picture 288" descr="This figure is a stacked column chart. The vertical axis displays the average payment per person in the Non IS Other Class, ranging from $0 to $5,000.&#10;&#10;The horizontal axis is split into two sections; the first for males and the second for females. Each section is further split to show the last five financial years; 2013, 2014, 2015, 2016 and 2017. &#10;&#10;In both sections, the columns for each financial year showing total average payment per person are split into the following payment categories; IS studying, IS working age, IS parents, IS carers, IS disability, IS age, IS dependant, Other – FTB, Other –family, Other – new parents, Other – health and disability, Other – carer, Other – study and skills, Other – remote and regional, Other – general allowances, All other, Rent assistance.&#10;&#10;For males the approximate average payment per person in Class 9 was: $1,700 for 2013; $1,800 for 2014; $1,800 for 2015; $1,500 for 2016; and $1,300 for 2017.&#10;&#10;For females the approximate average payment per person in Class 9 was: $4,400 for 2013; $4,600 for 2014; $4,600 for 2015; $4,400 for 2016; and $4,100 for 2017.&#10;&#10;The majority of payments for males were from the Other – General Allowances, Other – FTB and Other – New Parents categories. The majority of payments for females were from the Other – New Parents category, with smaller amounts from; Other – FTB and Other – General Allowances.&#10;&#10;The key features of this chart are described in the accompanying text within the report.&#10;" title="Average payments per person in class 9 – Non IS Other (restated to 2016/17 $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78206" cy="2160000"/>
                    </a:xfrm>
                    <a:prstGeom prst="rect">
                      <a:avLst/>
                    </a:prstGeom>
                    <a:noFill/>
                    <a:ln>
                      <a:noFill/>
                    </a:ln>
                  </pic:spPr>
                </pic:pic>
              </a:graphicData>
            </a:graphic>
          </wp:inline>
        </w:drawing>
      </w:r>
    </w:p>
    <w:p w14:paraId="710FD20C" w14:textId="77777777" w:rsidR="007B0A8D" w:rsidRPr="0057506F" w:rsidRDefault="007B0A8D" w:rsidP="007B0A8D">
      <w:pPr>
        <w:pStyle w:val="PwCNormal"/>
        <w:numPr>
          <w:ilvl w:val="0"/>
          <w:numId w:val="0"/>
        </w:numPr>
        <w:ind w:firstLine="720"/>
      </w:pPr>
      <w:r w:rsidRPr="006703F3">
        <w:rPr>
          <w:noProof/>
          <w:lang w:eastAsia="en-AU"/>
        </w:rPr>
        <w:drawing>
          <wp:inline distT="0" distB="0" distL="0" distR="0" wp14:anchorId="09B776AB" wp14:editId="73C6F5F7">
            <wp:extent cx="4860000" cy="467785"/>
            <wp:effectExtent l="0" t="0" r="0" b="8890"/>
            <wp:docPr id="3942" name="Picture 3942"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60000" cy="467785"/>
                    </a:xfrm>
                    <a:prstGeom prst="rect">
                      <a:avLst/>
                    </a:prstGeom>
                    <a:noFill/>
                    <a:ln>
                      <a:noFill/>
                    </a:ln>
                  </pic:spPr>
                </pic:pic>
              </a:graphicData>
            </a:graphic>
          </wp:inline>
        </w:drawing>
      </w:r>
    </w:p>
    <w:p w14:paraId="06FA0EB3" w14:textId="77777777" w:rsidR="007B0A8D" w:rsidRPr="0057506F" w:rsidRDefault="007B0A8D" w:rsidP="007B0A8D">
      <w:pPr>
        <w:pStyle w:val="PwCNormal"/>
        <w:numPr>
          <w:ilvl w:val="0"/>
          <w:numId w:val="1"/>
        </w:numPr>
      </w:pPr>
      <w:r w:rsidRPr="00DF53AF">
        <w:t xml:space="preserve">As for classes ‘3 </w:t>
      </w:r>
      <w:r>
        <w:t>Parents’ and</w:t>
      </w:r>
      <w:r w:rsidRPr="00DF53AF">
        <w:t xml:space="preserve"> ‘7 Non IS Family’ it is worth noting that the average payment for 2016/17 is somewhat understated. This is due</w:t>
      </w:r>
      <w:r w:rsidRPr="00F33BAC">
        <w:t xml:space="preserve"> to the </w:t>
      </w:r>
      <w:r>
        <w:t xml:space="preserve">impact of the </w:t>
      </w:r>
      <w:r w:rsidRPr="00F33BAC">
        <w:t xml:space="preserve">data maturity issue </w:t>
      </w:r>
      <w:r>
        <w:t>discussed earlier</w:t>
      </w:r>
      <w:r w:rsidRPr="00592D52">
        <w:t>.</w:t>
      </w:r>
      <w:r w:rsidRPr="0057506F">
        <w:t xml:space="preserve"> </w:t>
      </w:r>
    </w:p>
    <w:p w14:paraId="7B812197" w14:textId="021D920D" w:rsidR="004E15DA" w:rsidRDefault="007B0A8D" w:rsidP="007B0A8D">
      <w:pPr>
        <w:pStyle w:val="PwCNormal"/>
        <w:numPr>
          <w:ilvl w:val="0"/>
          <w:numId w:val="1"/>
        </w:numPr>
      </w:pPr>
      <w:r w:rsidRPr="00DF53AF">
        <w:t>The average payment made in 2015/16 (noting the understating of 2016/17) was $3,100 with a notable contribution from new parents payments, as people typically enter this class when they first have children. There are higher average payments being made to women ($4,400) than men ($1,500) as a result of women claiming more new parents, FTB and other family payments</w:t>
      </w:r>
      <w:r w:rsidR="00482DBF">
        <w:t xml:space="preserve">. </w:t>
      </w:r>
    </w:p>
    <w:p w14:paraId="421291B7" w14:textId="52AF75F7" w:rsidR="007B0A8D" w:rsidRPr="00DF53AF" w:rsidRDefault="00482DBF" w:rsidP="007B0A8D">
      <w:pPr>
        <w:pStyle w:val="PwCNormal"/>
        <w:numPr>
          <w:ilvl w:val="0"/>
          <w:numId w:val="1"/>
        </w:numPr>
      </w:pPr>
      <w:r>
        <w:t>A</w:t>
      </w:r>
      <w:r w:rsidRPr="001B78F7">
        <w:t xml:space="preserve"> decrease in the size of payments from category P</w:t>
      </w:r>
      <w:r w:rsidR="004E15DA" w:rsidRPr="001B78F7">
        <w:t xml:space="preserve"> – Other General Allowances</w:t>
      </w:r>
      <w:r w:rsidRPr="001B78F7">
        <w:t xml:space="preserve"> can be obser</w:t>
      </w:r>
      <w:r w:rsidR="001D1763" w:rsidRPr="001B78F7">
        <w:t>ved over the latest two years. T</w:t>
      </w:r>
      <w:r w:rsidRPr="001B78F7">
        <w:t xml:space="preserve">his is due to the cessation of the </w:t>
      </w:r>
      <w:r w:rsidR="001D1763" w:rsidRPr="001B78F7">
        <w:t>Seniors S</w:t>
      </w:r>
      <w:r w:rsidRPr="001B78F7">
        <w:t>upplement which took effect on 20 June 2015</w:t>
      </w:r>
      <w:r w:rsidR="007B0A8D" w:rsidRPr="00DF53AF">
        <w:t>. Note this is a much lower average annual payment than for the income support classes and is the lowest of all classes.</w:t>
      </w:r>
    </w:p>
    <w:p w14:paraId="5D6CE528" w14:textId="77777777" w:rsidR="007B0A8D" w:rsidRPr="00F96D80" w:rsidRDefault="007B0A8D" w:rsidP="007B0A8D">
      <w:pPr>
        <w:pStyle w:val="Heading4"/>
      </w:pPr>
      <w:r w:rsidRPr="00F96D80">
        <w:t>Changes in model fitting this valuation</w:t>
      </w:r>
    </w:p>
    <w:p w14:paraId="35A01AE8" w14:textId="4378AFE6" w:rsidR="007B0A8D" w:rsidRPr="0057506F" w:rsidRDefault="007B0A8D" w:rsidP="00964D65">
      <w:pPr>
        <w:pStyle w:val="PwCNormal"/>
        <w:numPr>
          <w:ilvl w:val="0"/>
          <w:numId w:val="33"/>
        </w:numPr>
      </w:pPr>
      <w:r w:rsidRPr="00F96D80">
        <w:t xml:space="preserve">This year we have enhanced the Non IS Other model assumptions to allow for the intergenerational variable. For those who received a family payment during the year, use of welfare by a person’s parents during childhood was seen to be correlated with a </w:t>
      </w:r>
      <w:r w:rsidR="001D5C14">
        <w:t xml:space="preserve">relatively </w:t>
      </w:r>
      <w:r w:rsidRPr="00F96D80">
        <w:t xml:space="preserve">higher likelihood of transitioning onto </w:t>
      </w:r>
      <w:r w:rsidR="0070204F">
        <w:t>P</w:t>
      </w:r>
      <w:r w:rsidRPr="00F96D80">
        <w:t xml:space="preserve">arenting payment rather than moving into class 7. </w:t>
      </w:r>
    </w:p>
    <w:p w14:paraId="5A34F4EC" w14:textId="77777777" w:rsidR="007B0A8D" w:rsidRPr="00874C4A" w:rsidRDefault="007B0A8D" w:rsidP="007B0A8D">
      <w:pPr>
        <w:pStyle w:val="Heading4"/>
      </w:pPr>
      <w:r w:rsidRPr="00874C4A">
        <w:t>What does the model show for current people in the Non IS other class?</w:t>
      </w:r>
    </w:p>
    <w:p w14:paraId="3CA4D5E1" w14:textId="77777777" w:rsidR="007B0A8D" w:rsidRPr="00874C4A" w:rsidRDefault="007B0A8D" w:rsidP="007B0A8D">
      <w:pPr>
        <w:pStyle w:val="Minorheading"/>
      </w:pPr>
      <w:r w:rsidRPr="00874C4A">
        <w:t>Lifetime costs</w:t>
      </w:r>
    </w:p>
    <w:p w14:paraId="4AFC31D8" w14:textId="1E0ACFE2" w:rsidR="009B2D09" w:rsidRPr="00874C4A" w:rsidRDefault="007B0A8D" w:rsidP="007B0A8D">
      <w:pPr>
        <w:pStyle w:val="PwCNormal"/>
        <w:numPr>
          <w:ilvl w:val="0"/>
          <w:numId w:val="1"/>
        </w:numPr>
      </w:pPr>
      <w:r w:rsidRPr="00874C4A">
        <w:t xml:space="preserve">We estimated the lifetime cost for the people in this class to be </w:t>
      </w:r>
      <w:r w:rsidRPr="00874C4A">
        <w:rPr>
          <w:b/>
        </w:rPr>
        <w:t>$72bn</w:t>
      </w:r>
      <w:r w:rsidRPr="00874C4A">
        <w:t xml:space="preserve"> (or </w:t>
      </w:r>
      <w:r w:rsidRPr="00874C4A">
        <w:rPr>
          <w:b/>
        </w:rPr>
        <w:t>1.5%</w:t>
      </w:r>
      <w:r w:rsidRPr="00874C4A">
        <w:t xml:space="preserve"> of the total lifetime cost). The average lifetime cost for people in this class is </w:t>
      </w:r>
      <w:r w:rsidRPr="00874C4A">
        <w:rPr>
          <w:b/>
        </w:rPr>
        <w:t>$129,000</w:t>
      </w:r>
      <w:r w:rsidRPr="00874C4A">
        <w:t>. This is the lowest of all</w:t>
      </w:r>
      <w:r w:rsidR="001D5C14">
        <w:t xml:space="preserve"> the active</w:t>
      </w:r>
      <w:r w:rsidRPr="00874C4A">
        <w:t xml:space="preserve"> classes. The variation in average lifetime cost by age and gender is illustrated in the figure below.</w:t>
      </w:r>
    </w:p>
    <w:p w14:paraId="48110B74" w14:textId="5DA76617" w:rsidR="009B2D09" w:rsidRPr="00514927" w:rsidRDefault="009B2D09" w:rsidP="009B2D09">
      <w:pPr>
        <w:pStyle w:val="Caption"/>
      </w:pPr>
      <w:r w:rsidRPr="00514927">
        <w:lastRenderedPageBreak/>
        <w:t xml:space="preserve">Figure </w:t>
      </w:r>
      <w:fldSimple w:instr=" SEQ Figure \* ARABIC ">
        <w:r w:rsidR="00C93C1A">
          <w:rPr>
            <w:noProof/>
          </w:rPr>
          <w:t>93</w:t>
        </w:r>
      </w:fldSimple>
      <w:r w:rsidRPr="00514927">
        <w:t xml:space="preserve">: Average lifetime cost by age and gender </w:t>
      </w:r>
      <w:r w:rsidR="00871E70">
        <w:t xml:space="preserve">(class </w:t>
      </w:r>
      <w:r w:rsidRPr="00514927">
        <w:t>9)</w:t>
      </w:r>
    </w:p>
    <w:tbl>
      <w:tblPr>
        <w:tblStyle w:val="Tables-APBase"/>
        <w:tblW w:w="456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235"/>
        <w:gridCol w:w="2977"/>
      </w:tblGrid>
      <w:tr w:rsidR="009B2D09" w:rsidRPr="009210D0" w14:paraId="28416974" w14:textId="77777777" w:rsidTr="002863C6">
        <w:trPr>
          <w:trHeight w:val="3402"/>
          <w:tblHeader/>
        </w:trPr>
        <w:tc>
          <w:tcPr>
            <w:tcW w:w="6236" w:type="dxa"/>
          </w:tcPr>
          <w:p w14:paraId="50F12EC4" w14:textId="664E676A" w:rsidR="009B2D09" w:rsidRPr="00514927" w:rsidRDefault="002863C6" w:rsidP="000D6C29">
            <w:pPr>
              <w:pStyle w:val="TableTextSmall"/>
              <w:keepNext/>
              <w:rPr>
                <w:lang w:eastAsia="en-AU"/>
              </w:rPr>
            </w:pPr>
            <w:r w:rsidRPr="002863C6">
              <w:rPr>
                <w:noProof/>
                <w:lang w:eastAsia="en-AU"/>
              </w:rPr>
              <w:drawing>
                <wp:inline distT="0" distB="0" distL="0" distR="0" wp14:anchorId="45DF6D76" wp14:editId="0FBAA8D0">
                  <wp:extent cx="3717032" cy="2160000"/>
                  <wp:effectExtent l="0" t="0" r="0" b="0"/>
                  <wp:docPr id="3851" name="Picture 3851" descr="This figure is a horizontal bar chart showing average lifetime cost by age for males and females separately. The vertical axis shows age with the data shown ranging from 6 to 90. The horizontal axis shows the average lifetime cost with the data shown ranging from $0 to $5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557,000 individuals who were in the non income support – other class at 30 June 2017. &#10;&#10;The average lifetime cost of males increases with age from approximately $180,000 at age 6 to $255,000 at age 15. After this point it decreases with age until age 30 when average lifetime cost is around $1450,000. After age 30, average lifetime cost increases with age and peaks again at being $225,000 for men aged 62.&#10;&#10;The average lifetime cost of females increases with age from approximately $290,000 at age 6 to $440,000 at age 15. Women aged 16-25 have an average lifetime cost of approximately $340,000 The substantially higher average lifetime cost relative to males is due to higher family components. After age 25, there is a steady reduction in average lifetime cost by age to approximately $200,000 at age 50. The average lifetime cost increases with age after this point with females aged 64 having a cost of approximately $275,000. &#10;&#10;For both males and females aged over 65, there is a substantial reduction in average lifetime cost by age. People aged 70 have an average lifetime cost of approximately $50,000and people aged 80 have an average lifetime cost of approximately $20,000. &#10;&#10;The features shown in the chart are discussed further in the accompanying text within the report.&#10;" title="Average lifetime cost by age and gender (clas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717032" cy="2160000"/>
                          </a:xfrm>
                          <a:prstGeom prst="rect">
                            <a:avLst/>
                          </a:prstGeom>
                          <a:noFill/>
                          <a:ln>
                            <a:noFill/>
                          </a:ln>
                        </pic:spPr>
                      </pic:pic>
                    </a:graphicData>
                  </a:graphic>
                </wp:inline>
              </w:drawing>
            </w:r>
          </w:p>
        </w:tc>
        <w:tc>
          <w:tcPr>
            <w:tcW w:w="2977" w:type="dxa"/>
          </w:tcPr>
          <w:p w14:paraId="4F9BF5EF" w14:textId="77777777" w:rsidR="009B2D09" w:rsidRPr="00514927" w:rsidRDefault="009B2D09" w:rsidP="000D6C29">
            <w:pPr>
              <w:pStyle w:val="TableTextSmall"/>
              <w:keepNext/>
              <w:rPr>
                <w:lang w:eastAsia="en-AU"/>
              </w:rPr>
            </w:pPr>
          </w:p>
          <w:p w14:paraId="2D36BEC5" w14:textId="77777777" w:rsidR="009B2D09" w:rsidRPr="00514927" w:rsidRDefault="009B2D09" w:rsidP="000D6C29">
            <w:pPr>
              <w:pStyle w:val="TableTextSmall"/>
              <w:keepNext/>
              <w:rPr>
                <w:lang w:eastAsia="en-AU"/>
              </w:rPr>
            </w:pPr>
            <w:r w:rsidRPr="00514927">
              <w:rPr>
                <w:noProof/>
                <w:lang w:eastAsia="en-AU"/>
              </w:rPr>
              <w:drawing>
                <wp:inline distT="0" distB="0" distL="0" distR="0" wp14:anchorId="0583BF64" wp14:editId="2E7D8F77">
                  <wp:extent cx="1087397" cy="1620000"/>
                  <wp:effectExtent l="0" t="0" r="0" b="0"/>
                  <wp:docPr id="3944" name="Picture 3944"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7397" cy="1620000"/>
                          </a:xfrm>
                          <a:prstGeom prst="rect">
                            <a:avLst/>
                          </a:prstGeom>
                          <a:noFill/>
                          <a:ln>
                            <a:noFill/>
                          </a:ln>
                        </pic:spPr>
                      </pic:pic>
                    </a:graphicData>
                  </a:graphic>
                </wp:inline>
              </w:drawing>
            </w:r>
          </w:p>
        </w:tc>
      </w:tr>
    </w:tbl>
    <w:p w14:paraId="391C1BE4" w14:textId="1DAEADE9" w:rsidR="009F29A7" w:rsidRDefault="009F29A7" w:rsidP="009B2D09">
      <w:pPr>
        <w:pStyle w:val="PwCNormal"/>
        <w:numPr>
          <w:ilvl w:val="0"/>
          <w:numId w:val="0"/>
        </w:numPr>
      </w:pPr>
      <w:r w:rsidRPr="009F29A7">
        <w:t>The above chart illustrates the distinct average lifetime cost for the three distinct groups which make up this class</w:t>
      </w:r>
      <w:r>
        <w:t xml:space="preserve"> (those above pension age, those aged under 20, and those in between)</w:t>
      </w:r>
      <w:r w:rsidRPr="009F29A7">
        <w:t>.</w:t>
      </w:r>
    </w:p>
    <w:p w14:paraId="2C7D49A1" w14:textId="515292EB" w:rsidR="009B2D09" w:rsidRPr="009F29A7" w:rsidRDefault="009B2D09" w:rsidP="002757B8">
      <w:pPr>
        <w:pStyle w:val="ListBullet"/>
      </w:pPr>
      <w:r w:rsidRPr="009F29A7">
        <w:t xml:space="preserve">The older group have relatively low average lifetime costs and these typically reflect their </w:t>
      </w:r>
      <w:r w:rsidR="009F29A7" w:rsidRPr="009F29A7">
        <w:t xml:space="preserve">low </w:t>
      </w:r>
      <w:r w:rsidRPr="009F29A7">
        <w:t xml:space="preserve">chance of moving onto the age pension payment at some point in the future. </w:t>
      </w:r>
    </w:p>
    <w:p w14:paraId="5D7E61A7" w14:textId="057ABC16" w:rsidR="009B2D09" w:rsidRPr="009F29A7" w:rsidRDefault="009B2D09" w:rsidP="002757B8">
      <w:pPr>
        <w:pStyle w:val="ListBullet"/>
      </w:pPr>
      <w:r w:rsidRPr="009F29A7">
        <w:t xml:space="preserve">For the people in the 20 to 65 age bracket the average lifetime cost is dominated by the FTB, family and </w:t>
      </w:r>
      <w:r w:rsidR="006D014F">
        <w:t>Age Pension payments</w:t>
      </w:r>
      <w:r w:rsidRPr="009F29A7">
        <w:t xml:space="preserve"> and is similar to that seen for the non IS family class. In this age range these two non IS classes contain people with a very similar mix of characteristics and so the cost similarity is unsurprising.</w:t>
      </w:r>
    </w:p>
    <w:p w14:paraId="54753E66" w14:textId="77777777" w:rsidR="009B2D09" w:rsidRDefault="009B2D09" w:rsidP="002757B8">
      <w:pPr>
        <w:pStyle w:val="ListBullet"/>
      </w:pPr>
      <w:r w:rsidRPr="009F29A7">
        <w:t>For the group below age 20 the family payment categories make a lower contribution to the cost but there are larger elements from the income support payment types. This group have a greater chance of moving into these payments as they grow older than the other people in the class (who</w:t>
      </w:r>
      <w:r w:rsidR="00E6378A" w:rsidRPr="009F29A7">
        <w:t>, by definition,</w:t>
      </w:r>
      <w:r w:rsidRPr="009F29A7">
        <w:t xml:space="preserve"> are not currently getting any income support payments).</w:t>
      </w:r>
    </w:p>
    <w:p w14:paraId="0862A80F" w14:textId="5055DD47" w:rsidR="00D97824" w:rsidRPr="0057506F" w:rsidRDefault="00D97824" w:rsidP="00D97824">
      <w:pPr>
        <w:pStyle w:val="PwCNormal"/>
        <w:numPr>
          <w:ilvl w:val="0"/>
          <w:numId w:val="1"/>
        </w:numPr>
      </w:pPr>
      <w:r>
        <w:t>The table below outlines the average lifetime cost for 30</w:t>
      </w:r>
      <w:r w:rsidR="006948E9">
        <w:t xml:space="preserve"> to </w:t>
      </w:r>
      <w:r>
        <w:t xml:space="preserve">39 year olds currently receiving Non IS Other payments, split by key characteristics. We have selected a </w:t>
      </w:r>
      <w:r w:rsidR="001D5C14">
        <w:t xml:space="preserve">set </w:t>
      </w:r>
      <w:r>
        <w:t xml:space="preserve">age group to reduce the effect of age on the future lifetime cost. </w:t>
      </w:r>
      <w:r w:rsidRPr="00DD2C39">
        <w:t>It is important to note that some characteristics serve as proxies for more fundamental socio-economic factors, and as such, they may not necessarily be the underlying cause of any differences observed in the average lifetime costs of individuals.</w:t>
      </w:r>
      <w:r w:rsidR="00003814">
        <w:t xml:space="preserve"> Further, the variations and relativities to the average lifetime cost that have been shown may differ for other age bands.</w:t>
      </w:r>
    </w:p>
    <w:p w14:paraId="4BD5F6BB" w14:textId="4EDE00B6" w:rsidR="00D97824" w:rsidRDefault="00D97824" w:rsidP="00D97824">
      <w:pPr>
        <w:pStyle w:val="Caption"/>
      </w:pPr>
      <w:r w:rsidRPr="00035CA3">
        <w:lastRenderedPageBreak/>
        <w:t>Ta</w:t>
      </w:r>
      <w:r w:rsidRPr="002D25C5">
        <w:t xml:space="preserve">ble </w:t>
      </w:r>
      <w:fldSimple w:instr=" SEQ Table \* ARABIC ">
        <w:r w:rsidR="00C93C1A">
          <w:rPr>
            <w:noProof/>
          </w:rPr>
          <w:t>47</w:t>
        </w:r>
      </w:fldSimple>
      <w:r w:rsidRPr="002D25C5">
        <w:t xml:space="preserve">: </w:t>
      </w:r>
      <w:r>
        <w:t>Average lifetime cost for 30</w:t>
      </w:r>
      <w:r w:rsidR="006948E9">
        <w:t xml:space="preserve"> to </w:t>
      </w:r>
      <w:r>
        <w:t>39 year old Non IS Other recipients split by key characteristics</w:t>
      </w:r>
    </w:p>
    <w:tbl>
      <w:tblPr>
        <w:tblStyle w:val="ListTable3-Accent61"/>
        <w:tblW w:w="9781" w:type="dxa"/>
        <w:tblInd w:w="108" w:type="dxa"/>
        <w:tblLayout w:type="fixed"/>
        <w:tblLook w:val="04A0" w:firstRow="1" w:lastRow="0" w:firstColumn="1" w:lastColumn="0" w:noHBand="0" w:noVBand="1"/>
        <w:tblCaption w:val="Average lifetime cost for 30 to 39 year old Non IS Other recipients split by key characteristics"/>
        <w:tblDescription w:val="This table displays data for average lifetime costs of 30 to 39 year olds on Non IS Other payments by key characteristics. The columns show the number of people, number of people as % of cohort, average lifetime cost, and average lifetime cost relative to the whole cohort. The rows show data for four different key characteristics, number of children, age of youngest child, marital status, and class before entering ‘9 Non IS Other’. This is further divided by their respective categories. &#10;&#10;Further features of the data in this table are discussed in the accompanying text within the report.&#10;"/>
      </w:tblPr>
      <w:tblGrid>
        <w:gridCol w:w="3828"/>
        <w:gridCol w:w="1134"/>
        <w:gridCol w:w="1606"/>
        <w:gridCol w:w="1606"/>
        <w:gridCol w:w="1607"/>
      </w:tblGrid>
      <w:tr w:rsidR="006114CC" w:rsidRPr="006114CC" w14:paraId="56F6DD8C" w14:textId="77777777" w:rsidTr="00E42ACF">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100" w:firstRow="0" w:lastRow="0" w:firstColumn="1" w:lastColumn="0" w:oddVBand="0" w:evenVBand="0" w:oddHBand="0" w:evenHBand="0" w:firstRowFirstColumn="1" w:firstRowLastColumn="0" w:lastRowFirstColumn="0" w:lastRowLastColumn="0"/>
            <w:tcW w:w="3828" w:type="dxa"/>
            <w:noWrap/>
            <w:hideMark/>
          </w:tcPr>
          <w:p w14:paraId="67D2E2B1" w14:textId="77777777" w:rsidR="006114CC" w:rsidRPr="00660D81" w:rsidRDefault="006114CC" w:rsidP="00C36A7A">
            <w:pPr>
              <w:pStyle w:val="TableTextSmall"/>
              <w:keepNext/>
              <w:rPr>
                <w:rFonts w:asciiTheme="majorHAnsi" w:hAnsiTheme="majorHAnsi"/>
                <w:bCs w:val="0"/>
                <w:color w:val="FFFFFF" w:themeColor="background1"/>
                <w:lang w:eastAsia="en-AU"/>
              </w:rPr>
            </w:pPr>
          </w:p>
        </w:tc>
        <w:tc>
          <w:tcPr>
            <w:tcW w:w="1134" w:type="dxa"/>
            <w:noWrap/>
            <w:hideMark/>
          </w:tcPr>
          <w:p w14:paraId="204FA1A1"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w:t>
            </w:r>
          </w:p>
        </w:tc>
        <w:tc>
          <w:tcPr>
            <w:tcW w:w="1606" w:type="dxa"/>
            <w:hideMark/>
          </w:tcPr>
          <w:p w14:paraId="29F86499"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 as % of cohort</w:t>
            </w:r>
          </w:p>
        </w:tc>
        <w:tc>
          <w:tcPr>
            <w:tcW w:w="1606" w:type="dxa"/>
            <w:hideMark/>
          </w:tcPr>
          <w:p w14:paraId="39380385"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w:t>
            </w:r>
          </w:p>
        </w:tc>
        <w:tc>
          <w:tcPr>
            <w:tcW w:w="1607" w:type="dxa"/>
          </w:tcPr>
          <w:p w14:paraId="34EBD92A"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relative to cohort</w:t>
            </w:r>
          </w:p>
        </w:tc>
      </w:tr>
      <w:tr w:rsidR="0069611A" w:rsidRPr="006114CC" w14:paraId="708733BA"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shd w:val="clear" w:color="auto" w:fill="F7DCE1" w:themeFill="accent4" w:themeFillTint="33"/>
            <w:noWrap/>
            <w:vAlign w:val="bottom"/>
            <w:hideMark/>
          </w:tcPr>
          <w:p w14:paraId="579E3407" w14:textId="170DDFEE" w:rsidR="0069611A" w:rsidRPr="009637CC" w:rsidRDefault="0069611A" w:rsidP="0069611A">
            <w:pPr>
              <w:pStyle w:val="TableTextSmall"/>
              <w:keepNext/>
              <w:rPr>
                <w:rFonts w:asciiTheme="majorHAnsi" w:hAnsiTheme="majorHAnsi"/>
                <w:bCs w:val="0"/>
                <w:color w:val="595959" w:themeColor="text1" w:themeTint="A6"/>
                <w:lang w:eastAsia="en-AU"/>
              </w:rPr>
            </w:pPr>
            <w:r w:rsidRPr="009637CC">
              <w:rPr>
                <w:rFonts w:ascii="Arial" w:hAnsi="Arial"/>
                <w:color w:val="595959"/>
                <w:szCs w:val="16"/>
              </w:rPr>
              <w:t>Total</w:t>
            </w:r>
          </w:p>
        </w:tc>
        <w:tc>
          <w:tcPr>
            <w:tcW w:w="1134" w:type="dxa"/>
            <w:shd w:val="clear" w:color="auto" w:fill="F7DCE1" w:themeFill="accent4" w:themeFillTint="33"/>
            <w:noWrap/>
            <w:vAlign w:val="bottom"/>
            <w:hideMark/>
          </w:tcPr>
          <w:p w14:paraId="6B3EC728" w14:textId="64876CC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133,000</w:t>
            </w:r>
          </w:p>
        </w:tc>
        <w:tc>
          <w:tcPr>
            <w:tcW w:w="1606" w:type="dxa"/>
            <w:shd w:val="clear" w:color="auto" w:fill="F7DCE1" w:themeFill="accent4" w:themeFillTint="33"/>
            <w:noWrap/>
            <w:vAlign w:val="bottom"/>
            <w:hideMark/>
          </w:tcPr>
          <w:p w14:paraId="626B48D5" w14:textId="670E9C49"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c>
          <w:tcPr>
            <w:tcW w:w="1606" w:type="dxa"/>
            <w:shd w:val="clear" w:color="auto" w:fill="F7DCE1" w:themeFill="accent4" w:themeFillTint="33"/>
            <w:noWrap/>
            <w:vAlign w:val="bottom"/>
          </w:tcPr>
          <w:p w14:paraId="48D60498" w14:textId="35CE1ED5"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184,000</w:t>
            </w:r>
          </w:p>
        </w:tc>
        <w:tc>
          <w:tcPr>
            <w:tcW w:w="1607" w:type="dxa"/>
            <w:shd w:val="clear" w:color="auto" w:fill="F7DCE1" w:themeFill="accent4" w:themeFillTint="33"/>
            <w:vAlign w:val="bottom"/>
          </w:tcPr>
          <w:p w14:paraId="557B26AA" w14:textId="3F81AD9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r>
      <w:tr w:rsidR="0069611A" w:rsidRPr="006114CC" w14:paraId="2E6C4591" w14:textId="77777777" w:rsidTr="0069611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vAlign w:val="bottom"/>
            <w:hideMark/>
          </w:tcPr>
          <w:p w14:paraId="0DD85CF6" w14:textId="06807D08" w:rsidR="0069611A" w:rsidRPr="009637CC" w:rsidRDefault="0069611A" w:rsidP="0069611A">
            <w:pPr>
              <w:pStyle w:val="TableTextSmall"/>
              <w:keepNext/>
              <w:rPr>
                <w:rFonts w:asciiTheme="majorHAnsi" w:hAnsiTheme="majorHAnsi"/>
                <w:bCs w:val="0"/>
                <w:i/>
                <w:color w:val="595959" w:themeColor="text1" w:themeTint="A6"/>
                <w:lang w:eastAsia="en-AU"/>
              </w:rPr>
            </w:pPr>
            <w:r w:rsidRPr="009637CC">
              <w:rPr>
                <w:rFonts w:ascii="Arial" w:hAnsi="Arial"/>
                <w:color w:val="595959"/>
                <w:szCs w:val="16"/>
              </w:rPr>
              <w:t>Number of children</w:t>
            </w:r>
          </w:p>
        </w:tc>
        <w:tc>
          <w:tcPr>
            <w:tcW w:w="1134" w:type="dxa"/>
            <w:tcBorders>
              <w:top w:val="single" w:sz="4" w:space="0" w:color="E0301E" w:themeColor="accent6"/>
              <w:bottom w:val="nil"/>
            </w:tcBorders>
            <w:noWrap/>
            <w:vAlign w:val="bottom"/>
            <w:hideMark/>
          </w:tcPr>
          <w:p w14:paraId="4072FC8B"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p>
        </w:tc>
        <w:tc>
          <w:tcPr>
            <w:tcW w:w="1606" w:type="dxa"/>
            <w:tcBorders>
              <w:top w:val="single" w:sz="4" w:space="0" w:color="E0301E" w:themeColor="accent6"/>
              <w:bottom w:val="nil"/>
            </w:tcBorders>
            <w:noWrap/>
            <w:vAlign w:val="bottom"/>
            <w:hideMark/>
          </w:tcPr>
          <w:p w14:paraId="164F3CA9"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6" w:type="dxa"/>
            <w:tcBorders>
              <w:top w:val="single" w:sz="4" w:space="0" w:color="E0301E" w:themeColor="accent6"/>
              <w:bottom w:val="nil"/>
            </w:tcBorders>
            <w:noWrap/>
            <w:vAlign w:val="bottom"/>
          </w:tcPr>
          <w:p w14:paraId="78D6E2E7"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7" w:type="dxa"/>
            <w:tcBorders>
              <w:top w:val="single" w:sz="4" w:space="0" w:color="E0301E" w:themeColor="accent6"/>
              <w:bottom w:val="nil"/>
              <w:right w:val="single" w:sz="4" w:space="0" w:color="E0301E" w:themeColor="accent6"/>
            </w:tcBorders>
            <w:vAlign w:val="bottom"/>
          </w:tcPr>
          <w:p w14:paraId="66CBAB01"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r>
      <w:tr w:rsidR="0069611A" w:rsidRPr="006114CC" w14:paraId="5D438346"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hideMark/>
          </w:tcPr>
          <w:p w14:paraId="0AB59D5A" w14:textId="397FD3E3" w:rsidR="0069611A" w:rsidRPr="009637CC" w:rsidRDefault="0069611A" w:rsidP="0069611A">
            <w:pPr>
              <w:pStyle w:val="TableTextSmall"/>
              <w:keepNext/>
              <w:rPr>
                <w:rFonts w:asciiTheme="majorHAnsi" w:hAnsiTheme="majorHAnsi"/>
                <w:b w:val="0"/>
                <w:bCs w:val="0"/>
                <w:i/>
                <w:color w:val="595959" w:themeColor="text1" w:themeTint="A6"/>
                <w:lang w:eastAsia="en-AU"/>
              </w:rPr>
            </w:pPr>
            <w:r w:rsidRPr="009637CC">
              <w:rPr>
                <w:rFonts w:ascii="Arial" w:hAnsi="Arial"/>
                <w:i/>
                <w:iCs/>
                <w:color w:val="595959"/>
                <w:szCs w:val="16"/>
              </w:rPr>
              <w:t xml:space="preserve">    - No children</w:t>
            </w:r>
          </w:p>
        </w:tc>
        <w:tc>
          <w:tcPr>
            <w:tcW w:w="1134" w:type="dxa"/>
            <w:tcBorders>
              <w:top w:val="nil"/>
              <w:bottom w:val="nil"/>
            </w:tcBorders>
            <w:noWrap/>
            <w:vAlign w:val="bottom"/>
            <w:hideMark/>
          </w:tcPr>
          <w:p w14:paraId="746238B8" w14:textId="5F4B491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lang w:eastAsia="en-AU"/>
              </w:rPr>
            </w:pPr>
            <w:r>
              <w:rPr>
                <w:rFonts w:ascii="Arial" w:hAnsi="Arial"/>
                <w:color w:val="595959"/>
                <w:szCs w:val="16"/>
              </w:rPr>
              <w:t>21,000</w:t>
            </w:r>
          </w:p>
        </w:tc>
        <w:tc>
          <w:tcPr>
            <w:tcW w:w="1606" w:type="dxa"/>
            <w:tcBorders>
              <w:top w:val="nil"/>
              <w:bottom w:val="nil"/>
            </w:tcBorders>
            <w:noWrap/>
            <w:vAlign w:val="bottom"/>
            <w:hideMark/>
          </w:tcPr>
          <w:p w14:paraId="7726DF6E" w14:textId="6958135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16%</w:t>
            </w:r>
          </w:p>
        </w:tc>
        <w:tc>
          <w:tcPr>
            <w:tcW w:w="1606" w:type="dxa"/>
            <w:tcBorders>
              <w:top w:val="nil"/>
              <w:bottom w:val="nil"/>
            </w:tcBorders>
            <w:noWrap/>
            <w:vAlign w:val="bottom"/>
          </w:tcPr>
          <w:p w14:paraId="29567114" w14:textId="6CEE50E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174,000</w:t>
            </w:r>
          </w:p>
        </w:tc>
        <w:tc>
          <w:tcPr>
            <w:tcW w:w="1607" w:type="dxa"/>
            <w:tcBorders>
              <w:top w:val="nil"/>
              <w:bottom w:val="nil"/>
              <w:right w:val="single" w:sz="4" w:space="0" w:color="E0301E" w:themeColor="accent6"/>
            </w:tcBorders>
            <w:vAlign w:val="bottom"/>
          </w:tcPr>
          <w:p w14:paraId="743CD851" w14:textId="0DA19059"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94%</w:t>
            </w:r>
          </w:p>
        </w:tc>
      </w:tr>
      <w:tr w:rsidR="0069611A" w:rsidRPr="006114CC" w14:paraId="6A6D7AF6"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02100B58" w14:textId="77CDD363" w:rsidR="0069611A" w:rsidRPr="009637CC" w:rsidRDefault="0069611A" w:rsidP="0069611A">
            <w:pPr>
              <w:pStyle w:val="TableTextSmall"/>
              <w:keepNext/>
              <w:rPr>
                <w:rFonts w:ascii="Arial" w:hAnsi="Arial"/>
                <w:b w:val="0"/>
                <w:i/>
                <w:iCs/>
                <w:color w:val="595959"/>
                <w:szCs w:val="16"/>
              </w:rPr>
            </w:pPr>
            <w:r w:rsidRPr="009637CC">
              <w:rPr>
                <w:rFonts w:ascii="Arial" w:hAnsi="Arial"/>
                <w:i/>
                <w:iCs/>
                <w:color w:val="595959"/>
                <w:szCs w:val="16"/>
              </w:rPr>
              <w:t xml:space="preserve">    - 1 child</w:t>
            </w:r>
          </w:p>
        </w:tc>
        <w:tc>
          <w:tcPr>
            <w:tcW w:w="1134" w:type="dxa"/>
            <w:tcBorders>
              <w:top w:val="nil"/>
              <w:bottom w:val="nil"/>
            </w:tcBorders>
            <w:noWrap/>
            <w:vAlign w:val="bottom"/>
          </w:tcPr>
          <w:p w14:paraId="3C8FEC8F" w14:textId="06E5BCE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72,000</w:t>
            </w:r>
          </w:p>
        </w:tc>
        <w:tc>
          <w:tcPr>
            <w:tcW w:w="1606" w:type="dxa"/>
            <w:tcBorders>
              <w:top w:val="nil"/>
              <w:bottom w:val="nil"/>
            </w:tcBorders>
            <w:noWrap/>
            <w:vAlign w:val="bottom"/>
          </w:tcPr>
          <w:p w14:paraId="78730FA0" w14:textId="6D87956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54%</w:t>
            </w:r>
          </w:p>
        </w:tc>
        <w:tc>
          <w:tcPr>
            <w:tcW w:w="1606" w:type="dxa"/>
            <w:tcBorders>
              <w:top w:val="nil"/>
              <w:bottom w:val="nil"/>
            </w:tcBorders>
            <w:noWrap/>
            <w:vAlign w:val="bottom"/>
          </w:tcPr>
          <w:p w14:paraId="712B709F" w14:textId="0A2B5A4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191,000</w:t>
            </w:r>
          </w:p>
        </w:tc>
        <w:tc>
          <w:tcPr>
            <w:tcW w:w="1607" w:type="dxa"/>
            <w:tcBorders>
              <w:top w:val="nil"/>
              <w:bottom w:val="nil"/>
              <w:right w:val="single" w:sz="4" w:space="0" w:color="E0301E" w:themeColor="accent6"/>
            </w:tcBorders>
            <w:vAlign w:val="bottom"/>
          </w:tcPr>
          <w:p w14:paraId="2A8C7B93" w14:textId="3C326B18"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104%</w:t>
            </w:r>
          </w:p>
        </w:tc>
      </w:tr>
      <w:tr w:rsidR="0069611A" w:rsidRPr="006114CC" w14:paraId="62E9526F"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051310EE" w14:textId="4E23A39E" w:rsidR="0069611A" w:rsidRPr="009637CC" w:rsidRDefault="0069611A" w:rsidP="0069611A">
            <w:pPr>
              <w:pStyle w:val="TableTextSmall"/>
              <w:keepNext/>
              <w:rPr>
                <w:rFonts w:ascii="Arial" w:hAnsi="Arial"/>
                <w:b w:val="0"/>
                <w:i/>
                <w:iCs/>
                <w:color w:val="595959"/>
                <w:szCs w:val="16"/>
              </w:rPr>
            </w:pPr>
            <w:r w:rsidRPr="009637CC">
              <w:rPr>
                <w:rFonts w:ascii="Arial" w:hAnsi="Arial"/>
                <w:i/>
                <w:iCs/>
                <w:color w:val="595959"/>
                <w:szCs w:val="16"/>
              </w:rPr>
              <w:t xml:space="preserve">    - 2 children</w:t>
            </w:r>
          </w:p>
        </w:tc>
        <w:tc>
          <w:tcPr>
            <w:tcW w:w="1134" w:type="dxa"/>
            <w:tcBorders>
              <w:top w:val="nil"/>
              <w:bottom w:val="nil"/>
            </w:tcBorders>
            <w:noWrap/>
            <w:vAlign w:val="bottom"/>
          </w:tcPr>
          <w:p w14:paraId="477D1A9B" w14:textId="7DA189E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28,000</w:t>
            </w:r>
          </w:p>
        </w:tc>
        <w:tc>
          <w:tcPr>
            <w:tcW w:w="1606" w:type="dxa"/>
            <w:tcBorders>
              <w:top w:val="nil"/>
              <w:bottom w:val="nil"/>
            </w:tcBorders>
            <w:noWrap/>
            <w:vAlign w:val="bottom"/>
          </w:tcPr>
          <w:p w14:paraId="2572833A" w14:textId="7FC1523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21%</w:t>
            </w:r>
          </w:p>
        </w:tc>
        <w:tc>
          <w:tcPr>
            <w:tcW w:w="1606" w:type="dxa"/>
            <w:tcBorders>
              <w:top w:val="nil"/>
              <w:bottom w:val="nil"/>
            </w:tcBorders>
            <w:noWrap/>
            <w:vAlign w:val="bottom"/>
          </w:tcPr>
          <w:p w14:paraId="35211685" w14:textId="75435EB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171,000</w:t>
            </w:r>
          </w:p>
        </w:tc>
        <w:tc>
          <w:tcPr>
            <w:tcW w:w="1607" w:type="dxa"/>
            <w:tcBorders>
              <w:top w:val="nil"/>
              <w:bottom w:val="nil"/>
              <w:right w:val="single" w:sz="4" w:space="0" w:color="E0301E" w:themeColor="accent6"/>
            </w:tcBorders>
            <w:vAlign w:val="bottom"/>
          </w:tcPr>
          <w:p w14:paraId="5169CCF9" w14:textId="349695DC"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93%</w:t>
            </w:r>
          </w:p>
        </w:tc>
      </w:tr>
      <w:tr w:rsidR="0069611A" w:rsidRPr="006114CC" w14:paraId="32E3129F"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vAlign w:val="bottom"/>
          </w:tcPr>
          <w:p w14:paraId="2C0C4E55" w14:textId="7F684EBD" w:rsidR="0069611A" w:rsidRPr="009637CC" w:rsidRDefault="0069611A" w:rsidP="0069611A">
            <w:pPr>
              <w:pStyle w:val="TableTextSmall"/>
              <w:keepNext/>
              <w:rPr>
                <w:rFonts w:ascii="Arial" w:hAnsi="Arial"/>
                <w:b w:val="0"/>
                <w:i/>
                <w:iCs/>
                <w:color w:val="595959"/>
                <w:szCs w:val="16"/>
              </w:rPr>
            </w:pPr>
            <w:r w:rsidRPr="009637CC">
              <w:rPr>
                <w:rFonts w:ascii="Arial" w:hAnsi="Arial"/>
                <w:i/>
                <w:iCs/>
                <w:color w:val="595959"/>
                <w:szCs w:val="16"/>
              </w:rPr>
              <w:t xml:space="preserve">    - 3+ children</w:t>
            </w:r>
          </w:p>
        </w:tc>
        <w:tc>
          <w:tcPr>
            <w:tcW w:w="1134" w:type="dxa"/>
            <w:tcBorders>
              <w:top w:val="nil"/>
              <w:bottom w:val="single" w:sz="4" w:space="0" w:color="E0301E" w:themeColor="accent6"/>
            </w:tcBorders>
            <w:noWrap/>
            <w:vAlign w:val="bottom"/>
          </w:tcPr>
          <w:p w14:paraId="6F25DCD5" w14:textId="581A152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11,000</w:t>
            </w:r>
          </w:p>
        </w:tc>
        <w:tc>
          <w:tcPr>
            <w:tcW w:w="1606" w:type="dxa"/>
            <w:tcBorders>
              <w:top w:val="nil"/>
              <w:bottom w:val="single" w:sz="4" w:space="0" w:color="E0301E" w:themeColor="accent6"/>
            </w:tcBorders>
            <w:noWrap/>
            <w:vAlign w:val="bottom"/>
          </w:tcPr>
          <w:p w14:paraId="1A95BBEF" w14:textId="32D1385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8%</w:t>
            </w:r>
          </w:p>
        </w:tc>
        <w:tc>
          <w:tcPr>
            <w:tcW w:w="1606" w:type="dxa"/>
            <w:tcBorders>
              <w:top w:val="nil"/>
              <w:bottom w:val="single" w:sz="4" w:space="0" w:color="E0301E" w:themeColor="accent6"/>
            </w:tcBorders>
            <w:noWrap/>
            <w:vAlign w:val="bottom"/>
          </w:tcPr>
          <w:p w14:paraId="7D5790AB" w14:textId="0FFFF61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191,000</w:t>
            </w:r>
          </w:p>
        </w:tc>
        <w:tc>
          <w:tcPr>
            <w:tcW w:w="1607" w:type="dxa"/>
            <w:tcBorders>
              <w:top w:val="nil"/>
              <w:bottom w:val="single" w:sz="4" w:space="0" w:color="E0301E" w:themeColor="accent6"/>
              <w:right w:val="single" w:sz="4" w:space="0" w:color="E0301E" w:themeColor="accent6"/>
            </w:tcBorders>
            <w:vAlign w:val="bottom"/>
          </w:tcPr>
          <w:p w14:paraId="2355EFF3" w14:textId="698F6ED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104%</w:t>
            </w:r>
          </w:p>
        </w:tc>
      </w:tr>
      <w:tr w:rsidR="0069611A" w:rsidRPr="006114CC" w14:paraId="388480C7"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vAlign w:val="bottom"/>
          </w:tcPr>
          <w:p w14:paraId="4C4E3354" w14:textId="2A6F6E06" w:rsidR="0069611A" w:rsidRPr="009637CC" w:rsidRDefault="0069611A" w:rsidP="0069611A">
            <w:pPr>
              <w:pStyle w:val="TableTextSmall"/>
              <w:keepNext/>
              <w:rPr>
                <w:rFonts w:ascii="Arial" w:hAnsi="Arial"/>
                <w:i/>
                <w:iCs/>
                <w:color w:val="595959"/>
                <w:szCs w:val="16"/>
              </w:rPr>
            </w:pPr>
            <w:r w:rsidRPr="009637CC">
              <w:rPr>
                <w:rFonts w:ascii="Arial" w:hAnsi="Arial"/>
                <w:color w:val="595959"/>
                <w:szCs w:val="16"/>
              </w:rPr>
              <w:t>Age of youngest child</w:t>
            </w:r>
          </w:p>
        </w:tc>
        <w:tc>
          <w:tcPr>
            <w:tcW w:w="1134" w:type="dxa"/>
            <w:tcBorders>
              <w:bottom w:val="nil"/>
            </w:tcBorders>
            <w:noWrap/>
            <w:vAlign w:val="bottom"/>
          </w:tcPr>
          <w:p w14:paraId="6F1407FC"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6E835304"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3F14C60D"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1AFEB578"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17B3549E"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4E4D375F" w14:textId="1FDB3F87" w:rsidR="0069611A" w:rsidRPr="009637CC" w:rsidRDefault="0069611A" w:rsidP="0069611A">
            <w:pPr>
              <w:pStyle w:val="TableTextSmall"/>
              <w:keepNext/>
              <w:rPr>
                <w:rFonts w:ascii="Arial" w:hAnsi="Arial"/>
                <w:b w:val="0"/>
                <w:i/>
                <w:iCs/>
                <w:color w:val="595959"/>
                <w:szCs w:val="16"/>
              </w:rPr>
            </w:pPr>
            <w:r w:rsidRPr="009637CC">
              <w:rPr>
                <w:rFonts w:ascii="Arial" w:hAnsi="Arial"/>
                <w:i/>
                <w:iCs/>
                <w:color w:val="595959"/>
                <w:szCs w:val="16"/>
              </w:rPr>
              <w:t xml:space="preserve">    - No children</w:t>
            </w:r>
          </w:p>
        </w:tc>
        <w:tc>
          <w:tcPr>
            <w:tcW w:w="1134" w:type="dxa"/>
            <w:tcBorders>
              <w:top w:val="nil"/>
              <w:bottom w:val="nil"/>
            </w:tcBorders>
            <w:noWrap/>
            <w:vAlign w:val="bottom"/>
          </w:tcPr>
          <w:p w14:paraId="035212A1" w14:textId="3CD8D88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21,000</w:t>
            </w:r>
          </w:p>
        </w:tc>
        <w:tc>
          <w:tcPr>
            <w:tcW w:w="1606" w:type="dxa"/>
            <w:tcBorders>
              <w:top w:val="nil"/>
              <w:bottom w:val="nil"/>
            </w:tcBorders>
            <w:noWrap/>
            <w:vAlign w:val="bottom"/>
          </w:tcPr>
          <w:p w14:paraId="7EA1592A" w14:textId="0D39BB3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16%</w:t>
            </w:r>
          </w:p>
        </w:tc>
        <w:tc>
          <w:tcPr>
            <w:tcW w:w="1606" w:type="dxa"/>
            <w:tcBorders>
              <w:top w:val="nil"/>
              <w:bottom w:val="nil"/>
            </w:tcBorders>
            <w:noWrap/>
            <w:vAlign w:val="bottom"/>
          </w:tcPr>
          <w:p w14:paraId="0EE6A6AF" w14:textId="3E9B522B"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174,000</w:t>
            </w:r>
          </w:p>
        </w:tc>
        <w:tc>
          <w:tcPr>
            <w:tcW w:w="1607" w:type="dxa"/>
            <w:tcBorders>
              <w:top w:val="nil"/>
              <w:bottom w:val="nil"/>
              <w:right w:val="single" w:sz="4" w:space="0" w:color="E0301E" w:themeColor="accent6"/>
            </w:tcBorders>
            <w:vAlign w:val="bottom"/>
          </w:tcPr>
          <w:p w14:paraId="41954CE2" w14:textId="67AC1A54"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94%</w:t>
            </w:r>
          </w:p>
        </w:tc>
      </w:tr>
      <w:tr w:rsidR="0069611A" w:rsidRPr="006114CC" w14:paraId="2C79CC3F"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55C1F50F" w14:textId="72AACDBB" w:rsidR="0069611A" w:rsidRPr="009637CC" w:rsidRDefault="0069611A" w:rsidP="0069611A">
            <w:pPr>
              <w:pStyle w:val="TableTextSmall"/>
              <w:keepNext/>
              <w:rPr>
                <w:rFonts w:ascii="Arial" w:hAnsi="Arial"/>
                <w:b w:val="0"/>
                <w:i/>
                <w:iCs/>
                <w:color w:val="595959"/>
                <w:szCs w:val="16"/>
              </w:rPr>
            </w:pPr>
            <w:r w:rsidRPr="009637CC">
              <w:rPr>
                <w:rFonts w:ascii="Arial" w:hAnsi="Arial"/>
                <w:i/>
                <w:iCs/>
                <w:color w:val="595959"/>
                <w:szCs w:val="16"/>
              </w:rPr>
              <w:t xml:space="preserve">    - New born</w:t>
            </w:r>
          </w:p>
        </w:tc>
        <w:tc>
          <w:tcPr>
            <w:tcW w:w="1134" w:type="dxa"/>
            <w:tcBorders>
              <w:top w:val="nil"/>
              <w:bottom w:val="nil"/>
            </w:tcBorders>
            <w:noWrap/>
            <w:vAlign w:val="bottom"/>
          </w:tcPr>
          <w:p w14:paraId="0CE31B1E" w14:textId="20E75AC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64,000</w:t>
            </w:r>
          </w:p>
        </w:tc>
        <w:tc>
          <w:tcPr>
            <w:tcW w:w="1606" w:type="dxa"/>
            <w:tcBorders>
              <w:top w:val="nil"/>
              <w:bottom w:val="nil"/>
            </w:tcBorders>
            <w:noWrap/>
            <w:vAlign w:val="bottom"/>
          </w:tcPr>
          <w:p w14:paraId="7F93F921" w14:textId="17323B89"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48%</w:t>
            </w:r>
          </w:p>
        </w:tc>
        <w:tc>
          <w:tcPr>
            <w:tcW w:w="1606" w:type="dxa"/>
            <w:tcBorders>
              <w:top w:val="nil"/>
              <w:bottom w:val="nil"/>
            </w:tcBorders>
            <w:noWrap/>
            <w:vAlign w:val="bottom"/>
          </w:tcPr>
          <w:p w14:paraId="6AC95FC5" w14:textId="507AF92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189,000</w:t>
            </w:r>
          </w:p>
        </w:tc>
        <w:tc>
          <w:tcPr>
            <w:tcW w:w="1607" w:type="dxa"/>
            <w:tcBorders>
              <w:top w:val="nil"/>
              <w:bottom w:val="nil"/>
              <w:right w:val="single" w:sz="4" w:space="0" w:color="E0301E" w:themeColor="accent6"/>
            </w:tcBorders>
            <w:vAlign w:val="bottom"/>
          </w:tcPr>
          <w:p w14:paraId="4A6C0147" w14:textId="18B4676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103%</w:t>
            </w:r>
          </w:p>
        </w:tc>
      </w:tr>
      <w:tr w:rsidR="0069611A" w:rsidRPr="006114CC" w14:paraId="63F6E469"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579D635A" w14:textId="5CDD55FB" w:rsidR="0069611A" w:rsidRPr="009637CC" w:rsidRDefault="0069611A" w:rsidP="0069611A">
            <w:pPr>
              <w:pStyle w:val="TableTextSmall"/>
              <w:keepNext/>
              <w:rPr>
                <w:rFonts w:ascii="Arial" w:hAnsi="Arial"/>
                <w:b w:val="0"/>
                <w:i/>
                <w:iCs/>
                <w:color w:val="595959"/>
                <w:szCs w:val="16"/>
              </w:rPr>
            </w:pPr>
            <w:r w:rsidRPr="009637CC">
              <w:rPr>
                <w:rFonts w:ascii="Arial" w:hAnsi="Arial"/>
                <w:i/>
                <w:iCs/>
                <w:color w:val="595959"/>
                <w:szCs w:val="16"/>
              </w:rPr>
              <w:t xml:space="preserve">    - 1-6 Years old</w:t>
            </w:r>
          </w:p>
        </w:tc>
        <w:tc>
          <w:tcPr>
            <w:tcW w:w="1134" w:type="dxa"/>
            <w:tcBorders>
              <w:top w:val="nil"/>
              <w:bottom w:val="nil"/>
            </w:tcBorders>
            <w:noWrap/>
            <w:vAlign w:val="bottom"/>
          </w:tcPr>
          <w:p w14:paraId="4BF96510" w14:textId="3A05484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41,000</w:t>
            </w:r>
          </w:p>
        </w:tc>
        <w:tc>
          <w:tcPr>
            <w:tcW w:w="1606" w:type="dxa"/>
            <w:tcBorders>
              <w:top w:val="nil"/>
              <w:bottom w:val="nil"/>
            </w:tcBorders>
            <w:noWrap/>
            <w:vAlign w:val="bottom"/>
          </w:tcPr>
          <w:p w14:paraId="39A6E9D5" w14:textId="1C3581C4"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30%</w:t>
            </w:r>
          </w:p>
        </w:tc>
        <w:tc>
          <w:tcPr>
            <w:tcW w:w="1606" w:type="dxa"/>
            <w:tcBorders>
              <w:top w:val="nil"/>
              <w:bottom w:val="nil"/>
            </w:tcBorders>
            <w:noWrap/>
            <w:vAlign w:val="bottom"/>
          </w:tcPr>
          <w:p w14:paraId="5365741C" w14:textId="5BF0341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182,000</w:t>
            </w:r>
          </w:p>
        </w:tc>
        <w:tc>
          <w:tcPr>
            <w:tcW w:w="1607" w:type="dxa"/>
            <w:tcBorders>
              <w:top w:val="nil"/>
              <w:bottom w:val="nil"/>
              <w:right w:val="single" w:sz="4" w:space="0" w:color="E0301E" w:themeColor="accent6"/>
            </w:tcBorders>
            <w:vAlign w:val="bottom"/>
          </w:tcPr>
          <w:p w14:paraId="762426F1" w14:textId="290AFD0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99%</w:t>
            </w:r>
          </w:p>
        </w:tc>
      </w:tr>
      <w:tr w:rsidR="0069611A" w:rsidRPr="006114CC" w14:paraId="003691DE"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tcBorders>
            <w:noWrap/>
            <w:vAlign w:val="bottom"/>
          </w:tcPr>
          <w:p w14:paraId="11A5698A" w14:textId="382DCEE5" w:rsidR="0069611A" w:rsidRPr="009637CC" w:rsidRDefault="0069611A" w:rsidP="0069611A">
            <w:pPr>
              <w:pStyle w:val="TableTextSmall"/>
              <w:keepNext/>
              <w:rPr>
                <w:rFonts w:ascii="Arial" w:hAnsi="Arial"/>
                <w:b w:val="0"/>
                <w:i/>
                <w:iCs/>
                <w:color w:val="595959"/>
                <w:szCs w:val="16"/>
              </w:rPr>
            </w:pPr>
            <w:r w:rsidRPr="009637CC">
              <w:rPr>
                <w:rFonts w:ascii="Arial" w:hAnsi="Arial"/>
                <w:i/>
                <w:iCs/>
                <w:color w:val="595959"/>
                <w:szCs w:val="16"/>
              </w:rPr>
              <w:t xml:space="preserve">    - 7-18 Years old</w:t>
            </w:r>
          </w:p>
        </w:tc>
        <w:tc>
          <w:tcPr>
            <w:tcW w:w="1134" w:type="dxa"/>
            <w:tcBorders>
              <w:top w:val="nil"/>
            </w:tcBorders>
            <w:noWrap/>
            <w:vAlign w:val="bottom"/>
          </w:tcPr>
          <w:p w14:paraId="11CE7AFF" w14:textId="19CAAB2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7,000</w:t>
            </w:r>
          </w:p>
        </w:tc>
        <w:tc>
          <w:tcPr>
            <w:tcW w:w="1606" w:type="dxa"/>
            <w:tcBorders>
              <w:top w:val="nil"/>
            </w:tcBorders>
            <w:noWrap/>
            <w:vAlign w:val="bottom"/>
          </w:tcPr>
          <w:p w14:paraId="39515464" w14:textId="268751C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w:t>
            </w:r>
          </w:p>
        </w:tc>
        <w:tc>
          <w:tcPr>
            <w:tcW w:w="1606" w:type="dxa"/>
            <w:tcBorders>
              <w:top w:val="nil"/>
            </w:tcBorders>
            <w:noWrap/>
            <w:vAlign w:val="bottom"/>
          </w:tcPr>
          <w:p w14:paraId="001F4C4F" w14:textId="2599782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181,000</w:t>
            </w:r>
          </w:p>
        </w:tc>
        <w:tc>
          <w:tcPr>
            <w:tcW w:w="1607" w:type="dxa"/>
            <w:tcBorders>
              <w:top w:val="nil"/>
              <w:right w:val="single" w:sz="4" w:space="0" w:color="E0301E" w:themeColor="accent6"/>
            </w:tcBorders>
            <w:vAlign w:val="bottom"/>
          </w:tcPr>
          <w:p w14:paraId="4BBF2D38" w14:textId="0BA3CAD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98%</w:t>
            </w:r>
          </w:p>
        </w:tc>
      </w:tr>
      <w:tr w:rsidR="0069611A" w:rsidRPr="006114CC" w14:paraId="1CDC6FBB"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vAlign w:val="bottom"/>
          </w:tcPr>
          <w:p w14:paraId="4886AF50" w14:textId="54D57A67" w:rsidR="0069611A" w:rsidRPr="009637CC" w:rsidRDefault="0069611A" w:rsidP="0069611A">
            <w:pPr>
              <w:pStyle w:val="TableTextSmall"/>
              <w:keepNext/>
              <w:rPr>
                <w:rFonts w:ascii="Arial" w:hAnsi="Arial"/>
                <w:i/>
                <w:iCs/>
                <w:color w:val="595959"/>
                <w:szCs w:val="16"/>
              </w:rPr>
            </w:pPr>
            <w:r w:rsidRPr="009637CC">
              <w:rPr>
                <w:rFonts w:ascii="Arial" w:hAnsi="Arial"/>
                <w:color w:val="595959"/>
                <w:szCs w:val="16"/>
              </w:rPr>
              <w:t>Marital status</w:t>
            </w:r>
          </w:p>
        </w:tc>
        <w:tc>
          <w:tcPr>
            <w:tcW w:w="1134" w:type="dxa"/>
            <w:tcBorders>
              <w:top w:val="single" w:sz="4" w:space="0" w:color="E0301E" w:themeColor="accent6"/>
              <w:bottom w:val="nil"/>
            </w:tcBorders>
            <w:noWrap/>
            <w:vAlign w:val="bottom"/>
          </w:tcPr>
          <w:p w14:paraId="72007CB5" w14:textId="1CC594AA"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17BD2285" w14:textId="62E5100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4DE1F80C" w14:textId="08A4C75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top w:val="single" w:sz="4" w:space="0" w:color="E0301E" w:themeColor="accent6"/>
              <w:bottom w:val="nil"/>
              <w:right w:val="single" w:sz="4" w:space="0" w:color="E0301E" w:themeColor="accent6"/>
            </w:tcBorders>
            <w:vAlign w:val="bottom"/>
          </w:tcPr>
          <w:p w14:paraId="70F5B2E2" w14:textId="347F420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114CC" w14:paraId="3A71C82F"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4FB71480" w14:textId="04062958" w:rsidR="0069611A" w:rsidRPr="009637CC" w:rsidRDefault="0069611A" w:rsidP="0069611A">
            <w:pPr>
              <w:pStyle w:val="TableTextSmall"/>
              <w:keepNext/>
              <w:rPr>
                <w:rFonts w:ascii="Arial" w:hAnsi="Arial"/>
                <w:b w:val="0"/>
                <w:i/>
                <w:iCs/>
                <w:color w:val="595959"/>
                <w:szCs w:val="16"/>
              </w:rPr>
            </w:pPr>
            <w:r w:rsidRPr="009637CC">
              <w:rPr>
                <w:rFonts w:ascii="Arial" w:hAnsi="Arial"/>
                <w:i/>
                <w:iCs/>
                <w:color w:val="595959"/>
                <w:szCs w:val="16"/>
              </w:rPr>
              <w:t xml:space="preserve">    - Single</w:t>
            </w:r>
          </w:p>
        </w:tc>
        <w:tc>
          <w:tcPr>
            <w:tcW w:w="1134" w:type="dxa"/>
            <w:tcBorders>
              <w:top w:val="nil"/>
              <w:bottom w:val="nil"/>
            </w:tcBorders>
            <w:noWrap/>
            <w:vAlign w:val="bottom"/>
          </w:tcPr>
          <w:p w14:paraId="3D9A5BDA" w14:textId="7B6CC418"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7,000</w:t>
            </w:r>
          </w:p>
        </w:tc>
        <w:tc>
          <w:tcPr>
            <w:tcW w:w="1606" w:type="dxa"/>
            <w:tcBorders>
              <w:top w:val="nil"/>
              <w:bottom w:val="nil"/>
            </w:tcBorders>
            <w:noWrap/>
            <w:vAlign w:val="bottom"/>
          </w:tcPr>
          <w:p w14:paraId="65C27C81" w14:textId="16ABD69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w:t>
            </w:r>
          </w:p>
        </w:tc>
        <w:tc>
          <w:tcPr>
            <w:tcW w:w="1606" w:type="dxa"/>
            <w:tcBorders>
              <w:top w:val="nil"/>
              <w:bottom w:val="nil"/>
            </w:tcBorders>
            <w:noWrap/>
            <w:vAlign w:val="bottom"/>
          </w:tcPr>
          <w:p w14:paraId="712F578C" w14:textId="25A8421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279,000</w:t>
            </w:r>
          </w:p>
        </w:tc>
        <w:tc>
          <w:tcPr>
            <w:tcW w:w="1607" w:type="dxa"/>
            <w:tcBorders>
              <w:top w:val="nil"/>
              <w:bottom w:val="nil"/>
              <w:right w:val="single" w:sz="4" w:space="0" w:color="E0301E" w:themeColor="accent6"/>
            </w:tcBorders>
            <w:vAlign w:val="bottom"/>
          </w:tcPr>
          <w:p w14:paraId="403E8B46" w14:textId="42FC2C7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152%</w:t>
            </w:r>
          </w:p>
        </w:tc>
      </w:tr>
      <w:tr w:rsidR="0069611A" w:rsidRPr="006114CC" w14:paraId="49A4E7F2"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vAlign w:val="bottom"/>
          </w:tcPr>
          <w:p w14:paraId="3A197F0D" w14:textId="4C9615F8" w:rsidR="0069611A" w:rsidRPr="009637CC" w:rsidRDefault="0069611A" w:rsidP="0069611A">
            <w:pPr>
              <w:pStyle w:val="TableTextSmall"/>
              <w:keepNext/>
              <w:rPr>
                <w:rFonts w:ascii="Arial" w:hAnsi="Arial"/>
                <w:b w:val="0"/>
                <w:i/>
                <w:iCs/>
                <w:color w:val="595959"/>
                <w:szCs w:val="16"/>
              </w:rPr>
            </w:pPr>
            <w:r w:rsidRPr="009637CC">
              <w:rPr>
                <w:rFonts w:ascii="Arial" w:hAnsi="Arial"/>
                <w:i/>
                <w:iCs/>
                <w:color w:val="595959"/>
                <w:szCs w:val="16"/>
              </w:rPr>
              <w:t xml:space="preserve">    - Partnered</w:t>
            </w:r>
          </w:p>
        </w:tc>
        <w:tc>
          <w:tcPr>
            <w:tcW w:w="1134" w:type="dxa"/>
            <w:tcBorders>
              <w:top w:val="nil"/>
              <w:bottom w:val="single" w:sz="4" w:space="0" w:color="E0301E" w:themeColor="accent6"/>
            </w:tcBorders>
            <w:noWrap/>
            <w:vAlign w:val="bottom"/>
          </w:tcPr>
          <w:p w14:paraId="7F2BF69A" w14:textId="052A9F3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127,000</w:t>
            </w:r>
          </w:p>
        </w:tc>
        <w:tc>
          <w:tcPr>
            <w:tcW w:w="1606" w:type="dxa"/>
            <w:tcBorders>
              <w:top w:val="nil"/>
              <w:bottom w:val="single" w:sz="4" w:space="0" w:color="E0301E" w:themeColor="accent6"/>
            </w:tcBorders>
            <w:noWrap/>
            <w:vAlign w:val="bottom"/>
          </w:tcPr>
          <w:p w14:paraId="54A06CD4" w14:textId="3DD990C4"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95%</w:t>
            </w:r>
          </w:p>
        </w:tc>
        <w:tc>
          <w:tcPr>
            <w:tcW w:w="1606" w:type="dxa"/>
            <w:tcBorders>
              <w:top w:val="nil"/>
              <w:bottom w:val="single" w:sz="4" w:space="0" w:color="E0301E" w:themeColor="accent6"/>
            </w:tcBorders>
            <w:noWrap/>
            <w:vAlign w:val="bottom"/>
          </w:tcPr>
          <w:p w14:paraId="297BD6A9" w14:textId="5F43CA31"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179,000</w:t>
            </w:r>
          </w:p>
        </w:tc>
        <w:tc>
          <w:tcPr>
            <w:tcW w:w="1607" w:type="dxa"/>
            <w:tcBorders>
              <w:top w:val="nil"/>
              <w:bottom w:val="single" w:sz="4" w:space="0" w:color="E0301E" w:themeColor="accent6"/>
              <w:right w:val="single" w:sz="4" w:space="0" w:color="E0301E" w:themeColor="accent6"/>
            </w:tcBorders>
            <w:vAlign w:val="bottom"/>
          </w:tcPr>
          <w:p w14:paraId="0EE6DC7A" w14:textId="46B0B3A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97%</w:t>
            </w:r>
          </w:p>
        </w:tc>
      </w:tr>
      <w:tr w:rsidR="0069611A" w:rsidRPr="006114CC" w14:paraId="4C68EB7A"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vAlign w:val="bottom"/>
          </w:tcPr>
          <w:p w14:paraId="56630E86" w14:textId="0B6E8AF4" w:rsidR="0069611A" w:rsidRPr="009637CC" w:rsidRDefault="0069611A" w:rsidP="0069611A">
            <w:pPr>
              <w:pStyle w:val="TableTextSmall"/>
              <w:keepNext/>
              <w:rPr>
                <w:rFonts w:ascii="Arial" w:hAnsi="Arial"/>
                <w:i/>
                <w:iCs/>
                <w:color w:val="595959"/>
                <w:szCs w:val="16"/>
              </w:rPr>
            </w:pPr>
            <w:r w:rsidRPr="009637CC">
              <w:rPr>
                <w:rFonts w:ascii="Arial" w:hAnsi="Arial"/>
                <w:color w:val="595959"/>
                <w:szCs w:val="16"/>
              </w:rPr>
              <w:t>Class before entering '9 Non IS Other'</w:t>
            </w:r>
          </w:p>
        </w:tc>
        <w:tc>
          <w:tcPr>
            <w:tcW w:w="1134" w:type="dxa"/>
            <w:tcBorders>
              <w:bottom w:val="nil"/>
            </w:tcBorders>
            <w:noWrap/>
            <w:vAlign w:val="bottom"/>
          </w:tcPr>
          <w:p w14:paraId="3130FBD4" w14:textId="2AD562F9"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3F39C2FE" w14:textId="5742A40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25FA4EFC" w14:textId="329A8106"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0EB4E2AE" w14:textId="6C5481A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13085FE1"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701E7EFC" w14:textId="61868CC8" w:rsidR="0069611A" w:rsidRPr="009637CC" w:rsidRDefault="0069611A" w:rsidP="0069611A">
            <w:pPr>
              <w:pStyle w:val="TableTextSmall"/>
              <w:keepNext/>
              <w:rPr>
                <w:rFonts w:ascii="Arial" w:hAnsi="Arial"/>
                <w:b w:val="0"/>
                <w:i/>
                <w:iCs/>
                <w:color w:val="595959"/>
                <w:szCs w:val="16"/>
              </w:rPr>
            </w:pPr>
            <w:r w:rsidRPr="009637CC">
              <w:rPr>
                <w:rFonts w:ascii="Arial" w:hAnsi="Arial"/>
                <w:i/>
                <w:iCs/>
                <w:color w:val="595959"/>
                <w:szCs w:val="16"/>
              </w:rPr>
              <w:t xml:space="preserve">    - Income support</w:t>
            </w:r>
          </w:p>
        </w:tc>
        <w:tc>
          <w:tcPr>
            <w:tcW w:w="1134" w:type="dxa"/>
            <w:tcBorders>
              <w:top w:val="nil"/>
              <w:bottom w:val="nil"/>
            </w:tcBorders>
            <w:noWrap/>
            <w:vAlign w:val="bottom"/>
          </w:tcPr>
          <w:p w14:paraId="5CFA7751" w14:textId="01D3BA9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3,000</w:t>
            </w:r>
          </w:p>
        </w:tc>
        <w:tc>
          <w:tcPr>
            <w:tcW w:w="1606" w:type="dxa"/>
            <w:tcBorders>
              <w:top w:val="nil"/>
              <w:bottom w:val="nil"/>
            </w:tcBorders>
            <w:noWrap/>
            <w:vAlign w:val="bottom"/>
          </w:tcPr>
          <w:p w14:paraId="0FC03C50" w14:textId="32A8E674"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w:t>
            </w:r>
          </w:p>
        </w:tc>
        <w:tc>
          <w:tcPr>
            <w:tcW w:w="1606" w:type="dxa"/>
            <w:tcBorders>
              <w:top w:val="nil"/>
              <w:bottom w:val="nil"/>
            </w:tcBorders>
            <w:noWrap/>
            <w:vAlign w:val="bottom"/>
          </w:tcPr>
          <w:p w14:paraId="5CD69364" w14:textId="03E83508"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227,000</w:t>
            </w:r>
          </w:p>
        </w:tc>
        <w:tc>
          <w:tcPr>
            <w:tcW w:w="1607" w:type="dxa"/>
            <w:tcBorders>
              <w:top w:val="nil"/>
              <w:bottom w:val="nil"/>
              <w:right w:val="single" w:sz="4" w:space="0" w:color="E0301E" w:themeColor="accent6"/>
            </w:tcBorders>
            <w:vAlign w:val="bottom"/>
          </w:tcPr>
          <w:p w14:paraId="2EE1445D" w14:textId="7E472BF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123%</w:t>
            </w:r>
          </w:p>
        </w:tc>
      </w:tr>
      <w:tr w:rsidR="0069611A" w:rsidRPr="006114CC" w14:paraId="52AB4F8D"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vAlign w:val="bottom"/>
          </w:tcPr>
          <w:p w14:paraId="43530824" w14:textId="18AD8C69" w:rsidR="0069611A" w:rsidRPr="009637CC" w:rsidRDefault="0069611A" w:rsidP="0069611A">
            <w:pPr>
              <w:pStyle w:val="TableTextSmall"/>
              <w:keepNext/>
              <w:rPr>
                <w:rFonts w:ascii="Arial" w:hAnsi="Arial"/>
                <w:b w:val="0"/>
                <w:i/>
                <w:iCs/>
                <w:color w:val="595959"/>
                <w:szCs w:val="16"/>
              </w:rPr>
            </w:pPr>
            <w:r w:rsidRPr="009637CC">
              <w:rPr>
                <w:rFonts w:ascii="Arial" w:hAnsi="Arial"/>
                <w:i/>
                <w:iCs/>
                <w:color w:val="595959"/>
                <w:szCs w:val="16"/>
              </w:rPr>
              <w:t xml:space="preserve">    - Non income support</w:t>
            </w:r>
          </w:p>
        </w:tc>
        <w:tc>
          <w:tcPr>
            <w:tcW w:w="1134" w:type="dxa"/>
            <w:tcBorders>
              <w:top w:val="nil"/>
              <w:bottom w:val="nil"/>
            </w:tcBorders>
            <w:noWrap/>
            <w:vAlign w:val="bottom"/>
          </w:tcPr>
          <w:p w14:paraId="636C18E7" w14:textId="2283599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19,000</w:t>
            </w:r>
          </w:p>
        </w:tc>
        <w:tc>
          <w:tcPr>
            <w:tcW w:w="1606" w:type="dxa"/>
            <w:tcBorders>
              <w:top w:val="nil"/>
              <w:bottom w:val="nil"/>
            </w:tcBorders>
            <w:noWrap/>
            <w:vAlign w:val="bottom"/>
          </w:tcPr>
          <w:p w14:paraId="45044F3A" w14:textId="170A3EB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14%</w:t>
            </w:r>
          </w:p>
        </w:tc>
        <w:tc>
          <w:tcPr>
            <w:tcW w:w="1606" w:type="dxa"/>
            <w:tcBorders>
              <w:top w:val="nil"/>
              <w:bottom w:val="nil"/>
            </w:tcBorders>
            <w:noWrap/>
            <w:vAlign w:val="bottom"/>
          </w:tcPr>
          <w:p w14:paraId="516040D5" w14:textId="0B6E046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178,000</w:t>
            </w:r>
          </w:p>
        </w:tc>
        <w:tc>
          <w:tcPr>
            <w:tcW w:w="1607" w:type="dxa"/>
            <w:tcBorders>
              <w:top w:val="nil"/>
              <w:bottom w:val="nil"/>
              <w:right w:val="single" w:sz="4" w:space="0" w:color="E0301E" w:themeColor="accent6"/>
            </w:tcBorders>
            <w:vAlign w:val="bottom"/>
          </w:tcPr>
          <w:p w14:paraId="74A40045" w14:textId="16AB0E3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97%</w:t>
            </w:r>
          </w:p>
        </w:tc>
      </w:tr>
      <w:tr w:rsidR="0069611A" w:rsidRPr="006114CC" w14:paraId="42F64E13"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vAlign w:val="bottom"/>
          </w:tcPr>
          <w:p w14:paraId="1117B110" w14:textId="6B6CCB8A" w:rsidR="0069611A" w:rsidRPr="009637CC" w:rsidRDefault="0069611A" w:rsidP="0069611A">
            <w:pPr>
              <w:pStyle w:val="TableTextSmall"/>
              <w:keepNext/>
              <w:rPr>
                <w:rFonts w:ascii="Arial" w:hAnsi="Arial"/>
                <w:b w:val="0"/>
                <w:i/>
                <w:iCs/>
                <w:color w:val="595959"/>
                <w:szCs w:val="16"/>
              </w:rPr>
            </w:pPr>
            <w:r w:rsidRPr="009637CC">
              <w:rPr>
                <w:rFonts w:ascii="Arial" w:hAnsi="Arial"/>
                <w:i/>
                <w:iCs/>
                <w:color w:val="595959"/>
                <w:szCs w:val="16"/>
              </w:rPr>
              <w:t xml:space="preserve">    - Previous client/non client</w:t>
            </w:r>
          </w:p>
        </w:tc>
        <w:tc>
          <w:tcPr>
            <w:tcW w:w="1134" w:type="dxa"/>
            <w:tcBorders>
              <w:top w:val="nil"/>
              <w:bottom w:val="single" w:sz="4" w:space="0" w:color="E0301E" w:themeColor="accent6"/>
            </w:tcBorders>
            <w:noWrap/>
            <w:vAlign w:val="bottom"/>
          </w:tcPr>
          <w:p w14:paraId="54F0684F" w14:textId="16212BF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111,000</w:t>
            </w:r>
          </w:p>
        </w:tc>
        <w:tc>
          <w:tcPr>
            <w:tcW w:w="1606" w:type="dxa"/>
            <w:tcBorders>
              <w:top w:val="nil"/>
              <w:bottom w:val="single" w:sz="4" w:space="0" w:color="E0301E" w:themeColor="accent6"/>
            </w:tcBorders>
            <w:noWrap/>
            <w:vAlign w:val="bottom"/>
          </w:tcPr>
          <w:p w14:paraId="25DE9311" w14:textId="76A9B92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84%</w:t>
            </w:r>
          </w:p>
        </w:tc>
        <w:tc>
          <w:tcPr>
            <w:tcW w:w="1606" w:type="dxa"/>
            <w:tcBorders>
              <w:top w:val="nil"/>
              <w:bottom w:val="single" w:sz="4" w:space="0" w:color="E0301E" w:themeColor="accent6"/>
            </w:tcBorders>
            <w:noWrap/>
            <w:vAlign w:val="bottom"/>
          </w:tcPr>
          <w:p w14:paraId="66BCAA05" w14:textId="3B4D8CC1"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184,000</w:t>
            </w:r>
          </w:p>
        </w:tc>
        <w:tc>
          <w:tcPr>
            <w:tcW w:w="1607" w:type="dxa"/>
            <w:tcBorders>
              <w:top w:val="nil"/>
              <w:bottom w:val="single" w:sz="4" w:space="0" w:color="E0301E" w:themeColor="accent6"/>
              <w:right w:val="single" w:sz="4" w:space="0" w:color="E0301E" w:themeColor="accent6"/>
            </w:tcBorders>
            <w:vAlign w:val="bottom"/>
          </w:tcPr>
          <w:p w14:paraId="6ED38085" w14:textId="291D9F1B"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100%</w:t>
            </w:r>
          </w:p>
        </w:tc>
      </w:tr>
    </w:tbl>
    <w:p w14:paraId="46AB24BA" w14:textId="0C19E72E" w:rsidR="00D97824" w:rsidRDefault="00D97824" w:rsidP="00D97824">
      <w:pPr>
        <w:pStyle w:val="PwCNormal"/>
        <w:numPr>
          <w:ilvl w:val="0"/>
          <w:numId w:val="0"/>
        </w:numPr>
      </w:pPr>
      <w:r>
        <w:t>From the table above we can see that for current Non IS Other recipient</w:t>
      </w:r>
      <w:r w:rsidR="001D5C14">
        <w:t>s in this age range</w:t>
      </w:r>
      <w:r>
        <w:t>:</w:t>
      </w:r>
    </w:p>
    <w:p w14:paraId="2EACC971" w14:textId="77777777" w:rsidR="00D97824" w:rsidRDefault="00D97824" w:rsidP="00D97824">
      <w:pPr>
        <w:pStyle w:val="ListBullet"/>
      </w:pPr>
      <w:r>
        <w:t xml:space="preserve">Those with </w:t>
      </w:r>
      <w:r>
        <w:rPr>
          <w:b/>
        </w:rPr>
        <w:t>children</w:t>
      </w:r>
      <w:r>
        <w:t xml:space="preserve"> have a higher average lifetime cost compared to those who don’t;</w:t>
      </w:r>
    </w:p>
    <w:p w14:paraId="35B8B923" w14:textId="77777777" w:rsidR="00D97824" w:rsidRDefault="00D97824" w:rsidP="00D97824">
      <w:pPr>
        <w:pStyle w:val="ListBullet"/>
      </w:pPr>
      <w:r>
        <w:t xml:space="preserve">Those with </w:t>
      </w:r>
      <w:r w:rsidRPr="009A41C2">
        <w:rPr>
          <w:b/>
        </w:rPr>
        <w:t>newborn</w:t>
      </w:r>
      <w:r>
        <w:rPr>
          <w:b/>
        </w:rPr>
        <w:t xml:space="preserve"> children </w:t>
      </w:r>
      <w:r>
        <w:t>have a higher average lifetime cost;</w:t>
      </w:r>
    </w:p>
    <w:p w14:paraId="0AA33954" w14:textId="77777777" w:rsidR="00D97824" w:rsidRDefault="00D97824" w:rsidP="00D97824">
      <w:pPr>
        <w:pStyle w:val="ListBullet"/>
      </w:pPr>
      <w:r w:rsidRPr="009A41C2">
        <w:rPr>
          <w:b/>
        </w:rPr>
        <w:t>Single welfare recipients</w:t>
      </w:r>
      <w:r>
        <w:t xml:space="preserve"> have a higher average lifetime cost compared to partnered welfare recipients;</w:t>
      </w:r>
    </w:p>
    <w:p w14:paraId="23BB2551" w14:textId="057DB6CC" w:rsidR="00D97824" w:rsidRPr="009F29A7" w:rsidRDefault="00D97824" w:rsidP="00D97824">
      <w:pPr>
        <w:pStyle w:val="PwCNormal"/>
      </w:pPr>
      <w:r>
        <w:t>Whilst</w:t>
      </w:r>
      <w:r w:rsidR="00847DA5">
        <w:t xml:space="preserve"> the</w:t>
      </w:r>
      <w:r>
        <w:t xml:space="preserve"> majority of those currently receiving Non IS Other welfare payments weren’t receiving welfare payments previously, the small proportion that were </w:t>
      </w:r>
      <w:r w:rsidRPr="009A41C2">
        <w:rPr>
          <w:b/>
        </w:rPr>
        <w:t>previously receiving income support payments</w:t>
      </w:r>
      <w:r>
        <w:t xml:space="preserve"> have a higher average lifetime cost.</w:t>
      </w:r>
    </w:p>
    <w:p w14:paraId="30E7BD20" w14:textId="1CB3A98D" w:rsidR="009B2D09" w:rsidRPr="00BA7D82" w:rsidRDefault="009B2D09" w:rsidP="009B2D09">
      <w:pPr>
        <w:pStyle w:val="Minorheading"/>
      </w:pPr>
      <w:r w:rsidRPr="00BA7D82">
        <w:t xml:space="preserve">Change in lifetime costs since the </w:t>
      </w:r>
      <w:r w:rsidR="001E1EB8" w:rsidRPr="00BA7D82">
        <w:t>2016</w:t>
      </w:r>
      <w:r w:rsidRPr="00BA7D82">
        <w:t xml:space="preserve"> valuation</w:t>
      </w:r>
    </w:p>
    <w:p w14:paraId="5553C0B5" w14:textId="5078D312" w:rsidR="00372F5B" w:rsidRPr="00BA7D82" w:rsidRDefault="00372F5B" w:rsidP="00372F5B">
      <w:pPr>
        <w:pStyle w:val="PwCNormal"/>
        <w:numPr>
          <w:ilvl w:val="0"/>
          <w:numId w:val="0"/>
        </w:numPr>
      </w:pPr>
      <w:r w:rsidRPr="00BA7D82">
        <w:t xml:space="preserve">The lifetime cost for the people in this class </w:t>
      </w:r>
      <w:r w:rsidR="00B642B1">
        <w:t>is</w:t>
      </w:r>
      <w:r w:rsidRPr="00BA7D82">
        <w:t xml:space="preserve"> $72bn</w:t>
      </w:r>
      <w:r w:rsidR="00B642B1">
        <w:t>,</w:t>
      </w:r>
      <w:r w:rsidRPr="00BA7D82">
        <w:t xml:space="preserve"> a decrease of $2bn (-3.1%) compared to the 2016 valuation. This was mainly driven by a decrease in the average cost, offset by an increase in the number of people in the class:</w:t>
      </w:r>
    </w:p>
    <w:p w14:paraId="0914BDDE" w14:textId="15E6420F" w:rsidR="00372F5B" w:rsidRPr="00BA7D82" w:rsidRDefault="00372F5B" w:rsidP="002757B8">
      <w:pPr>
        <w:pStyle w:val="ListBullet"/>
      </w:pPr>
      <w:r w:rsidRPr="00BA7D82">
        <w:t xml:space="preserve">The number of people </w:t>
      </w:r>
      <w:r w:rsidR="00A64D11">
        <w:t>in this class has increased by 2</w:t>
      </w:r>
      <w:r w:rsidRPr="00BA7D82">
        <w:t>.</w:t>
      </w:r>
      <w:r w:rsidR="00A64D11">
        <w:t>5</w:t>
      </w:r>
      <w:r w:rsidRPr="00BA7D82">
        <w:t xml:space="preserve">% since the previous valuation. This is mainly driven by </w:t>
      </w:r>
      <w:r w:rsidR="001D5C14">
        <w:t xml:space="preserve">an increase </w:t>
      </w:r>
      <w:r w:rsidRPr="00BA7D82">
        <w:t>in people entering class 9 above pension age</w:t>
      </w:r>
      <w:r w:rsidR="000131CD">
        <w:t xml:space="preserve">. This is likely to be a reflection of population demography as well as a positive behavioural change if some people have managed their affairs </w:t>
      </w:r>
      <w:r w:rsidRPr="00BA7D82">
        <w:t xml:space="preserve">in order to receive the </w:t>
      </w:r>
      <w:r w:rsidR="000131CD">
        <w:t>E</w:t>
      </w:r>
      <w:r w:rsidRPr="00BA7D82">
        <w:t xml:space="preserve">nergy </w:t>
      </w:r>
      <w:r w:rsidR="000131CD">
        <w:t>S</w:t>
      </w:r>
      <w:r w:rsidRPr="00BA7D82">
        <w:t xml:space="preserve">upplement before the </w:t>
      </w:r>
      <w:r w:rsidR="000131CD">
        <w:t>E</w:t>
      </w:r>
      <w:r w:rsidRPr="00BA7D82">
        <w:t xml:space="preserve">nergy </w:t>
      </w:r>
      <w:r w:rsidR="000131CD">
        <w:t>S</w:t>
      </w:r>
      <w:r w:rsidRPr="00BA7D82">
        <w:t xml:space="preserve">upplement was closed to new recipients of the Seniors’ Health Card (more information on this policy change is available </w:t>
      </w:r>
      <w:r w:rsidRPr="008D5472">
        <w:t xml:space="preserve">in </w:t>
      </w:r>
      <w:r w:rsidR="00491DA0">
        <w:t>s</w:t>
      </w:r>
      <w:r w:rsidR="008D5472" w:rsidRPr="008D5472">
        <w:t xml:space="preserve">ection </w:t>
      </w:r>
      <w:r w:rsidR="008D5472" w:rsidRPr="008D5472">
        <w:fldChar w:fldCharType="begin"/>
      </w:r>
      <w:r w:rsidR="008D5472" w:rsidRPr="008D5472">
        <w:instrText xml:space="preserve"> REF _Ref498433213 \r \h </w:instrText>
      </w:r>
      <w:r w:rsidR="008D5472">
        <w:instrText xml:space="preserve"> \* MERGEFORMAT </w:instrText>
      </w:r>
      <w:r w:rsidR="008D5472" w:rsidRPr="008D5472">
        <w:fldChar w:fldCharType="separate"/>
      </w:r>
      <w:r w:rsidR="00C93C1A">
        <w:t>3.2</w:t>
      </w:r>
      <w:r w:rsidR="008D5472" w:rsidRPr="008D5472">
        <w:fldChar w:fldCharType="end"/>
      </w:r>
      <w:r w:rsidRPr="008D5472">
        <w:t>).</w:t>
      </w:r>
    </w:p>
    <w:p w14:paraId="7BC4A684" w14:textId="6E165063" w:rsidR="00372F5B" w:rsidRPr="00BA7D82" w:rsidRDefault="00372F5B" w:rsidP="002757B8">
      <w:pPr>
        <w:pStyle w:val="ListBullet"/>
      </w:pPr>
      <w:r w:rsidRPr="00BA7D82">
        <w:t xml:space="preserve">The </w:t>
      </w:r>
      <w:r w:rsidR="00A64D11">
        <w:t>average cost has decreased by $7</w:t>
      </w:r>
      <w:r w:rsidRPr="00BA7D82">
        <w:t>,000 (-</w:t>
      </w:r>
      <w:r w:rsidR="00A64D11">
        <w:t>5</w:t>
      </w:r>
      <w:r w:rsidRPr="00BA7D82">
        <w:t>.</w:t>
      </w:r>
      <w:r w:rsidR="00A64D11">
        <w:t>6</w:t>
      </w:r>
      <w:r w:rsidRPr="00BA7D82">
        <w:t>%) since the previous valuation. The following table provides a breakdown of the change in average lifetime cost by payment category.</w:t>
      </w:r>
    </w:p>
    <w:p w14:paraId="423510FC" w14:textId="3942219C" w:rsidR="00372F5B" w:rsidRPr="001D00E6" w:rsidRDefault="00372F5B" w:rsidP="00372F5B">
      <w:pPr>
        <w:pStyle w:val="Caption"/>
      </w:pPr>
      <w:r w:rsidRPr="00BA7D82">
        <w:lastRenderedPageBreak/>
        <w:t xml:space="preserve">Table </w:t>
      </w:r>
      <w:fldSimple w:instr=" SEQ Table \* ARABIC ">
        <w:r w:rsidR="00C93C1A">
          <w:rPr>
            <w:noProof/>
          </w:rPr>
          <w:t>48</w:t>
        </w:r>
      </w:fldSimple>
      <w:r w:rsidRPr="00BA7D82">
        <w:t>: Breakdown of change in average lifeti</w:t>
      </w:r>
      <w:r w:rsidRPr="001D00E6">
        <w:t xml:space="preserve">me cost for </w:t>
      </w:r>
      <w:r w:rsidR="00871E70">
        <w:t>c</w:t>
      </w:r>
      <w:r w:rsidRPr="001D00E6">
        <w:t>lass 9 by payment category</w:t>
      </w:r>
    </w:p>
    <w:tbl>
      <w:tblPr>
        <w:tblStyle w:val="ListTable3-Accent62"/>
        <w:tblW w:w="9498" w:type="dxa"/>
        <w:tblInd w:w="108" w:type="dxa"/>
        <w:tblLayout w:type="fixed"/>
        <w:tblCellMar>
          <w:left w:w="57" w:type="dxa"/>
          <w:right w:w="57" w:type="dxa"/>
        </w:tblCellMar>
        <w:tblLook w:val="04A0" w:firstRow="1" w:lastRow="0" w:firstColumn="1" w:lastColumn="0" w:noHBand="0" w:noVBand="1"/>
        <w:tblCaption w:val=" Breakdown of change in average lifetime cost for Class 9 by payment category"/>
        <w:tblDescription w:val="This table shows the breakdown of the total change in average lifetime cost for Class 9 into; change in people in class, change in inflation, policy changes and other changes. These are shown as rows in the table.&#10;&#10;The changes in lifetime cost are considered by relevant payment categories for Class 9; IS Non Age Pension, IS Age Pension, Non IS Family Supplements and Non IS Other Supplements. These are shown as columns in the table alongside a total change column.&#10;&#10;Further features of the data in this table are discussed in the accompanying text within the report.&#10;"/>
      </w:tblPr>
      <w:tblGrid>
        <w:gridCol w:w="3119"/>
        <w:gridCol w:w="1276"/>
        <w:gridCol w:w="1240"/>
        <w:gridCol w:w="1240"/>
        <w:gridCol w:w="1311"/>
        <w:gridCol w:w="1312"/>
      </w:tblGrid>
      <w:tr w:rsidR="00372F5B" w:rsidRPr="001D00E6" w14:paraId="61113B4D"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08D97748" w14:textId="77777777" w:rsidR="00372F5B" w:rsidRPr="001D00E6" w:rsidRDefault="00372F5B" w:rsidP="000131CD">
            <w:pPr>
              <w:pStyle w:val="TableTextSmall"/>
              <w:keepNext/>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19C1AF91" w14:textId="77777777" w:rsidR="00372F5B" w:rsidRPr="001D00E6" w:rsidRDefault="00372F5B" w:rsidP="000131CD">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40" w:type="dxa"/>
            <w:tcBorders>
              <w:left w:val="single" w:sz="4" w:space="0" w:color="FFFFFF" w:themeColor="background1"/>
              <w:right w:val="nil"/>
            </w:tcBorders>
          </w:tcPr>
          <w:p w14:paraId="3679202C" w14:textId="77777777" w:rsidR="00372F5B" w:rsidRPr="001D00E6" w:rsidRDefault="00372F5B" w:rsidP="000131CD">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1D00E6">
              <w:rPr>
                <w:rFonts w:asciiTheme="majorHAnsi" w:hAnsiTheme="majorHAnsi"/>
                <w:color w:val="FFFFFF" w:themeColor="background1"/>
              </w:rPr>
              <w:t>Income</w:t>
            </w:r>
          </w:p>
        </w:tc>
        <w:tc>
          <w:tcPr>
            <w:tcW w:w="1240" w:type="dxa"/>
            <w:tcBorders>
              <w:left w:val="nil"/>
              <w:right w:val="single" w:sz="4" w:space="0" w:color="FFFFFF" w:themeColor="background1"/>
            </w:tcBorders>
          </w:tcPr>
          <w:p w14:paraId="5FD4114C" w14:textId="77777777" w:rsidR="00372F5B" w:rsidRPr="001D00E6" w:rsidRDefault="00372F5B" w:rsidP="000131CD">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1D00E6">
              <w:rPr>
                <w:rFonts w:asciiTheme="majorHAnsi" w:hAnsiTheme="majorHAnsi"/>
                <w:color w:val="FFFFFF" w:themeColor="background1"/>
              </w:rPr>
              <w:t>Support</w:t>
            </w:r>
          </w:p>
        </w:tc>
        <w:tc>
          <w:tcPr>
            <w:tcW w:w="1311" w:type="dxa"/>
            <w:tcBorders>
              <w:left w:val="single" w:sz="4" w:space="0" w:color="FFFFFF" w:themeColor="background1"/>
              <w:right w:val="nil"/>
            </w:tcBorders>
          </w:tcPr>
          <w:p w14:paraId="65A87E3A" w14:textId="776A0BA4" w:rsidR="00372F5B" w:rsidRPr="001D00E6" w:rsidRDefault="005B3E7D" w:rsidP="000131CD">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Pr>
                <w:rFonts w:asciiTheme="majorHAnsi" w:hAnsiTheme="majorHAnsi"/>
                <w:color w:val="FFFFFF" w:themeColor="background1"/>
              </w:rPr>
              <w:t>Non Income</w:t>
            </w:r>
          </w:p>
        </w:tc>
        <w:tc>
          <w:tcPr>
            <w:tcW w:w="1312" w:type="dxa"/>
            <w:tcBorders>
              <w:left w:val="nil"/>
            </w:tcBorders>
          </w:tcPr>
          <w:p w14:paraId="0BFF6D50" w14:textId="77777777" w:rsidR="00372F5B" w:rsidRPr="001D00E6" w:rsidRDefault="00372F5B" w:rsidP="000131CD">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1D00E6">
              <w:rPr>
                <w:rFonts w:asciiTheme="majorHAnsi" w:hAnsiTheme="majorHAnsi"/>
                <w:color w:val="FFFFFF" w:themeColor="background1"/>
              </w:rPr>
              <w:t>Support</w:t>
            </w:r>
          </w:p>
        </w:tc>
      </w:tr>
      <w:tr w:rsidR="00372F5B" w:rsidRPr="001D00E6" w14:paraId="560B4BB4" w14:textId="77777777" w:rsidTr="009E7C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6D1CDD60" w14:textId="77777777" w:rsidR="00372F5B" w:rsidRPr="001D00E6" w:rsidRDefault="00372F5B" w:rsidP="000131CD">
            <w:pPr>
              <w:pStyle w:val="TableTextSmall"/>
              <w:keepNext/>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07659501" w14:textId="77777777" w:rsidR="00372F5B" w:rsidRPr="001D00E6" w:rsidRDefault="00372F5B" w:rsidP="000131CD">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1D00E6">
              <w:rPr>
                <w:rFonts w:asciiTheme="majorHAnsi" w:hAnsiTheme="majorHAnsi"/>
                <w:color w:val="FFFFFF" w:themeColor="background1"/>
              </w:rPr>
              <w:t>Total</w:t>
            </w:r>
          </w:p>
        </w:tc>
        <w:tc>
          <w:tcPr>
            <w:tcW w:w="1240" w:type="dxa"/>
            <w:tcBorders>
              <w:top w:val="single" w:sz="4" w:space="0" w:color="FFFFFF" w:themeColor="background1"/>
              <w:left w:val="single" w:sz="4" w:space="0" w:color="FFFFFF" w:themeColor="background1"/>
              <w:bottom w:val="single" w:sz="4" w:space="0" w:color="E0301E" w:themeColor="accent6"/>
            </w:tcBorders>
          </w:tcPr>
          <w:p w14:paraId="5F11F4D8" w14:textId="77777777" w:rsidR="00372F5B" w:rsidRPr="001D00E6" w:rsidRDefault="00372F5B" w:rsidP="000131CD">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1D00E6">
              <w:rPr>
                <w:rFonts w:asciiTheme="majorHAnsi" w:hAnsiTheme="majorHAnsi"/>
                <w:color w:val="FFFFFF" w:themeColor="background1"/>
              </w:rPr>
              <w:t>Non Age Pension</w:t>
            </w:r>
          </w:p>
        </w:tc>
        <w:tc>
          <w:tcPr>
            <w:tcW w:w="1240" w:type="dxa"/>
            <w:tcBorders>
              <w:top w:val="single" w:sz="4" w:space="0" w:color="FFFFFF" w:themeColor="background1"/>
              <w:bottom w:val="single" w:sz="4" w:space="0" w:color="E0301E" w:themeColor="accent6"/>
              <w:right w:val="single" w:sz="4" w:space="0" w:color="FFFFFF" w:themeColor="background1"/>
            </w:tcBorders>
          </w:tcPr>
          <w:p w14:paraId="4EEAE61F" w14:textId="77777777" w:rsidR="00372F5B" w:rsidRPr="001D00E6" w:rsidRDefault="00372F5B" w:rsidP="000131CD">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1D00E6">
              <w:rPr>
                <w:rFonts w:asciiTheme="majorHAnsi" w:hAnsiTheme="majorHAnsi"/>
                <w:color w:val="FFFFFF" w:themeColor="background1"/>
              </w:rPr>
              <w:t>Age Pension</w:t>
            </w:r>
          </w:p>
        </w:tc>
        <w:tc>
          <w:tcPr>
            <w:tcW w:w="1311" w:type="dxa"/>
            <w:tcBorders>
              <w:top w:val="single" w:sz="4" w:space="0" w:color="FFFFFF" w:themeColor="background1"/>
              <w:left w:val="single" w:sz="4" w:space="0" w:color="FFFFFF" w:themeColor="background1"/>
              <w:bottom w:val="single" w:sz="4" w:space="0" w:color="E0301E" w:themeColor="accent6"/>
            </w:tcBorders>
          </w:tcPr>
          <w:p w14:paraId="248B236E" w14:textId="77777777" w:rsidR="00372F5B" w:rsidRPr="001D00E6" w:rsidRDefault="00372F5B" w:rsidP="000131CD">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1D00E6">
              <w:rPr>
                <w:rFonts w:asciiTheme="majorHAnsi" w:hAnsiTheme="majorHAnsi"/>
                <w:color w:val="FFFFFF" w:themeColor="background1"/>
              </w:rPr>
              <w:t>Family Supplements</w:t>
            </w:r>
          </w:p>
        </w:tc>
        <w:tc>
          <w:tcPr>
            <w:tcW w:w="1312" w:type="dxa"/>
            <w:tcBorders>
              <w:top w:val="single" w:sz="4" w:space="0" w:color="FFFFFF" w:themeColor="background1"/>
              <w:bottom w:val="single" w:sz="4" w:space="0" w:color="E0301E" w:themeColor="accent6"/>
            </w:tcBorders>
          </w:tcPr>
          <w:p w14:paraId="08DB0995" w14:textId="77777777" w:rsidR="00372F5B" w:rsidRPr="001D00E6" w:rsidRDefault="00372F5B" w:rsidP="000131CD">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1D00E6">
              <w:rPr>
                <w:rFonts w:asciiTheme="majorHAnsi" w:hAnsiTheme="majorHAnsi"/>
                <w:color w:val="FFFFFF" w:themeColor="background1"/>
              </w:rPr>
              <w:t>Other Supplements</w:t>
            </w:r>
          </w:p>
        </w:tc>
      </w:tr>
      <w:tr w:rsidR="00AA1061" w:rsidRPr="001D00E6" w14:paraId="0145300C"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0A642989" w14:textId="77777777" w:rsidR="00AA1061" w:rsidRPr="001D00E6" w:rsidRDefault="00AA1061" w:rsidP="00AA1061">
            <w:pPr>
              <w:pStyle w:val="TableTextSmall"/>
              <w:keepNext/>
            </w:pPr>
            <w:r>
              <w:t>Jun-16</w:t>
            </w:r>
            <w:r w:rsidRPr="001D00E6">
              <w:t xml:space="preserve"> Total Lifetime Cost</w:t>
            </w:r>
          </w:p>
        </w:tc>
        <w:tc>
          <w:tcPr>
            <w:tcW w:w="1276" w:type="dxa"/>
            <w:tcBorders>
              <w:left w:val="single" w:sz="4" w:space="0" w:color="E0301E" w:themeColor="accent6"/>
              <w:bottom w:val="nil"/>
              <w:right w:val="single" w:sz="4" w:space="0" w:color="E0301E" w:themeColor="accent6"/>
            </w:tcBorders>
          </w:tcPr>
          <w:p w14:paraId="3F9A2AE3" w14:textId="3C7E1E85"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FF4487">
              <w:t>$74bn</w:t>
            </w:r>
          </w:p>
        </w:tc>
        <w:tc>
          <w:tcPr>
            <w:tcW w:w="1240" w:type="dxa"/>
            <w:tcBorders>
              <w:left w:val="single" w:sz="4" w:space="0" w:color="E0301E" w:themeColor="accent6"/>
              <w:bottom w:val="nil"/>
            </w:tcBorders>
            <w:shd w:val="clear" w:color="auto" w:fill="D9D9D9" w:themeFill="background1" w:themeFillShade="D9"/>
          </w:tcPr>
          <w:p w14:paraId="186C1032" w14:textId="77777777" w:rsidR="00AA1061" w:rsidRPr="001D00E6"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240" w:type="dxa"/>
            <w:tcBorders>
              <w:bottom w:val="nil"/>
              <w:right w:val="nil"/>
            </w:tcBorders>
            <w:shd w:val="clear" w:color="auto" w:fill="D9D9D9" w:themeFill="background1" w:themeFillShade="D9"/>
          </w:tcPr>
          <w:p w14:paraId="04B61DD1" w14:textId="77777777" w:rsidR="00AA1061" w:rsidRPr="001D00E6"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311" w:type="dxa"/>
            <w:tcBorders>
              <w:left w:val="nil"/>
              <w:bottom w:val="nil"/>
            </w:tcBorders>
            <w:shd w:val="clear" w:color="auto" w:fill="D9D9D9" w:themeFill="background1" w:themeFillShade="D9"/>
          </w:tcPr>
          <w:p w14:paraId="59A2919F" w14:textId="77777777" w:rsidR="00AA1061" w:rsidRPr="001D00E6"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312" w:type="dxa"/>
            <w:tcBorders>
              <w:bottom w:val="nil"/>
            </w:tcBorders>
            <w:shd w:val="clear" w:color="auto" w:fill="D9D9D9" w:themeFill="background1" w:themeFillShade="D9"/>
          </w:tcPr>
          <w:p w14:paraId="4CB97187" w14:textId="77777777" w:rsidR="00AA1061" w:rsidRPr="001D00E6"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r>
      <w:tr w:rsidR="00AA1061" w:rsidRPr="001D00E6" w14:paraId="545CB546"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5650F454" w14:textId="77777777" w:rsidR="00AA1061" w:rsidRPr="001D00E6" w:rsidRDefault="00AA1061" w:rsidP="00AA1061">
            <w:pPr>
              <w:pStyle w:val="TableTextSmall"/>
              <w:keepNext/>
            </w:pPr>
            <w:r>
              <w:t>Jun-17</w:t>
            </w:r>
            <w:r w:rsidRPr="001D00E6">
              <w:t xml:space="preserve">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tcPr>
          <w:p w14:paraId="7ABA2EA7" w14:textId="4D65BBDE"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FF4487">
              <w:t>$72bn</w:t>
            </w:r>
          </w:p>
        </w:tc>
        <w:tc>
          <w:tcPr>
            <w:tcW w:w="1240" w:type="dxa"/>
            <w:tcBorders>
              <w:top w:val="nil"/>
              <w:left w:val="single" w:sz="4" w:space="0" w:color="E0301E" w:themeColor="accent6"/>
              <w:bottom w:val="nil"/>
            </w:tcBorders>
            <w:shd w:val="clear" w:color="auto" w:fill="D9D9D9" w:themeFill="background1" w:themeFillShade="D9"/>
          </w:tcPr>
          <w:p w14:paraId="539CB6CD" w14:textId="77777777" w:rsidR="00AA1061" w:rsidRPr="001D00E6"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tcPr>
          <w:p w14:paraId="3E1DB34F" w14:textId="77777777" w:rsidR="00AA1061" w:rsidRPr="001D00E6"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tcPr>
          <w:p w14:paraId="1474B990" w14:textId="77777777" w:rsidR="00AA1061" w:rsidRPr="001D00E6"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nil"/>
            </w:tcBorders>
            <w:shd w:val="clear" w:color="auto" w:fill="D9D9D9" w:themeFill="background1" w:themeFillShade="D9"/>
          </w:tcPr>
          <w:p w14:paraId="5CFF9750" w14:textId="77777777" w:rsidR="00AA1061" w:rsidRPr="001D00E6"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r>
      <w:tr w:rsidR="00AA1061" w:rsidRPr="001D00E6" w14:paraId="04B273E6"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03A316C6" w14:textId="77777777" w:rsidR="00AA1061" w:rsidRPr="001D00E6" w:rsidRDefault="00AA1061" w:rsidP="00AA1061">
            <w:pPr>
              <w:pStyle w:val="TableTextSmall"/>
              <w:keepNext/>
            </w:pPr>
            <w:r w:rsidRPr="001D00E6">
              <w:t>Change in Total Lifetime Cost</w:t>
            </w:r>
          </w:p>
        </w:tc>
        <w:tc>
          <w:tcPr>
            <w:tcW w:w="1276" w:type="dxa"/>
            <w:tcBorders>
              <w:left w:val="single" w:sz="4" w:space="0" w:color="E0301E" w:themeColor="accent6"/>
              <w:bottom w:val="nil"/>
              <w:right w:val="single" w:sz="4" w:space="0" w:color="E0301E" w:themeColor="accent6"/>
            </w:tcBorders>
            <w:tcMar>
              <w:left w:w="0" w:type="dxa"/>
              <w:right w:w="0" w:type="dxa"/>
            </w:tcMar>
          </w:tcPr>
          <w:p w14:paraId="22AD6354" w14:textId="52E50E89"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FF4487">
              <w:t>-$2bn (-3.1%)</w:t>
            </w:r>
          </w:p>
        </w:tc>
        <w:tc>
          <w:tcPr>
            <w:tcW w:w="1240" w:type="dxa"/>
            <w:tcBorders>
              <w:top w:val="nil"/>
              <w:left w:val="single" w:sz="4" w:space="0" w:color="E0301E" w:themeColor="accent6"/>
              <w:bottom w:val="nil"/>
            </w:tcBorders>
            <w:shd w:val="clear" w:color="auto" w:fill="D9D9D9" w:themeFill="background1" w:themeFillShade="D9"/>
          </w:tcPr>
          <w:p w14:paraId="70C8463C" w14:textId="77777777" w:rsidR="00AA1061" w:rsidRPr="001D00E6"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tcPr>
          <w:p w14:paraId="4E3B58E4" w14:textId="77777777" w:rsidR="00AA1061" w:rsidRPr="001D00E6"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tcPr>
          <w:p w14:paraId="55CE0EA6" w14:textId="77777777" w:rsidR="00AA1061" w:rsidRPr="001D00E6"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c>
          <w:tcPr>
            <w:tcW w:w="1312" w:type="dxa"/>
            <w:tcBorders>
              <w:top w:val="nil"/>
              <w:bottom w:val="nil"/>
            </w:tcBorders>
            <w:shd w:val="clear" w:color="auto" w:fill="D9D9D9" w:themeFill="background1" w:themeFillShade="D9"/>
          </w:tcPr>
          <w:p w14:paraId="5D14DEC1" w14:textId="77777777" w:rsidR="00AA1061" w:rsidRPr="001D00E6" w:rsidRDefault="00AA1061" w:rsidP="00AA1061">
            <w:pPr>
              <w:pStyle w:val="TableTextSmall"/>
              <w:keepNext/>
              <w:cnfStyle w:val="000000100000" w:firstRow="0" w:lastRow="0" w:firstColumn="0" w:lastColumn="0" w:oddVBand="0" w:evenVBand="0" w:oddHBand="1" w:evenHBand="0" w:firstRowFirstColumn="0" w:firstRowLastColumn="0" w:lastRowFirstColumn="0" w:lastRowLastColumn="0"/>
            </w:pPr>
          </w:p>
        </w:tc>
      </w:tr>
      <w:tr w:rsidR="00AA1061" w:rsidRPr="001D00E6" w14:paraId="6E60EE45"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4D14F39A" w14:textId="77777777" w:rsidR="00AA1061" w:rsidRPr="001D00E6" w:rsidRDefault="00AA1061" w:rsidP="00AA1061">
            <w:pPr>
              <w:pStyle w:val="TableTextSmall"/>
              <w:keepNext/>
            </w:pPr>
            <w:r w:rsidRPr="001D00E6">
              <w:t>Change due to P</w:t>
            </w:r>
            <w:r>
              <w:t>eople in Class</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tcPr>
          <w:p w14:paraId="37D24BDD" w14:textId="386B8446"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FF4487">
              <w:t>+2.5%</w:t>
            </w:r>
          </w:p>
        </w:tc>
        <w:tc>
          <w:tcPr>
            <w:tcW w:w="1240" w:type="dxa"/>
            <w:tcBorders>
              <w:top w:val="nil"/>
              <w:left w:val="single" w:sz="4" w:space="0" w:color="E0301E" w:themeColor="accent6"/>
              <w:bottom w:val="single" w:sz="4" w:space="0" w:color="E0301E" w:themeColor="accent6"/>
            </w:tcBorders>
            <w:shd w:val="clear" w:color="auto" w:fill="D9D9D9" w:themeFill="background1" w:themeFillShade="D9"/>
          </w:tcPr>
          <w:p w14:paraId="19B52CDD" w14:textId="77777777" w:rsidR="00AA1061" w:rsidRPr="001D00E6"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single" w:sz="4" w:space="0" w:color="E0301E" w:themeColor="accent6"/>
              <w:right w:val="nil"/>
            </w:tcBorders>
            <w:shd w:val="clear" w:color="auto" w:fill="D9D9D9" w:themeFill="background1" w:themeFillShade="D9"/>
          </w:tcPr>
          <w:p w14:paraId="5686CA03" w14:textId="77777777" w:rsidR="00AA1061" w:rsidRPr="001D00E6"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single" w:sz="4" w:space="0" w:color="E0301E" w:themeColor="accent6"/>
            </w:tcBorders>
            <w:shd w:val="clear" w:color="auto" w:fill="D9D9D9" w:themeFill="background1" w:themeFillShade="D9"/>
          </w:tcPr>
          <w:p w14:paraId="0C00C9FB" w14:textId="77777777" w:rsidR="00AA1061" w:rsidRPr="001D00E6"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single" w:sz="4" w:space="0" w:color="E0301E" w:themeColor="accent6"/>
            </w:tcBorders>
            <w:shd w:val="clear" w:color="auto" w:fill="D9D9D9" w:themeFill="background1" w:themeFillShade="D9"/>
          </w:tcPr>
          <w:p w14:paraId="15516373" w14:textId="77777777" w:rsidR="00AA1061" w:rsidRPr="001D00E6" w:rsidRDefault="00AA1061" w:rsidP="00AA1061">
            <w:pPr>
              <w:pStyle w:val="TableTextSmall"/>
              <w:keepNext/>
              <w:cnfStyle w:val="000000000000" w:firstRow="0" w:lastRow="0" w:firstColumn="0" w:lastColumn="0" w:oddVBand="0" w:evenVBand="0" w:oddHBand="0" w:evenHBand="0" w:firstRowFirstColumn="0" w:firstRowLastColumn="0" w:lastRowFirstColumn="0" w:lastRowLastColumn="0"/>
            </w:pPr>
          </w:p>
        </w:tc>
      </w:tr>
      <w:tr w:rsidR="00AA1061" w:rsidRPr="001D00E6" w14:paraId="006A693D"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17A1AF73" w14:textId="77777777" w:rsidR="00AA1061" w:rsidRPr="001D00E6" w:rsidRDefault="00AA1061" w:rsidP="00AA1061">
            <w:pPr>
              <w:pStyle w:val="TableTextSmall"/>
              <w:keepNext/>
            </w:pPr>
            <w:r w:rsidRPr="001D00E6">
              <w:t>Change due to Average Lifetime Cost</w:t>
            </w:r>
          </w:p>
        </w:tc>
        <w:tc>
          <w:tcPr>
            <w:tcW w:w="1276" w:type="dxa"/>
            <w:tcBorders>
              <w:left w:val="single" w:sz="4" w:space="0" w:color="E0301E" w:themeColor="accent6"/>
              <w:bottom w:val="nil"/>
              <w:right w:val="single" w:sz="4" w:space="0" w:color="E0301E" w:themeColor="accent6"/>
            </w:tcBorders>
          </w:tcPr>
          <w:p w14:paraId="30D49549" w14:textId="0FBE377E"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FF4487">
              <w:t>-$7k (-5.6%)</w:t>
            </w:r>
          </w:p>
        </w:tc>
        <w:tc>
          <w:tcPr>
            <w:tcW w:w="1240" w:type="dxa"/>
            <w:tcBorders>
              <w:left w:val="single" w:sz="4" w:space="0" w:color="E0301E" w:themeColor="accent6"/>
              <w:bottom w:val="nil"/>
            </w:tcBorders>
          </w:tcPr>
          <w:p w14:paraId="666FE86F" w14:textId="0F6389E2"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bottom w:val="nil"/>
              <w:right w:val="dashed" w:sz="4" w:space="0" w:color="E0301E" w:themeColor="accent6"/>
            </w:tcBorders>
          </w:tcPr>
          <w:p w14:paraId="6E34DF23" w14:textId="78AD63E9"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FF4487">
              <w:t>-$6k</w:t>
            </w:r>
          </w:p>
        </w:tc>
        <w:tc>
          <w:tcPr>
            <w:tcW w:w="1311" w:type="dxa"/>
            <w:tcBorders>
              <w:left w:val="dashed" w:sz="4" w:space="0" w:color="E0301E" w:themeColor="accent6"/>
              <w:bottom w:val="nil"/>
            </w:tcBorders>
          </w:tcPr>
          <w:p w14:paraId="7D61225E" w14:textId="2EDEE66B"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bottom w:val="nil"/>
            </w:tcBorders>
          </w:tcPr>
          <w:p w14:paraId="12707CA4" w14:textId="343F5096" w:rsidR="00AA1061"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t>-$1</w:t>
            </w:r>
            <w:r w:rsidRPr="00FF4487">
              <w:t>k</w:t>
            </w:r>
          </w:p>
        </w:tc>
      </w:tr>
      <w:tr w:rsidR="00AA1061" w:rsidRPr="001D00E6" w14:paraId="79353BD4"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0D53EB7B" w14:textId="77777777" w:rsidR="00AA1061" w:rsidRPr="001D00E6" w:rsidRDefault="00AA1061" w:rsidP="00AA1061">
            <w:pPr>
              <w:pStyle w:val="TableTextSmall"/>
              <w:keepNext/>
              <w:rPr>
                <w:b w:val="0"/>
              </w:rPr>
            </w:pPr>
            <w:r w:rsidRPr="002404D0">
              <w:t>- Impact of change in inflation</w:t>
            </w:r>
          </w:p>
        </w:tc>
        <w:tc>
          <w:tcPr>
            <w:tcW w:w="1276" w:type="dxa"/>
            <w:tcBorders>
              <w:top w:val="nil"/>
              <w:left w:val="single" w:sz="4" w:space="0" w:color="E0301E" w:themeColor="accent6"/>
              <w:bottom w:val="nil"/>
              <w:right w:val="single" w:sz="4" w:space="0" w:color="E0301E" w:themeColor="accent6"/>
            </w:tcBorders>
          </w:tcPr>
          <w:p w14:paraId="677D8880" w14:textId="7C034934"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FF4487">
              <w:t>+$3k</w:t>
            </w:r>
          </w:p>
        </w:tc>
        <w:tc>
          <w:tcPr>
            <w:tcW w:w="1240" w:type="dxa"/>
            <w:tcBorders>
              <w:top w:val="nil"/>
              <w:left w:val="single" w:sz="4" w:space="0" w:color="E0301E" w:themeColor="accent6"/>
              <w:bottom w:val="nil"/>
            </w:tcBorders>
          </w:tcPr>
          <w:p w14:paraId="55EA9265" w14:textId="251C515E"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top w:val="nil"/>
              <w:bottom w:val="nil"/>
              <w:right w:val="dashed" w:sz="4" w:space="0" w:color="E0301E" w:themeColor="accent6"/>
            </w:tcBorders>
          </w:tcPr>
          <w:p w14:paraId="22FF0077" w14:textId="4A6A5831"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FF4487">
              <w:t>+$3k</w:t>
            </w:r>
          </w:p>
        </w:tc>
        <w:tc>
          <w:tcPr>
            <w:tcW w:w="1311" w:type="dxa"/>
            <w:tcBorders>
              <w:top w:val="nil"/>
              <w:left w:val="dashed" w:sz="4" w:space="0" w:color="E0301E" w:themeColor="accent6"/>
              <w:bottom w:val="nil"/>
            </w:tcBorders>
          </w:tcPr>
          <w:p w14:paraId="2BC18B8E" w14:textId="6CC62FDB"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top w:val="nil"/>
              <w:bottom w:val="nil"/>
            </w:tcBorders>
          </w:tcPr>
          <w:p w14:paraId="3B139483" w14:textId="0A26DF85"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r>
      <w:tr w:rsidR="00F8132F" w:rsidRPr="001D00E6" w14:paraId="0CBD6CF0" w14:textId="77777777" w:rsidTr="009E7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0A4536D8" w14:textId="77777777" w:rsidR="00F8132F" w:rsidRPr="001D00E6" w:rsidRDefault="00F8132F" w:rsidP="00F8132F">
            <w:pPr>
              <w:pStyle w:val="TableTextSmall"/>
              <w:keepNext/>
              <w:rPr>
                <w:b w:val="0"/>
              </w:rPr>
            </w:pPr>
            <w:r w:rsidRPr="002404D0">
              <w:t>- Impact of policy changes</w:t>
            </w:r>
          </w:p>
        </w:tc>
        <w:tc>
          <w:tcPr>
            <w:tcW w:w="1276" w:type="dxa"/>
            <w:tcBorders>
              <w:top w:val="nil"/>
              <w:left w:val="single" w:sz="4" w:space="0" w:color="E0301E" w:themeColor="accent6"/>
              <w:bottom w:val="nil"/>
              <w:right w:val="single" w:sz="4" w:space="0" w:color="E0301E" w:themeColor="accent6"/>
            </w:tcBorders>
          </w:tcPr>
          <w:p w14:paraId="1C55B5A4" w14:textId="1059A7A5"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top w:val="nil"/>
              <w:left w:val="single" w:sz="4" w:space="0" w:color="E0301E" w:themeColor="accent6"/>
              <w:bottom w:val="nil"/>
            </w:tcBorders>
          </w:tcPr>
          <w:p w14:paraId="1F261EC2" w14:textId="23C9871C"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1A77B7">
              <w:rPr>
                <w:color w:val="A6A6A6" w:themeColor="background1" w:themeShade="A6"/>
              </w:rPr>
              <w:t>&lt;$1k</w:t>
            </w:r>
          </w:p>
        </w:tc>
        <w:tc>
          <w:tcPr>
            <w:tcW w:w="1240" w:type="dxa"/>
            <w:tcBorders>
              <w:top w:val="nil"/>
              <w:bottom w:val="nil"/>
              <w:right w:val="dashed" w:sz="4" w:space="0" w:color="E0301E" w:themeColor="accent6"/>
            </w:tcBorders>
          </w:tcPr>
          <w:p w14:paraId="1476CB93" w14:textId="0D917D74"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1A77B7">
              <w:rPr>
                <w:color w:val="A6A6A6" w:themeColor="background1" w:themeShade="A6"/>
              </w:rPr>
              <w:t>&lt;$1k</w:t>
            </w:r>
          </w:p>
        </w:tc>
        <w:tc>
          <w:tcPr>
            <w:tcW w:w="1311" w:type="dxa"/>
            <w:tcBorders>
              <w:top w:val="nil"/>
              <w:left w:val="dashed" w:sz="4" w:space="0" w:color="E0301E" w:themeColor="accent6"/>
              <w:bottom w:val="nil"/>
            </w:tcBorders>
          </w:tcPr>
          <w:p w14:paraId="2C6C8ABD" w14:textId="410495F0"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1A77B7">
              <w:rPr>
                <w:color w:val="A6A6A6" w:themeColor="background1" w:themeShade="A6"/>
              </w:rPr>
              <w:t>&lt;$1k</w:t>
            </w:r>
          </w:p>
        </w:tc>
        <w:tc>
          <w:tcPr>
            <w:tcW w:w="1312" w:type="dxa"/>
            <w:tcBorders>
              <w:top w:val="nil"/>
              <w:bottom w:val="nil"/>
            </w:tcBorders>
          </w:tcPr>
          <w:p w14:paraId="5B13414F" w14:textId="56D3CC69"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1A77B7">
              <w:rPr>
                <w:color w:val="A6A6A6" w:themeColor="background1" w:themeShade="A6"/>
              </w:rPr>
              <w:t>&lt;$1k</w:t>
            </w:r>
          </w:p>
        </w:tc>
      </w:tr>
      <w:tr w:rsidR="00AA1061" w:rsidRPr="009210D0" w14:paraId="0A100661" w14:textId="77777777" w:rsidTr="009E7C59">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5A08E29E" w14:textId="77777777" w:rsidR="00AA1061" w:rsidRPr="001D00E6" w:rsidRDefault="00AA1061" w:rsidP="00AA1061">
            <w:pPr>
              <w:pStyle w:val="TableTextSmall"/>
              <w:rPr>
                <w:b w:val="0"/>
              </w:rPr>
            </w:pPr>
            <w:r w:rsidRPr="002404D0">
              <w:t>- Impact of other changes</w:t>
            </w:r>
          </w:p>
        </w:tc>
        <w:tc>
          <w:tcPr>
            <w:tcW w:w="1276" w:type="dxa"/>
            <w:tcBorders>
              <w:top w:val="nil"/>
              <w:left w:val="single" w:sz="4" w:space="0" w:color="E0301E" w:themeColor="accent6"/>
              <w:right w:val="single" w:sz="4" w:space="0" w:color="E0301E" w:themeColor="accent6"/>
            </w:tcBorders>
          </w:tcPr>
          <w:p w14:paraId="21EAA06A" w14:textId="1655ADDE"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r w:rsidRPr="00FF4487">
              <w:t>-$11k</w:t>
            </w:r>
          </w:p>
        </w:tc>
        <w:tc>
          <w:tcPr>
            <w:tcW w:w="1240" w:type="dxa"/>
            <w:tcBorders>
              <w:top w:val="nil"/>
              <w:left w:val="single" w:sz="4" w:space="0" w:color="E0301E" w:themeColor="accent6"/>
            </w:tcBorders>
          </w:tcPr>
          <w:p w14:paraId="4118D441" w14:textId="6FFBC954"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top w:val="nil"/>
              <w:right w:val="dashed" w:sz="4" w:space="0" w:color="E0301E" w:themeColor="accent6"/>
            </w:tcBorders>
          </w:tcPr>
          <w:p w14:paraId="7093A1F8" w14:textId="296797C0"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r w:rsidRPr="00FF4487">
              <w:t>-$8k</w:t>
            </w:r>
          </w:p>
        </w:tc>
        <w:tc>
          <w:tcPr>
            <w:tcW w:w="1311" w:type="dxa"/>
            <w:tcBorders>
              <w:top w:val="nil"/>
              <w:left w:val="dashed" w:sz="4" w:space="0" w:color="E0301E" w:themeColor="accent6"/>
            </w:tcBorders>
          </w:tcPr>
          <w:p w14:paraId="6AB9978F" w14:textId="06355A86"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top w:val="nil"/>
            </w:tcBorders>
          </w:tcPr>
          <w:p w14:paraId="6CF83B83" w14:textId="3D433F3B" w:rsidR="00AA1061" w:rsidRPr="00AA1061" w:rsidRDefault="00F8132F" w:rsidP="00F8132F">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t>-$1</w:t>
            </w:r>
            <w:r w:rsidRPr="00FF4487">
              <w:t>k</w:t>
            </w:r>
          </w:p>
        </w:tc>
      </w:tr>
    </w:tbl>
    <w:p w14:paraId="2CE880EA" w14:textId="389E75E4" w:rsidR="00F8132F" w:rsidRPr="00983BF0" w:rsidRDefault="00F8132F" w:rsidP="00822C99">
      <w:pPr>
        <w:pStyle w:val="PwCNormal"/>
        <w:numPr>
          <w:ilvl w:val="0"/>
          <w:numId w:val="1"/>
        </w:numPr>
      </w:pPr>
      <w:r>
        <w:t>The underlying cause of the decrease in average lifetime cost is a significant reduction for the over 65’s subgroup within this class; the change in average size for people in the class below retirement age was relatively small. The change for this older group was caused by a reduced assessment of their likelihood to move into age pension in the future together with reductions in the amount of supplementary payments made.</w:t>
      </w:r>
    </w:p>
    <w:p w14:paraId="5E3C4699" w14:textId="3A519AC0" w:rsidR="00372F5B" w:rsidRPr="00983BF0" w:rsidRDefault="00372F5B" w:rsidP="00372F5B">
      <w:pPr>
        <w:pStyle w:val="PwCNormal"/>
        <w:numPr>
          <w:ilvl w:val="0"/>
          <w:numId w:val="1"/>
        </w:numPr>
      </w:pPr>
      <w:r>
        <w:t>G</w:t>
      </w:r>
      <w:r w:rsidRPr="00983BF0">
        <w:t xml:space="preserve">iven that most people in Non IS Other who are below </w:t>
      </w:r>
      <w:r w:rsidR="0021451C">
        <w:t>A</w:t>
      </w:r>
      <w:r w:rsidR="0021451C" w:rsidRPr="00983BF0">
        <w:t xml:space="preserve">ge </w:t>
      </w:r>
      <w:r w:rsidR="0021451C">
        <w:t>P</w:t>
      </w:r>
      <w:r w:rsidR="0021451C" w:rsidRPr="00983BF0">
        <w:t xml:space="preserve">ension </w:t>
      </w:r>
      <w:r w:rsidRPr="00983BF0">
        <w:t>age are expected to transition into Non IS Family in a short period of time</w:t>
      </w:r>
      <w:r>
        <w:t xml:space="preserve">, it is unsurprising that many of these average lifetime cost changes </w:t>
      </w:r>
      <w:r w:rsidRPr="00983BF0">
        <w:t xml:space="preserve">are similar to those for the Non IS Family class (discussed in section </w:t>
      </w:r>
      <w:r w:rsidRPr="00983BF0">
        <w:fldChar w:fldCharType="begin"/>
      </w:r>
      <w:r w:rsidRPr="00983BF0">
        <w:instrText xml:space="preserve"> REF _Ref466418929 \r \h  \* MERGEFORMAT </w:instrText>
      </w:r>
      <w:r w:rsidRPr="00983BF0">
        <w:fldChar w:fldCharType="separate"/>
      </w:r>
      <w:r w:rsidR="00C93C1A">
        <w:t>7.1</w:t>
      </w:r>
      <w:r w:rsidRPr="00983BF0">
        <w:fldChar w:fldCharType="end"/>
      </w:r>
      <w:r w:rsidRPr="00983BF0">
        <w:t>).</w:t>
      </w:r>
    </w:p>
    <w:p w14:paraId="40B0D878" w14:textId="77777777" w:rsidR="009B2D09" w:rsidRPr="009F29A7" w:rsidRDefault="009B2D09" w:rsidP="009B2D09">
      <w:pPr>
        <w:pStyle w:val="Minorheading"/>
      </w:pPr>
      <w:r w:rsidRPr="009F29A7">
        <w:t>Future outcomes</w:t>
      </w:r>
    </w:p>
    <w:p w14:paraId="5B6D4244" w14:textId="5CB26CA6" w:rsidR="009B2D09" w:rsidRPr="009F29A7" w:rsidRDefault="009B2D09" w:rsidP="009B2D09">
      <w:pPr>
        <w:pStyle w:val="PwCNormal"/>
        <w:numPr>
          <w:ilvl w:val="0"/>
          <w:numId w:val="0"/>
        </w:numPr>
      </w:pPr>
      <w:r w:rsidRPr="009F29A7">
        <w:t>In developing the valuation results the projection model also produces information on the expected transitions for people out of each class, as shown below.</w:t>
      </w:r>
    </w:p>
    <w:p w14:paraId="09942045" w14:textId="7A04607C" w:rsidR="009B2D09" w:rsidRPr="00452FA8" w:rsidRDefault="009B2D09" w:rsidP="009B2D09">
      <w:pPr>
        <w:pStyle w:val="Caption"/>
      </w:pPr>
      <w:r w:rsidRPr="00452FA8">
        <w:t xml:space="preserve">Figure </w:t>
      </w:r>
      <w:fldSimple w:instr=" SEQ Figure \* ARABIC ">
        <w:r w:rsidR="00C93C1A">
          <w:rPr>
            <w:noProof/>
          </w:rPr>
          <w:t>94</w:t>
        </w:r>
      </w:fldSimple>
      <w:r w:rsidRPr="00452FA8">
        <w:t xml:space="preserve">: Expected future trajectory for people in </w:t>
      </w:r>
      <w:r w:rsidR="00871E70">
        <w:t>c</w:t>
      </w:r>
      <w:r w:rsidRPr="00452FA8">
        <w:t>lass 9</w:t>
      </w:r>
    </w:p>
    <w:tbl>
      <w:tblPr>
        <w:tblStyle w:val="Tables-APBase"/>
        <w:tblW w:w="464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520"/>
        <w:gridCol w:w="2835"/>
      </w:tblGrid>
      <w:tr w:rsidR="009B2D09" w:rsidRPr="009210D0" w14:paraId="7400F112" w14:textId="77777777" w:rsidTr="009F29A7">
        <w:trPr>
          <w:tblHeader/>
        </w:trPr>
        <w:tc>
          <w:tcPr>
            <w:tcW w:w="6520" w:type="dxa"/>
          </w:tcPr>
          <w:p w14:paraId="12A6AA52" w14:textId="5A28A805" w:rsidR="009B2D09" w:rsidRPr="00452FA8" w:rsidRDefault="000A5A21" w:rsidP="000D6C29">
            <w:pPr>
              <w:pStyle w:val="TableTextSmall"/>
            </w:pPr>
            <w:r w:rsidRPr="000A5A21">
              <w:rPr>
                <w:noProof/>
                <w:lang w:eastAsia="en-AU"/>
              </w:rPr>
              <w:drawing>
                <wp:inline distT="0" distB="0" distL="0" distR="0" wp14:anchorId="7F458F44" wp14:editId="68C64648">
                  <wp:extent cx="3870960" cy="2156460"/>
                  <wp:effectExtent l="0" t="0" r="0" b="0"/>
                  <wp:docPr id="1047" name="Picture 1047" descr="This figure is a vertical bar chart. The horizontal axis shows the years 2017 to 2047. The 3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is chart includes the 557,000 individuals who were in the non-income support other class at 30 June 2017.&#10;&#10;The chart shows that a large proportion of people in the class transition elsewhere, with only 19% expected to remain in the non-income support other class until 2027. Just under half the class is projected to exit into either the previous welfare recipient or dead class by 2027. Of the people who transition into another active class by 2027, the majority are projected to transition to the pension age and non-income support family classes. 19% of the group are projected to be in an active class in 2047, with the pension age class being the most common. 50% of the group are projected to be in the dead class in 2047.&#10;&#10;The Jun16 proportion of people in all active classes and the Jun16 proportion of people in the Non IS Other class are also shown. For all active classes, the proportion of people in Jun17 is between 0% - 5% lower than in the previous year while in the Non IS Other class, the proportion of people in Jun17 is between 0%-5% higher than in the previous year. &#10;&#10;The features shown in the chart are discussed further in the accompanying text within the report.&#10;&#10;" title="Expected future trajectory for people in clas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870960" cy="2156460"/>
                          </a:xfrm>
                          <a:prstGeom prst="rect">
                            <a:avLst/>
                          </a:prstGeom>
                          <a:noFill/>
                          <a:ln>
                            <a:noFill/>
                          </a:ln>
                        </pic:spPr>
                      </pic:pic>
                    </a:graphicData>
                  </a:graphic>
                </wp:inline>
              </w:drawing>
            </w:r>
          </w:p>
        </w:tc>
        <w:tc>
          <w:tcPr>
            <w:tcW w:w="2835" w:type="dxa"/>
          </w:tcPr>
          <w:p w14:paraId="1D512857" w14:textId="77777777" w:rsidR="001B0C46" w:rsidRDefault="001B0C46" w:rsidP="000D6C29">
            <w:pPr>
              <w:pStyle w:val="TableTextSmall"/>
            </w:pPr>
          </w:p>
          <w:p w14:paraId="307AD557" w14:textId="5392C163" w:rsidR="009B2D09" w:rsidRPr="00452FA8" w:rsidRDefault="003668BA" w:rsidP="000D6C29">
            <w:pPr>
              <w:pStyle w:val="TableTextSmall"/>
            </w:pPr>
            <w:r w:rsidRPr="003668BA">
              <w:rPr>
                <w:noProof/>
                <w:lang w:eastAsia="en-AU"/>
              </w:rPr>
              <w:drawing>
                <wp:inline distT="0" distB="0" distL="0" distR="0" wp14:anchorId="4011CE74" wp14:editId="19B3BF05">
                  <wp:extent cx="1440000" cy="1779387"/>
                  <wp:effectExtent l="0" t="0" r="0" b="0"/>
                  <wp:docPr id="3903" name="Picture 3903"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p w14:paraId="735737B4" w14:textId="77777777" w:rsidR="009B2D09" w:rsidRPr="00452FA8" w:rsidRDefault="009B2D09" w:rsidP="000D6C29">
            <w:pPr>
              <w:pStyle w:val="TableTextSmall"/>
            </w:pPr>
          </w:p>
        </w:tc>
      </w:tr>
    </w:tbl>
    <w:p w14:paraId="290D25E8" w14:textId="0A776152" w:rsidR="009F29A7" w:rsidRPr="00427BEE" w:rsidRDefault="009F29A7" w:rsidP="009F29A7">
      <w:pPr>
        <w:pStyle w:val="PwCNormal"/>
        <w:numPr>
          <w:ilvl w:val="0"/>
          <w:numId w:val="1"/>
        </w:numPr>
      </w:pPr>
      <w:r w:rsidRPr="00B238AF">
        <w:t xml:space="preserve">These results aggregate the </w:t>
      </w:r>
      <w:r w:rsidR="00B238AF" w:rsidRPr="00B238AF">
        <w:t>expected trajectories of the distinct</w:t>
      </w:r>
      <w:r w:rsidRPr="00B238AF">
        <w:t xml:space="preserve"> sub groups within this class each of whom would be expected to have very different future life trajectories</w:t>
      </w:r>
      <w:r w:rsidRPr="00427BEE">
        <w:t>. We have illustrated this below by showing the trajectories for people within the different age bands.</w:t>
      </w:r>
    </w:p>
    <w:p w14:paraId="3E001BF6" w14:textId="14F676FA" w:rsidR="00A227A5" w:rsidRPr="00427BEE" w:rsidRDefault="009B2D09" w:rsidP="00A227A5">
      <w:pPr>
        <w:pStyle w:val="Caption"/>
      </w:pPr>
      <w:r w:rsidRPr="00427BEE">
        <w:lastRenderedPageBreak/>
        <w:t xml:space="preserve">Figure </w:t>
      </w:r>
      <w:fldSimple w:instr=" SEQ Figure \* ARABIC ">
        <w:r w:rsidR="00C93C1A">
          <w:rPr>
            <w:noProof/>
          </w:rPr>
          <w:t>95</w:t>
        </w:r>
      </w:fldSimple>
      <w:r w:rsidRPr="00427BEE">
        <w:t xml:space="preserve">: Expected future trajectory for people in </w:t>
      </w:r>
      <w:r w:rsidR="00871E70">
        <w:t>c</w:t>
      </w:r>
      <w:r w:rsidRPr="00427BEE">
        <w:t>lass 9 – by age band</w:t>
      </w:r>
    </w:p>
    <w:tbl>
      <w:tblPr>
        <w:tblStyle w:val="Tables-APBase4"/>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9 – by age band"/>
        <w:tblDescription w:val="This text box contains three charts and three legends.&#10;"/>
      </w:tblPr>
      <w:tblGrid>
        <w:gridCol w:w="7352"/>
        <w:gridCol w:w="2729"/>
      </w:tblGrid>
      <w:tr w:rsidR="00E31918" w:rsidRPr="00427BEE" w14:paraId="294BBAC5" w14:textId="77777777" w:rsidTr="00E31918">
        <w:trPr>
          <w:cantSplit/>
          <w:tblHeader/>
        </w:trPr>
        <w:tc>
          <w:tcPr>
            <w:tcW w:w="7352" w:type="dxa"/>
          </w:tcPr>
          <w:p w14:paraId="2BB73181" w14:textId="13A5D37D" w:rsidR="00E31918" w:rsidRPr="00427BEE" w:rsidRDefault="00E31918" w:rsidP="0096019E">
            <w:pPr>
              <w:pStyle w:val="TableTextSmall"/>
              <w:rPr>
                <w:b/>
                <w:bCs/>
              </w:rPr>
            </w:pPr>
            <w:r w:rsidRPr="00427BEE">
              <w:rPr>
                <w:b/>
                <w:bCs/>
              </w:rPr>
              <w:t>Age 1</w:t>
            </w:r>
            <w:r w:rsidR="006948E9">
              <w:rPr>
                <w:b/>
                <w:bCs/>
              </w:rPr>
              <w:t xml:space="preserve"> to </w:t>
            </w:r>
            <w:r w:rsidRPr="00427BEE">
              <w:rPr>
                <w:b/>
                <w:bCs/>
              </w:rPr>
              <w:t>19</w:t>
            </w:r>
          </w:p>
          <w:p w14:paraId="2DF2FD5A" w14:textId="1A883272" w:rsidR="00E31918" w:rsidRPr="00427BEE" w:rsidRDefault="00427BEE" w:rsidP="0096019E">
            <w:pPr>
              <w:pStyle w:val="TableTextSmall"/>
              <w:rPr>
                <w:b/>
                <w:bCs/>
              </w:rPr>
            </w:pPr>
            <w:r w:rsidRPr="00427BEE">
              <w:rPr>
                <w:b/>
                <w:bCs/>
                <w:noProof/>
                <w:lang w:eastAsia="en-AU"/>
              </w:rPr>
              <w:drawing>
                <wp:inline distT="0" distB="0" distL="0" distR="0" wp14:anchorId="29AE1D9F" wp14:editId="049D9C2B">
                  <wp:extent cx="4153846" cy="2160000"/>
                  <wp:effectExtent l="0" t="0" r="0" b="0"/>
                  <wp:docPr id="3082" name="Picture 3082" descr="The three charts in here are vertical bar charts. The horizontal axis on each chart shows the years 2017 to 2047. For each chart, the 30 vertical bars associated with each year are arranged side-by-side with no gaps to present a continuous time series image. The vertical axis for each chart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e charts includes the 557,000 individuals who were in the non income support other class at 30 June 2017, with these individuals being split between the three charts.&#10;&#10;The first figure shows the expected trajectory of people aged 1-19 who were in the non income support other class at 30 June 2017. It shows that a large proportion of people in the class are projected to transition elsewhere, with less than 10% remaining in the non-income support other class in 2022. Of those who transition over that time period, around 40% are projected to exit to the previous welfare recipient class and around 25% are projected to transition to the working age class by 2022. By 2047 the most common classes for this group are the previous welfare recipient and working age classes. The Jun16 proportion of people in all active classes and the Jun16 proportion of people in the Non IS Other class are also shown. In both cases, the proportion of people in Jun17 is extremely similar to the previous year. &#10;" title="Expected future trajectory for people in class 9 –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153846" cy="2160000"/>
                          </a:xfrm>
                          <a:prstGeom prst="rect">
                            <a:avLst/>
                          </a:prstGeom>
                          <a:noFill/>
                          <a:ln>
                            <a:noFill/>
                          </a:ln>
                        </pic:spPr>
                      </pic:pic>
                    </a:graphicData>
                  </a:graphic>
                </wp:inline>
              </w:drawing>
            </w:r>
          </w:p>
        </w:tc>
        <w:tc>
          <w:tcPr>
            <w:tcW w:w="2729" w:type="dxa"/>
          </w:tcPr>
          <w:p w14:paraId="5DEE3737" w14:textId="77777777" w:rsidR="00E31918" w:rsidRPr="00427BEE" w:rsidRDefault="00E31918" w:rsidP="0096019E">
            <w:pPr>
              <w:pStyle w:val="TableTextSmall"/>
              <w:rPr>
                <w:b/>
                <w:bCs/>
              </w:rPr>
            </w:pPr>
          </w:p>
          <w:p w14:paraId="16C92ACD" w14:textId="3CE01016" w:rsidR="00E31918" w:rsidRPr="00427BEE" w:rsidRDefault="003668BA" w:rsidP="0096019E">
            <w:pPr>
              <w:pStyle w:val="TableTextSmall"/>
              <w:rPr>
                <w:b/>
                <w:bCs/>
              </w:rPr>
            </w:pPr>
            <w:r w:rsidRPr="003668BA">
              <w:rPr>
                <w:noProof/>
                <w:lang w:eastAsia="en-AU"/>
              </w:rPr>
              <w:drawing>
                <wp:inline distT="0" distB="0" distL="0" distR="0" wp14:anchorId="7AD5E6FE" wp14:editId="5AC313BC">
                  <wp:extent cx="1440000" cy="1779387"/>
                  <wp:effectExtent l="0" t="0" r="0" b="0"/>
                  <wp:docPr id="2053" name="Picture 2053"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p w14:paraId="3E7BAA94" w14:textId="77777777" w:rsidR="00E31918" w:rsidRPr="00427BEE" w:rsidRDefault="00E31918" w:rsidP="0096019E">
            <w:pPr>
              <w:pStyle w:val="TableTextSmall"/>
              <w:rPr>
                <w:b/>
                <w:bCs/>
              </w:rPr>
            </w:pPr>
          </w:p>
        </w:tc>
      </w:tr>
      <w:tr w:rsidR="00E31918" w:rsidRPr="00427BEE" w14:paraId="578209CC" w14:textId="77777777" w:rsidTr="00E31918">
        <w:trPr>
          <w:cantSplit/>
          <w:tblHeader/>
        </w:trPr>
        <w:tc>
          <w:tcPr>
            <w:tcW w:w="7352" w:type="dxa"/>
          </w:tcPr>
          <w:p w14:paraId="5948EA96" w14:textId="5BAF1AFB" w:rsidR="00E31918" w:rsidRPr="00427BEE" w:rsidRDefault="00E31918" w:rsidP="0096019E">
            <w:pPr>
              <w:pStyle w:val="TableTextSmall"/>
              <w:rPr>
                <w:b/>
                <w:bCs/>
              </w:rPr>
            </w:pPr>
            <w:r w:rsidRPr="00427BEE">
              <w:rPr>
                <w:b/>
                <w:bCs/>
              </w:rPr>
              <w:t>Age 20</w:t>
            </w:r>
            <w:r w:rsidR="006948E9">
              <w:rPr>
                <w:b/>
                <w:bCs/>
              </w:rPr>
              <w:t xml:space="preserve"> to </w:t>
            </w:r>
            <w:r w:rsidRPr="00427BEE">
              <w:rPr>
                <w:b/>
                <w:bCs/>
              </w:rPr>
              <w:t>64</w:t>
            </w:r>
          </w:p>
          <w:p w14:paraId="5D5C6038" w14:textId="1ED9C8E3" w:rsidR="00E31918" w:rsidRPr="00427BEE" w:rsidRDefault="00427BEE" w:rsidP="0096019E">
            <w:pPr>
              <w:pStyle w:val="TableTextSmall"/>
              <w:rPr>
                <w:b/>
                <w:bCs/>
              </w:rPr>
            </w:pPr>
            <w:r w:rsidRPr="00427BEE">
              <w:rPr>
                <w:b/>
                <w:bCs/>
                <w:noProof/>
                <w:lang w:eastAsia="en-AU"/>
              </w:rPr>
              <w:drawing>
                <wp:inline distT="0" distB="0" distL="0" distR="0" wp14:anchorId="59D9AF81" wp14:editId="63965E38">
                  <wp:extent cx="4153846" cy="2160000"/>
                  <wp:effectExtent l="0" t="0" r="0" b="0"/>
                  <wp:docPr id="3105" name="Picture 3105" descr="The second figure shows the expected trajectory of people aged 20-64 who were in the non income support other class at 30 June 2017. It shows a projected steep decline in the proportion of people remaining in the non-income support other class, with less than 5% remaining in 2017. Around 85% of transitions over the first year are into the non-income support family class. By 2047 the most common classes for this group are the pension age, previous welfare recipient and working age. The Jun16 proportion of people in all active classes and the Jun16 proportion of people in the Non IS Other class are also shown. In both cases, the proportion of people in Jun17 is between 0% - 5% lower than in the previous year. " title="Expected future trajectory for people in class 9 –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53846" cy="2160000"/>
                          </a:xfrm>
                          <a:prstGeom prst="rect">
                            <a:avLst/>
                          </a:prstGeom>
                          <a:noFill/>
                          <a:ln>
                            <a:noFill/>
                          </a:ln>
                        </pic:spPr>
                      </pic:pic>
                    </a:graphicData>
                  </a:graphic>
                </wp:inline>
              </w:drawing>
            </w:r>
          </w:p>
        </w:tc>
        <w:tc>
          <w:tcPr>
            <w:tcW w:w="2729" w:type="dxa"/>
          </w:tcPr>
          <w:p w14:paraId="3BE43B7B" w14:textId="77777777" w:rsidR="00E31918" w:rsidRPr="00427BEE" w:rsidRDefault="00E31918" w:rsidP="0096019E">
            <w:pPr>
              <w:pStyle w:val="TableTextSmall"/>
              <w:rPr>
                <w:b/>
                <w:bCs/>
              </w:rPr>
            </w:pPr>
          </w:p>
          <w:p w14:paraId="3DCAB02E" w14:textId="71F268AF" w:rsidR="00E31918" w:rsidRPr="00427BEE" w:rsidRDefault="003668BA" w:rsidP="0096019E">
            <w:pPr>
              <w:pStyle w:val="TableTextSmall"/>
              <w:rPr>
                <w:b/>
                <w:bCs/>
              </w:rPr>
            </w:pPr>
            <w:r w:rsidRPr="003668BA">
              <w:rPr>
                <w:noProof/>
                <w:lang w:eastAsia="en-AU"/>
              </w:rPr>
              <w:drawing>
                <wp:inline distT="0" distB="0" distL="0" distR="0" wp14:anchorId="7BA70166" wp14:editId="43D5CA4E">
                  <wp:extent cx="1440000" cy="1779387"/>
                  <wp:effectExtent l="0" t="0" r="0" b="0"/>
                  <wp:docPr id="2062" name="Picture 2062"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p w14:paraId="23D5AE07" w14:textId="77777777" w:rsidR="00E31918" w:rsidRPr="00427BEE" w:rsidRDefault="00E31918" w:rsidP="0096019E">
            <w:pPr>
              <w:pStyle w:val="TableTextSmall"/>
              <w:rPr>
                <w:b/>
                <w:bCs/>
              </w:rPr>
            </w:pPr>
          </w:p>
        </w:tc>
      </w:tr>
      <w:tr w:rsidR="00E31918" w:rsidRPr="009210D0" w14:paraId="096A2776" w14:textId="77777777" w:rsidTr="00E31918">
        <w:trPr>
          <w:cantSplit/>
          <w:tblHeader/>
        </w:trPr>
        <w:tc>
          <w:tcPr>
            <w:tcW w:w="7352" w:type="dxa"/>
          </w:tcPr>
          <w:p w14:paraId="32BECD59" w14:textId="77777777" w:rsidR="00E31918" w:rsidRPr="00427BEE" w:rsidRDefault="00E31918" w:rsidP="0096019E">
            <w:pPr>
              <w:pStyle w:val="TableTextSmall"/>
              <w:rPr>
                <w:b/>
                <w:bCs/>
              </w:rPr>
            </w:pPr>
            <w:r w:rsidRPr="00427BEE">
              <w:rPr>
                <w:b/>
                <w:bCs/>
              </w:rPr>
              <w:t>Age 65+</w:t>
            </w:r>
          </w:p>
          <w:p w14:paraId="5CD89AEF" w14:textId="42182F63" w:rsidR="00E31918" w:rsidRPr="00427BEE" w:rsidRDefault="00427BEE" w:rsidP="0096019E">
            <w:pPr>
              <w:pStyle w:val="TableTextSmall"/>
              <w:rPr>
                <w:b/>
                <w:bCs/>
              </w:rPr>
            </w:pPr>
            <w:r w:rsidRPr="00427BEE">
              <w:rPr>
                <w:b/>
                <w:bCs/>
                <w:noProof/>
                <w:lang w:eastAsia="en-AU"/>
              </w:rPr>
              <w:drawing>
                <wp:inline distT="0" distB="0" distL="0" distR="0" wp14:anchorId="7092B82B" wp14:editId="610CE41D">
                  <wp:extent cx="4153846" cy="2160000"/>
                  <wp:effectExtent l="0" t="0" r="0" b="0"/>
                  <wp:docPr id="3092" name="Picture 3092" descr="The third figure shows the expected trajectory of people in the class aged 65+ who were in the non-income support other class at 30 June 2017. It shows that the main transitions for this age group are projected to be to the pension age, previous welfare recipient and dead classes. Around 40% of people are projected to remain in the non-income support other class by 2027 with around 20% having moved to the pension age class and most of the remainder exited to the previous welfare recipient or dead classes. By 2047 this group would be expected to be in the dead class. The Jun16 proportion of people in all active classes and the Jun16 proportion of people in the Non IS Other class are also shown. For all active classes, the proportion of people in Jun17 is between 0% - 5% lower than in the previous year while for the Non IS Other class, the proportion of people in Jun17 is between 0% - 10% higher than in the previous year. " title="Expected future trajectory for people in class 9 –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53846" cy="2160000"/>
                          </a:xfrm>
                          <a:prstGeom prst="rect">
                            <a:avLst/>
                          </a:prstGeom>
                          <a:noFill/>
                          <a:ln>
                            <a:noFill/>
                          </a:ln>
                        </pic:spPr>
                      </pic:pic>
                    </a:graphicData>
                  </a:graphic>
                </wp:inline>
              </w:drawing>
            </w:r>
          </w:p>
        </w:tc>
        <w:tc>
          <w:tcPr>
            <w:tcW w:w="2729" w:type="dxa"/>
          </w:tcPr>
          <w:p w14:paraId="7CBCA73A" w14:textId="77777777" w:rsidR="00E31918" w:rsidRPr="00427BEE" w:rsidRDefault="00E31918" w:rsidP="0096019E">
            <w:pPr>
              <w:pStyle w:val="TableTextSmall"/>
              <w:rPr>
                <w:b/>
                <w:bCs/>
              </w:rPr>
            </w:pPr>
          </w:p>
          <w:p w14:paraId="6C684531" w14:textId="50EADF20" w:rsidR="00E31918" w:rsidRPr="00427BEE" w:rsidRDefault="003668BA" w:rsidP="0096019E">
            <w:pPr>
              <w:pStyle w:val="TableTextSmall"/>
              <w:rPr>
                <w:b/>
                <w:bCs/>
              </w:rPr>
            </w:pPr>
            <w:r w:rsidRPr="003668BA">
              <w:rPr>
                <w:noProof/>
                <w:lang w:eastAsia="en-AU"/>
              </w:rPr>
              <w:drawing>
                <wp:inline distT="0" distB="0" distL="0" distR="0" wp14:anchorId="5D7EA89D" wp14:editId="66BEDF33">
                  <wp:extent cx="1440000" cy="1779387"/>
                  <wp:effectExtent l="0" t="0" r="0" b="0"/>
                  <wp:docPr id="2063" name="Picture 2063"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p w14:paraId="77336301" w14:textId="77777777" w:rsidR="00E31918" w:rsidRPr="00427BEE" w:rsidRDefault="00E31918" w:rsidP="0096019E">
            <w:pPr>
              <w:pStyle w:val="TableTextSmall"/>
              <w:rPr>
                <w:b/>
                <w:bCs/>
              </w:rPr>
            </w:pPr>
          </w:p>
        </w:tc>
      </w:tr>
    </w:tbl>
    <w:p w14:paraId="1366CFE1" w14:textId="77777777" w:rsidR="006D336D" w:rsidRPr="00A97340" w:rsidRDefault="006D336D" w:rsidP="006D336D">
      <w:pPr>
        <w:pStyle w:val="PwCNormal"/>
        <w:keepNext/>
        <w:numPr>
          <w:ilvl w:val="0"/>
          <w:numId w:val="0"/>
        </w:numPr>
      </w:pPr>
      <w:r w:rsidRPr="00A97340">
        <w:t xml:space="preserve">The trajectory results support the previous observations, showing that: </w:t>
      </w:r>
    </w:p>
    <w:p w14:paraId="6A41A255" w14:textId="67AAEE57" w:rsidR="006D336D" w:rsidRPr="00A97340" w:rsidRDefault="006D336D" w:rsidP="006D336D">
      <w:pPr>
        <w:pStyle w:val="ListBullet"/>
      </w:pPr>
      <w:r w:rsidRPr="00A97340">
        <w:t xml:space="preserve">For people aged 19 and under, in </w:t>
      </w:r>
      <w:r w:rsidR="00722399">
        <w:t>five</w:t>
      </w:r>
      <w:r w:rsidRPr="00A97340">
        <w:t xml:space="preserve"> years</w:t>
      </w:r>
      <w:r w:rsidR="00722399">
        <w:t>,</w:t>
      </w:r>
      <w:r w:rsidRPr="00A97340">
        <w:t xml:space="preserve"> around 10% of people </w:t>
      </w:r>
      <w:r>
        <w:t>are projected to</w:t>
      </w:r>
      <w:r w:rsidRPr="00A97340">
        <w:t xml:space="preserve"> be in this class (having persisted for the entire period or exited and returned), while approximately 50% </w:t>
      </w:r>
      <w:r>
        <w:t>are projected to</w:t>
      </w:r>
      <w:r w:rsidRPr="00A97340">
        <w:t xml:space="preserve"> be in receipt of an income support payment, and less than 40% </w:t>
      </w:r>
      <w:r>
        <w:t>are projected to</w:t>
      </w:r>
      <w:r w:rsidRPr="00A97340">
        <w:t xml:space="preserve"> be out of the welfare system. In 10 years over 40% </w:t>
      </w:r>
      <w:r>
        <w:t>are projected to</w:t>
      </w:r>
      <w:r w:rsidRPr="00A97340">
        <w:t xml:space="preserve"> be in receipt of an income support payment.</w:t>
      </w:r>
      <w:r w:rsidR="008457CA">
        <w:t xml:space="preserve"> This is a highly disadvantaged group.</w:t>
      </w:r>
    </w:p>
    <w:p w14:paraId="72FD8E89" w14:textId="238673AC" w:rsidR="006D336D" w:rsidRPr="00A97340" w:rsidRDefault="006D336D" w:rsidP="006D336D">
      <w:pPr>
        <w:pStyle w:val="ListBullet"/>
      </w:pPr>
      <w:r w:rsidRPr="00A97340">
        <w:t xml:space="preserve">For people aged </w:t>
      </w:r>
      <w:r>
        <w:t>20 to 64</w:t>
      </w:r>
      <w:r w:rsidRPr="00A97340">
        <w:t>,</w:t>
      </w:r>
      <w:r>
        <w:t xml:space="preserve"> nearly everyone transitions into class 7 in the first projection year. In the second year approximately 30% are projected to be out of the welfare system reflecting a population who does not </w:t>
      </w:r>
      <w:r>
        <w:lastRenderedPageBreak/>
        <w:t>continue to receive family related payments. The trajectory after these first couple of years closely resembles that of current class 7 recipients although the expected duration on family payments is longer reflecting the younger age profile of this group. I</w:t>
      </w:r>
      <w:r w:rsidRPr="00A97340">
        <w:t xml:space="preserve">n </w:t>
      </w:r>
      <w:r w:rsidR="00722399">
        <w:t>five</w:t>
      </w:r>
      <w:r w:rsidRPr="00A97340">
        <w:t xml:space="preserve"> years</w:t>
      </w:r>
      <w:r w:rsidR="00722399">
        <w:t>,</w:t>
      </w:r>
      <w:r w:rsidRPr="00A97340">
        <w:t xml:space="preserve"> around 10% of people </w:t>
      </w:r>
      <w:r>
        <w:t>are projected to</w:t>
      </w:r>
      <w:r w:rsidRPr="00A97340">
        <w:t xml:space="preserve"> be in </w:t>
      </w:r>
      <w:r>
        <w:t xml:space="preserve">receipt of an income support payment, while </w:t>
      </w:r>
      <w:r w:rsidRPr="00A97340">
        <w:t>approximately 50%</w:t>
      </w:r>
      <w:r>
        <w:t xml:space="preserve"> are projected to be in class 7. </w:t>
      </w:r>
    </w:p>
    <w:p w14:paraId="0452210C" w14:textId="4E3F0719" w:rsidR="006D336D" w:rsidRDefault="006D336D" w:rsidP="006D336D">
      <w:pPr>
        <w:pStyle w:val="ListBullet"/>
      </w:pPr>
      <w:r w:rsidRPr="00A97340">
        <w:t xml:space="preserve">For people aged </w:t>
      </w:r>
      <w:r>
        <w:t>over 65</w:t>
      </w:r>
      <w:r w:rsidRPr="00A97340">
        <w:t>,</w:t>
      </w:r>
      <w:r>
        <w:t xml:space="preserve"> very few of the surviving people are projected to leave the welfare system.</w:t>
      </w:r>
      <w:r w:rsidRPr="007C3637">
        <w:t xml:space="preserve"> </w:t>
      </w:r>
      <w:r>
        <w:t>I</w:t>
      </w:r>
      <w:r w:rsidRPr="00A97340">
        <w:t xml:space="preserve">n </w:t>
      </w:r>
      <w:r w:rsidR="00722399">
        <w:t>five</w:t>
      </w:r>
      <w:r w:rsidRPr="00A97340">
        <w:t xml:space="preserve"> years</w:t>
      </w:r>
      <w:r w:rsidR="00722399">
        <w:t>,</w:t>
      </w:r>
      <w:r w:rsidRPr="00A97340">
        <w:t xml:space="preserve"> a</w:t>
      </w:r>
      <w:r>
        <w:t>round 60% of the current class are projected to</w:t>
      </w:r>
      <w:r w:rsidRPr="00A97340">
        <w:t xml:space="preserve"> be in this class (having persisted for the entire period or exited and returned), while approximately </w:t>
      </w:r>
      <w:r>
        <w:t>around 1</w:t>
      </w:r>
      <w:r w:rsidRPr="00A97340">
        <w:t xml:space="preserve">5% </w:t>
      </w:r>
      <w:r>
        <w:t>are projected to</w:t>
      </w:r>
      <w:r w:rsidRPr="00A97340">
        <w:t xml:space="preserve"> be in receipt of </w:t>
      </w:r>
      <w:r>
        <w:t>the age pension</w:t>
      </w:r>
      <w:r w:rsidRPr="00A97340">
        <w:t xml:space="preserve">, and </w:t>
      </w:r>
      <w:r>
        <w:t>around 15</w:t>
      </w:r>
      <w:r w:rsidRPr="00A97340">
        <w:t xml:space="preserve">% </w:t>
      </w:r>
      <w:r>
        <w:t>are projected to</w:t>
      </w:r>
      <w:r w:rsidRPr="00A97340">
        <w:t xml:space="preserve"> be out of the welfare system.</w:t>
      </w:r>
    </w:p>
    <w:p w14:paraId="5DCA85D3" w14:textId="77777777" w:rsidR="006D336D" w:rsidRPr="000E3534" w:rsidRDefault="006D336D" w:rsidP="006D336D">
      <w:pPr>
        <w:pStyle w:val="Minorheading"/>
      </w:pPr>
      <w:r w:rsidRPr="000E3534">
        <w:t>Duration</w:t>
      </w:r>
    </w:p>
    <w:p w14:paraId="489C924A" w14:textId="3D7CDFE5" w:rsidR="000B1C9E" w:rsidRPr="000E3534" w:rsidRDefault="006D336D" w:rsidP="006D336D">
      <w:pPr>
        <w:pStyle w:val="PwCNormal-keepwithnext"/>
        <w:numPr>
          <w:ilvl w:val="0"/>
          <w:numId w:val="0"/>
        </w:numPr>
      </w:pPr>
      <w:r w:rsidRPr="000E3534">
        <w:t xml:space="preserve">The average future life expectancy for the Non IS Other class is </w:t>
      </w:r>
      <w:r w:rsidRPr="000E3534">
        <w:rPr>
          <w:b/>
        </w:rPr>
        <w:t>37</w:t>
      </w:r>
      <w:r w:rsidRPr="000E3534">
        <w:t xml:space="preserve"> years. The table below provides a summary of the expected welfare system use of people currently in this class over this time. This has been developed by considering which classes people move into as they move through the welfare system over their lives.</w:t>
      </w:r>
    </w:p>
    <w:p w14:paraId="39A4FFF8" w14:textId="42AFAEE8" w:rsidR="000B1C9E" w:rsidRPr="000E3534" w:rsidRDefault="000B1C9E" w:rsidP="000B1C9E">
      <w:pPr>
        <w:pStyle w:val="Caption"/>
      </w:pPr>
      <w:r w:rsidRPr="000E3534">
        <w:t xml:space="preserve">Table </w:t>
      </w:r>
      <w:fldSimple w:instr=" SEQ Table \* ARABIC ">
        <w:r w:rsidR="00C93C1A">
          <w:rPr>
            <w:noProof/>
          </w:rPr>
          <w:t>49</w:t>
        </w:r>
      </w:fldSimple>
      <w:r w:rsidRPr="000E3534">
        <w:t xml:space="preserve">: Expected durations in welfare system for people currently in </w:t>
      </w:r>
      <w:r w:rsidR="00871E70">
        <w:t>c</w:t>
      </w:r>
      <w:r w:rsidRPr="000E3534">
        <w:t>lass 9</w:t>
      </w:r>
    </w:p>
    <w:tbl>
      <w:tblPr>
        <w:tblStyle w:val="ListTable3-Accent61"/>
        <w:tblW w:w="8868" w:type="dxa"/>
        <w:tblInd w:w="108" w:type="dxa"/>
        <w:tblLook w:val="04A0" w:firstRow="1" w:lastRow="0" w:firstColumn="1" w:lastColumn="0" w:noHBand="0" w:noVBand="1"/>
        <w:tblCaption w:val=" Expected durations in welfare system for people currently in Class 9"/>
        <w:tblDescription w:val="This table provides data on the expected number of years people currently in Class 9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roportion of their future lifetime.  The expected future life expectancy of people in Class 9 is 37 years. &#10;&#10;Further features of the data in this table are discussed in the accompanying text within the report.&#10;"/>
      </w:tblPr>
      <w:tblGrid>
        <w:gridCol w:w="3828"/>
        <w:gridCol w:w="2520"/>
        <w:gridCol w:w="2520"/>
      </w:tblGrid>
      <w:tr w:rsidR="000B1C9E" w:rsidRPr="000E3534" w14:paraId="6C80528F"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09FC93D4" w14:textId="77777777" w:rsidR="000B1C9E" w:rsidRPr="000E3534" w:rsidRDefault="000B1C9E" w:rsidP="00EC326F">
            <w:pPr>
              <w:pStyle w:val="TableTextSmall"/>
              <w:jc w:val="center"/>
              <w:rPr>
                <w:rFonts w:asciiTheme="majorHAnsi" w:hAnsiTheme="majorHAnsi"/>
                <w:color w:val="FFFFFF" w:themeColor="background1"/>
              </w:rPr>
            </w:pPr>
          </w:p>
        </w:tc>
        <w:tc>
          <w:tcPr>
            <w:tcW w:w="2520" w:type="dxa"/>
          </w:tcPr>
          <w:p w14:paraId="39BFF17A" w14:textId="77777777" w:rsidR="000B1C9E" w:rsidRPr="000E3534" w:rsidRDefault="000B1C9E" w:rsidP="00EC326F">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0E3534">
              <w:rPr>
                <w:rFonts w:asciiTheme="majorHAnsi" w:hAnsiTheme="majorHAnsi"/>
                <w:color w:val="FFFFFF" w:themeColor="background1"/>
              </w:rPr>
              <w:t>Expected Years</w:t>
            </w:r>
          </w:p>
        </w:tc>
        <w:tc>
          <w:tcPr>
            <w:tcW w:w="2520" w:type="dxa"/>
          </w:tcPr>
          <w:p w14:paraId="139F9769" w14:textId="77777777" w:rsidR="000B1C9E" w:rsidRPr="000E3534" w:rsidRDefault="000B1C9E" w:rsidP="00EC326F">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0E3534">
              <w:rPr>
                <w:rFonts w:asciiTheme="majorHAnsi" w:hAnsiTheme="majorHAnsi"/>
                <w:color w:val="FFFFFF" w:themeColor="background1"/>
              </w:rPr>
              <w:t>Proportion of Future Lifetime</w:t>
            </w:r>
          </w:p>
        </w:tc>
      </w:tr>
      <w:tr w:rsidR="000B1C9E" w:rsidRPr="000E3534" w14:paraId="51A67F3E" w14:textId="77777777" w:rsidTr="00EC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1EC39BA" w14:textId="77777777" w:rsidR="000B1C9E" w:rsidRPr="000E3534" w:rsidRDefault="000B1C9E" w:rsidP="00EC326F">
            <w:pPr>
              <w:pStyle w:val="TableTextSmall"/>
            </w:pPr>
            <w:r w:rsidRPr="000E3534">
              <w:t>Years with some income support payments:</w:t>
            </w:r>
          </w:p>
          <w:p w14:paraId="2E6F5F20" w14:textId="66240010" w:rsidR="000B1C9E" w:rsidRPr="000E3534" w:rsidRDefault="000B1C9E" w:rsidP="00964D65">
            <w:pPr>
              <w:pStyle w:val="TableTextSmall"/>
              <w:numPr>
                <w:ilvl w:val="0"/>
                <w:numId w:val="36"/>
              </w:numPr>
            </w:pPr>
            <w:r w:rsidRPr="000E3534">
              <w:t>Not age pension (classes 1-5)</w:t>
            </w:r>
          </w:p>
          <w:p w14:paraId="01A11E34" w14:textId="6FC30B83" w:rsidR="000B1C9E" w:rsidRPr="000E3534" w:rsidRDefault="000B1C9E" w:rsidP="00964D65">
            <w:pPr>
              <w:pStyle w:val="TableTextSmall"/>
              <w:numPr>
                <w:ilvl w:val="0"/>
                <w:numId w:val="36"/>
              </w:numPr>
            </w:pPr>
            <w:r w:rsidRPr="000E3534">
              <w:t>Age pension (class 6)</w:t>
            </w:r>
          </w:p>
        </w:tc>
        <w:tc>
          <w:tcPr>
            <w:tcW w:w="2520" w:type="dxa"/>
          </w:tcPr>
          <w:p w14:paraId="1D10609F" w14:textId="77777777" w:rsidR="000B1C9E" w:rsidRPr="000E3534" w:rsidRDefault="000B1C9E" w:rsidP="00EC326F">
            <w:pPr>
              <w:pStyle w:val="TableTextSmall"/>
              <w:jc w:val="center"/>
              <w:cnfStyle w:val="000000100000" w:firstRow="0" w:lastRow="0" w:firstColumn="0" w:lastColumn="0" w:oddVBand="0" w:evenVBand="0" w:oddHBand="1" w:evenHBand="0" w:firstRowFirstColumn="0" w:firstRowLastColumn="0" w:lastRowFirstColumn="0" w:lastRowLastColumn="0"/>
            </w:pPr>
            <w:r w:rsidRPr="000E3534">
              <w:br/>
              <w:t>4</w:t>
            </w:r>
          </w:p>
          <w:p w14:paraId="1857824A" w14:textId="12188807" w:rsidR="000B1C9E" w:rsidRPr="000E3534" w:rsidRDefault="000E3534" w:rsidP="000B1C9E">
            <w:pPr>
              <w:pStyle w:val="TableTextSmall"/>
              <w:jc w:val="center"/>
              <w:cnfStyle w:val="000000100000" w:firstRow="0" w:lastRow="0" w:firstColumn="0" w:lastColumn="0" w:oddVBand="0" w:evenVBand="0" w:oddHBand="1" w:evenHBand="0" w:firstRowFirstColumn="0" w:firstRowLastColumn="0" w:lastRowFirstColumn="0" w:lastRowLastColumn="0"/>
            </w:pPr>
            <w:r w:rsidRPr="000E3534">
              <w:t>10</w:t>
            </w:r>
          </w:p>
        </w:tc>
        <w:tc>
          <w:tcPr>
            <w:tcW w:w="2520" w:type="dxa"/>
          </w:tcPr>
          <w:p w14:paraId="702E1DA5" w14:textId="77777777" w:rsidR="000B1C9E" w:rsidRPr="000E3534" w:rsidRDefault="000B1C9E" w:rsidP="00EC326F">
            <w:pPr>
              <w:pStyle w:val="TableTextSmall"/>
              <w:jc w:val="center"/>
              <w:cnfStyle w:val="000000100000" w:firstRow="0" w:lastRow="0" w:firstColumn="0" w:lastColumn="0" w:oddVBand="0" w:evenVBand="0" w:oddHBand="1" w:evenHBand="0" w:firstRowFirstColumn="0" w:firstRowLastColumn="0" w:lastRowFirstColumn="0" w:lastRowLastColumn="0"/>
            </w:pPr>
            <w:r w:rsidRPr="000E3534">
              <w:br/>
              <w:t>10%</w:t>
            </w:r>
          </w:p>
          <w:p w14:paraId="34343373" w14:textId="513B3C52" w:rsidR="000B1C9E" w:rsidRPr="000E3534" w:rsidRDefault="000E3534" w:rsidP="00EC326F">
            <w:pPr>
              <w:pStyle w:val="TableTextSmall"/>
              <w:jc w:val="center"/>
              <w:cnfStyle w:val="000000100000" w:firstRow="0" w:lastRow="0" w:firstColumn="0" w:lastColumn="0" w:oddVBand="0" w:evenVBand="0" w:oddHBand="1" w:evenHBand="0" w:firstRowFirstColumn="0" w:firstRowLastColumn="0" w:lastRowFirstColumn="0" w:lastRowLastColumn="0"/>
            </w:pPr>
            <w:r w:rsidRPr="000E3534">
              <w:t>27</w:t>
            </w:r>
            <w:r w:rsidR="000B1C9E" w:rsidRPr="000E3534">
              <w:t>%</w:t>
            </w:r>
          </w:p>
        </w:tc>
      </w:tr>
      <w:tr w:rsidR="000B1C9E" w:rsidRPr="000E3534" w14:paraId="5ED6D4EA" w14:textId="77777777" w:rsidTr="00EC326F">
        <w:tc>
          <w:tcPr>
            <w:cnfStyle w:val="001000000000" w:firstRow="0" w:lastRow="0" w:firstColumn="1" w:lastColumn="0" w:oddVBand="0" w:evenVBand="0" w:oddHBand="0" w:evenHBand="0" w:firstRowFirstColumn="0" w:firstRowLastColumn="0" w:lastRowFirstColumn="0" w:lastRowLastColumn="0"/>
            <w:tcW w:w="3828" w:type="dxa"/>
          </w:tcPr>
          <w:p w14:paraId="7B6C5DC3" w14:textId="1CF127D3" w:rsidR="000B1C9E" w:rsidRPr="000E3534" w:rsidRDefault="000B1C9E" w:rsidP="00EC326F">
            <w:pPr>
              <w:pStyle w:val="TableTextSmall"/>
            </w:pPr>
            <w:r w:rsidRPr="000E3534">
              <w:t xml:space="preserve">Years with </w:t>
            </w:r>
            <w:r w:rsidR="005B3E7D">
              <w:t>non income</w:t>
            </w:r>
            <w:r w:rsidRPr="000E3534">
              <w:t xml:space="preserve"> support payments only</w:t>
            </w:r>
          </w:p>
        </w:tc>
        <w:tc>
          <w:tcPr>
            <w:tcW w:w="2520" w:type="dxa"/>
          </w:tcPr>
          <w:p w14:paraId="075605CB" w14:textId="77777777" w:rsidR="000B1C9E" w:rsidRPr="000E3534" w:rsidRDefault="000B1C9E" w:rsidP="00EC326F">
            <w:pPr>
              <w:pStyle w:val="TableTextSmall"/>
              <w:jc w:val="center"/>
              <w:cnfStyle w:val="000000000000" w:firstRow="0" w:lastRow="0" w:firstColumn="0" w:lastColumn="0" w:oddVBand="0" w:evenVBand="0" w:oddHBand="0" w:evenHBand="0" w:firstRowFirstColumn="0" w:firstRowLastColumn="0" w:lastRowFirstColumn="0" w:lastRowLastColumn="0"/>
            </w:pPr>
            <w:r w:rsidRPr="000E3534">
              <w:t>8</w:t>
            </w:r>
          </w:p>
        </w:tc>
        <w:tc>
          <w:tcPr>
            <w:tcW w:w="2520" w:type="dxa"/>
          </w:tcPr>
          <w:p w14:paraId="0A28EB48" w14:textId="77777777" w:rsidR="000B1C9E" w:rsidRPr="000E3534" w:rsidRDefault="000B1C9E" w:rsidP="000B1C9E">
            <w:pPr>
              <w:pStyle w:val="TableTextSmall"/>
              <w:jc w:val="center"/>
              <w:cnfStyle w:val="000000000000" w:firstRow="0" w:lastRow="0" w:firstColumn="0" w:lastColumn="0" w:oddVBand="0" w:evenVBand="0" w:oddHBand="0" w:evenHBand="0" w:firstRowFirstColumn="0" w:firstRowLastColumn="0" w:lastRowFirstColumn="0" w:lastRowLastColumn="0"/>
            </w:pPr>
            <w:r w:rsidRPr="000E3534">
              <w:t>23%</w:t>
            </w:r>
          </w:p>
        </w:tc>
      </w:tr>
      <w:tr w:rsidR="000B1C9E" w:rsidRPr="000E3534" w14:paraId="6B12B5B0" w14:textId="77777777" w:rsidTr="00EC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2B2F1D7" w14:textId="77777777" w:rsidR="000B1C9E" w:rsidRPr="000E3534" w:rsidRDefault="000B1C9E" w:rsidP="00EC326F">
            <w:pPr>
              <w:pStyle w:val="TableTextSmall"/>
            </w:pPr>
            <w:r w:rsidRPr="000E3534">
              <w:t>Years not receiving any welfare payments</w:t>
            </w:r>
          </w:p>
        </w:tc>
        <w:tc>
          <w:tcPr>
            <w:tcW w:w="2520" w:type="dxa"/>
          </w:tcPr>
          <w:p w14:paraId="55F4C754" w14:textId="5E02BD85" w:rsidR="000B1C9E" w:rsidRPr="000E3534" w:rsidRDefault="000E3534" w:rsidP="000B1C9E">
            <w:pPr>
              <w:pStyle w:val="TableTextSmall"/>
              <w:jc w:val="center"/>
              <w:cnfStyle w:val="000000100000" w:firstRow="0" w:lastRow="0" w:firstColumn="0" w:lastColumn="0" w:oddVBand="0" w:evenVBand="0" w:oddHBand="1" w:evenHBand="0" w:firstRowFirstColumn="0" w:firstRowLastColumn="0" w:lastRowFirstColumn="0" w:lastRowLastColumn="0"/>
            </w:pPr>
            <w:r w:rsidRPr="000E3534">
              <w:t>15</w:t>
            </w:r>
          </w:p>
        </w:tc>
        <w:tc>
          <w:tcPr>
            <w:tcW w:w="2520" w:type="dxa"/>
          </w:tcPr>
          <w:p w14:paraId="2A8FD608" w14:textId="2D92AB02" w:rsidR="000B1C9E" w:rsidRPr="000E3534" w:rsidRDefault="000E3534" w:rsidP="000B1C9E">
            <w:pPr>
              <w:pStyle w:val="TableTextSmall"/>
              <w:jc w:val="center"/>
              <w:cnfStyle w:val="000000100000" w:firstRow="0" w:lastRow="0" w:firstColumn="0" w:lastColumn="0" w:oddVBand="0" w:evenVBand="0" w:oddHBand="1" w:evenHBand="0" w:firstRowFirstColumn="0" w:firstRowLastColumn="0" w:lastRowFirstColumn="0" w:lastRowLastColumn="0"/>
            </w:pPr>
            <w:r w:rsidRPr="000E3534">
              <w:t>41</w:t>
            </w:r>
            <w:r w:rsidR="000B1C9E" w:rsidRPr="000E3534">
              <w:t>%</w:t>
            </w:r>
          </w:p>
        </w:tc>
      </w:tr>
      <w:tr w:rsidR="000B1C9E" w:rsidRPr="000E3534" w14:paraId="6158B0D5" w14:textId="77777777" w:rsidTr="00EC326F">
        <w:tc>
          <w:tcPr>
            <w:cnfStyle w:val="001000000000" w:firstRow="0" w:lastRow="0" w:firstColumn="1" w:lastColumn="0" w:oddVBand="0" w:evenVBand="0" w:oddHBand="0" w:evenHBand="0" w:firstRowFirstColumn="0" w:firstRowLastColumn="0" w:lastRowFirstColumn="0" w:lastRowLastColumn="0"/>
            <w:tcW w:w="3828" w:type="dxa"/>
          </w:tcPr>
          <w:p w14:paraId="47D11766" w14:textId="77777777" w:rsidR="000B1C9E" w:rsidRPr="000E3534" w:rsidRDefault="000B1C9E" w:rsidP="00EC326F">
            <w:pPr>
              <w:pStyle w:val="TableTextSmall"/>
            </w:pPr>
            <w:r w:rsidRPr="000E3534">
              <w:t>Total</w:t>
            </w:r>
          </w:p>
        </w:tc>
        <w:tc>
          <w:tcPr>
            <w:tcW w:w="2520" w:type="dxa"/>
          </w:tcPr>
          <w:p w14:paraId="3B7B84A3" w14:textId="30FE07CB" w:rsidR="000B1C9E" w:rsidRPr="000E3534" w:rsidRDefault="000B1C9E" w:rsidP="000E3534">
            <w:pPr>
              <w:pStyle w:val="TableTextSmall"/>
              <w:jc w:val="center"/>
              <w:cnfStyle w:val="000000000000" w:firstRow="0" w:lastRow="0" w:firstColumn="0" w:lastColumn="0" w:oddVBand="0" w:evenVBand="0" w:oddHBand="0" w:evenHBand="0" w:firstRowFirstColumn="0" w:firstRowLastColumn="0" w:lastRowFirstColumn="0" w:lastRowLastColumn="0"/>
            </w:pPr>
            <w:r w:rsidRPr="000E3534">
              <w:t>3</w:t>
            </w:r>
            <w:r w:rsidR="000E3534" w:rsidRPr="000E3534">
              <w:t>7</w:t>
            </w:r>
          </w:p>
        </w:tc>
        <w:tc>
          <w:tcPr>
            <w:tcW w:w="2520" w:type="dxa"/>
          </w:tcPr>
          <w:p w14:paraId="0C9C403A" w14:textId="77777777" w:rsidR="000B1C9E" w:rsidRPr="000E3534" w:rsidRDefault="000B1C9E" w:rsidP="00EC326F">
            <w:pPr>
              <w:pStyle w:val="TableTextSmall"/>
              <w:jc w:val="center"/>
              <w:cnfStyle w:val="000000000000" w:firstRow="0" w:lastRow="0" w:firstColumn="0" w:lastColumn="0" w:oddVBand="0" w:evenVBand="0" w:oddHBand="0" w:evenHBand="0" w:firstRowFirstColumn="0" w:firstRowLastColumn="0" w:lastRowFirstColumn="0" w:lastRowLastColumn="0"/>
            </w:pPr>
            <w:r w:rsidRPr="000E3534">
              <w:t>100%</w:t>
            </w:r>
          </w:p>
        </w:tc>
      </w:tr>
    </w:tbl>
    <w:p w14:paraId="2284CB53" w14:textId="77777777" w:rsidR="000B1C9E" w:rsidRPr="000E3534" w:rsidRDefault="000B1C9E" w:rsidP="003D1206">
      <w:pPr>
        <w:pStyle w:val="PwCNormal"/>
        <w:numPr>
          <w:ilvl w:val="0"/>
          <w:numId w:val="0"/>
        </w:numPr>
      </w:pPr>
    </w:p>
    <w:p w14:paraId="5B78F0DD" w14:textId="77777777" w:rsidR="003D1206" w:rsidRPr="000E3534" w:rsidRDefault="003D1206" w:rsidP="003D1206">
      <w:pPr>
        <w:pStyle w:val="PwCNormal"/>
        <w:numPr>
          <w:ilvl w:val="0"/>
          <w:numId w:val="0"/>
        </w:numPr>
        <w:sectPr w:rsidR="003D1206" w:rsidRPr="000E3534" w:rsidSect="00CC5ACB">
          <w:headerReference w:type="even" r:id="rId165"/>
          <w:headerReference w:type="first" r:id="rId166"/>
          <w:footerReference w:type="first" r:id="rId167"/>
          <w:pgSz w:w="11907" w:h="16840" w:code="9"/>
          <w:pgMar w:top="1588" w:right="1021" w:bottom="1418" w:left="1021" w:header="567" w:footer="567" w:gutter="0"/>
          <w:cols w:space="227"/>
          <w:docGrid w:linePitch="360"/>
        </w:sectPr>
      </w:pPr>
    </w:p>
    <w:p w14:paraId="49BD3397" w14:textId="721636C9" w:rsidR="0000452C" w:rsidRPr="00A1077D" w:rsidRDefault="0000452C" w:rsidP="00A55180">
      <w:pPr>
        <w:pStyle w:val="Heading2"/>
      </w:pPr>
      <w:bookmarkStart w:id="246" w:name="_Toc455499453"/>
      <w:bookmarkStart w:id="247" w:name="_Toc455502474"/>
      <w:bookmarkStart w:id="248" w:name="_Ref466493476"/>
      <w:bookmarkStart w:id="249" w:name="_Ref466494284"/>
      <w:bookmarkStart w:id="250" w:name="_Ref466494632"/>
      <w:bookmarkStart w:id="251" w:name="_Ref466494880"/>
      <w:bookmarkStart w:id="252" w:name="_Toc506388236"/>
      <w:bookmarkEnd w:id="238"/>
      <w:bookmarkEnd w:id="239"/>
      <w:r w:rsidRPr="00A1077D">
        <w:lastRenderedPageBreak/>
        <w:t>Results for non-</w:t>
      </w:r>
      <w:r w:rsidR="00EF2B1A" w:rsidRPr="00A1077D">
        <w:t>welfare recipient</w:t>
      </w:r>
      <w:r w:rsidRPr="00A1077D">
        <w:t>s</w:t>
      </w:r>
      <w:bookmarkEnd w:id="246"/>
      <w:bookmarkEnd w:id="247"/>
      <w:bookmarkEnd w:id="248"/>
      <w:bookmarkEnd w:id="249"/>
      <w:bookmarkEnd w:id="250"/>
      <w:bookmarkEnd w:id="251"/>
      <w:bookmarkEnd w:id="252"/>
    </w:p>
    <w:p w14:paraId="1146D57E" w14:textId="77777777" w:rsidR="004F46FE" w:rsidRPr="00D7279A" w:rsidRDefault="004F46FE" w:rsidP="004F46FE">
      <w:pPr>
        <w:pStyle w:val="PwCNormal"/>
        <w:numPr>
          <w:ilvl w:val="0"/>
          <w:numId w:val="0"/>
        </w:numPr>
      </w:pPr>
      <w:bookmarkStart w:id="253" w:name="_Ref466418087"/>
      <w:bookmarkStart w:id="254" w:name="_Ref466418867"/>
      <w:r>
        <w:t>In this section, we continue to discuss the profile of the classes and the key considerations for setting the assumptions, and the class-level lifetime cost results</w:t>
      </w:r>
      <w:r w:rsidRPr="001E518A">
        <w:t>.</w:t>
      </w:r>
      <w:r>
        <w:t xml:space="preserve"> This section covers the non welfare recipient classes.</w:t>
      </w:r>
    </w:p>
    <w:p w14:paraId="0CFB7144" w14:textId="1760FC2E" w:rsidR="007005FE" w:rsidRPr="0057506F" w:rsidRDefault="004F46FE" w:rsidP="00156206">
      <w:pPr>
        <w:pStyle w:val="PwCNormal"/>
        <w:numPr>
          <w:ilvl w:val="0"/>
          <w:numId w:val="0"/>
        </w:numPr>
      </w:pPr>
      <w:r w:rsidRPr="005069F9">
        <w:t>There are 16.6 million people in the model who are non-welfare recipients representing 67.4% of the total model population and capturin</w:t>
      </w:r>
      <w:r w:rsidRPr="009D512E">
        <w:t>g</w:t>
      </w:r>
      <w:r w:rsidR="009D512E" w:rsidRPr="009D512E">
        <w:t xml:space="preserve"> </w:t>
      </w:r>
      <w:r w:rsidRPr="009D512E">
        <w:t>54</w:t>
      </w:r>
      <w:r w:rsidR="009D512E" w:rsidRPr="009D512E">
        <w:t>.4</w:t>
      </w:r>
      <w:r w:rsidRPr="009D512E">
        <w:t>% o</w:t>
      </w:r>
      <w:r w:rsidRPr="005069F9">
        <w:t xml:space="preserve">f the lifetime cost. Despite currently not being in receipt of welfare, every person in the population has some chance of accessing welfare over the course of their life and therefore </w:t>
      </w:r>
      <w:r>
        <w:t>all Australians have</w:t>
      </w:r>
      <w:r w:rsidRPr="005069F9">
        <w:t xml:space="preserve"> a non-zero average lifetime cost. In this section we discuss the lifetime costs for people who are not current welfare recipients (i.e. those in classes 10 and 12).</w:t>
      </w:r>
    </w:p>
    <w:p w14:paraId="59EDF745" w14:textId="77777777" w:rsidR="00362C71" w:rsidRDefault="00362C71" w:rsidP="00362C71">
      <w:pPr>
        <w:pStyle w:val="Heading3"/>
      </w:pPr>
      <w:bookmarkStart w:id="255" w:name="_Toc506388237"/>
      <w:r w:rsidRPr="00C65E5F">
        <w:t>Previous welfare recipients</w:t>
      </w:r>
      <w:bookmarkEnd w:id="253"/>
      <w:bookmarkEnd w:id="254"/>
      <w:bookmarkEnd w:id="2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outlines key points from this report section."/>
      </w:tblPr>
      <w:tblGrid>
        <w:gridCol w:w="10081"/>
      </w:tblGrid>
      <w:tr w:rsidR="007629AE" w:rsidRPr="009210D0" w14:paraId="0A37887D" w14:textId="77777777" w:rsidTr="007B0A8D">
        <w:trPr>
          <w:tblHeader/>
        </w:trPr>
        <w:tc>
          <w:tcPr>
            <w:tcW w:w="10081" w:type="dxa"/>
            <w:shd w:val="clear" w:color="auto" w:fill="F3ABA4" w:themeFill="accent6" w:themeFillTint="66"/>
          </w:tcPr>
          <w:p w14:paraId="31E95B95" w14:textId="77777777" w:rsidR="007629AE" w:rsidRPr="009D512E" w:rsidRDefault="007629AE" w:rsidP="007B0A8D">
            <w:pPr>
              <w:pStyle w:val="PwCNormal"/>
              <w:numPr>
                <w:ilvl w:val="0"/>
                <w:numId w:val="0"/>
              </w:numPr>
              <w:rPr>
                <w:b/>
              </w:rPr>
            </w:pPr>
            <w:r w:rsidRPr="009D512E">
              <w:rPr>
                <w:b/>
              </w:rPr>
              <w:t>Key points</w:t>
            </w:r>
          </w:p>
          <w:p w14:paraId="6D7419AA" w14:textId="6CCA6B5B" w:rsidR="009D512E" w:rsidRPr="009D512E" w:rsidRDefault="00C40B7F" w:rsidP="009D512E">
            <w:pPr>
              <w:pStyle w:val="PwCNormal"/>
              <w:numPr>
                <w:ilvl w:val="0"/>
                <w:numId w:val="0"/>
              </w:numPr>
              <w:rPr>
                <w:snapToGrid/>
              </w:rPr>
            </w:pPr>
            <w:r>
              <w:t xml:space="preserve">There were 4,490,000 people (or </w:t>
            </w:r>
            <w:r w:rsidR="009D512E" w:rsidRPr="009D512E">
              <w:t>18% of the Australian population</w:t>
            </w:r>
            <w:r>
              <w:t>)</w:t>
            </w:r>
            <w:r w:rsidR="009D512E" w:rsidRPr="009D512E">
              <w:t xml:space="preserve"> in the previous welfare recipients class at 30 June 2017</w:t>
            </w:r>
            <w:r w:rsidR="00A925D1">
              <w:t xml:space="preserve"> i.e. they have received welfare since the data started in July 2001, but are not currently receiving welfare</w:t>
            </w:r>
            <w:r w:rsidR="009D512E" w:rsidRPr="009D512E">
              <w:t xml:space="preserve">. 34% of this class recently left the welfare system (within the last </w:t>
            </w:r>
            <w:r w:rsidR="00D52134">
              <w:t>one</w:t>
            </w:r>
            <w:r w:rsidR="006948E9">
              <w:t xml:space="preserve"> to </w:t>
            </w:r>
            <w:r w:rsidR="00D52134">
              <w:t>three</w:t>
            </w:r>
            <w:r w:rsidR="009D512E" w:rsidRPr="009D512E">
              <w:t xml:space="preserve"> years).</w:t>
            </w:r>
          </w:p>
          <w:p w14:paraId="1A096EAB" w14:textId="1CCFFFE4" w:rsidR="009D512E" w:rsidRPr="009D512E" w:rsidRDefault="009D512E" w:rsidP="009D512E">
            <w:pPr>
              <w:pStyle w:val="ListBullet"/>
            </w:pPr>
            <w:r w:rsidRPr="009D512E">
              <w:t xml:space="preserve">Most </w:t>
            </w:r>
            <w:r w:rsidR="00C40B7F">
              <w:t>of the previous welfare recipients were using w</w:t>
            </w:r>
            <w:r w:rsidRPr="009D512E">
              <w:t xml:space="preserve">orking </w:t>
            </w:r>
            <w:r w:rsidR="00C40B7F">
              <w:t>a</w:t>
            </w:r>
            <w:r w:rsidRPr="009D512E">
              <w:t xml:space="preserve">ge or </w:t>
            </w:r>
            <w:r w:rsidR="005B3E7D">
              <w:t>non income</w:t>
            </w:r>
            <w:r w:rsidRPr="009D512E">
              <w:t xml:space="preserve"> support family payments</w:t>
            </w:r>
            <w:r w:rsidR="00C40B7F">
              <w:t xml:space="preserve"> prior to exiting</w:t>
            </w:r>
            <w:r w:rsidRPr="009D512E">
              <w:t xml:space="preserve">. The number of people leaving the system has been increasing over the last three years. </w:t>
            </w:r>
          </w:p>
          <w:p w14:paraId="76E75CC7" w14:textId="77777777" w:rsidR="009D512E" w:rsidRPr="009D512E" w:rsidRDefault="009D512E" w:rsidP="009D512E">
            <w:pPr>
              <w:pStyle w:val="ListBullet"/>
            </w:pPr>
            <w:r w:rsidRPr="009D512E">
              <w:t>The number of people re-entering the welfare system each year has been relatively stable (approximately 300,000 people per year) with most people re-entering onto working age or family payments.</w:t>
            </w:r>
          </w:p>
          <w:p w14:paraId="606B2A02" w14:textId="52DA8D7F" w:rsidR="007629AE" w:rsidRPr="009D512E" w:rsidRDefault="00AA5E92" w:rsidP="00AA5E92">
            <w:pPr>
              <w:pStyle w:val="ListBullet"/>
            </w:pPr>
            <w:r>
              <w:t>People whose parents have a more intensive history of welfare use tend to be more likely to re-enter the welfare system again after exiting</w:t>
            </w:r>
            <w:r w:rsidR="009D512E" w:rsidRPr="009D512E">
              <w:t>.</w:t>
            </w:r>
          </w:p>
        </w:tc>
      </w:tr>
    </w:tbl>
    <w:p w14:paraId="5493A032" w14:textId="439332D7" w:rsidR="004F46FE" w:rsidRPr="00821A76" w:rsidRDefault="004F46FE" w:rsidP="004F46FE">
      <w:pPr>
        <w:pStyle w:val="PwCNormal"/>
        <w:numPr>
          <w:ilvl w:val="0"/>
          <w:numId w:val="1"/>
        </w:numPr>
      </w:pPr>
      <w:r w:rsidRPr="00821A76">
        <w:t>There were 4,4</w:t>
      </w:r>
      <w:r w:rsidR="00B513F7">
        <w:t>90,000</w:t>
      </w:r>
      <w:r w:rsidRPr="00821A76">
        <w:t xml:space="preserve"> people in the previous welfare recipients class in the 2017 model population. This represents 18.2% of the population of Australia which is a</w:t>
      </w:r>
      <w:r>
        <w:t>n</w:t>
      </w:r>
      <w:r w:rsidRPr="00821A76">
        <w:t xml:space="preserve"> </w:t>
      </w:r>
      <w:r>
        <w:t>in</w:t>
      </w:r>
      <w:r w:rsidRPr="00821A76">
        <w:t xml:space="preserve">crease from </w:t>
      </w:r>
      <w:r>
        <w:t>17.3%</w:t>
      </w:r>
      <w:r w:rsidRPr="00821A76">
        <w:t xml:space="preserve"> at the previous valuation.</w:t>
      </w:r>
      <w:r w:rsidR="008457CA">
        <w:t xml:space="preserve"> Part of this increase is expected, reflecting the increasing length of time captured within the welfare dataset.</w:t>
      </w:r>
    </w:p>
    <w:p w14:paraId="5963D122" w14:textId="3E758305" w:rsidR="00AE6C45" w:rsidRPr="00AE38E5" w:rsidRDefault="004F46FE" w:rsidP="004F46FE">
      <w:pPr>
        <w:pStyle w:val="PwCNormal"/>
        <w:numPr>
          <w:ilvl w:val="0"/>
          <w:numId w:val="0"/>
        </w:numPr>
      </w:pPr>
      <w:r w:rsidRPr="00821A76">
        <w:t xml:space="preserve">The following chart shows a breakdown of the number of people in </w:t>
      </w:r>
      <w:r>
        <w:t xml:space="preserve">the </w:t>
      </w:r>
      <w:r w:rsidRPr="00821A76">
        <w:t>previous welfare recipients class</w:t>
      </w:r>
      <w:r w:rsidRPr="00AE38E5">
        <w:t xml:space="preserve"> by age and gender.</w:t>
      </w:r>
    </w:p>
    <w:p w14:paraId="655AEE8D" w14:textId="011244DD" w:rsidR="00AE6C45" w:rsidRPr="008A16DF" w:rsidRDefault="00AE6C45" w:rsidP="00AE6C45">
      <w:pPr>
        <w:pStyle w:val="Caption"/>
      </w:pPr>
      <w:r w:rsidRPr="008A16DF">
        <w:t xml:space="preserve">Figure </w:t>
      </w:r>
      <w:fldSimple w:instr=" SEQ Figure \* ARABIC ">
        <w:r w:rsidR="00C93C1A">
          <w:rPr>
            <w:noProof/>
          </w:rPr>
          <w:t>96</w:t>
        </w:r>
      </w:fldSimple>
      <w:r w:rsidRPr="008A16DF">
        <w:t xml:space="preserve">: 2017 profile of people in </w:t>
      </w:r>
      <w:r w:rsidR="00871E70">
        <w:t>c</w:t>
      </w:r>
      <w:r w:rsidRPr="008A16DF">
        <w:t>lass 10 – previous welfare recipients (age/gender)</w:t>
      </w:r>
    </w:p>
    <w:tbl>
      <w:tblPr>
        <w:tblStyle w:val="Tables-APBase"/>
        <w:tblW w:w="379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096"/>
        <w:gridCol w:w="1560"/>
      </w:tblGrid>
      <w:tr w:rsidR="00AE6C45" w:rsidRPr="009210D0" w14:paraId="34D11946" w14:textId="77777777" w:rsidTr="00AE6C45">
        <w:trPr>
          <w:tblHeader/>
        </w:trPr>
        <w:tc>
          <w:tcPr>
            <w:tcW w:w="6096" w:type="dxa"/>
          </w:tcPr>
          <w:p w14:paraId="6C7E71F5" w14:textId="77777777" w:rsidR="00AE6C45" w:rsidRPr="008A16DF" w:rsidRDefault="00AE6C45" w:rsidP="00AE6C45">
            <w:pPr>
              <w:pStyle w:val="TableTextSmall"/>
              <w:keepNext/>
              <w:rPr>
                <w:lang w:eastAsia="en-AU"/>
              </w:rPr>
            </w:pPr>
            <w:r w:rsidRPr="008A16DF">
              <w:rPr>
                <w:noProof/>
                <w:lang w:eastAsia="en-AU"/>
              </w:rPr>
              <w:drawing>
                <wp:inline distT="0" distB="0" distL="0" distR="0" wp14:anchorId="7A7038D7" wp14:editId="272F2BDD">
                  <wp:extent cx="3652800" cy="2160000"/>
                  <wp:effectExtent l="0" t="0" r="5080" b="0"/>
                  <wp:docPr id="310" name="Picture 310" descr="This figure is a horizontal bar chart showing the number of people in the Previous Welfare Recipient class at Jun17 by age for males and females separately. The vertical axis shows age with the data shown ranging from 1 to 90. The horizontal axis shows the number of people ranging from 0 to 100,000. The number of males at each age are shown by the horizontal bars to the left of the vertical axis and the number of females at each age are shown by horizontal bars to the right.&#10;&#10;The chart is based on the 4,490,000 individuals who were in the Previous Welfare Recipient class class at 30 June 2017. &#10;&#10;The chart shows that most people in this class are between the ages of 15 and 90. The number of females peaks at approximately 51,000 at age 27 and then decreases to approximately 32,000 at age 38 before peaking again at approximately 81,000 at age 54. The number of males peaks at approximately 68,000 at age 32 and decreases steadily with age to approximately 18,000 at age 64.&#10;&#10;There are approximately 2,000 males and 2,700 females at each age from 70 to 90.&#10;" title="2017 profile of people in class 10 – previous welfare recipients (age/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652800" cy="2160000"/>
                          </a:xfrm>
                          <a:prstGeom prst="rect">
                            <a:avLst/>
                          </a:prstGeom>
                          <a:noFill/>
                          <a:ln>
                            <a:noFill/>
                          </a:ln>
                        </pic:spPr>
                      </pic:pic>
                    </a:graphicData>
                  </a:graphic>
                </wp:inline>
              </w:drawing>
            </w:r>
          </w:p>
        </w:tc>
        <w:tc>
          <w:tcPr>
            <w:tcW w:w="1560" w:type="dxa"/>
          </w:tcPr>
          <w:p w14:paraId="49E6C2EF" w14:textId="77777777" w:rsidR="00AE6C45" w:rsidRPr="008A16DF" w:rsidRDefault="00AE6C45" w:rsidP="00AE6C45">
            <w:pPr>
              <w:pStyle w:val="TableTextSmall"/>
              <w:keepNext/>
              <w:rPr>
                <w:lang w:eastAsia="en-AU"/>
              </w:rPr>
            </w:pPr>
          </w:p>
        </w:tc>
      </w:tr>
    </w:tbl>
    <w:p w14:paraId="32904719" w14:textId="77777777" w:rsidR="004F46FE" w:rsidRPr="008A16DF" w:rsidRDefault="004F46FE" w:rsidP="004F46FE">
      <w:pPr>
        <w:pStyle w:val="PwCNormal"/>
        <w:numPr>
          <w:ilvl w:val="0"/>
          <w:numId w:val="0"/>
        </w:numPr>
      </w:pPr>
      <w:r>
        <w:t>From the chart, w</w:t>
      </w:r>
      <w:r w:rsidRPr="008A16DF">
        <w:t xml:space="preserve">e can see that there are more men in this class at younger ages (20 to 40) and more women at older ages (40 to 60). This is most likely due to </w:t>
      </w:r>
      <w:r>
        <w:t>the higher use of family payments by women at younger ages resulting in a lower number of them being outside the system while young, and a higher number being previous recipients when they are then older.</w:t>
      </w:r>
    </w:p>
    <w:p w14:paraId="640466D7" w14:textId="77777777" w:rsidR="004F46FE" w:rsidRDefault="004F46FE" w:rsidP="004F46FE">
      <w:pPr>
        <w:pStyle w:val="PwCNormal"/>
        <w:numPr>
          <w:ilvl w:val="0"/>
          <w:numId w:val="0"/>
        </w:numPr>
      </w:pPr>
      <w:r w:rsidRPr="008A16DF">
        <w:t xml:space="preserve">Some of the people have been in the previous welfare recipients class for only a short period; others have been there for longer, up to </w:t>
      </w:r>
      <w:r w:rsidRPr="00CD6B82">
        <w:t>the maximum of the 16 years available from the data provided. As successive years of data are added to the modelling dataset over time this class will continue to grow and the maximum time in class will increase. This increasing length of captured previous welfare use is likely to increase the number of people in the class at older ages, gradually</w:t>
      </w:r>
      <w:r>
        <w:t xml:space="preserve"> changing</w:t>
      </w:r>
      <w:r w:rsidRPr="00E56C48">
        <w:t xml:space="preserve"> the demographic mix of the class.</w:t>
      </w:r>
      <w:r>
        <w:t xml:space="preserve"> </w:t>
      </w:r>
    </w:p>
    <w:p w14:paraId="17EA415E" w14:textId="77777777" w:rsidR="004F46FE" w:rsidRPr="00E56C48" w:rsidRDefault="004F46FE" w:rsidP="004F46FE">
      <w:pPr>
        <w:pStyle w:val="Minorheading"/>
      </w:pPr>
      <w:r w:rsidRPr="00E56C48">
        <w:lastRenderedPageBreak/>
        <w:t>Movements into and out of this class</w:t>
      </w:r>
    </w:p>
    <w:p w14:paraId="10DA5EE9" w14:textId="0EBCC4F2" w:rsidR="004F46FE" w:rsidRPr="002A7553" w:rsidRDefault="004F46FE" w:rsidP="004F46FE">
      <w:pPr>
        <w:pStyle w:val="PwCNormal"/>
        <w:numPr>
          <w:ilvl w:val="0"/>
          <w:numId w:val="1"/>
        </w:numPr>
      </w:pPr>
      <w:r w:rsidRPr="00E53C34">
        <w:t xml:space="preserve">Over the last </w:t>
      </w:r>
      <w:r w:rsidR="007A314E">
        <w:t>three</w:t>
      </w:r>
      <w:r w:rsidRPr="00E53C34">
        <w:t xml:space="preserve"> years, an average of 573,100 people (around 13.7% of the people in this class) per annum exit</w:t>
      </w:r>
      <w:r>
        <w:t>ed</w:t>
      </w:r>
      <w:r w:rsidRPr="00E53C34">
        <w:t xml:space="preserve"> their current welfare classes into this class. Over</w:t>
      </w:r>
      <w:r w:rsidRPr="002A7553">
        <w:t xml:space="preserve"> this same period a</w:t>
      </w:r>
      <w:r>
        <w:t>n average of 287</w:t>
      </w:r>
      <w:r w:rsidRPr="002A7553">
        <w:t>,</w:t>
      </w:r>
      <w:r>
        <w:t>8</w:t>
      </w:r>
      <w:r w:rsidRPr="002A7553">
        <w:t xml:space="preserve">00 people (around </w:t>
      </w:r>
      <w:r>
        <w:t>6</w:t>
      </w:r>
      <w:r w:rsidRPr="002A7553">
        <w:t xml:space="preserve">.9% of people in this class) per annum </w:t>
      </w:r>
      <w:r>
        <w:t>have re-entered the welfare system by transitioning out of this previous welfare recipients class.</w:t>
      </w:r>
    </w:p>
    <w:p w14:paraId="72BC04AE" w14:textId="2477C71F" w:rsidR="00AE6C45" w:rsidRPr="0057506F" w:rsidRDefault="004F46FE" w:rsidP="004F46FE">
      <w:pPr>
        <w:pStyle w:val="PwCNormal"/>
        <w:numPr>
          <w:ilvl w:val="0"/>
          <w:numId w:val="1"/>
        </w:numPr>
      </w:pPr>
      <w:r w:rsidRPr="00063A00">
        <w:t>The following chart shows the breakdown of these transitions by previous</w:t>
      </w:r>
      <w:r>
        <w:t>/destination</w:t>
      </w:r>
      <w:r w:rsidRPr="00063A00">
        <w:t xml:space="preserve"> class and year of transition.</w:t>
      </w:r>
      <w:r w:rsidR="00AE6C45" w:rsidRPr="00063A00">
        <w:t xml:space="preserve"> </w:t>
      </w:r>
    </w:p>
    <w:p w14:paraId="320C853E" w14:textId="34E89532" w:rsidR="00AE6C45" w:rsidRPr="0057506F" w:rsidRDefault="00AE6C45" w:rsidP="00AE6C45">
      <w:pPr>
        <w:pStyle w:val="Caption"/>
      </w:pPr>
      <w:r w:rsidRPr="00A716AE">
        <w:t xml:space="preserve">Figure </w:t>
      </w:r>
      <w:fldSimple w:instr=" SEQ Figure \* ARABIC ">
        <w:r w:rsidR="00C93C1A">
          <w:rPr>
            <w:noProof/>
          </w:rPr>
          <w:t>97</w:t>
        </w:r>
      </w:fldSimple>
      <w:r w:rsidRPr="00A716AE">
        <w:t>: Number of peo</w:t>
      </w:r>
      <w:r>
        <w:t xml:space="preserve">ple entering and exiting </w:t>
      </w:r>
      <w:r w:rsidR="00871E70">
        <w:t>c</w:t>
      </w:r>
      <w:r>
        <w:t>lass 10</w:t>
      </w:r>
      <w:r w:rsidRPr="00A716AE">
        <w:t xml:space="preserve"> – </w:t>
      </w:r>
      <w:r>
        <w:t>Previous Welfare Recipient</w:t>
      </w:r>
    </w:p>
    <w:p w14:paraId="25606315" w14:textId="77777777" w:rsidR="00AE6C45" w:rsidRPr="0057506F" w:rsidRDefault="00AE6C45" w:rsidP="00AE6C45">
      <w:pPr>
        <w:pStyle w:val="PwCNormal"/>
        <w:numPr>
          <w:ilvl w:val="0"/>
          <w:numId w:val="0"/>
        </w:numPr>
      </w:pPr>
      <w:r w:rsidRPr="0009615A">
        <w:rPr>
          <w:noProof/>
          <w:lang w:eastAsia="en-AU"/>
        </w:rPr>
        <w:drawing>
          <wp:inline distT="0" distB="0" distL="0" distR="0" wp14:anchorId="72EB4839" wp14:editId="42296153">
            <wp:extent cx="6264275" cy="2168107"/>
            <wp:effectExtent l="0" t="0" r="3175" b="3810"/>
            <wp:docPr id="307" name="Picture 307" descr="This figure is a stacked column chart with ten columns. The vertical axis displays &#10;the number of people ranging from 0 to 700,000. &#10;&#10;The horizontal axis is split into two sections; the first five columns show the numbers of entrants into the Previous Welfare Recipient class and the second five columns show the number of exits from the Previous Welfare Recipient class. In each section, the set of five columns represent the last five financial years; 2013, 2014, 2015, 2016 and 2017. &#10;&#10;For the first section, the columns showing the number of entrants into the Previous Welfare Recipient class for each financial year are split into previous class. These classes include; 1 Studying, 2 Working Age, 3 Parents, 4 Carers, 5 Disability Support, 6 Pension Age, 7 Non IS Family, 8 Non IS Carer, 9 Non IS Other, 11 Dead and 12 Rest of the Australian Population. &#10;&#10;The chart shows that the number of entries into Class 10 were; 490,000 in 2013, 469,000 in 2014, 556,000 in 2015, 563,000 in 2016 and 601,000 in 2017. The majority of entrants come from Class 2 Working Age or Class 7 Non IS Family. &#10;&#10;For the second section, the columns showing the number of exits from the Previous Welfare Recipient class for each financial year are split into destination class. These classes include; 1 Studying, 2 Working Age, 3 Parents, 4 Carers, 5 Disability Support, 6 Pension Age, 7 Non IS Family, 8 Non IS Carer, 9 Non IS Other, 11 Dead and 12 Rest of the Australian Population. &#10;&#10;The chart shows that the number of exits out of Class 10 were; 291,000 in 2013, 311,000 in 2014, 298,000 in 2015, 301,000 in 2016 and 265,000 in 2017. The majority of individuals who exit move to Class 2 Working Age or Class 9 Non IS Other. &#10;&#10;Further discussion of the key features shown in the chart can be found in the accompanying text within the report.&#10;" title="Number of people entering and exiting class 10 – Previous Welfare Recip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264275" cy="2168107"/>
                    </a:xfrm>
                    <a:prstGeom prst="rect">
                      <a:avLst/>
                    </a:prstGeom>
                    <a:noFill/>
                    <a:ln>
                      <a:noFill/>
                    </a:ln>
                  </pic:spPr>
                </pic:pic>
              </a:graphicData>
            </a:graphic>
          </wp:inline>
        </w:drawing>
      </w:r>
    </w:p>
    <w:p w14:paraId="7DC5E202" w14:textId="77777777" w:rsidR="00AE6C45" w:rsidRPr="0057506F" w:rsidRDefault="00AE6C45" w:rsidP="00AE6C45">
      <w:pPr>
        <w:pStyle w:val="PwCNormal"/>
        <w:numPr>
          <w:ilvl w:val="0"/>
          <w:numId w:val="1"/>
        </w:numPr>
        <w:jc w:val="center"/>
      </w:pPr>
      <w:r w:rsidRPr="0009615A">
        <w:rPr>
          <w:noProof/>
          <w:lang w:eastAsia="en-AU"/>
        </w:rPr>
        <w:drawing>
          <wp:inline distT="0" distB="0" distL="0" distR="0" wp14:anchorId="4737F64C" wp14:editId="4A3999BF">
            <wp:extent cx="5385600" cy="468000"/>
            <wp:effectExtent l="0" t="0" r="0" b="8255"/>
            <wp:docPr id="407" name="Picture 407" descr="Class key: studying, working age, parents, carers, disability support, pension age, non-income support family, non-income support carer, non-income support other, previous welfare recipient, rest of the Australian population and dead. &#10;" title="Class 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7568AFD5" w14:textId="77777777" w:rsidR="004F46FE" w:rsidRDefault="004F46FE" w:rsidP="004F46FE">
      <w:pPr>
        <w:pStyle w:val="PwCNormal"/>
        <w:numPr>
          <w:ilvl w:val="0"/>
          <w:numId w:val="1"/>
        </w:numPr>
      </w:pPr>
      <w:r w:rsidRPr="000B0316">
        <w:t>We can see that most people exiting the welfare system</w:t>
      </w:r>
      <w:r>
        <w:t xml:space="preserve"> (see left hand side of chart on entries into class 10)</w:t>
      </w:r>
      <w:r w:rsidRPr="000B0316">
        <w:t xml:space="preserve"> are leaving from ‘1 Studying’, class ‘2 Working Age’ and class ‘7 Non IS Family’. People in other classes are more likely to either not exit the welfare system (other than through death), or to transition to another class prior to exiting.</w:t>
      </w:r>
    </w:p>
    <w:p w14:paraId="4C2E6601" w14:textId="77777777" w:rsidR="004F46FE" w:rsidRPr="00E53C34" w:rsidRDefault="004F46FE" w:rsidP="004F46FE">
      <w:pPr>
        <w:pStyle w:val="PwCNormal"/>
        <w:numPr>
          <w:ilvl w:val="0"/>
          <w:numId w:val="1"/>
        </w:numPr>
      </w:pPr>
      <w:r w:rsidRPr="00E53C34">
        <w:t xml:space="preserve">The main re-entries from this class </w:t>
      </w:r>
      <w:r>
        <w:t xml:space="preserve">(see right hand side of chart on exits from class 10) </w:t>
      </w:r>
      <w:r w:rsidRPr="00E53C34">
        <w:t>are through movements into class ‘2 Working Age’ and ‘9 Non IS Other’ (most of those re-entering into class 9 subsequently transition to class ‘7 Non IS Family’).</w:t>
      </w:r>
    </w:p>
    <w:p w14:paraId="2B0C164C" w14:textId="77777777" w:rsidR="004F46FE" w:rsidRPr="00E53C34" w:rsidRDefault="004F46FE" w:rsidP="004F46FE">
      <w:pPr>
        <w:pStyle w:val="Minorheading"/>
        <w:numPr>
          <w:ilvl w:val="0"/>
          <w:numId w:val="1"/>
        </w:numPr>
      </w:pPr>
      <w:r w:rsidRPr="00E53C34">
        <w:t>Payments received</w:t>
      </w:r>
    </w:p>
    <w:p w14:paraId="09C02499" w14:textId="41F0BC98" w:rsidR="004F46FE" w:rsidRPr="00E53C34" w:rsidRDefault="004F46FE" w:rsidP="004F46FE">
      <w:pPr>
        <w:pStyle w:val="PwCNormal"/>
        <w:numPr>
          <w:ilvl w:val="0"/>
          <w:numId w:val="0"/>
        </w:numPr>
      </w:pPr>
      <w:r w:rsidRPr="00E53C34">
        <w:t xml:space="preserve">No payments are received while people </w:t>
      </w:r>
      <w:r>
        <w:t xml:space="preserve">are </w:t>
      </w:r>
      <w:r w:rsidRPr="00E53C34">
        <w:t xml:space="preserve">in this class. Payments may be received by this group upon re-entry into an active welfare recipients and these are covered in </w:t>
      </w:r>
      <w:r w:rsidRPr="008D5472">
        <w:t xml:space="preserve">sections </w:t>
      </w:r>
      <w:r w:rsidR="008D5472">
        <w:fldChar w:fldCharType="begin"/>
      </w:r>
      <w:r w:rsidR="008D5472">
        <w:instrText xml:space="preserve"> REF _Ref498433566 \r \h </w:instrText>
      </w:r>
      <w:r w:rsidR="008D5472">
        <w:fldChar w:fldCharType="separate"/>
      </w:r>
      <w:r w:rsidR="00C93C1A">
        <w:t>6</w:t>
      </w:r>
      <w:r w:rsidR="008D5472">
        <w:fldChar w:fldCharType="end"/>
      </w:r>
      <w:r w:rsidRPr="008D5472">
        <w:t xml:space="preserve"> and </w:t>
      </w:r>
      <w:r w:rsidR="008D5472">
        <w:fldChar w:fldCharType="begin"/>
      </w:r>
      <w:r w:rsidR="008D5472">
        <w:instrText xml:space="preserve"> REF _Ref466373125 \r \h </w:instrText>
      </w:r>
      <w:r w:rsidR="008D5472">
        <w:fldChar w:fldCharType="separate"/>
      </w:r>
      <w:r w:rsidR="00C93C1A">
        <w:t>7</w:t>
      </w:r>
      <w:r w:rsidR="008D5472">
        <w:fldChar w:fldCharType="end"/>
      </w:r>
      <w:r w:rsidRPr="008D5472">
        <w:t>.</w:t>
      </w:r>
    </w:p>
    <w:p w14:paraId="2B48C3E5" w14:textId="77777777" w:rsidR="004F46FE" w:rsidRPr="00880ACE" w:rsidRDefault="004F46FE" w:rsidP="004F46FE">
      <w:pPr>
        <w:pStyle w:val="Heading4"/>
      </w:pPr>
      <w:r w:rsidRPr="00880ACE">
        <w:t>Changes in model fitting this valuation</w:t>
      </w:r>
    </w:p>
    <w:p w14:paraId="218FF884" w14:textId="123CBB02" w:rsidR="004F46FE" w:rsidRPr="00874C4A" w:rsidRDefault="004F46FE" w:rsidP="00964D65">
      <w:pPr>
        <w:pStyle w:val="PwCNormal"/>
        <w:numPr>
          <w:ilvl w:val="0"/>
          <w:numId w:val="33"/>
        </w:numPr>
      </w:pPr>
      <w:r w:rsidRPr="00C65E5F">
        <w:t xml:space="preserve">At this valuation we </w:t>
      </w:r>
      <w:r>
        <w:t xml:space="preserve">enhanced the re-entry model by </w:t>
      </w:r>
      <w:r w:rsidRPr="00C65E5F">
        <w:t>incorporat</w:t>
      </w:r>
      <w:r>
        <w:t>ing</w:t>
      </w:r>
      <w:r w:rsidRPr="00C65E5F">
        <w:t xml:space="preserve"> information on parental welfare dependency in order to understand the </w:t>
      </w:r>
      <w:r>
        <w:t xml:space="preserve">propensity </w:t>
      </w:r>
      <w:r w:rsidRPr="00C65E5F">
        <w:t xml:space="preserve">of people who grew up in families where welfare </w:t>
      </w:r>
      <w:r w:rsidRPr="008D5472">
        <w:t>dependency was high to enter or re-enter the welfare system. More information on this variable is provided in section</w:t>
      </w:r>
      <w:r w:rsidR="008D5472" w:rsidRPr="008D5472">
        <w:t xml:space="preserve"> </w:t>
      </w:r>
      <w:r w:rsidR="008D5472" w:rsidRPr="008D5472">
        <w:fldChar w:fldCharType="begin"/>
      </w:r>
      <w:r w:rsidR="008D5472" w:rsidRPr="008D5472">
        <w:instrText xml:space="preserve"> REF _Ref498433629 \r \h </w:instrText>
      </w:r>
      <w:r w:rsidR="008D5472">
        <w:instrText xml:space="preserve"> \* MERGEFORMAT </w:instrText>
      </w:r>
      <w:r w:rsidR="008D5472" w:rsidRPr="008D5472">
        <w:fldChar w:fldCharType="separate"/>
      </w:r>
      <w:r w:rsidR="00C93C1A">
        <w:t>2</w:t>
      </w:r>
      <w:r w:rsidR="008D5472" w:rsidRPr="008D5472">
        <w:fldChar w:fldCharType="end"/>
      </w:r>
      <w:r w:rsidRPr="008D5472">
        <w:t>. People</w:t>
      </w:r>
      <w:r>
        <w:t xml:space="preserve"> with higher </w:t>
      </w:r>
      <w:r w:rsidRPr="00880ACE">
        <w:t xml:space="preserve">parental welfare dependence </w:t>
      </w:r>
      <w:r>
        <w:t>during their childhood are more likely to re-enter</w:t>
      </w:r>
      <w:r w:rsidRPr="00880ACE">
        <w:t xml:space="preserve"> onto </w:t>
      </w:r>
      <w:r w:rsidR="003C32DF">
        <w:t>Working Age payments</w:t>
      </w:r>
      <w:r w:rsidRPr="00874C4A">
        <w:t xml:space="preserve"> after they have left the welfare system.</w:t>
      </w:r>
    </w:p>
    <w:p w14:paraId="2B3DAF01" w14:textId="77777777" w:rsidR="004F46FE" w:rsidRPr="00874C4A" w:rsidRDefault="004F46FE" w:rsidP="004F46FE">
      <w:pPr>
        <w:pStyle w:val="Heading4"/>
      </w:pPr>
      <w:r w:rsidRPr="00874C4A">
        <w:t>What does the model show for people currently in this class?</w:t>
      </w:r>
    </w:p>
    <w:p w14:paraId="786F850A" w14:textId="77777777" w:rsidR="004F46FE" w:rsidRPr="00874C4A" w:rsidRDefault="004F46FE" w:rsidP="004F46FE">
      <w:pPr>
        <w:pStyle w:val="Minorheading"/>
      </w:pPr>
      <w:r w:rsidRPr="00874C4A">
        <w:t>Lifetime costs</w:t>
      </w:r>
    </w:p>
    <w:p w14:paraId="79F32351" w14:textId="3EDEF6D8" w:rsidR="00362C71" w:rsidRPr="00874C4A" w:rsidRDefault="004F46FE" w:rsidP="00964D65">
      <w:pPr>
        <w:pStyle w:val="PwCNormal"/>
        <w:numPr>
          <w:ilvl w:val="0"/>
          <w:numId w:val="33"/>
        </w:numPr>
      </w:pPr>
      <w:r w:rsidRPr="00874C4A">
        <w:t xml:space="preserve">We estimated the lifetime cost for the people in this class to be </w:t>
      </w:r>
      <w:r w:rsidRPr="00874C4A">
        <w:rPr>
          <w:b/>
        </w:rPr>
        <w:t>$735bn</w:t>
      </w:r>
      <w:r w:rsidRPr="00874C4A">
        <w:t xml:space="preserve"> (or </w:t>
      </w:r>
      <w:r w:rsidRPr="00874C4A">
        <w:rPr>
          <w:b/>
        </w:rPr>
        <w:t>15.7%</w:t>
      </w:r>
      <w:r w:rsidRPr="00874C4A">
        <w:t xml:space="preserve"> of the total lifetime cost). The average lifetime cost for people in this class is </w:t>
      </w:r>
      <w:r w:rsidRPr="00874C4A">
        <w:rPr>
          <w:b/>
        </w:rPr>
        <w:t>$164,000</w:t>
      </w:r>
      <w:r w:rsidRPr="00414ADD">
        <w:t xml:space="preserve">, with the lifetime cost being higher for </w:t>
      </w:r>
      <w:r>
        <w:t>people who have been out of the welfare system for 1</w:t>
      </w:r>
      <w:r w:rsidR="006948E9">
        <w:t xml:space="preserve"> to </w:t>
      </w:r>
      <w:r>
        <w:t>3 years</w:t>
      </w:r>
      <w:r w:rsidRPr="00414ADD">
        <w:t xml:space="preserve"> (</w:t>
      </w:r>
      <w:r>
        <w:rPr>
          <w:b/>
        </w:rPr>
        <w:t>$178</w:t>
      </w:r>
      <w:r w:rsidRPr="00414ADD">
        <w:rPr>
          <w:b/>
        </w:rPr>
        <w:t>,000</w:t>
      </w:r>
      <w:r w:rsidRPr="00414ADD">
        <w:t xml:space="preserve">) than </w:t>
      </w:r>
      <w:r>
        <w:t xml:space="preserve">those people who have been out for longer </w:t>
      </w:r>
      <w:r w:rsidRPr="00414ADD">
        <w:t>(</w:t>
      </w:r>
      <w:r w:rsidRPr="00414ADD">
        <w:rPr>
          <w:b/>
        </w:rPr>
        <w:t>$1</w:t>
      </w:r>
      <w:r>
        <w:rPr>
          <w:b/>
        </w:rPr>
        <w:t>5</w:t>
      </w:r>
      <w:r w:rsidRPr="00414ADD">
        <w:rPr>
          <w:b/>
        </w:rPr>
        <w:t>6,000</w:t>
      </w:r>
      <w:r>
        <w:t>)</w:t>
      </w:r>
      <w:r w:rsidRPr="00874C4A">
        <w:t>. The variation in average lifetime cost by age and gender is illustrated in the figure below.</w:t>
      </w:r>
    </w:p>
    <w:p w14:paraId="7F9EDA7A" w14:textId="59B080DF" w:rsidR="00362C71" w:rsidRPr="00514927" w:rsidRDefault="00362C71" w:rsidP="00362C71">
      <w:pPr>
        <w:pStyle w:val="Caption"/>
      </w:pPr>
      <w:r w:rsidRPr="00514927">
        <w:lastRenderedPageBreak/>
        <w:t xml:space="preserve">Figure </w:t>
      </w:r>
      <w:fldSimple w:instr=" SEQ Figure \* ARABIC ">
        <w:r w:rsidR="00C93C1A">
          <w:rPr>
            <w:noProof/>
          </w:rPr>
          <w:t>98</w:t>
        </w:r>
      </w:fldSimple>
      <w:r w:rsidRPr="00514927">
        <w:t xml:space="preserve">: Average lifetime cost by age and gender </w:t>
      </w:r>
      <w:r w:rsidR="00871E70">
        <w:t xml:space="preserve">(class </w:t>
      </w:r>
      <w:r w:rsidRPr="00514927">
        <w:t>10)</w:t>
      </w:r>
    </w:p>
    <w:tbl>
      <w:tblPr>
        <w:tblStyle w:val="Tables-APBase"/>
        <w:tblW w:w="429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6236"/>
        <w:gridCol w:w="2422"/>
      </w:tblGrid>
      <w:tr w:rsidR="00362C71" w:rsidRPr="009210D0" w14:paraId="5BEC9E7E" w14:textId="77777777" w:rsidTr="00AB2073">
        <w:trPr>
          <w:trHeight w:val="3402"/>
          <w:tblHeader/>
        </w:trPr>
        <w:tc>
          <w:tcPr>
            <w:tcW w:w="6236" w:type="dxa"/>
            <w:hideMark/>
          </w:tcPr>
          <w:p w14:paraId="0C30647F" w14:textId="60596197" w:rsidR="00362C71" w:rsidRPr="00514927" w:rsidRDefault="00AB2073" w:rsidP="00487300">
            <w:pPr>
              <w:pStyle w:val="TableTextSmall"/>
              <w:keepNext/>
              <w:rPr>
                <w:lang w:eastAsia="en-AU"/>
              </w:rPr>
            </w:pPr>
            <w:r w:rsidRPr="00AB2073">
              <w:rPr>
                <w:noProof/>
                <w:lang w:eastAsia="en-AU"/>
              </w:rPr>
              <w:drawing>
                <wp:inline distT="0" distB="0" distL="0" distR="0" wp14:anchorId="2EA58A81" wp14:editId="2E3E87C9">
                  <wp:extent cx="3721024" cy="2160000"/>
                  <wp:effectExtent l="0" t="0" r="0" b="0"/>
                  <wp:docPr id="1032" name="Picture 1032" descr="This figure is a horizontal bar chart showing average lifetime cost by age for males and females separately. The vertical axis shows age with the data shown ranging from 10 to 90. The horizontal axis shows the average lifetime cost with the data shown ranging from $0 to $5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4,490,000 individuals who were in the previous recipients class at 30 June 2017. &#10;&#10;The average lifetime cost of males is relatively stable at approximately $160,000 across ages 20 to 65. Males aged 10 to 20 have a higher average lifetime cost (peaking at approximately $250,000 for people aged 15 due to higher working age and disability support pension components.&#10;&#10;The average lifetime cost of females increases with age from approximately $270,000 at age 12 to $400,000 at age 15. The substantially higher average lifetime cost relative to males is due to higher family components. After age 15, there is a steady reduction in average lifetime cost with age to approximately $160,000 at age 50. This is slightly lower than males of the same age and is due to lower working age and disability support pension components. The average lifetime cost increases with age from ages 55 to 65 to approximately $210,000 at age 65.&#10;&#10;For both males and females aged over 65, there is a substantial reduction in average lifetime cost by age. People aged 70 have an average lifetime cost of approximately $90,000 and people aged 80 have an average lifetime cost of approximately $20,000.&#10;&#10;The features shown in the chart are discussed further in the accompanying text within the report.&#10;" title="Average lifetime cost by age and gender (cla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721024" cy="2160000"/>
                          </a:xfrm>
                          <a:prstGeom prst="rect">
                            <a:avLst/>
                          </a:prstGeom>
                          <a:noFill/>
                          <a:ln>
                            <a:noFill/>
                          </a:ln>
                        </pic:spPr>
                      </pic:pic>
                    </a:graphicData>
                  </a:graphic>
                </wp:inline>
              </w:drawing>
            </w:r>
          </w:p>
        </w:tc>
        <w:tc>
          <w:tcPr>
            <w:tcW w:w="2422" w:type="dxa"/>
          </w:tcPr>
          <w:p w14:paraId="378C1E73" w14:textId="77777777" w:rsidR="00362C71" w:rsidRPr="00514927" w:rsidRDefault="00362C71" w:rsidP="00487300">
            <w:pPr>
              <w:pStyle w:val="TableTextSmall"/>
              <w:keepNext/>
              <w:rPr>
                <w:lang w:eastAsia="en-AU"/>
              </w:rPr>
            </w:pPr>
          </w:p>
          <w:p w14:paraId="1578F21A" w14:textId="77777777" w:rsidR="00362C71" w:rsidRPr="00514927" w:rsidRDefault="00362C71" w:rsidP="00487300">
            <w:pPr>
              <w:pStyle w:val="TableTextSmall"/>
              <w:keepNext/>
              <w:rPr>
                <w:lang w:eastAsia="en-AU"/>
              </w:rPr>
            </w:pPr>
            <w:r w:rsidRPr="00514927">
              <w:rPr>
                <w:noProof/>
                <w:lang w:eastAsia="en-AU"/>
              </w:rPr>
              <w:drawing>
                <wp:inline distT="0" distB="0" distL="0" distR="0" wp14:anchorId="4850C142" wp14:editId="213093F0">
                  <wp:extent cx="1082771" cy="1620000"/>
                  <wp:effectExtent l="0" t="0" r="0" b="0"/>
                  <wp:docPr id="402" name="Picture 402"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2771" cy="1620000"/>
                          </a:xfrm>
                          <a:prstGeom prst="rect">
                            <a:avLst/>
                          </a:prstGeom>
                          <a:noFill/>
                          <a:ln>
                            <a:noFill/>
                          </a:ln>
                        </pic:spPr>
                      </pic:pic>
                    </a:graphicData>
                  </a:graphic>
                </wp:inline>
              </w:drawing>
            </w:r>
          </w:p>
        </w:tc>
      </w:tr>
    </w:tbl>
    <w:p w14:paraId="50E7C135" w14:textId="50B15288" w:rsidR="004F46FE" w:rsidRPr="00CD6B82" w:rsidRDefault="004F46FE" w:rsidP="004F46FE">
      <w:pPr>
        <w:pStyle w:val="PwCNormal"/>
        <w:numPr>
          <w:ilvl w:val="0"/>
          <w:numId w:val="0"/>
        </w:numPr>
      </w:pPr>
      <w:r w:rsidRPr="00CD6B82">
        <w:t>The most substantial part of this average lifetime co</w:t>
      </w:r>
      <w:r w:rsidR="00ED5494">
        <w:t>st for both genders is for the Age P</w:t>
      </w:r>
      <w:r w:rsidRPr="00CD6B82">
        <w:t xml:space="preserve">ension although there are contributions from all payment categories. </w:t>
      </w:r>
    </w:p>
    <w:p w14:paraId="65EBFAC0" w14:textId="78DB17AA" w:rsidR="004F46FE" w:rsidRPr="00CD6B82" w:rsidRDefault="004F46FE" w:rsidP="004F46FE">
      <w:pPr>
        <w:pStyle w:val="PwCNormal"/>
        <w:numPr>
          <w:ilvl w:val="0"/>
          <w:numId w:val="0"/>
        </w:numPr>
      </w:pPr>
      <w:r w:rsidRPr="00CD6B82">
        <w:t>For women up to around age 40 there are significant contributions from FTB</w:t>
      </w:r>
      <w:r w:rsidR="008457CA">
        <w:t xml:space="preserve"> and other family payments</w:t>
      </w:r>
      <w:r w:rsidRPr="00CD6B82">
        <w:t xml:space="preserve">. For people in their early forties and above, the differences between the costs for men and women are small (women have a slightly higher lifetime cost due to higher expected longevity). </w:t>
      </w:r>
    </w:p>
    <w:p w14:paraId="28FF7231" w14:textId="77777777" w:rsidR="004F46FE" w:rsidRPr="00CD6B82" w:rsidRDefault="004F46FE" w:rsidP="004F46FE">
      <w:pPr>
        <w:pStyle w:val="PwCNormal"/>
        <w:numPr>
          <w:ilvl w:val="0"/>
          <w:numId w:val="0"/>
        </w:numPr>
      </w:pPr>
      <w:r w:rsidRPr="00CD6B82">
        <w:t>The average lifetime cost pyramid shows a significant change at age 65 with much lower costs for older people:</w:t>
      </w:r>
    </w:p>
    <w:p w14:paraId="6ACC7E7E" w14:textId="5B832155" w:rsidR="004F46FE" w:rsidRPr="00CD6B82" w:rsidRDefault="004F46FE" w:rsidP="004F46FE">
      <w:pPr>
        <w:pStyle w:val="Bullet1"/>
      </w:pPr>
      <w:r w:rsidRPr="00CD6B82">
        <w:t xml:space="preserve">For people below age 65 - the age pension component of the average lifetime cost is significant as there is a high chance of the people moving onto the </w:t>
      </w:r>
      <w:r w:rsidR="00ED5494">
        <w:t>A</w:t>
      </w:r>
      <w:r w:rsidRPr="00CD6B82">
        <w:t xml:space="preserve">ge </w:t>
      </w:r>
      <w:r w:rsidR="00ED5494">
        <w:t>P</w:t>
      </w:r>
      <w:r w:rsidRPr="00CD6B82">
        <w:t>ension as they reach pension age.</w:t>
      </w:r>
    </w:p>
    <w:p w14:paraId="421D868F" w14:textId="63B49F0A" w:rsidR="004F46FE" w:rsidRPr="00CD6B82" w:rsidRDefault="004F46FE" w:rsidP="004F46FE">
      <w:pPr>
        <w:pStyle w:val="Bullet1"/>
      </w:pPr>
      <w:r w:rsidRPr="00CD6B82">
        <w:t xml:space="preserve">For people above age 65 - to be above age 65 and be in this class they cannot be receiving age pension at present. This means they are </w:t>
      </w:r>
      <w:r w:rsidR="00ED5494">
        <w:t>far less likely to receive the A</w:t>
      </w:r>
      <w:r w:rsidRPr="00CD6B82">
        <w:t xml:space="preserve">ge </w:t>
      </w:r>
      <w:r w:rsidR="00ED5494">
        <w:t>P</w:t>
      </w:r>
      <w:r w:rsidRPr="00CD6B82">
        <w:t>ension in future than a typical person in the population and hence have a lower average lifetime cost.</w:t>
      </w:r>
    </w:p>
    <w:p w14:paraId="01BFED40" w14:textId="77777777" w:rsidR="004F46FE" w:rsidRDefault="004F46FE" w:rsidP="004F46FE">
      <w:pPr>
        <w:pStyle w:val="ListContinue"/>
      </w:pPr>
      <w:r w:rsidRPr="00CD6B82">
        <w:t>For people significantly above age 65 the average lifetime costs reduce year on year as the future lifetime is shorter and the chances of moving into the Age Pension class at a future point in time are even lower.</w:t>
      </w:r>
    </w:p>
    <w:p w14:paraId="58B26FC2" w14:textId="74ADD418" w:rsidR="00D97824" w:rsidRPr="0057506F" w:rsidRDefault="00D97824" w:rsidP="00D97824">
      <w:pPr>
        <w:pStyle w:val="PwCNormal"/>
        <w:numPr>
          <w:ilvl w:val="0"/>
          <w:numId w:val="1"/>
        </w:numPr>
      </w:pPr>
      <w:r>
        <w:t>The table below outlines the average lifetime cost for 20</w:t>
      </w:r>
      <w:r w:rsidR="006948E9">
        <w:t xml:space="preserve"> to </w:t>
      </w:r>
      <w:r>
        <w:t>2</w:t>
      </w:r>
      <w:r w:rsidR="00962F59">
        <w:t>5</w:t>
      </w:r>
      <w:r>
        <w:t xml:space="preserve"> year olds who are previous welfare recipients, split by key characteristics. We have selected a </w:t>
      </w:r>
      <w:r w:rsidR="000131CD">
        <w:t xml:space="preserve">set </w:t>
      </w:r>
      <w:r>
        <w:t xml:space="preserve">age group to reduce the effect of age on the future lifetime cost. </w:t>
      </w:r>
      <w:r w:rsidRPr="00DD2C39">
        <w:t>It is important to note that some characteristics serve as proxies for more fundamental socio-economic factors, and as such, they may not necessarily be the underlying cause of any differences observed in the average lifetime costs of individuals.</w:t>
      </w:r>
      <w:r w:rsidR="00003814">
        <w:t xml:space="preserve"> Further, the variations and relativities to the average lifetime cost that have been shown may differ for other age bands.</w:t>
      </w:r>
    </w:p>
    <w:p w14:paraId="50765A70" w14:textId="3046232C" w:rsidR="00D97824" w:rsidRDefault="00D97824" w:rsidP="00D97824">
      <w:pPr>
        <w:pStyle w:val="Caption"/>
      </w:pPr>
      <w:r w:rsidRPr="00035CA3">
        <w:lastRenderedPageBreak/>
        <w:t>Ta</w:t>
      </w:r>
      <w:r w:rsidRPr="002D25C5">
        <w:t xml:space="preserve">ble </w:t>
      </w:r>
      <w:fldSimple w:instr=" SEQ Table \* ARABIC ">
        <w:r w:rsidR="00C93C1A">
          <w:rPr>
            <w:noProof/>
          </w:rPr>
          <w:t>50</w:t>
        </w:r>
      </w:fldSimple>
      <w:r w:rsidRPr="002D25C5">
        <w:t xml:space="preserve">: </w:t>
      </w:r>
      <w:r>
        <w:t>Average lifetime cost for 20</w:t>
      </w:r>
      <w:r w:rsidR="006948E9">
        <w:t xml:space="preserve"> to </w:t>
      </w:r>
      <w:r>
        <w:t>2</w:t>
      </w:r>
      <w:r w:rsidR="00962F59">
        <w:t>5</w:t>
      </w:r>
      <w:r>
        <w:t xml:space="preserve"> year old previous welfare recipients split by key characteristics</w:t>
      </w:r>
    </w:p>
    <w:tbl>
      <w:tblPr>
        <w:tblStyle w:val="ListTable3-Accent61"/>
        <w:tblW w:w="9781" w:type="dxa"/>
        <w:tblInd w:w="108" w:type="dxa"/>
        <w:tblLayout w:type="fixed"/>
        <w:tblLook w:val="04A0" w:firstRow="1" w:lastRow="0" w:firstColumn="1" w:lastColumn="0" w:noHBand="0" w:noVBand="1"/>
        <w:tblCaption w:val="Average lifetime cost for 20 to 25 year old previous welfare recipients split by key characteristics"/>
        <w:tblDescription w:val="This table displays data for average lifetime costs of 20 to 25 year olds previously on welfare payments by key characteristics. The columns show the number of people, number of people as % of cohort, average lifetime cost, and average lifetime cost relative to the whole cohort. The rows show data for five different key characteristics, marital status, education hierarchy, number of children, level of parental welfare dependence, and years in payment class. This is further divided by their respective categories. &#10;&#10;Further features of the data in this table are discussed in the accompanying text within the report.&#10;"/>
      </w:tblPr>
      <w:tblGrid>
        <w:gridCol w:w="3828"/>
        <w:gridCol w:w="1134"/>
        <w:gridCol w:w="1606"/>
        <w:gridCol w:w="1606"/>
        <w:gridCol w:w="1607"/>
      </w:tblGrid>
      <w:tr w:rsidR="006114CC" w:rsidRPr="006114CC" w14:paraId="7B463FA1" w14:textId="77777777" w:rsidTr="00E42ACF">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100" w:firstRow="0" w:lastRow="0" w:firstColumn="1" w:lastColumn="0" w:oddVBand="0" w:evenVBand="0" w:oddHBand="0" w:evenHBand="0" w:firstRowFirstColumn="1" w:firstRowLastColumn="0" w:lastRowFirstColumn="0" w:lastRowLastColumn="0"/>
            <w:tcW w:w="3828" w:type="dxa"/>
            <w:tcBorders>
              <w:bottom w:val="single" w:sz="4" w:space="0" w:color="E0301E" w:themeColor="accent6"/>
            </w:tcBorders>
            <w:noWrap/>
            <w:hideMark/>
          </w:tcPr>
          <w:p w14:paraId="6364CDF0" w14:textId="77777777" w:rsidR="006114CC" w:rsidRPr="00660D81" w:rsidRDefault="006114CC" w:rsidP="00C36A7A">
            <w:pPr>
              <w:pStyle w:val="TableTextSmall"/>
              <w:keepNext/>
              <w:rPr>
                <w:rFonts w:asciiTheme="majorHAnsi" w:hAnsiTheme="majorHAnsi"/>
                <w:bCs w:val="0"/>
                <w:color w:val="FFFFFF" w:themeColor="background1"/>
                <w:lang w:eastAsia="en-AU"/>
              </w:rPr>
            </w:pPr>
          </w:p>
        </w:tc>
        <w:tc>
          <w:tcPr>
            <w:tcW w:w="1134" w:type="dxa"/>
            <w:tcBorders>
              <w:bottom w:val="single" w:sz="4" w:space="0" w:color="E0301E" w:themeColor="accent6"/>
            </w:tcBorders>
            <w:noWrap/>
            <w:hideMark/>
          </w:tcPr>
          <w:p w14:paraId="2D3D6680"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w:t>
            </w:r>
          </w:p>
        </w:tc>
        <w:tc>
          <w:tcPr>
            <w:tcW w:w="1606" w:type="dxa"/>
            <w:tcBorders>
              <w:bottom w:val="single" w:sz="4" w:space="0" w:color="E0301E" w:themeColor="accent6"/>
            </w:tcBorders>
            <w:hideMark/>
          </w:tcPr>
          <w:p w14:paraId="27920F13"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 as % of cohort</w:t>
            </w:r>
          </w:p>
        </w:tc>
        <w:tc>
          <w:tcPr>
            <w:tcW w:w="1606" w:type="dxa"/>
            <w:tcBorders>
              <w:bottom w:val="single" w:sz="4" w:space="0" w:color="E0301E" w:themeColor="accent6"/>
            </w:tcBorders>
            <w:hideMark/>
          </w:tcPr>
          <w:p w14:paraId="295905D3"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w:t>
            </w:r>
          </w:p>
        </w:tc>
        <w:tc>
          <w:tcPr>
            <w:tcW w:w="1607" w:type="dxa"/>
            <w:tcBorders>
              <w:bottom w:val="single" w:sz="4" w:space="0" w:color="E0301E" w:themeColor="accent6"/>
            </w:tcBorders>
          </w:tcPr>
          <w:p w14:paraId="574132C9"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relative to cohort</w:t>
            </w:r>
          </w:p>
        </w:tc>
      </w:tr>
      <w:tr w:rsidR="0069611A" w:rsidRPr="006114CC" w14:paraId="4AAD19C7"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shd w:val="clear" w:color="auto" w:fill="F7DCE1" w:themeFill="accent4" w:themeFillTint="33"/>
            <w:noWrap/>
            <w:hideMark/>
          </w:tcPr>
          <w:p w14:paraId="5103F1EF" w14:textId="77777777" w:rsidR="0069611A" w:rsidRPr="006114CC" w:rsidRDefault="0069611A" w:rsidP="0069611A">
            <w:pPr>
              <w:pStyle w:val="TableTextSmall"/>
              <w:keepNext/>
              <w:rPr>
                <w:rFonts w:asciiTheme="majorHAnsi" w:hAnsiTheme="majorHAnsi"/>
                <w:bCs w:val="0"/>
                <w:color w:val="595959" w:themeColor="text1" w:themeTint="A6"/>
                <w:lang w:eastAsia="en-AU"/>
              </w:rPr>
            </w:pPr>
            <w:r w:rsidRPr="006114CC">
              <w:rPr>
                <w:rFonts w:ascii="Arial" w:hAnsi="Arial"/>
                <w:color w:val="595959"/>
                <w:szCs w:val="16"/>
              </w:rPr>
              <w:t>Total</w:t>
            </w:r>
          </w:p>
        </w:tc>
        <w:tc>
          <w:tcPr>
            <w:tcW w:w="1134" w:type="dxa"/>
            <w:shd w:val="clear" w:color="auto" w:fill="F7DCE1" w:themeFill="accent4" w:themeFillTint="33"/>
            <w:noWrap/>
            <w:vAlign w:val="bottom"/>
            <w:hideMark/>
          </w:tcPr>
          <w:p w14:paraId="1F652DC6" w14:textId="3FB2F68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397,000</w:t>
            </w:r>
          </w:p>
        </w:tc>
        <w:tc>
          <w:tcPr>
            <w:tcW w:w="1606" w:type="dxa"/>
            <w:shd w:val="clear" w:color="auto" w:fill="F7DCE1" w:themeFill="accent4" w:themeFillTint="33"/>
            <w:noWrap/>
            <w:vAlign w:val="bottom"/>
            <w:hideMark/>
          </w:tcPr>
          <w:p w14:paraId="0799D781" w14:textId="2006968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c>
          <w:tcPr>
            <w:tcW w:w="1606" w:type="dxa"/>
            <w:shd w:val="clear" w:color="auto" w:fill="F7DCE1" w:themeFill="accent4" w:themeFillTint="33"/>
            <w:noWrap/>
            <w:vAlign w:val="bottom"/>
          </w:tcPr>
          <w:p w14:paraId="33ED29C9" w14:textId="0DC019D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183,000</w:t>
            </w:r>
          </w:p>
        </w:tc>
        <w:tc>
          <w:tcPr>
            <w:tcW w:w="1607" w:type="dxa"/>
            <w:tcBorders>
              <w:right w:val="single" w:sz="4" w:space="0" w:color="E0301E" w:themeColor="accent6"/>
            </w:tcBorders>
            <w:shd w:val="clear" w:color="auto" w:fill="F7DCE1" w:themeFill="accent4" w:themeFillTint="33"/>
            <w:vAlign w:val="bottom"/>
          </w:tcPr>
          <w:p w14:paraId="2C68C728" w14:textId="1DAC123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r>
      <w:tr w:rsidR="0069611A" w:rsidRPr="006114CC" w14:paraId="30BFE908" w14:textId="77777777" w:rsidTr="0069611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hideMark/>
          </w:tcPr>
          <w:p w14:paraId="6DC2D5BC" w14:textId="77777777" w:rsidR="0069611A" w:rsidRPr="006114CC" w:rsidRDefault="0069611A" w:rsidP="0069611A">
            <w:pPr>
              <w:pStyle w:val="TableTextSmall"/>
              <w:keepNext/>
              <w:rPr>
                <w:rFonts w:asciiTheme="majorHAnsi" w:hAnsiTheme="majorHAnsi"/>
                <w:bCs w:val="0"/>
                <w:i/>
                <w:color w:val="595959" w:themeColor="text1" w:themeTint="A6"/>
                <w:lang w:eastAsia="en-AU"/>
              </w:rPr>
            </w:pPr>
            <w:r w:rsidRPr="006114CC">
              <w:rPr>
                <w:rFonts w:ascii="Arial" w:hAnsi="Arial"/>
                <w:color w:val="595959"/>
                <w:szCs w:val="16"/>
              </w:rPr>
              <w:t>Marital status</w:t>
            </w:r>
          </w:p>
        </w:tc>
        <w:tc>
          <w:tcPr>
            <w:tcW w:w="1134" w:type="dxa"/>
            <w:tcBorders>
              <w:top w:val="single" w:sz="4" w:space="0" w:color="E0301E" w:themeColor="accent6"/>
              <w:bottom w:val="nil"/>
            </w:tcBorders>
            <w:noWrap/>
            <w:vAlign w:val="bottom"/>
            <w:hideMark/>
          </w:tcPr>
          <w:p w14:paraId="668E8375"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p>
        </w:tc>
        <w:tc>
          <w:tcPr>
            <w:tcW w:w="1606" w:type="dxa"/>
            <w:tcBorders>
              <w:top w:val="single" w:sz="4" w:space="0" w:color="E0301E" w:themeColor="accent6"/>
              <w:bottom w:val="nil"/>
            </w:tcBorders>
            <w:noWrap/>
            <w:vAlign w:val="bottom"/>
            <w:hideMark/>
          </w:tcPr>
          <w:p w14:paraId="04560A95"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6" w:type="dxa"/>
            <w:tcBorders>
              <w:top w:val="single" w:sz="4" w:space="0" w:color="E0301E" w:themeColor="accent6"/>
              <w:bottom w:val="nil"/>
            </w:tcBorders>
            <w:noWrap/>
            <w:vAlign w:val="bottom"/>
          </w:tcPr>
          <w:p w14:paraId="73E098E5"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7" w:type="dxa"/>
            <w:tcBorders>
              <w:top w:val="single" w:sz="4" w:space="0" w:color="E0301E" w:themeColor="accent6"/>
              <w:bottom w:val="nil"/>
              <w:right w:val="single" w:sz="4" w:space="0" w:color="E0301E" w:themeColor="accent6"/>
            </w:tcBorders>
            <w:vAlign w:val="bottom"/>
          </w:tcPr>
          <w:p w14:paraId="0A566DD3"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r>
      <w:tr w:rsidR="0069611A" w:rsidRPr="006114CC" w14:paraId="5B7BCA4B"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hideMark/>
          </w:tcPr>
          <w:p w14:paraId="4D5BA648" w14:textId="77777777" w:rsidR="0069611A" w:rsidRPr="006114CC" w:rsidRDefault="0069611A" w:rsidP="0069611A">
            <w:pPr>
              <w:pStyle w:val="TableTextSmall"/>
              <w:keepNext/>
              <w:rPr>
                <w:rFonts w:asciiTheme="majorHAnsi" w:hAnsiTheme="majorHAnsi"/>
                <w:b w:val="0"/>
                <w:bCs w:val="0"/>
                <w:i/>
                <w:color w:val="595959" w:themeColor="text1" w:themeTint="A6"/>
                <w:lang w:eastAsia="en-AU"/>
              </w:rPr>
            </w:pPr>
            <w:r w:rsidRPr="006114CC">
              <w:rPr>
                <w:rFonts w:ascii="Arial" w:hAnsi="Arial"/>
                <w:i/>
                <w:iCs/>
                <w:color w:val="595959"/>
                <w:szCs w:val="16"/>
              </w:rPr>
              <w:t xml:space="preserve">    - Single</w:t>
            </w:r>
          </w:p>
        </w:tc>
        <w:tc>
          <w:tcPr>
            <w:tcW w:w="1134" w:type="dxa"/>
            <w:tcBorders>
              <w:top w:val="nil"/>
              <w:bottom w:val="nil"/>
            </w:tcBorders>
            <w:noWrap/>
            <w:vAlign w:val="bottom"/>
            <w:hideMark/>
          </w:tcPr>
          <w:p w14:paraId="5006F1D8" w14:textId="2BCB29D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lang w:eastAsia="en-AU"/>
              </w:rPr>
            </w:pPr>
            <w:r>
              <w:rPr>
                <w:rFonts w:ascii="Arial" w:hAnsi="Arial"/>
                <w:color w:val="595959"/>
                <w:szCs w:val="16"/>
              </w:rPr>
              <w:t>330,000</w:t>
            </w:r>
          </w:p>
        </w:tc>
        <w:tc>
          <w:tcPr>
            <w:tcW w:w="1606" w:type="dxa"/>
            <w:tcBorders>
              <w:top w:val="nil"/>
              <w:bottom w:val="nil"/>
            </w:tcBorders>
            <w:noWrap/>
            <w:vAlign w:val="bottom"/>
            <w:hideMark/>
          </w:tcPr>
          <w:p w14:paraId="3578D591" w14:textId="1E54FC5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83%</w:t>
            </w:r>
          </w:p>
        </w:tc>
        <w:tc>
          <w:tcPr>
            <w:tcW w:w="1606" w:type="dxa"/>
            <w:tcBorders>
              <w:top w:val="nil"/>
              <w:bottom w:val="nil"/>
            </w:tcBorders>
            <w:noWrap/>
            <w:vAlign w:val="bottom"/>
          </w:tcPr>
          <w:p w14:paraId="77A5FD4E" w14:textId="6D42A768"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184,000</w:t>
            </w:r>
          </w:p>
        </w:tc>
        <w:tc>
          <w:tcPr>
            <w:tcW w:w="1607" w:type="dxa"/>
            <w:tcBorders>
              <w:top w:val="nil"/>
              <w:bottom w:val="nil"/>
              <w:right w:val="single" w:sz="4" w:space="0" w:color="E0301E" w:themeColor="accent6"/>
            </w:tcBorders>
            <w:vAlign w:val="bottom"/>
          </w:tcPr>
          <w:p w14:paraId="35F38D2D" w14:textId="311D372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101%</w:t>
            </w:r>
          </w:p>
        </w:tc>
      </w:tr>
      <w:tr w:rsidR="0069611A" w:rsidRPr="006114CC" w14:paraId="675C67DF"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370C7C02"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Partnered</w:t>
            </w:r>
          </w:p>
        </w:tc>
        <w:tc>
          <w:tcPr>
            <w:tcW w:w="1134" w:type="dxa"/>
            <w:tcBorders>
              <w:top w:val="nil"/>
              <w:bottom w:val="single" w:sz="4" w:space="0" w:color="E0301E" w:themeColor="accent6"/>
            </w:tcBorders>
            <w:noWrap/>
            <w:vAlign w:val="bottom"/>
          </w:tcPr>
          <w:p w14:paraId="74FE2D9E" w14:textId="123F567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67,000</w:t>
            </w:r>
          </w:p>
        </w:tc>
        <w:tc>
          <w:tcPr>
            <w:tcW w:w="1606" w:type="dxa"/>
            <w:tcBorders>
              <w:top w:val="nil"/>
              <w:bottom w:val="single" w:sz="4" w:space="0" w:color="E0301E" w:themeColor="accent6"/>
            </w:tcBorders>
            <w:noWrap/>
            <w:vAlign w:val="bottom"/>
          </w:tcPr>
          <w:p w14:paraId="5628FEE2" w14:textId="597ADEF4"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17%</w:t>
            </w:r>
          </w:p>
        </w:tc>
        <w:tc>
          <w:tcPr>
            <w:tcW w:w="1606" w:type="dxa"/>
            <w:tcBorders>
              <w:top w:val="nil"/>
              <w:bottom w:val="single" w:sz="4" w:space="0" w:color="E0301E" w:themeColor="accent6"/>
            </w:tcBorders>
            <w:noWrap/>
            <w:vAlign w:val="bottom"/>
          </w:tcPr>
          <w:p w14:paraId="7DC700EF" w14:textId="48DA462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177,000</w:t>
            </w:r>
          </w:p>
        </w:tc>
        <w:tc>
          <w:tcPr>
            <w:tcW w:w="1607" w:type="dxa"/>
            <w:tcBorders>
              <w:top w:val="nil"/>
              <w:bottom w:val="single" w:sz="4" w:space="0" w:color="E0301E" w:themeColor="accent6"/>
              <w:right w:val="single" w:sz="4" w:space="0" w:color="E0301E" w:themeColor="accent6"/>
            </w:tcBorders>
            <w:vAlign w:val="bottom"/>
          </w:tcPr>
          <w:p w14:paraId="567BD30C" w14:textId="78C26F0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97%</w:t>
            </w:r>
          </w:p>
        </w:tc>
      </w:tr>
      <w:tr w:rsidR="0069611A" w:rsidRPr="006114CC" w14:paraId="2AEA3937"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tcPr>
          <w:p w14:paraId="5F09C128"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Education hierarchy</w:t>
            </w:r>
          </w:p>
        </w:tc>
        <w:tc>
          <w:tcPr>
            <w:tcW w:w="1134" w:type="dxa"/>
            <w:tcBorders>
              <w:bottom w:val="nil"/>
            </w:tcBorders>
            <w:noWrap/>
            <w:vAlign w:val="bottom"/>
          </w:tcPr>
          <w:p w14:paraId="144411FF"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12731DC9"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654A59B2"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705FEBE9"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0ED92F0F"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76A1B849"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Year 10 or less</w:t>
            </w:r>
          </w:p>
        </w:tc>
        <w:tc>
          <w:tcPr>
            <w:tcW w:w="1134" w:type="dxa"/>
            <w:tcBorders>
              <w:top w:val="nil"/>
              <w:bottom w:val="nil"/>
            </w:tcBorders>
            <w:noWrap/>
            <w:vAlign w:val="bottom"/>
          </w:tcPr>
          <w:p w14:paraId="3527C966" w14:textId="278B768B"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28,000</w:t>
            </w:r>
          </w:p>
        </w:tc>
        <w:tc>
          <w:tcPr>
            <w:tcW w:w="1606" w:type="dxa"/>
            <w:tcBorders>
              <w:top w:val="nil"/>
              <w:bottom w:val="nil"/>
            </w:tcBorders>
            <w:noWrap/>
            <w:vAlign w:val="bottom"/>
          </w:tcPr>
          <w:p w14:paraId="526611B7" w14:textId="7E1EA69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7%</w:t>
            </w:r>
          </w:p>
        </w:tc>
        <w:tc>
          <w:tcPr>
            <w:tcW w:w="1606" w:type="dxa"/>
            <w:tcBorders>
              <w:top w:val="nil"/>
              <w:bottom w:val="nil"/>
            </w:tcBorders>
            <w:noWrap/>
            <w:vAlign w:val="bottom"/>
          </w:tcPr>
          <w:p w14:paraId="30C27425" w14:textId="562B55F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197,000</w:t>
            </w:r>
          </w:p>
        </w:tc>
        <w:tc>
          <w:tcPr>
            <w:tcW w:w="1607" w:type="dxa"/>
            <w:tcBorders>
              <w:top w:val="nil"/>
              <w:bottom w:val="nil"/>
              <w:right w:val="single" w:sz="4" w:space="0" w:color="E0301E" w:themeColor="accent6"/>
            </w:tcBorders>
            <w:vAlign w:val="bottom"/>
          </w:tcPr>
          <w:p w14:paraId="2EEE810A" w14:textId="578D8B2B"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108%</w:t>
            </w:r>
          </w:p>
        </w:tc>
      </w:tr>
      <w:tr w:rsidR="0069611A" w:rsidRPr="006114CC" w14:paraId="3B225AD9"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3CEEFE6F"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Year 11</w:t>
            </w:r>
          </w:p>
        </w:tc>
        <w:tc>
          <w:tcPr>
            <w:tcW w:w="1134" w:type="dxa"/>
            <w:tcBorders>
              <w:top w:val="nil"/>
              <w:bottom w:val="nil"/>
            </w:tcBorders>
            <w:noWrap/>
            <w:vAlign w:val="bottom"/>
          </w:tcPr>
          <w:p w14:paraId="37A3B3B4" w14:textId="5BE9E65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18,000</w:t>
            </w:r>
          </w:p>
        </w:tc>
        <w:tc>
          <w:tcPr>
            <w:tcW w:w="1606" w:type="dxa"/>
            <w:tcBorders>
              <w:top w:val="nil"/>
              <w:bottom w:val="nil"/>
            </w:tcBorders>
            <w:noWrap/>
            <w:vAlign w:val="bottom"/>
          </w:tcPr>
          <w:p w14:paraId="1E31CFE4" w14:textId="17BA400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w:t>
            </w:r>
          </w:p>
        </w:tc>
        <w:tc>
          <w:tcPr>
            <w:tcW w:w="1606" w:type="dxa"/>
            <w:tcBorders>
              <w:top w:val="nil"/>
              <w:bottom w:val="nil"/>
            </w:tcBorders>
            <w:noWrap/>
            <w:vAlign w:val="bottom"/>
          </w:tcPr>
          <w:p w14:paraId="78012CF3" w14:textId="6C20D16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197,000</w:t>
            </w:r>
          </w:p>
        </w:tc>
        <w:tc>
          <w:tcPr>
            <w:tcW w:w="1607" w:type="dxa"/>
            <w:tcBorders>
              <w:top w:val="nil"/>
              <w:bottom w:val="nil"/>
              <w:right w:val="single" w:sz="4" w:space="0" w:color="E0301E" w:themeColor="accent6"/>
            </w:tcBorders>
            <w:vAlign w:val="bottom"/>
          </w:tcPr>
          <w:p w14:paraId="60265F49" w14:textId="420F368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108%</w:t>
            </w:r>
          </w:p>
        </w:tc>
      </w:tr>
      <w:tr w:rsidR="0069611A" w:rsidRPr="006114CC" w14:paraId="5C6A7208"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3003FCD1"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Year 12</w:t>
            </w:r>
          </w:p>
        </w:tc>
        <w:tc>
          <w:tcPr>
            <w:tcW w:w="1134" w:type="dxa"/>
            <w:tcBorders>
              <w:top w:val="nil"/>
              <w:bottom w:val="nil"/>
            </w:tcBorders>
            <w:noWrap/>
            <w:vAlign w:val="bottom"/>
          </w:tcPr>
          <w:p w14:paraId="2406AA6E" w14:textId="27879B9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169,000</w:t>
            </w:r>
          </w:p>
        </w:tc>
        <w:tc>
          <w:tcPr>
            <w:tcW w:w="1606" w:type="dxa"/>
            <w:tcBorders>
              <w:top w:val="nil"/>
              <w:bottom w:val="nil"/>
            </w:tcBorders>
            <w:noWrap/>
            <w:vAlign w:val="bottom"/>
          </w:tcPr>
          <w:p w14:paraId="2EC502E5" w14:textId="5A60E5E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43%</w:t>
            </w:r>
          </w:p>
        </w:tc>
        <w:tc>
          <w:tcPr>
            <w:tcW w:w="1606" w:type="dxa"/>
            <w:tcBorders>
              <w:top w:val="nil"/>
              <w:bottom w:val="nil"/>
            </w:tcBorders>
            <w:noWrap/>
            <w:vAlign w:val="bottom"/>
          </w:tcPr>
          <w:p w14:paraId="570CE93A" w14:textId="5CAB196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180,000</w:t>
            </w:r>
          </w:p>
        </w:tc>
        <w:tc>
          <w:tcPr>
            <w:tcW w:w="1607" w:type="dxa"/>
            <w:tcBorders>
              <w:top w:val="nil"/>
              <w:bottom w:val="nil"/>
              <w:right w:val="single" w:sz="4" w:space="0" w:color="E0301E" w:themeColor="accent6"/>
            </w:tcBorders>
            <w:vAlign w:val="bottom"/>
          </w:tcPr>
          <w:p w14:paraId="255C2E56" w14:textId="2AFB62A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99%</w:t>
            </w:r>
          </w:p>
        </w:tc>
      </w:tr>
      <w:tr w:rsidR="0069611A" w:rsidRPr="006114CC" w14:paraId="7DD1E326"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7AA5801C"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Certificate</w:t>
            </w:r>
          </w:p>
        </w:tc>
        <w:tc>
          <w:tcPr>
            <w:tcW w:w="1134" w:type="dxa"/>
            <w:tcBorders>
              <w:top w:val="nil"/>
              <w:bottom w:val="nil"/>
            </w:tcBorders>
            <w:noWrap/>
            <w:vAlign w:val="bottom"/>
          </w:tcPr>
          <w:p w14:paraId="3A309EE5" w14:textId="614CB105"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90,000</w:t>
            </w:r>
          </w:p>
        </w:tc>
        <w:tc>
          <w:tcPr>
            <w:tcW w:w="1606" w:type="dxa"/>
            <w:tcBorders>
              <w:top w:val="nil"/>
              <w:bottom w:val="nil"/>
            </w:tcBorders>
            <w:noWrap/>
            <w:vAlign w:val="bottom"/>
          </w:tcPr>
          <w:p w14:paraId="764C803E" w14:textId="0665D01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23%</w:t>
            </w:r>
          </w:p>
        </w:tc>
        <w:tc>
          <w:tcPr>
            <w:tcW w:w="1606" w:type="dxa"/>
            <w:tcBorders>
              <w:top w:val="nil"/>
              <w:bottom w:val="nil"/>
            </w:tcBorders>
            <w:noWrap/>
            <w:vAlign w:val="bottom"/>
          </w:tcPr>
          <w:p w14:paraId="6FE0CE8B" w14:textId="0903BA3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201,000</w:t>
            </w:r>
          </w:p>
        </w:tc>
        <w:tc>
          <w:tcPr>
            <w:tcW w:w="1607" w:type="dxa"/>
            <w:tcBorders>
              <w:top w:val="nil"/>
              <w:bottom w:val="nil"/>
              <w:right w:val="single" w:sz="4" w:space="0" w:color="E0301E" w:themeColor="accent6"/>
            </w:tcBorders>
            <w:vAlign w:val="bottom"/>
          </w:tcPr>
          <w:p w14:paraId="1E60ACCC" w14:textId="6F0CAAB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110%</w:t>
            </w:r>
          </w:p>
        </w:tc>
      </w:tr>
      <w:tr w:rsidR="0069611A" w:rsidRPr="006114CC" w14:paraId="72651407"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78042F39"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Diploma</w:t>
            </w:r>
          </w:p>
        </w:tc>
        <w:tc>
          <w:tcPr>
            <w:tcW w:w="1134" w:type="dxa"/>
            <w:tcBorders>
              <w:top w:val="nil"/>
              <w:bottom w:val="nil"/>
            </w:tcBorders>
            <w:noWrap/>
            <w:vAlign w:val="bottom"/>
          </w:tcPr>
          <w:p w14:paraId="539498D0" w14:textId="5074613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28,000</w:t>
            </w:r>
          </w:p>
        </w:tc>
        <w:tc>
          <w:tcPr>
            <w:tcW w:w="1606" w:type="dxa"/>
            <w:tcBorders>
              <w:top w:val="nil"/>
              <w:bottom w:val="nil"/>
            </w:tcBorders>
            <w:noWrap/>
            <w:vAlign w:val="bottom"/>
          </w:tcPr>
          <w:p w14:paraId="06B74E30" w14:textId="5F5AF058"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7%</w:t>
            </w:r>
          </w:p>
        </w:tc>
        <w:tc>
          <w:tcPr>
            <w:tcW w:w="1606" w:type="dxa"/>
            <w:tcBorders>
              <w:top w:val="nil"/>
              <w:bottom w:val="nil"/>
            </w:tcBorders>
            <w:noWrap/>
            <w:vAlign w:val="bottom"/>
          </w:tcPr>
          <w:p w14:paraId="413F4D1F" w14:textId="53FF538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175,000</w:t>
            </w:r>
          </w:p>
        </w:tc>
        <w:tc>
          <w:tcPr>
            <w:tcW w:w="1607" w:type="dxa"/>
            <w:tcBorders>
              <w:top w:val="nil"/>
              <w:bottom w:val="nil"/>
              <w:right w:val="single" w:sz="4" w:space="0" w:color="E0301E" w:themeColor="accent6"/>
            </w:tcBorders>
            <w:vAlign w:val="bottom"/>
          </w:tcPr>
          <w:p w14:paraId="347E7541" w14:textId="053347EB"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96%</w:t>
            </w:r>
          </w:p>
        </w:tc>
      </w:tr>
      <w:tr w:rsidR="0069611A" w:rsidRPr="006114CC" w14:paraId="48AD39D4"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2ABE5372"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Bachelors</w:t>
            </w:r>
          </w:p>
        </w:tc>
        <w:tc>
          <w:tcPr>
            <w:tcW w:w="1134" w:type="dxa"/>
            <w:tcBorders>
              <w:top w:val="nil"/>
              <w:bottom w:val="nil"/>
            </w:tcBorders>
            <w:noWrap/>
            <w:vAlign w:val="bottom"/>
          </w:tcPr>
          <w:p w14:paraId="6293FC7A" w14:textId="79A8657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56,000</w:t>
            </w:r>
          </w:p>
        </w:tc>
        <w:tc>
          <w:tcPr>
            <w:tcW w:w="1606" w:type="dxa"/>
            <w:tcBorders>
              <w:top w:val="nil"/>
              <w:bottom w:val="nil"/>
            </w:tcBorders>
            <w:noWrap/>
            <w:vAlign w:val="bottom"/>
          </w:tcPr>
          <w:p w14:paraId="6249B9C5" w14:textId="2A5B2A0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14%</w:t>
            </w:r>
          </w:p>
        </w:tc>
        <w:tc>
          <w:tcPr>
            <w:tcW w:w="1606" w:type="dxa"/>
            <w:tcBorders>
              <w:top w:val="nil"/>
              <w:bottom w:val="nil"/>
            </w:tcBorders>
            <w:noWrap/>
            <w:vAlign w:val="bottom"/>
          </w:tcPr>
          <w:p w14:paraId="4168B885" w14:textId="1B5AC3DC"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156,000</w:t>
            </w:r>
          </w:p>
        </w:tc>
        <w:tc>
          <w:tcPr>
            <w:tcW w:w="1607" w:type="dxa"/>
            <w:tcBorders>
              <w:top w:val="nil"/>
              <w:bottom w:val="nil"/>
              <w:right w:val="single" w:sz="4" w:space="0" w:color="E0301E" w:themeColor="accent6"/>
            </w:tcBorders>
            <w:vAlign w:val="bottom"/>
          </w:tcPr>
          <w:p w14:paraId="697BAD1E" w14:textId="04189F5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85%</w:t>
            </w:r>
          </w:p>
        </w:tc>
      </w:tr>
      <w:tr w:rsidR="0069611A" w:rsidRPr="006114CC" w14:paraId="5D188462"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3890635E"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Postgraduate</w:t>
            </w:r>
          </w:p>
        </w:tc>
        <w:tc>
          <w:tcPr>
            <w:tcW w:w="1134" w:type="dxa"/>
            <w:tcBorders>
              <w:top w:val="nil"/>
              <w:bottom w:val="single" w:sz="4" w:space="0" w:color="E0301E" w:themeColor="accent6"/>
            </w:tcBorders>
            <w:noWrap/>
            <w:vAlign w:val="bottom"/>
          </w:tcPr>
          <w:p w14:paraId="1640CF76" w14:textId="795EEA8B"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8,000</w:t>
            </w:r>
          </w:p>
        </w:tc>
        <w:tc>
          <w:tcPr>
            <w:tcW w:w="1606" w:type="dxa"/>
            <w:tcBorders>
              <w:top w:val="nil"/>
              <w:bottom w:val="single" w:sz="4" w:space="0" w:color="E0301E" w:themeColor="accent6"/>
            </w:tcBorders>
            <w:noWrap/>
            <w:vAlign w:val="bottom"/>
          </w:tcPr>
          <w:p w14:paraId="4F63B231" w14:textId="71D7EFD6"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w:t>
            </w:r>
          </w:p>
        </w:tc>
        <w:tc>
          <w:tcPr>
            <w:tcW w:w="1606" w:type="dxa"/>
            <w:tcBorders>
              <w:top w:val="nil"/>
              <w:bottom w:val="single" w:sz="4" w:space="0" w:color="E0301E" w:themeColor="accent6"/>
            </w:tcBorders>
            <w:noWrap/>
            <w:vAlign w:val="bottom"/>
          </w:tcPr>
          <w:p w14:paraId="3EB7D0DA" w14:textId="3FA4E2CF"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155,000</w:t>
            </w:r>
          </w:p>
        </w:tc>
        <w:tc>
          <w:tcPr>
            <w:tcW w:w="1607" w:type="dxa"/>
            <w:tcBorders>
              <w:top w:val="nil"/>
              <w:bottom w:val="single" w:sz="4" w:space="0" w:color="E0301E" w:themeColor="accent6"/>
              <w:right w:val="single" w:sz="4" w:space="0" w:color="E0301E" w:themeColor="accent6"/>
            </w:tcBorders>
            <w:vAlign w:val="bottom"/>
          </w:tcPr>
          <w:p w14:paraId="2CD406E0" w14:textId="339DE6C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85%</w:t>
            </w:r>
          </w:p>
        </w:tc>
      </w:tr>
      <w:tr w:rsidR="0069611A" w:rsidRPr="006114CC" w14:paraId="04C103AE"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tcPr>
          <w:p w14:paraId="109B889C"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Number of children</w:t>
            </w:r>
          </w:p>
        </w:tc>
        <w:tc>
          <w:tcPr>
            <w:tcW w:w="1134" w:type="dxa"/>
            <w:tcBorders>
              <w:bottom w:val="nil"/>
            </w:tcBorders>
            <w:noWrap/>
            <w:vAlign w:val="bottom"/>
          </w:tcPr>
          <w:p w14:paraId="39D47674"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26D1194F"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3EC4A505"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18FB88EF"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07402C2A"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7BB6EF4B"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No children</w:t>
            </w:r>
          </w:p>
        </w:tc>
        <w:tc>
          <w:tcPr>
            <w:tcW w:w="1134" w:type="dxa"/>
            <w:tcBorders>
              <w:top w:val="nil"/>
              <w:bottom w:val="nil"/>
            </w:tcBorders>
            <w:noWrap/>
            <w:vAlign w:val="bottom"/>
          </w:tcPr>
          <w:p w14:paraId="3406FC38" w14:textId="6A6681D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372,000</w:t>
            </w:r>
          </w:p>
        </w:tc>
        <w:tc>
          <w:tcPr>
            <w:tcW w:w="1606" w:type="dxa"/>
            <w:tcBorders>
              <w:top w:val="nil"/>
              <w:bottom w:val="nil"/>
            </w:tcBorders>
            <w:noWrap/>
            <w:vAlign w:val="bottom"/>
          </w:tcPr>
          <w:p w14:paraId="0B06C072" w14:textId="170707B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94%</w:t>
            </w:r>
          </w:p>
        </w:tc>
        <w:tc>
          <w:tcPr>
            <w:tcW w:w="1606" w:type="dxa"/>
            <w:tcBorders>
              <w:top w:val="nil"/>
              <w:bottom w:val="nil"/>
            </w:tcBorders>
            <w:noWrap/>
            <w:vAlign w:val="bottom"/>
          </w:tcPr>
          <w:p w14:paraId="1D118F90" w14:textId="4BAA65D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182,000</w:t>
            </w:r>
          </w:p>
        </w:tc>
        <w:tc>
          <w:tcPr>
            <w:tcW w:w="1607" w:type="dxa"/>
            <w:tcBorders>
              <w:top w:val="nil"/>
              <w:bottom w:val="nil"/>
              <w:right w:val="single" w:sz="4" w:space="0" w:color="E0301E" w:themeColor="accent6"/>
            </w:tcBorders>
            <w:vAlign w:val="bottom"/>
          </w:tcPr>
          <w:p w14:paraId="45BD38FD" w14:textId="63128A6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99%</w:t>
            </w:r>
          </w:p>
        </w:tc>
      </w:tr>
      <w:tr w:rsidR="0069611A" w:rsidRPr="006114CC" w14:paraId="2D221FD3"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43EAEA19"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- 1 child</w:t>
            </w:r>
          </w:p>
        </w:tc>
        <w:tc>
          <w:tcPr>
            <w:tcW w:w="1134" w:type="dxa"/>
            <w:tcBorders>
              <w:top w:val="nil"/>
              <w:bottom w:val="nil"/>
            </w:tcBorders>
            <w:noWrap/>
            <w:vAlign w:val="bottom"/>
          </w:tcPr>
          <w:p w14:paraId="2623ACAE" w14:textId="0E7F84F8"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16,000</w:t>
            </w:r>
          </w:p>
        </w:tc>
        <w:tc>
          <w:tcPr>
            <w:tcW w:w="1606" w:type="dxa"/>
            <w:tcBorders>
              <w:top w:val="nil"/>
              <w:bottom w:val="nil"/>
            </w:tcBorders>
            <w:noWrap/>
            <w:vAlign w:val="bottom"/>
          </w:tcPr>
          <w:p w14:paraId="41A462C2" w14:textId="67558C0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w:t>
            </w:r>
          </w:p>
        </w:tc>
        <w:tc>
          <w:tcPr>
            <w:tcW w:w="1606" w:type="dxa"/>
            <w:tcBorders>
              <w:top w:val="nil"/>
              <w:bottom w:val="nil"/>
            </w:tcBorders>
            <w:noWrap/>
            <w:vAlign w:val="bottom"/>
          </w:tcPr>
          <w:p w14:paraId="5A6D7442" w14:textId="5954775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199,000</w:t>
            </w:r>
          </w:p>
        </w:tc>
        <w:tc>
          <w:tcPr>
            <w:tcW w:w="1607" w:type="dxa"/>
            <w:tcBorders>
              <w:top w:val="nil"/>
              <w:bottom w:val="nil"/>
              <w:right w:val="single" w:sz="4" w:space="0" w:color="E0301E" w:themeColor="accent6"/>
            </w:tcBorders>
            <w:vAlign w:val="bottom"/>
          </w:tcPr>
          <w:p w14:paraId="3411E244" w14:textId="18725FD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109%</w:t>
            </w:r>
          </w:p>
        </w:tc>
      </w:tr>
      <w:tr w:rsidR="0069611A" w:rsidRPr="006114CC" w14:paraId="47F5402A"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112BA252"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- 2 children</w:t>
            </w:r>
          </w:p>
        </w:tc>
        <w:tc>
          <w:tcPr>
            <w:tcW w:w="1134" w:type="dxa"/>
            <w:tcBorders>
              <w:top w:val="nil"/>
              <w:bottom w:val="nil"/>
            </w:tcBorders>
            <w:noWrap/>
            <w:vAlign w:val="bottom"/>
          </w:tcPr>
          <w:p w14:paraId="51FECDE6" w14:textId="4E4818C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7,000</w:t>
            </w:r>
          </w:p>
        </w:tc>
        <w:tc>
          <w:tcPr>
            <w:tcW w:w="1606" w:type="dxa"/>
            <w:tcBorders>
              <w:top w:val="nil"/>
              <w:bottom w:val="nil"/>
            </w:tcBorders>
            <w:noWrap/>
            <w:vAlign w:val="bottom"/>
          </w:tcPr>
          <w:p w14:paraId="372DCD8B" w14:textId="5B300AF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w:t>
            </w:r>
          </w:p>
        </w:tc>
        <w:tc>
          <w:tcPr>
            <w:tcW w:w="1606" w:type="dxa"/>
            <w:tcBorders>
              <w:top w:val="nil"/>
              <w:bottom w:val="nil"/>
            </w:tcBorders>
            <w:noWrap/>
            <w:vAlign w:val="bottom"/>
          </w:tcPr>
          <w:p w14:paraId="733310EE" w14:textId="76D31616"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197,000</w:t>
            </w:r>
          </w:p>
        </w:tc>
        <w:tc>
          <w:tcPr>
            <w:tcW w:w="1607" w:type="dxa"/>
            <w:tcBorders>
              <w:top w:val="nil"/>
              <w:bottom w:val="nil"/>
              <w:right w:val="single" w:sz="4" w:space="0" w:color="E0301E" w:themeColor="accent6"/>
            </w:tcBorders>
            <w:vAlign w:val="bottom"/>
          </w:tcPr>
          <w:p w14:paraId="091D6696" w14:textId="1B03548A"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108%</w:t>
            </w:r>
          </w:p>
        </w:tc>
      </w:tr>
      <w:tr w:rsidR="0069611A" w:rsidRPr="006114CC" w14:paraId="27E16C1E"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tcBorders>
            <w:noWrap/>
          </w:tcPr>
          <w:p w14:paraId="26AB6386"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- 3+ children</w:t>
            </w:r>
          </w:p>
        </w:tc>
        <w:tc>
          <w:tcPr>
            <w:tcW w:w="1134" w:type="dxa"/>
            <w:tcBorders>
              <w:top w:val="nil"/>
            </w:tcBorders>
            <w:noWrap/>
            <w:vAlign w:val="bottom"/>
          </w:tcPr>
          <w:p w14:paraId="1815E479" w14:textId="11679C0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2,000</w:t>
            </w:r>
          </w:p>
        </w:tc>
        <w:tc>
          <w:tcPr>
            <w:tcW w:w="1606" w:type="dxa"/>
            <w:tcBorders>
              <w:top w:val="nil"/>
            </w:tcBorders>
            <w:noWrap/>
            <w:vAlign w:val="bottom"/>
          </w:tcPr>
          <w:p w14:paraId="1AEAB2CD" w14:textId="759BCB1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w:t>
            </w:r>
          </w:p>
        </w:tc>
        <w:tc>
          <w:tcPr>
            <w:tcW w:w="1606" w:type="dxa"/>
            <w:tcBorders>
              <w:top w:val="nil"/>
            </w:tcBorders>
            <w:noWrap/>
            <w:vAlign w:val="bottom"/>
          </w:tcPr>
          <w:p w14:paraId="38DA28D5" w14:textId="69CEE01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218,000</w:t>
            </w:r>
          </w:p>
        </w:tc>
        <w:tc>
          <w:tcPr>
            <w:tcW w:w="1607" w:type="dxa"/>
            <w:tcBorders>
              <w:top w:val="nil"/>
              <w:right w:val="single" w:sz="4" w:space="0" w:color="E0301E" w:themeColor="accent6"/>
            </w:tcBorders>
            <w:vAlign w:val="bottom"/>
          </w:tcPr>
          <w:p w14:paraId="245D3C5C" w14:textId="4076ACE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119%</w:t>
            </w:r>
          </w:p>
        </w:tc>
      </w:tr>
      <w:tr w:rsidR="0069611A" w:rsidRPr="006114CC" w14:paraId="3BA4CF4D"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tcPr>
          <w:p w14:paraId="0DFD7472"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Level of parental welfare dependence</w:t>
            </w:r>
          </w:p>
        </w:tc>
        <w:tc>
          <w:tcPr>
            <w:tcW w:w="1134" w:type="dxa"/>
            <w:tcBorders>
              <w:top w:val="single" w:sz="4" w:space="0" w:color="E0301E" w:themeColor="accent6"/>
              <w:bottom w:val="nil"/>
            </w:tcBorders>
            <w:noWrap/>
            <w:vAlign w:val="bottom"/>
          </w:tcPr>
          <w:p w14:paraId="4F690012"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0A349765"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6" w:type="dxa"/>
            <w:tcBorders>
              <w:top w:val="single" w:sz="4" w:space="0" w:color="E0301E" w:themeColor="accent6"/>
              <w:bottom w:val="nil"/>
            </w:tcBorders>
            <w:noWrap/>
            <w:vAlign w:val="bottom"/>
          </w:tcPr>
          <w:p w14:paraId="1EA0C3E7"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c>
          <w:tcPr>
            <w:tcW w:w="1607" w:type="dxa"/>
            <w:tcBorders>
              <w:top w:val="single" w:sz="4" w:space="0" w:color="E0301E" w:themeColor="accent6"/>
              <w:bottom w:val="nil"/>
              <w:right w:val="single" w:sz="4" w:space="0" w:color="E0301E" w:themeColor="accent6"/>
            </w:tcBorders>
            <w:vAlign w:val="bottom"/>
          </w:tcPr>
          <w:p w14:paraId="18882FF7"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p>
        </w:tc>
      </w:tr>
      <w:tr w:rsidR="0069611A" w:rsidRPr="006114CC" w14:paraId="5E41E1EC"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3CB19C22"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None (0%)</w:t>
            </w:r>
          </w:p>
        </w:tc>
        <w:tc>
          <w:tcPr>
            <w:tcW w:w="1134" w:type="dxa"/>
            <w:tcBorders>
              <w:top w:val="nil"/>
              <w:bottom w:val="nil"/>
            </w:tcBorders>
            <w:noWrap/>
            <w:vAlign w:val="bottom"/>
          </w:tcPr>
          <w:p w14:paraId="04BF920E" w14:textId="6BC4897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153,000</w:t>
            </w:r>
          </w:p>
        </w:tc>
        <w:tc>
          <w:tcPr>
            <w:tcW w:w="1606" w:type="dxa"/>
            <w:tcBorders>
              <w:top w:val="nil"/>
              <w:bottom w:val="nil"/>
            </w:tcBorders>
            <w:noWrap/>
            <w:vAlign w:val="bottom"/>
          </w:tcPr>
          <w:p w14:paraId="4452E46C" w14:textId="1D31A72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39%</w:t>
            </w:r>
          </w:p>
        </w:tc>
        <w:tc>
          <w:tcPr>
            <w:tcW w:w="1606" w:type="dxa"/>
            <w:tcBorders>
              <w:top w:val="nil"/>
              <w:bottom w:val="nil"/>
            </w:tcBorders>
            <w:noWrap/>
            <w:vAlign w:val="bottom"/>
          </w:tcPr>
          <w:p w14:paraId="3B11EC0F" w14:textId="23D4647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177,000</w:t>
            </w:r>
          </w:p>
        </w:tc>
        <w:tc>
          <w:tcPr>
            <w:tcW w:w="1607" w:type="dxa"/>
            <w:tcBorders>
              <w:top w:val="nil"/>
              <w:bottom w:val="nil"/>
              <w:right w:val="single" w:sz="4" w:space="0" w:color="E0301E" w:themeColor="accent6"/>
            </w:tcBorders>
            <w:vAlign w:val="bottom"/>
          </w:tcPr>
          <w:p w14:paraId="3999D9B6" w14:textId="261E68A5"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97%</w:t>
            </w:r>
          </w:p>
        </w:tc>
      </w:tr>
      <w:tr w:rsidR="0069611A" w:rsidRPr="006114CC" w14:paraId="57FD5CF0"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20850D87"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Some (1%-35%)</w:t>
            </w:r>
          </w:p>
        </w:tc>
        <w:tc>
          <w:tcPr>
            <w:tcW w:w="1134" w:type="dxa"/>
            <w:tcBorders>
              <w:top w:val="nil"/>
              <w:bottom w:val="nil"/>
            </w:tcBorders>
            <w:noWrap/>
            <w:vAlign w:val="bottom"/>
          </w:tcPr>
          <w:p w14:paraId="2B64B203" w14:textId="682092D1"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90,000</w:t>
            </w:r>
          </w:p>
        </w:tc>
        <w:tc>
          <w:tcPr>
            <w:tcW w:w="1606" w:type="dxa"/>
            <w:tcBorders>
              <w:top w:val="nil"/>
              <w:bottom w:val="nil"/>
            </w:tcBorders>
            <w:noWrap/>
            <w:vAlign w:val="bottom"/>
          </w:tcPr>
          <w:p w14:paraId="510DD8E2" w14:textId="4547A29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23%</w:t>
            </w:r>
          </w:p>
        </w:tc>
        <w:tc>
          <w:tcPr>
            <w:tcW w:w="1606" w:type="dxa"/>
            <w:tcBorders>
              <w:top w:val="nil"/>
              <w:bottom w:val="nil"/>
            </w:tcBorders>
            <w:noWrap/>
            <w:vAlign w:val="bottom"/>
          </w:tcPr>
          <w:p w14:paraId="1B462DFF" w14:textId="77A145C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183,000</w:t>
            </w:r>
          </w:p>
        </w:tc>
        <w:tc>
          <w:tcPr>
            <w:tcW w:w="1607" w:type="dxa"/>
            <w:tcBorders>
              <w:top w:val="nil"/>
              <w:bottom w:val="nil"/>
              <w:right w:val="single" w:sz="4" w:space="0" w:color="E0301E" w:themeColor="accent6"/>
            </w:tcBorders>
            <w:vAlign w:val="bottom"/>
          </w:tcPr>
          <w:p w14:paraId="6E5F4595" w14:textId="00FDBF5B"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100%</w:t>
            </w:r>
          </w:p>
        </w:tc>
      </w:tr>
      <w:tr w:rsidR="0069611A" w:rsidRPr="006114CC" w14:paraId="76624627"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2DE34E1D"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High (36%-80%)</w:t>
            </w:r>
          </w:p>
        </w:tc>
        <w:tc>
          <w:tcPr>
            <w:tcW w:w="1134" w:type="dxa"/>
            <w:tcBorders>
              <w:top w:val="nil"/>
              <w:bottom w:val="nil"/>
            </w:tcBorders>
            <w:noWrap/>
            <w:vAlign w:val="bottom"/>
          </w:tcPr>
          <w:p w14:paraId="043869BC" w14:textId="4EF6C769"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80,000</w:t>
            </w:r>
          </w:p>
        </w:tc>
        <w:tc>
          <w:tcPr>
            <w:tcW w:w="1606" w:type="dxa"/>
            <w:tcBorders>
              <w:top w:val="nil"/>
              <w:bottom w:val="nil"/>
            </w:tcBorders>
            <w:noWrap/>
            <w:vAlign w:val="bottom"/>
          </w:tcPr>
          <w:p w14:paraId="033CF172" w14:textId="5C5FF538"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20%</w:t>
            </w:r>
          </w:p>
        </w:tc>
        <w:tc>
          <w:tcPr>
            <w:tcW w:w="1606" w:type="dxa"/>
            <w:tcBorders>
              <w:top w:val="nil"/>
              <w:bottom w:val="nil"/>
            </w:tcBorders>
            <w:noWrap/>
            <w:vAlign w:val="bottom"/>
          </w:tcPr>
          <w:p w14:paraId="540752F7" w14:textId="21A2A90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187,000</w:t>
            </w:r>
          </w:p>
        </w:tc>
        <w:tc>
          <w:tcPr>
            <w:tcW w:w="1607" w:type="dxa"/>
            <w:tcBorders>
              <w:top w:val="nil"/>
              <w:bottom w:val="nil"/>
              <w:right w:val="single" w:sz="4" w:space="0" w:color="E0301E" w:themeColor="accent6"/>
            </w:tcBorders>
            <w:vAlign w:val="bottom"/>
          </w:tcPr>
          <w:p w14:paraId="3806C28C" w14:textId="783C2AE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102%</w:t>
            </w:r>
          </w:p>
        </w:tc>
      </w:tr>
      <w:tr w:rsidR="0069611A" w:rsidRPr="006114CC" w14:paraId="2FAC69E7"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332A4972"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Very high (81%+)</w:t>
            </w:r>
          </w:p>
        </w:tc>
        <w:tc>
          <w:tcPr>
            <w:tcW w:w="1134" w:type="dxa"/>
            <w:tcBorders>
              <w:top w:val="nil"/>
              <w:bottom w:val="single" w:sz="4" w:space="0" w:color="E0301E" w:themeColor="accent6"/>
            </w:tcBorders>
            <w:noWrap/>
            <w:vAlign w:val="bottom"/>
          </w:tcPr>
          <w:p w14:paraId="785056E1" w14:textId="6078EBE4"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74,000</w:t>
            </w:r>
          </w:p>
        </w:tc>
        <w:tc>
          <w:tcPr>
            <w:tcW w:w="1606" w:type="dxa"/>
            <w:tcBorders>
              <w:top w:val="nil"/>
              <w:bottom w:val="single" w:sz="4" w:space="0" w:color="E0301E" w:themeColor="accent6"/>
            </w:tcBorders>
            <w:noWrap/>
            <w:vAlign w:val="bottom"/>
          </w:tcPr>
          <w:p w14:paraId="3D21E5FB" w14:textId="4F36E94F"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w:t>
            </w:r>
          </w:p>
        </w:tc>
        <w:tc>
          <w:tcPr>
            <w:tcW w:w="1606" w:type="dxa"/>
            <w:tcBorders>
              <w:top w:val="nil"/>
              <w:bottom w:val="single" w:sz="4" w:space="0" w:color="E0301E" w:themeColor="accent6"/>
            </w:tcBorders>
            <w:noWrap/>
            <w:vAlign w:val="bottom"/>
          </w:tcPr>
          <w:p w14:paraId="5880ABEB" w14:textId="374669FF"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191,000</w:t>
            </w:r>
          </w:p>
        </w:tc>
        <w:tc>
          <w:tcPr>
            <w:tcW w:w="1607" w:type="dxa"/>
            <w:tcBorders>
              <w:top w:val="nil"/>
              <w:bottom w:val="single" w:sz="4" w:space="0" w:color="E0301E" w:themeColor="accent6"/>
              <w:right w:val="single" w:sz="4" w:space="0" w:color="E0301E" w:themeColor="accent6"/>
            </w:tcBorders>
            <w:vAlign w:val="bottom"/>
          </w:tcPr>
          <w:p w14:paraId="5B503920" w14:textId="235D32E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104%</w:t>
            </w:r>
          </w:p>
        </w:tc>
      </w:tr>
      <w:tr w:rsidR="0069611A" w:rsidRPr="006114CC" w14:paraId="3BAE2DAF"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tcPr>
          <w:p w14:paraId="04677E44"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Years in pay class</w:t>
            </w:r>
          </w:p>
        </w:tc>
        <w:tc>
          <w:tcPr>
            <w:tcW w:w="1134" w:type="dxa"/>
            <w:tcBorders>
              <w:bottom w:val="nil"/>
            </w:tcBorders>
            <w:noWrap/>
            <w:vAlign w:val="bottom"/>
          </w:tcPr>
          <w:p w14:paraId="1163A4CA"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36B581B2"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6C3D58DC"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0886EFE7"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7FECB942"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241B7854"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- 1 Year</w:t>
            </w:r>
          </w:p>
        </w:tc>
        <w:tc>
          <w:tcPr>
            <w:tcW w:w="1134" w:type="dxa"/>
            <w:tcBorders>
              <w:top w:val="nil"/>
              <w:bottom w:val="nil"/>
            </w:tcBorders>
            <w:noWrap/>
            <w:vAlign w:val="bottom"/>
          </w:tcPr>
          <w:p w14:paraId="4CE3FB9E" w14:textId="08D72B7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123,000</w:t>
            </w:r>
          </w:p>
        </w:tc>
        <w:tc>
          <w:tcPr>
            <w:tcW w:w="1606" w:type="dxa"/>
            <w:tcBorders>
              <w:top w:val="nil"/>
              <w:bottom w:val="nil"/>
            </w:tcBorders>
            <w:noWrap/>
            <w:vAlign w:val="bottom"/>
          </w:tcPr>
          <w:p w14:paraId="6138B2B7" w14:textId="7D44F5A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31%</w:t>
            </w:r>
          </w:p>
        </w:tc>
        <w:tc>
          <w:tcPr>
            <w:tcW w:w="1606" w:type="dxa"/>
            <w:tcBorders>
              <w:top w:val="nil"/>
              <w:bottom w:val="nil"/>
            </w:tcBorders>
            <w:noWrap/>
            <w:vAlign w:val="bottom"/>
          </w:tcPr>
          <w:p w14:paraId="572CF9E9" w14:textId="49779F64"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190,000</w:t>
            </w:r>
          </w:p>
        </w:tc>
        <w:tc>
          <w:tcPr>
            <w:tcW w:w="1607" w:type="dxa"/>
            <w:tcBorders>
              <w:top w:val="nil"/>
              <w:bottom w:val="nil"/>
              <w:right w:val="single" w:sz="4" w:space="0" w:color="E0301E" w:themeColor="accent6"/>
            </w:tcBorders>
            <w:vAlign w:val="bottom"/>
          </w:tcPr>
          <w:p w14:paraId="737C3AE8" w14:textId="0D2A8B6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104%</w:t>
            </w:r>
          </w:p>
        </w:tc>
      </w:tr>
      <w:tr w:rsidR="0069611A" w:rsidRPr="006114CC" w14:paraId="240F1865"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378C173B"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- 2-3 Years</w:t>
            </w:r>
          </w:p>
        </w:tc>
        <w:tc>
          <w:tcPr>
            <w:tcW w:w="1134" w:type="dxa"/>
            <w:tcBorders>
              <w:top w:val="nil"/>
              <w:bottom w:val="nil"/>
            </w:tcBorders>
            <w:noWrap/>
            <w:vAlign w:val="bottom"/>
          </w:tcPr>
          <w:p w14:paraId="14640ED3" w14:textId="4837EA5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153,000</w:t>
            </w:r>
          </w:p>
        </w:tc>
        <w:tc>
          <w:tcPr>
            <w:tcW w:w="1606" w:type="dxa"/>
            <w:tcBorders>
              <w:top w:val="nil"/>
              <w:bottom w:val="nil"/>
            </w:tcBorders>
            <w:noWrap/>
            <w:vAlign w:val="bottom"/>
          </w:tcPr>
          <w:p w14:paraId="5D9966B4" w14:textId="32999F0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39%</w:t>
            </w:r>
          </w:p>
        </w:tc>
        <w:tc>
          <w:tcPr>
            <w:tcW w:w="1606" w:type="dxa"/>
            <w:tcBorders>
              <w:top w:val="nil"/>
              <w:bottom w:val="nil"/>
            </w:tcBorders>
            <w:noWrap/>
            <w:vAlign w:val="bottom"/>
          </w:tcPr>
          <w:p w14:paraId="6105EE1E" w14:textId="3431F01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187,000</w:t>
            </w:r>
          </w:p>
        </w:tc>
        <w:tc>
          <w:tcPr>
            <w:tcW w:w="1607" w:type="dxa"/>
            <w:tcBorders>
              <w:top w:val="nil"/>
              <w:bottom w:val="nil"/>
              <w:right w:val="single" w:sz="4" w:space="0" w:color="E0301E" w:themeColor="accent6"/>
            </w:tcBorders>
            <w:vAlign w:val="bottom"/>
          </w:tcPr>
          <w:p w14:paraId="3B8CCFDD" w14:textId="7AD472C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102%</w:t>
            </w:r>
          </w:p>
        </w:tc>
      </w:tr>
      <w:tr w:rsidR="0069611A" w:rsidRPr="006114CC" w14:paraId="2B4751DA"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72279CA0"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- 4-5 Years</w:t>
            </w:r>
          </w:p>
        </w:tc>
        <w:tc>
          <w:tcPr>
            <w:tcW w:w="1134" w:type="dxa"/>
            <w:tcBorders>
              <w:top w:val="nil"/>
              <w:bottom w:val="nil"/>
            </w:tcBorders>
            <w:noWrap/>
            <w:vAlign w:val="bottom"/>
          </w:tcPr>
          <w:p w14:paraId="74B0A055" w14:textId="1052DE26"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77,000</w:t>
            </w:r>
          </w:p>
        </w:tc>
        <w:tc>
          <w:tcPr>
            <w:tcW w:w="1606" w:type="dxa"/>
            <w:tcBorders>
              <w:top w:val="nil"/>
              <w:bottom w:val="nil"/>
            </w:tcBorders>
            <w:noWrap/>
            <w:vAlign w:val="bottom"/>
          </w:tcPr>
          <w:p w14:paraId="3703C09C" w14:textId="4BF7239F"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w:t>
            </w:r>
          </w:p>
        </w:tc>
        <w:tc>
          <w:tcPr>
            <w:tcW w:w="1606" w:type="dxa"/>
            <w:tcBorders>
              <w:top w:val="nil"/>
              <w:bottom w:val="nil"/>
            </w:tcBorders>
            <w:noWrap/>
            <w:vAlign w:val="bottom"/>
          </w:tcPr>
          <w:p w14:paraId="2600F185" w14:textId="43432C2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172,000</w:t>
            </w:r>
          </w:p>
        </w:tc>
        <w:tc>
          <w:tcPr>
            <w:tcW w:w="1607" w:type="dxa"/>
            <w:tcBorders>
              <w:top w:val="nil"/>
              <w:bottom w:val="nil"/>
              <w:right w:val="single" w:sz="4" w:space="0" w:color="E0301E" w:themeColor="accent6"/>
            </w:tcBorders>
            <w:vAlign w:val="bottom"/>
          </w:tcPr>
          <w:p w14:paraId="0D3E54C9" w14:textId="0300DBEA"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94%</w:t>
            </w:r>
          </w:p>
        </w:tc>
      </w:tr>
      <w:tr w:rsidR="0069611A" w:rsidRPr="006114CC" w14:paraId="31062113"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tcBorders>
            <w:noWrap/>
          </w:tcPr>
          <w:p w14:paraId="6A1BDFD3"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- 6+ Years</w:t>
            </w:r>
          </w:p>
        </w:tc>
        <w:tc>
          <w:tcPr>
            <w:tcW w:w="1134" w:type="dxa"/>
            <w:tcBorders>
              <w:top w:val="nil"/>
            </w:tcBorders>
            <w:noWrap/>
            <w:vAlign w:val="bottom"/>
          </w:tcPr>
          <w:p w14:paraId="4A66945E" w14:textId="25B29275"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43,000</w:t>
            </w:r>
          </w:p>
        </w:tc>
        <w:tc>
          <w:tcPr>
            <w:tcW w:w="1606" w:type="dxa"/>
            <w:tcBorders>
              <w:top w:val="nil"/>
            </w:tcBorders>
            <w:noWrap/>
            <w:vAlign w:val="bottom"/>
          </w:tcPr>
          <w:p w14:paraId="5C56B782" w14:textId="4F029EF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11%</w:t>
            </w:r>
          </w:p>
        </w:tc>
        <w:tc>
          <w:tcPr>
            <w:tcW w:w="1606" w:type="dxa"/>
            <w:tcBorders>
              <w:top w:val="nil"/>
            </w:tcBorders>
            <w:noWrap/>
            <w:vAlign w:val="bottom"/>
          </w:tcPr>
          <w:p w14:paraId="05CADC82" w14:textId="53013F0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165,000</w:t>
            </w:r>
          </w:p>
        </w:tc>
        <w:tc>
          <w:tcPr>
            <w:tcW w:w="1607" w:type="dxa"/>
            <w:tcBorders>
              <w:top w:val="nil"/>
              <w:right w:val="single" w:sz="4" w:space="0" w:color="E0301E" w:themeColor="accent6"/>
            </w:tcBorders>
            <w:vAlign w:val="bottom"/>
          </w:tcPr>
          <w:p w14:paraId="527A1861" w14:textId="71DBD106"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90%</w:t>
            </w:r>
          </w:p>
        </w:tc>
      </w:tr>
    </w:tbl>
    <w:p w14:paraId="6150C384" w14:textId="77777777" w:rsidR="00D97824" w:rsidRDefault="00D97824" w:rsidP="00D97824">
      <w:pPr>
        <w:pStyle w:val="PwCNormal"/>
        <w:numPr>
          <w:ilvl w:val="0"/>
          <w:numId w:val="0"/>
        </w:numPr>
      </w:pPr>
      <w:r w:rsidRPr="006114CC">
        <w:t>Fro</w:t>
      </w:r>
      <w:r>
        <w:t>m the table above we can see that for previous welfare recipients:</w:t>
      </w:r>
    </w:p>
    <w:p w14:paraId="72699ABB" w14:textId="77777777" w:rsidR="00D97824" w:rsidRPr="00D00245" w:rsidRDefault="00D97824" w:rsidP="00D97824">
      <w:pPr>
        <w:pStyle w:val="ListBullet"/>
      </w:pPr>
      <w:r w:rsidRPr="00D00245">
        <w:t>Single individuals have a higher average lifetime cost compared to partnered individuals;</w:t>
      </w:r>
    </w:p>
    <w:p w14:paraId="5861FAD5" w14:textId="77777777" w:rsidR="00D97824" w:rsidRPr="00D00245" w:rsidRDefault="00D97824" w:rsidP="00D97824">
      <w:pPr>
        <w:pStyle w:val="ListBullet"/>
      </w:pPr>
      <w:r w:rsidRPr="00D00245">
        <w:t>In general, those with a lower level of educational attainment have a higher average lifetime cost;</w:t>
      </w:r>
    </w:p>
    <w:p w14:paraId="41E0A3CE" w14:textId="06F45F9C" w:rsidR="00D97824" w:rsidRPr="00D00245" w:rsidRDefault="00D97824" w:rsidP="00D97824">
      <w:pPr>
        <w:pStyle w:val="ListBullet"/>
      </w:pPr>
      <w:r w:rsidRPr="00D00245">
        <w:t xml:space="preserve">Noting that </w:t>
      </w:r>
      <w:r w:rsidR="00E16F03">
        <w:t xml:space="preserve">the </w:t>
      </w:r>
      <w:r w:rsidRPr="00D00245">
        <w:t>majority of previous welfare recipients do not currently have children, for the small proportion of individuals that do currently have children, in general they have a higher average lifetime cost;</w:t>
      </w:r>
    </w:p>
    <w:p w14:paraId="61F8FB49" w14:textId="77777777" w:rsidR="00D97824" w:rsidRPr="00D00245" w:rsidRDefault="00D97824" w:rsidP="00D97824">
      <w:pPr>
        <w:pStyle w:val="ListBullet"/>
      </w:pPr>
      <w:r w:rsidRPr="00D00245">
        <w:t>Those with a higher level of parental welfare dependence have a higher average lifetime cost;</w:t>
      </w:r>
    </w:p>
    <w:p w14:paraId="756FAFA6" w14:textId="6214A168" w:rsidR="00D97824" w:rsidRPr="00D00245" w:rsidRDefault="00D97824" w:rsidP="00D97824">
      <w:pPr>
        <w:pStyle w:val="PwCNormal"/>
      </w:pPr>
      <w:r w:rsidRPr="00D00245">
        <w:t>Those who have been out of the welfare system for a shorter period of time have a higher average lifetime cost.</w:t>
      </w:r>
    </w:p>
    <w:p w14:paraId="3AFD66CC" w14:textId="77777777" w:rsidR="004F46FE" w:rsidRPr="001E1EB8" w:rsidRDefault="004F46FE" w:rsidP="004F46FE">
      <w:pPr>
        <w:pStyle w:val="Minorheading"/>
      </w:pPr>
      <w:r w:rsidRPr="001E1EB8">
        <w:t>Change in lifetime costs since the 2016 valuation</w:t>
      </w:r>
    </w:p>
    <w:p w14:paraId="265D82F2" w14:textId="17C389FF" w:rsidR="004F46FE" w:rsidRPr="001E1EB8" w:rsidRDefault="004F46FE" w:rsidP="004F46FE">
      <w:pPr>
        <w:pStyle w:val="PwCNormal"/>
        <w:numPr>
          <w:ilvl w:val="0"/>
          <w:numId w:val="0"/>
        </w:numPr>
      </w:pPr>
      <w:r w:rsidRPr="001E1EB8">
        <w:t xml:space="preserve">The lifetime cost for the people in this class </w:t>
      </w:r>
      <w:r w:rsidR="00B642B1">
        <w:t xml:space="preserve">is </w:t>
      </w:r>
      <w:r w:rsidRPr="001E1EB8">
        <w:t>$735bn</w:t>
      </w:r>
      <w:r w:rsidR="00B642B1">
        <w:t>,</w:t>
      </w:r>
      <w:r w:rsidRPr="001E1EB8">
        <w:t xml:space="preserve"> an increase of $82bn compared to the </w:t>
      </w:r>
      <w:r w:rsidR="001749D8">
        <w:t>June 2016</w:t>
      </w:r>
      <w:r w:rsidR="001749D8" w:rsidRPr="001E1EB8">
        <w:t xml:space="preserve"> </w:t>
      </w:r>
      <w:r w:rsidRPr="001E1EB8">
        <w:t>valuation. This was driven by both an increase in the number of people in this class, and an increase in the average cost:</w:t>
      </w:r>
    </w:p>
    <w:p w14:paraId="6C75386E" w14:textId="2B9BE10F" w:rsidR="004F46FE" w:rsidRPr="001E1EB8" w:rsidRDefault="004F46FE" w:rsidP="00964D65">
      <w:pPr>
        <w:pStyle w:val="Bullet1"/>
        <w:numPr>
          <w:ilvl w:val="0"/>
          <w:numId w:val="34"/>
        </w:numPr>
      </w:pPr>
      <w:r w:rsidRPr="001E1EB8">
        <w:t xml:space="preserve">The number of people </w:t>
      </w:r>
      <w:r w:rsidR="00A64D11">
        <w:t>in this class has increased by 7</w:t>
      </w:r>
      <w:r w:rsidRPr="001E1EB8">
        <w:t>.</w:t>
      </w:r>
      <w:r w:rsidR="00A64D11">
        <w:t>3</w:t>
      </w:r>
      <w:r w:rsidRPr="001E1EB8">
        <w:t xml:space="preserve">% (from </w:t>
      </w:r>
      <w:r>
        <w:t>4</w:t>
      </w:r>
      <w:r w:rsidRPr="001E1EB8">
        <w:t>.</w:t>
      </w:r>
      <w:r>
        <w:t>2</w:t>
      </w:r>
      <w:r w:rsidRPr="001E1EB8">
        <w:t>m to 4.</w:t>
      </w:r>
      <w:r>
        <w:t>5</w:t>
      </w:r>
      <w:r w:rsidRPr="001E1EB8">
        <w:t>m) since the previous valuation. This increase is largely a result of having one year of extra history in our data which means there is a larger group of people we have been able to identify as being previous welfare recipients.</w:t>
      </w:r>
      <w:r>
        <w:t xml:space="preserve"> This effect will continue at future valuations.</w:t>
      </w:r>
    </w:p>
    <w:p w14:paraId="6802CED7" w14:textId="2811E98E" w:rsidR="004F46FE" w:rsidRPr="001E1EB8" w:rsidRDefault="004F46FE" w:rsidP="00964D65">
      <w:pPr>
        <w:pStyle w:val="Bullet1"/>
        <w:numPr>
          <w:ilvl w:val="0"/>
          <w:numId w:val="34"/>
        </w:numPr>
      </w:pPr>
      <w:r w:rsidRPr="001E1EB8">
        <w:t xml:space="preserve">The </w:t>
      </w:r>
      <w:r w:rsidR="00B3148A">
        <w:t>average cost has increased by $8</w:t>
      </w:r>
      <w:r w:rsidRPr="001E1EB8">
        <w:t>,000 (</w:t>
      </w:r>
      <w:r w:rsidR="00B3148A">
        <w:t>5</w:t>
      </w:r>
      <w:r w:rsidRPr="001E1EB8">
        <w:t>.</w:t>
      </w:r>
      <w:r w:rsidR="00B3148A">
        <w:t>3</w:t>
      </w:r>
      <w:r w:rsidRPr="001E1EB8">
        <w:t>%) since the previous valuation. The following table provides a breakdown of the change in average lifetime cost by payment category.</w:t>
      </w:r>
    </w:p>
    <w:p w14:paraId="4EC60A1C" w14:textId="1CB1AE0B" w:rsidR="004F46FE" w:rsidRPr="001D00E6" w:rsidRDefault="004F46FE" w:rsidP="004F46FE">
      <w:pPr>
        <w:pStyle w:val="Caption"/>
      </w:pPr>
      <w:r w:rsidRPr="001D00E6">
        <w:lastRenderedPageBreak/>
        <w:t xml:space="preserve">Table </w:t>
      </w:r>
      <w:fldSimple w:instr=" SEQ Table \* ARABIC ">
        <w:r w:rsidR="00C93C1A">
          <w:rPr>
            <w:noProof/>
          </w:rPr>
          <w:t>51</w:t>
        </w:r>
      </w:fldSimple>
      <w:r w:rsidRPr="001D00E6">
        <w:t xml:space="preserve">: Breakdown of change in average lifetime cost for </w:t>
      </w:r>
      <w:r w:rsidR="00871E70">
        <w:t>c</w:t>
      </w:r>
      <w:r w:rsidRPr="001D00E6">
        <w:t>lass 10 by payment category</w:t>
      </w:r>
    </w:p>
    <w:tbl>
      <w:tblPr>
        <w:tblStyle w:val="ListTable3-Accent62"/>
        <w:tblW w:w="9498" w:type="dxa"/>
        <w:tblInd w:w="108" w:type="dxa"/>
        <w:tblLayout w:type="fixed"/>
        <w:tblCellMar>
          <w:left w:w="57" w:type="dxa"/>
          <w:right w:w="57" w:type="dxa"/>
        </w:tblCellMar>
        <w:tblLook w:val="04A0" w:firstRow="1" w:lastRow="0" w:firstColumn="1" w:lastColumn="0" w:noHBand="0" w:noVBand="1"/>
        <w:tblCaption w:val=" Breakdown of change in average lifetime cost for Class 10 by payment category"/>
        <w:tblDescription w:val="This table shows the breakdown of the total change in average lifetime cost for Class 10 into; change in people in class, change in inflation, policy changes and other changes. These are shown as rows in the table.&#10;&#10;The changes in lifetime cost are considered by relevant payment categories for Class 10; IS Non Age Pension, IS Age Pension, Non IS Family Supplements and Non IS Other Supplements. These are shown as columns in the table alongside a total change column.&#10;&#10;Further features of the data in this table are discussed in the accompanying text within the report.&#10;"/>
      </w:tblPr>
      <w:tblGrid>
        <w:gridCol w:w="3119"/>
        <w:gridCol w:w="1276"/>
        <w:gridCol w:w="1240"/>
        <w:gridCol w:w="1240"/>
        <w:gridCol w:w="1311"/>
        <w:gridCol w:w="1312"/>
      </w:tblGrid>
      <w:tr w:rsidR="004F46FE" w:rsidRPr="001D00E6" w14:paraId="39C13077" w14:textId="77777777" w:rsidTr="0015620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1E7EC59E" w14:textId="77777777" w:rsidR="004F46FE" w:rsidRPr="001D00E6" w:rsidRDefault="004F46FE" w:rsidP="00156206">
            <w:pPr>
              <w:pStyle w:val="TableTextSmall"/>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006FF207" w14:textId="77777777" w:rsidR="004F46FE" w:rsidRPr="001D00E6" w:rsidRDefault="004F46FE" w:rsidP="00156206">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40" w:type="dxa"/>
            <w:tcBorders>
              <w:left w:val="single" w:sz="4" w:space="0" w:color="FFFFFF" w:themeColor="background1"/>
              <w:bottom w:val="single" w:sz="4" w:space="0" w:color="FFFFFF" w:themeColor="background1"/>
            </w:tcBorders>
          </w:tcPr>
          <w:p w14:paraId="61A4AFC9" w14:textId="77777777" w:rsidR="004F46FE" w:rsidRPr="001D00E6" w:rsidRDefault="004F46FE" w:rsidP="00156206">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1D00E6">
              <w:rPr>
                <w:rFonts w:asciiTheme="majorHAnsi" w:hAnsiTheme="majorHAnsi"/>
                <w:color w:val="FFFFFF" w:themeColor="background1"/>
              </w:rPr>
              <w:t>Income</w:t>
            </w:r>
          </w:p>
        </w:tc>
        <w:tc>
          <w:tcPr>
            <w:tcW w:w="1240" w:type="dxa"/>
            <w:tcBorders>
              <w:left w:val="single" w:sz="4" w:space="0" w:color="E0301E" w:themeColor="accent6"/>
              <w:bottom w:val="single" w:sz="4" w:space="0" w:color="FFFFFF" w:themeColor="background1"/>
              <w:right w:val="single" w:sz="4" w:space="0" w:color="FFFFFF" w:themeColor="background1"/>
            </w:tcBorders>
          </w:tcPr>
          <w:p w14:paraId="05F8A989" w14:textId="77777777" w:rsidR="004F46FE" w:rsidRPr="001D00E6" w:rsidRDefault="004F46FE" w:rsidP="00156206">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1D00E6">
              <w:rPr>
                <w:rFonts w:asciiTheme="majorHAnsi" w:hAnsiTheme="majorHAnsi"/>
                <w:color w:val="FFFFFF" w:themeColor="background1"/>
              </w:rPr>
              <w:t>Support</w:t>
            </w:r>
          </w:p>
        </w:tc>
        <w:tc>
          <w:tcPr>
            <w:tcW w:w="1311" w:type="dxa"/>
            <w:tcBorders>
              <w:left w:val="single" w:sz="4" w:space="0" w:color="FFFFFF" w:themeColor="background1"/>
            </w:tcBorders>
          </w:tcPr>
          <w:p w14:paraId="2F8CA0D9" w14:textId="4CFBE4CE" w:rsidR="004F46FE" w:rsidRPr="001D00E6" w:rsidRDefault="005B3E7D" w:rsidP="00156206">
            <w:pPr>
              <w:pStyle w:val="TableTextSmall"/>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Pr>
                <w:rFonts w:asciiTheme="majorHAnsi" w:hAnsiTheme="majorHAnsi"/>
                <w:color w:val="FFFFFF" w:themeColor="background1"/>
              </w:rPr>
              <w:t>Non Income</w:t>
            </w:r>
          </w:p>
        </w:tc>
        <w:tc>
          <w:tcPr>
            <w:tcW w:w="1312" w:type="dxa"/>
            <w:tcBorders>
              <w:bottom w:val="single" w:sz="4" w:space="0" w:color="FFFFFF" w:themeColor="background1"/>
            </w:tcBorders>
          </w:tcPr>
          <w:p w14:paraId="41036186" w14:textId="77777777" w:rsidR="004F46FE" w:rsidRPr="001D00E6" w:rsidRDefault="004F46FE" w:rsidP="00156206">
            <w:pPr>
              <w:pStyle w:val="TableTextSmall"/>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1D00E6">
              <w:rPr>
                <w:rFonts w:asciiTheme="majorHAnsi" w:hAnsiTheme="majorHAnsi"/>
                <w:color w:val="FFFFFF" w:themeColor="background1"/>
              </w:rPr>
              <w:t>Support</w:t>
            </w:r>
          </w:p>
        </w:tc>
      </w:tr>
      <w:tr w:rsidR="004F46FE" w:rsidRPr="001D00E6" w14:paraId="1CC15F3E" w14:textId="77777777" w:rsidTr="0015620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436D1674" w14:textId="77777777" w:rsidR="004F46FE" w:rsidRPr="001D00E6" w:rsidRDefault="004F46FE" w:rsidP="00156206">
            <w:pPr>
              <w:pStyle w:val="TableTextSmall"/>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4B033615" w14:textId="77777777" w:rsidR="004F46FE" w:rsidRPr="001D00E6" w:rsidRDefault="004F46FE" w:rsidP="00156206">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1D00E6">
              <w:rPr>
                <w:rFonts w:asciiTheme="majorHAnsi" w:hAnsiTheme="majorHAnsi"/>
                <w:color w:val="FFFFFF" w:themeColor="background1"/>
              </w:rPr>
              <w:t>Total</w:t>
            </w:r>
          </w:p>
        </w:tc>
        <w:tc>
          <w:tcPr>
            <w:tcW w:w="1240" w:type="dxa"/>
            <w:tcBorders>
              <w:top w:val="single" w:sz="4" w:space="0" w:color="FFFFFF" w:themeColor="background1"/>
              <w:left w:val="single" w:sz="4" w:space="0" w:color="FFFFFF" w:themeColor="background1"/>
              <w:bottom w:val="single" w:sz="4" w:space="0" w:color="E0301E" w:themeColor="accent6"/>
            </w:tcBorders>
          </w:tcPr>
          <w:p w14:paraId="553EAA94" w14:textId="77777777" w:rsidR="004F46FE" w:rsidRPr="001D00E6" w:rsidRDefault="004F46FE" w:rsidP="00156206">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1D00E6">
              <w:rPr>
                <w:rFonts w:asciiTheme="majorHAnsi" w:hAnsiTheme="majorHAnsi"/>
                <w:color w:val="FFFFFF" w:themeColor="background1"/>
              </w:rPr>
              <w:t>Non Age Pension</w:t>
            </w:r>
          </w:p>
        </w:tc>
        <w:tc>
          <w:tcPr>
            <w:tcW w:w="1240" w:type="dxa"/>
            <w:tcBorders>
              <w:top w:val="single" w:sz="4" w:space="0" w:color="FFFFFF" w:themeColor="background1"/>
              <w:bottom w:val="single" w:sz="4" w:space="0" w:color="E0301E" w:themeColor="accent6"/>
              <w:right w:val="single" w:sz="4" w:space="0" w:color="FFFFFF" w:themeColor="background1"/>
            </w:tcBorders>
          </w:tcPr>
          <w:p w14:paraId="6022DFA2" w14:textId="77777777" w:rsidR="004F46FE" w:rsidRPr="001D00E6" w:rsidRDefault="004F46FE" w:rsidP="00156206">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1D00E6">
              <w:rPr>
                <w:rFonts w:asciiTheme="majorHAnsi" w:hAnsiTheme="majorHAnsi"/>
                <w:color w:val="FFFFFF" w:themeColor="background1"/>
              </w:rPr>
              <w:t>Age Pension</w:t>
            </w:r>
          </w:p>
        </w:tc>
        <w:tc>
          <w:tcPr>
            <w:tcW w:w="1311" w:type="dxa"/>
            <w:tcBorders>
              <w:top w:val="single" w:sz="4" w:space="0" w:color="FFFFFF" w:themeColor="background1"/>
              <w:left w:val="single" w:sz="4" w:space="0" w:color="FFFFFF" w:themeColor="background1"/>
              <w:bottom w:val="single" w:sz="4" w:space="0" w:color="E0301E" w:themeColor="accent6"/>
            </w:tcBorders>
          </w:tcPr>
          <w:p w14:paraId="34EA2AF6" w14:textId="77777777" w:rsidR="004F46FE" w:rsidRPr="001D00E6" w:rsidRDefault="004F46FE" w:rsidP="00156206">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1D00E6">
              <w:rPr>
                <w:rFonts w:asciiTheme="majorHAnsi" w:hAnsiTheme="majorHAnsi"/>
                <w:color w:val="FFFFFF" w:themeColor="background1"/>
              </w:rPr>
              <w:t>Family Supplements</w:t>
            </w:r>
          </w:p>
        </w:tc>
        <w:tc>
          <w:tcPr>
            <w:tcW w:w="1312" w:type="dxa"/>
            <w:tcBorders>
              <w:bottom w:val="single" w:sz="4" w:space="0" w:color="E0301E" w:themeColor="accent6"/>
            </w:tcBorders>
          </w:tcPr>
          <w:p w14:paraId="167EE26E" w14:textId="77777777" w:rsidR="004F46FE" w:rsidRPr="001D00E6" w:rsidRDefault="004F46FE" w:rsidP="00156206">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1D00E6">
              <w:rPr>
                <w:rFonts w:asciiTheme="majorHAnsi" w:hAnsiTheme="majorHAnsi"/>
                <w:color w:val="FFFFFF" w:themeColor="background1"/>
              </w:rPr>
              <w:t>Other Supplements</w:t>
            </w:r>
          </w:p>
        </w:tc>
      </w:tr>
      <w:tr w:rsidR="00AA1061" w:rsidRPr="001D00E6" w14:paraId="47D90E4F"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416F99BA" w14:textId="77777777" w:rsidR="00AA1061" w:rsidRPr="001D00E6" w:rsidRDefault="00AA1061" w:rsidP="00AA1061">
            <w:pPr>
              <w:pStyle w:val="TableTextSmall"/>
            </w:pPr>
            <w:r>
              <w:t>Jun-16</w:t>
            </w:r>
            <w:r w:rsidRPr="001D00E6">
              <w:t xml:space="preserve"> Total Lifetime Cost</w:t>
            </w:r>
          </w:p>
        </w:tc>
        <w:tc>
          <w:tcPr>
            <w:tcW w:w="1276" w:type="dxa"/>
            <w:tcBorders>
              <w:left w:val="single" w:sz="4" w:space="0" w:color="E0301E" w:themeColor="accent6"/>
              <w:bottom w:val="nil"/>
              <w:right w:val="single" w:sz="4" w:space="0" w:color="E0301E" w:themeColor="accent6"/>
            </w:tcBorders>
          </w:tcPr>
          <w:p w14:paraId="716943FE" w14:textId="3EE86688" w:rsidR="00AA1061" w:rsidRPr="001D00E6"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pPr>
            <w:r w:rsidRPr="00686B33">
              <w:t>$653bn</w:t>
            </w:r>
          </w:p>
        </w:tc>
        <w:tc>
          <w:tcPr>
            <w:tcW w:w="1240" w:type="dxa"/>
            <w:tcBorders>
              <w:left w:val="single" w:sz="4" w:space="0" w:color="E0301E" w:themeColor="accent6"/>
              <w:bottom w:val="nil"/>
            </w:tcBorders>
            <w:shd w:val="clear" w:color="auto" w:fill="D9D9D9" w:themeFill="background1" w:themeFillShade="D9"/>
          </w:tcPr>
          <w:p w14:paraId="6E6255CA" w14:textId="77777777" w:rsidR="00AA1061" w:rsidRPr="001D00E6"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pPr>
          </w:p>
        </w:tc>
        <w:tc>
          <w:tcPr>
            <w:tcW w:w="1240" w:type="dxa"/>
            <w:tcBorders>
              <w:bottom w:val="nil"/>
              <w:right w:val="nil"/>
            </w:tcBorders>
            <w:shd w:val="clear" w:color="auto" w:fill="D9D9D9" w:themeFill="background1" w:themeFillShade="D9"/>
          </w:tcPr>
          <w:p w14:paraId="4D822396" w14:textId="77777777" w:rsidR="00AA1061" w:rsidRPr="001D00E6"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pPr>
          </w:p>
        </w:tc>
        <w:tc>
          <w:tcPr>
            <w:tcW w:w="1311" w:type="dxa"/>
            <w:tcBorders>
              <w:left w:val="nil"/>
              <w:bottom w:val="nil"/>
            </w:tcBorders>
            <w:shd w:val="clear" w:color="auto" w:fill="D9D9D9" w:themeFill="background1" w:themeFillShade="D9"/>
          </w:tcPr>
          <w:p w14:paraId="149C1F6A" w14:textId="77777777" w:rsidR="00AA1061" w:rsidRPr="001D00E6"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pPr>
          </w:p>
        </w:tc>
        <w:tc>
          <w:tcPr>
            <w:tcW w:w="1312" w:type="dxa"/>
            <w:tcBorders>
              <w:bottom w:val="nil"/>
            </w:tcBorders>
            <w:shd w:val="clear" w:color="auto" w:fill="D9D9D9" w:themeFill="background1" w:themeFillShade="D9"/>
          </w:tcPr>
          <w:p w14:paraId="446DEAE4" w14:textId="77777777" w:rsidR="00AA1061" w:rsidRPr="001D00E6"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pPr>
          </w:p>
        </w:tc>
      </w:tr>
      <w:tr w:rsidR="00AA1061" w:rsidRPr="001D00E6" w14:paraId="5F2F1BE7" w14:textId="77777777" w:rsidTr="00156206">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6D06D299" w14:textId="77777777" w:rsidR="00AA1061" w:rsidRPr="001D00E6" w:rsidRDefault="00AA1061" w:rsidP="00AA1061">
            <w:pPr>
              <w:pStyle w:val="TableTextSmall"/>
            </w:pPr>
            <w:r>
              <w:t>Jun-17</w:t>
            </w:r>
            <w:r w:rsidRPr="001D00E6">
              <w:t xml:space="preserve">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tcPr>
          <w:p w14:paraId="39CA38FC" w14:textId="74B2486B"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r w:rsidRPr="00686B33">
              <w:t>$735bn</w:t>
            </w:r>
          </w:p>
        </w:tc>
        <w:tc>
          <w:tcPr>
            <w:tcW w:w="1240" w:type="dxa"/>
            <w:tcBorders>
              <w:top w:val="nil"/>
              <w:left w:val="single" w:sz="4" w:space="0" w:color="E0301E" w:themeColor="accent6"/>
              <w:bottom w:val="nil"/>
            </w:tcBorders>
            <w:shd w:val="clear" w:color="auto" w:fill="D9D9D9" w:themeFill="background1" w:themeFillShade="D9"/>
          </w:tcPr>
          <w:p w14:paraId="1DF8E9B3" w14:textId="77777777"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tcPr>
          <w:p w14:paraId="712A3CCF" w14:textId="77777777"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tcPr>
          <w:p w14:paraId="7C6BC7A8" w14:textId="77777777"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nil"/>
            </w:tcBorders>
            <w:shd w:val="clear" w:color="auto" w:fill="D9D9D9" w:themeFill="background1" w:themeFillShade="D9"/>
          </w:tcPr>
          <w:p w14:paraId="4DD77EFA" w14:textId="77777777"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p>
        </w:tc>
      </w:tr>
      <w:tr w:rsidR="00AA1061" w:rsidRPr="001D00E6" w14:paraId="0ADAE2C8"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2D4E5A04" w14:textId="77777777" w:rsidR="00AA1061" w:rsidRPr="001D00E6" w:rsidRDefault="00AA1061" w:rsidP="00AA1061">
            <w:pPr>
              <w:pStyle w:val="TableTextSmall"/>
            </w:pPr>
            <w:r w:rsidRPr="001D00E6">
              <w:t>Change in Total Lifetime Cost</w:t>
            </w:r>
          </w:p>
        </w:tc>
        <w:tc>
          <w:tcPr>
            <w:tcW w:w="1276" w:type="dxa"/>
            <w:tcBorders>
              <w:left w:val="single" w:sz="4" w:space="0" w:color="E0301E" w:themeColor="accent6"/>
              <w:bottom w:val="nil"/>
              <w:right w:val="single" w:sz="4" w:space="0" w:color="E0301E" w:themeColor="accent6"/>
            </w:tcBorders>
            <w:tcMar>
              <w:left w:w="0" w:type="dxa"/>
              <w:right w:w="0" w:type="dxa"/>
            </w:tcMar>
          </w:tcPr>
          <w:p w14:paraId="31E010EA" w14:textId="769128FA" w:rsidR="00AA1061" w:rsidRPr="001D00E6"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pPr>
            <w:r w:rsidRPr="00686B33">
              <w:t>+$82bn (+12.6%)</w:t>
            </w:r>
          </w:p>
        </w:tc>
        <w:tc>
          <w:tcPr>
            <w:tcW w:w="1240" w:type="dxa"/>
            <w:tcBorders>
              <w:top w:val="nil"/>
              <w:left w:val="single" w:sz="4" w:space="0" w:color="E0301E" w:themeColor="accent6"/>
              <w:bottom w:val="nil"/>
            </w:tcBorders>
            <w:shd w:val="clear" w:color="auto" w:fill="D9D9D9" w:themeFill="background1" w:themeFillShade="D9"/>
          </w:tcPr>
          <w:p w14:paraId="7BF5A317" w14:textId="77777777" w:rsidR="00AA1061" w:rsidRPr="001D00E6"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tcPr>
          <w:p w14:paraId="197EB181" w14:textId="77777777" w:rsidR="00AA1061" w:rsidRPr="001D00E6"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tcPr>
          <w:p w14:paraId="2C6C56FD" w14:textId="77777777" w:rsidR="00AA1061" w:rsidRPr="001D00E6"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pPr>
          </w:p>
        </w:tc>
        <w:tc>
          <w:tcPr>
            <w:tcW w:w="1312" w:type="dxa"/>
            <w:tcBorders>
              <w:top w:val="nil"/>
              <w:bottom w:val="nil"/>
            </w:tcBorders>
            <w:shd w:val="clear" w:color="auto" w:fill="D9D9D9" w:themeFill="background1" w:themeFillShade="D9"/>
          </w:tcPr>
          <w:p w14:paraId="5351F96E" w14:textId="77777777" w:rsidR="00AA1061" w:rsidRPr="001D00E6"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pPr>
          </w:p>
        </w:tc>
      </w:tr>
      <w:tr w:rsidR="00AA1061" w:rsidRPr="001D00E6" w14:paraId="51903AB1" w14:textId="77777777" w:rsidTr="00156206">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0A3AC2C4" w14:textId="77777777" w:rsidR="00AA1061" w:rsidRPr="001D00E6" w:rsidRDefault="00AA1061" w:rsidP="00AA1061">
            <w:pPr>
              <w:pStyle w:val="TableTextSmall"/>
            </w:pPr>
            <w:r w:rsidRPr="001D00E6">
              <w:t xml:space="preserve">Change due to </w:t>
            </w:r>
            <w:r>
              <w:t>People in Class</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tcPr>
          <w:p w14:paraId="0B4E7DD9" w14:textId="39DE059E"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r w:rsidRPr="00686B33">
              <w:t>+7.3%</w:t>
            </w:r>
          </w:p>
        </w:tc>
        <w:tc>
          <w:tcPr>
            <w:tcW w:w="1240" w:type="dxa"/>
            <w:tcBorders>
              <w:top w:val="nil"/>
              <w:left w:val="single" w:sz="4" w:space="0" w:color="E0301E" w:themeColor="accent6"/>
              <w:bottom w:val="single" w:sz="4" w:space="0" w:color="E0301E" w:themeColor="accent6"/>
            </w:tcBorders>
            <w:shd w:val="clear" w:color="auto" w:fill="D9D9D9" w:themeFill="background1" w:themeFillShade="D9"/>
          </w:tcPr>
          <w:p w14:paraId="5D3E9A7D" w14:textId="77777777"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single" w:sz="4" w:space="0" w:color="E0301E" w:themeColor="accent6"/>
              <w:right w:val="nil"/>
            </w:tcBorders>
            <w:shd w:val="clear" w:color="auto" w:fill="D9D9D9" w:themeFill="background1" w:themeFillShade="D9"/>
          </w:tcPr>
          <w:p w14:paraId="45B99124" w14:textId="77777777"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single" w:sz="4" w:space="0" w:color="E0301E" w:themeColor="accent6"/>
            </w:tcBorders>
            <w:shd w:val="clear" w:color="auto" w:fill="D9D9D9" w:themeFill="background1" w:themeFillShade="D9"/>
          </w:tcPr>
          <w:p w14:paraId="7B01E2D9" w14:textId="77777777"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single" w:sz="4" w:space="0" w:color="E0301E" w:themeColor="accent6"/>
            </w:tcBorders>
            <w:shd w:val="clear" w:color="auto" w:fill="D9D9D9" w:themeFill="background1" w:themeFillShade="D9"/>
          </w:tcPr>
          <w:p w14:paraId="126897B2" w14:textId="77777777"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p>
        </w:tc>
      </w:tr>
      <w:tr w:rsidR="00AA1061" w:rsidRPr="001D00E6" w14:paraId="0EF05FA9"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25286687" w14:textId="77777777" w:rsidR="00AA1061" w:rsidRPr="001D00E6" w:rsidRDefault="00AA1061" w:rsidP="00AA1061">
            <w:pPr>
              <w:pStyle w:val="TableTextSmall"/>
            </w:pPr>
            <w:r w:rsidRPr="001D00E6">
              <w:t>Change due to Average Lifetime Cost</w:t>
            </w:r>
          </w:p>
        </w:tc>
        <w:tc>
          <w:tcPr>
            <w:tcW w:w="1276" w:type="dxa"/>
            <w:tcBorders>
              <w:left w:val="single" w:sz="4" w:space="0" w:color="E0301E" w:themeColor="accent6"/>
              <w:bottom w:val="nil"/>
              <w:right w:val="single" w:sz="4" w:space="0" w:color="E0301E" w:themeColor="accent6"/>
            </w:tcBorders>
          </w:tcPr>
          <w:p w14:paraId="19F214CC" w14:textId="158A4F8C" w:rsidR="00AA1061" w:rsidRPr="001D00E6"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pPr>
            <w:r w:rsidRPr="00686B33">
              <w:t>+$8k (+5.3%)</w:t>
            </w:r>
          </w:p>
        </w:tc>
        <w:tc>
          <w:tcPr>
            <w:tcW w:w="1240" w:type="dxa"/>
            <w:tcBorders>
              <w:left w:val="single" w:sz="4" w:space="0" w:color="E0301E" w:themeColor="accent6"/>
              <w:bottom w:val="nil"/>
            </w:tcBorders>
          </w:tcPr>
          <w:p w14:paraId="7714A215" w14:textId="761A7CD5"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bottom w:val="nil"/>
              <w:right w:val="dashed" w:sz="4" w:space="0" w:color="E0301E" w:themeColor="accent6"/>
            </w:tcBorders>
          </w:tcPr>
          <w:p w14:paraId="6D9B06DF" w14:textId="7133E273" w:rsidR="00AA1061" w:rsidRPr="001D00E6"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808080"/>
              </w:rPr>
            </w:pPr>
            <w:r w:rsidRPr="00686B33">
              <w:t>+$8k</w:t>
            </w:r>
          </w:p>
        </w:tc>
        <w:tc>
          <w:tcPr>
            <w:tcW w:w="1311" w:type="dxa"/>
            <w:tcBorders>
              <w:left w:val="dashed" w:sz="4" w:space="0" w:color="E0301E" w:themeColor="accent6"/>
              <w:bottom w:val="nil"/>
            </w:tcBorders>
          </w:tcPr>
          <w:p w14:paraId="6F6393F7" w14:textId="6E834558"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bottom w:val="nil"/>
            </w:tcBorders>
          </w:tcPr>
          <w:p w14:paraId="5A306DC7" w14:textId="3D082CA4"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r>
      <w:tr w:rsidR="00AA1061" w:rsidRPr="001D00E6" w14:paraId="75EEDFDC" w14:textId="77777777" w:rsidTr="00156206">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36928D3E" w14:textId="77777777" w:rsidR="00AA1061" w:rsidRPr="001D00E6" w:rsidRDefault="00AA1061" w:rsidP="00AA1061">
            <w:pPr>
              <w:pStyle w:val="TableTextSmall"/>
              <w:rPr>
                <w:b w:val="0"/>
              </w:rPr>
            </w:pPr>
            <w:r w:rsidRPr="002404D0">
              <w:t>- Impact of change in inflation</w:t>
            </w:r>
          </w:p>
        </w:tc>
        <w:tc>
          <w:tcPr>
            <w:tcW w:w="1276" w:type="dxa"/>
            <w:tcBorders>
              <w:top w:val="nil"/>
              <w:left w:val="single" w:sz="4" w:space="0" w:color="E0301E" w:themeColor="accent6"/>
              <w:bottom w:val="nil"/>
              <w:right w:val="single" w:sz="4" w:space="0" w:color="E0301E" w:themeColor="accent6"/>
            </w:tcBorders>
          </w:tcPr>
          <w:p w14:paraId="2F415BDE" w14:textId="7DA56A2A"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686B33">
              <w:t>+$5k</w:t>
            </w:r>
          </w:p>
        </w:tc>
        <w:tc>
          <w:tcPr>
            <w:tcW w:w="1240" w:type="dxa"/>
            <w:tcBorders>
              <w:top w:val="nil"/>
              <w:left w:val="single" w:sz="4" w:space="0" w:color="E0301E" w:themeColor="accent6"/>
              <w:bottom w:val="nil"/>
            </w:tcBorders>
          </w:tcPr>
          <w:p w14:paraId="796E0D0A" w14:textId="4DE6BE40"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top w:val="nil"/>
              <w:bottom w:val="nil"/>
              <w:right w:val="dashed" w:sz="4" w:space="0" w:color="E0301E" w:themeColor="accent6"/>
            </w:tcBorders>
          </w:tcPr>
          <w:p w14:paraId="0DF73E15" w14:textId="281D73CB"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808080"/>
              </w:rPr>
            </w:pPr>
            <w:r w:rsidRPr="00686B33">
              <w:t>+$4k</w:t>
            </w:r>
          </w:p>
        </w:tc>
        <w:tc>
          <w:tcPr>
            <w:tcW w:w="1311" w:type="dxa"/>
            <w:tcBorders>
              <w:top w:val="nil"/>
              <w:left w:val="dashed" w:sz="4" w:space="0" w:color="E0301E" w:themeColor="accent6"/>
              <w:bottom w:val="nil"/>
            </w:tcBorders>
          </w:tcPr>
          <w:p w14:paraId="6115726F" w14:textId="0CF004B9"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top w:val="nil"/>
              <w:bottom w:val="nil"/>
            </w:tcBorders>
          </w:tcPr>
          <w:p w14:paraId="0ED3FF1E" w14:textId="6EF1D5BE"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r>
      <w:tr w:rsidR="00F8132F" w:rsidRPr="001D00E6" w14:paraId="67BF6567"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680F0370" w14:textId="77777777" w:rsidR="00F8132F" w:rsidRPr="001D00E6" w:rsidRDefault="00F8132F" w:rsidP="00F8132F">
            <w:pPr>
              <w:pStyle w:val="TableTextSmall"/>
              <w:rPr>
                <w:b w:val="0"/>
              </w:rPr>
            </w:pPr>
            <w:r w:rsidRPr="002404D0">
              <w:t>- Impact of policy changes</w:t>
            </w:r>
          </w:p>
        </w:tc>
        <w:tc>
          <w:tcPr>
            <w:tcW w:w="1276" w:type="dxa"/>
            <w:tcBorders>
              <w:top w:val="nil"/>
              <w:left w:val="single" w:sz="4" w:space="0" w:color="E0301E" w:themeColor="accent6"/>
              <w:bottom w:val="nil"/>
              <w:right w:val="single" w:sz="4" w:space="0" w:color="E0301E" w:themeColor="accent6"/>
            </w:tcBorders>
          </w:tcPr>
          <w:p w14:paraId="2303DE18" w14:textId="4EA1BE21"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top w:val="nil"/>
              <w:left w:val="single" w:sz="4" w:space="0" w:color="E0301E" w:themeColor="accent6"/>
              <w:bottom w:val="nil"/>
            </w:tcBorders>
          </w:tcPr>
          <w:p w14:paraId="666C029A" w14:textId="7B269969"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B06BD">
              <w:rPr>
                <w:color w:val="A6A6A6" w:themeColor="background1" w:themeShade="A6"/>
              </w:rPr>
              <w:t>&lt;$1k</w:t>
            </w:r>
          </w:p>
        </w:tc>
        <w:tc>
          <w:tcPr>
            <w:tcW w:w="1240" w:type="dxa"/>
            <w:tcBorders>
              <w:top w:val="nil"/>
              <w:bottom w:val="nil"/>
              <w:right w:val="dashed" w:sz="4" w:space="0" w:color="E0301E" w:themeColor="accent6"/>
            </w:tcBorders>
          </w:tcPr>
          <w:p w14:paraId="58ACBD83" w14:textId="0FE952C1"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FB06BD">
              <w:rPr>
                <w:color w:val="A6A6A6" w:themeColor="background1" w:themeShade="A6"/>
              </w:rPr>
              <w:t>&lt;$1k</w:t>
            </w:r>
          </w:p>
        </w:tc>
        <w:tc>
          <w:tcPr>
            <w:tcW w:w="1311" w:type="dxa"/>
            <w:tcBorders>
              <w:top w:val="nil"/>
              <w:left w:val="dashed" w:sz="4" w:space="0" w:color="E0301E" w:themeColor="accent6"/>
              <w:bottom w:val="nil"/>
            </w:tcBorders>
          </w:tcPr>
          <w:p w14:paraId="75EF362F" w14:textId="051872A9"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top w:val="nil"/>
              <w:bottom w:val="nil"/>
            </w:tcBorders>
          </w:tcPr>
          <w:p w14:paraId="74FEA2FB" w14:textId="15F367E2" w:rsidR="00F8132F"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r>
      <w:tr w:rsidR="00AA1061" w:rsidRPr="009210D0" w14:paraId="1B5F284A" w14:textId="77777777" w:rsidTr="00156206">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34A201C0" w14:textId="77777777" w:rsidR="00AA1061" w:rsidRPr="001D00E6" w:rsidRDefault="00AA1061" w:rsidP="00AA1061">
            <w:pPr>
              <w:pStyle w:val="TableTextSmall"/>
              <w:rPr>
                <w:b w:val="0"/>
              </w:rPr>
            </w:pPr>
            <w:r w:rsidRPr="002404D0">
              <w:t>- Impact of other changes</w:t>
            </w:r>
          </w:p>
        </w:tc>
        <w:tc>
          <w:tcPr>
            <w:tcW w:w="1276" w:type="dxa"/>
            <w:tcBorders>
              <w:top w:val="nil"/>
              <w:left w:val="single" w:sz="4" w:space="0" w:color="E0301E" w:themeColor="accent6"/>
              <w:right w:val="single" w:sz="4" w:space="0" w:color="E0301E" w:themeColor="accent6"/>
            </w:tcBorders>
          </w:tcPr>
          <w:p w14:paraId="4629FAB7" w14:textId="35E4FC34"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r w:rsidRPr="00686B33">
              <w:t>+$3k</w:t>
            </w:r>
          </w:p>
        </w:tc>
        <w:tc>
          <w:tcPr>
            <w:tcW w:w="1240" w:type="dxa"/>
            <w:tcBorders>
              <w:top w:val="nil"/>
              <w:left w:val="single" w:sz="4" w:space="0" w:color="E0301E" w:themeColor="accent6"/>
            </w:tcBorders>
          </w:tcPr>
          <w:p w14:paraId="538421C2" w14:textId="2CAC2C16"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top w:val="nil"/>
              <w:right w:val="dashed" w:sz="4" w:space="0" w:color="E0301E" w:themeColor="accent6"/>
            </w:tcBorders>
          </w:tcPr>
          <w:p w14:paraId="0F10032B" w14:textId="64240F9F"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r w:rsidRPr="00686B33">
              <w:t>+$4k</w:t>
            </w:r>
          </w:p>
        </w:tc>
        <w:tc>
          <w:tcPr>
            <w:tcW w:w="1311" w:type="dxa"/>
            <w:tcBorders>
              <w:top w:val="nil"/>
              <w:left w:val="dashed" w:sz="4" w:space="0" w:color="E0301E" w:themeColor="accent6"/>
            </w:tcBorders>
          </w:tcPr>
          <w:p w14:paraId="74564D7A" w14:textId="5678397A"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top w:val="nil"/>
            </w:tcBorders>
          </w:tcPr>
          <w:p w14:paraId="2DE73EC0" w14:textId="5D41DAAE"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r>
    </w:tbl>
    <w:p w14:paraId="2C995EE0" w14:textId="04913E92" w:rsidR="004F46FE" w:rsidRPr="00781443" w:rsidRDefault="004F46FE" w:rsidP="00964D65">
      <w:pPr>
        <w:pStyle w:val="PwCNormal"/>
        <w:numPr>
          <w:ilvl w:val="0"/>
          <w:numId w:val="33"/>
        </w:numPr>
      </w:pPr>
      <w:r w:rsidRPr="00781443">
        <w:t xml:space="preserve">The increase in average cost has </w:t>
      </w:r>
      <w:r w:rsidR="00B642B1">
        <w:t xml:space="preserve">been primarily </w:t>
      </w:r>
      <w:r w:rsidRPr="00781443">
        <w:t>driven by:</w:t>
      </w:r>
    </w:p>
    <w:p w14:paraId="474D097B" w14:textId="0CDE8DDA" w:rsidR="00B3148A" w:rsidRPr="00017177" w:rsidRDefault="00B3148A" w:rsidP="00B3148A">
      <w:pPr>
        <w:pStyle w:val="Bullet1"/>
      </w:pPr>
      <w:r w:rsidRPr="00017177">
        <w:t>an increase in the cost of future payments as a result of inflation;</w:t>
      </w:r>
      <w:r w:rsidR="00E00E2E">
        <w:t xml:space="preserve"> and</w:t>
      </w:r>
    </w:p>
    <w:p w14:paraId="56200942" w14:textId="0A453A41" w:rsidR="004F46FE" w:rsidRDefault="00B642B1" w:rsidP="004F46FE">
      <w:pPr>
        <w:pStyle w:val="Bullet1"/>
      </w:pPr>
      <w:r w:rsidRPr="005F7C50">
        <w:t>an increase in the expected amount of Age Pension payments</w:t>
      </w:r>
      <w:r>
        <w:t xml:space="preserve"> - the average Age Pension size has been adjusted in response to the observed increase in average payments to new pensioners</w:t>
      </w:r>
      <w:r w:rsidRPr="005F7C50">
        <w:t>.</w:t>
      </w:r>
    </w:p>
    <w:p w14:paraId="26100E6E" w14:textId="77777777" w:rsidR="004F46FE" w:rsidRPr="000A5A21" w:rsidRDefault="004F46FE" w:rsidP="004F46FE">
      <w:pPr>
        <w:pStyle w:val="Minorheading"/>
      </w:pPr>
      <w:r w:rsidRPr="000A5A21">
        <w:t>Future outcomes</w:t>
      </w:r>
    </w:p>
    <w:p w14:paraId="221DB77E" w14:textId="5106698D" w:rsidR="00362C71" w:rsidRPr="000A5A21" w:rsidRDefault="004F46FE" w:rsidP="004F46FE">
      <w:pPr>
        <w:pStyle w:val="PwCNormal"/>
        <w:keepNext/>
        <w:numPr>
          <w:ilvl w:val="0"/>
          <w:numId w:val="0"/>
        </w:numPr>
      </w:pPr>
      <w:r w:rsidRPr="000A5A21">
        <w:t>In developing the valuation results the projection model also produces information on the expected transitions for people out of each class, as shown below.</w:t>
      </w:r>
      <w:r w:rsidR="00362C71" w:rsidRPr="000A5A21">
        <w:t xml:space="preserve"> </w:t>
      </w:r>
    </w:p>
    <w:p w14:paraId="69152DEB" w14:textId="634CCAF5" w:rsidR="00362C71" w:rsidRPr="00452FA8" w:rsidRDefault="00362C71" w:rsidP="00362C71">
      <w:pPr>
        <w:pStyle w:val="Caption"/>
      </w:pPr>
      <w:r w:rsidRPr="00452FA8">
        <w:t xml:space="preserve">Figure </w:t>
      </w:r>
      <w:fldSimple w:instr=" SEQ Figure \* ARABIC ">
        <w:r w:rsidR="00C93C1A">
          <w:rPr>
            <w:noProof/>
          </w:rPr>
          <w:t>99</w:t>
        </w:r>
      </w:fldSimple>
      <w:r w:rsidRPr="00452FA8">
        <w:t xml:space="preserve">: Expected future trajectory for people in </w:t>
      </w:r>
      <w:r w:rsidR="00871E70">
        <w:t>c</w:t>
      </w:r>
      <w:r w:rsidRPr="00452FA8">
        <w:t>lass 10</w:t>
      </w:r>
    </w:p>
    <w:tbl>
      <w:tblPr>
        <w:tblStyle w:val="Tables-APBase"/>
        <w:tblW w:w="472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10"/>
        <w:tblDescription w:val="This text box contains one chart and a legend."/>
      </w:tblPr>
      <w:tblGrid>
        <w:gridCol w:w="6521"/>
        <w:gridCol w:w="3006"/>
      </w:tblGrid>
      <w:tr w:rsidR="00362C71" w:rsidRPr="009210D0" w14:paraId="55C0E918" w14:textId="77777777" w:rsidTr="009C6553">
        <w:trPr>
          <w:trHeight w:val="3381"/>
          <w:tblHeader/>
        </w:trPr>
        <w:tc>
          <w:tcPr>
            <w:tcW w:w="6521" w:type="dxa"/>
            <w:hideMark/>
          </w:tcPr>
          <w:p w14:paraId="6C8F85B5" w14:textId="5BFC2112" w:rsidR="00362C71" w:rsidRPr="00452FA8" w:rsidRDefault="000A5A21" w:rsidP="00452FA8">
            <w:pPr>
              <w:pStyle w:val="TableTextSmall"/>
            </w:pPr>
            <w:r>
              <w:rPr>
                <w:noProof/>
                <w:lang w:eastAsia="en-AU"/>
              </w:rPr>
              <w:t>e</w:t>
            </w:r>
            <w:r w:rsidRPr="000A5A21">
              <w:rPr>
                <w:noProof/>
                <w:lang w:eastAsia="en-AU"/>
              </w:rPr>
              <w:drawing>
                <wp:inline distT="0" distB="0" distL="0" distR="0" wp14:anchorId="0FED32EF" wp14:editId="3A585A83">
                  <wp:extent cx="4000500" cy="2080260"/>
                  <wp:effectExtent l="0" t="0" r="0" b="0"/>
                  <wp:docPr id="1049" name="Picture 1049" descr="This figure is a vertical bar chart. The horizontal axis shows the years 2017 to 2047. The 3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10;&#10;The chart includes the 4,490,000 individuals who were in the previous recipients class at 30 June 2017. &#10;&#10;This chart shows that over half of people in this class are projected to still be in the previous welfare recipient class by 2037. Of those who do enter into an active class over the same time period, around 25% are expected to be in the pension age class and 4% expected to be in the working age class.&#10;&#10;The Jun16 proportion of people in all active classes and the Jun16 proportion of people in the Previous Welfare Recipient class are also shown. For all active classes, the proportion of people in Jun17 is between 0% - 5% lower than in the previous year while for the Previous Welfare Recipient class, the proportion of people in Jun17 is between 0% - 5% higher than in the previous year. &#10;&#10;The features shown in the chart are discussed further in the accompanying text within the report.&#10;&#10;" title="Expected future trajectory for people in cla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000500" cy="2080260"/>
                          </a:xfrm>
                          <a:prstGeom prst="rect">
                            <a:avLst/>
                          </a:prstGeom>
                          <a:noFill/>
                          <a:ln>
                            <a:noFill/>
                          </a:ln>
                        </pic:spPr>
                      </pic:pic>
                    </a:graphicData>
                  </a:graphic>
                </wp:inline>
              </w:drawing>
            </w:r>
          </w:p>
        </w:tc>
        <w:tc>
          <w:tcPr>
            <w:tcW w:w="3006" w:type="dxa"/>
          </w:tcPr>
          <w:p w14:paraId="59095BD3" w14:textId="77777777" w:rsidR="00362C71" w:rsidRPr="00452FA8" w:rsidRDefault="00362C71" w:rsidP="00487300">
            <w:pPr>
              <w:pStyle w:val="TableTextSmall"/>
            </w:pPr>
          </w:p>
          <w:p w14:paraId="57149D38" w14:textId="11F11E55" w:rsidR="00362C71" w:rsidRPr="00452FA8" w:rsidRDefault="003668BA" w:rsidP="00487300">
            <w:pPr>
              <w:pStyle w:val="TableTextSmall"/>
            </w:pPr>
            <w:r w:rsidRPr="003668BA">
              <w:rPr>
                <w:noProof/>
                <w:lang w:eastAsia="en-AU"/>
              </w:rPr>
              <w:drawing>
                <wp:inline distT="0" distB="0" distL="0" distR="0" wp14:anchorId="6A256796" wp14:editId="6AD20F02">
                  <wp:extent cx="1440000" cy="1779387"/>
                  <wp:effectExtent l="0" t="0" r="0" b="0"/>
                  <wp:docPr id="2068" name="Picture 2068"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p w14:paraId="4CE058F1" w14:textId="77777777" w:rsidR="00362C71" w:rsidRPr="00452FA8" w:rsidRDefault="00362C71" w:rsidP="00487300">
            <w:pPr>
              <w:pStyle w:val="TableTextSmall"/>
            </w:pPr>
          </w:p>
        </w:tc>
      </w:tr>
    </w:tbl>
    <w:p w14:paraId="6966831D" w14:textId="77777777" w:rsidR="004F46FE" w:rsidRPr="007525A1" w:rsidRDefault="004F46FE" w:rsidP="004F46FE">
      <w:pPr>
        <w:pStyle w:val="PwCNormal-keepwithnext"/>
        <w:numPr>
          <w:ilvl w:val="0"/>
          <w:numId w:val="1"/>
        </w:numPr>
      </w:pPr>
      <w:r w:rsidRPr="007525A1">
        <w:t xml:space="preserve">Some observations we can make based on our analysis are that: </w:t>
      </w:r>
    </w:p>
    <w:p w14:paraId="1CC0EA1F" w14:textId="3F429BAC" w:rsidR="004F46FE" w:rsidRPr="007525A1" w:rsidRDefault="004F46FE" w:rsidP="00964D65">
      <w:pPr>
        <w:pStyle w:val="Bullet1"/>
        <w:numPr>
          <w:ilvl w:val="0"/>
          <w:numId w:val="34"/>
        </w:numPr>
      </w:pPr>
      <w:r w:rsidRPr="007525A1">
        <w:t xml:space="preserve">The pattern for this trajectory chart is different to most of the active classes seen in </w:t>
      </w:r>
      <w:r w:rsidRPr="008D5472">
        <w:t xml:space="preserve">sections </w:t>
      </w:r>
      <w:r w:rsidR="008D5472" w:rsidRPr="008D5472">
        <w:fldChar w:fldCharType="begin"/>
      </w:r>
      <w:r w:rsidR="008D5472" w:rsidRPr="008D5472">
        <w:instrText xml:space="preserve"> REF _Ref498433566 \r \h </w:instrText>
      </w:r>
      <w:r w:rsidR="008D5472">
        <w:instrText xml:space="preserve"> \* MERGEFORMAT </w:instrText>
      </w:r>
      <w:r w:rsidR="008D5472" w:rsidRPr="008D5472">
        <w:fldChar w:fldCharType="separate"/>
      </w:r>
      <w:r w:rsidR="00C93C1A">
        <w:t>6</w:t>
      </w:r>
      <w:r w:rsidR="008D5472" w:rsidRPr="008D5472">
        <w:fldChar w:fldCharType="end"/>
      </w:r>
      <w:r w:rsidR="008D5472" w:rsidRPr="008D5472">
        <w:t xml:space="preserve"> and </w:t>
      </w:r>
      <w:r w:rsidR="008D5472" w:rsidRPr="008D5472">
        <w:fldChar w:fldCharType="begin"/>
      </w:r>
      <w:r w:rsidR="008D5472" w:rsidRPr="008D5472">
        <w:instrText xml:space="preserve"> REF _Ref466373125 \r \h </w:instrText>
      </w:r>
      <w:r w:rsidR="008D5472">
        <w:instrText xml:space="preserve"> \* MERGEFORMAT </w:instrText>
      </w:r>
      <w:r w:rsidR="008D5472" w:rsidRPr="008D5472">
        <w:fldChar w:fldCharType="separate"/>
      </w:r>
      <w:r w:rsidR="00C93C1A">
        <w:t>7</w:t>
      </w:r>
      <w:r w:rsidR="008D5472" w:rsidRPr="008D5472">
        <w:fldChar w:fldCharType="end"/>
      </w:r>
      <w:r w:rsidRPr="008D5472">
        <w:t>.</w:t>
      </w:r>
      <w:r w:rsidRPr="007525A1">
        <w:t xml:space="preserve"> In particular a relatively high proportion are expected to still be in the current class in each future year.</w:t>
      </w:r>
    </w:p>
    <w:p w14:paraId="2FE26108" w14:textId="1C9AC995" w:rsidR="004F46FE" w:rsidRPr="007525A1" w:rsidRDefault="004F46FE" w:rsidP="00964D65">
      <w:pPr>
        <w:pStyle w:val="Bullet1"/>
        <w:numPr>
          <w:ilvl w:val="0"/>
          <w:numId w:val="34"/>
        </w:numPr>
      </w:pPr>
      <w:r w:rsidRPr="007525A1">
        <w:t xml:space="preserve">In 10 years around 26% of the people currently in class 10 are </w:t>
      </w:r>
      <w:r>
        <w:t>projected</w:t>
      </w:r>
      <w:r w:rsidRPr="007525A1">
        <w:t xml:space="preserve"> to be in an active class. Those who left the system recently (in the 1</w:t>
      </w:r>
      <w:r w:rsidR="006948E9">
        <w:t xml:space="preserve"> to </w:t>
      </w:r>
      <w:r w:rsidRPr="007525A1">
        <w:t>3 years prior to 30 June 2017) are expected to re-enter the active welfare system at a higher rate (29%) compared with those who exited longer ago (25%). The highest entries are expected to be into ‘2 Working Age’, ‘6 Age Pension’ and ‘7 Non IS Family’.</w:t>
      </w:r>
    </w:p>
    <w:p w14:paraId="1AB14B79" w14:textId="77777777" w:rsidR="004F46FE" w:rsidRPr="007525A1" w:rsidRDefault="004F46FE" w:rsidP="00964D65">
      <w:pPr>
        <w:pStyle w:val="Bullet1"/>
        <w:numPr>
          <w:ilvl w:val="0"/>
          <w:numId w:val="34"/>
        </w:numPr>
      </w:pPr>
      <w:r w:rsidRPr="007525A1">
        <w:t>For most of this group, if they receive an income support payment in future it is most likely to be the age pension.</w:t>
      </w:r>
    </w:p>
    <w:p w14:paraId="1EA91316" w14:textId="77777777" w:rsidR="004F46FE" w:rsidRPr="000E3534" w:rsidRDefault="004F46FE" w:rsidP="004F46FE">
      <w:pPr>
        <w:pStyle w:val="Minorheading"/>
      </w:pPr>
      <w:r w:rsidRPr="000E3534">
        <w:t>Duration</w:t>
      </w:r>
    </w:p>
    <w:p w14:paraId="574DFA53" w14:textId="77777777" w:rsidR="004F46FE" w:rsidRPr="004D63E3" w:rsidRDefault="004F46FE" w:rsidP="00964D65">
      <w:pPr>
        <w:pStyle w:val="PwCNormal"/>
        <w:numPr>
          <w:ilvl w:val="0"/>
          <w:numId w:val="33"/>
        </w:numPr>
      </w:pPr>
      <w:r w:rsidRPr="000E3534">
        <w:t xml:space="preserve">The average future life expectancy for the Previous Welfare Recipient class is </w:t>
      </w:r>
      <w:r w:rsidRPr="000E3534">
        <w:rPr>
          <w:b/>
        </w:rPr>
        <w:t>46</w:t>
      </w:r>
      <w:r w:rsidRPr="000E3534">
        <w:t xml:space="preserve"> </w:t>
      </w:r>
      <w:r w:rsidRPr="004D63E3">
        <w:t>years. This reflects that the age profile of this class is well distributed across most pre-retirement ages.</w:t>
      </w:r>
    </w:p>
    <w:p w14:paraId="017EEF13" w14:textId="658918FE" w:rsidR="00362C71" w:rsidRPr="000E3534" w:rsidRDefault="004F46FE" w:rsidP="004F46FE">
      <w:pPr>
        <w:pStyle w:val="PwCNormal"/>
        <w:numPr>
          <w:ilvl w:val="0"/>
          <w:numId w:val="0"/>
        </w:numPr>
      </w:pPr>
      <w:r w:rsidRPr="000E3534">
        <w:lastRenderedPageBreak/>
        <w:t>The table below provides a summary of the expected welfare system use of people currently in this class over this time. This has been developed by considering which classes people move into as they move through the welfare system over their lives.</w:t>
      </w:r>
    </w:p>
    <w:p w14:paraId="7DA64B4B" w14:textId="795AF637" w:rsidR="00362C71" w:rsidRPr="000E3534" w:rsidRDefault="00362C71" w:rsidP="00362C71">
      <w:pPr>
        <w:pStyle w:val="Caption"/>
      </w:pPr>
      <w:r w:rsidRPr="000E3534">
        <w:t xml:space="preserve">Table </w:t>
      </w:r>
      <w:fldSimple w:instr=" SEQ Table \* ARABIC ">
        <w:r w:rsidR="00C93C1A">
          <w:rPr>
            <w:noProof/>
          </w:rPr>
          <w:t>52</w:t>
        </w:r>
      </w:fldSimple>
      <w:r w:rsidRPr="000E3534">
        <w:t xml:space="preserve">: Expected durations in welfare system for people currently in </w:t>
      </w:r>
      <w:r w:rsidR="00871E70">
        <w:t>c</w:t>
      </w:r>
      <w:r w:rsidRPr="000E3534">
        <w:t xml:space="preserve">lass 10 </w:t>
      </w:r>
    </w:p>
    <w:tbl>
      <w:tblPr>
        <w:tblStyle w:val="ListTable3-Accent62"/>
        <w:tblW w:w="8868" w:type="dxa"/>
        <w:tblInd w:w="108" w:type="dxa"/>
        <w:tblLook w:val="04A0" w:firstRow="1" w:lastRow="0" w:firstColumn="1" w:lastColumn="0" w:noHBand="0" w:noVBand="1"/>
        <w:tblCaption w:val=" Expected durations in welfare system for people currently in Class 10 "/>
        <w:tblDescription w:val="This table provides data on the expected number of years people currently in Class 10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roportion of their future lifetime.  The expected future life expectancy of people in Class 10 is 46 years. &#10;&#10;Further features of the data in this table are discussed in the accompanying text within the report.&#10;"/>
      </w:tblPr>
      <w:tblGrid>
        <w:gridCol w:w="3828"/>
        <w:gridCol w:w="2520"/>
        <w:gridCol w:w="2520"/>
      </w:tblGrid>
      <w:tr w:rsidR="00362C71" w:rsidRPr="000E3534" w14:paraId="4025501B"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top w:val="single" w:sz="4" w:space="0" w:color="E0301E" w:themeColor="accent6"/>
              <w:left w:val="single" w:sz="4" w:space="0" w:color="E0301E" w:themeColor="accent6"/>
            </w:tcBorders>
          </w:tcPr>
          <w:p w14:paraId="6FA38091" w14:textId="77777777" w:rsidR="00362C71" w:rsidRPr="000E3534" w:rsidRDefault="00362C71" w:rsidP="00487300">
            <w:pPr>
              <w:pStyle w:val="TableTextSmall"/>
              <w:jc w:val="center"/>
              <w:rPr>
                <w:rFonts w:asciiTheme="majorHAnsi" w:hAnsiTheme="majorHAnsi"/>
                <w:color w:val="FFFFFF" w:themeColor="background1"/>
              </w:rPr>
            </w:pPr>
          </w:p>
        </w:tc>
        <w:tc>
          <w:tcPr>
            <w:tcW w:w="2520" w:type="dxa"/>
            <w:tcBorders>
              <w:top w:val="single" w:sz="4" w:space="0" w:color="E0301E" w:themeColor="accent6"/>
              <w:left w:val="nil"/>
              <w:bottom w:val="nil"/>
              <w:right w:val="nil"/>
            </w:tcBorders>
            <w:hideMark/>
          </w:tcPr>
          <w:p w14:paraId="6E883DDF" w14:textId="77777777" w:rsidR="00362C71" w:rsidRPr="000E3534" w:rsidRDefault="00362C71" w:rsidP="00487300">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0E3534">
              <w:rPr>
                <w:rFonts w:asciiTheme="majorHAnsi" w:hAnsiTheme="majorHAnsi"/>
                <w:color w:val="FFFFFF" w:themeColor="background1"/>
              </w:rPr>
              <w:t>Expected Years</w:t>
            </w:r>
          </w:p>
        </w:tc>
        <w:tc>
          <w:tcPr>
            <w:tcW w:w="2520" w:type="dxa"/>
            <w:tcBorders>
              <w:top w:val="single" w:sz="4" w:space="0" w:color="E0301E" w:themeColor="accent6"/>
              <w:left w:val="nil"/>
              <w:bottom w:val="nil"/>
              <w:right w:val="single" w:sz="4" w:space="0" w:color="E0301E" w:themeColor="accent6"/>
            </w:tcBorders>
            <w:hideMark/>
          </w:tcPr>
          <w:p w14:paraId="7BBA964F" w14:textId="77777777" w:rsidR="00362C71" w:rsidRPr="000E3534" w:rsidRDefault="00362C71" w:rsidP="00487300">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0E3534">
              <w:rPr>
                <w:rFonts w:asciiTheme="majorHAnsi" w:hAnsiTheme="majorHAnsi"/>
                <w:color w:val="FFFFFF" w:themeColor="background1"/>
              </w:rPr>
              <w:t>Proportion of Future Lifetime</w:t>
            </w:r>
          </w:p>
        </w:tc>
      </w:tr>
      <w:tr w:rsidR="00362C71" w:rsidRPr="000E3534" w14:paraId="0719D175" w14:textId="77777777" w:rsidTr="0048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727EFBF0" w14:textId="77777777" w:rsidR="00362C71" w:rsidRPr="000E3534" w:rsidRDefault="00362C71" w:rsidP="00487300">
            <w:pPr>
              <w:pStyle w:val="TableTextSmall"/>
            </w:pPr>
            <w:r w:rsidRPr="000E3534">
              <w:t>Years with some income support payments:</w:t>
            </w:r>
          </w:p>
          <w:p w14:paraId="0C94281E" w14:textId="2362EF1E" w:rsidR="00362C71" w:rsidRPr="000E3534" w:rsidRDefault="00362C71" w:rsidP="00964D65">
            <w:pPr>
              <w:pStyle w:val="TableTextSmall"/>
              <w:numPr>
                <w:ilvl w:val="0"/>
                <w:numId w:val="36"/>
              </w:numPr>
            </w:pPr>
            <w:r w:rsidRPr="000E3534">
              <w:t>Not age pension (classes 1-5)</w:t>
            </w:r>
          </w:p>
          <w:p w14:paraId="2AD3B92D" w14:textId="33D9304B" w:rsidR="00362C71" w:rsidRPr="000E3534" w:rsidRDefault="00362C71" w:rsidP="00964D65">
            <w:pPr>
              <w:pStyle w:val="TableTextSmall"/>
              <w:numPr>
                <w:ilvl w:val="0"/>
                <w:numId w:val="36"/>
              </w:numPr>
            </w:pPr>
            <w:r w:rsidRPr="000E3534">
              <w:t>Age pension (class 6)</w:t>
            </w:r>
          </w:p>
        </w:tc>
        <w:tc>
          <w:tcPr>
            <w:tcW w:w="2520" w:type="dxa"/>
            <w:tcBorders>
              <w:left w:val="nil"/>
              <w:right w:val="nil"/>
            </w:tcBorders>
            <w:hideMark/>
          </w:tcPr>
          <w:p w14:paraId="1773C89E" w14:textId="77777777" w:rsidR="00362C71" w:rsidRPr="000E3534" w:rsidRDefault="00362C71"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0E3534">
              <w:br/>
              <w:t>4</w:t>
            </w:r>
          </w:p>
          <w:p w14:paraId="4FE423FF" w14:textId="77777777" w:rsidR="00362C71" w:rsidRPr="000E3534" w:rsidRDefault="000A3986" w:rsidP="000A3986">
            <w:pPr>
              <w:pStyle w:val="TableTextSmall"/>
              <w:jc w:val="center"/>
              <w:cnfStyle w:val="000000100000" w:firstRow="0" w:lastRow="0" w:firstColumn="0" w:lastColumn="0" w:oddVBand="0" w:evenVBand="0" w:oddHBand="1" w:evenHBand="0" w:firstRowFirstColumn="0" w:firstRowLastColumn="0" w:lastRowFirstColumn="0" w:lastRowLastColumn="0"/>
            </w:pPr>
            <w:r w:rsidRPr="000E3534">
              <w:t>15</w:t>
            </w:r>
          </w:p>
        </w:tc>
        <w:tc>
          <w:tcPr>
            <w:tcW w:w="2520" w:type="dxa"/>
            <w:tcBorders>
              <w:left w:val="nil"/>
              <w:right w:val="single" w:sz="4" w:space="0" w:color="E0301E" w:themeColor="accent6"/>
            </w:tcBorders>
            <w:hideMark/>
          </w:tcPr>
          <w:p w14:paraId="7E45DC3A" w14:textId="77777777" w:rsidR="00362C71" w:rsidRPr="000E3534" w:rsidRDefault="00362C71"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0E3534">
              <w:br/>
              <w:t>8%</w:t>
            </w:r>
          </w:p>
          <w:p w14:paraId="591EA12B" w14:textId="77777777" w:rsidR="00362C71" w:rsidRPr="000E3534" w:rsidRDefault="00362C71" w:rsidP="000A3986">
            <w:pPr>
              <w:pStyle w:val="TableTextSmall"/>
              <w:jc w:val="center"/>
              <w:cnfStyle w:val="000000100000" w:firstRow="0" w:lastRow="0" w:firstColumn="0" w:lastColumn="0" w:oddVBand="0" w:evenVBand="0" w:oddHBand="1" w:evenHBand="0" w:firstRowFirstColumn="0" w:firstRowLastColumn="0" w:lastRowFirstColumn="0" w:lastRowLastColumn="0"/>
            </w:pPr>
            <w:r w:rsidRPr="000E3534">
              <w:t>3</w:t>
            </w:r>
            <w:r w:rsidR="000A3986" w:rsidRPr="000E3534">
              <w:t>3</w:t>
            </w:r>
            <w:r w:rsidRPr="000E3534">
              <w:t>%</w:t>
            </w:r>
          </w:p>
        </w:tc>
      </w:tr>
      <w:tr w:rsidR="00362C71" w:rsidRPr="000E3534" w14:paraId="412D6551" w14:textId="77777777" w:rsidTr="00487300">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hideMark/>
          </w:tcPr>
          <w:p w14:paraId="04851906" w14:textId="04FDB3FC" w:rsidR="00362C71" w:rsidRPr="000E3534" w:rsidRDefault="00362C71" w:rsidP="00487300">
            <w:pPr>
              <w:pStyle w:val="TableTextSmall"/>
            </w:pPr>
            <w:r w:rsidRPr="000E3534">
              <w:t xml:space="preserve">Years with </w:t>
            </w:r>
            <w:r w:rsidR="005B3E7D">
              <w:t>non income</w:t>
            </w:r>
            <w:r w:rsidRPr="000E3534">
              <w:t xml:space="preserve"> support payments only</w:t>
            </w:r>
          </w:p>
        </w:tc>
        <w:tc>
          <w:tcPr>
            <w:tcW w:w="2520" w:type="dxa"/>
            <w:tcBorders>
              <w:top w:val="nil"/>
              <w:left w:val="nil"/>
              <w:bottom w:val="nil"/>
              <w:right w:val="nil"/>
            </w:tcBorders>
            <w:hideMark/>
          </w:tcPr>
          <w:p w14:paraId="011DB268" w14:textId="6BC0041D" w:rsidR="00362C71" w:rsidRPr="000E3534" w:rsidRDefault="000E3534" w:rsidP="00487300">
            <w:pPr>
              <w:pStyle w:val="TableTextSmall"/>
              <w:jc w:val="center"/>
              <w:cnfStyle w:val="000000000000" w:firstRow="0" w:lastRow="0" w:firstColumn="0" w:lastColumn="0" w:oddVBand="0" w:evenVBand="0" w:oddHBand="0" w:evenHBand="0" w:firstRowFirstColumn="0" w:firstRowLastColumn="0" w:lastRowFirstColumn="0" w:lastRowLastColumn="0"/>
            </w:pPr>
            <w:r>
              <w:t>2</w:t>
            </w:r>
          </w:p>
        </w:tc>
        <w:tc>
          <w:tcPr>
            <w:tcW w:w="2520" w:type="dxa"/>
            <w:tcBorders>
              <w:top w:val="nil"/>
              <w:left w:val="nil"/>
              <w:bottom w:val="nil"/>
              <w:right w:val="single" w:sz="4" w:space="0" w:color="E0301E" w:themeColor="accent6"/>
            </w:tcBorders>
            <w:hideMark/>
          </w:tcPr>
          <w:p w14:paraId="6B51EE3C" w14:textId="5AC24DFC" w:rsidR="00362C71" w:rsidRPr="000E3534" w:rsidRDefault="000E3534" w:rsidP="00487300">
            <w:pPr>
              <w:pStyle w:val="TableTextSmall"/>
              <w:jc w:val="center"/>
              <w:cnfStyle w:val="000000000000" w:firstRow="0" w:lastRow="0" w:firstColumn="0" w:lastColumn="0" w:oddVBand="0" w:evenVBand="0" w:oddHBand="0" w:evenHBand="0" w:firstRowFirstColumn="0" w:firstRowLastColumn="0" w:lastRowFirstColumn="0" w:lastRowLastColumn="0"/>
            </w:pPr>
            <w:r>
              <w:t>5</w:t>
            </w:r>
            <w:r w:rsidR="00362C71" w:rsidRPr="000E3534">
              <w:t>%</w:t>
            </w:r>
          </w:p>
        </w:tc>
      </w:tr>
      <w:tr w:rsidR="00362C71" w:rsidRPr="000E3534" w14:paraId="0C2BADCF" w14:textId="77777777" w:rsidTr="0048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05949AA3" w14:textId="77777777" w:rsidR="00362C71" w:rsidRPr="000E3534" w:rsidRDefault="00362C71" w:rsidP="00487300">
            <w:pPr>
              <w:pStyle w:val="TableTextSmall"/>
            </w:pPr>
            <w:r w:rsidRPr="000E3534">
              <w:t>Years not receiving any welfare payments</w:t>
            </w:r>
          </w:p>
        </w:tc>
        <w:tc>
          <w:tcPr>
            <w:tcW w:w="2520" w:type="dxa"/>
            <w:tcBorders>
              <w:left w:val="nil"/>
              <w:right w:val="nil"/>
            </w:tcBorders>
            <w:hideMark/>
          </w:tcPr>
          <w:p w14:paraId="30FD1A42" w14:textId="2E16E201" w:rsidR="00362C71" w:rsidRPr="000E3534" w:rsidRDefault="000A3986"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0E3534">
              <w:t>2</w:t>
            </w:r>
            <w:r w:rsidR="000E3534">
              <w:t>5</w:t>
            </w:r>
          </w:p>
        </w:tc>
        <w:tc>
          <w:tcPr>
            <w:tcW w:w="2520" w:type="dxa"/>
            <w:tcBorders>
              <w:left w:val="nil"/>
              <w:right w:val="single" w:sz="4" w:space="0" w:color="E0301E" w:themeColor="accent6"/>
            </w:tcBorders>
            <w:hideMark/>
          </w:tcPr>
          <w:p w14:paraId="78E534E8" w14:textId="735C9B93" w:rsidR="00362C71" w:rsidRPr="000E3534" w:rsidRDefault="000A3986" w:rsidP="000E3534">
            <w:pPr>
              <w:pStyle w:val="TableTextSmall"/>
              <w:jc w:val="center"/>
              <w:cnfStyle w:val="000000100000" w:firstRow="0" w:lastRow="0" w:firstColumn="0" w:lastColumn="0" w:oddVBand="0" w:evenVBand="0" w:oddHBand="1" w:evenHBand="0" w:firstRowFirstColumn="0" w:firstRowLastColumn="0" w:lastRowFirstColumn="0" w:lastRowLastColumn="0"/>
            </w:pPr>
            <w:r w:rsidRPr="000E3534">
              <w:t>5</w:t>
            </w:r>
            <w:r w:rsidR="000E3534">
              <w:t>5</w:t>
            </w:r>
            <w:r w:rsidR="00362C71" w:rsidRPr="000E3534">
              <w:t>%</w:t>
            </w:r>
          </w:p>
        </w:tc>
      </w:tr>
      <w:tr w:rsidR="00362C71" w:rsidRPr="000E3534" w14:paraId="6B773289" w14:textId="77777777" w:rsidTr="00487300">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hideMark/>
          </w:tcPr>
          <w:p w14:paraId="02B785B1" w14:textId="77777777" w:rsidR="00362C71" w:rsidRPr="000E3534" w:rsidRDefault="00362C71" w:rsidP="00487300">
            <w:pPr>
              <w:pStyle w:val="TableTextSmall"/>
            </w:pPr>
            <w:r w:rsidRPr="000E3534">
              <w:t>Total</w:t>
            </w:r>
          </w:p>
        </w:tc>
        <w:tc>
          <w:tcPr>
            <w:tcW w:w="2520" w:type="dxa"/>
            <w:tcBorders>
              <w:top w:val="nil"/>
              <w:left w:val="nil"/>
              <w:bottom w:val="single" w:sz="4" w:space="0" w:color="E0301E" w:themeColor="accent6"/>
              <w:right w:val="nil"/>
            </w:tcBorders>
            <w:hideMark/>
          </w:tcPr>
          <w:p w14:paraId="55908036" w14:textId="77777777" w:rsidR="00362C71" w:rsidRPr="000E3534" w:rsidRDefault="000A3986"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0E3534">
              <w:t>46</w:t>
            </w:r>
          </w:p>
        </w:tc>
        <w:tc>
          <w:tcPr>
            <w:tcW w:w="2520" w:type="dxa"/>
            <w:tcBorders>
              <w:top w:val="nil"/>
              <w:left w:val="nil"/>
              <w:bottom w:val="single" w:sz="4" w:space="0" w:color="E0301E" w:themeColor="accent6"/>
              <w:right w:val="single" w:sz="4" w:space="0" w:color="E0301E" w:themeColor="accent6"/>
            </w:tcBorders>
            <w:hideMark/>
          </w:tcPr>
          <w:p w14:paraId="23937834" w14:textId="77777777" w:rsidR="00362C71" w:rsidRPr="000E3534" w:rsidRDefault="00362C71"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0E3534">
              <w:t>100%</w:t>
            </w:r>
          </w:p>
        </w:tc>
      </w:tr>
    </w:tbl>
    <w:p w14:paraId="56DAB531" w14:textId="77777777" w:rsidR="00362C71" w:rsidRPr="000E3534" w:rsidRDefault="00362C71" w:rsidP="00362C71">
      <w:pPr>
        <w:pStyle w:val="PwCNormal"/>
        <w:numPr>
          <w:ilvl w:val="0"/>
          <w:numId w:val="0"/>
        </w:numPr>
      </w:pPr>
    </w:p>
    <w:p w14:paraId="1F6609B8" w14:textId="77777777" w:rsidR="000A3986" w:rsidRPr="001A15D2" w:rsidRDefault="000A3986" w:rsidP="001A15D2">
      <w:pPr>
        <w:pStyle w:val="PwCNormal"/>
        <w:numPr>
          <w:ilvl w:val="0"/>
          <w:numId w:val="0"/>
        </w:numPr>
      </w:pPr>
      <w:r w:rsidRPr="0057506F">
        <w:br w:type="page"/>
      </w:r>
    </w:p>
    <w:p w14:paraId="288FA76B" w14:textId="77777777" w:rsidR="00362C71" w:rsidRDefault="00362C71" w:rsidP="00362C71">
      <w:pPr>
        <w:pStyle w:val="Heading3"/>
      </w:pPr>
      <w:bookmarkStart w:id="256" w:name="_Toc506388238"/>
      <w:r w:rsidRPr="00880ACE">
        <w:lastRenderedPageBreak/>
        <w:t>Rest of the Australian population</w:t>
      </w:r>
      <w:bookmarkEnd w:id="2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ABA4" w:themeFill="accent6" w:themeFillTint="66"/>
        <w:tblLook w:val="04A0" w:firstRow="1" w:lastRow="0" w:firstColumn="1" w:lastColumn="0" w:noHBand="0" w:noVBand="1"/>
        <w:tblCaption w:val="Key points"/>
        <w:tblDescription w:val="This table outlines key points from this report section."/>
      </w:tblPr>
      <w:tblGrid>
        <w:gridCol w:w="10081"/>
      </w:tblGrid>
      <w:tr w:rsidR="007629AE" w:rsidRPr="009210D0" w14:paraId="46D1913A" w14:textId="77777777" w:rsidTr="007B0A8D">
        <w:trPr>
          <w:tblHeader/>
        </w:trPr>
        <w:tc>
          <w:tcPr>
            <w:tcW w:w="10081" w:type="dxa"/>
            <w:shd w:val="clear" w:color="auto" w:fill="F3ABA4" w:themeFill="accent6" w:themeFillTint="66"/>
          </w:tcPr>
          <w:p w14:paraId="0276F276" w14:textId="77777777" w:rsidR="007629AE" w:rsidRPr="009D512E" w:rsidRDefault="007629AE" w:rsidP="007B0A8D">
            <w:pPr>
              <w:pStyle w:val="PwCNormal"/>
              <w:numPr>
                <w:ilvl w:val="0"/>
                <w:numId w:val="0"/>
              </w:numPr>
              <w:rPr>
                <w:b/>
              </w:rPr>
            </w:pPr>
            <w:r w:rsidRPr="009D512E">
              <w:rPr>
                <w:b/>
              </w:rPr>
              <w:t>Key points</w:t>
            </w:r>
          </w:p>
          <w:p w14:paraId="1A3C932A" w14:textId="0C347153" w:rsidR="009D512E" w:rsidRPr="00AA5E92" w:rsidRDefault="00C40B7F" w:rsidP="009D512E">
            <w:pPr>
              <w:pStyle w:val="PwCNormal"/>
              <w:numPr>
                <w:ilvl w:val="0"/>
                <w:numId w:val="0"/>
              </w:numPr>
              <w:rPr>
                <w:snapToGrid/>
              </w:rPr>
            </w:pPr>
            <w:r>
              <w:t xml:space="preserve">There were 12,122,000 people (or </w:t>
            </w:r>
            <w:r w:rsidR="009D512E">
              <w:t>49% of the Australian population</w:t>
            </w:r>
            <w:r>
              <w:t>)</w:t>
            </w:r>
            <w:r w:rsidR="009D512E">
              <w:t xml:space="preserve"> in the rest of the Australian population class at 30 June 2017. </w:t>
            </w:r>
            <w:r>
              <w:t xml:space="preserve">This includes all people who have never used welfare (or not used welfare since July 2001, when the </w:t>
            </w:r>
            <w:r w:rsidRPr="00AA5E92">
              <w:t>data started).</w:t>
            </w:r>
          </w:p>
          <w:p w14:paraId="20E673E6" w14:textId="4BAD6FAB" w:rsidR="009D512E" w:rsidRPr="009D512E" w:rsidRDefault="009D512E" w:rsidP="009D512E">
            <w:pPr>
              <w:pStyle w:val="ListBullet"/>
            </w:pPr>
            <w:r w:rsidRPr="00AA5E92">
              <w:t>When entering the system for the first time</w:t>
            </w:r>
            <w:r w:rsidRPr="009D512E">
              <w:t>, most people initially receive student, working age</w:t>
            </w:r>
            <w:r w:rsidR="00AA5E92">
              <w:t xml:space="preserve"> or</w:t>
            </w:r>
            <w:r w:rsidRPr="009D512E">
              <w:t xml:space="preserve"> family </w:t>
            </w:r>
            <w:r w:rsidR="00AA5E92">
              <w:t xml:space="preserve">payments if they enter before retirement age; </w:t>
            </w:r>
            <w:r w:rsidRPr="009D512E">
              <w:t xml:space="preserve">or </w:t>
            </w:r>
            <w:r w:rsidR="006D014F">
              <w:t>Age Pension payments</w:t>
            </w:r>
            <w:r w:rsidR="00AA5E92">
              <w:t xml:space="preserve"> if they enter after retirement age</w:t>
            </w:r>
            <w:r w:rsidRPr="009D512E">
              <w:t xml:space="preserve">. </w:t>
            </w:r>
          </w:p>
          <w:p w14:paraId="2840538A" w14:textId="6E20458C" w:rsidR="009D512E" w:rsidRPr="009D512E" w:rsidRDefault="00AA5E92" w:rsidP="00AA5E92">
            <w:pPr>
              <w:pStyle w:val="ListBullet"/>
            </w:pPr>
            <w:r>
              <w:t>People whose parents have a more intensive history of welfare use tend to be more likely to enter the welfare system earlier</w:t>
            </w:r>
            <w:r w:rsidR="009D512E" w:rsidRPr="009D512E">
              <w:t>.</w:t>
            </w:r>
          </w:p>
        </w:tc>
      </w:tr>
    </w:tbl>
    <w:p w14:paraId="7089D4D1" w14:textId="77777777" w:rsidR="00AE6C45" w:rsidRPr="00177E81" w:rsidRDefault="00AE6C45" w:rsidP="00AE6C45">
      <w:pPr>
        <w:pStyle w:val="PwCNormal"/>
        <w:numPr>
          <w:ilvl w:val="0"/>
          <w:numId w:val="1"/>
        </w:numPr>
      </w:pPr>
      <w:r w:rsidRPr="00177E81">
        <w:t>This group (class 12) is the remainder of the population, being the group of people who have not received any payments during the period covered by the data analysed – broadly the last 1</w:t>
      </w:r>
      <w:r>
        <w:t>6</w:t>
      </w:r>
      <w:r w:rsidRPr="00177E81">
        <w:t xml:space="preserve"> years. This group will include some people who were welfare recipients prior to that time alongside others who have never received a payment.</w:t>
      </w:r>
    </w:p>
    <w:p w14:paraId="72B63B9A" w14:textId="0C5F9754" w:rsidR="00AE6C45" w:rsidRPr="00177E81" w:rsidRDefault="00AE6C45" w:rsidP="00AE6C45">
      <w:pPr>
        <w:pStyle w:val="Heading4"/>
      </w:pPr>
      <w:r w:rsidRPr="00177E81">
        <w:t xml:space="preserve">What does the data tell us about the </w:t>
      </w:r>
      <w:r w:rsidR="009D512E">
        <w:t xml:space="preserve">rest of the Australian population </w:t>
      </w:r>
      <w:r w:rsidRPr="00177E81">
        <w:t>class?</w:t>
      </w:r>
    </w:p>
    <w:p w14:paraId="54196F84" w14:textId="1412F65E" w:rsidR="00AE6C45" w:rsidRPr="00177E81" w:rsidRDefault="00AE6C45" w:rsidP="00AE6C45">
      <w:pPr>
        <w:pStyle w:val="PwCNormal"/>
        <w:numPr>
          <w:ilvl w:val="0"/>
          <w:numId w:val="0"/>
        </w:numPr>
      </w:pPr>
      <w:r w:rsidRPr="00177E81">
        <w:t>There were 12,1</w:t>
      </w:r>
      <w:r w:rsidR="00384048">
        <w:t>22</w:t>
      </w:r>
      <w:r w:rsidRPr="00177E81">
        <w:t>,</w:t>
      </w:r>
      <w:r w:rsidR="00B513F7">
        <w:t>000</w:t>
      </w:r>
      <w:r w:rsidRPr="00177E81">
        <w:t xml:space="preserve"> people in the rest of the Australian population class in the 2017 model population. This represents 49.2% of the population of Aust</w:t>
      </w:r>
      <w:r>
        <w:t>ralia which is a decrease from 4</w:t>
      </w:r>
      <w:r w:rsidRPr="002D2D76">
        <w:t>9.4%</w:t>
      </w:r>
      <w:r w:rsidRPr="00177E81">
        <w:t xml:space="preserve"> at the previous valuation.</w:t>
      </w:r>
    </w:p>
    <w:p w14:paraId="6ED7FC6F" w14:textId="77777777" w:rsidR="00AE6C45" w:rsidRPr="00177E81" w:rsidRDefault="00AE6C45" w:rsidP="00AE6C45">
      <w:r w:rsidRPr="00177E81">
        <w:t>The following chart shows a breakdown of the number of people in the rest of the Australian population class by age and gender.</w:t>
      </w:r>
    </w:p>
    <w:p w14:paraId="6EFC1439" w14:textId="36823410" w:rsidR="00AE6C45" w:rsidRPr="00177E81" w:rsidRDefault="00AE6C45" w:rsidP="00AE6C45">
      <w:pPr>
        <w:pStyle w:val="Caption"/>
      </w:pPr>
      <w:r w:rsidRPr="00177E81">
        <w:t xml:space="preserve">Figure </w:t>
      </w:r>
      <w:fldSimple w:instr=" SEQ Figure \* ARABIC ">
        <w:r w:rsidR="00C93C1A">
          <w:rPr>
            <w:noProof/>
          </w:rPr>
          <w:t>100</w:t>
        </w:r>
      </w:fldSimple>
      <w:r w:rsidRPr="00177E81">
        <w:t xml:space="preserve">: 2017 profile of people in </w:t>
      </w:r>
      <w:r w:rsidR="00871E70">
        <w:t>c</w:t>
      </w:r>
      <w:r w:rsidRPr="00177E81">
        <w:t>lass 12 – rest of the Australian population (age/gender)</w:t>
      </w:r>
    </w:p>
    <w:tbl>
      <w:tblPr>
        <w:tblStyle w:val="Tables-APBase"/>
        <w:tblW w:w="386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able"/>
        <w:tblDescription w:val="This table contains a chart&#10;"/>
      </w:tblPr>
      <w:tblGrid>
        <w:gridCol w:w="5954"/>
        <w:gridCol w:w="1843"/>
      </w:tblGrid>
      <w:tr w:rsidR="00AE6C45" w:rsidRPr="009210D0" w14:paraId="2D1984F0" w14:textId="77777777" w:rsidTr="00AE6C45">
        <w:trPr>
          <w:tblHeader/>
        </w:trPr>
        <w:tc>
          <w:tcPr>
            <w:tcW w:w="5954" w:type="dxa"/>
          </w:tcPr>
          <w:p w14:paraId="57A0D01B" w14:textId="77777777" w:rsidR="00AE6C45" w:rsidRPr="009210D0" w:rsidRDefault="00AE6C45" w:rsidP="00AE6C45">
            <w:pPr>
              <w:pStyle w:val="TableTextSmall"/>
              <w:keepNext/>
              <w:rPr>
                <w:highlight w:val="yellow"/>
                <w:lang w:eastAsia="en-AU"/>
              </w:rPr>
            </w:pPr>
            <w:r w:rsidRPr="007E2179">
              <w:rPr>
                <w:noProof/>
                <w:lang w:eastAsia="en-AU"/>
              </w:rPr>
              <w:drawing>
                <wp:inline distT="0" distB="0" distL="0" distR="0" wp14:anchorId="5D9F8960" wp14:editId="493FF780">
                  <wp:extent cx="3653461" cy="2160000"/>
                  <wp:effectExtent l="0" t="0" r="4445" b="0"/>
                  <wp:docPr id="215" name="Picture 215" descr="This figure is a horizontal bar chart showing the number of people in the rest of the Australian population class at Jun17 by age for males and females separately. The vertical axis shows age with the data shown ranging from 0 to 90. The horizontal axis shows the number of people ranging from 0 to 200,000. The number of males at each age are shown by the horizontal bars to the left of the vertical axis and the number of females at each age are shown by horizontal bars to the right.&#10;&#10;The chart is based on the 12,122,000 individuals who were in the rest of the Australian population class at 30 June 2017. &#10;&#10;The chart shows that there are more males in this group and people are generally aged between 0 and 65. The number of males and females are highest at the youngest ages and decrease with age. There are approximately 164,000 males aged 0. This number decreases with age to approximately 72,000 at age 32. The number of male clients then increases slightly with age from age 32 to age 55 before dropping back sharply to 10,000 at age 75.&#10;&#10;There are approximately 150,000 females aged 0. This number decreases with age to approximately 23,000 at age 41. After age 41 the number of females increases steadily by age to approximately 58,000 at age 64. After age 64 the number of females again drops significantly to 7,000 by age 75.&#10;" title="2017 profile of people in class 12 – rest of the Australian population (age/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653461" cy="2160000"/>
                          </a:xfrm>
                          <a:prstGeom prst="rect">
                            <a:avLst/>
                          </a:prstGeom>
                          <a:noFill/>
                          <a:ln>
                            <a:noFill/>
                          </a:ln>
                        </pic:spPr>
                      </pic:pic>
                    </a:graphicData>
                  </a:graphic>
                </wp:inline>
              </w:drawing>
            </w:r>
          </w:p>
        </w:tc>
        <w:tc>
          <w:tcPr>
            <w:tcW w:w="1843" w:type="dxa"/>
          </w:tcPr>
          <w:p w14:paraId="4F5C9052" w14:textId="77777777" w:rsidR="00AE6C45" w:rsidRPr="009210D0" w:rsidRDefault="00AE6C45" w:rsidP="00AE6C45">
            <w:pPr>
              <w:pStyle w:val="TableTextSmall"/>
              <w:keepNext/>
              <w:rPr>
                <w:highlight w:val="yellow"/>
                <w:lang w:eastAsia="en-AU"/>
              </w:rPr>
            </w:pPr>
          </w:p>
        </w:tc>
      </w:tr>
    </w:tbl>
    <w:p w14:paraId="5D91D352" w14:textId="77777777" w:rsidR="004F46FE" w:rsidRPr="002D2D76" w:rsidRDefault="004F46FE" w:rsidP="004F46FE">
      <w:pPr>
        <w:pStyle w:val="PwCNormal"/>
        <w:numPr>
          <w:ilvl w:val="0"/>
          <w:numId w:val="0"/>
        </w:numPr>
      </w:pPr>
      <w:r w:rsidRPr="00177E81">
        <w:t xml:space="preserve">Across all ages there are more men in this class than women. This is likely because women are more likely to have received FTB or family payments and have been in the large Non IS Family class. If these </w:t>
      </w:r>
      <w:r>
        <w:t>people</w:t>
      </w:r>
      <w:r w:rsidRPr="00177E81">
        <w:t xml:space="preserve"> subsequentl</w:t>
      </w:r>
      <w:r w:rsidRPr="002D2D76">
        <w:t>y exit</w:t>
      </w:r>
      <w:r>
        <w:t>,</w:t>
      </w:r>
      <w:r w:rsidRPr="002D2D76">
        <w:t xml:space="preserve"> they move into class 10</w:t>
      </w:r>
      <w:r>
        <w:t xml:space="preserve"> (previous welfare recipients)</w:t>
      </w:r>
      <w:r w:rsidRPr="002D2D76">
        <w:t xml:space="preserve"> rather than return to class 12</w:t>
      </w:r>
      <w:r>
        <w:t xml:space="preserve"> (rest of the Australian population)</w:t>
      </w:r>
      <w:r w:rsidRPr="002D2D76">
        <w:t>.</w:t>
      </w:r>
    </w:p>
    <w:p w14:paraId="3E64DA4A" w14:textId="77777777" w:rsidR="004F46FE" w:rsidRPr="002D2D76" w:rsidRDefault="004F46FE" w:rsidP="004F46FE">
      <w:pPr>
        <w:pStyle w:val="PwCNormal"/>
        <w:numPr>
          <w:ilvl w:val="0"/>
          <w:numId w:val="0"/>
        </w:numPr>
      </w:pPr>
      <w:r w:rsidRPr="002D2D76">
        <w:t>This feature of class 12 (that people cannot return to it once they have interacted with the welfare system) means that as successive years of welfare use data are added to the modelling dataset at future valuations the number of people in this class may shrink if the number of new-borns and migrants do not keep up with new welfare use.</w:t>
      </w:r>
    </w:p>
    <w:p w14:paraId="3E171922" w14:textId="77777777" w:rsidR="004F46FE" w:rsidRPr="00177E81" w:rsidRDefault="004F46FE" w:rsidP="004F46FE">
      <w:pPr>
        <w:pStyle w:val="Minorheading"/>
      </w:pPr>
      <w:r w:rsidRPr="00177E81">
        <w:t>Movements into and out of this class</w:t>
      </w:r>
    </w:p>
    <w:p w14:paraId="172BF56F" w14:textId="2647F572" w:rsidR="004F46FE" w:rsidRPr="004514DF" w:rsidRDefault="004F46FE" w:rsidP="004F46FE">
      <w:pPr>
        <w:pStyle w:val="PwCNormal"/>
        <w:numPr>
          <w:ilvl w:val="0"/>
          <w:numId w:val="1"/>
        </w:numPr>
      </w:pPr>
      <w:r w:rsidRPr="004514DF">
        <w:t xml:space="preserve">By definition there are no transitions into this class. However, from valuation to valuation the model population changes to reflect the profile of the Australian resident population after considering those people assigned to other classes </w:t>
      </w:r>
      <w:r w:rsidRPr="008D5472">
        <w:t>(</w:t>
      </w:r>
      <w:r w:rsidR="008D5472" w:rsidRPr="008D5472">
        <w:t xml:space="preserve">section </w:t>
      </w:r>
      <w:r w:rsidR="008D5472" w:rsidRPr="008D5472">
        <w:fldChar w:fldCharType="begin"/>
      </w:r>
      <w:r w:rsidR="008D5472" w:rsidRPr="008D5472">
        <w:instrText xml:space="preserve"> REF _Ref466373125 \r \h </w:instrText>
      </w:r>
      <w:r w:rsidR="008D5472">
        <w:instrText xml:space="preserve"> \* MERGEFORMAT </w:instrText>
      </w:r>
      <w:r w:rsidR="008D5472" w:rsidRPr="008D5472">
        <w:fldChar w:fldCharType="separate"/>
      </w:r>
      <w:r w:rsidR="00C93C1A">
        <w:t>7</w:t>
      </w:r>
      <w:r w:rsidR="008D5472" w:rsidRPr="008D5472">
        <w:fldChar w:fldCharType="end"/>
      </w:r>
      <w:r w:rsidRPr="008D5472">
        <w:t>)</w:t>
      </w:r>
      <w:r w:rsidRPr="004514DF">
        <w:t xml:space="preserve"> and this impacts on the number of people in this class.</w:t>
      </w:r>
    </w:p>
    <w:p w14:paraId="0C737320" w14:textId="7EF68AB6" w:rsidR="004F46FE" w:rsidRPr="00E83F39" w:rsidRDefault="004F46FE" w:rsidP="004F46FE">
      <w:pPr>
        <w:pStyle w:val="PwCNormal"/>
        <w:numPr>
          <w:ilvl w:val="0"/>
          <w:numId w:val="1"/>
        </w:numPr>
      </w:pPr>
      <w:r w:rsidRPr="002D2D76">
        <w:t xml:space="preserve">As previously noted the model population </w:t>
      </w:r>
      <w:r w:rsidRPr="00E954C9">
        <w:t>includes all Australian residents at the valuation date and overseas welfare recipients who received a payment in the previous year. Between 30 June 201</w:t>
      </w:r>
      <w:r>
        <w:t>6</w:t>
      </w:r>
      <w:r w:rsidRPr="00E954C9">
        <w:t xml:space="preserve"> and 30 June 201</w:t>
      </w:r>
      <w:r>
        <w:t>7</w:t>
      </w:r>
      <w:r w:rsidRPr="00E954C9">
        <w:t xml:space="preserve"> we have estimated that there were around 31</w:t>
      </w:r>
      <w:r w:rsidR="008457CA">
        <w:t>5</w:t>
      </w:r>
      <w:r w:rsidRPr="00E954C9">
        <w:t>,000 births and a net migration into Australia of around 1</w:t>
      </w:r>
      <w:r w:rsidR="008457CA">
        <w:t>88,</w:t>
      </w:r>
      <w:r w:rsidRPr="00E954C9">
        <w:t xml:space="preserve">000. In </w:t>
      </w:r>
      <w:r w:rsidRPr="00E954C9">
        <w:lastRenderedPageBreak/>
        <w:t xml:space="preserve">addition to this we have allowed for updated information drawn from the 2016 Census, which showed the population was around 150,000 higher than from previous estimates. The majority of these groups have entered the model population as additional people </w:t>
      </w:r>
      <w:r w:rsidRPr="00E83F39">
        <w:t>in class 12. There were also around 16</w:t>
      </w:r>
      <w:r w:rsidR="005463FC">
        <w:t>2</w:t>
      </w:r>
      <w:r w:rsidRPr="00E83F39">
        <w:t>,000 deaths during the year which act to reduce the total model population.</w:t>
      </w:r>
    </w:p>
    <w:p w14:paraId="44145742" w14:textId="469BA6AD" w:rsidR="004F46FE" w:rsidRPr="0057506F" w:rsidRDefault="004F46FE" w:rsidP="004F46FE">
      <w:pPr>
        <w:pStyle w:val="PwCNormal"/>
        <w:numPr>
          <w:ilvl w:val="0"/>
          <w:numId w:val="1"/>
        </w:numPr>
      </w:pPr>
      <w:r w:rsidRPr="00E83F39">
        <w:t xml:space="preserve">Over the last </w:t>
      </w:r>
      <w:r w:rsidR="007A314E" w:rsidRPr="00E83F39">
        <w:t>three</w:t>
      </w:r>
      <w:r w:rsidRPr="00E83F39">
        <w:t xml:space="preserve"> years, an average of 440</w:t>
      </w:r>
      <w:r w:rsidRPr="004514DF">
        <w:t>,900 people (around</w:t>
      </w:r>
      <w:r>
        <w:t xml:space="preserve"> 3.7%</w:t>
      </w:r>
      <w:r w:rsidRPr="004514DF">
        <w:t xml:space="preserve"> of the people in this class) per annum have </w:t>
      </w:r>
      <w:r>
        <w:t>entered the welfare system by transitioning out of the rest of Australian population class</w:t>
      </w:r>
      <w:r w:rsidRPr="004514DF">
        <w:t xml:space="preserve">. </w:t>
      </w:r>
    </w:p>
    <w:p w14:paraId="5B646780" w14:textId="77777777" w:rsidR="004F46FE" w:rsidRPr="0057506F" w:rsidRDefault="004F46FE" w:rsidP="004F46FE">
      <w:pPr>
        <w:pStyle w:val="PwCNormal"/>
        <w:numPr>
          <w:ilvl w:val="0"/>
          <w:numId w:val="1"/>
        </w:numPr>
      </w:pPr>
      <w:r w:rsidRPr="004514DF">
        <w:t>The following charts show the breakdown of th</w:t>
      </w:r>
      <w:r>
        <w:t xml:space="preserve">ese transitions by </w:t>
      </w:r>
      <w:r w:rsidRPr="004514DF">
        <w:t>destination class</w:t>
      </w:r>
      <w:r>
        <w:t xml:space="preserve"> and year of transition</w:t>
      </w:r>
      <w:r w:rsidRPr="004514DF">
        <w:t xml:space="preserve">. </w:t>
      </w:r>
    </w:p>
    <w:p w14:paraId="35E38240" w14:textId="3C142154" w:rsidR="004F46FE" w:rsidRPr="0057506F" w:rsidRDefault="004F46FE" w:rsidP="004F46FE">
      <w:pPr>
        <w:pStyle w:val="Caption"/>
      </w:pPr>
      <w:r w:rsidRPr="00A716AE">
        <w:t xml:space="preserve">Figure </w:t>
      </w:r>
      <w:fldSimple w:instr=" SEQ Figure \* ARABIC ">
        <w:r w:rsidR="00C93C1A">
          <w:rPr>
            <w:noProof/>
          </w:rPr>
          <w:t>101</w:t>
        </w:r>
      </w:fldSimple>
      <w:r w:rsidRPr="00A716AE">
        <w:t>: Number of peo</w:t>
      </w:r>
      <w:r>
        <w:t xml:space="preserve">ple entering the welfare system from </w:t>
      </w:r>
      <w:r w:rsidR="00871E70">
        <w:t>c</w:t>
      </w:r>
      <w:r>
        <w:t>lass 12</w:t>
      </w:r>
      <w:r w:rsidRPr="00A716AE">
        <w:t xml:space="preserve"> – </w:t>
      </w:r>
      <w:r>
        <w:t>Rest of the Australian Population (by class entered into)</w:t>
      </w:r>
    </w:p>
    <w:tbl>
      <w:tblPr>
        <w:tblStyle w:val="Tables-APBase"/>
        <w:tblW w:w="489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Profile of people in Class 12 – all people in class (age/gender)&#10;"/>
        <w:tblDescription w:val="This figure is a horizontal bar chart showing the number of people in the rest of the Australian population class at Jun16 by age for males and females separately. The vertical axis shows age with the data shown ranging from 0 to 100. The horizontal axis shows the number of people ranging from 0 to 200,000. The number of males at each age are shown by the horizontal bars to the left of the vertical axis and the number of females at each age are shown by horizontal bars to the right.&#10;&#10;The chart is based on the 11,929,000 individuals who were in the rest of the Australian population class at 30 June 2016. &#10;&#10;The chart shows that there are more males in this group and people are generally aged between 0 and 65. The number of males and females are highest at the youngest ages and decrease with age. There are approximately 156,000 males aged 0. This number decreases with age to approximately 73,000 at age 32. The number of male clients then increases slightly with age from age 32 to age 55 before dropping back sharply to 9,000 at age 75.&#10;&#10;There are approximately 148,000 females aged 0. This number decreases with age to approximately 23,000 at age 41. After age 41 the number of females increases steadily by age to approximately 58,000 at age 64. After age 64 the number of females again drops significantly to 5,000 by age 75.&#10;&#10;"/>
      </w:tblPr>
      <w:tblGrid>
        <w:gridCol w:w="6516"/>
        <w:gridCol w:w="3345"/>
      </w:tblGrid>
      <w:tr w:rsidR="004F46FE" w:rsidRPr="009210D0" w14:paraId="07D4E429" w14:textId="77777777" w:rsidTr="00156206">
        <w:trPr>
          <w:tblHeader/>
        </w:trPr>
        <w:tc>
          <w:tcPr>
            <w:tcW w:w="6517" w:type="dxa"/>
          </w:tcPr>
          <w:p w14:paraId="7408A88A" w14:textId="77777777" w:rsidR="004F46FE" w:rsidRPr="009210D0" w:rsidRDefault="004F46FE" w:rsidP="00156206">
            <w:pPr>
              <w:pStyle w:val="TableTextSmall"/>
              <w:keepNext/>
              <w:rPr>
                <w:highlight w:val="yellow"/>
                <w:lang w:eastAsia="en-AU"/>
              </w:rPr>
            </w:pPr>
            <w:r w:rsidRPr="0003102B">
              <w:rPr>
                <w:noProof/>
                <w:lang w:eastAsia="en-AU"/>
              </w:rPr>
              <w:drawing>
                <wp:inline distT="0" distB="0" distL="0" distR="0" wp14:anchorId="592081F3" wp14:editId="062B6C5E">
                  <wp:extent cx="3860426" cy="2160000"/>
                  <wp:effectExtent l="0" t="0" r="6985" b="0"/>
                  <wp:docPr id="314" name="Picture 314" descr="This figure is a stacked column chart with five columns. The vertical axis displays the number of people ranging from 0 to 600,000. &#10;&#10;The horizontal axis show the number of exits from the Rest of the Australian Population class into the welfare system. The set of five columns represent the last five financial years; 2013, 2014, 2015, 2016 and 2017. &#10;&#10;The columns showing the number of exits from the Rest of the Australian Population class for each financial year are split into destination class. These classes include; 1 Studying, 2 Working Age, 3 Parents, 4 Carers, 5 Disability Support, 6 Pension Age, 7 Non IS Family, 8 Non IS Carer, 9 Non IS Other, 10 Previous Welfare Recipient and 11 Dead. &#10;&#10;The chart shows that the number of exits out of Class 12 were; 461,000 in 2013, 489,000 in 2014, 489,000 in 2015, 448,000 in 2016 and 385,000 in 2017. The majority of individuals who exit move to Class 9 Non IS Other or Class 2 Working Age. &#10;&#10;Further discussion of the key features shown in the chart can be found in the accompanying text within the report.&#10;" title="Number of people entering the welfare system from class 12 – Rest of the Australian Population (by class entered 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860426" cy="2160000"/>
                          </a:xfrm>
                          <a:prstGeom prst="rect">
                            <a:avLst/>
                          </a:prstGeom>
                          <a:noFill/>
                          <a:ln>
                            <a:noFill/>
                          </a:ln>
                        </pic:spPr>
                      </pic:pic>
                    </a:graphicData>
                  </a:graphic>
                </wp:inline>
              </w:drawing>
            </w:r>
          </w:p>
        </w:tc>
        <w:tc>
          <w:tcPr>
            <w:tcW w:w="3345" w:type="dxa"/>
          </w:tcPr>
          <w:p w14:paraId="0B36A76E" w14:textId="77777777" w:rsidR="004F46FE" w:rsidRDefault="004F46FE" w:rsidP="00156206">
            <w:pPr>
              <w:pStyle w:val="TableTextSmall"/>
              <w:keepNext/>
              <w:rPr>
                <w:lang w:eastAsia="en-AU"/>
              </w:rPr>
            </w:pPr>
          </w:p>
          <w:p w14:paraId="4AC1CCA6" w14:textId="77777777" w:rsidR="004F46FE" w:rsidRPr="009210D0" w:rsidRDefault="004F46FE" w:rsidP="00156206">
            <w:pPr>
              <w:pStyle w:val="TableTextSmall"/>
              <w:keepNext/>
              <w:rPr>
                <w:highlight w:val="yellow"/>
                <w:lang w:eastAsia="en-AU"/>
              </w:rPr>
            </w:pPr>
            <w:r w:rsidRPr="00462B12">
              <w:rPr>
                <w:noProof/>
                <w:lang w:eastAsia="en-AU"/>
              </w:rPr>
              <w:drawing>
                <wp:inline distT="0" distB="0" distL="0" distR="0" wp14:anchorId="06680B50" wp14:editId="7E2B7F03">
                  <wp:extent cx="1439545" cy="1591945"/>
                  <wp:effectExtent l="0" t="0" r="8255" b="0"/>
                  <wp:docPr id="3871" name="Picture 3871" descr="Class key: studying, working age, parents, carers, disability support, pension age, non-income support family, non-income support carer, non-income support other, previous welfare recipient, rest of the Australian population and dead. " title="Payment class key"/>
                  <wp:cNvGraphicFramePr/>
                  <a:graphic xmlns:a="http://schemas.openxmlformats.org/drawingml/2006/main">
                    <a:graphicData uri="http://schemas.openxmlformats.org/drawingml/2006/picture">
                      <pic:pic xmlns:pic="http://schemas.openxmlformats.org/drawingml/2006/picture">
                        <pic:nvPicPr>
                          <pic:cNvPr id="195" name="Picture 195" descr="Class keys: studying, working age, parents, carers, disability support, pension age, non-income support family, non-income support carer, non-income support other, previous welfare recipient, rest of the Australian population and dead. " title="Payment class key for Figure 42"/>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9545" cy="1589405"/>
                          </a:xfrm>
                          <a:prstGeom prst="rect">
                            <a:avLst/>
                          </a:prstGeom>
                          <a:noFill/>
                          <a:ln>
                            <a:noFill/>
                          </a:ln>
                        </pic:spPr>
                      </pic:pic>
                    </a:graphicData>
                  </a:graphic>
                </wp:inline>
              </w:drawing>
            </w:r>
          </w:p>
        </w:tc>
      </w:tr>
    </w:tbl>
    <w:p w14:paraId="0D41A2EF" w14:textId="77777777" w:rsidR="004F46FE" w:rsidRPr="0057506F" w:rsidRDefault="004F46FE" w:rsidP="004F46FE">
      <w:pPr>
        <w:pStyle w:val="PwCNormal"/>
        <w:numPr>
          <w:ilvl w:val="0"/>
          <w:numId w:val="1"/>
        </w:numPr>
      </w:pPr>
      <w:r w:rsidRPr="0003102B">
        <w:rPr>
          <w:noProof/>
          <w:lang w:eastAsia="en-AU"/>
        </w:rPr>
        <w:drawing>
          <wp:inline distT="0" distB="0" distL="0" distR="0" wp14:anchorId="2956DAD3" wp14:editId="5BF33C9D">
            <wp:extent cx="5385600" cy="468000"/>
            <wp:effectExtent l="0" t="0" r="0" b="8255"/>
            <wp:docPr id="409" name="Picture 409" descr="Class key: studying, working age, parents, carers, disability support, pension age, non-income support family, non-income support carer, non-income support other, previous welfare recipient, rest of the Australian population and dead. &#10;" title="Class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5600" cy="468000"/>
                    </a:xfrm>
                    <a:prstGeom prst="rect">
                      <a:avLst/>
                    </a:prstGeom>
                    <a:noFill/>
                    <a:ln>
                      <a:noFill/>
                    </a:ln>
                  </pic:spPr>
                </pic:pic>
              </a:graphicData>
            </a:graphic>
          </wp:inline>
        </w:drawing>
      </w:r>
    </w:p>
    <w:p w14:paraId="2A145A7B" w14:textId="5980982B" w:rsidR="004F46FE" w:rsidRPr="00024C68" w:rsidRDefault="004F46FE" w:rsidP="004F46FE">
      <w:pPr>
        <w:pStyle w:val="PwCNormal"/>
        <w:numPr>
          <w:ilvl w:val="0"/>
          <w:numId w:val="1"/>
        </w:numPr>
      </w:pPr>
      <w:r w:rsidRPr="00024C68">
        <w:t xml:space="preserve">The main entries </w:t>
      </w:r>
      <w:r w:rsidRPr="00CD6B82">
        <w:t xml:space="preserve">into the welfare system </w:t>
      </w:r>
      <w:r w:rsidRPr="00024C68">
        <w:t>from this class are into class ‘1 Studying’, ‘2 Working Age’, ‘6 Pension Age’ and ‘9 Non IS Other’ (most of those entering into class 9 subsequently transition to class ‘7 Non IS Family’).</w:t>
      </w:r>
      <w:r w:rsidR="00673EED">
        <w:t xml:space="preserve"> A decreasing trend can be seen in entries over the last few years and in particular there has been a reduction in entries into Working Age and Pension Age payments.</w:t>
      </w:r>
    </w:p>
    <w:p w14:paraId="69DFE83D" w14:textId="77777777" w:rsidR="004F46FE" w:rsidRPr="00024C68" w:rsidRDefault="004F46FE" w:rsidP="004F46FE">
      <w:pPr>
        <w:pStyle w:val="Minorheading"/>
        <w:numPr>
          <w:ilvl w:val="0"/>
          <w:numId w:val="1"/>
        </w:numPr>
      </w:pPr>
      <w:r w:rsidRPr="00024C68">
        <w:t>Payments received</w:t>
      </w:r>
    </w:p>
    <w:p w14:paraId="4DDD57E8" w14:textId="1A62B374" w:rsidR="004F46FE" w:rsidRPr="00024C68" w:rsidRDefault="004F46FE" w:rsidP="004F46FE">
      <w:pPr>
        <w:pStyle w:val="PwCNormal"/>
        <w:numPr>
          <w:ilvl w:val="0"/>
          <w:numId w:val="0"/>
        </w:numPr>
      </w:pPr>
      <w:r w:rsidRPr="00024C68">
        <w:t xml:space="preserve">No payments are received while people </w:t>
      </w:r>
      <w:r w:rsidR="00F13E8F">
        <w:t xml:space="preserve">are </w:t>
      </w:r>
      <w:r w:rsidRPr="00024C68">
        <w:t>in this class. Payments may be received by this group upon entry into an active welfare recipient</w:t>
      </w:r>
      <w:r>
        <w:t xml:space="preserve"> clas</w:t>
      </w:r>
      <w:r w:rsidRPr="00024C68">
        <w:t xml:space="preserve">s and these are covered in sections </w:t>
      </w:r>
      <w:r w:rsidR="00F13E8F">
        <w:fldChar w:fldCharType="begin"/>
      </w:r>
      <w:r w:rsidR="00F13E8F">
        <w:instrText xml:space="preserve"> REF _Ref498433566 \r \h </w:instrText>
      </w:r>
      <w:r w:rsidR="00F13E8F">
        <w:fldChar w:fldCharType="separate"/>
      </w:r>
      <w:r w:rsidR="00C93C1A">
        <w:t>6</w:t>
      </w:r>
      <w:r w:rsidR="00F13E8F">
        <w:fldChar w:fldCharType="end"/>
      </w:r>
      <w:r w:rsidR="00F13E8F">
        <w:t xml:space="preserve"> and </w:t>
      </w:r>
      <w:r w:rsidR="00F13E8F">
        <w:fldChar w:fldCharType="begin"/>
      </w:r>
      <w:r w:rsidR="00F13E8F">
        <w:instrText xml:space="preserve"> REF _Ref466373125 \r \h </w:instrText>
      </w:r>
      <w:r w:rsidR="00F13E8F">
        <w:fldChar w:fldCharType="separate"/>
      </w:r>
      <w:r w:rsidR="00C93C1A">
        <w:t>7</w:t>
      </w:r>
      <w:r w:rsidR="00F13E8F">
        <w:fldChar w:fldCharType="end"/>
      </w:r>
      <w:r w:rsidRPr="00024C68">
        <w:t>.</w:t>
      </w:r>
    </w:p>
    <w:p w14:paraId="3F8240C3" w14:textId="77777777" w:rsidR="004F46FE" w:rsidRPr="00880ACE" w:rsidRDefault="004F46FE" w:rsidP="004F46FE">
      <w:pPr>
        <w:pStyle w:val="Heading4"/>
      </w:pPr>
      <w:r w:rsidRPr="00880ACE">
        <w:t>Changes in model fitting this valuation</w:t>
      </w:r>
    </w:p>
    <w:p w14:paraId="02FB5EBF" w14:textId="0CD3F8BD" w:rsidR="004F46FE" w:rsidRPr="0057506F" w:rsidRDefault="004F46FE" w:rsidP="00964D65">
      <w:pPr>
        <w:pStyle w:val="PwCNormal"/>
        <w:numPr>
          <w:ilvl w:val="0"/>
          <w:numId w:val="33"/>
        </w:numPr>
      </w:pPr>
      <w:r w:rsidRPr="00C65E5F">
        <w:t xml:space="preserve">At this valuation we </w:t>
      </w:r>
      <w:r>
        <w:t xml:space="preserve">enhanced the entry model by </w:t>
      </w:r>
      <w:r w:rsidRPr="00C65E5F">
        <w:t>incorporat</w:t>
      </w:r>
      <w:r>
        <w:t>ing</w:t>
      </w:r>
      <w:r w:rsidRPr="00C65E5F">
        <w:t xml:space="preserve"> information on parental welfare dependency in order to understand the </w:t>
      </w:r>
      <w:r>
        <w:t xml:space="preserve">propensity </w:t>
      </w:r>
      <w:r w:rsidRPr="00C65E5F">
        <w:t>of people who grew up in families where welfare dependen</w:t>
      </w:r>
      <w:r w:rsidRPr="00F13E8F">
        <w:t>cy was high to enter or re-enter the welfare system. More information on this variable is provided in section</w:t>
      </w:r>
      <w:r w:rsidR="00F13E8F" w:rsidRPr="00F13E8F">
        <w:t xml:space="preserve"> </w:t>
      </w:r>
      <w:r w:rsidR="00F13E8F" w:rsidRPr="00F13E8F">
        <w:fldChar w:fldCharType="begin"/>
      </w:r>
      <w:r w:rsidR="00F13E8F" w:rsidRPr="00F13E8F">
        <w:instrText xml:space="preserve"> REF _Ref498434007 \r \h </w:instrText>
      </w:r>
      <w:r w:rsidR="00F13E8F">
        <w:instrText xml:space="preserve"> \* MERGEFORMAT </w:instrText>
      </w:r>
      <w:r w:rsidR="00F13E8F" w:rsidRPr="00F13E8F">
        <w:fldChar w:fldCharType="separate"/>
      </w:r>
      <w:r w:rsidR="00C93C1A">
        <w:t>2</w:t>
      </w:r>
      <w:r w:rsidR="00F13E8F" w:rsidRPr="00F13E8F">
        <w:fldChar w:fldCharType="end"/>
      </w:r>
      <w:r w:rsidRPr="00F13E8F">
        <w:t xml:space="preserve">. People with higher </w:t>
      </w:r>
      <w:r w:rsidR="00187C2A">
        <w:t>parental welfare dependence</w:t>
      </w:r>
      <w:r w:rsidRPr="00F13E8F">
        <w:t xml:space="preserve"> during their childhood are much more likely to</w:t>
      </w:r>
      <w:r w:rsidRPr="00CD6B82">
        <w:t xml:space="preserve"> enter onto working age or studying payments.</w:t>
      </w:r>
    </w:p>
    <w:p w14:paraId="006E7A11" w14:textId="77777777" w:rsidR="004F46FE" w:rsidRPr="00157A13" w:rsidRDefault="004F46FE" w:rsidP="004F46FE">
      <w:pPr>
        <w:pStyle w:val="Heading4"/>
      </w:pPr>
      <w:r w:rsidRPr="00157A13">
        <w:t>What does the model show for people currently in this class?</w:t>
      </w:r>
    </w:p>
    <w:p w14:paraId="294D85E4" w14:textId="77777777" w:rsidR="004F46FE" w:rsidRPr="00157A13" w:rsidRDefault="004F46FE" w:rsidP="004F46FE">
      <w:pPr>
        <w:pStyle w:val="Minorheading"/>
      </w:pPr>
      <w:r w:rsidRPr="00157A13">
        <w:t>Lifetime costs</w:t>
      </w:r>
    </w:p>
    <w:p w14:paraId="08D447F2" w14:textId="1E1650A5" w:rsidR="00362C71" w:rsidRPr="00157A13" w:rsidRDefault="004F46FE" w:rsidP="00964D65">
      <w:pPr>
        <w:pStyle w:val="PwCNormal"/>
        <w:numPr>
          <w:ilvl w:val="0"/>
          <w:numId w:val="33"/>
        </w:numPr>
      </w:pPr>
      <w:r w:rsidRPr="00157A13">
        <w:t xml:space="preserve">We estimated the lifetime cost for the people in this class to be </w:t>
      </w:r>
      <w:r w:rsidRPr="00157A13">
        <w:rPr>
          <w:b/>
        </w:rPr>
        <w:t>$1,812bn</w:t>
      </w:r>
      <w:r w:rsidRPr="00157A13">
        <w:t xml:space="preserve"> (or </w:t>
      </w:r>
      <w:r w:rsidRPr="00157A13">
        <w:rPr>
          <w:b/>
        </w:rPr>
        <w:t>38.7%</w:t>
      </w:r>
      <w:r w:rsidRPr="00157A13">
        <w:t xml:space="preserve"> of the total lifetime cost). The average lifetime cost for people in this class is </w:t>
      </w:r>
      <w:r w:rsidRPr="00157A13">
        <w:rPr>
          <w:b/>
        </w:rPr>
        <w:t>$150,000</w:t>
      </w:r>
      <w:r w:rsidRPr="00157A13">
        <w:t>. The variation in average lifetime cost by age and gender is illustrated in the figure below.</w:t>
      </w:r>
    </w:p>
    <w:p w14:paraId="52D8C2D7" w14:textId="6B4F7359" w:rsidR="00362C71" w:rsidRPr="006444EB" w:rsidRDefault="00362C71" w:rsidP="00362C71">
      <w:pPr>
        <w:pStyle w:val="Caption"/>
      </w:pPr>
      <w:r w:rsidRPr="006444EB">
        <w:lastRenderedPageBreak/>
        <w:t xml:space="preserve">Figure </w:t>
      </w:r>
      <w:fldSimple w:instr=" SEQ Figure \* ARABIC ">
        <w:r w:rsidR="00C93C1A">
          <w:rPr>
            <w:noProof/>
          </w:rPr>
          <w:t>102</w:t>
        </w:r>
      </w:fldSimple>
      <w:r w:rsidRPr="006444EB">
        <w:t xml:space="preserve">: Average lifetime cost by age and gender </w:t>
      </w:r>
      <w:r w:rsidR="00871E70">
        <w:t xml:space="preserve">(class </w:t>
      </w:r>
      <w:r w:rsidR="00A27609" w:rsidRPr="006444EB">
        <w:t>1</w:t>
      </w:r>
      <w:r w:rsidRPr="006444EB">
        <w:t>2)</w:t>
      </w:r>
    </w:p>
    <w:tbl>
      <w:tblPr>
        <w:tblStyle w:val="Tables-APBase"/>
        <w:tblW w:w="422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This text box contains a chart and a legend."/>
      </w:tblPr>
      <w:tblGrid>
        <w:gridCol w:w="6236"/>
        <w:gridCol w:w="2280"/>
      </w:tblGrid>
      <w:tr w:rsidR="00362C71" w:rsidRPr="009210D0" w14:paraId="7FC64AB3" w14:textId="77777777" w:rsidTr="00AB2073">
        <w:trPr>
          <w:trHeight w:val="3402"/>
          <w:tblHeader/>
        </w:trPr>
        <w:tc>
          <w:tcPr>
            <w:tcW w:w="6236" w:type="dxa"/>
            <w:hideMark/>
          </w:tcPr>
          <w:p w14:paraId="60B78739" w14:textId="2817222D" w:rsidR="00362C71" w:rsidRPr="006444EB" w:rsidRDefault="00AB2073" w:rsidP="006444EB">
            <w:pPr>
              <w:pStyle w:val="TableTextSmall"/>
              <w:keepNext/>
              <w:rPr>
                <w:lang w:eastAsia="en-AU"/>
              </w:rPr>
            </w:pPr>
            <w:r w:rsidRPr="00AB2073">
              <w:rPr>
                <w:noProof/>
                <w:lang w:eastAsia="en-AU"/>
              </w:rPr>
              <w:drawing>
                <wp:inline distT="0" distB="0" distL="0" distR="0" wp14:anchorId="062FA644" wp14:editId="2B2BD95B">
                  <wp:extent cx="3721024" cy="2160000"/>
                  <wp:effectExtent l="0" t="0" r="0" b="0"/>
                  <wp:docPr id="3867" name="Picture 3867" descr="This figure is a horizontal bar chart showing average lifetime cost by age for males and females separately. The vertical axis shows age with the data shown ranging from 0 to 90. The horizontal axis shows the average lifetime cost with the data shown ranging from $0 to $500,000. The average lifetime costs for males at each age are shown by the horizontal bars to the left of the vertical axis and the average lifetime costs for females at each age are shown by horizontal bars to the right. Results are only shown for age bands with at least 100 individuals.&#10;&#10;The bars for each given age and gender are split into the average lifetime costs associated with the following welfare payment categories: IS studying, IS working age, IS parents, IS carers, IS disability, IS aged, IS dependent, Other – FTB, Other –family, Other – new parents, Other – health and disability, Other – carer, Other – study and skills, Other – remote and regional, Other – general allowances, All other and Rent assistance.&#10;&#10;The chart is based on the 12,122,000 individuals who were in the Rest of the Australian Population class at 30 June 2017. &#10;&#10;The average lifetime cost of males increases with age from approximately $105,000 at age 0 to $140,000 at age 15. After this age, average lifetime cost remains relatively stable before peaking slightly at $150,000 at age 64. &#10;&#10;The average lifetime cost of females increases with age from approximately $165,000 at age 0 to $230,000 at age 15. The substantially higher average lifetime cost relative to males is due to higher FTB, other family, and non-income support carer components. After age 15, there is a reduction in average lifetime cost with age to approximately $180,000 at age 64.&#10;&#10;For both males and females aged 65 and over, there is a substantial reduction in average lifetime cost by age. At age 70 males have an average lifetime cost of$60,000 while females have an average lifetime cost of $70,000. For both males and females aged 75, the average lifetime cost is approximately $30,000.&#10;&#10;The features shown in the chart are discussed further in the accompanying text within the report.&#10;&#10;" title="Average lifetime cost by age and gender (clas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721024" cy="2160000"/>
                          </a:xfrm>
                          <a:prstGeom prst="rect">
                            <a:avLst/>
                          </a:prstGeom>
                          <a:noFill/>
                          <a:ln>
                            <a:noFill/>
                          </a:ln>
                        </pic:spPr>
                      </pic:pic>
                    </a:graphicData>
                  </a:graphic>
                </wp:inline>
              </w:drawing>
            </w:r>
          </w:p>
        </w:tc>
        <w:tc>
          <w:tcPr>
            <w:tcW w:w="2280" w:type="dxa"/>
          </w:tcPr>
          <w:p w14:paraId="7BCB7CBB" w14:textId="77777777" w:rsidR="00362C71" w:rsidRPr="006444EB" w:rsidRDefault="00362C71" w:rsidP="00487300">
            <w:pPr>
              <w:pStyle w:val="TableTextSmall"/>
              <w:keepNext/>
              <w:rPr>
                <w:lang w:eastAsia="en-AU"/>
              </w:rPr>
            </w:pPr>
          </w:p>
          <w:p w14:paraId="487D08C5" w14:textId="77777777" w:rsidR="00362C71" w:rsidRPr="006444EB" w:rsidRDefault="00362C71" w:rsidP="00487300">
            <w:pPr>
              <w:pStyle w:val="TableTextSmall"/>
              <w:keepNext/>
              <w:rPr>
                <w:lang w:eastAsia="en-AU"/>
              </w:rPr>
            </w:pPr>
            <w:r w:rsidRPr="006444EB">
              <w:rPr>
                <w:noProof/>
                <w:lang w:eastAsia="en-AU"/>
              </w:rPr>
              <w:drawing>
                <wp:inline distT="0" distB="0" distL="0" distR="0" wp14:anchorId="2F25E5BA" wp14:editId="4B208336">
                  <wp:extent cx="1082771" cy="1620000"/>
                  <wp:effectExtent l="0" t="0" r="0" b="0"/>
                  <wp:docPr id="844" name="Picture 844" descr="Payment Category Key: IS studying, IS working age, IS parents, IS carers, IS disability, IS aged, IS dependent, Other – FTB, Other – family, Other – new parents, Other – health and disability, Other – carer, Other – study and skills, Other – remote and regional, Other – general allowances, All other, Rent assistance.&#10;" title="Payment Catego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2771" cy="1620000"/>
                          </a:xfrm>
                          <a:prstGeom prst="rect">
                            <a:avLst/>
                          </a:prstGeom>
                          <a:noFill/>
                          <a:ln>
                            <a:noFill/>
                          </a:ln>
                        </pic:spPr>
                      </pic:pic>
                    </a:graphicData>
                  </a:graphic>
                </wp:inline>
              </w:drawing>
            </w:r>
          </w:p>
        </w:tc>
      </w:tr>
    </w:tbl>
    <w:p w14:paraId="6F38E0C8" w14:textId="76C7810A" w:rsidR="004F46FE" w:rsidRPr="00CD6B82" w:rsidRDefault="004F46FE" w:rsidP="004F46FE">
      <w:pPr>
        <w:pStyle w:val="PwCNormal"/>
        <w:numPr>
          <w:ilvl w:val="0"/>
          <w:numId w:val="0"/>
        </w:numPr>
      </w:pPr>
      <w:r w:rsidRPr="00CD6B82">
        <w:t>The most substantial part of this average lifetime co</w:t>
      </w:r>
      <w:r w:rsidR="00ED5494">
        <w:t>st for both genders is for the A</w:t>
      </w:r>
      <w:r w:rsidRPr="00CD6B82">
        <w:t xml:space="preserve">ge </w:t>
      </w:r>
      <w:r w:rsidR="00ED5494">
        <w:t>P</w:t>
      </w:r>
      <w:r w:rsidRPr="00CD6B82">
        <w:t xml:space="preserve">ension although there are contributions from all payment categories. </w:t>
      </w:r>
    </w:p>
    <w:p w14:paraId="74143D35" w14:textId="291124AA" w:rsidR="004F46FE" w:rsidRPr="00CD6B82" w:rsidRDefault="004F46FE" w:rsidP="004F46FE">
      <w:pPr>
        <w:pStyle w:val="PwCNormal"/>
        <w:numPr>
          <w:ilvl w:val="0"/>
          <w:numId w:val="0"/>
        </w:numPr>
      </w:pPr>
      <w:r w:rsidRPr="00CD6B82">
        <w:t xml:space="preserve">For women up to around age 40 there are significant contributions from FTB and </w:t>
      </w:r>
      <w:r w:rsidR="0070204F">
        <w:t>P</w:t>
      </w:r>
      <w:r w:rsidRPr="00CD6B82">
        <w:t xml:space="preserve">arenting payments. For people in their early forties and above, the differences between the costs for men and women are small (women have a slightly higher lifetime cost due to higher expected longevity). </w:t>
      </w:r>
    </w:p>
    <w:p w14:paraId="477D1177" w14:textId="77777777" w:rsidR="004F46FE" w:rsidRPr="00CD6B82" w:rsidRDefault="004F46FE" w:rsidP="004F46FE">
      <w:pPr>
        <w:pStyle w:val="PwCNormal"/>
        <w:numPr>
          <w:ilvl w:val="0"/>
          <w:numId w:val="0"/>
        </w:numPr>
      </w:pPr>
      <w:r w:rsidRPr="00CD6B82">
        <w:t>The average lifetime cost pyramid shows a significant change at age 65 with much lower costs for older people:</w:t>
      </w:r>
    </w:p>
    <w:p w14:paraId="2413DBC6" w14:textId="4721B43C" w:rsidR="004F46FE" w:rsidRPr="00CD6B82" w:rsidRDefault="004F46FE" w:rsidP="004F46FE">
      <w:pPr>
        <w:pStyle w:val="Bullet1"/>
      </w:pPr>
      <w:r w:rsidRPr="00CD6B82">
        <w:t xml:space="preserve">For people below age 65 - the age pension component of the average lifetime cost is significant as there is a high chance of the people moving onto the </w:t>
      </w:r>
      <w:r w:rsidR="00ED5494">
        <w:t>A</w:t>
      </w:r>
      <w:r w:rsidRPr="00CD6B82">
        <w:t xml:space="preserve">ge </w:t>
      </w:r>
      <w:r w:rsidR="00ED5494">
        <w:t>P</w:t>
      </w:r>
      <w:r w:rsidRPr="00CD6B82">
        <w:t>ension as they reach pension age.</w:t>
      </w:r>
    </w:p>
    <w:p w14:paraId="28E2F0BB" w14:textId="61B75D99" w:rsidR="004F46FE" w:rsidRPr="00CD6B82" w:rsidRDefault="004F46FE" w:rsidP="004F46FE">
      <w:pPr>
        <w:pStyle w:val="Bullet1"/>
      </w:pPr>
      <w:r w:rsidRPr="00CD6B82">
        <w:t xml:space="preserve">For people above age 65 - to be above age 65 and still be in this class they cannot be receiving age pension at present. This means they are </w:t>
      </w:r>
      <w:r w:rsidR="00ED5494">
        <w:t>far less likely to receive the A</w:t>
      </w:r>
      <w:r w:rsidRPr="00CD6B82">
        <w:t xml:space="preserve">ge </w:t>
      </w:r>
      <w:r w:rsidR="00ED5494">
        <w:t>P</w:t>
      </w:r>
      <w:r w:rsidRPr="00CD6B82">
        <w:t>ension in future than a typical person in the population and hence have a lower average lifetime cost.</w:t>
      </w:r>
    </w:p>
    <w:p w14:paraId="2539F972" w14:textId="77777777" w:rsidR="004F46FE" w:rsidRDefault="004F46FE" w:rsidP="004F46FE">
      <w:pPr>
        <w:pStyle w:val="ListContinue"/>
      </w:pPr>
      <w:r w:rsidRPr="00CD6B82">
        <w:t>For people significantly above age 65 the average lifetime costs reduce year on year as the future lifetime is shorter and the chances of moving into the Age Pension class at a future point in time are even lower.</w:t>
      </w:r>
    </w:p>
    <w:p w14:paraId="1D506669" w14:textId="0D45F85E" w:rsidR="00650BE5" w:rsidRPr="0057506F" w:rsidRDefault="00650BE5" w:rsidP="00650BE5">
      <w:pPr>
        <w:pStyle w:val="PwCNormal"/>
        <w:numPr>
          <w:ilvl w:val="0"/>
          <w:numId w:val="1"/>
        </w:numPr>
      </w:pPr>
      <w:r>
        <w:t xml:space="preserve">The table below outlines the average lifetime cost for </w:t>
      </w:r>
      <w:r w:rsidR="008846F2">
        <w:t>20</w:t>
      </w:r>
      <w:r w:rsidR="006948E9">
        <w:t xml:space="preserve"> to </w:t>
      </w:r>
      <w:r w:rsidR="008846F2">
        <w:t>25</w:t>
      </w:r>
      <w:r>
        <w:t xml:space="preserve"> year olds in the rest of the Australian population, split by key characteristics. We have selected a </w:t>
      </w:r>
      <w:r w:rsidR="000131CD">
        <w:t xml:space="preserve">set </w:t>
      </w:r>
      <w:r>
        <w:t xml:space="preserve">age group to reduce the effect of age on the future lifetime cost. </w:t>
      </w:r>
      <w:r w:rsidRPr="00DD2C39">
        <w:t>It is important to note that some characteristics serve as proxies for more fundamental socio-economic factors, and as such, they may not necessarily be the underlying cause of any differences observed in the average lifetime costs of individuals.</w:t>
      </w:r>
      <w:r w:rsidR="00003814">
        <w:t xml:space="preserve"> Further, the variations and relativities to the average lifetime cost that have been shown may differ for other age bands.</w:t>
      </w:r>
    </w:p>
    <w:p w14:paraId="307582DE" w14:textId="5D2F16F4" w:rsidR="00650BE5" w:rsidRDefault="00650BE5" w:rsidP="00650BE5">
      <w:pPr>
        <w:pStyle w:val="Caption"/>
      </w:pPr>
      <w:r w:rsidRPr="00035CA3">
        <w:lastRenderedPageBreak/>
        <w:t>Ta</w:t>
      </w:r>
      <w:r w:rsidRPr="002D25C5">
        <w:t xml:space="preserve">ble </w:t>
      </w:r>
      <w:fldSimple w:instr=" SEQ Table \* ARABIC ">
        <w:r w:rsidR="00C93C1A">
          <w:rPr>
            <w:noProof/>
          </w:rPr>
          <w:t>53</w:t>
        </w:r>
      </w:fldSimple>
      <w:r w:rsidRPr="002D25C5">
        <w:t xml:space="preserve">: </w:t>
      </w:r>
      <w:r>
        <w:t xml:space="preserve">Average lifetime cost for </w:t>
      </w:r>
      <w:r w:rsidR="00F5641A">
        <w:t>20</w:t>
      </w:r>
      <w:r w:rsidR="006948E9">
        <w:t xml:space="preserve"> to </w:t>
      </w:r>
      <w:r w:rsidR="00F5641A">
        <w:t>2</w:t>
      </w:r>
      <w:r w:rsidR="008846F2">
        <w:t>5</w:t>
      </w:r>
      <w:r>
        <w:t xml:space="preserve"> year olds in the rest of the Australian population split by key characteristics</w:t>
      </w:r>
    </w:p>
    <w:tbl>
      <w:tblPr>
        <w:tblStyle w:val="ListTable3-Accent61"/>
        <w:tblW w:w="9781" w:type="dxa"/>
        <w:tblInd w:w="108" w:type="dxa"/>
        <w:tblLayout w:type="fixed"/>
        <w:tblLook w:val="04A0" w:firstRow="1" w:lastRow="0" w:firstColumn="1" w:lastColumn="0" w:noHBand="0" w:noVBand="1"/>
        <w:tblCaption w:val="Average lifetime cost for 20 to 25 year olds in the rest of the Australian population split by key characteristics"/>
        <w:tblDescription w:val="This table displays data for average lifetime costs of 20 to 25 year olds in the rest of the Australian population by key characteristics. The columns show the number of people, number of people as % of cohort, average lifetime cost, and average lifetime cost relative to the whole cohort. The rows show data for five different key characteristics, marital status, education hierarchy, and number of children. This is further divided by their respective categories. &#10;&#10;Further features of the data in this table are discussed in the accompanying text within the report.&#10;"/>
      </w:tblPr>
      <w:tblGrid>
        <w:gridCol w:w="3828"/>
        <w:gridCol w:w="1134"/>
        <w:gridCol w:w="1606"/>
        <w:gridCol w:w="1606"/>
        <w:gridCol w:w="1607"/>
      </w:tblGrid>
      <w:tr w:rsidR="006114CC" w:rsidRPr="006114CC" w14:paraId="7F1F315E" w14:textId="77777777" w:rsidTr="00E42ACF">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100" w:firstRow="0" w:lastRow="0" w:firstColumn="1" w:lastColumn="0" w:oddVBand="0" w:evenVBand="0" w:oddHBand="0" w:evenHBand="0" w:firstRowFirstColumn="1" w:firstRowLastColumn="0" w:lastRowFirstColumn="0" w:lastRowLastColumn="0"/>
            <w:tcW w:w="3828" w:type="dxa"/>
            <w:tcBorders>
              <w:bottom w:val="single" w:sz="4" w:space="0" w:color="E0301E" w:themeColor="accent6"/>
            </w:tcBorders>
            <w:noWrap/>
            <w:hideMark/>
          </w:tcPr>
          <w:p w14:paraId="7EEF9CFD" w14:textId="77777777" w:rsidR="006114CC" w:rsidRPr="00660D81" w:rsidRDefault="006114CC" w:rsidP="00C36A7A">
            <w:pPr>
              <w:pStyle w:val="TableTextSmall"/>
              <w:keepNext/>
              <w:rPr>
                <w:rFonts w:asciiTheme="majorHAnsi" w:hAnsiTheme="majorHAnsi"/>
                <w:bCs w:val="0"/>
                <w:color w:val="FFFFFF" w:themeColor="background1"/>
                <w:lang w:eastAsia="en-AU"/>
              </w:rPr>
            </w:pPr>
          </w:p>
        </w:tc>
        <w:tc>
          <w:tcPr>
            <w:tcW w:w="1134" w:type="dxa"/>
            <w:tcBorders>
              <w:bottom w:val="single" w:sz="4" w:space="0" w:color="E0301E" w:themeColor="accent6"/>
            </w:tcBorders>
            <w:noWrap/>
            <w:hideMark/>
          </w:tcPr>
          <w:p w14:paraId="49668F38"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w:t>
            </w:r>
          </w:p>
        </w:tc>
        <w:tc>
          <w:tcPr>
            <w:tcW w:w="1606" w:type="dxa"/>
            <w:tcBorders>
              <w:bottom w:val="single" w:sz="4" w:space="0" w:color="E0301E" w:themeColor="accent6"/>
            </w:tcBorders>
            <w:hideMark/>
          </w:tcPr>
          <w:p w14:paraId="7E91342D"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Number of people as % of cohort</w:t>
            </w:r>
          </w:p>
        </w:tc>
        <w:tc>
          <w:tcPr>
            <w:tcW w:w="1606" w:type="dxa"/>
            <w:tcBorders>
              <w:bottom w:val="single" w:sz="4" w:space="0" w:color="E0301E" w:themeColor="accent6"/>
            </w:tcBorders>
            <w:hideMark/>
          </w:tcPr>
          <w:p w14:paraId="238BA493"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w:t>
            </w:r>
          </w:p>
        </w:tc>
        <w:tc>
          <w:tcPr>
            <w:tcW w:w="1607" w:type="dxa"/>
            <w:tcBorders>
              <w:bottom w:val="single" w:sz="4" w:space="0" w:color="E0301E" w:themeColor="accent6"/>
            </w:tcBorders>
          </w:tcPr>
          <w:p w14:paraId="3F35698E" w14:textId="77777777" w:rsidR="006114CC" w:rsidRPr="006114CC" w:rsidRDefault="006114CC" w:rsidP="00C36A7A">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lang w:eastAsia="en-AU"/>
              </w:rPr>
            </w:pPr>
            <w:r w:rsidRPr="006114CC">
              <w:rPr>
                <w:rFonts w:ascii="Arial" w:hAnsi="Arial"/>
                <w:color w:val="FFFFFF"/>
                <w:szCs w:val="16"/>
              </w:rPr>
              <w:t>Average lifetime cost relative to cohort</w:t>
            </w:r>
          </w:p>
        </w:tc>
      </w:tr>
      <w:tr w:rsidR="0069611A" w:rsidRPr="006114CC" w14:paraId="5E9464DB"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shd w:val="clear" w:color="auto" w:fill="F7DCE1" w:themeFill="accent4" w:themeFillTint="33"/>
            <w:noWrap/>
            <w:hideMark/>
          </w:tcPr>
          <w:p w14:paraId="6AB5D99C" w14:textId="77777777" w:rsidR="0069611A" w:rsidRPr="006114CC" w:rsidRDefault="0069611A" w:rsidP="0069611A">
            <w:pPr>
              <w:pStyle w:val="TableTextSmall"/>
              <w:keepNext/>
              <w:rPr>
                <w:rFonts w:asciiTheme="majorHAnsi" w:hAnsiTheme="majorHAnsi"/>
                <w:bCs w:val="0"/>
                <w:color w:val="595959" w:themeColor="text1" w:themeTint="A6"/>
                <w:lang w:eastAsia="en-AU"/>
              </w:rPr>
            </w:pPr>
            <w:r w:rsidRPr="006114CC">
              <w:rPr>
                <w:rFonts w:ascii="Arial" w:hAnsi="Arial"/>
                <w:color w:val="595959"/>
                <w:szCs w:val="16"/>
              </w:rPr>
              <w:t>Total</w:t>
            </w:r>
          </w:p>
        </w:tc>
        <w:tc>
          <w:tcPr>
            <w:tcW w:w="1134" w:type="dxa"/>
            <w:shd w:val="clear" w:color="auto" w:fill="F7DCE1" w:themeFill="accent4" w:themeFillTint="33"/>
            <w:noWrap/>
            <w:vAlign w:val="bottom"/>
            <w:hideMark/>
          </w:tcPr>
          <w:p w14:paraId="5D6A1641" w14:textId="0AFF4A03"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1,035,000</w:t>
            </w:r>
          </w:p>
        </w:tc>
        <w:tc>
          <w:tcPr>
            <w:tcW w:w="1606" w:type="dxa"/>
            <w:shd w:val="clear" w:color="auto" w:fill="F7DCE1" w:themeFill="accent4" w:themeFillTint="33"/>
            <w:noWrap/>
            <w:vAlign w:val="bottom"/>
            <w:hideMark/>
          </w:tcPr>
          <w:p w14:paraId="49E49A9F" w14:textId="32674DF5"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c>
          <w:tcPr>
            <w:tcW w:w="1606" w:type="dxa"/>
            <w:shd w:val="clear" w:color="auto" w:fill="F7DCE1" w:themeFill="accent4" w:themeFillTint="33"/>
            <w:noWrap/>
            <w:vAlign w:val="bottom"/>
          </w:tcPr>
          <w:p w14:paraId="620CABE3" w14:textId="72906554"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158,000</w:t>
            </w:r>
          </w:p>
        </w:tc>
        <w:tc>
          <w:tcPr>
            <w:tcW w:w="1607" w:type="dxa"/>
            <w:shd w:val="clear" w:color="auto" w:fill="F7DCE1" w:themeFill="accent4" w:themeFillTint="33"/>
            <w:vAlign w:val="bottom"/>
          </w:tcPr>
          <w:p w14:paraId="1B2B1369" w14:textId="288C4DC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b/>
                <w:color w:val="auto"/>
                <w:lang w:eastAsia="en-AU"/>
              </w:rPr>
            </w:pPr>
            <w:r>
              <w:rPr>
                <w:rFonts w:ascii="Arial" w:hAnsi="Arial"/>
                <w:b/>
                <w:bCs/>
                <w:color w:val="595959"/>
                <w:szCs w:val="16"/>
              </w:rPr>
              <w:t>100%</w:t>
            </w:r>
          </w:p>
        </w:tc>
      </w:tr>
      <w:tr w:rsidR="0069611A" w:rsidRPr="006114CC" w14:paraId="7FFE9B65" w14:textId="77777777" w:rsidTr="0069611A">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E0301E" w:themeColor="accent6"/>
              <w:left w:val="single" w:sz="4" w:space="0" w:color="E0301E" w:themeColor="accent6"/>
              <w:bottom w:val="nil"/>
            </w:tcBorders>
            <w:noWrap/>
            <w:hideMark/>
          </w:tcPr>
          <w:p w14:paraId="7DEE0ADC" w14:textId="77777777" w:rsidR="0069611A" w:rsidRPr="006114CC" w:rsidRDefault="0069611A" w:rsidP="0069611A">
            <w:pPr>
              <w:pStyle w:val="TableTextSmall"/>
              <w:keepNext/>
              <w:rPr>
                <w:rFonts w:asciiTheme="majorHAnsi" w:hAnsiTheme="majorHAnsi"/>
                <w:bCs w:val="0"/>
                <w:i/>
                <w:color w:val="595959" w:themeColor="text1" w:themeTint="A6"/>
                <w:lang w:eastAsia="en-AU"/>
              </w:rPr>
            </w:pPr>
            <w:r w:rsidRPr="006114CC">
              <w:rPr>
                <w:rFonts w:ascii="Arial" w:hAnsi="Arial"/>
                <w:color w:val="595959"/>
                <w:szCs w:val="16"/>
              </w:rPr>
              <w:t>Marital status</w:t>
            </w:r>
          </w:p>
        </w:tc>
        <w:tc>
          <w:tcPr>
            <w:tcW w:w="1134" w:type="dxa"/>
            <w:tcBorders>
              <w:top w:val="single" w:sz="4" w:space="0" w:color="E0301E" w:themeColor="accent6"/>
              <w:bottom w:val="nil"/>
            </w:tcBorders>
            <w:noWrap/>
            <w:vAlign w:val="bottom"/>
            <w:hideMark/>
          </w:tcPr>
          <w:p w14:paraId="302389F1"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lang w:eastAsia="en-AU"/>
              </w:rPr>
            </w:pPr>
          </w:p>
        </w:tc>
        <w:tc>
          <w:tcPr>
            <w:tcW w:w="1606" w:type="dxa"/>
            <w:tcBorders>
              <w:top w:val="single" w:sz="4" w:space="0" w:color="E0301E" w:themeColor="accent6"/>
              <w:bottom w:val="nil"/>
            </w:tcBorders>
            <w:noWrap/>
            <w:vAlign w:val="bottom"/>
            <w:hideMark/>
          </w:tcPr>
          <w:p w14:paraId="5E6FAB4E"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6" w:type="dxa"/>
            <w:tcBorders>
              <w:top w:val="single" w:sz="4" w:space="0" w:color="E0301E" w:themeColor="accent6"/>
              <w:bottom w:val="nil"/>
            </w:tcBorders>
            <w:noWrap/>
            <w:vAlign w:val="bottom"/>
          </w:tcPr>
          <w:p w14:paraId="7D0BB77C"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c>
          <w:tcPr>
            <w:tcW w:w="1607" w:type="dxa"/>
            <w:tcBorders>
              <w:top w:val="single" w:sz="4" w:space="0" w:color="E0301E" w:themeColor="accent6"/>
              <w:bottom w:val="nil"/>
              <w:right w:val="single" w:sz="4" w:space="0" w:color="E0301E" w:themeColor="accent6"/>
            </w:tcBorders>
            <w:vAlign w:val="bottom"/>
          </w:tcPr>
          <w:p w14:paraId="458AFC51" w14:textId="7777777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i/>
                <w:color w:val="595959" w:themeColor="text1" w:themeTint="A6"/>
                <w:lang w:eastAsia="en-AU"/>
              </w:rPr>
            </w:pPr>
          </w:p>
        </w:tc>
      </w:tr>
      <w:tr w:rsidR="0069611A" w:rsidRPr="006114CC" w14:paraId="55275544" w14:textId="77777777" w:rsidTr="0069611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hideMark/>
          </w:tcPr>
          <w:p w14:paraId="659C6813" w14:textId="77777777" w:rsidR="0069611A" w:rsidRPr="006114CC" w:rsidRDefault="0069611A" w:rsidP="0069611A">
            <w:pPr>
              <w:pStyle w:val="TableTextSmall"/>
              <w:keepNext/>
              <w:rPr>
                <w:rFonts w:asciiTheme="majorHAnsi" w:hAnsiTheme="majorHAnsi"/>
                <w:b w:val="0"/>
                <w:bCs w:val="0"/>
                <w:i/>
                <w:color w:val="595959" w:themeColor="text1" w:themeTint="A6"/>
                <w:lang w:eastAsia="en-AU"/>
              </w:rPr>
            </w:pPr>
            <w:r w:rsidRPr="006114CC">
              <w:rPr>
                <w:rFonts w:ascii="Arial" w:hAnsi="Arial"/>
                <w:i/>
                <w:iCs/>
                <w:color w:val="595959"/>
                <w:szCs w:val="16"/>
              </w:rPr>
              <w:t xml:space="preserve">    - Single</w:t>
            </w:r>
          </w:p>
        </w:tc>
        <w:tc>
          <w:tcPr>
            <w:tcW w:w="1134" w:type="dxa"/>
            <w:tcBorders>
              <w:top w:val="nil"/>
              <w:bottom w:val="nil"/>
            </w:tcBorders>
            <w:noWrap/>
            <w:vAlign w:val="bottom"/>
            <w:hideMark/>
          </w:tcPr>
          <w:p w14:paraId="3C51A0CE" w14:textId="1F48E18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iCs/>
                <w:color w:val="595959" w:themeColor="text1" w:themeTint="A6"/>
                <w:lang w:eastAsia="en-AU"/>
              </w:rPr>
            </w:pPr>
            <w:r>
              <w:rPr>
                <w:rFonts w:ascii="Arial" w:hAnsi="Arial"/>
                <w:color w:val="595959"/>
                <w:szCs w:val="16"/>
              </w:rPr>
              <w:t>757,000</w:t>
            </w:r>
          </w:p>
        </w:tc>
        <w:tc>
          <w:tcPr>
            <w:tcW w:w="1606" w:type="dxa"/>
            <w:tcBorders>
              <w:top w:val="nil"/>
              <w:bottom w:val="nil"/>
            </w:tcBorders>
            <w:noWrap/>
            <w:vAlign w:val="bottom"/>
            <w:hideMark/>
          </w:tcPr>
          <w:p w14:paraId="2292DB00" w14:textId="1A5E7559"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73%</w:t>
            </w:r>
          </w:p>
        </w:tc>
        <w:tc>
          <w:tcPr>
            <w:tcW w:w="1606" w:type="dxa"/>
            <w:tcBorders>
              <w:top w:val="nil"/>
              <w:bottom w:val="nil"/>
            </w:tcBorders>
            <w:noWrap/>
            <w:vAlign w:val="bottom"/>
          </w:tcPr>
          <w:p w14:paraId="76E85282" w14:textId="2991050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155,000</w:t>
            </w:r>
          </w:p>
        </w:tc>
        <w:tc>
          <w:tcPr>
            <w:tcW w:w="1607" w:type="dxa"/>
            <w:tcBorders>
              <w:top w:val="nil"/>
              <w:bottom w:val="nil"/>
              <w:right w:val="single" w:sz="4" w:space="0" w:color="E0301E" w:themeColor="accent6"/>
            </w:tcBorders>
            <w:vAlign w:val="bottom"/>
          </w:tcPr>
          <w:p w14:paraId="49B23851" w14:textId="3B7B357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i/>
                <w:color w:val="595959" w:themeColor="text1" w:themeTint="A6"/>
                <w:lang w:eastAsia="en-AU"/>
              </w:rPr>
            </w:pPr>
            <w:r>
              <w:rPr>
                <w:rFonts w:ascii="Arial" w:hAnsi="Arial"/>
                <w:color w:val="595959"/>
                <w:szCs w:val="16"/>
              </w:rPr>
              <w:t>98%</w:t>
            </w:r>
          </w:p>
        </w:tc>
      </w:tr>
      <w:tr w:rsidR="0069611A" w:rsidRPr="006114CC" w14:paraId="6E459BE2"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60FEE360"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Partnered</w:t>
            </w:r>
          </w:p>
        </w:tc>
        <w:tc>
          <w:tcPr>
            <w:tcW w:w="1134" w:type="dxa"/>
            <w:tcBorders>
              <w:top w:val="nil"/>
              <w:bottom w:val="single" w:sz="4" w:space="0" w:color="E0301E" w:themeColor="accent6"/>
            </w:tcBorders>
            <w:noWrap/>
            <w:vAlign w:val="bottom"/>
          </w:tcPr>
          <w:p w14:paraId="2D65B344" w14:textId="1A23CB8F"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278,000</w:t>
            </w:r>
          </w:p>
        </w:tc>
        <w:tc>
          <w:tcPr>
            <w:tcW w:w="1606" w:type="dxa"/>
            <w:tcBorders>
              <w:top w:val="nil"/>
              <w:bottom w:val="single" w:sz="4" w:space="0" w:color="E0301E" w:themeColor="accent6"/>
            </w:tcBorders>
            <w:noWrap/>
            <w:vAlign w:val="bottom"/>
          </w:tcPr>
          <w:p w14:paraId="319B05EE" w14:textId="70373DB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27%</w:t>
            </w:r>
          </w:p>
        </w:tc>
        <w:tc>
          <w:tcPr>
            <w:tcW w:w="1606" w:type="dxa"/>
            <w:tcBorders>
              <w:top w:val="nil"/>
              <w:bottom w:val="single" w:sz="4" w:space="0" w:color="E0301E" w:themeColor="accent6"/>
            </w:tcBorders>
            <w:noWrap/>
            <w:vAlign w:val="bottom"/>
          </w:tcPr>
          <w:p w14:paraId="233F4737" w14:textId="00BFC29F"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166,000</w:t>
            </w:r>
          </w:p>
        </w:tc>
        <w:tc>
          <w:tcPr>
            <w:tcW w:w="1607" w:type="dxa"/>
            <w:tcBorders>
              <w:top w:val="nil"/>
              <w:bottom w:val="single" w:sz="4" w:space="0" w:color="E0301E" w:themeColor="accent6"/>
              <w:right w:val="single" w:sz="4" w:space="0" w:color="E0301E" w:themeColor="accent6"/>
            </w:tcBorders>
            <w:vAlign w:val="bottom"/>
          </w:tcPr>
          <w:p w14:paraId="4D9BD4F5" w14:textId="579A08C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105%</w:t>
            </w:r>
          </w:p>
        </w:tc>
      </w:tr>
      <w:tr w:rsidR="0069611A" w:rsidRPr="006114CC" w14:paraId="22B0F010"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tcPr>
          <w:p w14:paraId="7F7A27FB"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Education hierarchy</w:t>
            </w:r>
          </w:p>
        </w:tc>
        <w:tc>
          <w:tcPr>
            <w:tcW w:w="1134" w:type="dxa"/>
            <w:tcBorders>
              <w:bottom w:val="nil"/>
            </w:tcBorders>
            <w:noWrap/>
            <w:vAlign w:val="bottom"/>
          </w:tcPr>
          <w:p w14:paraId="0C5CC432"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5DDF56F4"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5C17AF99"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13B85C13"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57E868FA"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78F66143"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Year 10 or less</w:t>
            </w:r>
          </w:p>
        </w:tc>
        <w:tc>
          <w:tcPr>
            <w:tcW w:w="1134" w:type="dxa"/>
            <w:tcBorders>
              <w:top w:val="nil"/>
              <w:bottom w:val="nil"/>
            </w:tcBorders>
            <w:noWrap/>
            <w:vAlign w:val="bottom"/>
          </w:tcPr>
          <w:p w14:paraId="1EFE442C" w14:textId="3783ECE6"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92,000</w:t>
            </w:r>
          </w:p>
        </w:tc>
        <w:tc>
          <w:tcPr>
            <w:tcW w:w="1606" w:type="dxa"/>
            <w:tcBorders>
              <w:top w:val="nil"/>
              <w:bottom w:val="nil"/>
            </w:tcBorders>
            <w:noWrap/>
            <w:vAlign w:val="bottom"/>
          </w:tcPr>
          <w:p w14:paraId="1B8A1724" w14:textId="0E59CD7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w:t>
            </w:r>
          </w:p>
        </w:tc>
        <w:tc>
          <w:tcPr>
            <w:tcW w:w="1606" w:type="dxa"/>
            <w:tcBorders>
              <w:top w:val="nil"/>
              <w:bottom w:val="nil"/>
            </w:tcBorders>
            <w:noWrap/>
            <w:vAlign w:val="bottom"/>
          </w:tcPr>
          <w:p w14:paraId="1BA67AAD" w14:textId="4B50A5C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169,000</w:t>
            </w:r>
          </w:p>
        </w:tc>
        <w:tc>
          <w:tcPr>
            <w:tcW w:w="1607" w:type="dxa"/>
            <w:tcBorders>
              <w:top w:val="nil"/>
              <w:bottom w:val="nil"/>
              <w:right w:val="single" w:sz="4" w:space="0" w:color="E0301E" w:themeColor="accent6"/>
            </w:tcBorders>
            <w:vAlign w:val="bottom"/>
          </w:tcPr>
          <w:p w14:paraId="5CBCF3F8" w14:textId="6FF4613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107%</w:t>
            </w:r>
          </w:p>
        </w:tc>
      </w:tr>
      <w:tr w:rsidR="0069611A" w:rsidRPr="006114CC" w14:paraId="2C108799"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0A1030A4"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Year 11</w:t>
            </w:r>
          </w:p>
        </w:tc>
        <w:tc>
          <w:tcPr>
            <w:tcW w:w="1134" w:type="dxa"/>
            <w:tcBorders>
              <w:top w:val="nil"/>
              <w:bottom w:val="nil"/>
            </w:tcBorders>
            <w:noWrap/>
            <w:vAlign w:val="bottom"/>
          </w:tcPr>
          <w:p w14:paraId="2A26B3AF" w14:textId="50AF9ED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52,000</w:t>
            </w:r>
          </w:p>
        </w:tc>
        <w:tc>
          <w:tcPr>
            <w:tcW w:w="1606" w:type="dxa"/>
            <w:tcBorders>
              <w:top w:val="nil"/>
              <w:bottom w:val="nil"/>
            </w:tcBorders>
            <w:noWrap/>
            <w:vAlign w:val="bottom"/>
          </w:tcPr>
          <w:p w14:paraId="29C80B94" w14:textId="319F1D7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5%</w:t>
            </w:r>
          </w:p>
        </w:tc>
        <w:tc>
          <w:tcPr>
            <w:tcW w:w="1606" w:type="dxa"/>
            <w:tcBorders>
              <w:top w:val="nil"/>
              <w:bottom w:val="nil"/>
            </w:tcBorders>
            <w:noWrap/>
            <w:vAlign w:val="bottom"/>
          </w:tcPr>
          <w:p w14:paraId="7A70FFC8" w14:textId="0D415A7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162,000</w:t>
            </w:r>
          </w:p>
        </w:tc>
        <w:tc>
          <w:tcPr>
            <w:tcW w:w="1607" w:type="dxa"/>
            <w:tcBorders>
              <w:top w:val="nil"/>
              <w:bottom w:val="nil"/>
              <w:right w:val="single" w:sz="4" w:space="0" w:color="E0301E" w:themeColor="accent6"/>
            </w:tcBorders>
            <w:vAlign w:val="bottom"/>
          </w:tcPr>
          <w:p w14:paraId="5C11A5BF" w14:textId="1F391E31"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103%</w:t>
            </w:r>
          </w:p>
        </w:tc>
      </w:tr>
      <w:tr w:rsidR="0069611A" w:rsidRPr="006114CC" w14:paraId="2FA4C475"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112ED20D"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Year 12</w:t>
            </w:r>
          </w:p>
        </w:tc>
        <w:tc>
          <w:tcPr>
            <w:tcW w:w="1134" w:type="dxa"/>
            <w:tcBorders>
              <w:top w:val="nil"/>
              <w:bottom w:val="nil"/>
            </w:tcBorders>
            <w:noWrap/>
            <w:vAlign w:val="bottom"/>
          </w:tcPr>
          <w:p w14:paraId="4C3CEB8D" w14:textId="48316E8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346,000</w:t>
            </w:r>
          </w:p>
        </w:tc>
        <w:tc>
          <w:tcPr>
            <w:tcW w:w="1606" w:type="dxa"/>
            <w:tcBorders>
              <w:top w:val="nil"/>
              <w:bottom w:val="nil"/>
            </w:tcBorders>
            <w:noWrap/>
            <w:vAlign w:val="bottom"/>
          </w:tcPr>
          <w:p w14:paraId="58256E37" w14:textId="423E528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33%</w:t>
            </w:r>
          </w:p>
        </w:tc>
        <w:tc>
          <w:tcPr>
            <w:tcW w:w="1606" w:type="dxa"/>
            <w:tcBorders>
              <w:top w:val="nil"/>
              <w:bottom w:val="nil"/>
            </w:tcBorders>
            <w:noWrap/>
            <w:vAlign w:val="bottom"/>
          </w:tcPr>
          <w:p w14:paraId="2F0226B2" w14:textId="6D47FACA"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160,000</w:t>
            </w:r>
          </w:p>
        </w:tc>
        <w:tc>
          <w:tcPr>
            <w:tcW w:w="1607" w:type="dxa"/>
            <w:tcBorders>
              <w:top w:val="nil"/>
              <w:bottom w:val="nil"/>
              <w:right w:val="single" w:sz="4" w:space="0" w:color="E0301E" w:themeColor="accent6"/>
            </w:tcBorders>
            <w:vAlign w:val="bottom"/>
          </w:tcPr>
          <w:p w14:paraId="00935807" w14:textId="7D6D120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102%</w:t>
            </w:r>
          </w:p>
        </w:tc>
      </w:tr>
      <w:tr w:rsidR="0069611A" w:rsidRPr="006114CC" w14:paraId="4992011E"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5F119405"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Certificate</w:t>
            </w:r>
          </w:p>
        </w:tc>
        <w:tc>
          <w:tcPr>
            <w:tcW w:w="1134" w:type="dxa"/>
            <w:tcBorders>
              <w:top w:val="nil"/>
              <w:bottom w:val="nil"/>
            </w:tcBorders>
            <w:noWrap/>
            <w:vAlign w:val="bottom"/>
          </w:tcPr>
          <w:p w14:paraId="40686F27" w14:textId="352F822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233,000</w:t>
            </w:r>
          </w:p>
        </w:tc>
        <w:tc>
          <w:tcPr>
            <w:tcW w:w="1606" w:type="dxa"/>
            <w:tcBorders>
              <w:top w:val="nil"/>
              <w:bottom w:val="nil"/>
            </w:tcBorders>
            <w:noWrap/>
            <w:vAlign w:val="bottom"/>
          </w:tcPr>
          <w:p w14:paraId="017CF98C" w14:textId="5F86A9D8"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23%</w:t>
            </w:r>
          </w:p>
        </w:tc>
        <w:tc>
          <w:tcPr>
            <w:tcW w:w="1606" w:type="dxa"/>
            <w:tcBorders>
              <w:top w:val="nil"/>
              <w:bottom w:val="nil"/>
            </w:tcBorders>
            <w:noWrap/>
            <w:vAlign w:val="bottom"/>
          </w:tcPr>
          <w:p w14:paraId="327E2330" w14:textId="5C59F0CF"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155,000</w:t>
            </w:r>
          </w:p>
        </w:tc>
        <w:tc>
          <w:tcPr>
            <w:tcW w:w="1607" w:type="dxa"/>
            <w:tcBorders>
              <w:top w:val="nil"/>
              <w:bottom w:val="nil"/>
              <w:right w:val="single" w:sz="4" w:space="0" w:color="E0301E" w:themeColor="accent6"/>
            </w:tcBorders>
            <w:vAlign w:val="bottom"/>
          </w:tcPr>
          <w:p w14:paraId="2C18AC2D" w14:textId="017813B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98%</w:t>
            </w:r>
          </w:p>
        </w:tc>
      </w:tr>
      <w:tr w:rsidR="0069611A" w:rsidRPr="006114CC" w14:paraId="5111D736"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0141B807"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Diploma</w:t>
            </w:r>
          </w:p>
        </w:tc>
        <w:tc>
          <w:tcPr>
            <w:tcW w:w="1134" w:type="dxa"/>
            <w:tcBorders>
              <w:top w:val="nil"/>
              <w:bottom w:val="nil"/>
            </w:tcBorders>
            <w:noWrap/>
            <w:vAlign w:val="bottom"/>
          </w:tcPr>
          <w:p w14:paraId="513D9159" w14:textId="65C9A611"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94,000</w:t>
            </w:r>
          </w:p>
        </w:tc>
        <w:tc>
          <w:tcPr>
            <w:tcW w:w="1606" w:type="dxa"/>
            <w:tcBorders>
              <w:top w:val="nil"/>
              <w:bottom w:val="nil"/>
            </w:tcBorders>
            <w:noWrap/>
            <w:vAlign w:val="bottom"/>
          </w:tcPr>
          <w:p w14:paraId="41FDF500" w14:textId="5F377D47"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w:t>
            </w:r>
          </w:p>
        </w:tc>
        <w:tc>
          <w:tcPr>
            <w:tcW w:w="1606" w:type="dxa"/>
            <w:tcBorders>
              <w:top w:val="nil"/>
              <w:bottom w:val="nil"/>
            </w:tcBorders>
            <w:noWrap/>
            <w:vAlign w:val="bottom"/>
          </w:tcPr>
          <w:p w14:paraId="46ACD4FF" w14:textId="7697FC4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155,000</w:t>
            </w:r>
          </w:p>
        </w:tc>
        <w:tc>
          <w:tcPr>
            <w:tcW w:w="1607" w:type="dxa"/>
            <w:tcBorders>
              <w:top w:val="nil"/>
              <w:bottom w:val="nil"/>
              <w:right w:val="single" w:sz="4" w:space="0" w:color="E0301E" w:themeColor="accent6"/>
            </w:tcBorders>
            <w:vAlign w:val="bottom"/>
          </w:tcPr>
          <w:p w14:paraId="6F7405DD" w14:textId="3FB662F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98%</w:t>
            </w:r>
          </w:p>
        </w:tc>
      </w:tr>
      <w:tr w:rsidR="0069611A" w:rsidRPr="006114CC" w14:paraId="333D0C51"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347A0A0F"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Bachelors</w:t>
            </w:r>
          </w:p>
        </w:tc>
        <w:tc>
          <w:tcPr>
            <w:tcW w:w="1134" w:type="dxa"/>
            <w:tcBorders>
              <w:top w:val="nil"/>
              <w:bottom w:val="nil"/>
            </w:tcBorders>
            <w:noWrap/>
            <w:vAlign w:val="bottom"/>
          </w:tcPr>
          <w:p w14:paraId="48E0BA50" w14:textId="41E26F6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194,000</w:t>
            </w:r>
          </w:p>
        </w:tc>
        <w:tc>
          <w:tcPr>
            <w:tcW w:w="1606" w:type="dxa"/>
            <w:tcBorders>
              <w:top w:val="nil"/>
              <w:bottom w:val="nil"/>
            </w:tcBorders>
            <w:noWrap/>
            <w:vAlign w:val="bottom"/>
          </w:tcPr>
          <w:p w14:paraId="7058793C" w14:textId="7692316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19%</w:t>
            </w:r>
          </w:p>
        </w:tc>
        <w:tc>
          <w:tcPr>
            <w:tcW w:w="1606" w:type="dxa"/>
            <w:tcBorders>
              <w:top w:val="nil"/>
              <w:bottom w:val="nil"/>
            </w:tcBorders>
            <w:noWrap/>
            <w:vAlign w:val="bottom"/>
          </w:tcPr>
          <w:p w14:paraId="0D2FDB66" w14:textId="52FECEFB"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152,000</w:t>
            </w:r>
          </w:p>
        </w:tc>
        <w:tc>
          <w:tcPr>
            <w:tcW w:w="1607" w:type="dxa"/>
            <w:tcBorders>
              <w:top w:val="nil"/>
              <w:bottom w:val="nil"/>
              <w:right w:val="single" w:sz="4" w:space="0" w:color="E0301E" w:themeColor="accent6"/>
            </w:tcBorders>
            <w:vAlign w:val="bottom"/>
          </w:tcPr>
          <w:p w14:paraId="0000A16A" w14:textId="145750B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96%</w:t>
            </w:r>
          </w:p>
        </w:tc>
      </w:tr>
      <w:tr w:rsidR="0069611A" w:rsidRPr="006114CC" w14:paraId="7286A113"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noWrap/>
          </w:tcPr>
          <w:p w14:paraId="480E4ABB"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Postgraduate</w:t>
            </w:r>
          </w:p>
        </w:tc>
        <w:tc>
          <w:tcPr>
            <w:tcW w:w="1134" w:type="dxa"/>
            <w:tcBorders>
              <w:top w:val="nil"/>
              <w:bottom w:val="single" w:sz="4" w:space="0" w:color="E0301E" w:themeColor="accent6"/>
            </w:tcBorders>
            <w:noWrap/>
            <w:vAlign w:val="bottom"/>
          </w:tcPr>
          <w:p w14:paraId="6755BE40" w14:textId="5613EEB0"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24,000</w:t>
            </w:r>
          </w:p>
        </w:tc>
        <w:tc>
          <w:tcPr>
            <w:tcW w:w="1606" w:type="dxa"/>
            <w:tcBorders>
              <w:top w:val="nil"/>
              <w:bottom w:val="single" w:sz="4" w:space="0" w:color="E0301E" w:themeColor="accent6"/>
            </w:tcBorders>
            <w:noWrap/>
            <w:vAlign w:val="bottom"/>
          </w:tcPr>
          <w:p w14:paraId="5F7080AE" w14:textId="2D7DA5F4"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w:t>
            </w:r>
          </w:p>
        </w:tc>
        <w:tc>
          <w:tcPr>
            <w:tcW w:w="1606" w:type="dxa"/>
            <w:tcBorders>
              <w:top w:val="nil"/>
              <w:bottom w:val="single" w:sz="4" w:space="0" w:color="E0301E" w:themeColor="accent6"/>
            </w:tcBorders>
            <w:noWrap/>
            <w:vAlign w:val="bottom"/>
          </w:tcPr>
          <w:p w14:paraId="7A056E78" w14:textId="74BF8A83"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154,000</w:t>
            </w:r>
          </w:p>
        </w:tc>
        <w:tc>
          <w:tcPr>
            <w:tcW w:w="1607" w:type="dxa"/>
            <w:tcBorders>
              <w:top w:val="nil"/>
              <w:bottom w:val="single" w:sz="4" w:space="0" w:color="E0301E" w:themeColor="accent6"/>
              <w:right w:val="single" w:sz="4" w:space="0" w:color="E0301E" w:themeColor="accent6"/>
            </w:tcBorders>
            <w:vAlign w:val="bottom"/>
          </w:tcPr>
          <w:p w14:paraId="3D6BFAF0" w14:textId="7331B939"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98%</w:t>
            </w:r>
          </w:p>
        </w:tc>
      </w:tr>
      <w:tr w:rsidR="0069611A" w:rsidRPr="006114CC" w14:paraId="05F61FEB"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bottom w:val="nil"/>
            </w:tcBorders>
            <w:noWrap/>
          </w:tcPr>
          <w:p w14:paraId="31DE5894" w14:textId="77777777" w:rsidR="0069611A" w:rsidRPr="006114CC" w:rsidRDefault="0069611A" w:rsidP="0069611A">
            <w:pPr>
              <w:pStyle w:val="TableTextSmall"/>
              <w:keepNext/>
              <w:rPr>
                <w:rFonts w:ascii="Arial" w:hAnsi="Arial"/>
                <w:i/>
                <w:iCs/>
                <w:color w:val="595959"/>
                <w:szCs w:val="16"/>
              </w:rPr>
            </w:pPr>
            <w:r w:rsidRPr="006114CC">
              <w:rPr>
                <w:rFonts w:ascii="Arial" w:hAnsi="Arial"/>
                <w:color w:val="595959"/>
                <w:szCs w:val="16"/>
              </w:rPr>
              <w:t>Number of children</w:t>
            </w:r>
          </w:p>
        </w:tc>
        <w:tc>
          <w:tcPr>
            <w:tcW w:w="1134" w:type="dxa"/>
            <w:tcBorders>
              <w:bottom w:val="nil"/>
            </w:tcBorders>
            <w:noWrap/>
            <w:vAlign w:val="bottom"/>
          </w:tcPr>
          <w:p w14:paraId="39F8F737"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1F30BD78"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6" w:type="dxa"/>
            <w:tcBorders>
              <w:bottom w:val="nil"/>
            </w:tcBorders>
            <w:noWrap/>
            <w:vAlign w:val="bottom"/>
          </w:tcPr>
          <w:p w14:paraId="2BE158D2"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c>
          <w:tcPr>
            <w:tcW w:w="1607" w:type="dxa"/>
            <w:tcBorders>
              <w:bottom w:val="nil"/>
              <w:right w:val="single" w:sz="4" w:space="0" w:color="E0301E" w:themeColor="accent6"/>
            </w:tcBorders>
            <w:vAlign w:val="bottom"/>
          </w:tcPr>
          <w:p w14:paraId="7F193AEA" w14:textId="77777777"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p>
        </w:tc>
      </w:tr>
      <w:tr w:rsidR="0069611A" w:rsidRPr="006114CC" w14:paraId="315B94B5"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4E33260E"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No children</w:t>
            </w:r>
          </w:p>
        </w:tc>
        <w:tc>
          <w:tcPr>
            <w:tcW w:w="1134" w:type="dxa"/>
            <w:tcBorders>
              <w:top w:val="nil"/>
              <w:bottom w:val="nil"/>
            </w:tcBorders>
            <w:noWrap/>
            <w:vAlign w:val="bottom"/>
          </w:tcPr>
          <w:p w14:paraId="1B47BCF5" w14:textId="430A0396"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964,000</w:t>
            </w:r>
          </w:p>
        </w:tc>
        <w:tc>
          <w:tcPr>
            <w:tcW w:w="1606" w:type="dxa"/>
            <w:tcBorders>
              <w:top w:val="nil"/>
              <w:bottom w:val="nil"/>
            </w:tcBorders>
            <w:noWrap/>
            <w:vAlign w:val="bottom"/>
          </w:tcPr>
          <w:p w14:paraId="2A28BCA0" w14:textId="79DF0905"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93%</w:t>
            </w:r>
          </w:p>
        </w:tc>
        <w:tc>
          <w:tcPr>
            <w:tcW w:w="1606" w:type="dxa"/>
            <w:tcBorders>
              <w:top w:val="nil"/>
              <w:bottom w:val="nil"/>
            </w:tcBorders>
            <w:noWrap/>
            <w:vAlign w:val="bottom"/>
          </w:tcPr>
          <w:p w14:paraId="77D913BF" w14:textId="559BC6CD"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156,000</w:t>
            </w:r>
          </w:p>
        </w:tc>
        <w:tc>
          <w:tcPr>
            <w:tcW w:w="1607" w:type="dxa"/>
            <w:tcBorders>
              <w:top w:val="nil"/>
              <w:bottom w:val="nil"/>
              <w:right w:val="single" w:sz="4" w:space="0" w:color="E0301E" w:themeColor="accent6"/>
            </w:tcBorders>
            <w:vAlign w:val="bottom"/>
          </w:tcPr>
          <w:p w14:paraId="5DD78D7B" w14:textId="5426937E"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99%</w:t>
            </w:r>
          </w:p>
        </w:tc>
      </w:tr>
      <w:tr w:rsidR="0069611A" w:rsidRPr="006114CC" w14:paraId="7E5DB5DE"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2164A23F"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- 1 child</w:t>
            </w:r>
          </w:p>
        </w:tc>
        <w:tc>
          <w:tcPr>
            <w:tcW w:w="1134" w:type="dxa"/>
            <w:tcBorders>
              <w:top w:val="nil"/>
              <w:bottom w:val="nil"/>
            </w:tcBorders>
            <w:noWrap/>
            <w:vAlign w:val="bottom"/>
          </w:tcPr>
          <w:p w14:paraId="2CB11119" w14:textId="7EA84529"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46,000</w:t>
            </w:r>
          </w:p>
        </w:tc>
        <w:tc>
          <w:tcPr>
            <w:tcW w:w="1606" w:type="dxa"/>
            <w:tcBorders>
              <w:top w:val="nil"/>
              <w:bottom w:val="nil"/>
            </w:tcBorders>
            <w:noWrap/>
            <w:vAlign w:val="bottom"/>
          </w:tcPr>
          <w:p w14:paraId="1FE9A721" w14:textId="7269999E"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4%</w:t>
            </w:r>
          </w:p>
        </w:tc>
        <w:tc>
          <w:tcPr>
            <w:tcW w:w="1606" w:type="dxa"/>
            <w:tcBorders>
              <w:top w:val="nil"/>
              <w:bottom w:val="nil"/>
            </w:tcBorders>
            <w:noWrap/>
            <w:vAlign w:val="bottom"/>
          </w:tcPr>
          <w:p w14:paraId="61BD558F" w14:textId="66F52DA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189,000</w:t>
            </w:r>
          </w:p>
        </w:tc>
        <w:tc>
          <w:tcPr>
            <w:tcW w:w="1607" w:type="dxa"/>
            <w:tcBorders>
              <w:top w:val="nil"/>
              <w:bottom w:val="nil"/>
              <w:right w:val="single" w:sz="4" w:space="0" w:color="E0301E" w:themeColor="accent6"/>
            </w:tcBorders>
            <w:vAlign w:val="bottom"/>
          </w:tcPr>
          <w:p w14:paraId="37882E1C" w14:textId="66E43FB2"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120%</w:t>
            </w:r>
          </w:p>
        </w:tc>
      </w:tr>
      <w:tr w:rsidR="0069611A" w:rsidRPr="006114CC" w14:paraId="005721B9" w14:textId="77777777" w:rsidTr="00CF19A0">
        <w:trPr>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noWrap/>
          </w:tcPr>
          <w:p w14:paraId="6C1713B6"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- 2 children</w:t>
            </w:r>
          </w:p>
        </w:tc>
        <w:tc>
          <w:tcPr>
            <w:tcW w:w="1134" w:type="dxa"/>
            <w:tcBorders>
              <w:top w:val="nil"/>
              <w:bottom w:val="nil"/>
            </w:tcBorders>
            <w:noWrap/>
            <w:vAlign w:val="bottom"/>
          </w:tcPr>
          <w:p w14:paraId="4C5C15F1" w14:textId="45E46A9C"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19,000</w:t>
            </w:r>
          </w:p>
        </w:tc>
        <w:tc>
          <w:tcPr>
            <w:tcW w:w="1606" w:type="dxa"/>
            <w:tcBorders>
              <w:top w:val="nil"/>
              <w:bottom w:val="nil"/>
            </w:tcBorders>
            <w:noWrap/>
            <w:vAlign w:val="bottom"/>
          </w:tcPr>
          <w:p w14:paraId="03C29CE4" w14:textId="6F764B28"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2%</w:t>
            </w:r>
          </w:p>
        </w:tc>
        <w:tc>
          <w:tcPr>
            <w:tcW w:w="1606" w:type="dxa"/>
            <w:tcBorders>
              <w:top w:val="nil"/>
              <w:bottom w:val="nil"/>
            </w:tcBorders>
            <w:noWrap/>
            <w:vAlign w:val="bottom"/>
          </w:tcPr>
          <w:p w14:paraId="5C097E3D" w14:textId="5D6C7112"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188,000</w:t>
            </w:r>
          </w:p>
        </w:tc>
        <w:tc>
          <w:tcPr>
            <w:tcW w:w="1607" w:type="dxa"/>
            <w:tcBorders>
              <w:top w:val="nil"/>
              <w:bottom w:val="nil"/>
              <w:right w:val="single" w:sz="4" w:space="0" w:color="E0301E" w:themeColor="accent6"/>
            </w:tcBorders>
            <w:vAlign w:val="bottom"/>
          </w:tcPr>
          <w:p w14:paraId="733CD8D4" w14:textId="243A9E7A" w:rsidR="0069611A" w:rsidRPr="006114CC" w:rsidRDefault="0069611A" w:rsidP="0069611A">
            <w:pPr>
              <w:pStyle w:val="TableTextSmall"/>
              <w:keepNext/>
              <w:jc w:val="center"/>
              <w:cnfStyle w:val="000000000000" w:firstRow="0" w:lastRow="0" w:firstColumn="0" w:lastColumn="0" w:oddVBand="0" w:evenVBand="0" w:oddHBand="0" w:evenHBand="0" w:firstRowFirstColumn="0" w:firstRowLastColumn="0" w:lastRowFirstColumn="0" w:lastRowLastColumn="0"/>
              <w:rPr>
                <w:rFonts w:ascii="Arial" w:hAnsi="Arial"/>
                <w:color w:val="595959"/>
                <w:szCs w:val="16"/>
              </w:rPr>
            </w:pPr>
            <w:r>
              <w:rPr>
                <w:rFonts w:ascii="Arial" w:hAnsi="Arial"/>
                <w:color w:val="595959"/>
                <w:szCs w:val="16"/>
              </w:rPr>
              <w:t>119%</w:t>
            </w:r>
          </w:p>
        </w:tc>
      </w:tr>
      <w:tr w:rsidR="0069611A" w:rsidRPr="006114CC" w14:paraId="0AAA30F7" w14:textId="77777777" w:rsidTr="00CF19A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tcBorders>
            <w:noWrap/>
          </w:tcPr>
          <w:p w14:paraId="29B56E7B" w14:textId="77777777" w:rsidR="0069611A" w:rsidRPr="006114CC" w:rsidRDefault="0069611A" w:rsidP="0069611A">
            <w:pPr>
              <w:pStyle w:val="TableTextSmall"/>
              <w:keepNext/>
              <w:rPr>
                <w:rFonts w:ascii="Arial" w:hAnsi="Arial"/>
                <w:b w:val="0"/>
                <w:i/>
                <w:iCs/>
                <w:color w:val="595959"/>
                <w:szCs w:val="16"/>
              </w:rPr>
            </w:pPr>
            <w:r w:rsidRPr="006114CC">
              <w:rPr>
                <w:rFonts w:ascii="Arial" w:hAnsi="Arial"/>
                <w:i/>
                <w:iCs/>
                <w:color w:val="595959"/>
                <w:szCs w:val="16"/>
              </w:rPr>
              <w:t xml:space="preserve">    - 3+ children</w:t>
            </w:r>
          </w:p>
        </w:tc>
        <w:tc>
          <w:tcPr>
            <w:tcW w:w="1134" w:type="dxa"/>
            <w:tcBorders>
              <w:top w:val="nil"/>
            </w:tcBorders>
            <w:noWrap/>
            <w:vAlign w:val="bottom"/>
          </w:tcPr>
          <w:p w14:paraId="305C27F9" w14:textId="138CC399"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6,000</w:t>
            </w:r>
          </w:p>
        </w:tc>
        <w:tc>
          <w:tcPr>
            <w:tcW w:w="1606" w:type="dxa"/>
            <w:tcBorders>
              <w:top w:val="nil"/>
            </w:tcBorders>
            <w:noWrap/>
            <w:vAlign w:val="bottom"/>
          </w:tcPr>
          <w:p w14:paraId="5A7641AA" w14:textId="05D26D10"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w:t>
            </w:r>
          </w:p>
        </w:tc>
        <w:tc>
          <w:tcPr>
            <w:tcW w:w="1606" w:type="dxa"/>
            <w:tcBorders>
              <w:top w:val="nil"/>
            </w:tcBorders>
            <w:noWrap/>
            <w:vAlign w:val="bottom"/>
          </w:tcPr>
          <w:p w14:paraId="05C1F82B" w14:textId="77DE671D"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201,000</w:t>
            </w:r>
          </w:p>
        </w:tc>
        <w:tc>
          <w:tcPr>
            <w:tcW w:w="1607" w:type="dxa"/>
            <w:tcBorders>
              <w:top w:val="nil"/>
              <w:right w:val="single" w:sz="4" w:space="0" w:color="E0301E" w:themeColor="accent6"/>
            </w:tcBorders>
            <w:vAlign w:val="bottom"/>
          </w:tcPr>
          <w:p w14:paraId="7D5A4230" w14:textId="2A26B79A" w:rsidR="0069611A" w:rsidRPr="006114CC" w:rsidRDefault="0069611A" w:rsidP="0069611A">
            <w:pPr>
              <w:pStyle w:val="TableTextSmall"/>
              <w:keepNext/>
              <w:jc w:val="center"/>
              <w:cnfStyle w:val="000000100000" w:firstRow="0" w:lastRow="0" w:firstColumn="0" w:lastColumn="0" w:oddVBand="0" w:evenVBand="0" w:oddHBand="1" w:evenHBand="0" w:firstRowFirstColumn="0" w:firstRowLastColumn="0" w:lastRowFirstColumn="0" w:lastRowLastColumn="0"/>
              <w:rPr>
                <w:rFonts w:ascii="Arial" w:hAnsi="Arial"/>
                <w:color w:val="595959"/>
                <w:szCs w:val="16"/>
              </w:rPr>
            </w:pPr>
            <w:r>
              <w:rPr>
                <w:rFonts w:ascii="Arial" w:hAnsi="Arial"/>
                <w:color w:val="595959"/>
                <w:szCs w:val="16"/>
              </w:rPr>
              <w:t>127%</w:t>
            </w:r>
          </w:p>
        </w:tc>
      </w:tr>
    </w:tbl>
    <w:p w14:paraId="303CA7A7" w14:textId="17C9D64F" w:rsidR="00650BE5" w:rsidRDefault="00650BE5" w:rsidP="00650BE5">
      <w:pPr>
        <w:pStyle w:val="PwCNormal"/>
        <w:numPr>
          <w:ilvl w:val="0"/>
          <w:numId w:val="0"/>
        </w:numPr>
      </w:pPr>
      <w:r>
        <w:t>From the table above we can see that for the rest of the Australian population:</w:t>
      </w:r>
    </w:p>
    <w:p w14:paraId="21F870AF" w14:textId="77777777" w:rsidR="00650BE5" w:rsidRDefault="00650BE5" w:rsidP="00650BE5">
      <w:pPr>
        <w:pStyle w:val="ListBullet"/>
      </w:pPr>
      <w:r w:rsidRPr="0099198E">
        <w:rPr>
          <w:b/>
        </w:rPr>
        <w:t>Single individuals</w:t>
      </w:r>
      <w:r>
        <w:t xml:space="preserve"> have a higher average lifetime cost compared to partnered individuals;</w:t>
      </w:r>
    </w:p>
    <w:p w14:paraId="5307BA32" w14:textId="77777777" w:rsidR="00650BE5" w:rsidRDefault="00650BE5" w:rsidP="00650BE5">
      <w:pPr>
        <w:pStyle w:val="ListBullet"/>
      </w:pPr>
      <w:r>
        <w:t xml:space="preserve">In general, those with a </w:t>
      </w:r>
      <w:r w:rsidRPr="0099198E">
        <w:rPr>
          <w:b/>
        </w:rPr>
        <w:t>lower level of educational attainment</w:t>
      </w:r>
      <w:r>
        <w:t xml:space="preserve"> have a higher average lifetime cost. We do note however, that those with an educational attainment of Certificate appear to have a much lower average lifetime cost. As mentioned before, this may be due to other underlying characteristics of these individuals, rather as a result of the educational attainment level itself.</w:t>
      </w:r>
    </w:p>
    <w:p w14:paraId="1FC32ADF" w14:textId="24C6378B" w:rsidR="00650BE5" w:rsidRDefault="00650BE5" w:rsidP="00673EED">
      <w:pPr>
        <w:pStyle w:val="PwCNormal"/>
        <w:numPr>
          <w:ilvl w:val="0"/>
          <w:numId w:val="0"/>
        </w:numPr>
      </w:pPr>
      <w:r>
        <w:t>Not</w:t>
      </w:r>
      <w:r w:rsidR="00673EED">
        <w:t>e</w:t>
      </w:r>
      <w:r>
        <w:t xml:space="preserve"> that </w:t>
      </w:r>
      <w:r w:rsidR="00673EED">
        <w:t xml:space="preserve">the </w:t>
      </w:r>
      <w:r>
        <w:t>majority of previous welfare recipients do not currently have children</w:t>
      </w:r>
      <w:r w:rsidR="00673EED">
        <w:t>. F</w:t>
      </w:r>
      <w:r>
        <w:t xml:space="preserve">or the </w:t>
      </w:r>
      <w:r w:rsidR="00673EED">
        <w:t xml:space="preserve">relatively small </w:t>
      </w:r>
      <w:r>
        <w:t xml:space="preserve">proportion of </w:t>
      </w:r>
      <w:r w:rsidR="00673EED">
        <w:t xml:space="preserve">this class </w:t>
      </w:r>
      <w:r>
        <w:t xml:space="preserve">that do </w:t>
      </w:r>
      <w:r w:rsidRPr="00673EED">
        <w:t>currently have children</w:t>
      </w:r>
      <w:r>
        <w:t>, in general they have a higher average lifetime cost</w:t>
      </w:r>
      <w:r w:rsidR="00673EED">
        <w:t>.</w:t>
      </w:r>
    </w:p>
    <w:p w14:paraId="2935A1BF" w14:textId="20579448" w:rsidR="00673EED" w:rsidRPr="00CD6B82" w:rsidRDefault="00FE1804" w:rsidP="00673EED">
      <w:pPr>
        <w:pStyle w:val="PwCNormal"/>
        <w:numPr>
          <w:ilvl w:val="0"/>
          <w:numId w:val="0"/>
        </w:numPr>
      </w:pPr>
      <w:r>
        <w:t xml:space="preserve">It is likely that there are circumstances </w:t>
      </w:r>
      <w:r w:rsidR="003571BB">
        <w:t>(</w:t>
      </w:r>
      <w:r>
        <w:t>such as levels of income</w:t>
      </w:r>
      <w:r w:rsidR="003571BB">
        <w:t>)</w:t>
      </w:r>
      <w:r>
        <w:t xml:space="preserve"> which </w:t>
      </w:r>
      <w:r w:rsidR="003571BB">
        <w:t xml:space="preserve">explain why there are people in this class who </w:t>
      </w:r>
      <w:r>
        <w:t xml:space="preserve">have children but have not used </w:t>
      </w:r>
      <w:r w:rsidR="003571BB">
        <w:t xml:space="preserve">any </w:t>
      </w:r>
      <w:r>
        <w:t xml:space="preserve">welfare. </w:t>
      </w:r>
      <w:r w:rsidR="003571BB">
        <w:t xml:space="preserve">This could be thought of as a kind of ‘selection effect’. </w:t>
      </w:r>
      <w:r>
        <w:t>As such the profile of the people with children and the people without children may be quite different.</w:t>
      </w:r>
      <w:r w:rsidR="003571BB">
        <w:t xml:space="preserve"> These profile differences may affect the average costs shown in the table above for people with and without children.</w:t>
      </w:r>
    </w:p>
    <w:p w14:paraId="3C235724" w14:textId="77777777" w:rsidR="004F46FE" w:rsidRPr="00781443" w:rsidRDefault="004F46FE" w:rsidP="004F46FE">
      <w:pPr>
        <w:pStyle w:val="Minorheading"/>
      </w:pPr>
      <w:r w:rsidRPr="00781443">
        <w:t>Change in lifetime costs since the 2016 valuation</w:t>
      </w:r>
    </w:p>
    <w:p w14:paraId="32D2D9EB" w14:textId="26D85F98" w:rsidR="004F46FE" w:rsidRPr="00781443" w:rsidRDefault="004F46FE" w:rsidP="004F46FE">
      <w:pPr>
        <w:pStyle w:val="PwCNormal"/>
        <w:numPr>
          <w:ilvl w:val="0"/>
          <w:numId w:val="0"/>
        </w:numPr>
      </w:pPr>
      <w:r w:rsidRPr="00781443">
        <w:t xml:space="preserve">The lifetime cost for the people in this class </w:t>
      </w:r>
      <w:r w:rsidR="00B642B1">
        <w:t>is</w:t>
      </w:r>
      <w:r w:rsidRPr="00781443">
        <w:t xml:space="preserve"> $1,812bn</w:t>
      </w:r>
      <w:r w:rsidR="00B642B1">
        <w:t>,</w:t>
      </w:r>
      <w:r w:rsidRPr="00781443">
        <w:t xml:space="preserve"> an increase of $46bn compared to the 2016 valuation. This was </w:t>
      </w:r>
      <w:r w:rsidR="00B642B1">
        <w:t xml:space="preserve">due to </w:t>
      </w:r>
      <w:r w:rsidRPr="00781443">
        <w:t>an increase in the number of people in this class</w:t>
      </w:r>
      <w:r w:rsidR="00B642B1">
        <w:t xml:space="preserve"> and, to a lesser extent, an increase in </w:t>
      </w:r>
      <w:r w:rsidRPr="00781443">
        <w:t>the average cost:</w:t>
      </w:r>
    </w:p>
    <w:p w14:paraId="5DFEDE0B" w14:textId="162B3024" w:rsidR="004F46FE" w:rsidRPr="00781443" w:rsidRDefault="004F46FE" w:rsidP="00964D65">
      <w:pPr>
        <w:pStyle w:val="Bullet1"/>
        <w:numPr>
          <w:ilvl w:val="0"/>
          <w:numId w:val="34"/>
        </w:numPr>
      </w:pPr>
      <w:r w:rsidRPr="00781443">
        <w:t>The number of people in this class has increased by 1.</w:t>
      </w:r>
      <w:r w:rsidR="00B3148A">
        <w:t>6</w:t>
      </w:r>
      <w:r w:rsidRPr="00781443">
        <w:t>% since the previous valuation. This is the net impact of births, migration, deaths, and entries into the welfare system over the past year.</w:t>
      </w:r>
    </w:p>
    <w:p w14:paraId="15992563" w14:textId="77777777" w:rsidR="004F46FE" w:rsidRPr="00781443" w:rsidRDefault="004F46FE" w:rsidP="004F46FE">
      <w:pPr>
        <w:pStyle w:val="ListContinue"/>
        <w:ind w:left="284"/>
      </w:pPr>
      <w:r w:rsidRPr="00781443">
        <w:t>Although the overall population is growing we would not necessarily expect an increase in the numbers in this class as the longer time period covered by the data means we are now able to identify a greater proportion of previous welfare recipients and assign these people to class 10.</w:t>
      </w:r>
    </w:p>
    <w:p w14:paraId="2F3C1531" w14:textId="63DF9664" w:rsidR="004F46FE" w:rsidRPr="00781443" w:rsidRDefault="004F46FE" w:rsidP="00964D65">
      <w:pPr>
        <w:pStyle w:val="Bullet1"/>
        <w:numPr>
          <w:ilvl w:val="0"/>
          <w:numId w:val="34"/>
        </w:numPr>
      </w:pPr>
      <w:r w:rsidRPr="00781443">
        <w:t>The average</w:t>
      </w:r>
      <w:r w:rsidR="00B3148A">
        <w:t xml:space="preserve"> cost has increased by $1,000 (1</w:t>
      </w:r>
      <w:r w:rsidRPr="00781443">
        <w:t>.</w:t>
      </w:r>
      <w:r w:rsidR="00B3148A">
        <w:t>0</w:t>
      </w:r>
      <w:r w:rsidRPr="00781443">
        <w:t>%) since the previous valuation. The following table provides a breakdown of the change in average lifetime cost by payment category.</w:t>
      </w:r>
    </w:p>
    <w:p w14:paraId="2F05C48E" w14:textId="7A9D5F55" w:rsidR="004F46FE" w:rsidRPr="001D00E6" w:rsidRDefault="004F46FE" w:rsidP="004F46FE">
      <w:pPr>
        <w:pStyle w:val="Caption"/>
      </w:pPr>
      <w:r w:rsidRPr="00781443">
        <w:lastRenderedPageBreak/>
        <w:t>Ta</w:t>
      </w:r>
      <w:r w:rsidRPr="001D00E6">
        <w:t xml:space="preserve">ble </w:t>
      </w:r>
      <w:fldSimple w:instr=" SEQ Table \* ARABIC ">
        <w:r w:rsidR="00C93C1A">
          <w:rPr>
            <w:noProof/>
          </w:rPr>
          <w:t>54</w:t>
        </w:r>
      </w:fldSimple>
      <w:r w:rsidRPr="001D00E6">
        <w:t xml:space="preserve">: Breakdown of change in average lifetime cost for </w:t>
      </w:r>
      <w:r w:rsidR="00871E70">
        <w:t>c</w:t>
      </w:r>
      <w:r w:rsidRPr="001D00E6">
        <w:t>lass 12 by payment category</w:t>
      </w:r>
    </w:p>
    <w:tbl>
      <w:tblPr>
        <w:tblStyle w:val="ListTable3-Accent62"/>
        <w:tblW w:w="9498" w:type="dxa"/>
        <w:tblInd w:w="108" w:type="dxa"/>
        <w:tblLayout w:type="fixed"/>
        <w:tblLook w:val="04A0" w:firstRow="1" w:lastRow="0" w:firstColumn="1" w:lastColumn="0" w:noHBand="0" w:noVBand="1"/>
        <w:tblCaption w:val=" Breakdown of change in average lifetime cost for Class 12 by payment category"/>
        <w:tblDescription w:val="This table shows the breakdown of the total change in average lifetime cost for Class 12 into; change in people in class, change in inflation, policy changes and other changes. These are shown as rows in the table.&#10;&#10;The changes in lifetime cost are considered by relevant payment categories for Class 12; IS Non Age Pension, IS Age Pension, Non IS Family Supplements and Non IS Other Supplements. These are shown as columns in the table alongside a total change column.&#10;&#10;Further features of the data in this table are discussed in the accompanying text within the report.&#10;"/>
      </w:tblPr>
      <w:tblGrid>
        <w:gridCol w:w="3119"/>
        <w:gridCol w:w="1276"/>
        <w:gridCol w:w="1240"/>
        <w:gridCol w:w="1240"/>
        <w:gridCol w:w="1311"/>
        <w:gridCol w:w="1312"/>
      </w:tblGrid>
      <w:tr w:rsidR="004F46FE" w:rsidRPr="001D00E6" w14:paraId="77E81350" w14:textId="77777777" w:rsidTr="0015620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E0301E" w:themeColor="accent6"/>
              <w:right w:val="single" w:sz="4" w:space="0" w:color="FFFFFF" w:themeColor="background1"/>
            </w:tcBorders>
          </w:tcPr>
          <w:p w14:paraId="0B524791" w14:textId="77777777" w:rsidR="004F46FE" w:rsidRPr="001D00E6" w:rsidRDefault="004F46FE" w:rsidP="00156206">
            <w:pPr>
              <w:pStyle w:val="TableTextSmall"/>
              <w:keepNext/>
              <w:jc w:val="center"/>
              <w:rPr>
                <w:rFonts w:asciiTheme="majorHAnsi" w:hAnsiTheme="majorHAnsi"/>
                <w:color w:val="FFFFFF" w:themeColor="background1"/>
              </w:rPr>
            </w:pPr>
          </w:p>
        </w:tc>
        <w:tc>
          <w:tcPr>
            <w:tcW w:w="1276" w:type="dxa"/>
            <w:tcBorders>
              <w:top w:val="single" w:sz="4" w:space="0" w:color="E0301E" w:themeColor="accent6"/>
              <w:left w:val="single" w:sz="4" w:space="0" w:color="FFFFFF" w:themeColor="background1"/>
              <w:right w:val="single" w:sz="4" w:space="0" w:color="FFFFFF" w:themeColor="background1"/>
            </w:tcBorders>
          </w:tcPr>
          <w:p w14:paraId="6E904031" w14:textId="77777777" w:rsidR="004F46FE" w:rsidRPr="001D00E6" w:rsidRDefault="004F46FE" w:rsidP="00156206">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p>
        </w:tc>
        <w:tc>
          <w:tcPr>
            <w:tcW w:w="1240" w:type="dxa"/>
            <w:tcBorders>
              <w:left w:val="single" w:sz="4" w:space="0" w:color="FFFFFF" w:themeColor="background1"/>
              <w:bottom w:val="single" w:sz="4" w:space="0" w:color="FFFFFF" w:themeColor="background1"/>
            </w:tcBorders>
          </w:tcPr>
          <w:p w14:paraId="2EFB92AF" w14:textId="77777777" w:rsidR="004F46FE" w:rsidRPr="001D00E6" w:rsidRDefault="004F46FE" w:rsidP="00156206">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1D00E6">
              <w:rPr>
                <w:rFonts w:asciiTheme="majorHAnsi" w:hAnsiTheme="majorHAnsi"/>
                <w:color w:val="FFFFFF" w:themeColor="background1"/>
              </w:rPr>
              <w:t>Income</w:t>
            </w:r>
          </w:p>
        </w:tc>
        <w:tc>
          <w:tcPr>
            <w:tcW w:w="1240" w:type="dxa"/>
            <w:tcBorders>
              <w:left w:val="single" w:sz="4" w:space="0" w:color="E0301E" w:themeColor="accent6"/>
              <w:bottom w:val="single" w:sz="4" w:space="0" w:color="FFFFFF" w:themeColor="background1"/>
              <w:right w:val="single" w:sz="4" w:space="0" w:color="FFFFFF" w:themeColor="background1"/>
            </w:tcBorders>
          </w:tcPr>
          <w:p w14:paraId="04371939" w14:textId="77777777" w:rsidR="004F46FE" w:rsidRPr="001D00E6" w:rsidRDefault="004F46FE" w:rsidP="00156206">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sidRPr="001D00E6">
              <w:rPr>
                <w:rFonts w:asciiTheme="majorHAnsi" w:hAnsiTheme="majorHAnsi"/>
                <w:color w:val="FFFFFF" w:themeColor="background1"/>
              </w:rPr>
              <w:t>Support</w:t>
            </w:r>
          </w:p>
        </w:tc>
        <w:tc>
          <w:tcPr>
            <w:tcW w:w="1311" w:type="dxa"/>
            <w:tcBorders>
              <w:left w:val="single" w:sz="4" w:space="0" w:color="FFFFFF" w:themeColor="background1"/>
            </w:tcBorders>
          </w:tcPr>
          <w:p w14:paraId="50CF446C" w14:textId="2222E573" w:rsidR="004F46FE" w:rsidRPr="001D00E6" w:rsidRDefault="005B3E7D" w:rsidP="00156206">
            <w:pPr>
              <w:pStyle w:val="TableTextSmall"/>
              <w:keepN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rPr>
            </w:pPr>
            <w:r>
              <w:rPr>
                <w:rFonts w:asciiTheme="majorHAnsi" w:hAnsiTheme="majorHAnsi"/>
                <w:color w:val="FFFFFF" w:themeColor="background1"/>
              </w:rPr>
              <w:t>Non Income</w:t>
            </w:r>
            <w:r w:rsidR="004F46FE" w:rsidRPr="001D00E6">
              <w:rPr>
                <w:rFonts w:asciiTheme="majorHAnsi" w:hAnsiTheme="majorHAnsi"/>
                <w:color w:val="FFFFFF" w:themeColor="background1"/>
              </w:rPr>
              <w:t xml:space="preserve"> </w:t>
            </w:r>
          </w:p>
        </w:tc>
        <w:tc>
          <w:tcPr>
            <w:tcW w:w="1312" w:type="dxa"/>
            <w:tcBorders>
              <w:bottom w:val="single" w:sz="4" w:space="0" w:color="FFFFFF" w:themeColor="background1"/>
            </w:tcBorders>
          </w:tcPr>
          <w:p w14:paraId="3A80BD39" w14:textId="77777777" w:rsidR="004F46FE" w:rsidRPr="001D00E6" w:rsidRDefault="004F46FE" w:rsidP="00156206">
            <w:pPr>
              <w:pStyle w:val="TableTextSmall"/>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1D00E6">
              <w:rPr>
                <w:rFonts w:asciiTheme="majorHAnsi" w:hAnsiTheme="majorHAnsi"/>
                <w:color w:val="FFFFFF" w:themeColor="background1"/>
              </w:rPr>
              <w:t>Support</w:t>
            </w:r>
          </w:p>
        </w:tc>
      </w:tr>
      <w:tr w:rsidR="004F46FE" w:rsidRPr="001D00E6" w14:paraId="5A44C3E0" w14:textId="77777777" w:rsidTr="0015620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E0301E" w:themeColor="accent6"/>
              <w:right w:val="single" w:sz="4" w:space="0" w:color="FFFFFF" w:themeColor="background1"/>
            </w:tcBorders>
          </w:tcPr>
          <w:p w14:paraId="1D39DB93" w14:textId="77777777" w:rsidR="004F46FE" w:rsidRPr="001D00E6" w:rsidRDefault="004F46FE" w:rsidP="00156206">
            <w:pPr>
              <w:pStyle w:val="TableTextSmall"/>
              <w:keepNext/>
              <w:jc w:val="center"/>
              <w:rPr>
                <w:rFonts w:asciiTheme="majorHAnsi" w:hAnsiTheme="majorHAnsi"/>
                <w:color w:val="FFFFFF" w:themeColor="background1"/>
              </w:rPr>
            </w:pPr>
          </w:p>
        </w:tc>
        <w:tc>
          <w:tcPr>
            <w:tcW w:w="1276" w:type="dxa"/>
            <w:tcBorders>
              <w:left w:val="single" w:sz="4" w:space="0" w:color="FFFFFF" w:themeColor="background1"/>
              <w:bottom w:val="single" w:sz="4" w:space="0" w:color="E0301E" w:themeColor="accent6"/>
              <w:right w:val="single" w:sz="4" w:space="0" w:color="FFFFFF" w:themeColor="background1"/>
            </w:tcBorders>
          </w:tcPr>
          <w:p w14:paraId="4FA96573" w14:textId="77777777" w:rsidR="004F46FE" w:rsidRPr="001D00E6" w:rsidRDefault="004F46FE" w:rsidP="00156206">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1D00E6">
              <w:rPr>
                <w:rFonts w:asciiTheme="majorHAnsi" w:hAnsiTheme="majorHAnsi"/>
                <w:color w:val="FFFFFF" w:themeColor="background1"/>
              </w:rPr>
              <w:t>Total</w:t>
            </w:r>
          </w:p>
        </w:tc>
        <w:tc>
          <w:tcPr>
            <w:tcW w:w="1240" w:type="dxa"/>
            <w:tcBorders>
              <w:top w:val="single" w:sz="4" w:space="0" w:color="FFFFFF" w:themeColor="background1"/>
              <w:left w:val="single" w:sz="4" w:space="0" w:color="FFFFFF" w:themeColor="background1"/>
              <w:bottom w:val="single" w:sz="4" w:space="0" w:color="E0301E" w:themeColor="accent6"/>
            </w:tcBorders>
          </w:tcPr>
          <w:p w14:paraId="30A5DED2" w14:textId="77777777" w:rsidR="004F46FE" w:rsidRPr="001D00E6" w:rsidRDefault="004F46FE" w:rsidP="00156206">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1D00E6">
              <w:rPr>
                <w:rFonts w:asciiTheme="majorHAnsi" w:hAnsiTheme="majorHAnsi"/>
                <w:color w:val="FFFFFF" w:themeColor="background1"/>
              </w:rPr>
              <w:t>Non Age Pension</w:t>
            </w:r>
          </w:p>
        </w:tc>
        <w:tc>
          <w:tcPr>
            <w:tcW w:w="1240" w:type="dxa"/>
            <w:tcBorders>
              <w:top w:val="single" w:sz="4" w:space="0" w:color="FFFFFF" w:themeColor="background1"/>
              <w:bottom w:val="single" w:sz="4" w:space="0" w:color="E0301E" w:themeColor="accent6"/>
              <w:right w:val="single" w:sz="4" w:space="0" w:color="FFFFFF" w:themeColor="background1"/>
            </w:tcBorders>
          </w:tcPr>
          <w:p w14:paraId="6661E34C" w14:textId="77777777" w:rsidR="004F46FE" w:rsidRPr="001D00E6" w:rsidRDefault="004F46FE" w:rsidP="00156206">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1D00E6">
              <w:rPr>
                <w:rFonts w:asciiTheme="majorHAnsi" w:hAnsiTheme="majorHAnsi"/>
                <w:color w:val="FFFFFF" w:themeColor="background1"/>
              </w:rPr>
              <w:t>Age Pension</w:t>
            </w:r>
          </w:p>
        </w:tc>
        <w:tc>
          <w:tcPr>
            <w:tcW w:w="1311" w:type="dxa"/>
            <w:tcBorders>
              <w:top w:val="single" w:sz="4" w:space="0" w:color="FFFFFF" w:themeColor="background1"/>
              <w:left w:val="single" w:sz="4" w:space="0" w:color="FFFFFF" w:themeColor="background1"/>
              <w:bottom w:val="single" w:sz="4" w:space="0" w:color="E0301E" w:themeColor="accent6"/>
            </w:tcBorders>
          </w:tcPr>
          <w:p w14:paraId="5459BF9D" w14:textId="77777777" w:rsidR="004F46FE" w:rsidRPr="001D00E6" w:rsidRDefault="004F46FE" w:rsidP="00156206">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1D00E6">
              <w:rPr>
                <w:rFonts w:asciiTheme="majorHAnsi" w:hAnsiTheme="majorHAnsi"/>
                <w:color w:val="FFFFFF" w:themeColor="background1"/>
              </w:rPr>
              <w:t>Family Supplements</w:t>
            </w:r>
          </w:p>
        </w:tc>
        <w:tc>
          <w:tcPr>
            <w:tcW w:w="1312" w:type="dxa"/>
            <w:tcBorders>
              <w:bottom w:val="single" w:sz="4" w:space="0" w:color="E0301E" w:themeColor="accent6"/>
            </w:tcBorders>
          </w:tcPr>
          <w:p w14:paraId="1218BE2F" w14:textId="77777777" w:rsidR="004F46FE" w:rsidRPr="001D00E6" w:rsidRDefault="004F46FE" w:rsidP="00156206">
            <w:pPr>
              <w:pStyle w:val="TableTextSmall"/>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1D00E6">
              <w:rPr>
                <w:rFonts w:asciiTheme="majorHAnsi" w:hAnsiTheme="majorHAnsi"/>
                <w:color w:val="FFFFFF" w:themeColor="background1"/>
              </w:rPr>
              <w:t>Other Supplements</w:t>
            </w:r>
          </w:p>
        </w:tc>
      </w:tr>
      <w:tr w:rsidR="00AA1061" w:rsidRPr="001D00E6" w14:paraId="1A4404F0"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1B1B4810" w14:textId="77777777" w:rsidR="00AA1061" w:rsidRPr="001D00E6" w:rsidRDefault="00AA1061" w:rsidP="00AA1061">
            <w:pPr>
              <w:pStyle w:val="TableTextSmall"/>
              <w:keepNext/>
            </w:pPr>
            <w:r w:rsidRPr="001D00E6">
              <w:t>Jun-1</w:t>
            </w:r>
            <w:r>
              <w:t>6</w:t>
            </w:r>
            <w:r w:rsidRPr="001D00E6">
              <w:t xml:space="preserve"> Total Lifetime Cost</w:t>
            </w:r>
          </w:p>
        </w:tc>
        <w:tc>
          <w:tcPr>
            <w:tcW w:w="1276" w:type="dxa"/>
            <w:tcBorders>
              <w:left w:val="single" w:sz="4" w:space="0" w:color="E0301E" w:themeColor="accent6"/>
              <w:bottom w:val="nil"/>
              <w:right w:val="single" w:sz="4" w:space="0" w:color="E0301E" w:themeColor="accent6"/>
            </w:tcBorders>
          </w:tcPr>
          <w:p w14:paraId="00A83F92" w14:textId="750AF328"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66AF6">
              <w:t>$1,766bn</w:t>
            </w:r>
          </w:p>
        </w:tc>
        <w:tc>
          <w:tcPr>
            <w:tcW w:w="1240" w:type="dxa"/>
            <w:tcBorders>
              <w:left w:val="single" w:sz="4" w:space="0" w:color="E0301E" w:themeColor="accent6"/>
              <w:bottom w:val="nil"/>
            </w:tcBorders>
            <w:shd w:val="clear" w:color="auto" w:fill="D9D9D9" w:themeFill="background1" w:themeFillShade="D9"/>
          </w:tcPr>
          <w:p w14:paraId="519B6887" w14:textId="77777777"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p>
        </w:tc>
        <w:tc>
          <w:tcPr>
            <w:tcW w:w="1240" w:type="dxa"/>
            <w:tcBorders>
              <w:bottom w:val="nil"/>
              <w:right w:val="nil"/>
            </w:tcBorders>
            <w:shd w:val="clear" w:color="auto" w:fill="D9D9D9" w:themeFill="background1" w:themeFillShade="D9"/>
          </w:tcPr>
          <w:p w14:paraId="5205EE7E" w14:textId="77777777"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p>
        </w:tc>
        <w:tc>
          <w:tcPr>
            <w:tcW w:w="1311" w:type="dxa"/>
            <w:tcBorders>
              <w:left w:val="nil"/>
              <w:bottom w:val="nil"/>
            </w:tcBorders>
            <w:shd w:val="clear" w:color="auto" w:fill="D9D9D9" w:themeFill="background1" w:themeFillShade="D9"/>
          </w:tcPr>
          <w:p w14:paraId="489B28D8" w14:textId="77777777"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p>
        </w:tc>
        <w:tc>
          <w:tcPr>
            <w:tcW w:w="1312" w:type="dxa"/>
            <w:tcBorders>
              <w:bottom w:val="nil"/>
            </w:tcBorders>
            <w:shd w:val="clear" w:color="auto" w:fill="D9D9D9" w:themeFill="background1" w:themeFillShade="D9"/>
          </w:tcPr>
          <w:p w14:paraId="037AD4D8" w14:textId="77777777"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p>
        </w:tc>
      </w:tr>
      <w:tr w:rsidR="00AA1061" w:rsidRPr="001D00E6" w14:paraId="30683296" w14:textId="77777777" w:rsidTr="00156206">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E0301E" w:themeColor="accent6"/>
              <w:right w:val="single" w:sz="4" w:space="0" w:color="E0301E" w:themeColor="accent6"/>
            </w:tcBorders>
          </w:tcPr>
          <w:p w14:paraId="3E7E33F1" w14:textId="77777777" w:rsidR="00AA1061" w:rsidRPr="001D00E6" w:rsidRDefault="00AA1061" w:rsidP="00AA1061">
            <w:pPr>
              <w:pStyle w:val="TableTextSmall"/>
              <w:keepNext/>
            </w:pPr>
            <w:r>
              <w:t>Jun-17</w:t>
            </w:r>
            <w:r w:rsidRPr="001D00E6">
              <w:t xml:space="preserve"> Total Lifetime Cost</w:t>
            </w:r>
          </w:p>
        </w:tc>
        <w:tc>
          <w:tcPr>
            <w:tcW w:w="1276" w:type="dxa"/>
            <w:tcBorders>
              <w:top w:val="nil"/>
              <w:left w:val="single" w:sz="4" w:space="0" w:color="E0301E" w:themeColor="accent6"/>
              <w:bottom w:val="single" w:sz="4" w:space="0" w:color="E0301E" w:themeColor="accent6"/>
              <w:right w:val="single" w:sz="4" w:space="0" w:color="E0301E" w:themeColor="accent6"/>
            </w:tcBorders>
          </w:tcPr>
          <w:p w14:paraId="0A9B8CB4" w14:textId="401F443C"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666AF6">
              <w:t>$1,812bn</w:t>
            </w:r>
          </w:p>
        </w:tc>
        <w:tc>
          <w:tcPr>
            <w:tcW w:w="1240" w:type="dxa"/>
            <w:tcBorders>
              <w:top w:val="nil"/>
              <w:left w:val="single" w:sz="4" w:space="0" w:color="E0301E" w:themeColor="accent6"/>
              <w:bottom w:val="nil"/>
            </w:tcBorders>
            <w:shd w:val="clear" w:color="auto" w:fill="D9D9D9" w:themeFill="background1" w:themeFillShade="D9"/>
          </w:tcPr>
          <w:p w14:paraId="0C719B4D" w14:textId="77777777"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tcPr>
          <w:p w14:paraId="7D5F9E81" w14:textId="77777777"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tcPr>
          <w:p w14:paraId="5850AA48" w14:textId="77777777"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nil"/>
            </w:tcBorders>
            <w:shd w:val="clear" w:color="auto" w:fill="D9D9D9" w:themeFill="background1" w:themeFillShade="D9"/>
          </w:tcPr>
          <w:p w14:paraId="29A169E5" w14:textId="77777777"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p>
        </w:tc>
      </w:tr>
      <w:tr w:rsidR="00AA1061" w:rsidRPr="001D00E6" w14:paraId="176D0F7D"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28696768" w14:textId="77777777" w:rsidR="00AA1061" w:rsidRPr="001D00E6" w:rsidRDefault="00AA1061" w:rsidP="00AA1061">
            <w:pPr>
              <w:pStyle w:val="TableTextSmall"/>
              <w:keepNext/>
            </w:pPr>
            <w:r w:rsidRPr="001D00E6">
              <w:t>Change in Total Lifetime Cost</w:t>
            </w:r>
          </w:p>
        </w:tc>
        <w:tc>
          <w:tcPr>
            <w:tcW w:w="1276" w:type="dxa"/>
            <w:tcBorders>
              <w:left w:val="single" w:sz="4" w:space="0" w:color="E0301E" w:themeColor="accent6"/>
              <w:bottom w:val="nil"/>
              <w:right w:val="single" w:sz="4" w:space="0" w:color="E0301E" w:themeColor="accent6"/>
            </w:tcBorders>
            <w:tcMar>
              <w:left w:w="0" w:type="dxa"/>
              <w:right w:w="0" w:type="dxa"/>
            </w:tcMar>
          </w:tcPr>
          <w:p w14:paraId="6EB0BC1F" w14:textId="0A8991A2"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66AF6">
              <w:t>+$46bn (+2.6%)</w:t>
            </w:r>
          </w:p>
        </w:tc>
        <w:tc>
          <w:tcPr>
            <w:tcW w:w="1240" w:type="dxa"/>
            <w:tcBorders>
              <w:top w:val="nil"/>
              <w:left w:val="single" w:sz="4" w:space="0" w:color="E0301E" w:themeColor="accent6"/>
              <w:bottom w:val="nil"/>
            </w:tcBorders>
            <w:shd w:val="clear" w:color="auto" w:fill="D9D9D9" w:themeFill="background1" w:themeFillShade="D9"/>
          </w:tcPr>
          <w:p w14:paraId="0D2DEC13" w14:textId="77777777"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p>
        </w:tc>
        <w:tc>
          <w:tcPr>
            <w:tcW w:w="1240" w:type="dxa"/>
            <w:tcBorders>
              <w:top w:val="nil"/>
              <w:bottom w:val="nil"/>
              <w:right w:val="nil"/>
            </w:tcBorders>
            <w:shd w:val="clear" w:color="auto" w:fill="D9D9D9" w:themeFill="background1" w:themeFillShade="D9"/>
          </w:tcPr>
          <w:p w14:paraId="35C63D4A" w14:textId="77777777"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p>
        </w:tc>
        <w:tc>
          <w:tcPr>
            <w:tcW w:w="1311" w:type="dxa"/>
            <w:tcBorders>
              <w:top w:val="nil"/>
              <w:left w:val="nil"/>
              <w:bottom w:val="nil"/>
            </w:tcBorders>
            <w:shd w:val="clear" w:color="auto" w:fill="D9D9D9" w:themeFill="background1" w:themeFillShade="D9"/>
          </w:tcPr>
          <w:p w14:paraId="112A160E" w14:textId="77777777"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p>
        </w:tc>
        <w:tc>
          <w:tcPr>
            <w:tcW w:w="1312" w:type="dxa"/>
            <w:tcBorders>
              <w:top w:val="nil"/>
              <w:bottom w:val="nil"/>
            </w:tcBorders>
            <w:shd w:val="clear" w:color="auto" w:fill="D9D9D9" w:themeFill="background1" w:themeFillShade="D9"/>
          </w:tcPr>
          <w:p w14:paraId="169CC638" w14:textId="77777777"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p>
        </w:tc>
      </w:tr>
      <w:tr w:rsidR="00AA1061" w:rsidRPr="001D00E6" w14:paraId="489398B6" w14:textId="77777777" w:rsidTr="00156206">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E0301E" w:themeColor="accent6"/>
              <w:bottom w:val="single" w:sz="4" w:space="0" w:color="E0301E" w:themeColor="accent6"/>
              <w:right w:val="single" w:sz="4" w:space="0" w:color="E0301E" w:themeColor="accent6"/>
            </w:tcBorders>
          </w:tcPr>
          <w:p w14:paraId="4DF7EA47" w14:textId="77777777" w:rsidR="00AA1061" w:rsidRPr="001D00E6" w:rsidRDefault="00AA1061" w:rsidP="00AA1061">
            <w:pPr>
              <w:pStyle w:val="TableTextSmall"/>
              <w:keepNext/>
            </w:pPr>
            <w:r w:rsidRPr="001D00E6">
              <w:t xml:space="preserve">Change due to </w:t>
            </w:r>
            <w:r>
              <w:t>People in Class</w:t>
            </w:r>
          </w:p>
        </w:tc>
        <w:tc>
          <w:tcPr>
            <w:tcW w:w="1276" w:type="dxa"/>
            <w:tcBorders>
              <w:top w:val="single" w:sz="4" w:space="0" w:color="E0301E" w:themeColor="accent6"/>
              <w:left w:val="single" w:sz="4" w:space="0" w:color="E0301E" w:themeColor="accent6"/>
              <w:bottom w:val="single" w:sz="4" w:space="0" w:color="E0301E" w:themeColor="accent6"/>
              <w:right w:val="single" w:sz="4" w:space="0" w:color="E0301E" w:themeColor="accent6"/>
            </w:tcBorders>
          </w:tcPr>
          <w:p w14:paraId="3AE384A7" w14:textId="5AA4B38A"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r w:rsidRPr="00666AF6">
              <w:t>+1.6%</w:t>
            </w:r>
          </w:p>
        </w:tc>
        <w:tc>
          <w:tcPr>
            <w:tcW w:w="1240" w:type="dxa"/>
            <w:tcBorders>
              <w:top w:val="nil"/>
              <w:left w:val="single" w:sz="4" w:space="0" w:color="E0301E" w:themeColor="accent6"/>
              <w:bottom w:val="single" w:sz="4" w:space="0" w:color="E0301E" w:themeColor="accent6"/>
            </w:tcBorders>
            <w:shd w:val="clear" w:color="auto" w:fill="D9D9D9" w:themeFill="background1" w:themeFillShade="D9"/>
          </w:tcPr>
          <w:p w14:paraId="4564D2DC" w14:textId="77777777"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p>
        </w:tc>
        <w:tc>
          <w:tcPr>
            <w:tcW w:w="1240" w:type="dxa"/>
            <w:tcBorders>
              <w:top w:val="nil"/>
              <w:bottom w:val="single" w:sz="4" w:space="0" w:color="E0301E" w:themeColor="accent6"/>
              <w:right w:val="nil"/>
            </w:tcBorders>
            <w:shd w:val="clear" w:color="auto" w:fill="D9D9D9" w:themeFill="background1" w:themeFillShade="D9"/>
          </w:tcPr>
          <w:p w14:paraId="47FA13BE" w14:textId="77777777"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p>
        </w:tc>
        <w:tc>
          <w:tcPr>
            <w:tcW w:w="1311" w:type="dxa"/>
            <w:tcBorders>
              <w:top w:val="nil"/>
              <w:left w:val="nil"/>
              <w:bottom w:val="single" w:sz="4" w:space="0" w:color="E0301E" w:themeColor="accent6"/>
            </w:tcBorders>
            <w:shd w:val="clear" w:color="auto" w:fill="D9D9D9" w:themeFill="background1" w:themeFillShade="D9"/>
          </w:tcPr>
          <w:p w14:paraId="5FD44759" w14:textId="77777777"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p>
        </w:tc>
        <w:tc>
          <w:tcPr>
            <w:tcW w:w="1312" w:type="dxa"/>
            <w:tcBorders>
              <w:top w:val="nil"/>
              <w:bottom w:val="single" w:sz="4" w:space="0" w:color="E0301E" w:themeColor="accent6"/>
            </w:tcBorders>
            <w:shd w:val="clear" w:color="auto" w:fill="D9D9D9" w:themeFill="background1" w:themeFillShade="D9"/>
          </w:tcPr>
          <w:p w14:paraId="6DC20DAD" w14:textId="77777777"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pPr>
          </w:p>
        </w:tc>
      </w:tr>
      <w:tr w:rsidR="00AA1061" w:rsidRPr="001D00E6" w14:paraId="43F95350"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nil"/>
              <w:right w:val="single" w:sz="4" w:space="0" w:color="E0301E" w:themeColor="accent6"/>
            </w:tcBorders>
          </w:tcPr>
          <w:p w14:paraId="6156697D" w14:textId="77777777" w:rsidR="00AA1061" w:rsidRPr="001D00E6" w:rsidRDefault="00AA1061" w:rsidP="00AA1061">
            <w:pPr>
              <w:pStyle w:val="TableTextSmall"/>
              <w:keepNext/>
            </w:pPr>
            <w:r w:rsidRPr="001D00E6">
              <w:t>Change due to Average Lifetime Cost</w:t>
            </w:r>
          </w:p>
        </w:tc>
        <w:tc>
          <w:tcPr>
            <w:tcW w:w="1276" w:type="dxa"/>
            <w:tcBorders>
              <w:left w:val="single" w:sz="4" w:space="0" w:color="E0301E" w:themeColor="accent6"/>
              <w:bottom w:val="nil"/>
              <w:right w:val="single" w:sz="4" w:space="0" w:color="E0301E" w:themeColor="accent6"/>
            </w:tcBorders>
          </w:tcPr>
          <w:p w14:paraId="4B19C56A" w14:textId="7B889E1B"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66AF6">
              <w:t>+$1k (+1.0%)</w:t>
            </w:r>
          </w:p>
        </w:tc>
        <w:tc>
          <w:tcPr>
            <w:tcW w:w="1240" w:type="dxa"/>
            <w:tcBorders>
              <w:left w:val="single" w:sz="4" w:space="0" w:color="E0301E" w:themeColor="accent6"/>
              <w:bottom w:val="nil"/>
            </w:tcBorders>
          </w:tcPr>
          <w:p w14:paraId="36B747A7" w14:textId="43265E01"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66AF6">
              <w:t>-$1k</w:t>
            </w:r>
          </w:p>
        </w:tc>
        <w:tc>
          <w:tcPr>
            <w:tcW w:w="1240" w:type="dxa"/>
            <w:tcBorders>
              <w:bottom w:val="nil"/>
              <w:right w:val="dashed" w:sz="4" w:space="0" w:color="E0301E" w:themeColor="accent6"/>
            </w:tcBorders>
          </w:tcPr>
          <w:p w14:paraId="3044AAD5" w14:textId="31F1314B" w:rsidR="00AA1061" w:rsidRPr="001D00E6" w:rsidRDefault="00AA1061" w:rsidP="00AA1061">
            <w:pPr>
              <w:pStyle w:val="TableTextSmall"/>
              <w:keepNext/>
              <w:jc w:val="center"/>
              <w:cnfStyle w:val="000000100000" w:firstRow="0" w:lastRow="0" w:firstColumn="0" w:lastColumn="0" w:oddVBand="0" w:evenVBand="0" w:oddHBand="1" w:evenHBand="0" w:firstRowFirstColumn="0" w:firstRowLastColumn="0" w:lastRowFirstColumn="0" w:lastRowLastColumn="0"/>
            </w:pPr>
            <w:r w:rsidRPr="00666AF6">
              <w:t>+$3k</w:t>
            </w:r>
          </w:p>
        </w:tc>
        <w:tc>
          <w:tcPr>
            <w:tcW w:w="1311" w:type="dxa"/>
            <w:tcBorders>
              <w:left w:val="dashed" w:sz="4" w:space="0" w:color="E0301E" w:themeColor="accent6"/>
              <w:bottom w:val="nil"/>
            </w:tcBorders>
          </w:tcPr>
          <w:p w14:paraId="555A8D10" w14:textId="0CFCD76D"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bottom w:val="nil"/>
            </w:tcBorders>
          </w:tcPr>
          <w:p w14:paraId="0DE276EE" w14:textId="5AE12785"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r>
      <w:tr w:rsidR="00AA1061" w:rsidRPr="001D00E6" w14:paraId="3A01A7D8" w14:textId="77777777" w:rsidTr="00156206">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4EFE0F82" w14:textId="77777777" w:rsidR="00AA1061" w:rsidRPr="001D00E6" w:rsidRDefault="00AA1061" w:rsidP="00AA1061">
            <w:pPr>
              <w:pStyle w:val="TableTextSmall"/>
              <w:keepNext/>
              <w:rPr>
                <w:b w:val="0"/>
              </w:rPr>
            </w:pPr>
            <w:r w:rsidRPr="002404D0">
              <w:t>- Impact of change in inflation</w:t>
            </w:r>
          </w:p>
        </w:tc>
        <w:tc>
          <w:tcPr>
            <w:tcW w:w="1276" w:type="dxa"/>
            <w:tcBorders>
              <w:top w:val="nil"/>
              <w:left w:val="single" w:sz="4" w:space="0" w:color="E0301E" w:themeColor="accent6"/>
              <w:bottom w:val="nil"/>
              <w:right w:val="single" w:sz="4" w:space="0" w:color="E0301E" w:themeColor="accent6"/>
            </w:tcBorders>
          </w:tcPr>
          <w:p w14:paraId="03A5DA34" w14:textId="0AB5F8A1"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666AF6">
              <w:t>+$4k</w:t>
            </w:r>
          </w:p>
        </w:tc>
        <w:tc>
          <w:tcPr>
            <w:tcW w:w="1240" w:type="dxa"/>
            <w:tcBorders>
              <w:top w:val="nil"/>
              <w:left w:val="single" w:sz="4" w:space="0" w:color="E0301E" w:themeColor="accent6"/>
              <w:bottom w:val="nil"/>
            </w:tcBorders>
          </w:tcPr>
          <w:p w14:paraId="0CB0A68E" w14:textId="020FEDC4"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666AF6">
              <w:t>+$1k</w:t>
            </w:r>
          </w:p>
        </w:tc>
        <w:tc>
          <w:tcPr>
            <w:tcW w:w="1240" w:type="dxa"/>
            <w:tcBorders>
              <w:top w:val="nil"/>
              <w:bottom w:val="nil"/>
              <w:right w:val="dashed" w:sz="4" w:space="0" w:color="E0301E" w:themeColor="accent6"/>
            </w:tcBorders>
          </w:tcPr>
          <w:p w14:paraId="6FF248C2" w14:textId="3821314D" w:rsidR="00AA1061" w:rsidRPr="001D00E6" w:rsidRDefault="00AA1061" w:rsidP="00AA1061">
            <w:pPr>
              <w:pStyle w:val="TableTextSmall"/>
              <w:keepNext/>
              <w:jc w:val="center"/>
              <w:cnfStyle w:val="000000000000" w:firstRow="0" w:lastRow="0" w:firstColumn="0" w:lastColumn="0" w:oddVBand="0" w:evenVBand="0" w:oddHBand="0" w:evenHBand="0" w:firstRowFirstColumn="0" w:firstRowLastColumn="0" w:lastRowFirstColumn="0" w:lastRowLastColumn="0"/>
              <w:rPr>
                <w:color w:val="808080"/>
              </w:rPr>
            </w:pPr>
            <w:r w:rsidRPr="00666AF6">
              <w:t>+$3k</w:t>
            </w:r>
          </w:p>
        </w:tc>
        <w:tc>
          <w:tcPr>
            <w:tcW w:w="1311" w:type="dxa"/>
            <w:tcBorders>
              <w:top w:val="nil"/>
              <w:left w:val="dashed" w:sz="4" w:space="0" w:color="E0301E" w:themeColor="accent6"/>
              <w:bottom w:val="nil"/>
            </w:tcBorders>
          </w:tcPr>
          <w:p w14:paraId="3CDE3D01" w14:textId="6C6D1A2F"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top w:val="nil"/>
              <w:bottom w:val="nil"/>
            </w:tcBorders>
          </w:tcPr>
          <w:p w14:paraId="34D71306" w14:textId="30926B4C"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r>
      <w:tr w:rsidR="00AA1061" w:rsidRPr="001D00E6" w14:paraId="27C9D9F9" w14:textId="77777777" w:rsidTr="00156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right w:val="single" w:sz="4" w:space="0" w:color="E0301E" w:themeColor="accent6"/>
            </w:tcBorders>
          </w:tcPr>
          <w:p w14:paraId="6C90DB10" w14:textId="77777777" w:rsidR="00AA1061" w:rsidRPr="001D00E6" w:rsidRDefault="00AA1061" w:rsidP="00AA1061">
            <w:pPr>
              <w:pStyle w:val="TableTextSmall"/>
              <w:rPr>
                <w:b w:val="0"/>
              </w:rPr>
            </w:pPr>
            <w:r w:rsidRPr="002404D0">
              <w:t>- Impact of policy changes</w:t>
            </w:r>
          </w:p>
        </w:tc>
        <w:tc>
          <w:tcPr>
            <w:tcW w:w="1276" w:type="dxa"/>
            <w:tcBorders>
              <w:top w:val="nil"/>
              <w:left w:val="single" w:sz="4" w:space="0" w:color="E0301E" w:themeColor="accent6"/>
              <w:bottom w:val="nil"/>
              <w:right w:val="single" w:sz="4" w:space="0" w:color="E0301E" w:themeColor="accent6"/>
            </w:tcBorders>
          </w:tcPr>
          <w:p w14:paraId="0C30ED9A" w14:textId="7C2AFD93"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top w:val="nil"/>
              <w:left w:val="single" w:sz="4" w:space="0" w:color="E0301E" w:themeColor="accent6"/>
              <w:bottom w:val="nil"/>
            </w:tcBorders>
          </w:tcPr>
          <w:p w14:paraId="4C17D8EE" w14:textId="27295F5E" w:rsidR="00AA1061" w:rsidRPr="00AA1061" w:rsidRDefault="00F8132F" w:rsidP="00F8132F">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240" w:type="dxa"/>
            <w:tcBorders>
              <w:top w:val="nil"/>
              <w:bottom w:val="nil"/>
              <w:right w:val="dashed" w:sz="4" w:space="0" w:color="E0301E" w:themeColor="accent6"/>
            </w:tcBorders>
          </w:tcPr>
          <w:p w14:paraId="49E9EDD7" w14:textId="793C4E0B"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1" w:type="dxa"/>
            <w:tcBorders>
              <w:top w:val="nil"/>
              <w:left w:val="dashed" w:sz="4" w:space="0" w:color="E0301E" w:themeColor="accent6"/>
              <w:bottom w:val="nil"/>
            </w:tcBorders>
          </w:tcPr>
          <w:p w14:paraId="2E56209B" w14:textId="198B0558"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top w:val="nil"/>
              <w:bottom w:val="nil"/>
            </w:tcBorders>
          </w:tcPr>
          <w:p w14:paraId="392DA96F" w14:textId="0558B280" w:rsidR="00AA1061" w:rsidRPr="00AA1061" w:rsidRDefault="00AA1061" w:rsidP="00AA1061">
            <w:pPr>
              <w:pStyle w:val="TableTextSmall"/>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sidRPr="00AA1061">
              <w:rPr>
                <w:color w:val="A6A6A6" w:themeColor="background1" w:themeShade="A6"/>
              </w:rPr>
              <w:t>&lt;$1k</w:t>
            </w:r>
          </w:p>
        </w:tc>
      </w:tr>
      <w:tr w:rsidR="00AA1061" w:rsidRPr="009210D0" w14:paraId="131AC33D" w14:textId="77777777" w:rsidTr="00156206">
        <w:tc>
          <w:tcPr>
            <w:cnfStyle w:val="001000000000" w:firstRow="0" w:lastRow="0" w:firstColumn="1" w:lastColumn="0" w:oddVBand="0" w:evenVBand="0" w:oddHBand="0" w:evenHBand="0" w:firstRowFirstColumn="0" w:firstRowLastColumn="0" w:lastRowFirstColumn="0" w:lastRowLastColumn="0"/>
            <w:tcW w:w="3119" w:type="dxa"/>
            <w:tcBorders>
              <w:top w:val="nil"/>
              <w:right w:val="single" w:sz="4" w:space="0" w:color="E0301E" w:themeColor="accent6"/>
            </w:tcBorders>
          </w:tcPr>
          <w:p w14:paraId="05BBE659" w14:textId="77777777" w:rsidR="00AA1061" w:rsidRPr="001D00E6" w:rsidRDefault="00AA1061" w:rsidP="00AA1061">
            <w:pPr>
              <w:pStyle w:val="TableTextSmall"/>
              <w:rPr>
                <w:b w:val="0"/>
              </w:rPr>
            </w:pPr>
            <w:r w:rsidRPr="002404D0">
              <w:t>- Impact of other changes</w:t>
            </w:r>
          </w:p>
        </w:tc>
        <w:tc>
          <w:tcPr>
            <w:tcW w:w="1276" w:type="dxa"/>
            <w:tcBorders>
              <w:top w:val="nil"/>
              <w:left w:val="single" w:sz="4" w:space="0" w:color="E0301E" w:themeColor="accent6"/>
              <w:right w:val="single" w:sz="4" w:space="0" w:color="E0301E" w:themeColor="accent6"/>
            </w:tcBorders>
          </w:tcPr>
          <w:p w14:paraId="1480A35A" w14:textId="36C48E73"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r w:rsidRPr="00666AF6">
              <w:t>-$3k</w:t>
            </w:r>
          </w:p>
        </w:tc>
        <w:tc>
          <w:tcPr>
            <w:tcW w:w="1240" w:type="dxa"/>
            <w:tcBorders>
              <w:top w:val="nil"/>
              <w:left w:val="single" w:sz="4" w:space="0" w:color="E0301E" w:themeColor="accent6"/>
            </w:tcBorders>
          </w:tcPr>
          <w:p w14:paraId="26075DF5" w14:textId="2D99A33A" w:rsidR="00AA1061" w:rsidRPr="001D00E6"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pPr>
            <w:r w:rsidRPr="00666AF6">
              <w:t>-$2k</w:t>
            </w:r>
          </w:p>
        </w:tc>
        <w:tc>
          <w:tcPr>
            <w:tcW w:w="1240" w:type="dxa"/>
            <w:tcBorders>
              <w:top w:val="nil"/>
              <w:right w:val="dashed" w:sz="4" w:space="0" w:color="E0301E" w:themeColor="accent6"/>
            </w:tcBorders>
          </w:tcPr>
          <w:p w14:paraId="03AC4491" w14:textId="7A17AC8D"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1" w:type="dxa"/>
            <w:tcBorders>
              <w:top w:val="nil"/>
              <w:left w:val="dashed" w:sz="4" w:space="0" w:color="E0301E" w:themeColor="accent6"/>
            </w:tcBorders>
          </w:tcPr>
          <w:p w14:paraId="02CF29E0" w14:textId="79439E2C"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c>
          <w:tcPr>
            <w:tcW w:w="1312" w:type="dxa"/>
            <w:tcBorders>
              <w:top w:val="nil"/>
            </w:tcBorders>
          </w:tcPr>
          <w:p w14:paraId="60861685" w14:textId="3217EF0D" w:rsidR="00AA1061" w:rsidRPr="00AA1061" w:rsidRDefault="00AA1061" w:rsidP="00AA1061">
            <w:pPr>
              <w:pStyle w:val="TableTextSmall"/>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A1061">
              <w:rPr>
                <w:color w:val="A6A6A6" w:themeColor="background1" w:themeShade="A6"/>
              </w:rPr>
              <w:t>&lt;$1k</w:t>
            </w:r>
          </w:p>
        </w:tc>
      </w:tr>
    </w:tbl>
    <w:p w14:paraId="09ED8C37" w14:textId="0DC13BE0" w:rsidR="004F46FE" w:rsidRPr="00983BF0" w:rsidRDefault="004F46FE" w:rsidP="001865D4">
      <w:pPr>
        <w:pStyle w:val="PwCNormal-keepwithnext"/>
        <w:numPr>
          <w:ilvl w:val="0"/>
          <w:numId w:val="1"/>
        </w:numPr>
      </w:pPr>
      <w:r w:rsidRPr="00983BF0">
        <w:t xml:space="preserve">The increase in average cost </w:t>
      </w:r>
      <w:r w:rsidR="001865D4">
        <w:t xml:space="preserve">is mainly due to </w:t>
      </w:r>
      <w:r w:rsidR="00B3148A" w:rsidRPr="00017177">
        <w:t>an increase in the cost of future payments as a result of inflation</w:t>
      </w:r>
      <w:r w:rsidR="001865D4">
        <w:t xml:space="preserve"> offset by </w:t>
      </w:r>
      <w:r w:rsidRPr="00983BF0">
        <w:t>lower entry rate assumptions reducing the chance of future transitions into active classes and therefore lower contributions to the average lifetime cost</w:t>
      </w:r>
      <w:r w:rsidR="00C36D6C">
        <w:t xml:space="preserve"> across most payment categories</w:t>
      </w:r>
      <w:r w:rsidRPr="00983BF0">
        <w:t>.</w:t>
      </w:r>
    </w:p>
    <w:p w14:paraId="7928DCF7" w14:textId="77777777" w:rsidR="004F46FE" w:rsidRPr="00157A13" w:rsidRDefault="004F46FE" w:rsidP="004F46FE">
      <w:pPr>
        <w:pStyle w:val="Minorheading"/>
      </w:pPr>
      <w:r w:rsidRPr="00157A13">
        <w:t>Future outcomes</w:t>
      </w:r>
    </w:p>
    <w:p w14:paraId="77553B5D" w14:textId="2FB1D868" w:rsidR="00362C71" w:rsidRPr="00157A13" w:rsidRDefault="004F46FE" w:rsidP="004F46FE">
      <w:pPr>
        <w:pStyle w:val="PwCNormal"/>
        <w:keepNext/>
        <w:numPr>
          <w:ilvl w:val="0"/>
          <w:numId w:val="0"/>
        </w:numPr>
      </w:pPr>
      <w:r w:rsidRPr="00157A13">
        <w:t>In developing the valuation results the projection model also produces information on the expected transitions for people out of each class, as shown below.</w:t>
      </w:r>
      <w:r w:rsidR="00362C71" w:rsidRPr="00157A13">
        <w:t xml:space="preserve"> </w:t>
      </w:r>
    </w:p>
    <w:p w14:paraId="1BD35267" w14:textId="62090362" w:rsidR="00362C71" w:rsidRPr="00452FA8" w:rsidRDefault="00362C71" w:rsidP="00362C71">
      <w:pPr>
        <w:pStyle w:val="Caption"/>
      </w:pPr>
      <w:r w:rsidRPr="00452FA8">
        <w:t xml:space="preserve">Figure </w:t>
      </w:r>
      <w:fldSimple w:instr=" SEQ Figure \* ARABIC ">
        <w:r w:rsidR="00C93C1A">
          <w:rPr>
            <w:noProof/>
          </w:rPr>
          <w:t>103</w:t>
        </w:r>
      </w:fldSimple>
      <w:r w:rsidRPr="00452FA8">
        <w:t xml:space="preserve">: Expected future trajectory for people in </w:t>
      </w:r>
      <w:r w:rsidR="00871E70">
        <w:t>c</w:t>
      </w:r>
      <w:r w:rsidRPr="00452FA8">
        <w:t>lass 12</w:t>
      </w:r>
    </w:p>
    <w:tbl>
      <w:tblPr>
        <w:tblStyle w:val="Tables-APBase"/>
        <w:tblW w:w="465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Caption w:val=" Expected future trajectory for people in Class 12"/>
        <w:tblDescription w:val="This text box contains one chart and a legend."/>
      </w:tblPr>
      <w:tblGrid>
        <w:gridCol w:w="6521"/>
        <w:gridCol w:w="2864"/>
      </w:tblGrid>
      <w:tr w:rsidR="00362C71" w:rsidRPr="009210D0" w14:paraId="2A47A051" w14:textId="77777777" w:rsidTr="009C6553">
        <w:trPr>
          <w:trHeight w:val="3381"/>
          <w:tblHeader/>
        </w:trPr>
        <w:tc>
          <w:tcPr>
            <w:tcW w:w="6521" w:type="dxa"/>
            <w:hideMark/>
          </w:tcPr>
          <w:p w14:paraId="150CF763" w14:textId="6C11621E" w:rsidR="00362C71" w:rsidRPr="00452FA8" w:rsidRDefault="000A5A21" w:rsidP="00487300">
            <w:pPr>
              <w:pStyle w:val="TableTextSmall"/>
            </w:pPr>
            <w:r w:rsidRPr="000A5A21">
              <w:rPr>
                <w:noProof/>
                <w:lang w:eastAsia="en-AU"/>
              </w:rPr>
              <w:drawing>
                <wp:inline distT="0" distB="0" distL="0" distR="0" wp14:anchorId="3EB8D4EC" wp14:editId="59A70EBD">
                  <wp:extent cx="3863340" cy="2156460"/>
                  <wp:effectExtent l="0" t="0" r="0" b="0"/>
                  <wp:docPr id="1048" name="Picture 1048" descr="This figure is a vertical bar chart. The horizontal axis shows the years 2017 to 2047. The 30 vertical bars associated with each year are arranged side-by-side with no gaps to present a continuous time series image. The vertical axis shows the proportion of people who were projected to be in each welfare class in future years, and the axis ranges from 0% to 100%. The total for each future year is 100%. The bar for each future year is split into people in the following classes: studying, working age, parents, carers, disability support, pension age, non-income support family, non-income support carer, non-income support other, previous welfare recipient, rest of the Australian population and dead. &#10;&#10;The chart includes the 12,122,000 individuals who were in the rest of the Australian population class at 30 June 2017. &#10;&#10;In 5 years’ time, about 20% of people are projected to have left class 12 by transitioning to various other classes. In 10 years’ time, about 35% of people are projected to have left class 12, with the most common transitions over this time period into the previous welfare recipient, working age, pension age and non-income support family classes. 33% are expected to have transitioned into the previous welfare recipient class by 2047. The proportion of the group projected to receive pension age benefits in 2047 is around 12%. By 2047, 12% of the original cohort is in the dead class.&#10;&#10;The Jun16 proportion of people in all active classes and the Jun16 proportion of people in the Rest of Australian Population class are also shown. For all active classes, the proportion of people in Jun17 is extremely similar to the previous year while for the Rest of Australian Population class, the proportion of people in Jun17 is between 0% - 5% higher than in the previous year. &#10;The features shown in the chart are discussed further in the accompanying text within the report.&#10;&#10;" title="Expected future trajectory for people in clas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863340" cy="2156460"/>
                          </a:xfrm>
                          <a:prstGeom prst="rect">
                            <a:avLst/>
                          </a:prstGeom>
                          <a:noFill/>
                          <a:ln>
                            <a:noFill/>
                          </a:ln>
                        </pic:spPr>
                      </pic:pic>
                    </a:graphicData>
                  </a:graphic>
                </wp:inline>
              </w:drawing>
            </w:r>
          </w:p>
        </w:tc>
        <w:tc>
          <w:tcPr>
            <w:tcW w:w="2864" w:type="dxa"/>
          </w:tcPr>
          <w:p w14:paraId="2D7B4CC2" w14:textId="77777777" w:rsidR="00362C71" w:rsidRPr="00452FA8" w:rsidRDefault="00362C71" w:rsidP="00487300">
            <w:pPr>
              <w:pStyle w:val="TableTextSmall"/>
            </w:pPr>
          </w:p>
          <w:p w14:paraId="6E3C865D" w14:textId="7BF01203" w:rsidR="00362C71" w:rsidRPr="00452FA8" w:rsidRDefault="003668BA" w:rsidP="00487300">
            <w:pPr>
              <w:pStyle w:val="TableTextSmall"/>
            </w:pPr>
            <w:r w:rsidRPr="003668BA">
              <w:rPr>
                <w:noProof/>
                <w:lang w:eastAsia="en-AU"/>
              </w:rPr>
              <w:drawing>
                <wp:inline distT="0" distB="0" distL="0" distR="0" wp14:anchorId="43EFEADC" wp14:editId="72C87D79">
                  <wp:extent cx="1440000" cy="1779387"/>
                  <wp:effectExtent l="0" t="0" r="0" b="0"/>
                  <wp:docPr id="2070" name="Picture 2070"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779387"/>
                          </a:xfrm>
                          <a:prstGeom prst="rect">
                            <a:avLst/>
                          </a:prstGeom>
                          <a:noFill/>
                          <a:ln>
                            <a:noFill/>
                          </a:ln>
                        </pic:spPr>
                      </pic:pic>
                    </a:graphicData>
                  </a:graphic>
                </wp:inline>
              </w:drawing>
            </w:r>
          </w:p>
          <w:p w14:paraId="22FBA076" w14:textId="77777777" w:rsidR="00362C71" w:rsidRPr="00452FA8" w:rsidRDefault="00362C71" w:rsidP="00487300">
            <w:pPr>
              <w:pStyle w:val="TableTextSmall"/>
            </w:pPr>
          </w:p>
        </w:tc>
      </w:tr>
    </w:tbl>
    <w:p w14:paraId="648E2D6D" w14:textId="77777777" w:rsidR="004F46FE" w:rsidRPr="004D63E3" w:rsidRDefault="004F46FE" w:rsidP="004F46FE">
      <w:pPr>
        <w:pStyle w:val="PwCNormal"/>
        <w:numPr>
          <w:ilvl w:val="0"/>
          <w:numId w:val="0"/>
        </w:numPr>
      </w:pPr>
      <w:r w:rsidRPr="004D63E3">
        <w:t xml:space="preserve">Some observations we can make based on our analysis are that: </w:t>
      </w:r>
    </w:p>
    <w:p w14:paraId="3D719C71" w14:textId="77777777" w:rsidR="004F46FE" w:rsidRPr="004D63E3" w:rsidRDefault="004F46FE" w:rsidP="00964D65">
      <w:pPr>
        <w:pStyle w:val="Bullet1"/>
        <w:numPr>
          <w:ilvl w:val="0"/>
          <w:numId w:val="34"/>
        </w:numPr>
      </w:pPr>
      <w:r w:rsidRPr="004D63E3">
        <w:t>The main difference between the trajectories for this group compared to that shown for the previous welfare recipients is likely driven by the difference in the age profiles. In particular class 12 contains a higher number of younger people and so the use of each different welfare classes is typically further into the projection.</w:t>
      </w:r>
    </w:p>
    <w:p w14:paraId="4A8B7FD4" w14:textId="2C950C8D" w:rsidR="004F46FE" w:rsidRPr="004D63E3" w:rsidRDefault="004F46FE" w:rsidP="00964D65">
      <w:pPr>
        <w:pStyle w:val="Bullet1"/>
        <w:numPr>
          <w:ilvl w:val="0"/>
          <w:numId w:val="34"/>
        </w:numPr>
      </w:pPr>
      <w:r w:rsidRPr="004D63E3">
        <w:t xml:space="preserve">In </w:t>
      </w:r>
      <w:r w:rsidR="00722399">
        <w:t>five</w:t>
      </w:r>
      <w:r w:rsidRPr="004D63E3">
        <w:t xml:space="preserve"> years</w:t>
      </w:r>
      <w:r w:rsidR="00722399">
        <w:t>,</w:t>
      </w:r>
      <w:r w:rsidRPr="004D63E3">
        <w:t xml:space="preserve"> around 13% of the people currently in class 12 are </w:t>
      </w:r>
      <w:r>
        <w:t>projected</w:t>
      </w:r>
      <w:r w:rsidRPr="004D63E3">
        <w:t xml:space="preserve"> to be in an active class. These people are expected to predominately be in classes ‘1 Studying’, ‘2 Working Age’, ‘6 Age Pension’, and ‘7 Non IS Family’. Around 4% of people are </w:t>
      </w:r>
      <w:r>
        <w:t>projected</w:t>
      </w:r>
      <w:r w:rsidRPr="004D63E3">
        <w:t xml:space="preserve"> to have entered an active class and then exited into class 10 by this point.</w:t>
      </w:r>
    </w:p>
    <w:p w14:paraId="64B3CD9E" w14:textId="77777777" w:rsidR="004F46FE" w:rsidRPr="004D63E3" w:rsidRDefault="004F46FE" w:rsidP="00964D65">
      <w:pPr>
        <w:pStyle w:val="Bullet1"/>
        <w:numPr>
          <w:ilvl w:val="0"/>
          <w:numId w:val="34"/>
        </w:numPr>
      </w:pPr>
      <w:r w:rsidRPr="004D63E3">
        <w:t xml:space="preserve">In 20 years around 22% of this group are </w:t>
      </w:r>
      <w:r>
        <w:t>projected</w:t>
      </w:r>
      <w:r w:rsidRPr="004D63E3">
        <w:t xml:space="preserve"> to be receiving an income support payment, with the majority projected to be in class ‘6 Pension Age’.</w:t>
      </w:r>
    </w:p>
    <w:p w14:paraId="60E40BED" w14:textId="77777777" w:rsidR="004F46FE" w:rsidRPr="000E3534" w:rsidRDefault="004F46FE" w:rsidP="004F46FE">
      <w:pPr>
        <w:pStyle w:val="Minorheading"/>
      </w:pPr>
      <w:r w:rsidRPr="000E3534">
        <w:t>Duration</w:t>
      </w:r>
    </w:p>
    <w:p w14:paraId="27AA61A9" w14:textId="77777777" w:rsidR="004F46FE" w:rsidRPr="000E3534" w:rsidRDefault="004F46FE" w:rsidP="00964D65">
      <w:pPr>
        <w:pStyle w:val="PwCNormal"/>
        <w:numPr>
          <w:ilvl w:val="0"/>
          <w:numId w:val="33"/>
        </w:numPr>
      </w:pPr>
      <w:r w:rsidRPr="000E3534">
        <w:t xml:space="preserve">The average future life expectancy for the Rest of Australian Population class is </w:t>
      </w:r>
      <w:r w:rsidRPr="000E3534">
        <w:rPr>
          <w:b/>
        </w:rPr>
        <w:t>63</w:t>
      </w:r>
      <w:r w:rsidRPr="000E3534">
        <w:t xml:space="preserve"> years. This reflects that there are a large proportion of young people in this class.</w:t>
      </w:r>
    </w:p>
    <w:p w14:paraId="6F8AF79B" w14:textId="4E714CB6" w:rsidR="00362C71" w:rsidRPr="000E3534" w:rsidRDefault="004F46FE" w:rsidP="004F46FE">
      <w:pPr>
        <w:pStyle w:val="PwCNormal"/>
        <w:numPr>
          <w:ilvl w:val="0"/>
          <w:numId w:val="0"/>
        </w:numPr>
      </w:pPr>
      <w:r w:rsidRPr="000E3534">
        <w:lastRenderedPageBreak/>
        <w:t>The table below provides a summary of the expected welfare system use of people currently in this class over this time. This has been developed by considering which classes people move into as they move through the welfare system over their lives.</w:t>
      </w:r>
    </w:p>
    <w:p w14:paraId="4149E0AE" w14:textId="6964A959" w:rsidR="00362C71" w:rsidRPr="000E3534" w:rsidRDefault="00362C71" w:rsidP="00362C71">
      <w:pPr>
        <w:pStyle w:val="Caption"/>
      </w:pPr>
      <w:r w:rsidRPr="000E3534">
        <w:t xml:space="preserve">Table </w:t>
      </w:r>
      <w:fldSimple w:instr=" SEQ Table \* ARABIC ">
        <w:r w:rsidR="00C93C1A">
          <w:rPr>
            <w:noProof/>
          </w:rPr>
          <w:t>55</w:t>
        </w:r>
      </w:fldSimple>
      <w:r w:rsidRPr="000E3534">
        <w:t xml:space="preserve">: Expected durations in welfare system for people currently in </w:t>
      </w:r>
      <w:r w:rsidR="00871E70">
        <w:t>c</w:t>
      </w:r>
      <w:r w:rsidRPr="000E3534">
        <w:t>lass 1</w:t>
      </w:r>
      <w:r w:rsidR="00B21055" w:rsidRPr="000E3534">
        <w:t>2</w:t>
      </w:r>
      <w:r w:rsidRPr="000E3534">
        <w:t xml:space="preserve"> </w:t>
      </w:r>
    </w:p>
    <w:tbl>
      <w:tblPr>
        <w:tblStyle w:val="ListTable3-Accent62"/>
        <w:tblW w:w="8868" w:type="dxa"/>
        <w:tblInd w:w="108" w:type="dxa"/>
        <w:tblLook w:val="04A0" w:firstRow="1" w:lastRow="0" w:firstColumn="1" w:lastColumn="0" w:noHBand="0" w:noVBand="1"/>
        <w:tblCaption w:val=" Expected durations in welfare system for people currently in Class 12 "/>
        <w:tblDescription w:val="This table provides data on the expected number of years people currently in Class 12 will spend in the welfare system in the future.&#10;&#10;The table has 5 rows of data; number of years with some income support payments (excluding the age pension), number of years receiving the age pension, number of years with non-income support payments only, number of years not receiving any welfare payments, and total years. &#10;&#10;There are two columns of data; one showing expected duration in years and the other showing the proportion of their future lifetime.  The expected future life expectancy of people in Class 12 is 63 years. &#10;&#10;Further features of the data in this table are discussed in the accompanying text within the report.&#10;"/>
      </w:tblPr>
      <w:tblGrid>
        <w:gridCol w:w="3828"/>
        <w:gridCol w:w="2520"/>
        <w:gridCol w:w="2520"/>
      </w:tblGrid>
      <w:tr w:rsidR="00362C71" w:rsidRPr="000E3534" w14:paraId="39FFE345" w14:textId="77777777" w:rsidTr="00A85D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top w:val="single" w:sz="4" w:space="0" w:color="E0301E" w:themeColor="accent6"/>
              <w:left w:val="single" w:sz="4" w:space="0" w:color="E0301E" w:themeColor="accent6"/>
            </w:tcBorders>
          </w:tcPr>
          <w:p w14:paraId="4A3D584A" w14:textId="77777777" w:rsidR="00362C71" w:rsidRPr="000E3534" w:rsidRDefault="00362C71" w:rsidP="00487300">
            <w:pPr>
              <w:pStyle w:val="TableTextSmall"/>
              <w:jc w:val="center"/>
              <w:rPr>
                <w:rFonts w:asciiTheme="majorHAnsi" w:hAnsiTheme="majorHAnsi"/>
                <w:color w:val="FFFFFF" w:themeColor="background1"/>
              </w:rPr>
            </w:pPr>
          </w:p>
        </w:tc>
        <w:tc>
          <w:tcPr>
            <w:tcW w:w="2520" w:type="dxa"/>
            <w:tcBorders>
              <w:top w:val="single" w:sz="4" w:space="0" w:color="E0301E" w:themeColor="accent6"/>
              <w:left w:val="nil"/>
              <w:bottom w:val="nil"/>
              <w:right w:val="nil"/>
            </w:tcBorders>
            <w:hideMark/>
          </w:tcPr>
          <w:p w14:paraId="2E70E9FF" w14:textId="77777777" w:rsidR="00362C71" w:rsidRPr="000E3534" w:rsidRDefault="00362C71" w:rsidP="00487300">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0E3534">
              <w:rPr>
                <w:rFonts w:asciiTheme="majorHAnsi" w:hAnsiTheme="majorHAnsi"/>
                <w:color w:val="FFFFFF" w:themeColor="background1"/>
              </w:rPr>
              <w:t>Expected Years</w:t>
            </w:r>
          </w:p>
        </w:tc>
        <w:tc>
          <w:tcPr>
            <w:tcW w:w="2520" w:type="dxa"/>
            <w:tcBorders>
              <w:top w:val="single" w:sz="4" w:space="0" w:color="E0301E" w:themeColor="accent6"/>
              <w:left w:val="nil"/>
              <w:bottom w:val="nil"/>
              <w:right w:val="single" w:sz="4" w:space="0" w:color="E0301E" w:themeColor="accent6"/>
            </w:tcBorders>
            <w:hideMark/>
          </w:tcPr>
          <w:p w14:paraId="3CCDB0AE" w14:textId="77777777" w:rsidR="00362C71" w:rsidRPr="000E3534" w:rsidRDefault="00362C71" w:rsidP="00487300">
            <w:pPr>
              <w:pStyle w:val="TableTextSmall"/>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0E3534">
              <w:rPr>
                <w:rFonts w:asciiTheme="majorHAnsi" w:hAnsiTheme="majorHAnsi"/>
                <w:color w:val="FFFFFF" w:themeColor="background1"/>
              </w:rPr>
              <w:t>Proportion of Future Lifetime</w:t>
            </w:r>
          </w:p>
        </w:tc>
      </w:tr>
      <w:tr w:rsidR="00362C71" w:rsidRPr="000E3534" w14:paraId="0B648C96" w14:textId="77777777" w:rsidTr="0048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28BEA2AA" w14:textId="77777777" w:rsidR="00362C71" w:rsidRPr="000E3534" w:rsidRDefault="00362C71" w:rsidP="00487300">
            <w:pPr>
              <w:pStyle w:val="TableTextSmall"/>
            </w:pPr>
            <w:r w:rsidRPr="000E3534">
              <w:t>Years with some income support payments:</w:t>
            </w:r>
          </w:p>
          <w:p w14:paraId="34730A02" w14:textId="2DA88D97" w:rsidR="00362C71" w:rsidRPr="000E3534" w:rsidRDefault="00A91FFF" w:rsidP="00964D65">
            <w:pPr>
              <w:pStyle w:val="TableTextSmall"/>
              <w:numPr>
                <w:ilvl w:val="0"/>
                <w:numId w:val="36"/>
              </w:numPr>
            </w:pPr>
            <w:r>
              <w:t>Not age</w:t>
            </w:r>
            <w:r w:rsidR="00362C71" w:rsidRPr="000E3534">
              <w:t xml:space="preserve"> pension (classes 1-5)</w:t>
            </w:r>
          </w:p>
          <w:p w14:paraId="3C53B5AF" w14:textId="364CA5C2" w:rsidR="00362C71" w:rsidRPr="000E3534" w:rsidRDefault="00362C71" w:rsidP="00964D65">
            <w:pPr>
              <w:pStyle w:val="TableTextSmall"/>
              <w:numPr>
                <w:ilvl w:val="0"/>
                <w:numId w:val="36"/>
              </w:numPr>
            </w:pPr>
            <w:r w:rsidRPr="000E3534">
              <w:t>Age pension (class 6)</w:t>
            </w:r>
          </w:p>
        </w:tc>
        <w:tc>
          <w:tcPr>
            <w:tcW w:w="2520" w:type="dxa"/>
            <w:tcBorders>
              <w:left w:val="nil"/>
              <w:right w:val="nil"/>
            </w:tcBorders>
            <w:hideMark/>
          </w:tcPr>
          <w:p w14:paraId="726DD4EF" w14:textId="77777777" w:rsidR="00362C71" w:rsidRPr="000E3534" w:rsidRDefault="00362C71"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0E3534">
              <w:br/>
            </w:r>
            <w:r w:rsidR="00B21055" w:rsidRPr="000E3534">
              <w:t>6</w:t>
            </w:r>
          </w:p>
          <w:p w14:paraId="7A8ED745" w14:textId="059FDC97" w:rsidR="00362C71" w:rsidRPr="000E3534" w:rsidRDefault="00B21055"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0E3534">
              <w:t>1</w:t>
            </w:r>
            <w:r w:rsidR="000E3534" w:rsidRPr="000E3534">
              <w:t>5</w:t>
            </w:r>
          </w:p>
        </w:tc>
        <w:tc>
          <w:tcPr>
            <w:tcW w:w="2520" w:type="dxa"/>
            <w:tcBorders>
              <w:left w:val="nil"/>
              <w:right w:val="single" w:sz="4" w:space="0" w:color="E0301E" w:themeColor="accent6"/>
            </w:tcBorders>
            <w:hideMark/>
          </w:tcPr>
          <w:p w14:paraId="54E57B69" w14:textId="77777777" w:rsidR="00362C71" w:rsidRPr="000E3534" w:rsidRDefault="00362C71"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0E3534">
              <w:br/>
            </w:r>
            <w:r w:rsidR="00B21055" w:rsidRPr="000E3534">
              <w:t>10</w:t>
            </w:r>
            <w:r w:rsidRPr="000E3534">
              <w:t>%</w:t>
            </w:r>
          </w:p>
          <w:p w14:paraId="02BC430A" w14:textId="56321BFD" w:rsidR="00362C71" w:rsidRPr="000E3534" w:rsidRDefault="000E3534" w:rsidP="00B21055">
            <w:pPr>
              <w:pStyle w:val="TableTextSmall"/>
              <w:jc w:val="center"/>
              <w:cnfStyle w:val="000000100000" w:firstRow="0" w:lastRow="0" w:firstColumn="0" w:lastColumn="0" w:oddVBand="0" w:evenVBand="0" w:oddHBand="1" w:evenHBand="0" w:firstRowFirstColumn="0" w:firstRowLastColumn="0" w:lastRowFirstColumn="0" w:lastRowLastColumn="0"/>
            </w:pPr>
            <w:r w:rsidRPr="000E3534">
              <w:t>24</w:t>
            </w:r>
            <w:r w:rsidR="00362C71" w:rsidRPr="000E3534">
              <w:t>%</w:t>
            </w:r>
          </w:p>
        </w:tc>
      </w:tr>
      <w:tr w:rsidR="00362C71" w:rsidRPr="000E3534" w14:paraId="5DDEA1F3" w14:textId="77777777" w:rsidTr="00487300">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nil"/>
            </w:tcBorders>
            <w:hideMark/>
          </w:tcPr>
          <w:p w14:paraId="2B720194" w14:textId="77074ED4" w:rsidR="00362C71" w:rsidRPr="000E3534" w:rsidRDefault="00362C71" w:rsidP="00487300">
            <w:pPr>
              <w:pStyle w:val="TableTextSmall"/>
            </w:pPr>
            <w:r w:rsidRPr="000E3534">
              <w:t xml:space="preserve">Years with </w:t>
            </w:r>
            <w:r w:rsidR="005B3E7D">
              <w:t>non income</w:t>
            </w:r>
            <w:r w:rsidRPr="000E3534">
              <w:t xml:space="preserve"> support payments only</w:t>
            </w:r>
          </w:p>
        </w:tc>
        <w:tc>
          <w:tcPr>
            <w:tcW w:w="2520" w:type="dxa"/>
            <w:tcBorders>
              <w:top w:val="nil"/>
              <w:left w:val="nil"/>
              <w:bottom w:val="nil"/>
              <w:right w:val="nil"/>
            </w:tcBorders>
            <w:hideMark/>
          </w:tcPr>
          <w:p w14:paraId="4FB3663E" w14:textId="06B99864" w:rsidR="00362C71" w:rsidRPr="000E3534" w:rsidRDefault="000E3534"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0E3534">
              <w:t>4</w:t>
            </w:r>
          </w:p>
        </w:tc>
        <w:tc>
          <w:tcPr>
            <w:tcW w:w="2520" w:type="dxa"/>
            <w:tcBorders>
              <w:top w:val="nil"/>
              <w:left w:val="nil"/>
              <w:bottom w:val="nil"/>
              <w:right w:val="single" w:sz="4" w:space="0" w:color="E0301E" w:themeColor="accent6"/>
            </w:tcBorders>
            <w:hideMark/>
          </w:tcPr>
          <w:p w14:paraId="30664129" w14:textId="369D3E28" w:rsidR="00362C71" w:rsidRPr="000E3534" w:rsidRDefault="000E3534"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0E3534">
              <w:t>7</w:t>
            </w:r>
            <w:r w:rsidR="00362C71" w:rsidRPr="000E3534">
              <w:t>%</w:t>
            </w:r>
          </w:p>
        </w:tc>
      </w:tr>
      <w:tr w:rsidR="00362C71" w:rsidRPr="000E3534" w14:paraId="6F5FEACF" w14:textId="77777777" w:rsidTr="0048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single" w:sz="4" w:space="0" w:color="E0301E" w:themeColor="accent6"/>
            </w:tcBorders>
            <w:hideMark/>
          </w:tcPr>
          <w:p w14:paraId="40F7E23C" w14:textId="77777777" w:rsidR="00362C71" w:rsidRPr="000E3534" w:rsidRDefault="00362C71" w:rsidP="00487300">
            <w:pPr>
              <w:pStyle w:val="TableTextSmall"/>
            </w:pPr>
            <w:r w:rsidRPr="000E3534">
              <w:t>Years not receiving any welfare payments</w:t>
            </w:r>
          </w:p>
        </w:tc>
        <w:tc>
          <w:tcPr>
            <w:tcW w:w="2520" w:type="dxa"/>
            <w:tcBorders>
              <w:left w:val="nil"/>
              <w:right w:val="nil"/>
            </w:tcBorders>
            <w:hideMark/>
          </w:tcPr>
          <w:p w14:paraId="00AEF46A" w14:textId="574264D6" w:rsidR="00362C71" w:rsidRPr="000E3534" w:rsidRDefault="00B21055" w:rsidP="00487300">
            <w:pPr>
              <w:pStyle w:val="TableTextSmall"/>
              <w:jc w:val="center"/>
              <w:cnfStyle w:val="000000100000" w:firstRow="0" w:lastRow="0" w:firstColumn="0" w:lastColumn="0" w:oddVBand="0" w:evenVBand="0" w:oddHBand="1" w:evenHBand="0" w:firstRowFirstColumn="0" w:firstRowLastColumn="0" w:lastRowFirstColumn="0" w:lastRowLastColumn="0"/>
            </w:pPr>
            <w:r w:rsidRPr="000E3534">
              <w:t>3</w:t>
            </w:r>
            <w:r w:rsidR="000E3534" w:rsidRPr="000E3534">
              <w:t>7</w:t>
            </w:r>
          </w:p>
        </w:tc>
        <w:tc>
          <w:tcPr>
            <w:tcW w:w="2520" w:type="dxa"/>
            <w:tcBorders>
              <w:left w:val="nil"/>
              <w:right w:val="single" w:sz="4" w:space="0" w:color="E0301E" w:themeColor="accent6"/>
            </w:tcBorders>
            <w:hideMark/>
          </w:tcPr>
          <w:p w14:paraId="52E3271A" w14:textId="486483EF" w:rsidR="00362C71" w:rsidRPr="000E3534" w:rsidRDefault="00B21055" w:rsidP="000E3534">
            <w:pPr>
              <w:pStyle w:val="TableTextSmall"/>
              <w:jc w:val="center"/>
              <w:cnfStyle w:val="000000100000" w:firstRow="0" w:lastRow="0" w:firstColumn="0" w:lastColumn="0" w:oddVBand="0" w:evenVBand="0" w:oddHBand="1" w:evenHBand="0" w:firstRowFirstColumn="0" w:firstRowLastColumn="0" w:lastRowFirstColumn="0" w:lastRowLastColumn="0"/>
            </w:pPr>
            <w:r w:rsidRPr="000E3534">
              <w:t>5</w:t>
            </w:r>
            <w:r w:rsidR="000E3534" w:rsidRPr="000E3534">
              <w:t>9</w:t>
            </w:r>
            <w:r w:rsidR="00362C71" w:rsidRPr="000E3534">
              <w:t>%</w:t>
            </w:r>
          </w:p>
        </w:tc>
      </w:tr>
      <w:tr w:rsidR="00362C71" w:rsidRPr="009210D0" w14:paraId="6E1499AE" w14:textId="77777777" w:rsidTr="00487300">
        <w:tc>
          <w:tcPr>
            <w:cnfStyle w:val="001000000000" w:firstRow="0" w:lastRow="0" w:firstColumn="1" w:lastColumn="0" w:oddVBand="0" w:evenVBand="0" w:oddHBand="0" w:evenHBand="0" w:firstRowFirstColumn="0" w:firstRowLastColumn="0" w:lastRowFirstColumn="0" w:lastRowLastColumn="0"/>
            <w:tcW w:w="3828" w:type="dxa"/>
            <w:tcBorders>
              <w:top w:val="nil"/>
              <w:left w:val="single" w:sz="4" w:space="0" w:color="E0301E" w:themeColor="accent6"/>
              <w:bottom w:val="single" w:sz="4" w:space="0" w:color="E0301E" w:themeColor="accent6"/>
            </w:tcBorders>
            <w:hideMark/>
          </w:tcPr>
          <w:p w14:paraId="4DBFEEC0" w14:textId="77777777" w:rsidR="00362C71" w:rsidRPr="000E3534" w:rsidRDefault="00362C71" w:rsidP="00487300">
            <w:pPr>
              <w:pStyle w:val="TableTextSmall"/>
            </w:pPr>
            <w:r w:rsidRPr="000E3534">
              <w:t>Total</w:t>
            </w:r>
          </w:p>
        </w:tc>
        <w:tc>
          <w:tcPr>
            <w:tcW w:w="2520" w:type="dxa"/>
            <w:tcBorders>
              <w:top w:val="nil"/>
              <w:left w:val="nil"/>
              <w:bottom w:val="single" w:sz="4" w:space="0" w:color="E0301E" w:themeColor="accent6"/>
              <w:right w:val="nil"/>
            </w:tcBorders>
            <w:hideMark/>
          </w:tcPr>
          <w:p w14:paraId="573716C9" w14:textId="148D8B8C" w:rsidR="00362C71" w:rsidRPr="000E3534" w:rsidRDefault="00B21055"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0E3534">
              <w:t>6</w:t>
            </w:r>
            <w:r w:rsidR="00887DE5" w:rsidRPr="000E3534">
              <w:t>3</w:t>
            </w:r>
          </w:p>
        </w:tc>
        <w:tc>
          <w:tcPr>
            <w:tcW w:w="2520" w:type="dxa"/>
            <w:tcBorders>
              <w:top w:val="nil"/>
              <w:left w:val="nil"/>
              <w:bottom w:val="single" w:sz="4" w:space="0" w:color="E0301E" w:themeColor="accent6"/>
              <w:right w:val="single" w:sz="4" w:space="0" w:color="E0301E" w:themeColor="accent6"/>
            </w:tcBorders>
            <w:hideMark/>
          </w:tcPr>
          <w:p w14:paraId="77721174" w14:textId="77777777" w:rsidR="00362C71" w:rsidRPr="000E3534" w:rsidRDefault="00362C71" w:rsidP="00487300">
            <w:pPr>
              <w:pStyle w:val="TableTextSmall"/>
              <w:jc w:val="center"/>
              <w:cnfStyle w:val="000000000000" w:firstRow="0" w:lastRow="0" w:firstColumn="0" w:lastColumn="0" w:oddVBand="0" w:evenVBand="0" w:oddHBand="0" w:evenHBand="0" w:firstRowFirstColumn="0" w:firstRowLastColumn="0" w:lastRowFirstColumn="0" w:lastRowLastColumn="0"/>
            </w:pPr>
            <w:r w:rsidRPr="000E3534">
              <w:t>100%</w:t>
            </w:r>
          </w:p>
        </w:tc>
      </w:tr>
    </w:tbl>
    <w:p w14:paraId="2758A2DF" w14:textId="6479875B" w:rsidR="00B87DBC" w:rsidRPr="0057506F" w:rsidRDefault="00B87DBC" w:rsidP="00B87DBC">
      <w:pPr>
        <w:pStyle w:val="PwCNormal"/>
      </w:pPr>
    </w:p>
    <w:p w14:paraId="0E6D05D4" w14:textId="77777777" w:rsidR="0000452C" w:rsidRPr="0057506F" w:rsidRDefault="0000452C" w:rsidP="0000452C">
      <w:pPr>
        <w:pStyle w:val="PwCNormal"/>
        <w:numPr>
          <w:ilvl w:val="0"/>
          <w:numId w:val="0"/>
        </w:numPr>
      </w:pPr>
    </w:p>
    <w:p w14:paraId="4E2023B7" w14:textId="2B3A62BB" w:rsidR="000A2D48" w:rsidRPr="0057506F" w:rsidRDefault="000A2D48" w:rsidP="004B52C2">
      <w:pPr>
        <w:pStyle w:val="PwCNormal"/>
        <w:numPr>
          <w:ilvl w:val="0"/>
          <w:numId w:val="0"/>
        </w:numPr>
      </w:pPr>
      <w:bookmarkStart w:id="257" w:name="_Toc150158830"/>
      <w:bookmarkStart w:id="258" w:name="_Toc152054531"/>
      <w:bookmarkStart w:id="259" w:name="_Toc175455170"/>
      <w:bookmarkStart w:id="260" w:name="_Toc188929763"/>
      <w:bookmarkStart w:id="261" w:name="_Toc190831168"/>
      <w:bookmarkStart w:id="262" w:name="_Toc190831919"/>
      <w:bookmarkStart w:id="263" w:name="_Toc222740491"/>
      <w:bookmarkStart w:id="264" w:name="_Toc222797936"/>
      <w:bookmarkStart w:id="265" w:name="_Toc222812200"/>
      <w:bookmarkStart w:id="266" w:name="_Toc222812227"/>
      <w:bookmarkStart w:id="267" w:name="_Toc222812328"/>
      <w:bookmarkStart w:id="268" w:name="_Toc222812365"/>
      <w:bookmarkStart w:id="269" w:name="_Toc225761846"/>
      <w:bookmarkStart w:id="270" w:name="_Toc225761870"/>
      <w:bookmarkStart w:id="271" w:name="_Toc225761910"/>
      <w:bookmarkStart w:id="272" w:name="_Toc225761938"/>
      <w:bookmarkStart w:id="273" w:name="_Toc225761943"/>
      <w:bookmarkStart w:id="274" w:name="_Toc225761966"/>
      <w:bookmarkStart w:id="275" w:name="_Toc225761994"/>
      <w:bookmarkStart w:id="276" w:name="_Toc225762001"/>
      <w:bookmarkStart w:id="277" w:name="_Toc225762006"/>
      <w:bookmarkStart w:id="278" w:name="_Toc225762012"/>
      <w:bookmarkStart w:id="279" w:name="_Toc225762175"/>
      <w:bookmarkStart w:id="280" w:name="_Toc225762181"/>
      <w:bookmarkStart w:id="281" w:name="_Toc225762203"/>
      <w:bookmarkStart w:id="282" w:name="_Toc225763053"/>
      <w:bookmarkStart w:id="283" w:name="_Toc225910585"/>
      <w:bookmarkStart w:id="284" w:name="_Toc225910639"/>
      <w:bookmarkStart w:id="285" w:name="_Toc225910665"/>
      <w:bookmarkStart w:id="286" w:name="_Toc225910695"/>
      <w:bookmarkStart w:id="287" w:name="_Toc225911504"/>
      <w:bookmarkStart w:id="288" w:name="_Toc225911520"/>
      <w:bookmarkStart w:id="289" w:name="_Toc225912405"/>
      <w:bookmarkStart w:id="290" w:name="_Toc225912871"/>
      <w:bookmarkStart w:id="291" w:name="_Toc225913057"/>
      <w:bookmarkStart w:id="292" w:name="_Toc225913091"/>
      <w:bookmarkStart w:id="293" w:name="_Toc225913280"/>
      <w:bookmarkEnd w:id="5"/>
      <w:bookmarkEnd w:id="6"/>
      <w:bookmarkEnd w:id="7"/>
      <w:bookmarkEnd w:id="8"/>
      <w:bookmarkEnd w:id="9"/>
      <w:bookmarkEnd w:id="10"/>
      <w:bookmarkEnd w:id="11"/>
      <w:bookmarkEnd w:id="12"/>
      <w:bookmarkEnd w:id="13"/>
      <w:bookmarkEnd w:id="14"/>
      <w:bookmarkEnd w:id="15"/>
      <w:bookmarkEnd w:id="16"/>
      <w:bookmarkEnd w:id="17"/>
      <w:bookmarkEnd w:id="63"/>
      <w:bookmarkEnd w:id="64"/>
    </w:p>
    <w:p w14:paraId="288A79BB" w14:textId="77777777" w:rsidR="000A2D48" w:rsidRPr="0057506F" w:rsidRDefault="000A2D48" w:rsidP="004B52C2">
      <w:pPr>
        <w:pStyle w:val="PwCNormal"/>
        <w:numPr>
          <w:ilvl w:val="0"/>
          <w:numId w:val="0"/>
        </w:numPr>
        <w:sectPr w:rsidR="000A2D48" w:rsidRPr="0057506F" w:rsidSect="003A0F56">
          <w:headerReference w:type="even" r:id="rId176"/>
          <w:headerReference w:type="first" r:id="rId177"/>
          <w:footerReference w:type="first" r:id="rId178"/>
          <w:pgSz w:w="11907" w:h="16840" w:code="9"/>
          <w:pgMar w:top="1588" w:right="1021" w:bottom="1418" w:left="1021" w:header="567" w:footer="567" w:gutter="0"/>
          <w:cols w:space="227"/>
          <w:docGrid w:linePitch="360"/>
        </w:sectPr>
      </w:pPr>
    </w:p>
    <w:p w14:paraId="44C9E174" w14:textId="38C4B940" w:rsidR="008A422D" w:rsidRPr="005B00F6" w:rsidRDefault="000702F7" w:rsidP="004B52C2">
      <w:pPr>
        <w:pStyle w:val="Heading1Appendix"/>
      </w:pPr>
      <w:bookmarkStart w:id="294" w:name="_Toc506388239"/>
      <w:r w:rsidRPr="005B00F6">
        <w:rPr>
          <w:noProof/>
          <w:snapToGrid/>
          <w:lang w:eastAsia="en-AU"/>
        </w:rPr>
        <w:lastRenderedPageBreak/>
        <w:drawing>
          <wp:anchor distT="0" distB="0" distL="114300" distR="114300" simplePos="0" relativeHeight="251653120" behindDoc="0" locked="0" layoutInCell="1" allowOverlap="1" wp14:anchorId="70889053" wp14:editId="0D7B89AA">
            <wp:simplePos x="0" y="0"/>
            <wp:positionH relativeFrom="column">
              <wp:posOffset>-495300</wp:posOffset>
            </wp:positionH>
            <wp:positionV relativeFrom="paragraph">
              <wp:posOffset>-863600</wp:posOffset>
            </wp:positionV>
            <wp:extent cx="7271385" cy="4579620"/>
            <wp:effectExtent l="0" t="0" r="5715" b="0"/>
            <wp:wrapNone/>
            <wp:docPr id="387" name="Picture 387" descr="A female student with a backpack, smiling and holding a folder." title="A female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wcau\mel$\Data\IFS\Williams Lea\Client Work\127028556_Department of Social\127028556_DSS Proposal 4 Folder\Links\iStock_000020611316Large.jpg"/>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a:stretch/>
                  </pic:blipFill>
                  <pic:spPr bwMode="auto">
                    <a:xfrm>
                      <a:off x="0" y="0"/>
                      <a:ext cx="7271385" cy="4579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22D" w:rsidRPr="005B00F6">
        <w:t>Appendices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17B3F244" w14:textId="77777777" w:rsidR="000061F7" w:rsidRDefault="0037093B">
      <w:pPr>
        <w:pStyle w:val="TOC2"/>
        <w:tabs>
          <w:tab w:val="left" w:pos="4253"/>
        </w:tabs>
        <w:rPr>
          <w:rFonts w:eastAsiaTheme="minorEastAsia" w:cstheme="minorBidi"/>
          <w:b w:val="0"/>
          <w:snapToGrid/>
          <w:sz w:val="22"/>
          <w:szCs w:val="22"/>
          <w:lang w:eastAsia="en-AU"/>
        </w:rPr>
      </w:pPr>
      <w:r w:rsidRPr="009210D0">
        <w:rPr>
          <w:b w:val="0"/>
          <w:highlight w:val="yellow"/>
        </w:rPr>
        <w:fldChar w:fldCharType="begin"/>
      </w:r>
      <w:r w:rsidRPr="009210D0">
        <w:rPr>
          <w:b w:val="0"/>
          <w:highlight w:val="yellow"/>
        </w:rPr>
        <w:instrText xml:space="preserve"> TOC \t "Heading 2 Appendix,2" </w:instrText>
      </w:r>
      <w:r w:rsidRPr="009210D0">
        <w:rPr>
          <w:b w:val="0"/>
          <w:highlight w:val="yellow"/>
        </w:rPr>
        <w:fldChar w:fldCharType="separate"/>
      </w:r>
      <w:r w:rsidR="000061F7">
        <w:t>Appendix A</w:t>
      </w:r>
      <w:r w:rsidR="000061F7">
        <w:rPr>
          <w:rFonts w:eastAsiaTheme="minorEastAsia" w:cstheme="minorBidi"/>
          <w:b w:val="0"/>
          <w:snapToGrid/>
          <w:sz w:val="22"/>
          <w:szCs w:val="22"/>
          <w:lang w:eastAsia="en-AU"/>
        </w:rPr>
        <w:tab/>
      </w:r>
      <w:r w:rsidR="000061F7">
        <w:t>Glossary</w:t>
      </w:r>
      <w:r w:rsidR="000061F7">
        <w:tab/>
      </w:r>
      <w:r w:rsidR="000061F7">
        <w:fldChar w:fldCharType="begin"/>
      </w:r>
      <w:r w:rsidR="000061F7">
        <w:instrText xml:space="preserve"> PAGEREF _Toc506388240 \h </w:instrText>
      </w:r>
      <w:r w:rsidR="000061F7">
        <w:fldChar w:fldCharType="separate"/>
      </w:r>
      <w:r w:rsidR="00C93C1A">
        <w:t>153</w:t>
      </w:r>
      <w:r w:rsidR="000061F7">
        <w:fldChar w:fldCharType="end"/>
      </w:r>
    </w:p>
    <w:p w14:paraId="6D61D179" w14:textId="77777777" w:rsidR="000061F7" w:rsidRDefault="000061F7">
      <w:pPr>
        <w:pStyle w:val="TOC2"/>
        <w:tabs>
          <w:tab w:val="left" w:pos="4253"/>
        </w:tabs>
        <w:rPr>
          <w:rFonts w:eastAsiaTheme="minorEastAsia" w:cstheme="minorBidi"/>
          <w:b w:val="0"/>
          <w:snapToGrid/>
          <w:sz w:val="22"/>
          <w:szCs w:val="22"/>
          <w:lang w:eastAsia="en-AU"/>
        </w:rPr>
      </w:pPr>
      <w:r>
        <w:t>Appendix B</w:t>
      </w:r>
      <w:r>
        <w:rPr>
          <w:rFonts w:eastAsiaTheme="minorEastAsia" w:cstheme="minorBidi"/>
          <w:b w:val="0"/>
          <w:snapToGrid/>
          <w:sz w:val="22"/>
          <w:szCs w:val="22"/>
          <w:lang w:eastAsia="en-AU"/>
        </w:rPr>
        <w:tab/>
      </w:r>
      <w:r>
        <w:t>Policy changes</w:t>
      </w:r>
      <w:r>
        <w:tab/>
      </w:r>
      <w:r>
        <w:fldChar w:fldCharType="begin"/>
      </w:r>
      <w:r>
        <w:instrText xml:space="preserve"> PAGEREF _Toc506388241 \h </w:instrText>
      </w:r>
      <w:r>
        <w:fldChar w:fldCharType="separate"/>
      </w:r>
      <w:r w:rsidR="00C93C1A">
        <w:t>156</w:t>
      </w:r>
      <w:r>
        <w:fldChar w:fldCharType="end"/>
      </w:r>
    </w:p>
    <w:p w14:paraId="411A4942" w14:textId="77777777" w:rsidR="008A422D" w:rsidRPr="009210D0" w:rsidRDefault="0037093B" w:rsidP="00124924">
      <w:pPr>
        <w:pStyle w:val="PwCNormal"/>
        <w:rPr>
          <w:highlight w:val="yellow"/>
        </w:rPr>
        <w:sectPr w:rsidR="008A422D" w:rsidRPr="009210D0" w:rsidSect="000061F7">
          <w:headerReference w:type="even" r:id="rId180"/>
          <w:headerReference w:type="default" r:id="rId181"/>
          <w:headerReference w:type="first" r:id="rId182"/>
          <w:footerReference w:type="first" r:id="rId183"/>
          <w:type w:val="evenPage"/>
          <w:pgSz w:w="11907" w:h="16840" w:code="9"/>
          <w:pgMar w:top="1588" w:right="1021" w:bottom="1418" w:left="1021" w:header="567" w:footer="567" w:gutter="0"/>
          <w:cols w:space="227"/>
          <w:docGrid w:linePitch="360"/>
        </w:sectPr>
      </w:pPr>
      <w:r w:rsidRPr="009210D0">
        <w:rPr>
          <w:b/>
          <w:noProof/>
          <w:color w:val="auto"/>
          <w:highlight w:val="yellow"/>
        </w:rPr>
        <w:fldChar w:fldCharType="end"/>
      </w:r>
    </w:p>
    <w:p w14:paraId="06405872" w14:textId="24ECAACC" w:rsidR="008F15C0" w:rsidRPr="00F63267" w:rsidRDefault="008F15C0" w:rsidP="008F15C0">
      <w:pPr>
        <w:pStyle w:val="Heading2Appendix"/>
      </w:pPr>
      <w:bookmarkStart w:id="295" w:name="_Toc433971929"/>
      <w:bookmarkStart w:id="296" w:name="_Toc433971930"/>
      <w:bookmarkStart w:id="297" w:name="_Toc433972035"/>
      <w:bookmarkStart w:id="298" w:name="_Toc433972123"/>
      <w:bookmarkStart w:id="299" w:name="_Toc433972127"/>
      <w:bookmarkStart w:id="300" w:name="_Toc433972131"/>
      <w:bookmarkStart w:id="301" w:name="_Toc433972135"/>
      <w:bookmarkStart w:id="302" w:name="_Toc433972139"/>
      <w:bookmarkStart w:id="303" w:name="_Toc433670472"/>
      <w:bookmarkStart w:id="304" w:name="_Toc433670473"/>
      <w:bookmarkStart w:id="305" w:name="_Toc448305767"/>
      <w:bookmarkStart w:id="306" w:name="_Toc448305997"/>
      <w:bookmarkStart w:id="307" w:name="_Toc448305768"/>
      <w:bookmarkStart w:id="308" w:name="_Toc448305998"/>
      <w:bookmarkStart w:id="309" w:name="_Toc448305769"/>
      <w:bookmarkStart w:id="310" w:name="_Toc448305999"/>
      <w:bookmarkStart w:id="311" w:name="_Toc448305770"/>
      <w:bookmarkStart w:id="312" w:name="_Toc448306000"/>
      <w:bookmarkStart w:id="313" w:name="_Toc448305771"/>
      <w:bookmarkStart w:id="314" w:name="_Toc448306001"/>
      <w:bookmarkStart w:id="315" w:name="_Toc448305772"/>
      <w:bookmarkStart w:id="316" w:name="_Toc448306002"/>
      <w:bookmarkStart w:id="317" w:name="_Toc448305823"/>
      <w:bookmarkStart w:id="318" w:name="_Toc448306053"/>
      <w:bookmarkStart w:id="319" w:name="_Toc448305824"/>
      <w:bookmarkStart w:id="320" w:name="_Toc448306054"/>
      <w:bookmarkStart w:id="321" w:name="_Toc448305825"/>
      <w:bookmarkStart w:id="322" w:name="_Toc448306055"/>
      <w:bookmarkStart w:id="323" w:name="_Toc448305826"/>
      <w:bookmarkStart w:id="324" w:name="_Toc448306056"/>
      <w:bookmarkStart w:id="325" w:name="_Toc448305827"/>
      <w:bookmarkStart w:id="326" w:name="_Toc448306057"/>
      <w:bookmarkStart w:id="327" w:name="_Toc448305828"/>
      <w:bookmarkStart w:id="328" w:name="_Toc448306058"/>
      <w:bookmarkStart w:id="329" w:name="_Toc448305829"/>
      <w:bookmarkStart w:id="330" w:name="_Toc448306059"/>
      <w:bookmarkStart w:id="331" w:name="_Toc448305830"/>
      <w:bookmarkStart w:id="332" w:name="_Toc448306060"/>
      <w:bookmarkStart w:id="333" w:name="_Toc448305831"/>
      <w:bookmarkStart w:id="334" w:name="_Toc448306061"/>
      <w:bookmarkStart w:id="335" w:name="_Toc448305988"/>
      <w:bookmarkStart w:id="336" w:name="_Toc448306218"/>
      <w:bookmarkStart w:id="337" w:name="_Toc448305992"/>
      <w:bookmarkStart w:id="338" w:name="_Toc448306222"/>
      <w:bookmarkStart w:id="339" w:name="_Ref436556771"/>
      <w:bookmarkStart w:id="340" w:name="_Ref436556782"/>
      <w:bookmarkStart w:id="341" w:name="_Toc455499479"/>
      <w:bookmarkStart w:id="342" w:name="_Toc455502500"/>
      <w:bookmarkStart w:id="343" w:name="_Toc506388240"/>
      <w:bookmarkStart w:id="344" w:name="_Ref437259896"/>
      <w:bookmarkStart w:id="345" w:name="_Toc455499476"/>
      <w:bookmarkStart w:id="346" w:name="_Toc455502497"/>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F63267">
        <w:lastRenderedPageBreak/>
        <w:t>Glossary</w:t>
      </w:r>
      <w:bookmarkEnd w:id="339"/>
      <w:bookmarkEnd w:id="340"/>
      <w:bookmarkEnd w:id="341"/>
      <w:bookmarkEnd w:id="342"/>
      <w:bookmarkEnd w:id="343"/>
    </w:p>
    <w:p w14:paraId="724A7B34" w14:textId="77777777" w:rsidR="008F15C0" w:rsidRPr="00F63267" w:rsidRDefault="008F15C0" w:rsidP="008F15C0">
      <w:pPr>
        <w:pStyle w:val="StyleTableTextNormal9ptText2Before3ptAfter2pt"/>
        <w:spacing w:before="80" w:after="0"/>
        <w:rPr>
          <w:color w:val="000000" w:themeColor="text1"/>
          <w:szCs w:val="18"/>
        </w:rPr>
      </w:pPr>
      <w:r w:rsidRPr="00FD4E29">
        <w:t>Actuarial</w:t>
      </w:r>
      <w:r w:rsidRPr="00F63267">
        <w:t xml:space="preserve"> Valuation</w:t>
      </w:r>
      <w:r w:rsidRPr="00F63267">
        <w:br/>
      </w:r>
      <w:r w:rsidRPr="00F63267">
        <w:rPr>
          <w:color w:val="000000" w:themeColor="text1"/>
          <w:szCs w:val="18"/>
        </w:rPr>
        <w:t>Estimation of the lifetime cost to the Australian government of future social security payments using generally accepted actuarial principles.</w:t>
      </w:r>
    </w:p>
    <w:p w14:paraId="2E6576CC" w14:textId="77777777" w:rsidR="008F15C0" w:rsidRPr="00F63267" w:rsidRDefault="008F15C0" w:rsidP="008F15C0">
      <w:pPr>
        <w:pStyle w:val="StyleTableTextNormal9ptText2Before3ptAfter2pt"/>
        <w:spacing w:before="80" w:after="0"/>
        <w:rPr>
          <w:color w:val="000000" w:themeColor="text1"/>
          <w:szCs w:val="18"/>
        </w:rPr>
      </w:pPr>
      <w:r w:rsidRPr="00F63267">
        <w:t>Allowances</w:t>
      </w:r>
      <w:r w:rsidRPr="00F63267">
        <w:br/>
      </w:r>
      <w:r w:rsidRPr="00F63267">
        <w:rPr>
          <w:color w:val="000000" w:themeColor="text1"/>
          <w:szCs w:val="18"/>
        </w:rPr>
        <w:t>Allowances provide income support and access to a range of concessions for eligible Australians. The term Allowance is used by the Department to refer to income support payments that are generally at lower payment levels than Pensions.</w:t>
      </w:r>
    </w:p>
    <w:p w14:paraId="058B4229" w14:textId="77777777" w:rsidR="008F15C0" w:rsidRPr="00F63267" w:rsidRDefault="008F15C0" w:rsidP="008F15C0">
      <w:pPr>
        <w:pStyle w:val="StyleTableTextNormal9ptText2Before3ptAfter2pt"/>
        <w:spacing w:before="80" w:after="0"/>
        <w:rPr>
          <w:color w:val="000000" w:themeColor="text1"/>
          <w:szCs w:val="18"/>
        </w:rPr>
      </w:pPr>
      <w:r w:rsidRPr="00F63267">
        <w:t>Assumptions</w:t>
      </w:r>
      <w:r w:rsidRPr="00F63267">
        <w:br/>
      </w:r>
      <w:r w:rsidRPr="00F63267">
        <w:rPr>
          <w:color w:val="000000" w:themeColor="text1"/>
          <w:szCs w:val="18"/>
        </w:rPr>
        <w:t>Assumptions are the parameters that guide the model - these include ‘macro’ assumptions such as economic forecasts and demographic assumptions; and ‘micro’ assumptions such as probabilities of individuals moving into and through the welfare system based on various risk factors.</w:t>
      </w:r>
    </w:p>
    <w:p w14:paraId="4A75CE66" w14:textId="579EE9D8" w:rsidR="008F15C0" w:rsidRPr="00F63267" w:rsidRDefault="008F15C0" w:rsidP="008F15C0">
      <w:pPr>
        <w:pStyle w:val="StyleTableTextNormal9ptText2Before3ptAfter2pt"/>
        <w:spacing w:before="80" w:after="0"/>
        <w:rPr>
          <w:color w:val="000000" w:themeColor="text1"/>
          <w:szCs w:val="18"/>
        </w:rPr>
      </w:pPr>
      <w:r w:rsidRPr="00F63267">
        <w:t>Group</w:t>
      </w:r>
      <w:r w:rsidRPr="00F63267">
        <w:br/>
      </w:r>
      <w:r w:rsidRPr="00F63267">
        <w:rPr>
          <w:color w:val="000000" w:themeColor="text1"/>
          <w:szCs w:val="18"/>
        </w:rPr>
        <w:t>In this report we have used the term group to refer to a group of people defined by a set of common characteristics in the model - for example , a group could be "females aged 20 to 24 who were in welfare class ‘</w:t>
      </w:r>
      <w:r w:rsidR="003C32DF">
        <w:rPr>
          <w:color w:val="000000" w:themeColor="text1"/>
          <w:szCs w:val="18"/>
        </w:rPr>
        <w:t>S</w:t>
      </w:r>
      <w:r w:rsidRPr="00F63267">
        <w:rPr>
          <w:color w:val="000000" w:themeColor="text1"/>
          <w:szCs w:val="18"/>
        </w:rPr>
        <w:t>tudying’ in 2014/15" or could be "male carers". Generally, groups will be defined by the model structure and individual’s characteristics.</w:t>
      </w:r>
    </w:p>
    <w:p w14:paraId="247BFF0A" w14:textId="77777777" w:rsidR="008F15C0" w:rsidRPr="00F63267" w:rsidRDefault="008F15C0" w:rsidP="008F15C0">
      <w:pPr>
        <w:pStyle w:val="StyleTableTextNormal9ptText2Before3ptAfter2pt"/>
        <w:spacing w:before="80" w:after="0"/>
        <w:rPr>
          <w:color w:val="000000" w:themeColor="text1"/>
          <w:szCs w:val="18"/>
        </w:rPr>
      </w:pPr>
      <w:r w:rsidRPr="00F63267">
        <w:t>Data</w:t>
      </w:r>
      <w:r w:rsidRPr="00F63267">
        <w:br/>
      </w:r>
      <w:r w:rsidRPr="00F63267">
        <w:rPr>
          <w:color w:val="000000" w:themeColor="text1"/>
          <w:szCs w:val="18"/>
        </w:rPr>
        <w:t>Data</w:t>
      </w:r>
      <w:r w:rsidRPr="00F63267">
        <w:rPr>
          <w:b/>
          <w:color w:val="000000" w:themeColor="text1"/>
          <w:szCs w:val="18"/>
        </w:rPr>
        <w:t xml:space="preserve"> </w:t>
      </w:r>
      <w:r w:rsidRPr="00F63267">
        <w:rPr>
          <w:color w:val="000000" w:themeColor="text1"/>
          <w:szCs w:val="18"/>
        </w:rPr>
        <w:t>refers to sets of information that are being used to inform the project.</w:t>
      </w:r>
    </w:p>
    <w:p w14:paraId="43F3F042" w14:textId="77777777" w:rsidR="008F15C0" w:rsidRDefault="008F15C0" w:rsidP="008F15C0">
      <w:pPr>
        <w:pStyle w:val="StyleTableTextNormal9ptText2Before3ptAfter2pt"/>
        <w:spacing w:before="80" w:after="0"/>
        <w:rPr>
          <w:color w:val="000000" w:themeColor="text1"/>
          <w:szCs w:val="18"/>
        </w:rPr>
      </w:pPr>
      <w:r w:rsidRPr="00F63267">
        <w:t>Datasets</w:t>
      </w:r>
      <w:r w:rsidRPr="00F63267">
        <w:br/>
      </w:r>
      <w:r w:rsidRPr="00F63267">
        <w:rPr>
          <w:color w:val="000000" w:themeColor="text1"/>
          <w:szCs w:val="18"/>
        </w:rPr>
        <w:t>A set of values of qualitative (characters) or quantitative (numbers) variables that is data coded in a form suitable for using in analysis.</w:t>
      </w:r>
    </w:p>
    <w:p w14:paraId="0FA1CE7C" w14:textId="618AD0D8" w:rsidR="008B49AF" w:rsidRPr="00F63267" w:rsidRDefault="008B49AF" w:rsidP="009D0800">
      <w:pPr>
        <w:pStyle w:val="StyleTableTextNormal9ptText2Before3ptAfter2pt"/>
        <w:spacing w:before="80" w:after="0"/>
        <w:rPr>
          <w:color w:val="000000" w:themeColor="text1"/>
          <w:szCs w:val="18"/>
        </w:rPr>
      </w:pPr>
      <w:r>
        <w:t>Data maturity</w:t>
      </w:r>
      <w:r w:rsidRPr="00F63267">
        <w:br/>
      </w:r>
      <w:r w:rsidR="006F54B5">
        <w:rPr>
          <w:color w:val="000000" w:themeColor="text1"/>
          <w:szCs w:val="18"/>
        </w:rPr>
        <w:t>The model data is built by attributing payment information into the year in which a welfare recipient was entitled to a payment (which may differ in some cases from the year when the payment was actually received). The data includes all information known and recorded up to the valuation date</w:t>
      </w:r>
      <w:r w:rsidR="009D0800">
        <w:rPr>
          <w:color w:val="000000" w:themeColor="text1"/>
          <w:szCs w:val="18"/>
        </w:rPr>
        <w:t>,</w:t>
      </w:r>
      <w:r w:rsidR="006F54B5">
        <w:rPr>
          <w:color w:val="000000" w:themeColor="text1"/>
          <w:szCs w:val="18"/>
        </w:rPr>
        <w:t xml:space="preserve"> </w:t>
      </w:r>
      <w:r w:rsidR="009D0800">
        <w:rPr>
          <w:color w:val="000000" w:themeColor="text1"/>
          <w:szCs w:val="18"/>
        </w:rPr>
        <w:t xml:space="preserve">which is also </w:t>
      </w:r>
      <w:r w:rsidR="006F54B5">
        <w:rPr>
          <w:color w:val="000000" w:themeColor="text1"/>
          <w:szCs w:val="18"/>
        </w:rPr>
        <w:t>the ‘as known at’ date</w:t>
      </w:r>
      <w:r w:rsidR="009D0800">
        <w:rPr>
          <w:color w:val="000000" w:themeColor="text1"/>
          <w:szCs w:val="18"/>
        </w:rPr>
        <w:t xml:space="preserve"> for the data</w:t>
      </w:r>
      <w:r w:rsidR="006F54B5">
        <w:rPr>
          <w:color w:val="000000" w:themeColor="text1"/>
          <w:szCs w:val="18"/>
        </w:rPr>
        <w:t xml:space="preserve">. In some cases further information about a </w:t>
      </w:r>
      <w:r w:rsidR="009D0800">
        <w:rPr>
          <w:color w:val="000000" w:themeColor="text1"/>
          <w:szCs w:val="18"/>
        </w:rPr>
        <w:t xml:space="preserve">previous </w:t>
      </w:r>
      <w:r w:rsidR="006F54B5">
        <w:rPr>
          <w:color w:val="000000" w:themeColor="text1"/>
          <w:szCs w:val="18"/>
        </w:rPr>
        <w:t>entitlement year will only be known at a later date, and the currently known da</w:t>
      </w:r>
      <w:r w:rsidR="009D0800">
        <w:rPr>
          <w:color w:val="000000" w:themeColor="text1"/>
          <w:szCs w:val="18"/>
        </w:rPr>
        <w:t>ta is said to be immature in the</w:t>
      </w:r>
      <w:r w:rsidR="006F54B5">
        <w:rPr>
          <w:color w:val="000000" w:themeColor="text1"/>
          <w:szCs w:val="18"/>
        </w:rPr>
        <w:t>s</w:t>
      </w:r>
      <w:r w:rsidR="009D0800">
        <w:rPr>
          <w:color w:val="000000" w:themeColor="text1"/>
          <w:szCs w:val="18"/>
        </w:rPr>
        <w:t>e</w:t>
      </w:r>
      <w:r w:rsidR="006F54B5">
        <w:rPr>
          <w:color w:val="000000" w:themeColor="text1"/>
          <w:szCs w:val="18"/>
        </w:rPr>
        <w:t xml:space="preserve"> case</w:t>
      </w:r>
      <w:r w:rsidR="009D0800">
        <w:rPr>
          <w:color w:val="000000" w:themeColor="text1"/>
          <w:szCs w:val="18"/>
        </w:rPr>
        <w:t>s</w:t>
      </w:r>
      <w:r w:rsidR="006F54B5">
        <w:rPr>
          <w:color w:val="000000" w:themeColor="text1"/>
          <w:szCs w:val="18"/>
        </w:rPr>
        <w:t xml:space="preserve">. </w:t>
      </w:r>
      <w:r w:rsidR="009D0800">
        <w:rPr>
          <w:color w:val="000000" w:themeColor="text1"/>
          <w:szCs w:val="18"/>
        </w:rPr>
        <w:t xml:space="preserve">The main maturity issues noted in the valuation relate to the latest entitlement year and a key example is FTB which is received through the tax system and is often only claimed after the end of the year of entitlement. The model makes various adjustments to allow for the impact of data maturity. </w:t>
      </w:r>
    </w:p>
    <w:p w14:paraId="0054F4B7" w14:textId="77777777" w:rsidR="008F15C0" w:rsidRDefault="008F15C0" w:rsidP="008F15C0">
      <w:pPr>
        <w:pStyle w:val="StyleTableTextNormal9ptText2Before3ptAfter2pt"/>
        <w:spacing w:before="80" w:after="0"/>
        <w:rPr>
          <w:color w:val="000000" w:themeColor="text1"/>
          <w:szCs w:val="18"/>
        </w:rPr>
      </w:pPr>
      <w:r w:rsidRPr="00F63267">
        <w:t>Discounting</w:t>
      </w:r>
      <w:r w:rsidRPr="00F63267">
        <w:br/>
      </w:r>
      <w:r w:rsidRPr="00F63267">
        <w:rPr>
          <w:color w:val="000000" w:themeColor="text1"/>
          <w:szCs w:val="18"/>
        </w:rPr>
        <w:t>The process of determining the present value of a payment or a stream of payments that is to be received in the future. Given the time value of money, a dollar is worth more today than it would be worth tomorrow given its capacity to earn interest.</w:t>
      </w:r>
    </w:p>
    <w:p w14:paraId="171BA1B3" w14:textId="03B6F1F5" w:rsidR="00DE5F7D" w:rsidRPr="00DE5F7D" w:rsidRDefault="00DE5F7D" w:rsidP="00DE5F7D">
      <w:pPr>
        <w:pStyle w:val="Bullet1"/>
        <w:numPr>
          <w:ilvl w:val="0"/>
          <w:numId w:val="0"/>
        </w:numPr>
        <w:rPr>
          <w:rFonts w:cs="Times New Roman"/>
          <w:color w:val="000000" w:themeColor="text1"/>
          <w:sz w:val="18"/>
        </w:rPr>
      </w:pPr>
      <w:r w:rsidRPr="00371ABF">
        <w:rPr>
          <w:rFonts w:cs="Times New Roman"/>
          <w:color w:val="E0301E"/>
          <w:sz w:val="18"/>
        </w:rPr>
        <w:t>Duration on welfare</w:t>
      </w:r>
      <w:r>
        <w:br/>
      </w:r>
      <w:r w:rsidRPr="00371ABF">
        <w:rPr>
          <w:rFonts w:cs="Times New Roman"/>
          <w:color w:val="000000" w:themeColor="text1"/>
          <w:sz w:val="18"/>
        </w:rPr>
        <w:t>The number of financial years in which an individual has received a welfare payment. This includes income support payments as well as non income support payments.</w:t>
      </w:r>
    </w:p>
    <w:p w14:paraId="563CB0B3" w14:textId="77777777" w:rsidR="008F15C0" w:rsidRPr="00F63267" w:rsidRDefault="008F15C0" w:rsidP="008F15C0">
      <w:pPr>
        <w:pStyle w:val="StyleTableTextNormal9ptText2Before3ptAfter2pt"/>
        <w:spacing w:before="80" w:after="0"/>
        <w:rPr>
          <w:color w:val="000000" w:themeColor="text1"/>
          <w:szCs w:val="18"/>
        </w:rPr>
      </w:pPr>
      <w:r w:rsidRPr="00F63267">
        <w:t>Dynamic</w:t>
      </w:r>
      <w:r w:rsidRPr="00F63267">
        <w:br/>
      </w:r>
      <w:r w:rsidRPr="00F63267">
        <w:rPr>
          <w:color w:val="000000" w:themeColor="text1"/>
          <w:szCs w:val="18"/>
        </w:rPr>
        <w:t>A term we are using to describe information or data variables that change with the progression of time (e.g. a person’s partner status).</w:t>
      </w:r>
    </w:p>
    <w:p w14:paraId="7153A0E9" w14:textId="77777777" w:rsidR="008F15C0" w:rsidRDefault="008F15C0" w:rsidP="008F15C0">
      <w:pPr>
        <w:pStyle w:val="StyleTableTextNormal9ptText2Before3ptAfter2pt"/>
        <w:spacing w:before="80" w:after="0"/>
        <w:rPr>
          <w:color w:val="000000" w:themeColor="text1"/>
          <w:szCs w:val="18"/>
        </w:rPr>
      </w:pPr>
      <w:r w:rsidRPr="00F63267">
        <w:t>Flow assumptions</w:t>
      </w:r>
      <w:r w:rsidRPr="00F63267">
        <w:br/>
      </w:r>
      <w:r w:rsidRPr="00F63267">
        <w:rPr>
          <w:color w:val="000000" w:themeColor="text1"/>
          <w:szCs w:val="18"/>
        </w:rPr>
        <w:t>This comprises the set of assumptions used to ascertain how each person’s individual demographic and risk characteristics change as time progresses.</w:t>
      </w:r>
    </w:p>
    <w:p w14:paraId="3492B040" w14:textId="28FCEDD5" w:rsidR="00371ABF" w:rsidRPr="00371ABF" w:rsidRDefault="00371ABF" w:rsidP="00371ABF">
      <w:pPr>
        <w:pStyle w:val="Bullet1"/>
        <w:numPr>
          <w:ilvl w:val="0"/>
          <w:numId w:val="0"/>
        </w:numPr>
        <w:rPr>
          <w:rFonts w:cs="Times New Roman"/>
          <w:color w:val="E0301E"/>
          <w:sz w:val="18"/>
        </w:rPr>
      </w:pPr>
      <w:r w:rsidRPr="00371ABF">
        <w:rPr>
          <w:rFonts w:cs="Times New Roman"/>
          <w:color w:val="E0301E"/>
          <w:sz w:val="18"/>
        </w:rPr>
        <w:t>Income support payments</w:t>
      </w:r>
      <w:r>
        <w:br/>
      </w:r>
      <w:r w:rsidRPr="00371ABF">
        <w:rPr>
          <w:rFonts w:cs="Times New Roman"/>
          <w:color w:val="000000" w:themeColor="text1"/>
          <w:sz w:val="18"/>
        </w:rPr>
        <w:t>A regular payment designed to assist with day to day living costs. Examples include Age Pension, Newstart Allowance, Disability Support Pension, Carer Payment and Parenting Payment. Other supplementary payments such as Family Tax Benefit and child care payments are referred to as non income support payments.</w:t>
      </w:r>
    </w:p>
    <w:p w14:paraId="305109B9" w14:textId="77777777" w:rsidR="008F15C0" w:rsidRPr="00F63267" w:rsidRDefault="008F15C0" w:rsidP="008F15C0">
      <w:pPr>
        <w:pStyle w:val="StyleTableTextNormal9ptText2Before3ptAfter2pt"/>
        <w:spacing w:before="80" w:after="0"/>
        <w:rPr>
          <w:color w:val="000000" w:themeColor="text1"/>
          <w:szCs w:val="18"/>
        </w:rPr>
      </w:pPr>
      <w:r w:rsidRPr="00F63267">
        <w:t>Indexation</w:t>
      </w:r>
      <w:r w:rsidRPr="00F63267">
        <w:br/>
      </w:r>
      <w:r w:rsidRPr="00F63267">
        <w:rPr>
          <w:color w:val="000000" w:themeColor="text1"/>
          <w:szCs w:val="18"/>
        </w:rPr>
        <w:t>Indexation is a technique to adjust payments by means of an index, in order to maintain the purchasing power of the payment after inflation.</w:t>
      </w:r>
    </w:p>
    <w:p w14:paraId="2FEEDA72" w14:textId="3A100A92" w:rsidR="008F15C0" w:rsidRPr="00F63267" w:rsidRDefault="008F15C0" w:rsidP="008F15C0">
      <w:pPr>
        <w:pStyle w:val="StyleTableTextNormal9ptText2Before3ptAfter2pt"/>
        <w:spacing w:before="80" w:after="0"/>
        <w:rPr>
          <w:color w:val="000000" w:themeColor="text1"/>
          <w:szCs w:val="18"/>
        </w:rPr>
      </w:pPr>
      <w:r w:rsidRPr="00F63267">
        <w:t>Liability</w:t>
      </w:r>
      <w:r w:rsidRPr="00F63267">
        <w:br/>
      </w:r>
      <w:r w:rsidR="00135DF3">
        <w:rPr>
          <w:color w:val="000000" w:themeColor="text1"/>
          <w:szCs w:val="18"/>
        </w:rPr>
        <w:t>In f</w:t>
      </w:r>
      <w:r w:rsidRPr="00F63267">
        <w:rPr>
          <w:color w:val="000000" w:themeColor="text1"/>
          <w:szCs w:val="18"/>
        </w:rPr>
        <w:t>inance, the term liability is used to refer to general obligations to make future payments. The specific meaning varies depending on the person using the term and context of its use. Actuaries may also use this term to describe the net present value of the cash flows arising from future obligations.</w:t>
      </w:r>
    </w:p>
    <w:p w14:paraId="793F11E4" w14:textId="77777777" w:rsidR="008F15C0" w:rsidRPr="00F63267" w:rsidRDefault="008F15C0" w:rsidP="008F15C0">
      <w:pPr>
        <w:pStyle w:val="StyleTableTextNormal9ptText2Before3ptAfter2pt"/>
        <w:spacing w:before="80" w:after="0"/>
        <w:rPr>
          <w:color w:val="000000" w:themeColor="text1"/>
          <w:szCs w:val="18"/>
        </w:rPr>
      </w:pPr>
      <w:r w:rsidRPr="00F63267">
        <w:t>Lifetime cost</w:t>
      </w:r>
      <w:r w:rsidRPr="00F63267">
        <w:br/>
      </w:r>
      <w:r w:rsidRPr="00F63267">
        <w:rPr>
          <w:color w:val="000000" w:themeColor="text1"/>
          <w:szCs w:val="18"/>
        </w:rPr>
        <w:t>For the investment model, the lifetime cost will be the net present value of all future welfare payments (to the in-scope population).</w:t>
      </w:r>
    </w:p>
    <w:p w14:paraId="039E46CD" w14:textId="77777777" w:rsidR="008F15C0" w:rsidRPr="00F63267" w:rsidRDefault="008F15C0" w:rsidP="008F15C0">
      <w:pPr>
        <w:pStyle w:val="StyleTableTextNormal9ptText2Before3ptAfter2pt"/>
        <w:spacing w:before="80" w:after="0"/>
        <w:rPr>
          <w:color w:val="000000" w:themeColor="text1"/>
          <w:szCs w:val="18"/>
        </w:rPr>
      </w:pPr>
      <w:r w:rsidRPr="00F63267">
        <w:t>Average lifetime Cost (future)</w:t>
      </w:r>
      <w:r w:rsidRPr="00F63267">
        <w:br/>
      </w:r>
      <w:r w:rsidRPr="00F63267">
        <w:rPr>
          <w:color w:val="000000" w:themeColor="text1"/>
          <w:szCs w:val="18"/>
        </w:rPr>
        <w:t>The net present value of the payments that we expect to be made to an individual over their future lifetime. Note that these will be assessed for groups of similar individuals, not for specific people.</w:t>
      </w:r>
    </w:p>
    <w:p w14:paraId="6A0EDA65" w14:textId="77777777" w:rsidR="008F15C0" w:rsidRPr="00F63267" w:rsidRDefault="008F15C0" w:rsidP="008F15C0">
      <w:pPr>
        <w:pStyle w:val="StyleTableTextNormal9ptText2Before3ptAfter2pt"/>
        <w:spacing w:before="80" w:after="0"/>
        <w:rPr>
          <w:color w:val="000000" w:themeColor="text1"/>
          <w:szCs w:val="18"/>
        </w:rPr>
      </w:pPr>
      <w:r w:rsidRPr="00F63267">
        <w:lastRenderedPageBreak/>
        <w:t>Method</w:t>
      </w:r>
      <w:r w:rsidRPr="00F63267">
        <w:br/>
      </w:r>
      <w:r w:rsidRPr="00F63267">
        <w:rPr>
          <w:color w:val="000000" w:themeColor="text1"/>
          <w:szCs w:val="18"/>
        </w:rPr>
        <w:t>The method refers to the description or specification of the process for selecting modelling techniques, taking the data, analysing it, developing or incorporating assumptions about the future, and projecting forward and summarising the expected welfare payments for each individual within the model population.</w:t>
      </w:r>
    </w:p>
    <w:p w14:paraId="56DD502C" w14:textId="77777777" w:rsidR="008F15C0" w:rsidRPr="00F63267" w:rsidRDefault="008F15C0" w:rsidP="008F15C0">
      <w:pPr>
        <w:pStyle w:val="StyleTableTextNormal9ptText2Before3ptAfter2pt"/>
        <w:spacing w:before="80" w:after="0"/>
        <w:rPr>
          <w:color w:val="000000" w:themeColor="text1"/>
          <w:szCs w:val="18"/>
        </w:rPr>
      </w:pPr>
      <w:r w:rsidRPr="00F63267">
        <w:t>Model</w:t>
      </w:r>
      <w:r w:rsidRPr="00F63267">
        <w:br/>
      </w:r>
      <w:r w:rsidRPr="00F63267">
        <w:rPr>
          <w:color w:val="000000" w:themeColor="text1"/>
          <w:szCs w:val="18"/>
        </w:rPr>
        <w:t>The model refers to the set of computer programs, spreadsheets, formulae, techniques and tools that are being built to apply the method. In a sense, the model is intended to represent, in a mathematical way, what happens to people as they move in, through and out of the social support system based on various assumptions. The model is a collection of modules and sub-components that fit together in applying the method.</w:t>
      </w:r>
    </w:p>
    <w:p w14:paraId="03598F04" w14:textId="77777777" w:rsidR="008F15C0" w:rsidRDefault="008F15C0" w:rsidP="008F15C0">
      <w:pPr>
        <w:pStyle w:val="StyleTableTextNormal9ptText2Before3ptAfter2pt"/>
        <w:spacing w:before="80" w:after="0"/>
        <w:rPr>
          <w:color w:val="000000" w:themeColor="text1"/>
          <w:szCs w:val="18"/>
        </w:rPr>
      </w:pPr>
      <w:r w:rsidRPr="00F63267">
        <w:t>Model population</w:t>
      </w:r>
      <w:r w:rsidRPr="00F63267">
        <w:br/>
      </w:r>
      <w:r w:rsidRPr="00F63267">
        <w:rPr>
          <w:color w:val="000000" w:themeColor="text1"/>
          <w:szCs w:val="18"/>
        </w:rPr>
        <w:t>The model population is the set of individual person records used in the model. The model design allows the model to be run for either a sample of the population or the whole population. Where the model is run for the entire model population, and not a sample, we refer to this as the full population.</w:t>
      </w:r>
    </w:p>
    <w:p w14:paraId="72730D3C" w14:textId="6ED5178A" w:rsidR="00DE5F7D" w:rsidRPr="00DE5F7D" w:rsidRDefault="00DE5F7D" w:rsidP="00DE5F7D">
      <w:pPr>
        <w:pStyle w:val="StyleTableTextNormal9ptText2Before3ptAfter2pt"/>
        <w:spacing w:before="120"/>
        <w:rPr>
          <w:color w:val="000000" w:themeColor="text1"/>
        </w:rPr>
      </w:pPr>
      <w:r w:rsidRPr="00D95A88">
        <w:t>Mutual obligation</w:t>
      </w:r>
      <w:r>
        <w:t xml:space="preserve"> requirement</w:t>
      </w:r>
      <w:r w:rsidRPr="00D95A88">
        <w:t>s</w:t>
      </w:r>
      <w:r>
        <w:br/>
      </w:r>
      <w:r w:rsidRPr="00371ABF">
        <w:rPr>
          <w:color w:val="000000" w:themeColor="text1"/>
        </w:rPr>
        <w:t>A set of activities that must be completed by an individual in order to receive Newstart Allowance, Youth Allowance as a job seeker, Parenting Payment Single after the recipient</w:t>
      </w:r>
      <w:r w:rsidR="00CA11BC">
        <w:rPr>
          <w:color w:val="000000" w:themeColor="text1"/>
        </w:rPr>
        <w:t>’</w:t>
      </w:r>
      <w:r w:rsidRPr="00371ABF">
        <w:rPr>
          <w:color w:val="000000" w:themeColor="text1"/>
        </w:rPr>
        <w:t>s youngest child turns 6, and some types of Special Benefit. Welfare recipients may be granted either a permanent o</w:t>
      </w:r>
      <w:r w:rsidR="00CA11BC">
        <w:rPr>
          <w:color w:val="000000" w:themeColor="text1"/>
        </w:rPr>
        <w:t>r</w:t>
      </w:r>
      <w:r w:rsidRPr="00371ABF">
        <w:rPr>
          <w:color w:val="000000" w:themeColor="text1"/>
        </w:rPr>
        <w:t xml:space="preserve"> a short-term exemption from these obligations in some situations, for example due to disability or a personal crisis.</w:t>
      </w:r>
    </w:p>
    <w:p w14:paraId="57CA0F4C" w14:textId="77777777" w:rsidR="008F15C0" w:rsidRDefault="008F15C0" w:rsidP="008F15C0">
      <w:pPr>
        <w:pStyle w:val="StyleTableTextNormal9ptText2Before3ptAfter2pt"/>
        <w:spacing w:before="120"/>
        <w:rPr>
          <w:color w:val="000000" w:themeColor="text1"/>
          <w:szCs w:val="18"/>
        </w:rPr>
      </w:pPr>
      <w:r w:rsidRPr="00F63267">
        <w:t xml:space="preserve">Net Present Value </w:t>
      </w:r>
      <w:r w:rsidRPr="00F63267">
        <w:br/>
      </w:r>
      <w:r w:rsidRPr="00F63267">
        <w:rPr>
          <w:color w:val="000000" w:themeColor="text1"/>
          <w:szCs w:val="18"/>
        </w:rPr>
        <w:t>The sum of the present values of incoming and outgoing cash flows over a period of time.</w:t>
      </w:r>
    </w:p>
    <w:p w14:paraId="4F5F3798" w14:textId="67047FF7" w:rsidR="00DE5F7D" w:rsidRPr="00DE5F7D" w:rsidRDefault="00DE5F7D" w:rsidP="00DE5F7D">
      <w:pPr>
        <w:pStyle w:val="Bullet1"/>
        <w:numPr>
          <w:ilvl w:val="0"/>
          <w:numId w:val="0"/>
        </w:numPr>
        <w:rPr>
          <w:rFonts w:cs="Times New Roman"/>
          <w:color w:val="000000" w:themeColor="text1"/>
          <w:sz w:val="18"/>
        </w:rPr>
      </w:pPr>
      <w:r w:rsidRPr="00371ABF">
        <w:rPr>
          <w:rFonts w:cs="Times New Roman"/>
          <w:color w:val="E0301E"/>
          <w:sz w:val="18"/>
        </w:rPr>
        <w:t>Parental welfare dependence</w:t>
      </w:r>
      <w:r>
        <w:br/>
      </w:r>
      <w:r w:rsidRPr="00371ABF">
        <w:rPr>
          <w:rFonts w:cs="Times New Roman"/>
          <w:color w:val="000000" w:themeColor="text1"/>
          <w:sz w:val="18"/>
        </w:rPr>
        <w:t>A measure of the level of welfare dependence of a person’s parents/guardians during the course of that person’s childhood (up to the age of 15). For the purposes of this parental welfare dependence we have only considered the use of income support payments (excluding the Aged Pension) by a person’s parents/guardians.</w:t>
      </w:r>
    </w:p>
    <w:p w14:paraId="7DB9C068" w14:textId="77777777" w:rsidR="008F15C0" w:rsidRPr="00F63267" w:rsidRDefault="008F15C0" w:rsidP="008F15C0">
      <w:pPr>
        <w:pStyle w:val="StyleTableTextNormal9ptText2Before3ptAfter2pt"/>
        <w:spacing w:before="120"/>
        <w:rPr>
          <w:color w:val="000000" w:themeColor="text1"/>
          <w:szCs w:val="18"/>
        </w:rPr>
      </w:pPr>
      <w:r w:rsidRPr="00F63267">
        <w:t>Payment</w:t>
      </w:r>
      <w:r w:rsidRPr="00F63267">
        <w:br/>
      </w:r>
      <w:r w:rsidRPr="00F63267">
        <w:rPr>
          <w:color w:val="000000" w:themeColor="text1"/>
          <w:szCs w:val="18"/>
        </w:rPr>
        <w:t>A generic term used to describe all the different types of benefits which an individual can be paid. Includes Pensions, Allowances, Entitlements etc.</w:t>
      </w:r>
    </w:p>
    <w:p w14:paraId="5A1741E7" w14:textId="77777777" w:rsidR="008F15C0" w:rsidRPr="00F63267" w:rsidRDefault="008F15C0" w:rsidP="008F15C0">
      <w:pPr>
        <w:pStyle w:val="StyleTableTextNormal9ptText2Before3ptAfter2pt"/>
        <w:spacing w:before="120"/>
        <w:rPr>
          <w:color w:val="000000" w:themeColor="text1"/>
          <w:szCs w:val="18"/>
        </w:rPr>
      </w:pPr>
      <w:r w:rsidRPr="00F63267">
        <w:t>Payment assumptions</w:t>
      </w:r>
      <w:r w:rsidRPr="00F63267">
        <w:br/>
      </w:r>
      <w:r w:rsidRPr="00F63267">
        <w:rPr>
          <w:color w:val="000000" w:themeColor="text1"/>
          <w:szCs w:val="18"/>
        </w:rPr>
        <w:t>The assumptions which describe the payments which individuals receive given that they use a specific Payment category.</w:t>
      </w:r>
    </w:p>
    <w:p w14:paraId="494818F4" w14:textId="77777777" w:rsidR="008F15C0" w:rsidRPr="00F63267" w:rsidRDefault="008F15C0" w:rsidP="008F15C0">
      <w:pPr>
        <w:pStyle w:val="StyleTableTextNormal9ptText2Before3ptAfter2pt"/>
        <w:spacing w:before="120"/>
        <w:rPr>
          <w:color w:val="000000" w:themeColor="text1"/>
          <w:szCs w:val="18"/>
        </w:rPr>
      </w:pPr>
      <w:r w:rsidRPr="00F63267">
        <w:t>Payment categories</w:t>
      </w:r>
      <w:r w:rsidRPr="00F63267">
        <w:br/>
      </w:r>
      <w:r w:rsidRPr="00F63267">
        <w:rPr>
          <w:color w:val="000000" w:themeColor="text1"/>
          <w:szCs w:val="18"/>
        </w:rPr>
        <w:t>The groupings of individual payment types used for modelling purposes.</w:t>
      </w:r>
    </w:p>
    <w:p w14:paraId="6DF220E7" w14:textId="77777777" w:rsidR="008F15C0" w:rsidRPr="00F63267" w:rsidRDefault="008F15C0" w:rsidP="008F15C0">
      <w:pPr>
        <w:pStyle w:val="StyleTableTextNormal9ptText2Before3ptAfter2pt"/>
        <w:spacing w:before="120"/>
        <w:rPr>
          <w:color w:val="000000" w:themeColor="text1"/>
          <w:szCs w:val="18"/>
        </w:rPr>
      </w:pPr>
      <w:r w:rsidRPr="00F63267">
        <w:t>Payment types</w:t>
      </w:r>
      <w:r w:rsidRPr="00F63267">
        <w:br/>
      </w:r>
      <w:r w:rsidRPr="00F63267">
        <w:rPr>
          <w:color w:val="000000" w:themeColor="text1"/>
          <w:szCs w:val="18"/>
        </w:rPr>
        <w:t>A term used to describe the labels which have been assigned to all the underlying payments so they can be considered for modelling purposes. The assignation has been through a mapping process with around 2,000 underlying payments being identified by codes and these mapped to around 100 payment types.</w:t>
      </w:r>
    </w:p>
    <w:p w14:paraId="7CE53D11" w14:textId="77777777" w:rsidR="008F15C0" w:rsidRPr="00F63267" w:rsidRDefault="008F15C0" w:rsidP="008F15C0">
      <w:pPr>
        <w:pStyle w:val="StyleTableTextNormal9ptText2Before3ptAfter2pt"/>
        <w:spacing w:before="120"/>
        <w:rPr>
          <w:color w:val="000000" w:themeColor="text1"/>
          <w:szCs w:val="18"/>
        </w:rPr>
      </w:pPr>
      <w:r w:rsidRPr="00F63267">
        <w:t>Payment utilisation assumptions</w:t>
      </w:r>
      <w:r w:rsidRPr="00F63267">
        <w:br/>
      </w:r>
      <w:r w:rsidRPr="00F63267">
        <w:rPr>
          <w:color w:val="000000" w:themeColor="text1"/>
          <w:szCs w:val="18"/>
        </w:rPr>
        <w:t>The assumptions which describe the probabilities with which individuals use different Payment categories.</w:t>
      </w:r>
    </w:p>
    <w:p w14:paraId="0164BED3" w14:textId="77777777" w:rsidR="008F15C0" w:rsidRPr="00F63267" w:rsidRDefault="008F15C0" w:rsidP="008F15C0">
      <w:pPr>
        <w:pStyle w:val="StyleTableTextNormal9ptText2Before3ptAfter2pt"/>
        <w:spacing w:before="120"/>
        <w:rPr>
          <w:color w:val="000000" w:themeColor="text1"/>
          <w:szCs w:val="18"/>
        </w:rPr>
      </w:pPr>
      <w:r w:rsidRPr="00F63267">
        <w:t>Pensions</w:t>
      </w:r>
      <w:r w:rsidRPr="00F63267">
        <w:br/>
      </w:r>
      <w:r w:rsidRPr="00F63267">
        <w:rPr>
          <w:color w:val="000000" w:themeColor="text1"/>
          <w:szCs w:val="18"/>
        </w:rPr>
        <w:t>Pensions provide income support and access to a range of concessions for eligible Australians. The term Pension is used by the Department to refer to income support payments that are generally at higher payment levels than Allowances.</w:t>
      </w:r>
    </w:p>
    <w:p w14:paraId="10F94BB1" w14:textId="77777777" w:rsidR="008F15C0" w:rsidRPr="00F63267" w:rsidRDefault="008F15C0" w:rsidP="008F15C0">
      <w:pPr>
        <w:pStyle w:val="StyleTableTextNormal9ptText2Before3ptAfter2pt"/>
        <w:spacing w:before="120"/>
        <w:rPr>
          <w:color w:val="000000" w:themeColor="text1"/>
          <w:szCs w:val="18"/>
        </w:rPr>
      </w:pPr>
      <w:r w:rsidRPr="00F63267">
        <w:t>Present Value</w:t>
      </w:r>
      <w:r w:rsidRPr="00F63267">
        <w:br/>
      </w:r>
      <w:r w:rsidRPr="00F63267">
        <w:rPr>
          <w:color w:val="000000" w:themeColor="text1"/>
          <w:szCs w:val="18"/>
        </w:rPr>
        <w:t>The present value is the value of an expected income stream determined as of the date of valuation. The present value is always less than or equal to the future value because money has interest-earning potential, a characteristic referred to as the time value of money.</w:t>
      </w:r>
    </w:p>
    <w:p w14:paraId="46D99121" w14:textId="77777777" w:rsidR="008F15C0" w:rsidRPr="00F63267" w:rsidRDefault="008F15C0" w:rsidP="008F15C0">
      <w:pPr>
        <w:pStyle w:val="StyleTableTextNormal9ptText2Before3ptAfter2pt"/>
        <w:spacing w:before="120"/>
        <w:rPr>
          <w:color w:val="000000" w:themeColor="text1"/>
          <w:szCs w:val="18"/>
        </w:rPr>
      </w:pPr>
      <w:r w:rsidRPr="00F63267">
        <w:t>Probability</w:t>
      </w:r>
      <w:r w:rsidRPr="00F63267">
        <w:br/>
      </w:r>
      <w:r w:rsidRPr="00F63267">
        <w:rPr>
          <w:color w:val="000000" w:themeColor="text1"/>
          <w:szCs w:val="18"/>
        </w:rPr>
        <w:t>Probability is the measure of the likelihood that an event will occur. Probability is quantified as a number between 0 and 1 (where 0 indicates impossibility and 1 indicates certainty). The higher the probability of an event, the more certain we are that the event will occur.</w:t>
      </w:r>
    </w:p>
    <w:p w14:paraId="23A17D70" w14:textId="77777777" w:rsidR="008F15C0" w:rsidRPr="00F63267" w:rsidRDefault="008F15C0" w:rsidP="008F15C0">
      <w:pPr>
        <w:pStyle w:val="StyleTableTextNormal9ptText2Before3ptAfter2pt"/>
        <w:spacing w:before="120"/>
        <w:rPr>
          <w:color w:val="000000" w:themeColor="text1"/>
          <w:szCs w:val="18"/>
        </w:rPr>
      </w:pPr>
      <w:r w:rsidRPr="00F63267">
        <w:t>Projection</w:t>
      </w:r>
      <w:r w:rsidRPr="00F63267">
        <w:br/>
      </w:r>
      <w:r w:rsidRPr="00F63267">
        <w:rPr>
          <w:color w:val="000000" w:themeColor="text1"/>
          <w:szCs w:val="18"/>
        </w:rPr>
        <w:t>The use of the model to forecast the future payment experience of the population based on current statistics and trends.</w:t>
      </w:r>
    </w:p>
    <w:p w14:paraId="0555F6C6" w14:textId="77777777" w:rsidR="008F15C0" w:rsidRPr="00F63267" w:rsidRDefault="008F15C0" w:rsidP="008F15C0">
      <w:pPr>
        <w:pStyle w:val="StyleTableTextNormal9ptText2Before3ptAfter2pt"/>
        <w:spacing w:before="120"/>
        <w:rPr>
          <w:color w:val="000000" w:themeColor="text1"/>
          <w:szCs w:val="18"/>
        </w:rPr>
      </w:pPr>
      <w:r w:rsidRPr="00F63267">
        <w:t>Risk characteristics</w:t>
      </w:r>
      <w:r w:rsidRPr="00F63267">
        <w:br/>
      </w:r>
      <w:r w:rsidRPr="00F63267">
        <w:rPr>
          <w:color w:val="000000" w:themeColor="text1"/>
          <w:szCs w:val="18"/>
        </w:rPr>
        <w:t>Measurable or observable factors or characteristics that are used to assign each individual to one of the risk classes of a risk classification system. Examples of risk characteristics in the context of the actuarial valuation model include age, gender, family situation and education status.</w:t>
      </w:r>
    </w:p>
    <w:p w14:paraId="4DE8CF8A" w14:textId="77777777" w:rsidR="008F15C0" w:rsidRPr="00F63267" w:rsidRDefault="008F15C0" w:rsidP="008F15C0">
      <w:pPr>
        <w:pStyle w:val="StyleTableTextNormal9ptText2Before3ptAfter2pt"/>
        <w:spacing w:before="120"/>
        <w:rPr>
          <w:color w:val="000000" w:themeColor="text1"/>
          <w:szCs w:val="18"/>
        </w:rPr>
      </w:pPr>
      <w:r w:rsidRPr="00F63267">
        <w:t>Risk classes</w:t>
      </w:r>
      <w:r w:rsidRPr="00F63267">
        <w:br/>
      </w:r>
      <w:r w:rsidRPr="00F63267">
        <w:rPr>
          <w:color w:val="000000" w:themeColor="text1"/>
          <w:szCs w:val="18"/>
        </w:rPr>
        <w:t>A set of risks grouped together under a risk classification system.</w:t>
      </w:r>
    </w:p>
    <w:p w14:paraId="776EB127" w14:textId="77777777" w:rsidR="008F15C0" w:rsidRPr="00F63267" w:rsidRDefault="008F15C0" w:rsidP="008F15C0">
      <w:pPr>
        <w:pStyle w:val="StyleTableTextNormal9ptText2Before3ptAfter2pt"/>
        <w:spacing w:before="120"/>
        <w:rPr>
          <w:color w:val="000000" w:themeColor="text1"/>
          <w:szCs w:val="18"/>
        </w:rPr>
      </w:pPr>
      <w:r w:rsidRPr="00F63267">
        <w:lastRenderedPageBreak/>
        <w:t>Risk classification system</w:t>
      </w:r>
      <w:r w:rsidRPr="00F63267">
        <w:br/>
      </w:r>
      <w:r w:rsidRPr="00F63267">
        <w:rPr>
          <w:color w:val="000000" w:themeColor="text1"/>
          <w:szCs w:val="18"/>
        </w:rPr>
        <w:t>The process of systematically arranging risks into groups or categories according to similar risk characteristics.</w:t>
      </w:r>
    </w:p>
    <w:p w14:paraId="6C8F2511" w14:textId="77777777" w:rsidR="008F15C0" w:rsidRPr="00F63267" w:rsidRDefault="008F15C0" w:rsidP="008F15C0">
      <w:pPr>
        <w:pStyle w:val="StyleTableTextNormal9ptText2Before3ptAfter2pt"/>
        <w:spacing w:before="120"/>
        <w:rPr>
          <w:color w:val="000000" w:themeColor="text1"/>
          <w:szCs w:val="18"/>
        </w:rPr>
      </w:pPr>
      <w:r w:rsidRPr="00F63267">
        <w:t>Risk factors</w:t>
      </w:r>
      <w:r w:rsidRPr="00F63267">
        <w:br/>
      </w:r>
      <w:r w:rsidRPr="00F63267">
        <w:rPr>
          <w:color w:val="000000" w:themeColor="text1"/>
          <w:szCs w:val="18"/>
        </w:rPr>
        <w:t>See risk characteristics.</w:t>
      </w:r>
    </w:p>
    <w:p w14:paraId="4A8DFFC7" w14:textId="77777777" w:rsidR="008F15C0" w:rsidRPr="00F63267" w:rsidRDefault="008F15C0" w:rsidP="008F15C0">
      <w:pPr>
        <w:pStyle w:val="StyleTableTextNormal9ptText2Before3ptAfter2pt"/>
        <w:spacing w:before="120"/>
        <w:rPr>
          <w:color w:val="000000" w:themeColor="text1"/>
          <w:szCs w:val="18"/>
        </w:rPr>
      </w:pPr>
      <w:r w:rsidRPr="00F63267">
        <w:t>Simulation</w:t>
      </w:r>
      <w:r w:rsidRPr="00F63267">
        <w:br/>
      </w:r>
      <w:r w:rsidRPr="00F63267">
        <w:rPr>
          <w:color w:val="000000" w:themeColor="text1"/>
          <w:szCs w:val="18"/>
        </w:rPr>
        <w:t>Simulation is the imitation of the operation of a real-world process or system over time. In the context of the actuarial valuation model, we will simulate how the payment system operates. Where the system is stochastic, multiple simulations may be used to show the range of possible outcomes.</w:t>
      </w:r>
    </w:p>
    <w:p w14:paraId="449A3FD9" w14:textId="77777777" w:rsidR="008F15C0" w:rsidRPr="00F63267" w:rsidRDefault="008F15C0" w:rsidP="008F15C0">
      <w:pPr>
        <w:pStyle w:val="StyleTableTextNormal9ptText2Before3ptAfter2pt"/>
        <w:spacing w:before="120"/>
        <w:rPr>
          <w:color w:val="000000" w:themeColor="text1"/>
          <w:szCs w:val="18"/>
        </w:rPr>
      </w:pPr>
      <w:r w:rsidRPr="00F63267">
        <w:t>Static</w:t>
      </w:r>
      <w:r w:rsidRPr="00F63267">
        <w:br/>
      </w:r>
      <w:r w:rsidRPr="00F63267">
        <w:rPr>
          <w:color w:val="000000" w:themeColor="text1"/>
          <w:szCs w:val="18"/>
        </w:rPr>
        <w:t>A term we are using to describe information or data variables that do not change over time. (e.g. a person’s date of birth or country of birth).</w:t>
      </w:r>
    </w:p>
    <w:p w14:paraId="6C903767" w14:textId="77777777" w:rsidR="008F15C0" w:rsidRPr="00F63267" w:rsidRDefault="008F15C0" w:rsidP="008F15C0">
      <w:pPr>
        <w:pStyle w:val="StyleTableTextNormal9ptText2Before3ptAfter2pt"/>
        <w:spacing w:before="120"/>
        <w:rPr>
          <w:color w:val="000000" w:themeColor="text1"/>
          <w:szCs w:val="18"/>
        </w:rPr>
      </w:pPr>
      <w:r w:rsidRPr="00F63267">
        <w:t>Statistics</w:t>
      </w:r>
      <w:r w:rsidRPr="00F63267">
        <w:br/>
      </w:r>
      <w:r w:rsidRPr="00F63267">
        <w:rPr>
          <w:color w:val="000000" w:themeColor="text1"/>
          <w:szCs w:val="18"/>
        </w:rPr>
        <w:t>The study of the collection, analysis, interpretation, presentation, and organisation of data.</w:t>
      </w:r>
    </w:p>
    <w:p w14:paraId="73AA66DF" w14:textId="77777777" w:rsidR="008F15C0" w:rsidRPr="00F63267" w:rsidRDefault="008F15C0" w:rsidP="008F15C0">
      <w:pPr>
        <w:pStyle w:val="StyleTableTextNormal9ptText2Before3ptAfter2pt"/>
        <w:spacing w:before="120"/>
        <w:rPr>
          <w:color w:val="000000" w:themeColor="text1"/>
          <w:szCs w:val="18"/>
        </w:rPr>
      </w:pPr>
      <w:r w:rsidRPr="00F63267">
        <w:t>Stochastic</w:t>
      </w:r>
      <w:r w:rsidRPr="00F63267">
        <w:br/>
      </w:r>
      <w:r w:rsidRPr="00F63267">
        <w:rPr>
          <w:color w:val="000000" w:themeColor="text1"/>
          <w:szCs w:val="18"/>
        </w:rPr>
        <w:t>The term stochastic describes events or systems that are unpredictable due to the influence of random variables. A stochastic model will not produce the same output from a given starting condition or initial state even if run in the same way.</w:t>
      </w:r>
    </w:p>
    <w:p w14:paraId="6B396DF9" w14:textId="77777777" w:rsidR="008F15C0" w:rsidRPr="00F63267" w:rsidRDefault="008F15C0" w:rsidP="008F15C0">
      <w:pPr>
        <w:pStyle w:val="StyleTableTextNormal9ptText2Before3ptAfter2pt"/>
        <w:spacing w:before="120"/>
        <w:rPr>
          <w:color w:val="000000" w:themeColor="text1"/>
          <w:szCs w:val="18"/>
        </w:rPr>
      </w:pPr>
      <w:r w:rsidRPr="00F63267">
        <w:t>Valuation</w:t>
      </w:r>
      <w:r w:rsidRPr="00F63267">
        <w:br/>
      </w:r>
      <w:r w:rsidRPr="00F63267">
        <w:rPr>
          <w:color w:val="000000" w:themeColor="text1"/>
          <w:szCs w:val="18"/>
        </w:rPr>
        <w:t>see Actuarial Valuation</w:t>
      </w:r>
    </w:p>
    <w:p w14:paraId="153CD821" w14:textId="77777777" w:rsidR="008F15C0" w:rsidRPr="00F63267" w:rsidRDefault="008F15C0" w:rsidP="008F15C0">
      <w:pPr>
        <w:pStyle w:val="StyleTableTextNormal9ptText2Before3ptAfter2pt"/>
        <w:spacing w:before="120"/>
        <w:rPr>
          <w:color w:val="000000" w:themeColor="text1"/>
          <w:szCs w:val="18"/>
        </w:rPr>
      </w:pPr>
      <w:r w:rsidRPr="00F63267">
        <w:t>Valuation Date</w:t>
      </w:r>
      <w:r w:rsidRPr="00F63267">
        <w:br/>
      </w:r>
      <w:r w:rsidRPr="00F63267">
        <w:rPr>
          <w:color w:val="000000" w:themeColor="text1"/>
          <w:szCs w:val="18"/>
        </w:rPr>
        <w:t>The reference date for the actuarial valuation. The valuation will consider the lifetime cost as at the valuation date for all payments after the valuation date.</w:t>
      </w:r>
    </w:p>
    <w:p w14:paraId="6D50298B" w14:textId="6E0686E7" w:rsidR="00DE5F7D" w:rsidRPr="00F63267" w:rsidRDefault="008F15C0" w:rsidP="008F15C0">
      <w:pPr>
        <w:pStyle w:val="StyleTableTextNormal9ptText2Before3ptAfter2pt"/>
        <w:spacing w:before="120"/>
        <w:rPr>
          <w:color w:val="000000" w:themeColor="text1"/>
          <w:szCs w:val="18"/>
        </w:rPr>
      </w:pPr>
      <w:r w:rsidRPr="00F63267">
        <w:t>Valuation Results</w:t>
      </w:r>
      <w:r w:rsidRPr="00F63267">
        <w:br/>
      </w:r>
      <w:r w:rsidRPr="00F63267">
        <w:rPr>
          <w:color w:val="000000" w:themeColor="text1"/>
          <w:szCs w:val="18"/>
        </w:rPr>
        <w:t>The summarised outputs from the model, which will be tailored to meet the needs of different users – for example, as well as the total reported lifetime cost, results may include average lifetime cost estimates for particular groups, projected payments for each of the next five years, projected numbers of “new entrants” to the social support system from different population segments.</w:t>
      </w:r>
    </w:p>
    <w:p w14:paraId="50E6DD05" w14:textId="251317B6" w:rsidR="008F15C0" w:rsidRPr="00F63267" w:rsidRDefault="008F15C0" w:rsidP="008F15C0">
      <w:pPr>
        <w:pStyle w:val="StyleTableTextNormal9ptText2Before3ptAfter2pt"/>
        <w:spacing w:before="120"/>
        <w:rPr>
          <w:color w:val="000000" w:themeColor="text1"/>
          <w:szCs w:val="18"/>
        </w:rPr>
      </w:pPr>
      <w:r w:rsidRPr="00F63267">
        <w:t>Welfare class</w:t>
      </w:r>
      <w:r w:rsidRPr="00F63267">
        <w:br/>
      </w:r>
      <w:r w:rsidRPr="00F63267">
        <w:rPr>
          <w:color w:val="000000" w:themeColor="text1"/>
          <w:szCs w:val="18"/>
        </w:rPr>
        <w:t>The assignation of people into unique segments used within the model. There are 12 classes: 6 for income support recipients (</w:t>
      </w:r>
      <w:r w:rsidR="003C32DF">
        <w:rPr>
          <w:color w:val="000000" w:themeColor="text1"/>
          <w:szCs w:val="18"/>
        </w:rPr>
        <w:t>S</w:t>
      </w:r>
      <w:r w:rsidRPr="00F63267">
        <w:rPr>
          <w:color w:val="000000" w:themeColor="text1"/>
          <w:szCs w:val="18"/>
        </w:rPr>
        <w:t xml:space="preserve">tudying, </w:t>
      </w:r>
      <w:r w:rsidR="003C32DF">
        <w:rPr>
          <w:color w:val="000000" w:themeColor="text1"/>
          <w:szCs w:val="18"/>
        </w:rPr>
        <w:t>C</w:t>
      </w:r>
      <w:r w:rsidRPr="00F63267">
        <w:rPr>
          <w:color w:val="000000" w:themeColor="text1"/>
          <w:szCs w:val="18"/>
        </w:rPr>
        <w:t>arers, etc.), 3 for people receiving payments but no income support and 3 for the rest of the population. Each person is assigned to the single most appropriate category for each financial year.</w:t>
      </w:r>
    </w:p>
    <w:p w14:paraId="43B9EE58" w14:textId="77777777" w:rsidR="008F15C0" w:rsidRPr="00F63267" w:rsidRDefault="008F15C0" w:rsidP="008F15C0">
      <w:pPr>
        <w:pStyle w:val="StyleTableTextNormal9ptText2Before3ptAfter2pt"/>
        <w:spacing w:before="120"/>
        <w:rPr>
          <w:color w:val="000000" w:themeColor="text1"/>
          <w:szCs w:val="18"/>
        </w:rPr>
      </w:pPr>
      <w:r w:rsidRPr="00F63267">
        <w:t>Welfare class assumptions</w:t>
      </w:r>
      <w:r w:rsidRPr="00F63267">
        <w:br/>
      </w:r>
      <w:r w:rsidRPr="00F63267">
        <w:rPr>
          <w:color w:val="000000" w:themeColor="text1"/>
          <w:szCs w:val="18"/>
        </w:rPr>
        <w:t>The assumptions which describe the probabilities with which individuals move between welfare classes.</w:t>
      </w:r>
    </w:p>
    <w:p w14:paraId="08ED72F0" w14:textId="50432856" w:rsidR="00DE5F7D" w:rsidRPr="00DE5F7D" w:rsidRDefault="00DE5F7D" w:rsidP="00371ABF">
      <w:pPr>
        <w:pStyle w:val="Bullet1"/>
        <w:numPr>
          <w:ilvl w:val="0"/>
          <w:numId w:val="0"/>
        </w:numPr>
        <w:rPr>
          <w:rFonts w:cs="Times New Roman"/>
          <w:color w:val="000000" w:themeColor="text1"/>
          <w:sz w:val="18"/>
        </w:rPr>
      </w:pPr>
      <w:r w:rsidRPr="00371ABF">
        <w:rPr>
          <w:rFonts w:cs="Times New Roman"/>
          <w:color w:val="E0301E"/>
          <w:sz w:val="18"/>
        </w:rPr>
        <w:t>Welfare dependence</w:t>
      </w:r>
      <w:r>
        <w:rPr>
          <w:color w:val="E0301E"/>
        </w:rPr>
        <w:br/>
      </w:r>
      <w:r w:rsidRPr="00371ABF">
        <w:rPr>
          <w:rFonts w:cs="Times New Roman"/>
          <w:color w:val="000000" w:themeColor="text1"/>
          <w:sz w:val="18"/>
        </w:rPr>
        <w:t>Welfare dependence is used to describe the historical and/or expected future level of welfare use for a group of people. A group with high welfare dependence would either have high historical welfare use or high expected future welfare use.</w:t>
      </w:r>
    </w:p>
    <w:p w14:paraId="01A97187" w14:textId="0DD3C8CE" w:rsidR="00371ABF" w:rsidRDefault="00371ABF" w:rsidP="00371ABF">
      <w:pPr>
        <w:pStyle w:val="Bullet1"/>
        <w:numPr>
          <w:ilvl w:val="0"/>
          <w:numId w:val="0"/>
        </w:numPr>
      </w:pPr>
      <w:r w:rsidRPr="00371ABF">
        <w:rPr>
          <w:rFonts w:cs="Times New Roman"/>
          <w:color w:val="E0301E"/>
          <w:sz w:val="18"/>
        </w:rPr>
        <w:t>Welfare system interaction</w:t>
      </w:r>
      <w:r w:rsidRPr="00371ABF">
        <w:rPr>
          <w:rFonts w:cs="Times New Roman"/>
          <w:color w:val="E0301E"/>
          <w:sz w:val="18"/>
        </w:rPr>
        <w:br/>
      </w:r>
      <w:r w:rsidRPr="00371ABF">
        <w:rPr>
          <w:rFonts w:cs="Times New Roman"/>
          <w:color w:val="000000" w:themeColor="text1"/>
          <w:sz w:val="18"/>
        </w:rPr>
        <w:t>The receipt of a welfare payment (including both income support and non income support payments) by an individual.</w:t>
      </w:r>
    </w:p>
    <w:p w14:paraId="4EF98487" w14:textId="71B42895" w:rsidR="00AE6C45" w:rsidRDefault="008F15C0" w:rsidP="008F15C0">
      <w:pPr>
        <w:pStyle w:val="StyleTableTextNormal9ptText2Before3ptAfter2pt"/>
        <w:spacing w:before="120"/>
        <w:rPr>
          <w:color w:val="000000" w:themeColor="text1"/>
          <w:szCs w:val="18"/>
        </w:rPr>
      </w:pPr>
      <w:r w:rsidRPr="00F63267">
        <w:t>Welfare utilisation assumptions</w:t>
      </w:r>
      <w:r w:rsidRPr="00F63267">
        <w:br/>
      </w:r>
      <w:r w:rsidRPr="00F63267">
        <w:rPr>
          <w:color w:val="000000" w:themeColor="text1"/>
          <w:szCs w:val="18"/>
        </w:rPr>
        <w:t>A term covering both the Welfare class and Payment utilisation assumptions.</w:t>
      </w:r>
    </w:p>
    <w:p w14:paraId="02374A26" w14:textId="763BE2A7" w:rsidR="00DE5F7D" w:rsidRPr="00DE5F7D" w:rsidRDefault="00DE5F7D" w:rsidP="00371ABF">
      <w:pPr>
        <w:pStyle w:val="Bullet1"/>
        <w:numPr>
          <w:ilvl w:val="0"/>
          <w:numId w:val="0"/>
        </w:numPr>
        <w:rPr>
          <w:rFonts w:cs="Times New Roman"/>
          <w:color w:val="000000" w:themeColor="text1"/>
          <w:sz w:val="18"/>
        </w:rPr>
      </w:pPr>
      <w:r w:rsidRPr="00371ABF">
        <w:rPr>
          <w:rFonts w:cs="Times New Roman"/>
          <w:color w:val="E0301E"/>
          <w:sz w:val="18"/>
        </w:rPr>
        <w:t>Work capacity assessment</w:t>
      </w:r>
      <w:r w:rsidRPr="00371ABF">
        <w:rPr>
          <w:rFonts w:cs="Times New Roman"/>
          <w:color w:val="E0301E"/>
          <w:sz w:val="18"/>
        </w:rPr>
        <w:br/>
      </w:r>
      <w:r w:rsidRPr="00371ABF">
        <w:rPr>
          <w:rFonts w:cs="Times New Roman"/>
          <w:color w:val="000000" w:themeColor="text1"/>
          <w:sz w:val="18"/>
        </w:rPr>
        <w:t>An assessment of an individual’s level of functional impairment and work capacity. This is expressed in the data as the number of hours in a week they are capable of working.</w:t>
      </w:r>
    </w:p>
    <w:p w14:paraId="42336B6F" w14:textId="77777777" w:rsidR="00077C4F" w:rsidRPr="00077C4F" w:rsidRDefault="00077C4F" w:rsidP="00DE5F7D">
      <w:pPr>
        <w:pStyle w:val="PwCNormal"/>
        <w:numPr>
          <w:ilvl w:val="0"/>
          <w:numId w:val="0"/>
        </w:numPr>
      </w:pPr>
    </w:p>
    <w:p w14:paraId="04D7CCBB" w14:textId="77777777" w:rsidR="00077C4F" w:rsidRDefault="00077C4F" w:rsidP="00077C4F">
      <w:pPr>
        <w:pStyle w:val="PwCNormal"/>
        <w:numPr>
          <w:ilvl w:val="0"/>
          <w:numId w:val="1"/>
        </w:numPr>
        <w:sectPr w:rsidR="00077C4F" w:rsidSect="00DA3F76">
          <w:headerReference w:type="even" r:id="rId184"/>
          <w:headerReference w:type="default" r:id="rId185"/>
          <w:headerReference w:type="first" r:id="rId186"/>
          <w:footerReference w:type="first" r:id="rId187"/>
          <w:pgSz w:w="11907" w:h="16840" w:code="9"/>
          <w:pgMar w:top="1588" w:right="1021" w:bottom="1418" w:left="1021" w:header="567" w:footer="567" w:gutter="0"/>
          <w:cols w:space="227"/>
          <w:docGrid w:linePitch="360"/>
        </w:sectPr>
      </w:pPr>
    </w:p>
    <w:p w14:paraId="28794FB4" w14:textId="67268FF8" w:rsidR="006F727E" w:rsidRPr="00BB3F4F" w:rsidRDefault="00261B4E" w:rsidP="0037093B">
      <w:pPr>
        <w:pStyle w:val="Heading2Appendix"/>
      </w:pPr>
      <w:bookmarkStart w:id="347" w:name="_Ref498423002"/>
      <w:bookmarkStart w:id="348" w:name="_Toc506388241"/>
      <w:r w:rsidRPr="00BB3F4F">
        <w:lastRenderedPageBreak/>
        <w:t>P</w:t>
      </w:r>
      <w:r w:rsidR="00125F7E" w:rsidRPr="00BB3F4F">
        <w:t>olicy changes</w:t>
      </w:r>
      <w:bookmarkEnd w:id="344"/>
      <w:bookmarkEnd w:id="345"/>
      <w:bookmarkEnd w:id="346"/>
      <w:bookmarkEnd w:id="347"/>
      <w:bookmarkEnd w:id="348"/>
    </w:p>
    <w:p w14:paraId="776B4ADC" w14:textId="68139A5D" w:rsidR="00AE6C45" w:rsidRPr="00F01E94" w:rsidRDefault="00AE6C45" w:rsidP="00AE6C45">
      <w:pPr>
        <w:pStyle w:val="PwCNormal"/>
        <w:numPr>
          <w:ilvl w:val="0"/>
          <w:numId w:val="1"/>
        </w:numPr>
      </w:pPr>
      <w:r w:rsidRPr="0049702D">
        <w:t>The following table</w:t>
      </w:r>
      <w:r w:rsidR="00BB3F4F">
        <w:t>s summarise</w:t>
      </w:r>
      <w:r w:rsidRPr="0049702D">
        <w:t xml:space="preserve"> the </w:t>
      </w:r>
      <w:r w:rsidR="00BB3F4F">
        <w:t xml:space="preserve">list of policy changes provided to us by the Department. The first table summarises policy changes which took effect </w:t>
      </w:r>
      <w:r w:rsidR="00D26AFE">
        <w:t>prior to the previous valuation, while the second table summarises policies which are to take effect after the current valuation date.</w:t>
      </w:r>
    </w:p>
    <w:p w14:paraId="6A23D5ED" w14:textId="7D52935D" w:rsidR="00AE6C45" w:rsidRPr="0057506F" w:rsidRDefault="00AE6C45" w:rsidP="00AE6C45">
      <w:pPr>
        <w:pStyle w:val="Caption"/>
      </w:pPr>
      <w:r w:rsidRPr="00F01E94">
        <w:t xml:space="preserve">Table </w:t>
      </w:r>
      <w:fldSimple w:instr=" SEQ Table \* ARABIC ">
        <w:r w:rsidR="00C93C1A">
          <w:rPr>
            <w:noProof/>
          </w:rPr>
          <w:t>56</w:t>
        </w:r>
      </w:fldSimple>
      <w:r w:rsidRPr="00F01E94">
        <w:t>: Policy changes which were legislated between 2011 and 201</w:t>
      </w:r>
      <w:r>
        <w:t>7</w:t>
      </w:r>
      <w:r w:rsidRPr="00F01E94">
        <w:t xml:space="preserve"> and took effect on or prior to 30 June 201</w:t>
      </w:r>
      <w:r>
        <w:t>7</w:t>
      </w:r>
    </w:p>
    <w:tbl>
      <w:tblPr>
        <w:tblStyle w:val="Tables-APBase"/>
        <w:tblW w:w="5000" w:type="pct"/>
        <w:tblBorders>
          <w:left w:val="none" w:sz="0" w:space="0" w:color="auto"/>
          <w:bottom w:val="single" w:sz="4" w:space="0" w:color="E0301E"/>
          <w:insideH w:val="single" w:sz="4" w:space="0" w:color="E0301E"/>
        </w:tblBorders>
        <w:tblLayout w:type="fixed"/>
        <w:tblLook w:val="04A0" w:firstRow="1" w:lastRow="0" w:firstColumn="1" w:lastColumn="0" w:noHBand="0" w:noVBand="1"/>
        <w:tblCaption w:val=" Policy changes which have taken effect prior to the valuation date"/>
        <w:tblDescription w:val="This table lists policy changes which may have impacted past experience. It has three columns: the amendment, the year it was introduced, and a short description of the change and its impact. &#10;"/>
      </w:tblPr>
      <w:tblGrid>
        <w:gridCol w:w="3342"/>
        <w:gridCol w:w="888"/>
        <w:gridCol w:w="5851"/>
      </w:tblGrid>
      <w:tr w:rsidR="00AE6C45" w:rsidRPr="00733C78" w14:paraId="187F361B" w14:textId="77777777" w:rsidTr="00AE6C45">
        <w:trPr>
          <w:cnfStyle w:val="100000000000" w:firstRow="1" w:lastRow="0" w:firstColumn="0" w:lastColumn="0" w:oddVBand="0" w:evenVBand="0" w:oddHBand="0" w:evenHBand="0" w:firstRowFirstColumn="0" w:firstRowLastColumn="0" w:lastRowFirstColumn="0" w:lastRowLastColumn="0"/>
          <w:cantSplit/>
          <w:trHeight w:val="283"/>
        </w:trPr>
        <w:tc>
          <w:tcPr>
            <w:cnfStyle w:val="000000000100" w:firstRow="0" w:lastRow="0" w:firstColumn="0" w:lastColumn="0" w:oddVBand="0" w:evenVBand="0" w:oddHBand="0" w:evenHBand="0" w:firstRowFirstColumn="1" w:firstRowLastColumn="0" w:lastRowFirstColumn="0" w:lastRowLastColumn="0"/>
            <w:tcW w:w="3342" w:type="dxa"/>
            <w:shd w:val="clear" w:color="auto" w:fill="E0301E"/>
          </w:tcPr>
          <w:p w14:paraId="7BD2D69C" w14:textId="77777777" w:rsidR="00AE6C45" w:rsidRPr="00FE1E5F" w:rsidRDefault="00AE6C45" w:rsidP="00AE6C45">
            <w:pPr>
              <w:pStyle w:val="TableColumnHeadingSmall"/>
            </w:pPr>
            <w:r w:rsidRPr="00FE1E5F">
              <w:t>Amendment</w:t>
            </w:r>
          </w:p>
        </w:tc>
        <w:tc>
          <w:tcPr>
            <w:tcW w:w="888" w:type="dxa"/>
            <w:shd w:val="clear" w:color="auto" w:fill="E0301E"/>
          </w:tcPr>
          <w:p w14:paraId="628025FE" w14:textId="77777777" w:rsidR="00AE6C45" w:rsidRPr="00FE1E5F" w:rsidRDefault="00AE6C45" w:rsidP="00AE6C45">
            <w:pPr>
              <w:pStyle w:val="TableColumnHeadingSmall"/>
              <w:cnfStyle w:val="100000000000" w:firstRow="1" w:lastRow="0" w:firstColumn="0" w:lastColumn="0" w:oddVBand="0" w:evenVBand="0" w:oddHBand="0" w:evenHBand="0" w:firstRowFirstColumn="0" w:firstRowLastColumn="0" w:lastRowFirstColumn="0" w:lastRowLastColumn="0"/>
            </w:pPr>
            <w:r w:rsidRPr="00FE1E5F">
              <w:t>Year Effective</w:t>
            </w:r>
          </w:p>
        </w:tc>
        <w:tc>
          <w:tcPr>
            <w:tcW w:w="5851" w:type="dxa"/>
            <w:shd w:val="clear" w:color="auto" w:fill="E0301E"/>
          </w:tcPr>
          <w:p w14:paraId="693E5CE9" w14:textId="77777777" w:rsidR="00AE6C45" w:rsidRPr="00FE1E5F" w:rsidRDefault="00AE6C45" w:rsidP="00AE6C45">
            <w:pPr>
              <w:pStyle w:val="TableColumnHeadingSmall"/>
              <w:cnfStyle w:val="100000000000" w:firstRow="1" w:lastRow="0" w:firstColumn="0" w:lastColumn="0" w:oddVBand="0" w:evenVBand="0" w:oddHBand="0" w:evenHBand="0" w:firstRowFirstColumn="0" w:firstRowLastColumn="0" w:lastRowFirstColumn="0" w:lastRowLastColumn="0"/>
            </w:pPr>
            <w:r w:rsidRPr="00FE1E5F">
              <w:t>Description</w:t>
            </w:r>
          </w:p>
        </w:tc>
      </w:tr>
      <w:tr w:rsidR="00AE6C45" w:rsidRPr="00733C78" w14:paraId="18F481F0" w14:textId="77777777" w:rsidTr="00AE6C45">
        <w:trPr>
          <w:cantSplit/>
        </w:trPr>
        <w:tc>
          <w:tcPr>
            <w:tcW w:w="3342" w:type="dxa"/>
          </w:tcPr>
          <w:p w14:paraId="634B6D04" w14:textId="77777777" w:rsidR="00AE6C45" w:rsidRPr="00557706" w:rsidRDefault="00AE6C45" w:rsidP="00AE6C45">
            <w:pPr>
              <w:pStyle w:val="TableTextSmalltopic"/>
            </w:pPr>
            <w:r w:rsidRPr="00557706">
              <w:t>Parenting Payment transitional arrangement</w:t>
            </w:r>
          </w:p>
          <w:p w14:paraId="5FA23008" w14:textId="77777777" w:rsidR="00AE6C45" w:rsidRPr="00557706" w:rsidRDefault="00AE6C45" w:rsidP="00AE6C45">
            <w:pPr>
              <w:pStyle w:val="TableTextSmall"/>
            </w:pPr>
            <w:r w:rsidRPr="00557706">
              <w:t>Social Security Amendment (Parenting Payment Transitional Arrangement) Act 2011</w:t>
            </w:r>
          </w:p>
        </w:tc>
        <w:tc>
          <w:tcPr>
            <w:tcW w:w="888" w:type="dxa"/>
          </w:tcPr>
          <w:p w14:paraId="6C198D3A" w14:textId="77777777" w:rsidR="00AE6C45" w:rsidRPr="00557706" w:rsidRDefault="00AE6C45" w:rsidP="00AE6C45">
            <w:pPr>
              <w:pStyle w:val="TableTextSmall"/>
            </w:pPr>
            <w:r w:rsidRPr="00557706">
              <w:t>2011</w:t>
            </w:r>
          </w:p>
        </w:tc>
        <w:tc>
          <w:tcPr>
            <w:tcW w:w="5851" w:type="dxa"/>
            <w:vAlign w:val="center"/>
          </w:tcPr>
          <w:p w14:paraId="2B4BE09C" w14:textId="77777777" w:rsidR="00AE6C45" w:rsidRPr="00557706" w:rsidRDefault="00AE6C45" w:rsidP="00AE6C45">
            <w:pPr>
              <w:pStyle w:val="TableTextSmall"/>
            </w:pPr>
            <w:r w:rsidRPr="00557706">
              <w:t>Changed ability to access transitional arrangements.</w:t>
            </w:r>
          </w:p>
        </w:tc>
      </w:tr>
      <w:tr w:rsidR="00AE6C45" w:rsidRPr="00733C78" w14:paraId="0C91E4DD" w14:textId="77777777" w:rsidTr="00AE6C45">
        <w:trPr>
          <w:cantSplit/>
        </w:trPr>
        <w:tc>
          <w:tcPr>
            <w:tcW w:w="3342" w:type="dxa"/>
          </w:tcPr>
          <w:p w14:paraId="77298FAD" w14:textId="77777777" w:rsidR="00AE6C45" w:rsidRPr="00557706" w:rsidRDefault="00AE6C45" w:rsidP="00AE6C45">
            <w:pPr>
              <w:pStyle w:val="TableTextSmalltopic"/>
            </w:pPr>
            <w:r w:rsidRPr="00557706">
              <w:t>Work rule for Disability Support Pension</w:t>
            </w:r>
          </w:p>
          <w:p w14:paraId="1079E898" w14:textId="77777777" w:rsidR="00AE6C45" w:rsidRPr="00557706" w:rsidRDefault="00AE6C45" w:rsidP="00AE6C45">
            <w:pPr>
              <w:pStyle w:val="TableTextSmall"/>
            </w:pPr>
            <w:r w:rsidRPr="00557706">
              <w:t>Social Security and Other Legislation Amendment (Disability Support Pension Participation Reforms) Act 2012</w:t>
            </w:r>
          </w:p>
        </w:tc>
        <w:tc>
          <w:tcPr>
            <w:tcW w:w="888" w:type="dxa"/>
          </w:tcPr>
          <w:p w14:paraId="2FDCD5BA" w14:textId="77777777" w:rsidR="00AE6C45" w:rsidRPr="00557706" w:rsidRDefault="00AE6C45" w:rsidP="00AE6C45">
            <w:pPr>
              <w:pStyle w:val="TableTextSmall"/>
            </w:pPr>
            <w:r w:rsidRPr="00557706">
              <w:t>2012</w:t>
            </w:r>
          </w:p>
        </w:tc>
        <w:tc>
          <w:tcPr>
            <w:tcW w:w="5851" w:type="dxa"/>
            <w:vAlign w:val="center"/>
          </w:tcPr>
          <w:p w14:paraId="4600177D" w14:textId="77777777" w:rsidR="00AE6C45" w:rsidRPr="00557706" w:rsidRDefault="00AE6C45" w:rsidP="00AE6C45">
            <w:pPr>
              <w:pStyle w:val="TableTextSmall"/>
              <w:rPr>
                <w:b/>
              </w:rPr>
            </w:pPr>
            <w:r w:rsidRPr="00557706">
              <w:t xml:space="preserve">From 1 July 2012, all Disability Support Pension recipients can work up to 30 hours a week without having their payment suspended or cancelled. </w:t>
            </w:r>
          </w:p>
        </w:tc>
      </w:tr>
      <w:tr w:rsidR="00AE6C45" w:rsidRPr="00733C78" w14:paraId="36356705" w14:textId="77777777" w:rsidTr="00AE6C45">
        <w:trPr>
          <w:cantSplit/>
        </w:trPr>
        <w:tc>
          <w:tcPr>
            <w:tcW w:w="3342" w:type="dxa"/>
          </w:tcPr>
          <w:p w14:paraId="5405AC94" w14:textId="6C8E34A2" w:rsidR="00AE6C45" w:rsidRPr="00557706" w:rsidRDefault="00AE6C45" w:rsidP="00AE6C45">
            <w:pPr>
              <w:pStyle w:val="TableTextSmalltopic"/>
            </w:pPr>
            <w:r w:rsidRPr="00557706">
              <w:t>Changes to the eligibility criteria for Youth Allowance (</w:t>
            </w:r>
            <w:r w:rsidR="00845D12">
              <w:t>O</w:t>
            </w:r>
            <w:r w:rsidRPr="00557706">
              <w:t>ther) and Newstart Allowance</w:t>
            </w:r>
          </w:p>
          <w:p w14:paraId="78BA8FBD" w14:textId="77777777" w:rsidR="00AE6C45" w:rsidRPr="00557706" w:rsidRDefault="00AE6C45" w:rsidP="00AE6C45">
            <w:pPr>
              <w:pStyle w:val="TableTextSmall"/>
            </w:pPr>
            <w:r w:rsidRPr="00557706">
              <w:t>Social Security and Other Legislation Amendment (Income Support and Other Measures) Act 2012</w:t>
            </w:r>
          </w:p>
        </w:tc>
        <w:tc>
          <w:tcPr>
            <w:tcW w:w="888" w:type="dxa"/>
          </w:tcPr>
          <w:p w14:paraId="28294E08" w14:textId="77777777" w:rsidR="00AE6C45" w:rsidRPr="00557706" w:rsidRDefault="00AE6C45" w:rsidP="00AE6C45">
            <w:pPr>
              <w:pStyle w:val="TableTextSmall"/>
            </w:pPr>
            <w:r w:rsidRPr="00557706">
              <w:t>2012</w:t>
            </w:r>
          </w:p>
        </w:tc>
        <w:tc>
          <w:tcPr>
            <w:tcW w:w="5851" w:type="dxa"/>
            <w:vAlign w:val="center"/>
          </w:tcPr>
          <w:p w14:paraId="53A352DC" w14:textId="3DD86D26" w:rsidR="00AE6C45" w:rsidRPr="00557706" w:rsidRDefault="00AE6C45" w:rsidP="00AE6C45">
            <w:pPr>
              <w:pStyle w:val="TableTextSmall"/>
            </w:pPr>
            <w:r w:rsidRPr="00557706">
              <w:t xml:space="preserve">The maximum age for </w:t>
            </w:r>
            <w:r w:rsidR="00845D12">
              <w:t>Y</w:t>
            </w:r>
            <w:r w:rsidRPr="00557706">
              <w:t xml:space="preserve">outh </w:t>
            </w:r>
            <w:r w:rsidR="00845D12">
              <w:t>A</w:t>
            </w:r>
            <w:r w:rsidRPr="00557706">
              <w:t xml:space="preserve">llowance for non-students and the minimum qualification age for Newstart </w:t>
            </w:r>
            <w:r w:rsidR="00845D12">
              <w:t>A</w:t>
            </w:r>
            <w:r w:rsidRPr="00557706">
              <w:t>llowance increased from 21 to 22 years.</w:t>
            </w:r>
          </w:p>
          <w:p w14:paraId="3BAEA67A" w14:textId="54477D71" w:rsidR="00AE6C45" w:rsidRPr="00557706" w:rsidRDefault="00AE6C45" w:rsidP="00845D12">
            <w:pPr>
              <w:pStyle w:val="TableTextSmall"/>
              <w:rPr>
                <w:b/>
              </w:rPr>
            </w:pPr>
            <w:r w:rsidRPr="00557706">
              <w:t xml:space="preserve">The income free area value was increased from $62 a fortnight to $143 a fortnight and the working credit limit value was increased from $1000 to $3500 for all </w:t>
            </w:r>
            <w:r w:rsidR="00845D12">
              <w:t>Y</w:t>
            </w:r>
            <w:r w:rsidRPr="00557706">
              <w:t xml:space="preserve">outh </w:t>
            </w:r>
            <w:r w:rsidR="00845D12">
              <w:t>A</w:t>
            </w:r>
            <w:r w:rsidRPr="00557706">
              <w:t>llowance (</w:t>
            </w:r>
            <w:r w:rsidR="00845D12">
              <w:t>O</w:t>
            </w:r>
            <w:r w:rsidRPr="00557706">
              <w:t>ther) recipients.</w:t>
            </w:r>
          </w:p>
        </w:tc>
      </w:tr>
      <w:tr w:rsidR="00AE6C45" w:rsidRPr="00557706" w14:paraId="2B0EBC28" w14:textId="77777777" w:rsidTr="00AE6C45">
        <w:trPr>
          <w:cantSplit/>
        </w:trPr>
        <w:tc>
          <w:tcPr>
            <w:tcW w:w="3342" w:type="dxa"/>
          </w:tcPr>
          <w:p w14:paraId="39BDF658" w14:textId="77777777" w:rsidR="00AE6C45" w:rsidRPr="00557706" w:rsidRDefault="00AE6C45" w:rsidP="00AE6C45">
            <w:pPr>
              <w:pStyle w:val="TableTextSmalltopic"/>
            </w:pPr>
            <w:r w:rsidRPr="00557706">
              <w:t>Clean Energy Advance (CEA)</w:t>
            </w:r>
          </w:p>
        </w:tc>
        <w:tc>
          <w:tcPr>
            <w:tcW w:w="888" w:type="dxa"/>
          </w:tcPr>
          <w:p w14:paraId="47A06B67" w14:textId="77777777" w:rsidR="00AE6C45" w:rsidRPr="00557706" w:rsidRDefault="00AE6C45" w:rsidP="00AE6C45">
            <w:pPr>
              <w:pStyle w:val="TableTextSmall"/>
            </w:pPr>
            <w:r w:rsidRPr="00557706">
              <w:t>2012</w:t>
            </w:r>
          </w:p>
        </w:tc>
        <w:tc>
          <w:tcPr>
            <w:tcW w:w="5851" w:type="dxa"/>
            <w:vAlign w:val="center"/>
          </w:tcPr>
          <w:p w14:paraId="70453BA9" w14:textId="77777777" w:rsidR="00AE6C45" w:rsidRPr="00557706" w:rsidRDefault="00AE6C45" w:rsidP="00AE6C45">
            <w:pPr>
              <w:pStyle w:val="TableTextSmall"/>
            </w:pPr>
            <w:r w:rsidRPr="00557706">
              <w:t>The Clean Energy Advance (CEA) was introduced in May 2012.</w:t>
            </w:r>
          </w:p>
        </w:tc>
      </w:tr>
      <w:tr w:rsidR="00AE6C45" w:rsidRPr="00733C78" w14:paraId="0186E399" w14:textId="77777777" w:rsidTr="00AE6C45">
        <w:trPr>
          <w:cantSplit/>
        </w:trPr>
        <w:tc>
          <w:tcPr>
            <w:tcW w:w="3342" w:type="dxa"/>
          </w:tcPr>
          <w:p w14:paraId="6F550473" w14:textId="77777777" w:rsidR="00AE6C45" w:rsidRPr="00557706" w:rsidRDefault="00AE6C45" w:rsidP="00AE6C45">
            <w:pPr>
              <w:pStyle w:val="TableTextSmalltopic"/>
            </w:pPr>
            <w:r w:rsidRPr="00557706">
              <w:t xml:space="preserve">Clean Energy Supplement and other measures </w:t>
            </w:r>
          </w:p>
          <w:p w14:paraId="2B989947" w14:textId="77777777" w:rsidR="00AE6C45" w:rsidRPr="00557706" w:rsidRDefault="00AE6C45" w:rsidP="00AE6C45">
            <w:pPr>
              <w:pStyle w:val="TableTextSmall"/>
            </w:pPr>
            <w:r w:rsidRPr="00557706">
              <w:t>Clean Energy (Household Assistance Amendments) Act 2011</w:t>
            </w:r>
          </w:p>
          <w:p w14:paraId="183D090B" w14:textId="77777777" w:rsidR="00AE6C45" w:rsidRPr="00557706" w:rsidRDefault="00AE6C45" w:rsidP="00AE6C45">
            <w:pPr>
              <w:pStyle w:val="TableTextSmall"/>
            </w:pPr>
          </w:p>
        </w:tc>
        <w:tc>
          <w:tcPr>
            <w:tcW w:w="888" w:type="dxa"/>
          </w:tcPr>
          <w:p w14:paraId="7890B313" w14:textId="77777777" w:rsidR="00AE6C45" w:rsidRPr="00557706" w:rsidRDefault="00AE6C45" w:rsidP="00AE6C45">
            <w:pPr>
              <w:pStyle w:val="TableTextSmall"/>
            </w:pPr>
            <w:r w:rsidRPr="00557706">
              <w:t>2012-2013</w:t>
            </w:r>
          </w:p>
        </w:tc>
        <w:tc>
          <w:tcPr>
            <w:tcW w:w="5851" w:type="dxa"/>
            <w:vAlign w:val="center"/>
          </w:tcPr>
          <w:p w14:paraId="6232D610" w14:textId="77777777" w:rsidR="00AE6C45" w:rsidRPr="00557706" w:rsidRDefault="00AE6C45" w:rsidP="00AE6C45">
            <w:pPr>
              <w:pStyle w:val="TableTextSmall"/>
            </w:pPr>
            <w:r w:rsidRPr="00557706">
              <w:t xml:space="preserve">From 1 July 2013, the normal payment indexing arrangements and the Clean Energy Supplement (CES) began to deliver assistance related to carbon pricing. </w:t>
            </w:r>
          </w:p>
          <w:p w14:paraId="534B0EE2" w14:textId="77777777" w:rsidR="00AE6C45" w:rsidRPr="00557706" w:rsidRDefault="00AE6C45" w:rsidP="00AE6C45">
            <w:pPr>
              <w:pStyle w:val="TableTextSmall"/>
            </w:pPr>
            <w:r w:rsidRPr="00557706">
              <w:t>In addition, amendments were introduced for the Low Income Supplement, Essential Medical Equipment Payment, Single Income Family Supplement and aged care.</w:t>
            </w:r>
          </w:p>
        </w:tc>
      </w:tr>
      <w:tr w:rsidR="00AE6C45" w:rsidRPr="00557706" w14:paraId="4BDF0F3B" w14:textId="77777777" w:rsidTr="00AE6C45">
        <w:trPr>
          <w:cantSplit/>
        </w:trPr>
        <w:tc>
          <w:tcPr>
            <w:tcW w:w="3342" w:type="dxa"/>
          </w:tcPr>
          <w:p w14:paraId="2ED622D9" w14:textId="77777777" w:rsidR="00AE6C45" w:rsidRPr="00557706" w:rsidRDefault="00AE6C45" w:rsidP="00AE6C45">
            <w:pPr>
              <w:pStyle w:val="TableTextSmalltopic"/>
            </w:pPr>
            <w:r w:rsidRPr="00557706">
              <w:t>Family Tax Benefit and Youth Allowance</w:t>
            </w:r>
          </w:p>
          <w:p w14:paraId="6803B67F" w14:textId="77777777" w:rsidR="00AE6C45" w:rsidRPr="00557706" w:rsidRDefault="00AE6C45" w:rsidP="00AE6C45">
            <w:pPr>
              <w:pStyle w:val="TableTextSmalltopic"/>
              <w:rPr>
                <w:b w:val="0"/>
              </w:rPr>
            </w:pPr>
            <w:r w:rsidRPr="00557706">
              <w:rPr>
                <w:b w:val="0"/>
              </w:rPr>
              <w:t>Family Assistance and Other Legislation Amendment Act 2011</w:t>
            </w:r>
          </w:p>
        </w:tc>
        <w:tc>
          <w:tcPr>
            <w:tcW w:w="888" w:type="dxa"/>
          </w:tcPr>
          <w:p w14:paraId="717D1F68" w14:textId="77777777" w:rsidR="00AE6C45" w:rsidRPr="00557706" w:rsidRDefault="00AE6C45" w:rsidP="00AE6C45">
            <w:pPr>
              <w:pStyle w:val="TableTextSmall"/>
            </w:pPr>
            <w:r w:rsidRPr="00557706">
              <w:t>2012</w:t>
            </w:r>
          </w:p>
        </w:tc>
        <w:tc>
          <w:tcPr>
            <w:tcW w:w="5851" w:type="dxa"/>
            <w:vAlign w:val="center"/>
          </w:tcPr>
          <w:p w14:paraId="682AC546" w14:textId="77777777" w:rsidR="00AE6C45" w:rsidRPr="00557706" w:rsidRDefault="00AE6C45" w:rsidP="00AE6C45">
            <w:pPr>
              <w:pStyle w:val="TableTextSmall"/>
              <w:rPr>
                <w:b/>
              </w:rPr>
            </w:pPr>
            <w:r w:rsidRPr="00557706">
              <w:t>The maximum age limit for a young person to qualify as a dependent child for Family Tax Benefit Part A (FTB-A) changed from aged under 25 to aged 21. This change aligns with the age of independence recognised in Youth Allowance. As at 1 January 2012, a young person is considered independent for Youth Allowance purposes once they turn 22.</w:t>
            </w:r>
          </w:p>
        </w:tc>
      </w:tr>
      <w:tr w:rsidR="00561021" w:rsidRPr="00557706" w14:paraId="32DCDF10" w14:textId="77777777" w:rsidTr="00AE6C45">
        <w:trPr>
          <w:cantSplit/>
        </w:trPr>
        <w:tc>
          <w:tcPr>
            <w:tcW w:w="3342" w:type="dxa"/>
          </w:tcPr>
          <w:p w14:paraId="03FF2FC6" w14:textId="4C178E4D" w:rsidR="00561021" w:rsidRDefault="00BD1093" w:rsidP="00AE6C45">
            <w:pPr>
              <w:pStyle w:val="TableTextSmalltopic"/>
            </w:pPr>
            <w:r>
              <w:t>Supporting Families with Teenagers</w:t>
            </w:r>
          </w:p>
          <w:p w14:paraId="15FBA394" w14:textId="77777777" w:rsidR="00BD1093" w:rsidRPr="00BD1093" w:rsidRDefault="00BD1093" w:rsidP="00AE6C45">
            <w:pPr>
              <w:pStyle w:val="TableTextSmalltopic"/>
              <w:rPr>
                <w:b w:val="0"/>
              </w:rPr>
            </w:pPr>
          </w:p>
        </w:tc>
        <w:tc>
          <w:tcPr>
            <w:tcW w:w="888" w:type="dxa"/>
          </w:tcPr>
          <w:p w14:paraId="71BF2A72" w14:textId="1ED30910" w:rsidR="00561021" w:rsidRPr="00557706" w:rsidRDefault="00BD1093" w:rsidP="00AE6C45">
            <w:pPr>
              <w:pStyle w:val="TableTextSmall"/>
            </w:pPr>
            <w:r>
              <w:t>2012</w:t>
            </w:r>
          </w:p>
        </w:tc>
        <w:tc>
          <w:tcPr>
            <w:tcW w:w="5851" w:type="dxa"/>
            <w:vAlign w:val="center"/>
          </w:tcPr>
          <w:p w14:paraId="4DCC54C5" w14:textId="33D1AA12" w:rsidR="00561021" w:rsidRPr="00557706" w:rsidRDefault="00BD1093" w:rsidP="001D23E8">
            <w:pPr>
              <w:pStyle w:val="TableTextSmall"/>
            </w:pPr>
            <w:r w:rsidRPr="00BD1093">
              <w:t>From 1 January 2012, Family Tax Benefit Part A increased for eligible families with dependent 16</w:t>
            </w:r>
            <w:r w:rsidRPr="00BD1093">
              <w:rPr>
                <w:rFonts w:ascii="Cambria Math" w:hAnsi="Cambria Math" w:cs="Cambria Math"/>
              </w:rPr>
              <w:t>‑</w:t>
            </w:r>
            <w:r w:rsidRPr="00BD1093">
              <w:t>19 year olds who are undertaking full-time secondary study. The maximum rate increased by up to $161.42 per child per fortnight, to $214.06.</w:t>
            </w:r>
          </w:p>
        </w:tc>
      </w:tr>
      <w:tr w:rsidR="00AE6C45" w:rsidRPr="00557706" w14:paraId="5B4F174D" w14:textId="77777777" w:rsidTr="00AE6C45">
        <w:trPr>
          <w:cantSplit/>
        </w:trPr>
        <w:tc>
          <w:tcPr>
            <w:tcW w:w="3342" w:type="dxa"/>
          </w:tcPr>
          <w:p w14:paraId="47582D7D" w14:textId="77777777" w:rsidR="00AE6C45" w:rsidRPr="00557706" w:rsidRDefault="00AE6C45" w:rsidP="00AE6C45">
            <w:pPr>
              <w:pStyle w:val="TableTextSmalltopic"/>
            </w:pPr>
            <w:r w:rsidRPr="00557706">
              <w:t>Removal of the grandfathering provisions and other measures</w:t>
            </w:r>
          </w:p>
          <w:p w14:paraId="1CD5F332" w14:textId="77777777" w:rsidR="00AE6C45" w:rsidRPr="00557706" w:rsidRDefault="00AE6C45" w:rsidP="00AE6C45">
            <w:pPr>
              <w:pStyle w:val="TableTextSmall"/>
            </w:pPr>
            <w:r w:rsidRPr="00557706">
              <w:t xml:space="preserve">Social Security Legislation Amendment (Fair Incentives to Work) Act 2012 </w:t>
            </w:r>
          </w:p>
        </w:tc>
        <w:tc>
          <w:tcPr>
            <w:tcW w:w="888" w:type="dxa"/>
          </w:tcPr>
          <w:p w14:paraId="56DF9663" w14:textId="77777777" w:rsidR="00AE6C45" w:rsidRPr="00557706" w:rsidRDefault="00AE6C45" w:rsidP="00AE6C45">
            <w:pPr>
              <w:pStyle w:val="TableTextSmall"/>
            </w:pPr>
            <w:r w:rsidRPr="00557706">
              <w:t>2013</w:t>
            </w:r>
          </w:p>
        </w:tc>
        <w:tc>
          <w:tcPr>
            <w:tcW w:w="5851" w:type="dxa"/>
            <w:vAlign w:val="center"/>
          </w:tcPr>
          <w:p w14:paraId="5A9929E8" w14:textId="77777777" w:rsidR="00AE6C45" w:rsidRPr="00557706" w:rsidRDefault="00AE6C45" w:rsidP="00AE6C45">
            <w:pPr>
              <w:pStyle w:val="TableTextSmall"/>
            </w:pPr>
            <w:r w:rsidRPr="00557706">
              <w:t xml:space="preserve">Grandfathering provisions for some Parenting Payment recipients were removed. </w:t>
            </w:r>
          </w:p>
          <w:p w14:paraId="40E9903C" w14:textId="77777777" w:rsidR="00AE6C45" w:rsidRPr="00557706" w:rsidRDefault="00AE6C45" w:rsidP="00AE6C45">
            <w:pPr>
              <w:pStyle w:val="TableTextSmall"/>
            </w:pPr>
            <w:r w:rsidRPr="00557706">
              <w:t>For certain Newstart recipients there were changes to the eligibility for certain supplements and allowances, and to income taper rates.</w:t>
            </w:r>
          </w:p>
        </w:tc>
      </w:tr>
      <w:tr w:rsidR="00AE6C45" w:rsidRPr="00733C78" w14:paraId="12C89571" w14:textId="77777777" w:rsidTr="00AE6C45">
        <w:trPr>
          <w:cantSplit/>
        </w:trPr>
        <w:tc>
          <w:tcPr>
            <w:tcW w:w="3342" w:type="dxa"/>
          </w:tcPr>
          <w:p w14:paraId="043DC615" w14:textId="77777777" w:rsidR="00AE6C45" w:rsidRPr="00557706" w:rsidRDefault="00AE6C45" w:rsidP="00AE6C45">
            <w:pPr>
              <w:pStyle w:val="TableTextSmalltopic"/>
            </w:pPr>
            <w:r w:rsidRPr="00557706">
              <w:t>New Income Support Bonus</w:t>
            </w:r>
          </w:p>
          <w:p w14:paraId="50E4D6B0" w14:textId="77777777" w:rsidR="00AE6C45" w:rsidRPr="00557706" w:rsidRDefault="00AE6C45" w:rsidP="00AE6C45">
            <w:pPr>
              <w:pStyle w:val="TableTextSmall"/>
            </w:pPr>
            <w:r w:rsidRPr="00557706">
              <w:t>Social Security and Other Legislation Amendment (Income Support Bonus) Act 2013</w:t>
            </w:r>
          </w:p>
        </w:tc>
        <w:tc>
          <w:tcPr>
            <w:tcW w:w="888" w:type="dxa"/>
          </w:tcPr>
          <w:p w14:paraId="760D0D94" w14:textId="77777777" w:rsidR="00AE6C45" w:rsidRPr="00557706" w:rsidRDefault="00AE6C45" w:rsidP="00AE6C45">
            <w:pPr>
              <w:pStyle w:val="TableTextSmall"/>
            </w:pPr>
            <w:r w:rsidRPr="00557706">
              <w:t>2013</w:t>
            </w:r>
          </w:p>
        </w:tc>
        <w:tc>
          <w:tcPr>
            <w:tcW w:w="5851" w:type="dxa"/>
            <w:vAlign w:val="center"/>
          </w:tcPr>
          <w:p w14:paraId="6DCED954" w14:textId="77777777" w:rsidR="00AE6C45" w:rsidRPr="00557706" w:rsidRDefault="00AE6C45" w:rsidP="00AE6C45">
            <w:pPr>
              <w:pStyle w:val="TableTextSmall"/>
            </w:pPr>
            <w:r w:rsidRPr="00557706">
              <w:t xml:space="preserve">The Act creates a new Income Support Bonus to be paid to recipients of </w:t>
            </w:r>
          </w:p>
          <w:p w14:paraId="33746161" w14:textId="77777777" w:rsidR="00AE6C45" w:rsidRPr="00557706" w:rsidRDefault="00AE6C45" w:rsidP="00AE6C45">
            <w:pPr>
              <w:pStyle w:val="TableTextSmall"/>
            </w:pPr>
            <w:r w:rsidRPr="00557706">
              <w:t>Newstart Allowance, Youth Allowance, Parenting Payment, Sickness Allowance, Austudy Payment, Special Benefit, ABSTUDY Living Allowance, Exceptional Circumstances Relief Payment, Transitional Farm Family Payment.</w:t>
            </w:r>
          </w:p>
        </w:tc>
      </w:tr>
      <w:tr w:rsidR="00AE6C45" w:rsidRPr="00733C78" w14:paraId="6DCF94A0" w14:textId="77777777" w:rsidTr="00AE6C45">
        <w:trPr>
          <w:cantSplit/>
        </w:trPr>
        <w:tc>
          <w:tcPr>
            <w:tcW w:w="3342" w:type="dxa"/>
          </w:tcPr>
          <w:p w14:paraId="3419C34E" w14:textId="77777777" w:rsidR="00AE6C45" w:rsidRPr="00557706" w:rsidRDefault="00AE6C45" w:rsidP="00AE6C45">
            <w:pPr>
              <w:pStyle w:val="TableTextSmalltopic"/>
            </w:pPr>
            <w:r w:rsidRPr="00557706">
              <w:t>Austudy</w:t>
            </w:r>
          </w:p>
        </w:tc>
        <w:tc>
          <w:tcPr>
            <w:tcW w:w="888" w:type="dxa"/>
          </w:tcPr>
          <w:p w14:paraId="5B66441A" w14:textId="77777777" w:rsidR="00AE6C45" w:rsidRPr="00557706" w:rsidRDefault="00AE6C45" w:rsidP="00AE6C45">
            <w:pPr>
              <w:pStyle w:val="TableTextSmall"/>
            </w:pPr>
            <w:r w:rsidRPr="00557706">
              <w:t>2013</w:t>
            </w:r>
          </w:p>
        </w:tc>
        <w:tc>
          <w:tcPr>
            <w:tcW w:w="5851" w:type="dxa"/>
            <w:vAlign w:val="center"/>
          </w:tcPr>
          <w:p w14:paraId="7D4F7F32" w14:textId="77777777" w:rsidR="00AE6C45" w:rsidRPr="00557706" w:rsidRDefault="00AE6C45" w:rsidP="00AE6C45">
            <w:pPr>
              <w:pStyle w:val="TableTextSmall"/>
            </w:pPr>
            <w:r w:rsidRPr="00557706">
              <w:t>The maximum length of temporary absence was reduced.</w:t>
            </w:r>
          </w:p>
        </w:tc>
      </w:tr>
      <w:tr w:rsidR="00AE6C45" w:rsidRPr="00733C78" w14:paraId="02FE1A82" w14:textId="77777777" w:rsidTr="00AE6C45">
        <w:trPr>
          <w:cantSplit/>
        </w:trPr>
        <w:tc>
          <w:tcPr>
            <w:tcW w:w="3342" w:type="dxa"/>
          </w:tcPr>
          <w:p w14:paraId="4F85BAE1" w14:textId="77777777" w:rsidR="00AE6C45" w:rsidRPr="00557706" w:rsidRDefault="00AE6C45" w:rsidP="00AE6C45">
            <w:pPr>
              <w:pStyle w:val="TableTextSmalltopic"/>
            </w:pPr>
            <w:r w:rsidRPr="00557706">
              <w:t>Age/study rules for children for family assistance payments</w:t>
            </w:r>
          </w:p>
          <w:p w14:paraId="585F3436" w14:textId="77777777" w:rsidR="00AE6C45" w:rsidRPr="00557706" w:rsidRDefault="00AE6C45" w:rsidP="00AE6C45">
            <w:pPr>
              <w:pStyle w:val="TableTextSmall"/>
            </w:pPr>
            <w:r w:rsidRPr="00557706">
              <w:t>Social Security and Other Legislation Amendment (2012 Budget and Other Measures) Act 2012</w:t>
            </w:r>
          </w:p>
        </w:tc>
        <w:tc>
          <w:tcPr>
            <w:tcW w:w="888" w:type="dxa"/>
          </w:tcPr>
          <w:p w14:paraId="5762D9BA" w14:textId="77777777" w:rsidR="00AE6C45" w:rsidRPr="00557706" w:rsidRDefault="00AE6C45" w:rsidP="00AE6C45">
            <w:pPr>
              <w:pStyle w:val="TableTextSmall"/>
            </w:pPr>
            <w:r w:rsidRPr="00557706">
              <w:t>2013</w:t>
            </w:r>
          </w:p>
        </w:tc>
        <w:tc>
          <w:tcPr>
            <w:tcW w:w="5851" w:type="dxa"/>
            <w:vAlign w:val="center"/>
          </w:tcPr>
          <w:p w14:paraId="064793CF" w14:textId="77777777" w:rsidR="00AE6C45" w:rsidRPr="00557706" w:rsidRDefault="00AE6C45" w:rsidP="00AE6C45">
            <w:pPr>
              <w:pStyle w:val="TableTextSmall"/>
            </w:pPr>
            <w:r w:rsidRPr="00557706">
              <w:t xml:space="preserve">The maximum age of eligibility for FTB Part A is further reduced to 17 for children who have completed secondary education or a vocational equivalent. Children still in secondary study can continue to access FTB Part A until the end of the calendar year they turn 19. </w:t>
            </w:r>
          </w:p>
        </w:tc>
      </w:tr>
      <w:tr w:rsidR="00AE6C45" w:rsidRPr="00733C78" w14:paraId="0EC331C7" w14:textId="77777777" w:rsidTr="00AE6C45">
        <w:trPr>
          <w:cantSplit/>
        </w:trPr>
        <w:tc>
          <w:tcPr>
            <w:tcW w:w="3342" w:type="dxa"/>
          </w:tcPr>
          <w:p w14:paraId="694BAA71" w14:textId="77777777" w:rsidR="00AE6C45" w:rsidRPr="00F01E94" w:rsidRDefault="00AE6C45" w:rsidP="00AE6C45">
            <w:pPr>
              <w:pStyle w:val="TableTextSmalltopic"/>
              <w:rPr>
                <w:rFonts w:eastAsiaTheme="minorHAnsi"/>
              </w:rPr>
            </w:pPr>
            <w:r w:rsidRPr="00F01E94">
              <w:t>Austudy</w:t>
            </w:r>
          </w:p>
        </w:tc>
        <w:tc>
          <w:tcPr>
            <w:tcW w:w="888" w:type="dxa"/>
          </w:tcPr>
          <w:p w14:paraId="16D69A41" w14:textId="77777777" w:rsidR="00AE6C45" w:rsidRPr="00F01E94" w:rsidRDefault="00AE6C45" w:rsidP="00AE6C45">
            <w:pPr>
              <w:pStyle w:val="TableTextSmall"/>
            </w:pPr>
            <w:r w:rsidRPr="00F01E94">
              <w:t>2015</w:t>
            </w:r>
          </w:p>
        </w:tc>
        <w:tc>
          <w:tcPr>
            <w:tcW w:w="5851" w:type="dxa"/>
            <w:vAlign w:val="center"/>
          </w:tcPr>
          <w:p w14:paraId="41E87AFE" w14:textId="77777777" w:rsidR="00AE6C45" w:rsidRPr="00F01E94" w:rsidRDefault="00AE6C45" w:rsidP="00AE6C45">
            <w:pPr>
              <w:pStyle w:val="TableTextSmall"/>
            </w:pPr>
            <w:r w:rsidRPr="00F01E94">
              <w:t>The residence requirements changed for Austudy in Jan 2015 and temporary absence is no longer included.</w:t>
            </w:r>
          </w:p>
        </w:tc>
      </w:tr>
      <w:tr w:rsidR="00AE6C45" w:rsidRPr="00733C78" w14:paraId="3EE9320A" w14:textId="77777777" w:rsidTr="00AE6C45">
        <w:trPr>
          <w:cantSplit/>
        </w:trPr>
        <w:tc>
          <w:tcPr>
            <w:tcW w:w="3342" w:type="dxa"/>
          </w:tcPr>
          <w:p w14:paraId="7159480D" w14:textId="77777777" w:rsidR="00AE6C45" w:rsidRPr="00557706" w:rsidRDefault="00AE6C45" w:rsidP="00AE6C45">
            <w:pPr>
              <w:pStyle w:val="TableTextSmalltopic"/>
            </w:pPr>
            <w:r w:rsidRPr="00557706">
              <w:lastRenderedPageBreak/>
              <w:t>Child Care Rebate</w:t>
            </w:r>
          </w:p>
        </w:tc>
        <w:tc>
          <w:tcPr>
            <w:tcW w:w="888" w:type="dxa"/>
          </w:tcPr>
          <w:p w14:paraId="092E13BC" w14:textId="77777777" w:rsidR="00AE6C45" w:rsidRPr="00557706" w:rsidRDefault="00AE6C45" w:rsidP="00AE6C45">
            <w:pPr>
              <w:pStyle w:val="TableTextSmall"/>
            </w:pPr>
            <w:r w:rsidRPr="00557706">
              <w:t>2013</w:t>
            </w:r>
          </w:p>
        </w:tc>
        <w:tc>
          <w:tcPr>
            <w:tcW w:w="5851" w:type="dxa"/>
            <w:vAlign w:val="center"/>
          </w:tcPr>
          <w:p w14:paraId="47B7D442" w14:textId="77777777" w:rsidR="00AE6C45" w:rsidRPr="00557706" w:rsidRDefault="00AE6C45" w:rsidP="00AE6C45">
            <w:pPr>
              <w:pStyle w:val="TableTextSmall"/>
              <w:rPr>
                <w:lang w:eastAsia="en-AU"/>
              </w:rPr>
            </w:pPr>
            <w:r w:rsidRPr="00557706">
              <w:rPr>
                <w:lang w:eastAsia="en-AU"/>
              </w:rPr>
              <w:t>The government changed the eligibility criteria for Jobs, Education and Training Child Care Fee Assistance (JETCCFA) program.</w:t>
            </w:r>
          </w:p>
          <w:p w14:paraId="7256D452" w14:textId="77777777" w:rsidR="00AE6C45" w:rsidRPr="00557706" w:rsidRDefault="00AE6C45" w:rsidP="00AE6C45">
            <w:pPr>
              <w:pStyle w:val="TableTextSmall"/>
              <w:rPr>
                <w:lang w:eastAsia="en-AU"/>
              </w:rPr>
            </w:pPr>
            <w:r w:rsidRPr="00557706">
              <w:rPr>
                <w:lang w:eastAsia="en-AU"/>
              </w:rPr>
              <w:t>From 1 July 2013 parents who were studying an enabling course (commonly referred to as bridging or foundation courses) may be eligible for Jobs, Education and Training Child Care Fee Assistance.</w:t>
            </w:r>
          </w:p>
          <w:p w14:paraId="081C40A8" w14:textId="77777777" w:rsidR="00AE6C45" w:rsidRPr="00557706" w:rsidRDefault="00AE6C45" w:rsidP="00AE6C45">
            <w:pPr>
              <w:pStyle w:val="TableTextSmall"/>
            </w:pPr>
            <w:r w:rsidRPr="00557706">
              <w:rPr>
                <w:lang w:eastAsia="en-AU"/>
              </w:rPr>
              <w:t>Changes to the amount of JETCCFA subsidy could impact the amount of CCR that a child is entitled to. There were changes to JETCCFA eligibility and subsidy rules in 2013, 2014 and 2015.</w:t>
            </w:r>
          </w:p>
        </w:tc>
      </w:tr>
      <w:tr w:rsidR="00AE6C45" w:rsidRPr="00557706" w14:paraId="7A65E1E6" w14:textId="77777777" w:rsidTr="00AE6C45">
        <w:trPr>
          <w:cantSplit/>
        </w:trPr>
        <w:tc>
          <w:tcPr>
            <w:tcW w:w="3342" w:type="dxa"/>
          </w:tcPr>
          <w:p w14:paraId="13318EA4" w14:textId="77777777" w:rsidR="00AE6C45" w:rsidRPr="00557706" w:rsidRDefault="00AE6C45" w:rsidP="00AE6C45">
            <w:pPr>
              <w:pStyle w:val="TableTextSmalltopic"/>
            </w:pPr>
            <w:r w:rsidRPr="00557706">
              <w:t>Disability Support Pension</w:t>
            </w:r>
          </w:p>
        </w:tc>
        <w:tc>
          <w:tcPr>
            <w:tcW w:w="888" w:type="dxa"/>
          </w:tcPr>
          <w:p w14:paraId="6F39D75B" w14:textId="77777777" w:rsidR="00AE6C45" w:rsidRPr="00557706" w:rsidRDefault="00AE6C45" w:rsidP="00AE6C45">
            <w:pPr>
              <w:pStyle w:val="TableTextSmall"/>
            </w:pPr>
            <w:r w:rsidRPr="00557706">
              <w:t>Various</w:t>
            </w:r>
          </w:p>
          <w:p w14:paraId="1907BD97" w14:textId="77777777" w:rsidR="00AE6C45" w:rsidRPr="00557706" w:rsidRDefault="00AE6C45" w:rsidP="00AE6C45">
            <w:pPr>
              <w:pStyle w:val="TableTextSmall"/>
            </w:pPr>
          </w:p>
          <w:p w14:paraId="59010353" w14:textId="77777777" w:rsidR="00AE6C45" w:rsidRPr="00557706" w:rsidRDefault="00AE6C45" w:rsidP="00AE6C45">
            <w:pPr>
              <w:pStyle w:val="TableTextSmall"/>
            </w:pPr>
          </w:p>
          <w:p w14:paraId="16E96D35" w14:textId="77777777" w:rsidR="00AE6C45" w:rsidRPr="00557706" w:rsidRDefault="00AE6C45" w:rsidP="00AE6C45">
            <w:pPr>
              <w:pStyle w:val="TableTextSmall"/>
            </w:pPr>
            <w:r w:rsidRPr="00557706">
              <w:t>2014</w:t>
            </w:r>
          </w:p>
        </w:tc>
        <w:tc>
          <w:tcPr>
            <w:tcW w:w="5851" w:type="dxa"/>
            <w:vAlign w:val="center"/>
          </w:tcPr>
          <w:p w14:paraId="140F4CDE" w14:textId="77777777" w:rsidR="00AE6C45" w:rsidRPr="00557706" w:rsidRDefault="00AE6C45" w:rsidP="00AE6C45">
            <w:pPr>
              <w:pStyle w:val="TableTextSmall"/>
            </w:pPr>
            <w:r w:rsidRPr="00557706">
              <w:t>The tightening of eligibility criteria including, but not limited to, the 'Program of Support' rule in September 2011 and the revised Impairment Tables in January 2012.</w:t>
            </w:r>
          </w:p>
          <w:p w14:paraId="2A04A67C" w14:textId="77777777" w:rsidR="00AE6C45" w:rsidRPr="00557706" w:rsidRDefault="00AE6C45" w:rsidP="00AE6C45">
            <w:pPr>
              <w:pStyle w:val="TableTextSmall"/>
            </w:pPr>
            <w:r w:rsidRPr="00557706">
              <w:t>From 1 July 2014, DSP recipients under age 35 years, granted between 1 January 2008 and 31 December 2011, are subject to review of their impairment (using the revised Impairment Tables) and capacity to work. People with a severe or manifest disability will not be reassessed.</w:t>
            </w:r>
          </w:p>
          <w:p w14:paraId="0F73A19E" w14:textId="77777777" w:rsidR="00AE6C45" w:rsidRPr="00557706" w:rsidRDefault="00AE6C45" w:rsidP="00AE6C45">
            <w:pPr>
              <w:pStyle w:val="TableTextSmall"/>
            </w:pPr>
            <w:r w:rsidRPr="00557706">
              <w:t>People who have some capacity to work now or in the future will be helped to do this through programmes, services and activities.</w:t>
            </w:r>
          </w:p>
          <w:p w14:paraId="620BD136" w14:textId="77777777" w:rsidR="00AE6C45" w:rsidRPr="00557706" w:rsidRDefault="00AE6C45" w:rsidP="00AE6C45">
            <w:pPr>
              <w:pStyle w:val="TableTextSmall"/>
            </w:pPr>
            <w:r w:rsidRPr="00557706">
              <w:t>Under this reform, recipients under 35 will have a participation plan which includes activities that will genuinely assist in labour market participation. These activities could include Work for the Dole, job search, work experience, education and training, and connection with Disability Employment Services.</w:t>
            </w:r>
          </w:p>
        </w:tc>
      </w:tr>
      <w:tr w:rsidR="00AE6C45" w:rsidRPr="00733C78" w14:paraId="510858C7" w14:textId="77777777" w:rsidTr="00AE6C45">
        <w:trPr>
          <w:cantSplit/>
        </w:trPr>
        <w:tc>
          <w:tcPr>
            <w:tcW w:w="3342" w:type="dxa"/>
          </w:tcPr>
          <w:p w14:paraId="31983A3A" w14:textId="77777777" w:rsidR="00AE6C45" w:rsidRPr="00557706" w:rsidRDefault="00AE6C45" w:rsidP="00AE6C45">
            <w:pPr>
              <w:pStyle w:val="TableTextSmalltopic"/>
            </w:pPr>
            <w:r w:rsidRPr="00557706">
              <w:t>Seniors Supplement Cessation</w:t>
            </w:r>
          </w:p>
          <w:p w14:paraId="37FE9EB5" w14:textId="77777777" w:rsidR="00AE6C45" w:rsidRPr="00557706" w:rsidRDefault="00AE6C45" w:rsidP="00AE6C45">
            <w:pPr>
              <w:pStyle w:val="TableTextSmalltopic"/>
            </w:pPr>
            <w:r w:rsidRPr="00557706">
              <w:t>Social Services and Other Legislation Amendment (Seniors Supplement Cessation) Act 2014</w:t>
            </w:r>
          </w:p>
        </w:tc>
        <w:tc>
          <w:tcPr>
            <w:tcW w:w="888" w:type="dxa"/>
          </w:tcPr>
          <w:p w14:paraId="3E1B6537" w14:textId="77777777" w:rsidR="00AE6C45" w:rsidRPr="00557706" w:rsidRDefault="00AE6C45" w:rsidP="00AE6C45">
            <w:pPr>
              <w:pStyle w:val="TableTextSmall"/>
            </w:pPr>
            <w:r w:rsidRPr="00557706">
              <w:t>2014</w:t>
            </w:r>
          </w:p>
        </w:tc>
        <w:tc>
          <w:tcPr>
            <w:tcW w:w="5851" w:type="dxa"/>
            <w:vAlign w:val="center"/>
          </w:tcPr>
          <w:p w14:paraId="3C06B231" w14:textId="77777777" w:rsidR="00AE6C45" w:rsidRPr="00557706" w:rsidRDefault="00AE6C45" w:rsidP="00AE6C45">
            <w:pPr>
              <w:pStyle w:val="TableTextSmall"/>
            </w:pPr>
            <w:r w:rsidRPr="00557706">
              <w:t>The Budget 2014 – 15 measure on the cessation of the Seniors Supplement – Commonwealth Seniors Health Card holders commenced on 20 June 2015.</w:t>
            </w:r>
          </w:p>
          <w:p w14:paraId="67EED904" w14:textId="77777777" w:rsidR="00AE6C45" w:rsidRPr="00557706" w:rsidRDefault="00AE6C45" w:rsidP="00AE6C45">
            <w:pPr>
              <w:pStyle w:val="TableTextSmall"/>
            </w:pPr>
            <w:r w:rsidRPr="00557706">
              <w:t>The Seniors Supplement for Commonwealth Seniors Health Card (CSHC) holders will no longer be paid beyond the June 2014 quarterly payment. From this date CSHC holders will continue to receive only the Energy Supplement each quarter.</w:t>
            </w:r>
          </w:p>
        </w:tc>
      </w:tr>
      <w:tr w:rsidR="00AE6C45" w:rsidRPr="00557706" w14:paraId="37E5DBA4" w14:textId="77777777" w:rsidTr="00AE6C45">
        <w:trPr>
          <w:cantSplit/>
        </w:trPr>
        <w:tc>
          <w:tcPr>
            <w:tcW w:w="3342" w:type="dxa"/>
          </w:tcPr>
          <w:p w14:paraId="48429A77" w14:textId="77777777" w:rsidR="00AE6C45" w:rsidRPr="00557706" w:rsidRDefault="00AE6C45" w:rsidP="00AE6C45">
            <w:pPr>
              <w:pStyle w:val="TableTextSmalltopic"/>
            </w:pPr>
            <w:r w:rsidRPr="00557706">
              <w:t>Child Care Rebate (indexation)</w:t>
            </w:r>
          </w:p>
        </w:tc>
        <w:tc>
          <w:tcPr>
            <w:tcW w:w="888" w:type="dxa"/>
          </w:tcPr>
          <w:p w14:paraId="3E2CAEB5" w14:textId="77777777" w:rsidR="00AE6C45" w:rsidRPr="00557706" w:rsidRDefault="00AE6C45" w:rsidP="00AE6C45">
            <w:pPr>
              <w:pStyle w:val="TableTextSmall"/>
            </w:pPr>
            <w:r w:rsidRPr="00557706">
              <w:t>2014</w:t>
            </w:r>
          </w:p>
        </w:tc>
        <w:tc>
          <w:tcPr>
            <w:tcW w:w="5851" w:type="dxa"/>
            <w:vAlign w:val="center"/>
          </w:tcPr>
          <w:p w14:paraId="533729AC" w14:textId="77777777" w:rsidR="00AE6C45" w:rsidRPr="00557706" w:rsidRDefault="00AE6C45" w:rsidP="00AE6C45">
            <w:pPr>
              <w:pStyle w:val="TableTextSmall"/>
            </w:pPr>
            <w:r w:rsidRPr="00557706">
              <w:t>In the 2010-11 Budget, the Child Care Rebate annual cap was reduced to $7500 and indexation was paused for four years. This arrangement was due to cease on 30 June 2014. Under this measure, the pause in indexation will continue for the 2014-15, 2015-16 and 2016-17 financial years.</w:t>
            </w:r>
          </w:p>
          <w:p w14:paraId="0646961C" w14:textId="77777777" w:rsidR="00AE6C45" w:rsidRPr="00557706" w:rsidRDefault="00AE6C45" w:rsidP="00AE6C45">
            <w:pPr>
              <w:pStyle w:val="TableTextSmall"/>
            </w:pPr>
            <w:r w:rsidRPr="00557706">
              <w:t>For the income years 2014-15, 2015-16, 2016-17, CCR entitlement is</w:t>
            </w:r>
          </w:p>
          <w:p w14:paraId="5CF975DB" w14:textId="77777777" w:rsidR="00AE6C45" w:rsidRPr="00557706" w:rsidRDefault="00AE6C45" w:rsidP="00AE6C45">
            <w:pPr>
              <w:pStyle w:val="TableTextSmall"/>
            </w:pPr>
            <w:r w:rsidRPr="00557706">
              <w:t>calculated as 50% of out-of-pocket child care expenses up to a limit of</w:t>
            </w:r>
          </w:p>
          <w:p w14:paraId="692B298C" w14:textId="77777777" w:rsidR="00AE6C45" w:rsidRPr="00557706" w:rsidRDefault="00AE6C45" w:rsidP="00AE6C45">
            <w:pPr>
              <w:pStyle w:val="TableTextSmall"/>
            </w:pPr>
            <w:r w:rsidRPr="00557706">
              <w:t>$7,500 (capped) per child per year for approved child care. The annual indexation is paused for a further 3 income years. The first indexation of the $7,500 maximum limit is to occur on 1 July 2017.</w:t>
            </w:r>
          </w:p>
        </w:tc>
      </w:tr>
      <w:tr w:rsidR="00AE6C45" w:rsidRPr="00733C78" w14:paraId="1906C3D7" w14:textId="77777777" w:rsidTr="00AE6C45">
        <w:trPr>
          <w:cantSplit/>
        </w:trPr>
        <w:tc>
          <w:tcPr>
            <w:tcW w:w="3342" w:type="dxa"/>
          </w:tcPr>
          <w:p w14:paraId="0827FF1E" w14:textId="77777777" w:rsidR="00AE6C45" w:rsidRPr="00557706" w:rsidRDefault="00AE6C45" w:rsidP="00AE6C45">
            <w:pPr>
              <w:pStyle w:val="TableTextSmalltopic"/>
            </w:pPr>
            <w:r w:rsidRPr="00557706">
              <w:t>Energy Supplement (ES)</w:t>
            </w:r>
          </w:p>
          <w:p w14:paraId="0172E1E4" w14:textId="77777777" w:rsidR="00AE6C45" w:rsidRPr="00557706" w:rsidRDefault="00AE6C45" w:rsidP="00AE6C45">
            <w:pPr>
              <w:pStyle w:val="TableTextSmall"/>
            </w:pPr>
            <w:r w:rsidRPr="00557706">
              <w:t>Social Services and Other Legislation Amendment (2014 Budget Measures No. 6) Act 2014</w:t>
            </w:r>
          </w:p>
        </w:tc>
        <w:tc>
          <w:tcPr>
            <w:tcW w:w="888" w:type="dxa"/>
          </w:tcPr>
          <w:p w14:paraId="2F509FF3" w14:textId="77777777" w:rsidR="00AE6C45" w:rsidRPr="00557706" w:rsidRDefault="00AE6C45" w:rsidP="00AE6C45">
            <w:pPr>
              <w:pStyle w:val="TableTextSmall"/>
            </w:pPr>
            <w:r w:rsidRPr="00557706">
              <w:t>2014</w:t>
            </w:r>
          </w:p>
        </w:tc>
        <w:tc>
          <w:tcPr>
            <w:tcW w:w="5851" w:type="dxa"/>
            <w:vAlign w:val="center"/>
          </w:tcPr>
          <w:p w14:paraId="431508FE" w14:textId="718E4CD6" w:rsidR="00AE6C45" w:rsidRPr="00557706" w:rsidRDefault="00135DF3" w:rsidP="00AE6C45">
            <w:pPr>
              <w:pStyle w:val="TableTextSmall"/>
              <w:rPr>
                <w:rFonts w:ascii="Arial" w:hAnsi="Arial"/>
                <w:color w:val="auto"/>
                <w:szCs w:val="16"/>
                <w:lang w:eastAsia="en-AU"/>
              </w:rPr>
            </w:pPr>
            <w:r>
              <w:t>In September 2014, t</w:t>
            </w:r>
            <w:r w:rsidR="00AE6C45" w:rsidRPr="00557706">
              <w:t>he Energy Supplement (ES) replaced the CES and indexing was removed.</w:t>
            </w:r>
          </w:p>
        </w:tc>
      </w:tr>
      <w:tr w:rsidR="00AE6C45" w:rsidRPr="00F01E94" w14:paraId="7A88411A" w14:textId="77777777" w:rsidTr="00AE6C45">
        <w:trPr>
          <w:cantSplit/>
        </w:trPr>
        <w:tc>
          <w:tcPr>
            <w:tcW w:w="3342" w:type="dxa"/>
          </w:tcPr>
          <w:p w14:paraId="3393DCE2" w14:textId="77777777" w:rsidR="00AE6C45" w:rsidRPr="006077A2" w:rsidRDefault="00AE6C45" w:rsidP="00AE6C45">
            <w:pPr>
              <w:pStyle w:val="TableTextSmalltopic"/>
            </w:pPr>
            <w:r w:rsidRPr="006077A2">
              <w:t>Other Measures</w:t>
            </w:r>
          </w:p>
          <w:p w14:paraId="4A8D9268" w14:textId="77777777" w:rsidR="00AE6C45" w:rsidRPr="006077A2" w:rsidRDefault="00AE6C45" w:rsidP="00AE6C45">
            <w:pPr>
              <w:pStyle w:val="TableTextSmalltopic"/>
              <w:rPr>
                <w:rFonts w:eastAsiaTheme="minorHAnsi"/>
                <w:b w:val="0"/>
              </w:rPr>
            </w:pPr>
            <w:r w:rsidRPr="006077A2">
              <w:rPr>
                <w:b w:val="0"/>
              </w:rPr>
              <w:t>Social Security Amendment (Supporting More Australians into Work) Act 2013</w:t>
            </w:r>
          </w:p>
        </w:tc>
        <w:tc>
          <w:tcPr>
            <w:tcW w:w="888" w:type="dxa"/>
          </w:tcPr>
          <w:p w14:paraId="3436847C" w14:textId="77777777" w:rsidR="00AE6C45" w:rsidRPr="006077A2" w:rsidRDefault="00AE6C45" w:rsidP="00AE6C45">
            <w:pPr>
              <w:pStyle w:val="TableTextSmall"/>
            </w:pPr>
            <w:r w:rsidRPr="006077A2">
              <w:t>2014</w:t>
            </w:r>
          </w:p>
        </w:tc>
        <w:tc>
          <w:tcPr>
            <w:tcW w:w="5851" w:type="dxa"/>
            <w:vAlign w:val="center"/>
          </w:tcPr>
          <w:p w14:paraId="2A8567AF" w14:textId="77777777" w:rsidR="00AE6C45" w:rsidRPr="006077A2" w:rsidRDefault="00AE6C45" w:rsidP="00AE6C45">
            <w:pPr>
              <w:pStyle w:val="TableTextSmall"/>
            </w:pPr>
            <w:r w:rsidRPr="006077A2">
              <w:t>From 20 March 2014, the income free area that applied for certain payments was increased.</w:t>
            </w:r>
          </w:p>
          <w:p w14:paraId="5AE767DC" w14:textId="77777777" w:rsidR="00AE6C45" w:rsidRPr="006077A2" w:rsidRDefault="00AE6C45" w:rsidP="00AE6C45">
            <w:pPr>
              <w:pStyle w:val="TableTextSmall"/>
            </w:pPr>
            <w:r w:rsidRPr="006077A2">
              <w:t>From 1 January 2014, eligibility for the Pensioner Education Supplement (PES) was extended.</w:t>
            </w:r>
          </w:p>
        </w:tc>
      </w:tr>
      <w:tr w:rsidR="00AE6C45" w:rsidRPr="00733C78" w14:paraId="10D0921C" w14:textId="77777777" w:rsidTr="00AE6C45">
        <w:trPr>
          <w:cantSplit/>
        </w:trPr>
        <w:tc>
          <w:tcPr>
            <w:tcW w:w="3342" w:type="dxa"/>
          </w:tcPr>
          <w:p w14:paraId="58368F02" w14:textId="77777777" w:rsidR="00AE6C45" w:rsidRPr="00EF4889" w:rsidRDefault="00AE6C45" w:rsidP="00AE6C45">
            <w:pPr>
              <w:pStyle w:val="TableTextSmalltopic"/>
            </w:pPr>
            <w:r w:rsidRPr="00EF4889">
              <w:t>Family Tax Benefit Part B - primary earner income limit reduced from $150,000 to $100,000 per year</w:t>
            </w:r>
          </w:p>
          <w:p w14:paraId="401936A3" w14:textId="77777777" w:rsidR="00AE6C45" w:rsidRPr="00EF4889" w:rsidRDefault="00AE6C45" w:rsidP="00AE6C45">
            <w:pPr>
              <w:pStyle w:val="TableTextSmalltopic"/>
              <w:rPr>
                <w:rFonts w:eastAsiaTheme="minorHAnsi"/>
                <w:b w:val="0"/>
              </w:rPr>
            </w:pPr>
            <w:r w:rsidRPr="00EF4889">
              <w:rPr>
                <w:b w:val="0"/>
              </w:rPr>
              <w:t>Social Services And Other Legislation Amendment (2014 Budget Measures No. 6) Act 2014</w:t>
            </w:r>
          </w:p>
        </w:tc>
        <w:tc>
          <w:tcPr>
            <w:tcW w:w="888" w:type="dxa"/>
          </w:tcPr>
          <w:p w14:paraId="2251EF2C" w14:textId="77777777" w:rsidR="00AE6C45" w:rsidRPr="00EF4889" w:rsidRDefault="00AE6C45" w:rsidP="00AE6C45">
            <w:pPr>
              <w:pStyle w:val="TableTextSmall"/>
            </w:pPr>
            <w:r w:rsidRPr="00EF4889">
              <w:t>2016</w:t>
            </w:r>
          </w:p>
        </w:tc>
        <w:tc>
          <w:tcPr>
            <w:tcW w:w="5851" w:type="dxa"/>
            <w:vAlign w:val="center"/>
          </w:tcPr>
          <w:p w14:paraId="3C512A4D" w14:textId="77777777" w:rsidR="00AE6C45" w:rsidRPr="00EF4889" w:rsidRDefault="00AE6C45" w:rsidP="00AE6C45">
            <w:pPr>
              <w:pStyle w:val="TableTextSmall"/>
            </w:pPr>
            <w:r w:rsidRPr="00EF4889">
              <w:t>The FTB B higher income earner test changed to $100,000 from 1 July 2015. Families with one parent earning over $100,000 are not eligible for FTB B.</w:t>
            </w:r>
          </w:p>
        </w:tc>
      </w:tr>
      <w:tr w:rsidR="00AE6C45" w:rsidRPr="00F01E94" w14:paraId="4A9B7A2C" w14:textId="77777777" w:rsidTr="00AE6C45">
        <w:trPr>
          <w:cantSplit/>
        </w:trPr>
        <w:tc>
          <w:tcPr>
            <w:tcW w:w="3342" w:type="dxa"/>
          </w:tcPr>
          <w:p w14:paraId="2C81F040" w14:textId="77777777" w:rsidR="00AE6C45" w:rsidRPr="00EF4889" w:rsidRDefault="00AE6C45" w:rsidP="00AE6C45">
            <w:pPr>
              <w:pStyle w:val="TableTextSmalltopic"/>
            </w:pPr>
            <w:r w:rsidRPr="00EF4889">
              <w:t xml:space="preserve">Family Tax Benefit Part A - higher income free area per-child add-on abolished </w:t>
            </w:r>
          </w:p>
          <w:p w14:paraId="0FEA83F2" w14:textId="77777777" w:rsidR="00AE6C45" w:rsidRPr="00EF4889" w:rsidRDefault="00AE6C45" w:rsidP="00AE6C45">
            <w:pPr>
              <w:pStyle w:val="TableTextSmalltopic"/>
              <w:rPr>
                <w:rFonts w:eastAsiaTheme="minorHAnsi"/>
                <w:b w:val="0"/>
              </w:rPr>
            </w:pPr>
            <w:r w:rsidRPr="00EF4889">
              <w:rPr>
                <w:b w:val="0"/>
              </w:rPr>
              <w:t>Social Services And Other Legislation Amendment (2014 Budget Measures No. 6) Act 2014</w:t>
            </w:r>
          </w:p>
        </w:tc>
        <w:tc>
          <w:tcPr>
            <w:tcW w:w="888" w:type="dxa"/>
          </w:tcPr>
          <w:p w14:paraId="32D49356" w14:textId="77777777" w:rsidR="00AE6C45" w:rsidRPr="00EF4889" w:rsidRDefault="00AE6C45" w:rsidP="00AE6C45">
            <w:pPr>
              <w:pStyle w:val="TableTextSmall"/>
            </w:pPr>
            <w:r w:rsidRPr="00EF4889">
              <w:t>2016</w:t>
            </w:r>
          </w:p>
        </w:tc>
        <w:tc>
          <w:tcPr>
            <w:tcW w:w="5851" w:type="dxa"/>
            <w:vAlign w:val="center"/>
          </w:tcPr>
          <w:p w14:paraId="20251B77" w14:textId="77777777" w:rsidR="00AE6C45" w:rsidRPr="00EF4889" w:rsidRDefault="00AE6C45" w:rsidP="00AE6C45">
            <w:pPr>
              <w:pStyle w:val="TableTextSmall"/>
            </w:pPr>
            <w:r w:rsidRPr="00EF4889">
              <w:t>Remove the FTB Part A per-child add-on to the higher income free area for each additional child after the first.</w:t>
            </w:r>
          </w:p>
        </w:tc>
      </w:tr>
      <w:tr w:rsidR="00AE6C45" w:rsidRPr="00F01E94" w14:paraId="2D5B4C89" w14:textId="77777777" w:rsidTr="00AE6C45">
        <w:trPr>
          <w:cantSplit/>
        </w:trPr>
        <w:tc>
          <w:tcPr>
            <w:tcW w:w="3342" w:type="dxa"/>
          </w:tcPr>
          <w:p w14:paraId="49AAD0F0" w14:textId="77777777" w:rsidR="00AE6C45" w:rsidRPr="00EF4889" w:rsidRDefault="00AE6C45" w:rsidP="00AE6C45">
            <w:pPr>
              <w:pStyle w:val="TableTextSmalltopic"/>
            </w:pPr>
            <w:r w:rsidRPr="00EF4889">
              <w:t>Changes to the treatment of defined benefit income streams (age pension)</w:t>
            </w:r>
          </w:p>
          <w:p w14:paraId="391E50B1" w14:textId="77777777" w:rsidR="00AE6C45" w:rsidRPr="00EF4889" w:rsidRDefault="00AE6C45" w:rsidP="00AE6C45">
            <w:pPr>
              <w:pStyle w:val="TableTextSmalltopic"/>
              <w:rPr>
                <w:rFonts w:eastAsiaTheme="minorHAnsi"/>
                <w:b w:val="0"/>
              </w:rPr>
            </w:pPr>
            <w:r w:rsidRPr="00EF4889">
              <w:rPr>
                <w:b w:val="0"/>
              </w:rPr>
              <w:t>Social Services Legislation Amendment (Defined Benefit Income Streams) Act 2015</w:t>
            </w:r>
          </w:p>
        </w:tc>
        <w:tc>
          <w:tcPr>
            <w:tcW w:w="888" w:type="dxa"/>
          </w:tcPr>
          <w:p w14:paraId="5B0A7768" w14:textId="77777777" w:rsidR="00AE6C45" w:rsidRPr="00EF4889" w:rsidRDefault="00AE6C45" w:rsidP="00AE6C45">
            <w:pPr>
              <w:pStyle w:val="TableTextSmall"/>
            </w:pPr>
            <w:r w:rsidRPr="00EF4889">
              <w:t>2016</w:t>
            </w:r>
          </w:p>
        </w:tc>
        <w:tc>
          <w:tcPr>
            <w:tcW w:w="5851" w:type="dxa"/>
            <w:vAlign w:val="center"/>
          </w:tcPr>
          <w:p w14:paraId="3B93BA35" w14:textId="77777777" w:rsidR="00AE6C45" w:rsidRPr="00EF4889" w:rsidRDefault="00AE6C45" w:rsidP="00AE6C45">
            <w:pPr>
              <w:pStyle w:val="TableTextSmall"/>
            </w:pPr>
            <w:r w:rsidRPr="00EF4889">
              <w:t>This introduces a 10% cap on the amount of a superannuant’s defined benefit income that is excluded when applying the social security income test.</w:t>
            </w:r>
          </w:p>
        </w:tc>
      </w:tr>
      <w:tr w:rsidR="00AE6C45" w:rsidRPr="00733C78" w14:paraId="47666B53" w14:textId="77777777" w:rsidTr="00AE6C45">
        <w:trPr>
          <w:cantSplit/>
        </w:trPr>
        <w:tc>
          <w:tcPr>
            <w:tcW w:w="3342" w:type="dxa"/>
          </w:tcPr>
          <w:p w14:paraId="2293EFF9" w14:textId="77777777" w:rsidR="00AE6C45" w:rsidRPr="00EF4889" w:rsidRDefault="00AE6C45" w:rsidP="00AE6C45">
            <w:pPr>
              <w:pStyle w:val="TableTextSmalltopic"/>
            </w:pPr>
            <w:r w:rsidRPr="00EF4889">
              <w:rPr>
                <w:rFonts w:eastAsiaTheme="minorHAnsi"/>
              </w:rPr>
              <w:lastRenderedPageBreak/>
              <w:t>Student Start-up Loan</w:t>
            </w:r>
          </w:p>
          <w:p w14:paraId="2069F2E2" w14:textId="77777777" w:rsidR="00AE6C45" w:rsidRPr="00EF4889" w:rsidRDefault="00AE6C45" w:rsidP="00AE6C45">
            <w:pPr>
              <w:pStyle w:val="TableTextSmalltopic"/>
              <w:rPr>
                <w:rFonts w:eastAsiaTheme="minorHAnsi"/>
              </w:rPr>
            </w:pPr>
            <w:r w:rsidRPr="00EF4889">
              <w:rPr>
                <w:rFonts w:eastAsiaTheme="minorHAnsi"/>
              </w:rPr>
              <w:t>(SSL) replaced the</w:t>
            </w:r>
          </w:p>
          <w:p w14:paraId="1B979043" w14:textId="77777777" w:rsidR="00AE6C45" w:rsidRPr="00EF4889" w:rsidRDefault="00AE6C45" w:rsidP="00AE6C45">
            <w:pPr>
              <w:pStyle w:val="TableTextSmalltopic"/>
              <w:rPr>
                <w:rFonts w:eastAsiaTheme="minorHAnsi"/>
              </w:rPr>
            </w:pPr>
            <w:r w:rsidRPr="00EF4889">
              <w:rPr>
                <w:rFonts w:eastAsiaTheme="minorHAnsi"/>
              </w:rPr>
              <w:t>Student Start-up</w:t>
            </w:r>
          </w:p>
          <w:p w14:paraId="20860ABF" w14:textId="77777777" w:rsidR="00AE6C45" w:rsidRPr="00EF4889" w:rsidRDefault="00AE6C45" w:rsidP="00AE6C45">
            <w:pPr>
              <w:pStyle w:val="TableTextSmalltopic"/>
              <w:rPr>
                <w:rFonts w:eastAsiaTheme="minorHAnsi"/>
              </w:rPr>
            </w:pPr>
            <w:r w:rsidRPr="00EF4889">
              <w:rPr>
                <w:rFonts w:eastAsiaTheme="minorHAnsi"/>
              </w:rPr>
              <w:t>Scholarship (SSS)</w:t>
            </w:r>
            <w:r w:rsidRPr="00EF4889">
              <w:rPr>
                <w:rFonts w:eastAsiaTheme="minorHAnsi"/>
              </w:rPr>
              <w:br/>
            </w:r>
            <w:r w:rsidRPr="00EF4889">
              <w:rPr>
                <w:rFonts w:eastAsiaTheme="minorHAnsi"/>
                <w:b w:val="0"/>
              </w:rPr>
              <w:t>Labor 2013-14 Budget</w:t>
            </w:r>
          </w:p>
          <w:p w14:paraId="515701E6" w14:textId="77777777" w:rsidR="00AE6C45" w:rsidRPr="00EF4889" w:rsidRDefault="00AE6C45" w:rsidP="00AE6C45">
            <w:pPr>
              <w:pStyle w:val="TableTextSmall"/>
              <w:rPr>
                <w:rFonts w:eastAsiaTheme="minorHAnsi"/>
              </w:rPr>
            </w:pPr>
            <w:r w:rsidRPr="00EF4889">
              <w:rPr>
                <w:rFonts w:eastAsiaTheme="minorHAnsi"/>
              </w:rPr>
              <w:t>Savings (Measures</w:t>
            </w:r>
          </w:p>
          <w:p w14:paraId="11F0BD75" w14:textId="77777777" w:rsidR="00AE6C45" w:rsidRPr="00EF4889" w:rsidRDefault="00AE6C45" w:rsidP="00AE6C45">
            <w:pPr>
              <w:pStyle w:val="TableTextSmall"/>
            </w:pPr>
            <w:r w:rsidRPr="00EF4889">
              <w:rPr>
                <w:rFonts w:eastAsiaTheme="minorHAnsi"/>
              </w:rPr>
              <w:t>No. 2) Act 2015</w:t>
            </w:r>
          </w:p>
        </w:tc>
        <w:tc>
          <w:tcPr>
            <w:tcW w:w="888" w:type="dxa"/>
          </w:tcPr>
          <w:p w14:paraId="5BA0F05E" w14:textId="77777777" w:rsidR="00AE6C45" w:rsidRPr="00EF4889" w:rsidRDefault="00AE6C45" w:rsidP="00AE6C45">
            <w:pPr>
              <w:pStyle w:val="TableTextSmall"/>
            </w:pPr>
            <w:r w:rsidRPr="00EF4889">
              <w:t>2016</w:t>
            </w:r>
          </w:p>
        </w:tc>
        <w:tc>
          <w:tcPr>
            <w:tcW w:w="5851" w:type="dxa"/>
            <w:vAlign w:val="center"/>
          </w:tcPr>
          <w:p w14:paraId="48322F33" w14:textId="711295BA" w:rsidR="00AE6C45" w:rsidRPr="00EF4889" w:rsidRDefault="00AE6C45" w:rsidP="00AE6C45">
            <w:pPr>
              <w:pStyle w:val="TableTextSmall"/>
            </w:pPr>
            <w:r w:rsidRPr="00EF4889">
              <w:t>For new recipients of Youth Allowance, Austudy and ABSTUDY who are in higher education full-time, the Student Start-up Loan (SSL) replaced the Student Start</w:t>
            </w:r>
            <w:r w:rsidR="00135DF3">
              <w:t>-U</w:t>
            </w:r>
            <w:r w:rsidRPr="00EF4889">
              <w:t xml:space="preserve">p Scholarship (SSS). </w:t>
            </w:r>
          </w:p>
          <w:p w14:paraId="48498454" w14:textId="4F3709E6" w:rsidR="00AE6C45" w:rsidRPr="00EF4889" w:rsidRDefault="00AE6C45" w:rsidP="00047063">
            <w:pPr>
              <w:pStyle w:val="TableTextSmall"/>
            </w:pPr>
            <w:r w:rsidRPr="00EF4889">
              <w:t>SSL is a $1,025 voluntary income contingent loan that can be paid twice per year at the beginning of each semester. SSS will be grandfathered for pre 1 January 2016 recipients and they will continue to receive it until they leave the student payment.</w:t>
            </w:r>
          </w:p>
        </w:tc>
      </w:tr>
      <w:tr w:rsidR="00AE6C45" w:rsidRPr="00F01E94" w14:paraId="46D9FF8D" w14:textId="77777777" w:rsidTr="00AE6C45">
        <w:trPr>
          <w:cantSplit/>
        </w:trPr>
        <w:tc>
          <w:tcPr>
            <w:tcW w:w="3342" w:type="dxa"/>
          </w:tcPr>
          <w:p w14:paraId="3F301CB4" w14:textId="77777777" w:rsidR="00AE6C45" w:rsidRPr="0057506F" w:rsidRDefault="00AE6C45" w:rsidP="00AE6C45">
            <w:pPr>
              <w:pStyle w:val="TableTextSmalltopic"/>
            </w:pPr>
            <w:r w:rsidRPr="00EF4889">
              <w:t>Portability of Family Tax Benefit</w:t>
            </w:r>
            <w:r w:rsidRPr="0057506F">
              <w:t xml:space="preserve"> </w:t>
            </w:r>
          </w:p>
          <w:p w14:paraId="33C9FF28" w14:textId="77777777" w:rsidR="00AE6C45" w:rsidRPr="00EF4889" w:rsidRDefault="00AE6C45" w:rsidP="00AE6C45">
            <w:pPr>
              <w:pStyle w:val="TableTextSmalltopic"/>
              <w:rPr>
                <w:rFonts w:eastAsiaTheme="minorHAnsi"/>
                <w:b w:val="0"/>
                <w:highlight w:val="yellow"/>
              </w:rPr>
            </w:pPr>
            <w:r w:rsidRPr="00EF4889">
              <w:rPr>
                <w:b w:val="0"/>
              </w:rPr>
              <w:t>Social Services Legislation Amendment (Family Measures) Act 2016</w:t>
            </w:r>
          </w:p>
        </w:tc>
        <w:tc>
          <w:tcPr>
            <w:tcW w:w="888" w:type="dxa"/>
          </w:tcPr>
          <w:p w14:paraId="674E6C3C" w14:textId="77777777" w:rsidR="00AE6C45" w:rsidRPr="006077A2" w:rsidRDefault="00AE6C45" w:rsidP="00AE6C45">
            <w:pPr>
              <w:pStyle w:val="TableTextSmall"/>
            </w:pPr>
            <w:r w:rsidRPr="006077A2">
              <w:t>2016</w:t>
            </w:r>
          </w:p>
        </w:tc>
        <w:tc>
          <w:tcPr>
            <w:tcW w:w="5851" w:type="dxa"/>
            <w:vAlign w:val="center"/>
          </w:tcPr>
          <w:p w14:paraId="469B174F" w14:textId="77777777" w:rsidR="00AE6C45" w:rsidRPr="00F01E94" w:rsidRDefault="00AE6C45" w:rsidP="00AE6C45">
            <w:pPr>
              <w:pStyle w:val="TableTextSmall"/>
              <w:rPr>
                <w:highlight w:val="yellow"/>
              </w:rPr>
            </w:pPr>
            <w:r w:rsidRPr="00EF4889">
              <w:t>Reduce to six weeks the period during which FTB Part A, and additional payments that rely on FTB eligibility, will be paid to recipients who are outside Australia.</w:t>
            </w:r>
          </w:p>
        </w:tc>
      </w:tr>
      <w:tr w:rsidR="00AE6C45" w:rsidRPr="00F01E94" w14:paraId="37942ACF" w14:textId="77777777" w:rsidTr="00AE6C45">
        <w:trPr>
          <w:cantSplit/>
        </w:trPr>
        <w:tc>
          <w:tcPr>
            <w:tcW w:w="3342" w:type="dxa"/>
          </w:tcPr>
          <w:p w14:paraId="342D937F" w14:textId="77777777" w:rsidR="00AE6C45" w:rsidRPr="0057506F" w:rsidRDefault="00AE6C45" w:rsidP="00AE6C45">
            <w:pPr>
              <w:pStyle w:val="TableTextSmalltopic"/>
            </w:pPr>
            <w:r w:rsidRPr="00EF4889">
              <w:t>No Jab, No Pay</w:t>
            </w:r>
            <w:r w:rsidRPr="0057506F">
              <w:t xml:space="preserve"> </w:t>
            </w:r>
          </w:p>
          <w:p w14:paraId="53804FB8" w14:textId="77777777" w:rsidR="00AE6C45" w:rsidRPr="00EF4889" w:rsidRDefault="00AE6C45" w:rsidP="00AE6C45">
            <w:pPr>
              <w:pStyle w:val="TableTextSmalltopic"/>
              <w:rPr>
                <w:rFonts w:eastAsiaTheme="minorHAnsi"/>
                <w:b w:val="0"/>
                <w:highlight w:val="yellow"/>
              </w:rPr>
            </w:pPr>
            <w:r w:rsidRPr="00EF4889">
              <w:rPr>
                <w:b w:val="0"/>
              </w:rPr>
              <w:t>Social Services Legislation Amendment (No Jab, No Pay) Act 2015</w:t>
            </w:r>
          </w:p>
        </w:tc>
        <w:tc>
          <w:tcPr>
            <w:tcW w:w="888" w:type="dxa"/>
          </w:tcPr>
          <w:p w14:paraId="7C7F24D9" w14:textId="77777777" w:rsidR="00AE6C45" w:rsidRPr="006077A2" w:rsidRDefault="00AE6C45" w:rsidP="00AE6C45">
            <w:pPr>
              <w:pStyle w:val="TableTextSmall"/>
            </w:pPr>
            <w:r w:rsidRPr="006077A2">
              <w:t>2016</w:t>
            </w:r>
          </w:p>
        </w:tc>
        <w:tc>
          <w:tcPr>
            <w:tcW w:w="5851" w:type="dxa"/>
          </w:tcPr>
          <w:p w14:paraId="34B5A553" w14:textId="77777777" w:rsidR="00AE6C45" w:rsidRPr="00F01E94" w:rsidRDefault="00AE6C45" w:rsidP="00AE6C45">
            <w:pPr>
              <w:pStyle w:val="TableTextSmall"/>
              <w:rPr>
                <w:highlight w:val="yellow"/>
              </w:rPr>
            </w:pPr>
            <w:r w:rsidRPr="00F64220">
              <w:t>Immunisation requirements apply to children aged from 12 months up to 20 years for the FTB Part A Supplement, and for children aged under 20 years for Child Care Benefit and Child Care Rebate</w:t>
            </w:r>
            <w:r>
              <w:t>.</w:t>
            </w:r>
          </w:p>
        </w:tc>
      </w:tr>
      <w:tr w:rsidR="00AE6C45" w:rsidRPr="00F01E94" w14:paraId="2D44A670" w14:textId="77777777" w:rsidTr="00AE6C45">
        <w:trPr>
          <w:cantSplit/>
        </w:trPr>
        <w:tc>
          <w:tcPr>
            <w:tcW w:w="3342" w:type="dxa"/>
          </w:tcPr>
          <w:p w14:paraId="4A3B0FE1" w14:textId="77777777" w:rsidR="00AE6C45" w:rsidRDefault="00AE6C45" w:rsidP="00AE6C45">
            <w:pPr>
              <w:pStyle w:val="TableTextSmalltopic"/>
            </w:pPr>
            <w:r w:rsidRPr="00EF4889">
              <w:t>Cessation of the Large Family Supplement</w:t>
            </w:r>
          </w:p>
          <w:p w14:paraId="56DD0BEB" w14:textId="77777777" w:rsidR="00AE6C45" w:rsidRPr="00EF4889" w:rsidRDefault="00AE6C45" w:rsidP="00AE6C45">
            <w:pPr>
              <w:pStyle w:val="TableTextSmalltopic"/>
              <w:rPr>
                <w:rFonts w:eastAsiaTheme="minorHAnsi"/>
                <w:b w:val="0"/>
                <w:highlight w:val="yellow"/>
              </w:rPr>
            </w:pPr>
            <w:r w:rsidRPr="00EF4889">
              <w:rPr>
                <w:b w:val="0"/>
              </w:rPr>
              <w:t>Social Services Legislation Amendment (Family Measures) Act 2016</w:t>
            </w:r>
          </w:p>
        </w:tc>
        <w:tc>
          <w:tcPr>
            <w:tcW w:w="888" w:type="dxa"/>
          </w:tcPr>
          <w:p w14:paraId="791F26C3" w14:textId="77777777" w:rsidR="00AE6C45" w:rsidRPr="006077A2" w:rsidRDefault="00AE6C45" w:rsidP="00AE6C45">
            <w:pPr>
              <w:pStyle w:val="TableTextSmall"/>
            </w:pPr>
            <w:r w:rsidRPr="006077A2">
              <w:t>2016</w:t>
            </w:r>
          </w:p>
        </w:tc>
        <w:tc>
          <w:tcPr>
            <w:tcW w:w="5851" w:type="dxa"/>
          </w:tcPr>
          <w:p w14:paraId="3B1EF25D" w14:textId="77777777" w:rsidR="00AE6C45" w:rsidRPr="00F01E94" w:rsidRDefault="00AE6C45" w:rsidP="00AE6C45">
            <w:pPr>
              <w:pStyle w:val="TableTextSmall"/>
              <w:rPr>
                <w:highlight w:val="yellow"/>
              </w:rPr>
            </w:pPr>
            <w:r w:rsidRPr="00F64220">
              <w:t>Cease the Large Family Supplement, which is a component of FTB Part A currently paid for the fourth and each subsequent FTB child in the family.</w:t>
            </w:r>
          </w:p>
        </w:tc>
      </w:tr>
      <w:tr w:rsidR="00AE6C45" w:rsidRPr="00F01E94" w14:paraId="2A51C099" w14:textId="77777777" w:rsidTr="00AE6C45">
        <w:trPr>
          <w:cantSplit/>
        </w:trPr>
        <w:tc>
          <w:tcPr>
            <w:tcW w:w="3342" w:type="dxa"/>
          </w:tcPr>
          <w:p w14:paraId="3DB1E98F" w14:textId="77777777" w:rsidR="00AE6C45" w:rsidRDefault="00AE6C45" w:rsidP="00AE6C45">
            <w:pPr>
              <w:pStyle w:val="TableTextSmalltopic"/>
            </w:pPr>
            <w:r w:rsidRPr="00EF4889">
              <w:t>Remove Family Tax Benefit Part B to couple families with a youngest child aged 13 and over</w:t>
            </w:r>
          </w:p>
          <w:p w14:paraId="6D59E8BD" w14:textId="77777777" w:rsidR="00AE6C45" w:rsidRPr="00EF4889" w:rsidRDefault="00AE6C45" w:rsidP="00AE6C45">
            <w:pPr>
              <w:pStyle w:val="TableTextSmalltopic"/>
              <w:rPr>
                <w:rFonts w:eastAsiaTheme="minorHAnsi"/>
                <w:b w:val="0"/>
                <w:highlight w:val="yellow"/>
              </w:rPr>
            </w:pPr>
            <w:r w:rsidRPr="00EF4889">
              <w:rPr>
                <w:b w:val="0"/>
              </w:rPr>
              <w:t>Social Services Legislation Amendment (Family Payments Structural Reform and Participation Measures) Act 2015</w:t>
            </w:r>
          </w:p>
        </w:tc>
        <w:tc>
          <w:tcPr>
            <w:tcW w:w="888" w:type="dxa"/>
          </w:tcPr>
          <w:p w14:paraId="2D429A0A" w14:textId="77777777" w:rsidR="00AE6C45" w:rsidRPr="006077A2" w:rsidRDefault="00AE6C45" w:rsidP="00AE6C45">
            <w:pPr>
              <w:pStyle w:val="TableTextSmall"/>
            </w:pPr>
            <w:r w:rsidRPr="006077A2">
              <w:t>2016</w:t>
            </w:r>
          </w:p>
        </w:tc>
        <w:tc>
          <w:tcPr>
            <w:tcW w:w="5851" w:type="dxa"/>
          </w:tcPr>
          <w:p w14:paraId="6F1C4361" w14:textId="77777777" w:rsidR="00AE6C45" w:rsidRPr="00F01E94" w:rsidRDefault="00AE6C45" w:rsidP="00AE6C45">
            <w:pPr>
              <w:pStyle w:val="TableTextSmall"/>
              <w:rPr>
                <w:highlight w:val="yellow"/>
              </w:rPr>
            </w:pPr>
            <w:r w:rsidRPr="00F64220">
              <w:t>Couple families with a youngest child 13 or over (excluding grandparents and great-grandparents) lose FTB Part B. Single parents, grandparents and great-grandparents with a youngest child between 13 and 18 will continue to receive FTB Part B.</w:t>
            </w:r>
          </w:p>
        </w:tc>
      </w:tr>
      <w:tr w:rsidR="00AE6C45" w:rsidRPr="00F01E94" w14:paraId="4546551E" w14:textId="77777777" w:rsidTr="00AE6C45">
        <w:trPr>
          <w:cantSplit/>
        </w:trPr>
        <w:tc>
          <w:tcPr>
            <w:tcW w:w="3342" w:type="dxa"/>
          </w:tcPr>
          <w:p w14:paraId="1D5677D7" w14:textId="77777777" w:rsidR="00AE6C45" w:rsidRDefault="00AE6C45" w:rsidP="00AE6C45">
            <w:pPr>
              <w:pStyle w:val="TableTextSmalltopic"/>
            </w:pPr>
            <w:r w:rsidRPr="00EF4889">
              <w:t>Changes to Family Assistance Law affecting Child Care Benefit (CCB) approved Family Day Care (FDC) services. Aimed at ending ‘child swapping’</w:t>
            </w:r>
          </w:p>
          <w:p w14:paraId="194026CF" w14:textId="7E9DD451" w:rsidR="00AE6C45" w:rsidRPr="00EF4889" w:rsidRDefault="00AE6C45" w:rsidP="00BB3F4F">
            <w:pPr>
              <w:pStyle w:val="TableTextSmalltopic"/>
              <w:rPr>
                <w:rFonts w:eastAsiaTheme="minorHAnsi"/>
                <w:b w:val="0"/>
                <w:highlight w:val="yellow"/>
              </w:rPr>
            </w:pPr>
            <w:r w:rsidRPr="006077A2">
              <w:rPr>
                <w:b w:val="0"/>
              </w:rPr>
              <w:t>Child Care Benefit (Children in respect of whom no-one is eligible) Determination 2015</w:t>
            </w:r>
          </w:p>
        </w:tc>
        <w:tc>
          <w:tcPr>
            <w:tcW w:w="888" w:type="dxa"/>
          </w:tcPr>
          <w:p w14:paraId="4D1D936A" w14:textId="77777777" w:rsidR="00AE6C45" w:rsidRPr="006077A2" w:rsidRDefault="00AE6C45" w:rsidP="00AE6C45">
            <w:pPr>
              <w:pStyle w:val="TableTextSmall"/>
            </w:pPr>
            <w:r w:rsidRPr="006077A2">
              <w:t>2016</w:t>
            </w:r>
          </w:p>
        </w:tc>
        <w:tc>
          <w:tcPr>
            <w:tcW w:w="5851" w:type="dxa"/>
          </w:tcPr>
          <w:p w14:paraId="02AD168A" w14:textId="77777777" w:rsidR="00AE6C45" w:rsidRPr="00F01E94" w:rsidRDefault="00AE6C45" w:rsidP="00AE6C45">
            <w:pPr>
              <w:pStyle w:val="TableTextSmall"/>
              <w:rPr>
                <w:highlight w:val="yellow"/>
              </w:rPr>
            </w:pPr>
            <w:r w:rsidRPr="00F64220">
              <w:t>FDC educators and their partners are no longer entitled to receive child care fee assistance for their own child’s session of FDC if, on that same day, the FDC educator provides FDC for an approved FDC service, unless specified circumstances apply.</w:t>
            </w:r>
          </w:p>
        </w:tc>
      </w:tr>
      <w:tr w:rsidR="00AE6C45" w:rsidRPr="00F01E94" w14:paraId="22589FED" w14:textId="77777777" w:rsidTr="00AE6C45">
        <w:trPr>
          <w:cantSplit/>
        </w:trPr>
        <w:tc>
          <w:tcPr>
            <w:tcW w:w="3342" w:type="dxa"/>
          </w:tcPr>
          <w:p w14:paraId="363C4774" w14:textId="675BE53E" w:rsidR="00AE6C45" w:rsidRDefault="00AE6C45" w:rsidP="00AE6C45">
            <w:pPr>
              <w:pStyle w:val="TableTextSmalltopic"/>
            </w:pPr>
            <w:r w:rsidRPr="006077A2">
              <w:t xml:space="preserve">Changes to the parental means test (Impacting on </w:t>
            </w:r>
            <w:r w:rsidR="003C32DF">
              <w:t>S</w:t>
            </w:r>
            <w:r w:rsidRPr="006077A2">
              <w:t xml:space="preserve">tudying </w:t>
            </w:r>
            <w:r w:rsidR="003C32DF">
              <w:t>c</w:t>
            </w:r>
            <w:r w:rsidRPr="006077A2">
              <w:t xml:space="preserve">lass, a small section of </w:t>
            </w:r>
            <w:r w:rsidR="003C32DF">
              <w:t>Working Age class</w:t>
            </w:r>
            <w:r w:rsidRPr="006077A2">
              <w:t xml:space="preserve"> and the </w:t>
            </w:r>
            <w:r w:rsidR="005B3E7D">
              <w:t>non IS</w:t>
            </w:r>
            <w:r w:rsidRPr="006077A2">
              <w:t xml:space="preserve"> family class)</w:t>
            </w:r>
          </w:p>
          <w:p w14:paraId="418DF8AB" w14:textId="77777777" w:rsidR="00AE6C45" w:rsidRPr="006077A2" w:rsidRDefault="00AE6C45" w:rsidP="00AE6C45">
            <w:pPr>
              <w:pStyle w:val="TableTextSmalltopic"/>
              <w:rPr>
                <w:rFonts w:eastAsiaTheme="minorHAnsi"/>
                <w:b w:val="0"/>
                <w:highlight w:val="yellow"/>
              </w:rPr>
            </w:pPr>
            <w:r w:rsidRPr="006077A2">
              <w:rPr>
                <w:b w:val="0"/>
              </w:rPr>
              <w:t>Social Services Legislation Amendment (More Generous Means Testing For Youth Payments) Act 2015</w:t>
            </w:r>
          </w:p>
        </w:tc>
        <w:tc>
          <w:tcPr>
            <w:tcW w:w="888" w:type="dxa"/>
          </w:tcPr>
          <w:p w14:paraId="7E89958E" w14:textId="77777777" w:rsidR="00AE6C45" w:rsidRPr="006077A2" w:rsidRDefault="00AE6C45" w:rsidP="00AE6C45">
            <w:pPr>
              <w:pStyle w:val="TableTextSmall"/>
            </w:pPr>
            <w:r w:rsidRPr="006077A2">
              <w:t>2016</w:t>
            </w:r>
          </w:p>
        </w:tc>
        <w:tc>
          <w:tcPr>
            <w:tcW w:w="5851" w:type="dxa"/>
          </w:tcPr>
          <w:p w14:paraId="7F3B55D4" w14:textId="77777777" w:rsidR="00AE6C45" w:rsidRPr="00F01E94" w:rsidRDefault="00AE6C45" w:rsidP="00AE6C45">
            <w:pPr>
              <w:pStyle w:val="TableTextSmall"/>
              <w:rPr>
                <w:highlight w:val="yellow"/>
              </w:rPr>
            </w:pPr>
            <w:r w:rsidRPr="00F64220">
              <w:t>Family Actual Means Test (FAMT) and Family Assets Test (FAT) removed from Youth Allowance Parental Means Test arrangements.</w:t>
            </w:r>
          </w:p>
        </w:tc>
      </w:tr>
      <w:tr w:rsidR="00AE6C45" w:rsidRPr="00F01E94" w14:paraId="6E37F9A5" w14:textId="77777777" w:rsidTr="00AE6C45">
        <w:trPr>
          <w:cantSplit/>
        </w:trPr>
        <w:tc>
          <w:tcPr>
            <w:tcW w:w="3342" w:type="dxa"/>
          </w:tcPr>
          <w:p w14:paraId="3CFC0EF4" w14:textId="77777777" w:rsidR="00AE6C45" w:rsidRPr="006077A2" w:rsidRDefault="00AE6C45" w:rsidP="00AE6C45">
            <w:pPr>
              <w:pStyle w:val="TableTextSmalltopic"/>
              <w:rPr>
                <w:snapToGrid/>
              </w:rPr>
            </w:pPr>
            <w:r w:rsidRPr="006077A2">
              <w:t xml:space="preserve">Repeal of the income support bonus and the schoolkids bonus </w:t>
            </w:r>
          </w:p>
          <w:p w14:paraId="2CD687E6" w14:textId="77777777" w:rsidR="00AE6C45" w:rsidRPr="00A5087C" w:rsidRDefault="00AE6C45" w:rsidP="00AE6C45">
            <w:pPr>
              <w:pStyle w:val="TableTextSmalltopic"/>
              <w:rPr>
                <w:b w:val="0"/>
              </w:rPr>
            </w:pPr>
            <w:r w:rsidRPr="00A5087C">
              <w:rPr>
                <w:b w:val="0"/>
              </w:rPr>
              <w:t xml:space="preserve">Minerals Resource Rent Tax Repeal and Other Measures Act 2014 </w:t>
            </w:r>
          </w:p>
        </w:tc>
        <w:tc>
          <w:tcPr>
            <w:tcW w:w="888" w:type="dxa"/>
          </w:tcPr>
          <w:p w14:paraId="3D28538D" w14:textId="77777777" w:rsidR="00AE6C45" w:rsidRPr="006077A2" w:rsidRDefault="00AE6C45" w:rsidP="00AE6C45">
            <w:pPr>
              <w:pStyle w:val="TableTextSmall"/>
            </w:pPr>
            <w:r w:rsidRPr="006077A2">
              <w:t>2016</w:t>
            </w:r>
          </w:p>
        </w:tc>
        <w:tc>
          <w:tcPr>
            <w:tcW w:w="5851" w:type="dxa"/>
            <w:vAlign w:val="center"/>
          </w:tcPr>
          <w:p w14:paraId="4F1A2FA0" w14:textId="77777777" w:rsidR="00AE6C45" w:rsidRPr="006077A2" w:rsidRDefault="00AE6C45" w:rsidP="00AE6C45">
            <w:pPr>
              <w:pStyle w:val="TableTextSmall"/>
            </w:pPr>
            <w:r w:rsidRPr="006077A2">
              <w:t xml:space="preserve">The final instalment of the Schoolkids Bonus will be paid in July 2016. </w:t>
            </w:r>
          </w:p>
          <w:p w14:paraId="3AA1DA14" w14:textId="77777777" w:rsidR="00AE6C45" w:rsidRPr="00F64220" w:rsidRDefault="00AE6C45" w:rsidP="00AE6C45">
            <w:pPr>
              <w:pStyle w:val="TableTextSmall"/>
            </w:pPr>
            <w:r w:rsidRPr="006077A2">
              <w:t>The Income Support Bonus will continue until December 2016 with the last instalment paid in September 2016.</w:t>
            </w:r>
          </w:p>
        </w:tc>
      </w:tr>
      <w:tr w:rsidR="00AE6C45" w:rsidRPr="00F01E94" w14:paraId="3B8F5CDA" w14:textId="77777777" w:rsidTr="00AE6C45">
        <w:trPr>
          <w:cantSplit/>
        </w:trPr>
        <w:tc>
          <w:tcPr>
            <w:tcW w:w="3342" w:type="dxa"/>
          </w:tcPr>
          <w:p w14:paraId="74711A9C" w14:textId="77777777" w:rsidR="00AE6C45" w:rsidRPr="006077A2" w:rsidRDefault="00AE6C45" w:rsidP="00AE6C45">
            <w:pPr>
              <w:pStyle w:val="TableTextSmalltopic"/>
            </w:pPr>
            <w:r w:rsidRPr="006077A2">
              <w:t>Changes to assets test</w:t>
            </w:r>
          </w:p>
          <w:p w14:paraId="3216D3A0" w14:textId="77777777" w:rsidR="00AE6C45" w:rsidRPr="00A5087C" w:rsidRDefault="00AE6C45" w:rsidP="00AE6C45">
            <w:pPr>
              <w:pStyle w:val="TableTextSmalltopic"/>
              <w:rPr>
                <w:b w:val="0"/>
              </w:rPr>
            </w:pPr>
            <w:r w:rsidRPr="00A5087C">
              <w:rPr>
                <w:b w:val="0"/>
              </w:rPr>
              <w:t>Social Services Legislation Amendment (Fair and Sustainable Pensions) Act 2015</w:t>
            </w:r>
          </w:p>
        </w:tc>
        <w:tc>
          <w:tcPr>
            <w:tcW w:w="888" w:type="dxa"/>
          </w:tcPr>
          <w:p w14:paraId="30C16BD4" w14:textId="77777777" w:rsidR="00AE6C45" w:rsidRPr="006077A2" w:rsidRDefault="00AE6C45" w:rsidP="00AE6C45">
            <w:pPr>
              <w:pStyle w:val="TableTextSmall"/>
            </w:pPr>
            <w:r w:rsidRPr="006077A2">
              <w:t>2017</w:t>
            </w:r>
          </w:p>
        </w:tc>
        <w:tc>
          <w:tcPr>
            <w:tcW w:w="5851" w:type="dxa"/>
            <w:vAlign w:val="center"/>
          </w:tcPr>
          <w:p w14:paraId="07528188" w14:textId="77777777" w:rsidR="00AE6C45" w:rsidRPr="006077A2" w:rsidRDefault="00AE6C45" w:rsidP="00AE6C45">
            <w:pPr>
              <w:pStyle w:val="TableTextSmall"/>
            </w:pPr>
            <w:r w:rsidRPr="006077A2">
              <w:t>From 1 January 2017, the pension assets test will be rebalanced. The assets test free areas will be increased to:</w:t>
            </w:r>
          </w:p>
          <w:p w14:paraId="033FE5E6" w14:textId="77777777" w:rsidR="00AE6C45" w:rsidRPr="006077A2" w:rsidRDefault="00AE6C45" w:rsidP="00964D65">
            <w:pPr>
              <w:pStyle w:val="TableTextSmall"/>
              <w:numPr>
                <w:ilvl w:val="0"/>
                <w:numId w:val="37"/>
              </w:numPr>
            </w:pPr>
            <w:r w:rsidRPr="006077A2">
              <w:t>$250,000 for a single homeowner (an increase of $48,000)</w:t>
            </w:r>
          </w:p>
          <w:p w14:paraId="45635177" w14:textId="77777777" w:rsidR="00AE6C45" w:rsidRPr="006077A2" w:rsidRDefault="00AE6C45" w:rsidP="00964D65">
            <w:pPr>
              <w:pStyle w:val="TableTextSmall"/>
              <w:numPr>
                <w:ilvl w:val="0"/>
                <w:numId w:val="37"/>
              </w:numPr>
            </w:pPr>
            <w:r w:rsidRPr="006077A2">
              <w:t>$375,000 for a homeowner couple (an increase of $88,500)</w:t>
            </w:r>
          </w:p>
          <w:p w14:paraId="0E3922D2" w14:textId="77777777" w:rsidR="00AE6C45" w:rsidRPr="006077A2" w:rsidRDefault="00AE6C45" w:rsidP="00964D65">
            <w:pPr>
              <w:pStyle w:val="TableTextSmall"/>
              <w:numPr>
                <w:ilvl w:val="0"/>
                <w:numId w:val="37"/>
              </w:numPr>
            </w:pPr>
            <w:r w:rsidRPr="006077A2">
              <w:t>$450,000 for a single non-homeowner (an increase of $101,500)</w:t>
            </w:r>
          </w:p>
          <w:p w14:paraId="40F97B93" w14:textId="77777777" w:rsidR="00AE6C45" w:rsidRPr="006077A2" w:rsidRDefault="00AE6C45" w:rsidP="00964D65">
            <w:pPr>
              <w:pStyle w:val="TableTextSmall"/>
              <w:numPr>
                <w:ilvl w:val="0"/>
                <w:numId w:val="37"/>
              </w:numPr>
            </w:pPr>
            <w:r w:rsidRPr="006077A2">
              <w:t>$575,000 for a non-homeowner couple (an increase of $142,000).</w:t>
            </w:r>
          </w:p>
          <w:p w14:paraId="3E069377" w14:textId="77777777" w:rsidR="00AE6C45" w:rsidRPr="006077A2" w:rsidRDefault="00AE6C45" w:rsidP="00AE6C45">
            <w:pPr>
              <w:pStyle w:val="TableTextSmall"/>
            </w:pPr>
            <w:r w:rsidRPr="006077A2">
              <w:t>The assets test “taper” (or withdrawal) rate for assets above the new free areas will be increased to 3.00 per fortnight for each extra $1,000 in assessable assets (from the current rate of $1.50, reversing the 2007 change).</w:t>
            </w:r>
          </w:p>
          <w:p w14:paraId="1D5406A3" w14:textId="77777777" w:rsidR="00AE6C45" w:rsidRPr="00F64220" w:rsidRDefault="00AE6C45" w:rsidP="00AE6C45">
            <w:pPr>
              <w:pStyle w:val="TableTextSmall"/>
            </w:pPr>
            <w:r w:rsidRPr="006077A2">
              <w:t>When announced in the 2015-16 Budget, the measure was to save $2.4 billion across the forward estimates, the majority of which would be related to the Age Pension.</w:t>
            </w:r>
          </w:p>
        </w:tc>
      </w:tr>
      <w:tr w:rsidR="00AE6C45" w:rsidRPr="00F01E94" w14:paraId="1FA2100F" w14:textId="77777777" w:rsidTr="00AE6C45">
        <w:trPr>
          <w:cantSplit/>
        </w:trPr>
        <w:tc>
          <w:tcPr>
            <w:tcW w:w="3342" w:type="dxa"/>
          </w:tcPr>
          <w:p w14:paraId="05E9F589" w14:textId="77777777" w:rsidR="00AE6C45" w:rsidRPr="006077A2" w:rsidRDefault="00AE6C45" w:rsidP="00AE6C45">
            <w:pPr>
              <w:pStyle w:val="TableTextSmalltopic"/>
              <w:rPr>
                <w:lang w:eastAsia="en-AU"/>
              </w:rPr>
            </w:pPr>
            <w:r w:rsidRPr="006077A2">
              <w:rPr>
                <w:lang w:eastAsia="en-AU"/>
              </w:rPr>
              <w:t>Cessation of Low Income Supplement</w:t>
            </w:r>
          </w:p>
          <w:p w14:paraId="7B7D302E" w14:textId="3F84C482" w:rsidR="00AE6C45" w:rsidRPr="00A5087C" w:rsidRDefault="00AE6C45" w:rsidP="00561021">
            <w:pPr>
              <w:pStyle w:val="TableTextSmalltopic"/>
              <w:rPr>
                <w:b w:val="0"/>
              </w:rPr>
            </w:pPr>
            <w:r w:rsidRPr="00A5087C">
              <w:rPr>
                <w:b w:val="0"/>
                <w:lang w:eastAsia="en-AU"/>
              </w:rPr>
              <w:t xml:space="preserve">Social Services Legislation Amendment (Low Income Supplement) </w:t>
            </w:r>
            <w:r w:rsidR="00561021">
              <w:rPr>
                <w:b w:val="0"/>
                <w:lang w:eastAsia="en-AU"/>
              </w:rPr>
              <w:t>Act</w:t>
            </w:r>
            <w:r w:rsidRPr="00A5087C">
              <w:rPr>
                <w:b w:val="0"/>
                <w:lang w:eastAsia="en-AU"/>
              </w:rPr>
              <w:t xml:space="preserve"> 2015</w:t>
            </w:r>
          </w:p>
        </w:tc>
        <w:tc>
          <w:tcPr>
            <w:tcW w:w="888" w:type="dxa"/>
          </w:tcPr>
          <w:p w14:paraId="0CAE4362" w14:textId="77777777" w:rsidR="00AE6C45" w:rsidRPr="006077A2" w:rsidRDefault="00AE6C45" w:rsidP="00AE6C45">
            <w:pPr>
              <w:pStyle w:val="TableTextSmall"/>
            </w:pPr>
            <w:r w:rsidRPr="006077A2">
              <w:t>2017</w:t>
            </w:r>
          </w:p>
        </w:tc>
        <w:tc>
          <w:tcPr>
            <w:tcW w:w="5851" w:type="dxa"/>
            <w:vAlign w:val="center"/>
          </w:tcPr>
          <w:p w14:paraId="145BC505" w14:textId="77777777" w:rsidR="00AE6C45" w:rsidRPr="00F64220" w:rsidRDefault="00AE6C45" w:rsidP="00AE6C45">
            <w:pPr>
              <w:pStyle w:val="TableTextSmall"/>
            </w:pPr>
            <w:r w:rsidRPr="006077A2">
              <w:rPr>
                <w:lang w:eastAsia="en-AU"/>
              </w:rPr>
              <w:t xml:space="preserve">The low </w:t>
            </w:r>
            <w:r w:rsidRPr="006077A2">
              <w:t>income</w:t>
            </w:r>
            <w:r w:rsidRPr="006077A2">
              <w:rPr>
                <w:lang w:eastAsia="en-AU"/>
              </w:rPr>
              <w:t xml:space="preserve"> supplement will cease on 30 June 2017.</w:t>
            </w:r>
          </w:p>
        </w:tc>
      </w:tr>
      <w:tr w:rsidR="00AE6C45" w:rsidRPr="00F01E94" w14:paraId="7E320ABF" w14:textId="77777777" w:rsidTr="00AE6C45">
        <w:trPr>
          <w:cantSplit/>
        </w:trPr>
        <w:tc>
          <w:tcPr>
            <w:tcW w:w="3342" w:type="dxa"/>
          </w:tcPr>
          <w:p w14:paraId="274ECE9E" w14:textId="77777777" w:rsidR="00AE6C45" w:rsidRPr="00BB3F4F" w:rsidRDefault="00AE6C45" w:rsidP="00AE6C45">
            <w:pPr>
              <w:pStyle w:val="TableTextSmalltopic"/>
              <w:rPr>
                <w:lang w:eastAsia="en-AU"/>
              </w:rPr>
            </w:pPr>
            <w:r w:rsidRPr="00BB3F4F">
              <w:rPr>
                <w:lang w:eastAsia="en-AU"/>
              </w:rPr>
              <w:t>Changes to the parental means test</w:t>
            </w:r>
          </w:p>
          <w:p w14:paraId="15593B99" w14:textId="77777777" w:rsidR="00AE6C45" w:rsidRPr="00BB3F4F" w:rsidRDefault="00AE6C45" w:rsidP="00AE6C45">
            <w:pPr>
              <w:pStyle w:val="TableTextSmalltopic"/>
              <w:rPr>
                <w:b w:val="0"/>
              </w:rPr>
            </w:pPr>
            <w:r w:rsidRPr="00BB3F4F">
              <w:rPr>
                <w:b w:val="0"/>
                <w:lang w:eastAsia="en-AU"/>
              </w:rPr>
              <w:t>Social Services Legislation Amendment (More Generous Means Testing For Youth Payments) Act 2015</w:t>
            </w:r>
          </w:p>
        </w:tc>
        <w:tc>
          <w:tcPr>
            <w:tcW w:w="888" w:type="dxa"/>
          </w:tcPr>
          <w:p w14:paraId="1B5018E7" w14:textId="77777777" w:rsidR="00AE6C45" w:rsidRPr="00BB3F4F" w:rsidRDefault="00AE6C45" w:rsidP="00AE6C45">
            <w:pPr>
              <w:pStyle w:val="TableTextSmall"/>
            </w:pPr>
            <w:r w:rsidRPr="00BB3F4F">
              <w:t>2017</w:t>
            </w:r>
          </w:p>
        </w:tc>
        <w:tc>
          <w:tcPr>
            <w:tcW w:w="5851" w:type="dxa"/>
            <w:vAlign w:val="center"/>
          </w:tcPr>
          <w:p w14:paraId="6AD811DC" w14:textId="77777777" w:rsidR="00AE6C45" w:rsidRPr="00BB3F4F" w:rsidRDefault="00AE6C45" w:rsidP="00AE6C45">
            <w:pPr>
              <w:pStyle w:val="TableTextSmall"/>
            </w:pPr>
            <w:r w:rsidRPr="00BB3F4F">
              <w:rPr>
                <w:lang w:eastAsia="en-AU"/>
              </w:rPr>
              <w:t>Treatment of Child Support maintenance income will be further reformed by applying a separate Maintenance Income Test, reducing payments for around 850 young people aged under 18. This test is similar to the one currently applying to Family Tax Benefit Part A.</w:t>
            </w:r>
          </w:p>
        </w:tc>
      </w:tr>
      <w:tr w:rsidR="00AE6C45" w:rsidRPr="00F01E94" w14:paraId="5E1CFC35" w14:textId="77777777" w:rsidTr="00AE6C45">
        <w:trPr>
          <w:cantSplit/>
        </w:trPr>
        <w:tc>
          <w:tcPr>
            <w:tcW w:w="3342" w:type="dxa"/>
          </w:tcPr>
          <w:p w14:paraId="60D33BE5" w14:textId="77777777" w:rsidR="00AE6C45" w:rsidRDefault="00AE6C45" w:rsidP="00AE6C45">
            <w:pPr>
              <w:pStyle w:val="TableTextSmalltopic"/>
            </w:pPr>
            <w:r w:rsidRPr="00A5087C">
              <w:lastRenderedPageBreak/>
              <w:t xml:space="preserve">Closing Carbon Tax Compensation </w:t>
            </w:r>
          </w:p>
          <w:p w14:paraId="22AD996F" w14:textId="77777777" w:rsidR="00AE6C45" w:rsidRPr="006077A2" w:rsidRDefault="00AE6C45" w:rsidP="00AE6C45">
            <w:pPr>
              <w:pStyle w:val="TableTextSmalltopic"/>
            </w:pPr>
            <w:r w:rsidRPr="00A5087C">
              <w:rPr>
                <w:b w:val="0"/>
              </w:rPr>
              <w:t>Budget Savings (Omnibus) Act 2016</w:t>
            </w:r>
          </w:p>
        </w:tc>
        <w:tc>
          <w:tcPr>
            <w:tcW w:w="888" w:type="dxa"/>
          </w:tcPr>
          <w:p w14:paraId="78E3F79C" w14:textId="77777777" w:rsidR="00AE6C45" w:rsidRPr="00556A96" w:rsidRDefault="00AE6C45" w:rsidP="00AE6C45">
            <w:pPr>
              <w:pStyle w:val="TableTextSmall"/>
            </w:pPr>
            <w:r w:rsidRPr="00556A96">
              <w:t>2017</w:t>
            </w:r>
          </w:p>
        </w:tc>
        <w:tc>
          <w:tcPr>
            <w:tcW w:w="5851" w:type="dxa"/>
          </w:tcPr>
          <w:p w14:paraId="5C9F1607" w14:textId="3A32C895" w:rsidR="00AE6C45" w:rsidRPr="00556A96" w:rsidRDefault="00AE6C45" w:rsidP="00AE6C45">
            <w:pPr>
              <w:pStyle w:val="TableTextSmall"/>
            </w:pPr>
            <w:r w:rsidRPr="00556A96">
              <w:t xml:space="preserve">New recipients of FTB or Seniors Health Cards will no longer be paid the </w:t>
            </w:r>
            <w:r w:rsidR="00187C2A">
              <w:t>Energy Supplement</w:t>
            </w:r>
            <w:r w:rsidRPr="00556A96">
              <w:t xml:space="preserve"> from 20 March 2017. Those people already receiving the </w:t>
            </w:r>
            <w:r w:rsidR="00187C2A">
              <w:t>Energy Supplement</w:t>
            </w:r>
            <w:r w:rsidRPr="00556A96">
              <w:t xml:space="preserve"> prior to 20 September 2016 will continue to receive it. Those people receiving the </w:t>
            </w:r>
            <w:r w:rsidR="00187C2A">
              <w:t>Energy Supplement</w:t>
            </w:r>
            <w:r w:rsidRPr="00556A96">
              <w:t xml:space="preserve"> after 20 September will stop receiving it from 20 March 2017 onwards.</w:t>
            </w:r>
          </w:p>
        </w:tc>
      </w:tr>
      <w:tr w:rsidR="00AE6C45" w:rsidRPr="00F01E94" w14:paraId="417677FB" w14:textId="77777777" w:rsidTr="00AE6C45">
        <w:trPr>
          <w:cantSplit/>
        </w:trPr>
        <w:tc>
          <w:tcPr>
            <w:tcW w:w="3342" w:type="dxa"/>
          </w:tcPr>
          <w:p w14:paraId="19046C27" w14:textId="77777777" w:rsidR="00AE6C45" w:rsidRDefault="00AE6C45" w:rsidP="00AE6C45">
            <w:pPr>
              <w:pStyle w:val="TableTextSmalltopic"/>
            </w:pPr>
            <w:r w:rsidRPr="00A5087C">
              <w:t xml:space="preserve">Backdating provisions for Carer Allowance </w:t>
            </w:r>
          </w:p>
          <w:p w14:paraId="59B5C10C" w14:textId="77777777" w:rsidR="00AE6C45" w:rsidRPr="006077A2" w:rsidRDefault="00AE6C45" w:rsidP="00AE6C45">
            <w:pPr>
              <w:pStyle w:val="TableTextSmalltopic"/>
            </w:pPr>
            <w:r w:rsidRPr="00A5087C">
              <w:rPr>
                <w:b w:val="0"/>
              </w:rPr>
              <w:t>Budget Savings (Omnibus) Act 2016</w:t>
            </w:r>
          </w:p>
        </w:tc>
        <w:tc>
          <w:tcPr>
            <w:tcW w:w="888" w:type="dxa"/>
          </w:tcPr>
          <w:p w14:paraId="2CBBE1FF" w14:textId="77777777" w:rsidR="00AE6C45" w:rsidRPr="00556A96" w:rsidRDefault="00AE6C45" w:rsidP="00AE6C45">
            <w:pPr>
              <w:pStyle w:val="TableTextSmall"/>
            </w:pPr>
            <w:r w:rsidRPr="00556A96">
              <w:t>2017</w:t>
            </w:r>
          </w:p>
        </w:tc>
        <w:tc>
          <w:tcPr>
            <w:tcW w:w="5851" w:type="dxa"/>
          </w:tcPr>
          <w:p w14:paraId="3ED9B80C" w14:textId="77777777" w:rsidR="00AE6C45" w:rsidRPr="00556A96" w:rsidRDefault="00AE6C45" w:rsidP="00AE6C45">
            <w:pPr>
              <w:pStyle w:val="TableTextSmall"/>
            </w:pPr>
            <w:r w:rsidRPr="00556A96">
              <w:t>Changes the rules for backdating Carer Allowance to be in line with the rules for Carer Payment and other social security payments and concessions. Prior to this amendment Carer Allowance start date could be backdated earlier than the start date for Carer Payment.</w:t>
            </w:r>
          </w:p>
        </w:tc>
      </w:tr>
      <w:tr w:rsidR="00AE6C45" w:rsidRPr="00BB3F4F" w14:paraId="19CB60C5" w14:textId="77777777" w:rsidTr="00AE6C45">
        <w:trPr>
          <w:cantSplit/>
        </w:trPr>
        <w:tc>
          <w:tcPr>
            <w:tcW w:w="3342" w:type="dxa"/>
          </w:tcPr>
          <w:p w14:paraId="78E5A6EE" w14:textId="77777777" w:rsidR="00AE6C45" w:rsidRPr="00BB3F4F" w:rsidRDefault="00AE6C45" w:rsidP="00AE6C45">
            <w:pPr>
              <w:pStyle w:val="TableTextSmalltopic"/>
            </w:pPr>
            <w:r w:rsidRPr="00BB3F4F">
              <w:t>Newly Arrived Residents - removal of exemptions</w:t>
            </w:r>
          </w:p>
          <w:p w14:paraId="1D41F4FF" w14:textId="77777777" w:rsidR="00AE6C45" w:rsidRPr="00BB3F4F" w:rsidRDefault="00AE6C45" w:rsidP="00AE6C45">
            <w:pPr>
              <w:pStyle w:val="TableTextSmalltopic"/>
            </w:pPr>
            <w:r w:rsidRPr="00BB3F4F">
              <w:rPr>
                <w:b w:val="0"/>
              </w:rPr>
              <w:t>Budget Savings (Omnibus) Act 2016</w:t>
            </w:r>
          </w:p>
        </w:tc>
        <w:tc>
          <w:tcPr>
            <w:tcW w:w="888" w:type="dxa"/>
          </w:tcPr>
          <w:p w14:paraId="066089EC" w14:textId="77777777" w:rsidR="00AE6C45" w:rsidRPr="00BB3F4F" w:rsidRDefault="00AE6C45" w:rsidP="00AE6C45">
            <w:pPr>
              <w:pStyle w:val="TableTextSmall"/>
            </w:pPr>
            <w:r w:rsidRPr="00BB3F4F">
              <w:t>2017</w:t>
            </w:r>
          </w:p>
        </w:tc>
        <w:tc>
          <w:tcPr>
            <w:tcW w:w="5851" w:type="dxa"/>
          </w:tcPr>
          <w:p w14:paraId="4097C773" w14:textId="77777777" w:rsidR="00AE6C45" w:rsidRPr="00BB3F4F" w:rsidRDefault="00AE6C45" w:rsidP="00AE6C45">
            <w:pPr>
              <w:pStyle w:val="TableTextSmall"/>
            </w:pPr>
            <w:r w:rsidRPr="00BB3F4F">
              <w:t xml:space="preserve">Removes the exemption from the 104 week waiting period for new migrants who are family members of Australian citizens or long-term permanent residents. This change aligns the social security waiting period for working age payment for all newly arrived migrants (except for refugees, former refugees and their family members). </w:t>
            </w:r>
          </w:p>
        </w:tc>
      </w:tr>
      <w:tr w:rsidR="00AE6C45" w:rsidRPr="00BB3F4F" w14:paraId="73C8F517" w14:textId="77777777" w:rsidTr="00AE6C45">
        <w:trPr>
          <w:cantSplit/>
        </w:trPr>
        <w:tc>
          <w:tcPr>
            <w:tcW w:w="3342" w:type="dxa"/>
          </w:tcPr>
          <w:p w14:paraId="2A4C1ED0" w14:textId="77777777" w:rsidR="00AE6C45" w:rsidRPr="00BB3F4F" w:rsidRDefault="00AE6C45" w:rsidP="00AE6C45">
            <w:pPr>
              <w:pStyle w:val="TableTextSmalltopic"/>
            </w:pPr>
            <w:r w:rsidRPr="00BB3F4F">
              <w:t>Parental Leave Pay - Consistent treatment for income support assessment</w:t>
            </w:r>
          </w:p>
          <w:p w14:paraId="4546E2B6" w14:textId="77777777" w:rsidR="00AE6C45" w:rsidRPr="00BB3F4F" w:rsidRDefault="00AE6C45" w:rsidP="00AE6C45">
            <w:pPr>
              <w:pStyle w:val="TableTextSmalltopic"/>
            </w:pPr>
            <w:r w:rsidRPr="00BB3F4F">
              <w:rPr>
                <w:b w:val="0"/>
              </w:rPr>
              <w:t>Budget Savings (Omnibus) Act 2016</w:t>
            </w:r>
          </w:p>
        </w:tc>
        <w:tc>
          <w:tcPr>
            <w:tcW w:w="888" w:type="dxa"/>
          </w:tcPr>
          <w:p w14:paraId="4B742F17" w14:textId="77777777" w:rsidR="00AE6C45" w:rsidRPr="00BB3F4F" w:rsidRDefault="00AE6C45" w:rsidP="00AE6C45">
            <w:pPr>
              <w:pStyle w:val="TableTextSmall"/>
            </w:pPr>
            <w:r w:rsidRPr="00BB3F4F">
              <w:t>2017</w:t>
            </w:r>
          </w:p>
        </w:tc>
        <w:tc>
          <w:tcPr>
            <w:tcW w:w="5851" w:type="dxa"/>
          </w:tcPr>
          <w:p w14:paraId="433F706E" w14:textId="77777777" w:rsidR="00AE6C45" w:rsidRPr="00BB3F4F" w:rsidRDefault="00AE6C45" w:rsidP="00AE6C45">
            <w:pPr>
              <w:pStyle w:val="TableTextSmall"/>
            </w:pPr>
            <w:r w:rsidRPr="00BB3F4F">
              <w:t>Commonwealth Parental Leave Payments and Dad and Partner Pay payments under the Paid Parental Leave Act 2010 are now treated in the same way as employer</w:t>
            </w:r>
            <w:r w:rsidRPr="00BB3F4F">
              <w:rPr>
                <w:rFonts w:ascii="Cambria Math" w:hAnsi="Cambria Math" w:cs="Cambria Math"/>
              </w:rPr>
              <w:t>‑</w:t>
            </w:r>
            <w:r w:rsidRPr="00BB3F4F">
              <w:t>provided parental leave payments when determining eligibility for income support payments.</w:t>
            </w:r>
          </w:p>
        </w:tc>
      </w:tr>
      <w:tr w:rsidR="00AE6C45" w:rsidRPr="00F01E94" w14:paraId="0D90319F" w14:textId="77777777" w:rsidTr="00AE6C45">
        <w:trPr>
          <w:cantSplit/>
        </w:trPr>
        <w:tc>
          <w:tcPr>
            <w:tcW w:w="3342" w:type="dxa"/>
          </w:tcPr>
          <w:p w14:paraId="7F6F57FB" w14:textId="77777777" w:rsidR="00AE6C45" w:rsidRPr="00BB3F4F" w:rsidRDefault="00AE6C45" w:rsidP="00AE6C45">
            <w:pPr>
              <w:pStyle w:val="TableTextSmalltopic"/>
            </w:pPr>
            <w:r w:rsidRPr="00BB3F4F">
              <w:t>New treatments of Fringe Benefits for Family Assistance and Youth Payments purposes</w:t>
            </w:r>
          </w:p>
          <w:p w14:paraId="6D8F3649" w14:textId="77777777" w:rsidR="00AE6C45" w:rsidRPr="00BB3F4F" w:rsidRDefault="00AE6C45" w:rsidP="00AE6C45">
            <w:pPr>
              <w:pStyle w:val="TableTextSmalltopic"/>
            </w:pPr>
            <w:r w:rsidRPr="00BB3F4F">
              <w:rPr>
                <w:b w:val="0"/>
              </w:rPr>
              <w:t>Budget Savings (Omnibus) Act 2016</w:t>
            </w:r>
          </w:p>
        </w:tc>
        <w:tc>
          <w:tcPr>
            <w:tcW w:w="888" w:type="dxa"/>
          </w:tcPr>
          <w:p w14:paraId="2A228356" w14:textId="77777777" w:rsidR="00AE6C45" w:rsidRPr="00BB3F4F" w:rsidRDefault="00AE6C45" w:rsidP="00AE6C45">
            <w:pPr>
              <w:pStyle w:val="TableTextSmall"/>
            </w:pPr>
            <w:r w:rsidRPr="00BB3F4F">
              <w:t>2017</w:t>
            </w:r>
          </w:p>
        </w:tc>
        <w:tc>
          <w:tcPr>
            <w:tcW w:w="5851" w:type="dxa"/>
          </w:tcPr>
          <w:p w14:paraId="0915349D" w14:textId="77777777" w:rsidR="00AE6C45" w:rsidRPr="00BB3F4F" w:rsidRDefault="00AE6C45" w:rsidP="00AE6C45">
            <w:pPr>
              <w:pStyle w:val="TableTextSmall"/>
            </w:pPr>
            <w:r w:rsidRPr="00BB3F4F">
              <w:t>This changes the way fringe benefits are treated under the income tests for family assistance and youth income support payments and for other related purposes. "Adjusted fringe benefits total" is now defined to be gross rather than adjusted net value of reportable fringe benefits. There are a few exceptions to this for people working in particular industries.</w:t>
            </w:r>
          </w:p>
        </w:tc>
      </w:tr>
      <w:tr w:rsidR="00AE6C45" w:rsidRPr="00F01E94" w14:paraId="60170D6C" w14:textId="77777777" w:rsidTr="00AE6C45">
        <w:trPr>
          <w:cantSplit/>
        </w:trPr>
        <w:tc>
          <w:tcPr>
            <w:tcW w:w="3342" w:type="dxa"/>
          </w:tcPr>
          <w:p w14:paraId="6FCC5848" w14:textId="77777777" w:rsidR="00AE6C45" w:rsidRPr="00556A96" w:rsidRDefault="00AE6C45" w:rsidP="00AE6C45">
            <w:pPr>
              <w:pStyle w:val="TableTextSmalltopic"/>
            </w:pPr>
            <w:r w:rsidRPr="00556A96">
              <w:t>Age Pension - aligning means testing</w:t>
            </w:r>
          </w:p>
          <w:p w14:paraId="0D63B2DA" w14:textId="77777777" w:rsidR="00AE6C45" w:rsidRPr="00556A96" w:rsidRDefault="00AE6C45" w:rsidP="00AE6C45">
            <w:pPr>
              <w:pStyle w:val="TableTextSmalltopic"/>
            </w:pPr>
            <w:r w:rsidRPr="00556A96">
              <w:rPr>
                <w:b w:val="0"/>
              </w:rPr>
              <w:t>Budget Savings (Omnibus) Act 2016</w:t>
            </w:r>
          </w:p>
        </w:tc>
        <w:tc>
          <w:tcPr>
            <w:tcW w:w="888" w:type="dxa"/>
          </w:tcPr>
          <w:p w14:paraId="44D10FDD" w14:textId="77777777" w:rsidR="00AE6C45" w:rsidRPr="00556A96" w:rsidRDefault="00AE6C45" w:rsidP="00AE6C45">
            <w:pPr>
              <w:pStyle w:val="TableTextSmall"/>
            </w:pPr>
            <w:r w:rsidRPr="00556A96">
              <w:t>2017</w:t>
            </w:r>
          </w:p>
        </w:tc>
        <w:tc>
          <w:tcPr>
            <w:tcW w:w="5851" w:type="dxa"/>
          </w:tcPr>
          <w:p w14:paraId="235A73BE" w14:textId="77777777" w:rsidR="00AE6C45" w:rsidRPr="00556A96" w:rsidRDefault="00AE6C45" w:rsidP="00AE6C45">
            <w:pPr>
              <w:pStyle w:val="TableTextSmall"/>
            </w:pPr>
            <w:r w:rsidRPr="00556A96">
              <w:t>From 1 Jan 2017 net rental income earned on the former principal residence of new entrants into residential aged care, is treated the same way under the pension income test as it is under the aged care means test, regardless of how the resident chooses to pay their accommodation costs.</w:t>
            </w:r>
          </w:p>
        </w:tc>
      </w:tr>
      <w:tr w:rsidR="00AE6C45" w:rsidRPr="00F01E94" w14:paraId="76ED19E4" w14:textId="77777777" w:rsidTr="00AE6C45">
        <w:trPr>
          <w:cantSplit/>
        </w:trPr>
        <w:tc>
          <w:tcPr>
            <w:tcW w:w="3342" w:type="dxa"/>
          </w:tcPr>
          <w:p w14:paraId="6F6ADA6C" w14:textId="77777777" w:rsidR="00AE6C45" w:rsidRPr="00556A96" w:rsidRDefault="00AE6C45" w:rsidP="00AE6C45">
            <w:pPr>
              <w:pStyle w:val="TableTextSmalltopic"/>
            </w:pPr>
            <w:r w:rsidRPr="00556A96">
              <w:t>Extend existing freezes on family payments</w:t>
            </w:r>
          </w:p>
          <w:p w14:paraId="714A5A8A" w14:textId="77777777" w:rsidR="00AE6C45" w:rsidRPr="00556A96" w:rsidRDefault="00AE6C45" w:rsidP="00AE6C45">
            <w:pPr>
              <w:pStyle w:val="TableTextSmalltopic"/>
            </w:pPr>
            <w:r w:rsidRPr="00556A96">
              <w:rPr>
                <w:b w:val="0"/>
              </w:rPr>
              <w:t>Budget Savings (Omnibus) Act 2016</w:t>
            </w:r>
          </w:p>
        </w:tc>
        <w:tc>
          <w:tcPr>
            <w:tcW w:w="888" w:type="dxa"/>
          </w:tcPr>
          <w:p w14:paraId="4C806355" w14:textId="77777777" w:rsidR="00AE6C45" w:rsidRPr="00556A96" w:rsidRDefault="00AE6C45" w:rsidP="00AE6C45">
            <w:pPr>
              <w:pStyle w:val="TableTextSmall"/>
            </w:pPr>
            <w:r w:rsidRPr="00556A96">
              <w:t>2017</w:t>
            </w:r>
          </w:p>
        </w:tc>
        <w:tc>
          <w:tcPr>
            <w:tcW w:w="5851" w:type="dxa"/>
          </w:tcPr>
          <w:p w14:paraId="746F8FD0" w14:textId="77777777" w:rsidR="00AE6C45" w:rsidRPr="00556A96" w:rsidRDefault="00AE6C45" w:rsidP="00AE6C45">
            <w:pPr>
              <w:pStyle w:val="TableTextSmall"/>
            </w:pPr>
            <w:r w:rsidRPr="00556A96">
              <w:t>Higher income free area (HIFA) for Family Tax Benefit (FTB) Part A and the primary earner income limit for FTB Part B are maintained for a further three years. Prevents indexation of income limits for FTB Part A, FTB Part B and Paid Parental Leave for the next three years (2017, 2018 and 2019). It is anticipated that there will be around 100,000 affected recipients.</w:t>
            </w:r>
          </w:p>
        </w:tc>
      </w:tr>
      <w:tr w:rsidR="00AE6C45" w:rsidRPr="00F01E94" w14:paraId="77019EBD" w14:textId="77777777" w:rsidTr="00AE6C45">
        <w:trPr>
          <w:cantSplit/>
        </w:trPr>
        <w:tc>
          <w:tcPr>
            <w:tcW w:w="3342" w:type="dxa"/>
          </w:tcPr>
          <w:p w14:paraId="01073F6F" w14:textId="77777777" w:rsidR="00AE6C45" w:rsidRPr="00556A96" w:rsidRDefault="00AE6C45" w:rsidP="00AE6C45">
            <w:pPr>
              <w:pStyle w:val="TableTextSmalltopic"/>
            </w:pPr>
            <w:r w:rsidRPr="00556A96">
              <w:t>General interest charge to debts</w:t>
            </w:r>
          </w:p>
          <w:p w14:paraId="0E1945B1" w14:textId="77777777" w:rsidR="00AE6C45" w:rsidRPr="00556A96" w:rsidRDefault="00AE6C45" w:rsidP="00AE6C45">
            <w:pPr>
              <w:pStyle w:val="TableTextSmalltopic"/>
            </w:pPr>
            <w:r w:rsidRPr="00556A96">
              <w:rPr>
                <w:b w:val="0"/>
              </w:rPr>
              <w:t>Budget Savings (Omnibus) Act 2016</w:t>
            </w:r>
          </w:p>
        </w:tc>
        <w:tc>
          <w:tcPr>
            <w:tcW w:w="888" w:type="dxa"/>
          </w:tcPr>
          <w:p w14:paraId="7A934BE6" w14:textId="77777777" w:rsidR="00AE6C45" w:rsidRPr="00556A96" w:rsidRDefault="00AE6C45" w:rsidP="00AE6C45">
            <w:pPr>
              <w:pStyle w:val="TableTextSmall"/>
            </w:pPr>
            <w:r w:rsidRPr="00556A96">
              <w:t>2017</w:t>
            </w:r>
          </w:p>
        </w:tc>
        <w:tc>
          <w:tcPr>
            <w:tcW w:w="5851" w:type="dxa"/>
          </w:tcPr>
          <w:p w14:paraId="7FD3AF86" w14:textId="77777777" w:rsidR="00AE6C45" w:rsidRPr="00556A96" w:rsidRDefault="00AE6C45" w:rsidP="00AE6C45">
            <w:pPr>
              <w:pStyle w:val="TableTextSmall"/>
            </w:pPr>
            <w:r w:rsidRPr="00556A96">
              <w:t>Introduces a new interest charge scheme to former recipients of social welfare payments who have outstanding debts and have failed to enter into, or have not complied with, an acceptable repayment arrangement. The interest charge will apply to social security, family assistance (including child care), paid parental leave and student assistance debts.</w:t>
            </w:r>
          </w:p>
        </w:tc>
      </w:tr>
      <w:tr w:rsidR="00AE6C45" w:rsidRPr="00F01E94" w14:paraId="47FB9E38" w14:textId="77777777" w:rsidTr="00AE6C45">
        <w:trPr>
          <w:cantSplit/>
        </w:trPr>
        <w:tc>
          <w:tcPr>
            <w:tcW w:w="3342" w:type="dxa"/>
          </w:tcPr>
          <w:p w14:paraId="1433AAA1" w14:textId="77777777" w:rsidR="00AE6C45" w:rsidRPr="00BB3F4F" w:rsidRDefault="00AE6C45" w:rsidP="00AE6C45">
            <w:pPr>
              <w:pStyle w:val="TableTextSmalltopic"/>
            </w:pPr>
            <w:r w:rsidRPr="00BB3F4F">
              <w:t>Enhanced Welfare Integrity</w:t>
            </w:r>
          </w:p>
          <w:p w14:paraId="1D25A09B" w14:textId="77777777" w:rsidR="00AE6C45" w:rsidRPr="00BB3F4F" w:rsidRDefault="00AE6C45" w:rsidP="00AE6C45">
            <w:pPr>
              <w:pStyle w:val="TableTextSmalltopic"/>
            </w:pPr>
            <w:r w:rsidRPr="00BB3F4F">
              <w:rPr>
                <w:b w:val="0"/>
              </w:rPr>
              <w:t>Budget Savings (Omnibus) Act 2016</w:t>
            </w:r>
          </w:p>
        </w:tc>
        <w:tc>
          <w:tcPr>
            <w:tcW w:w="888" w:type="dxa"/>
          </w:tcPr>
          <w:p w14:paraId="478F240A" w14:textId="77777777" w:rsidR="00AE6C45" w:rsidRPr="00BB3F4F" w:rsidRDefault="00AE6C45" w:rsidP="00AE6C45">
            <w:pPr>
              <w:pStyle w:val="TableTextSmall"/>
            </w:pPr>
            <w:r w:rsidRPr="00BB3F4F">
              <w:t>2017</w:t>
            </w:r>
          </w:p>
        </w:tc>
        <w:tc>
          <w:tcPr>
            <w:tcW w:w="5851" w:type="dxa"/>
          </w:tcPr>
          <w:p w14:paraId="59666348" w14:textId="77777777" w:rsidR="00AE6C45" w:rsidRPr="00BB3F4F" w:rsidRDefault="00AE6C45" w:rsidP="00AE6C45">
            <w:pPr>
              <w:pStyle w:val="TableTextSmall"/>
            </w:pPr>
            <w:r w:rsidRPr="00BB3F4F">
              <w:t>Debt recovery - allows departure prohibition orders to prevent targeted debtors from leaving the country. Also removes the six-year limitation on recovery of welfare debts, in line with arrangements applied by other government agencies.</w:t>
            </w:r>
          </w:p>
        </w:tc>
      </w:tr>
      <w:tr w:rsidR="00AE6C45" w:rsidRPr="00F01E94" w14:paraId="089CF40F" w14:textId="77777777" w:rsidTr="00AE6C45">
        <w:trPr>
          <w:cantSplit/>
        </w:trPr>
        <w:tc>
          <w:tcPr>
            <w:tcW w:w="3342" w:type="dxa"/>
          </w:tcPr>
          <w:p w14:paraId="1AF194C0" w14:textId="77777777" w:rsidR="00AE6C45" w:rsidRDefault="00AE6C45" w:rsidP="00AE6C45">
            <w:pPr>
              <w:pStyle w:val="TableTextSmalltopic"/>
            </w:pPr>
            <w:r w:rsidRPr="00A5087C">
              <w:t>One-off Energy Assistance Payment</w:t>
            </w:r>
          </w:p>
          <w:p w14:paraId="40E44B63" w14:textId="63738013" w:rsidR="00AE6C45" w:rsidRPr="006077A2" w:rsidRDefault="00AE6C45" w:rsidP="003E46E9">
            <w:pPr>
              <w:pStyle w:val="TableTextSmalltopic"/>
            </w:pPr>
            <w:r w:rsidRPr="00A5087C">
              <w:rPr>
                <w:b w:val="0"/>
              </w:rPr>
              <w:t xml:space="preserve">Social Services Legislation Amendment (Energy Assistance Payment &amp; Pensioner Concession Card) </w:t>
            </w:r>
            <w:r w:rsidR="003E46E9">
              <w:rPr>
                <w:b w:val="0"/>
              </w:rPr>
              <w:t>Act</w:t>
            </w:r>
            <w:r w:rsidR="003E46E9" w:rsidRPr="00A5087C">
              <w:rPr>
                <w:b w:val="0"/>
              </w:rPr>
              <w:t xml:space="preserve"> </w:t>
            </w:r>
            <w:r w:rsidRPr="00A5087C">
              <w:rPr>
                <w:b w:val="0"/>
              </w:rPr>
              <w:t>2017</w:t>
            </w:r>
          </w:p>
        </w:tc>
        <w:tc>
          <w:tcPr>
            <w:tcW w:w="888" w:type="dxa"/>
          </w:tcPr>
          <w:p w14:paraId="112CF34E" w14:textId="77777777" w:rsidR="00AE6C45" w:rsidRPr="006077A2" w:rsidRDefault="00AE6C45" w:rsidP="00AE6C45">
            <w:pPr>
              <w:pStyle w:val="TableTextSmall"/>
            </w:pPr>
            <w:r>
              <w:t>20</w:t>
            </w:r>
            <w:r w:rsidRPr="006C7089">
              <w:t>17</w:t>
            </w:r>
          </w:p>
        </w:tc>
        <w:tc>
          <w:tcPr>
            <w:tcW w:w="5851" w:type="dxa"/>
          </w:tcPr>
          <w:p w14:paraId="047E9EC1" w14:textId="77777777" w:rsidR="00AE6C45" w:rsidRPr="00A5087C" w:rsidRDefault="00AE6C45" w:rsidP="00AE6C45">
            <w:pPr>
              <w:pStyle w:val="TableTextSmall"/>
              <w:rPr>
                <w:highlight w:val="yellow"/>
              </w:rPr>
            </w:pPr>
            <w:r>
              <w:t>A one-off energy assistance payment made to approximately 3.8 million people.</w:t>
            </w:r>
          </w:p>
        </w:tc>
      </w:tr>
      <w:tr w:rsidR="00313C31" w:rsidRPr="00F01E94" w14:paraId="6CA9A9B0" w14:textId="77777777" w:rsidTr="00AE6C45">
        <w:trPr>
          <w:cantSplit/>
        </w:trPr>
        <w:tc>
          <w:tcPr>
            <w:tcW w:w="3342" w:type="dxa"/>
          </w:tcPr>
          <w:p w14:paraId="3A84C86B" w14:textId="58DEC07E" w:rsidR="00313C31" w:rsidRDefault="00F41C4A" w:rsidP="00AE6C45">
            <w:pPr>
              <w:pStyle w:val="TableTextSmalltopic"/>
            </w:pPr>
            <w:r w:rsidRPr="00F41C4A">
              <w:t>Fee Cap for Grandparent Child Care Benefit (GCCB) or Special Child Care Benefit (SCCB)</w:t>
            </w:r>
          </w:p>
          <w:p w14:paraId="24C44A73" w14:textId="4D2A89CE" w:rsidR="00313C31" w:rsidRPr="00313C31" w:rsidRDefault="00313C31" w:rsidP="00AE6C45">
            <w:pPr>
              <w:pStyle w:val="TableTextSmalltopic"/>
              <w:rPr>
                <w:b w:val="0"/>
              </w:rPr>
            </w:pPr>
            <w:r w:rsidRPr="00313C31">
              <w:rPr>
                <w:b w:val="0"/>
              </w:rPr>
              <w:t>Child Care Benefit (Session of Care) Amendment Determination 2017</w:t>
            </w:r>
          </w:p>
        </w:tc>
        <w:tc>
          <w:tcPr>
            <w:tcW w:w="888" w:type="dxa"/>
          </w:tcPr>
          <w:p w14:paraId="1968D168" w14:textId="7A3BA316" w:rsidR="00313C31" w:rsidRDefault="00CA11BC" w:rsidP="00AE6C45">
            <w:pPr>
              <w:pStyle w:val="TableTextSmall"/>
            </w:pPr>
            <w:r>
              <w:t>2017</w:t>
            </w:r>
          </w:p>
        </w:tc>
        <w:tc>
          <w:tcPr>
            <w:tcW w:w="5851" w:type="dxa"/>
          </w:tcPr>
          <w:p w14:paraId="65363C06" w14:textId="748B77B7" w:rsidR="00313C31" w:rsidRDefault="00313C31" w:rsidP="00AE6C45">
            <w:pPr>
              <w:pStyle w:val="TableTextSmall"/>
            </w:pPr>
            <w:r w:rsidRPr="00313C31">
              <w:t>Child care provided by an approved Family Day Care service is no longer a 'session of care' for Grandparent Child Care Benefit (GCCB) or Special Child Care Benefit (SCCB) purposes where reported fees involve amounts for which no individual has incurred a genuine liability, or the reported fees exceed a maximum amount of $12.67 per hour (indexed to $12.84 on 1 July 2017).</w:t>
            </w:r>
          </w:p>
        </w:tc>
      </w:tr>
      <w:tr w:rsidR="00F41C4A" w:rsidRPr="00F01E94" w14:paraId="69EFCCFB" w14:textId="77777777" w:rsidTr="00AE6C45">
        <w:trPr>
          <w:cantSplit/>
        </w:trPr>
        <w:tc>
          <w:tcPr>
            <w:tcW w:w="3342" w:type="dxa"/>
          </w:tcPr>
          <w:p w14:paraId="2F97B976" w14:textId="04CB74E4" w:rsidR="00F41C4A" w:rsidRDefault="00F41C4A" w:rsidP="00AE6C45">
            <w:pPr>
              <w:pStyle w:val="TableTextSmalltopic"/>
            </w:pPr>
            <w:r>
              <w:t xml:space="preserve">Age Limit for Child </w:t>
            </w:r>
            <w:r w:rsidRPr="00F41C4A">
              <w:t>Care Benefit</w:t>
            </w:r>
          </w:p>
          <w:p w14:paraId="64CDBA9F" w14:textId="5D4858FA" w:rsidR="00F41C4A" w:rsidRPr="00F41C4A" w:rsidRDefault="00F41C4A" w:rsidP="00AE6C45">
            <w:pPr>
              <w:pStyle w:val="TableTextSmalltopic"/>
              <w:rPr>
                <w:b w:val="0"/>
              </w:rPr>
            </w:pPr>
            <w:r w:rsidRPr="00F41C4A">
              <w:rPr>
                <w:b w:val="0"/>
              </w:rPr>
              <w:t>Child Care Benefit (Children in respect of whom no-one is eligible) Amendment Determination 2017</w:t>
            </w:r>
          </w:p>
        </w:tc>
        <w:tc>
          <w:tcPr>
            <w:tcW w:w="888" w:type="dxa"/>
          </w:tcPr>
          <w:p w14:paraId="437D5149" w14:textId="0A1001A0" w:rsidR="00F41C4A" w:rsidRDefault="00F41C4A" w:rsidP="00AE6C45">
            <w:pPr>
              <w:pStyle w:val="TableTextSmall"/>
            </w:pPr>
            <w:r>
              <w:t>2017</w:t>
            </w:r>
          </w:p>
        </w:tc>
        <w:tc>
          <w:tcPr>
            <w:tcW w:w="5851" w:type="dxa"/>
          </w:tcPr>
          <w:p w14:paraId="39A42A19" w14:textId="43F7CE11" w:rsidR="00F41C4A" w:rsidRPr="00313C31" w:rsidRDefault="00F41C4A" w:rsidP="00F41C4A">
            <w:pPr>
              <w:pStyle w:val="TableTextSmall"/>
            </w:pPr>
            <w:r>
              <w:t>Introduces restriction so that no one is eligible for child care fee assistance for Family Day Care provided to either an individual who has turned 18; or a child aged 14 years or older, or who attends secondary school, unless specific circumstances apply.</w:t>
            </w:r>
          </w:p>
        </w:tc>
      </w:tr>
      <w:tr w:rsidR="00F41C4A" w:rsidRPr="00F01E94" w14:paraId="2C2B0FC8" w14:textId="77777777" w:rsidTr="00AE6C45">
        <w:trPr>
          <w:cantSplit/>
        </w:trPr>
        <w:tc>
          <w:tcPr>
            <w:tcW w:w="3342" w:type="dxa"/>
          </w:tcPr>
          <w:p w14:paraId="01FB27E4" w14:textId="35495AE2" w:rsidR="00F41C4A" w:rsidRDefault="00F41C4A" w:rsidP="00AE6C45">
            <w:pPr>
              <w:pStyle w:val="TableTextSmalltopic"/>
            </w:pPr>
            <w:r w:rsidRPr="00F41C4A">
              <w:t>Parental Income Test and family pool arrangements for Youth Allowance and ABSTUDY</w:t>
            </w:r>
          </w:p>
          <w:p w14:paraId="5B1FEC1A" w14:textId="228FCEBF" w:rsidR="00F41C4A" w:rsidRPr="00F41C4A" w:rsidRDefault="00F41C4A" w:rsidP="00AE6C45">
            <w:pPr>
              <w:pStyle w:val="TableTextSmalltopic"/>
              <w:rPr>
                <w:b w:val="0"/>
              </w:rPr>
            </w:pPr>
            <w:r w:rsidRPr="00F41C4A">
              <w:rPr>
                <w:b w:val="0"/>
              </w:rPr>
              <w:t>Social Services Legislation Amendment (More Generous Means Testing For Youth Payments) Act 2015</w:t>
            </w:r>
          </w:p>
        </w:tc>
        <w:tc>
          <w:tcPr>
            <w:tcW w:w="888" w:type="dxa"/>
          </w:tcPr>
          <w:p w14:paraId="72B17FC7" w14:textId="1B3619A4" w:rsidR="00F41C4A" w:rsidRDefault="00F41C4A" w:rsidP="00AE6C45">
            <w:pPr>
              <w:pStyle w:val="TableTextSmall"/>
            </w:pPr>
            <w:r>
              <w:t>2017</w:t>
            </w:r>
          </w:p>
        </w:tc>
        <w:tc>
          <w:tcPr>
            <w:tcW w:w="5851" w:type="dxa"/>
          </w:tcPr>
          <w:p w14:paraId="1E7FE96F" w14:textId="30749576" w:rsidR="00F41C4A" w:rsidRDefault="00F41C4A" w:rsidP="00F41C4A">
            <w:pPr>
              <w:pStyle w:val="TableTextSmall"/>
            </w:pPr>
            <w:r w:rsidRPr="00F41C4A">
              <w:t>Parental Income Test and family pool arrangements for Youth Allowance and ABSTUDY will take into account all dependent siblings in the family aged 0-19, who meet the definition of a Family Tax Benefit child. Around 13,700 families with dependent children in both the Family Tax Benefit Part A and youth systems will be eligible for an average increase in payment of $43 per fortnight ($1,118 per annum). Around 5,800 families, who currently miss out on payments due to the higher taper rates, will be eligible for an average payment of around $50 per fortnight ($1,300 per annum).</w:t>
            </w:r>
          </w:p>
        </w:tc>
      </w:tr>
    </w:tbl>
    <w:p w14:paraId="084BA1CB" w14:textId="77777777" w:rsidR="00AE6C45" w:rsidRPr="0057506F" w:rsidRDefault="00AE6C45" w:rsidP="00AE6C45">
      <w:pPr>
        <w:pStyle w:val="PwCNormal"/>
        <w:numPr>
          <w:ilvl w:val="0"/>
          <w:numId w:val="1"/>
        </w:numPr>
        <w:rPr>
          <w:snapToGrid/>
        </w:rPr>
      </w:pPr>
    </w:p>
    <w:p w14:paraId="588AA104" w14:textId="77777777" w:rsidR="00AE6C45" w:rsidRPr="006077A2" w:rsidRDefault="00AE6C45" w:rsidP="00AE6C45">
      <w:pPr>
        <w:pStyle w:val="PwCNormal"/>
        <w:numPr>
          <w:ilvl w:val="0"/>
          <w:numId w:val="1"/>
        </w:numPr>
        <w:rPr>
          <w:snapToGrid/>
        </w:rPr>
      </w:pPr>
      <w:r w:rsidRPr="006077A2">
        <w:lastRenderedPageBreak/>
        <w:t>The following table contains the legislated future policy changes of which we are aware. These will take effect after the valuation date.</w:t>
      </w:r>
    </w:p>
    <w:p w14:paraId="5950001A" w14:textId="63EC4E4B" w:rsidR="00AE6C45" w:rsidRPr="006077A2" w:rsidRDefault="00AE6C45" w:rsidP="00AE6C45">
      <w:pPr>
        <w:pStyle w:val="Caption"/>
      </w:pPr>
      <w:r w:rsidRPr="006077A2">
        <w:t xml:space="preserve">Table </w:t>
      </w:r>
      <w:fldSimple w:instr=" SEQ Table \* ARABIC ">
        <w:r w:rsidR="00C93C1A">
          <w:rPr>
            <w:noProof/>
          </w:rPr>
          <w:t>57</w:t>
        </w:r>
      </w:fldSimple>
      <w:r w:rsidRPr="006077A2">
        <w:t>: Policy changes which will take effect after the valuation date</w:t>
      </w:r>
      <w:r>
        <w:t xml:space="preserve"> </w:t>
      </w:r>
    </w:p>
    <w:tbl>
      <w:tblPr>
        <w:tblStyle w:val="Tables-APBase"/>
        <w:tblW w:w="5000" w:type="pct"/>
        <w:tblBorders>
          <w:bottom w:val="single" w:sz="4" w:space="0" w:color="E0301E"/>
          <w:insideH w:val="single" w:sz="4" w:space="0" w:color="E0301E"/>
        </w:tblBorders>
        <w:tblLayout w:type="fixed"/>
        <w:tblLook w:val="04A0" w:firstRow="1" w:lastRow="0" w:firstColumn="1" w:lastColumn="0" w:noHBand="0" w:noVBand="1"/>
        <w:tblCaption w:val=" Policy changes which will take effect after the valuation date"/>
        <w:tblDescription w:val="This table lists future policy changes which may impact future experience. It is similar in layout to the previous table, with three columns: the amendment, the year it was introduced, and a short description of the change and its impact. "/>
      </w:tblPr>
      <w:tblGrid>
        <w:gridCol w:w="3559"/>
        <w:gridCol w:w="873"/>
        <w:gridCol w:w="5649"/>
      </w:tblGrid>
      <w:tr w:rsidR="00AE6C45" w:rsidRPr="00733C78" w14:paraId="61B72BC9" w14:textId="77777777" w:rsidTr="00BB3F4F">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1765" w:type="pct"/>
            <w:shd w:val="clear" w:color="auto" w:fill="E0301E"/>
          </w:tcPr>
          <w:p w14:paraId="6D20C3A1" w14:textId="77777777" w:rsidR="00AE6C45" w:rsidRPr="006077A2" w:rsidRDefault="00AE6C45" w:rsidP="00AE6C45">
            <w:pPr>
              <w:pStyle w:val="TableColumnHeadingSmall"/>
            </w:pPr>
            <w:r w:rsidRPr="006077A2">
              <w:t>Amendment</w:t>
            </w:r>
          </w:p>
        </w:tc>
        <w:tc>
          <w:tcPr>
            <w:tcW w:w="433" w:type="pct"/>
            <w:shd w:val="clear" w:color="auto" w:fill="E0301E"/>
          </w:tcPr>
          <w:p w14:paraId="1CFDDDB1" w14:textId="77777777" w:rsidR="00AE6C45" w:rsidRPr="006077A2" w:rsidRDefault="00AE6C45" w:rsidP="00AE6C45">
            <w:pPr>
              <w:pStyle w:val="TableColumnHeadingSmall"/>
              <w:cnfStyle w:val="100000000000" w:firstRow="1" w:lastRow="0" w:firstColumn="0" w:lastColumn="0" w:oddVBand="0" w:evenVBand="0" w:oddHBand="0" w:evenHBand="0" w:firstRowFirstColumn="0" w:firstRowLastColumn="0" w:lastRowFirstColumn="0" w:lastRowLastColumn="0"/>
            </w:pPr>
            <w:r w:rsidRPr="006077A2">
              <w:t>Year</w:t>
            </w:r>
          </w:p>
        </w:tc>
        <w:tc>
          <w:tcPr>
            <w:tcW w:w="2802" w:type="pct"/>
            <w:shd w:val="clear" w:color="auto" w:fill="E0301E"/>
          </w:tcPr>
          <w:p w14:paraId="522E9FD9" w14:textId="77777777" w:rsidR="00AE6C45" w:rsidRPr="006077A2" w:rsidRDefault="00AE6C45" w:rsidP="00AE6C45">
            <w:pPr>
              <w:pStyle w:val="TableColumnHeadingSmall"/>
              <w:cnfStyle w:val="100000000000" w:firstRow="1" w:lastRow="0" w:firstColumn="0" w:lastColumn="0" w:oddVBand="0" w:evenVBand="0" w:oddHBand="0" w:evenHBand="0" w:firstRowFirstColumn="0" w:firstRowLastColumn="0" w:lastRowFirstColumn="0" w:lastRowLastColumn="0"/>
            </w:pPr>
            <w:r w:rsidRPr="006077A2">
              <w:t>Description</w:t>
            </w:r>
          </w:p>
        </w:tc>
      </w:tr>
      <w:tr w:rsidR="00AE6C45" w:rsidRPr="00733C78" w14:paraId="0D75B99D" w14:textId="77777777" w:rsidTr="00BB3F4F">
        <w:trPr>
          <w:cantSplit/>
        </w:trPr>
        <w:tc>
          <w:tcPr>
            <w:tcW w:w="1765" w:type="pct"/>
          </w:tcPr>
          <w:p w14:paraId="4B17A3B2" w14:textId="77777777" w:rsidR="00AE6C45" w:rsidRDefault="00AE6C45" w:rsidP="00AE6C45">
            <w:pPr>
              <w:pStyle w:val="TableTextSmalltopic"/>
            </w:pPr>
            <w:r w:rsidRPr="00B95A40">
              <w:t xml:space="preserve">Qualifying age for the age pension </w:t>
            </w:r>
          </w:p>
          <w:p w14:paraId="64EFD029" w14:textId="77777777" w:rsidR="00AE6C45" w:rsidRPr="00B95A40" w:rsidRDefault="00AE6C45" w:rsidP="00AE6C45">
            <w:pPr>
              <w:pStyle w:val="TableTextSmall"/>
            </w:pPr>
            <w:r w:rsidRPr="00B95A40">
              <w:t>Social Security and Other Legislation Amendment (Pension Reform and Other 2009 Budget Measures)</w:t>
            </w:r>
          </w:p>
        </w:tc>
        <w:tc>
          <w:tcPr>
            <w:tcW w:w="433" w:type="pct"/>
          </w:tcPr>
          <w:p w14:paraId="5F118F55" w14:textId="77777777" w:rsidR="00AE6C45" w:rsidRPr="00B95A40" w:rsidRDefault="00AE6C45" w:rsidP="00AE6C45">
            <w:pPr>
              <w:pStyle w:val="TableTextSmall"/>
            </w:pPr>
            <w:r>
              <w:t>2018</w:t>
            </w:r>
          </w:p>
        </w:tc>
        <w:tc>
          <w:tcPr>
            <w:tcW w:w="2802" w:type="pct"/>
          </w:tcPr>
          <w:p w14:paraId="3FB492EF" w14:textId="77777777" w:rsidR="00AE6C45" w:rsidRPr="00B95A40" w:rsidRDefault="00AE6C45" w:rsidP="00AE6C45">
            <w:pPr>
              <w:pStyle w:val="TableTextSmall"/>
            </w:pPr>
            <w:r w:rsidRPr="00B95A40">
              <w:t>The Age Pension age will be increased from age 65 to age 67, at a rate of six months every two years, beginning in 2017.</w:t>
            </w:r>
          </w:p>
        </w:tc>
      </w:tr>
      <w:tr w:rsidR="00AE6C45" w:rsidRPr="00733C78" w14:paraId="5230B81A" w14:textId="77777777" w:rsidTr="00BB3F4F">
        <w:trPr>
          <w:cantSplit/>
        </w:trPr>
        <w:tc>
          <w:tcPr>
            <w:tcW w:w="1765" w:type="pct"/>
          </w:tcPr>
          <w:p w14:paraId="785E66E4" w14:textId="77777777" w:rsidR="00AE6C45" w:rsidRPr="00B95A40" w:rsidRDefault="00AE6C45" w:rsidP="00AE6C45">
            <w:pPr>
              <w:pStyle w:val="TableTextSmall"/>
              <w:rPr>
                <w:b/>
              </w:rPr>
            </w:pPr>
            <w:r w:rsidRPr="00B95A40">
              <w:rPr>
                <w:b/>
              </w:rPr>
              <w:t>Income Limit for FTB Part A Supplement</w:t>
            </w:r>
          </w:p>
          <w:p w14:paraId="589E3522" w14:textId="77777777" w:rsidR="00AE6C45" w:rsidRPr="00B95A40" w:rsidRDefault="00AE6C45" w:rsidP="00AE6C45">
            <w:pPr>
              <w:pStyle w:val="TableTextSmall"/>
            </w:pPr>
            <w:r w:rsidRPr="00B95A40">
              <w:t>Budget Savings (Omnibus) Act 2016</w:t>
            </w:r>
          </w:p>
        </w:tc>
        <w:tc>
          <w:tcPr>
            <w:tcW w:w="433" w:type="pct"/>
          </w:tcPr>
          <w:p w14:paraId="48694061" w14:textId="77777777" w:rsidR="00AE6C45" w:rsidRPr="00B95A40" w:rsidRDefault="00AE6C45" w:rsidP="00AE6C45">
            <w:pPr>
              <w:pStyle w:val="TableTextSmall"/>
            </w:pPr>
            <w:r w:rsidRPr="00B95A40">
              <w:t>201</w:t>
            </w:r>
            <w:r>
              <w:t>8</w:t>
            </w:r>
          </w:p>
        </w:tc>
        <w:tc>
          <w:tcPr>
            <w:tcW w:w="2802" w:type="pct"/>
          </w:tcPr>
          <w:p w14:paraId="08D799B7" w14:textId="77777777" w:rsidR="00AE6C45" w:rsidRPr="00B95A40" w:rsidRDefault="00AE6C45" w:rsidP="00AE6C45">
            <w:pPr>
              <w:pStyle w:val="TableTextSmall"/>
            </w:pPr>
            <w:r w:rsidRPr="00B95A40">
              <w:t>Introduces an income limit of $80,000 on payment of the Family Tax Benefit (FTB) Part A supplement, commencing from the 2016-17 income year. If an individual’s adjusted taxable income (which includes the adjusted taxable income of their partner if any) is more than $80,000 for the relevant income year, then the individual’s FTB Part A supplement in relation to that year will be nil.</w:t>
            </w:r>
          </w:p>
        </w:tc>
      </w:tr>
      <w:tr w:rsidR="00AE6C45" w:rsidRPr="00BB3F4F" w14:paraId="4DA461E4" w14:textId="77777777" w:rsidTr="00BB3F4F">
        <w:trPr>
          <w:cantSplit/>
        </w:trPr>
        <w:tc>
          <w:tcPr>
            <w:tcW w:w="1765" w:type="pct"/>
          </w:tcPr>
          <w:p w14:paraId="3213A73F" w14:textId="77777777" w:rsidR="00AE6C45" w:rsidRPr="00BB3F4F" w:rsidRDefault="00AE6C45" w:rsidP="00AE6C45">
            <w:pPr>
              <w:pStyle w:val="TableTextSmall"/>
              <w:rPr>
                <w:b/>
              </w:rPr>
            </w:pPr>
            <w:r w:rsidRPr="00BB3F4F">
              <w:rPr>
                <w:b/>
              </w:rPr>
              <w:t>Closing Carbon Tax Compensation</w:t>
            </w:r>
          </w:p>
          <w:p w14:paraId="3703E1A5" w14:textId="77777777" w:rsidR="00AE6C45" w:rsidRPr="00BB3F4F" w:rsidRDefault="00AE6C45" w:rsidP="00AE6C45">
            <w:pPr>
              <w:pStyle w:val="TableTextSmall"/>
            </w:pPr>
            <w:r w:rsidRPr="00BB3F4F">
              <w:t>Budget Savings (Omnibus) Act 2016</w:t>
            </w:r>
          </w:p>
        </w:tc>
        <w:tc>
          <w:tcPr>
            <w:tcW w:w="433" w:type="pct"/>
          </w:tcPr>
          <w:p w14:paraId="2AF454E7" w14:textId="77777777" w:rsidR="00AE6C45" w:rsidRPr="00BB3F4F" w:rsidRDefault="00AE6C45" w:rsidP="00AE6C45">
            <w:pPr>
              <w:pStyle w:val="TableTextSmall"/>
            </w:pPr>
            <w:r w:rsidRPr="00BB3F4F">
              <w:t>2018</w:t>
            </w:r>
          </w:p>
        </w:tc>
        <w:tc>
          <w:tcPr>
            <w:tcW w:w="2802" w:type="pct"/>
          </w:tcPr>
          <w:p w14:paraId="7A69F336" w14:textId="77777777" w:rsidR="00AE6C45" w:rsidRPr="00BB3F4F" w:rsidRDefault="00AE6C45" w:rsidP="00AE6C45">
            <w:pPr>
              <w:pStyle w:val="TableTextSmall"/>
            </w:pPr>
            <w:r w:rsidRPr="00BB3F4F">
              <w:t>From 1 July 2017, the single income family supplement will not be paid to new recipients from 1 July 2017. Existing recipients may continue to receive the supplement if they remain eligible.</w:t>
            </w:r>
          </w:p>
        </w:tc>
      </w:tr>
      <w:tr w:rsidR="00AE6C45" w:rsidRPr="00BB3F4F" w14:paraId="5146AC95" w14:textId="77777777" w:rsidTr="00BB3F4F">
        <w:trPr>
          <w:cantSplit/>
        </w:trPr>
        <w:tc>
          <w:tcPr>
            <w:tcW w:w="1765" w:type="pct"/>
          </w:tcPr>
          <w:p w14:paraId="364C4AA9" w14:textId="77777777" w:rsidR="00AE6C45" w:rsidRPr="00BB3F4F" w:rsidRDefault="00AE6C45" w:rsidP="00AE6C45">
            <w:pPr>
              <w:pStyle w:val="TableTextSmall"/>
              <w:rPr>
                <w:b/>
              </w:rPr>
            </w:pPr>
            <w:r w:rsidRPr="00BB3F4F">
              <w:rPr>
                <w:b/>
              </w:rPr>
              <w:t>Remove grandfathering for Student Start-Up Scholarships</w:t>
            </w:r>
          </w:p>
          <w:p w14:paraId="27D8FF47" w14:textId="77777777" w:rsidR="00AE6C45" w:rsidRPr="00BB3F4F" w:rsidRDefault="00AE6C45" w:rsidP="00AE6C45">
            <w:pPr>
              <w:pStyle w:val="TableTextSmall"/>
            </w:pPr>
            <w:r w:rsidRPr="00BB3F4F">
              <w:t>Budget Savings (Omnibus) Act 2016</w:t>
            </w:r>
          </w:p>
        </w:tc>
        <w:tc>
          <w:tcPr>
            <w:tcW w:w="433" w:type="pct"/>
          </w:tcPr>
          <w:p w14:paraId="4AC5FE04" w14:textId="77777777" w:rsidR="00AE6C45" w:rsidRPr="00BB3F4F" w:rsidRDefault="00AE6C45" w:rsidP="00AE6C45">
            <w:pPr>
              <w:pStyle w:val="TableTextSmall"/>
            </w:pPr>
            <w:r w:rsidRPr="00BB3F4F">
              <w:t>2018</w:t>
            </w:r>
          </w:p>
        </w:tc>
        <w:tc>
          <w:tcPr>
            <w:tcW w:w="2802" w:type="pct"/>
          </w:tcPr>
          <w:p w14:paraId="28AEB446" w14:textId="5F1A855A" w:rsidR="00AE6C45" w:rsidRPr="00BB3F4F" w:rsidRDefault="00AE6C45" w:rsidP="00C67E35">
            <w:pPr>
              <w:pStyle w:val="TableTextSmall"/>
            </w:pPr>
            <w:r w:rsidRPr="00BB3F4F">
              <w:t xml:space="preserve">This bill closes the </w:t>
            </w:r>
            <w:r w:rsidR="00135DF3">
              <w:t>S</w:t>
            </w:r>
            <w:r w:rsidRPr="00BB3F4F">
              <w:t xml:space="preserve">tudent </w:t>
            </w:r>
            <w:r w:rsidR="00135DF3">
              <w:t>S</w:t>
            </w:r>
            <w:r w:rsidRPr="00BB3F4F">
              <w:t>tart-</w:t>
            </w:r>
            <w:r w:rsidR="00893098">
              <w:t>u</w:t>
            </w:r>
            <w:r w:rsidR="00135DF3">
              <w:t>p S</w:t>
            </w:r>
            <w:r w:rsidRPr="00BB3F4F">
              <w:t>cholarship for all existing recipients of the scholars</w:t>
            </w:r>
            <w:r w:rsidR="00135DF3">
              <w:t>hip. Current recipients of the S</w:t>
            </w:r>
            <w:r w:rsidRPr="00BB3F4F">
              <w:t xml:space="preserve">tudent </w:t>
            </w:r>
            <w:r w:rsidR="00135DF3">
              <w:t>S</w:t>
            </w:r>
            <w:r w:rsidRPr="00BB3F4F">
              <w:t>tart-</w:t>
            </w:r>
            <w:r w:rsidR="00893098">
              <w:t>u</w:t>
            </w:r>
            <w:r w:rsidR="00135DF3">
              <w:t>p S</w:t>
            </w:r>
            <w:r w:rsidRPr="00BB3F4F">
              <w:t xml:space="preserve">cholarship </w:t>
            </w:r>
            <w:r w:rsidR="00135DF3">
              <w:t>payment may be qualified for a S</w:t>
            </w:r>
            <w:r w:rsidRPr="00BB3F4F">
              <w:t xml:space="preserve">tudent </w:t>
            </w:r>
            <w:r w:rsidR="00C67E35">
              <w:t>S</w:t>
            </w:r>
            <w:r w:rsidRPr="00BB3F4F">
              <w:t>tart-</w:t>
            </w:r>
            <w:r w:rsidR="00893098">
              <w:t>u</w:t>
            </w:r>
            <w:r w:rsidR="00C67E35">
              <w:t>p L</w:t>
            </w:r>
            <w:r w:rsidRPr="00BB3F4F">
              <w:t xml:space="preserve">oan or ABSTUDY </w:t>
            </w:r>
            <w:r w:rsidR="00893098">
              <w:t>S</w:t>
            </w:r>
            <w:r w:rsidRPr="00BB3F4F">
              <w:t xml:space="preserve">tart-up </w:t>
            </w:r>
            <w:r w:rsidR="00893098">
              <w:t>L</w:t>
            </w:r>
            <w:r w:rsidRPr="00BB3F4F">
              <w:t xml:space="preserve">oan after the commencement of this change. </w:t>
            </w:r>
          </w:p>
        </w:tc>
      </w:tr>
      <w:tr w:rsidR="00AE6C45" w:rsidRPr="00BB3F4F" w14:paraId="6CF8DD39" w14:textId="77777777" w:rsidTr="00BB3F4F">
        <w:trPr>
          <w:cantSplit/>
        </w:trPr>
        <w:tc>
          <w:tcPr>
            <w:tcW w:w="1765" w:type="pct"/>
          </w:tcPr>
          <w:p w14:paraId="1F57B117" w14:textId="77777777" w:rsidR="00AE6C45" w:rsidRPr="00BB3F4F" w:rsidRDefault="00AE6C45" w:rsidP="00AE6C45">
            <w:pPr>
              <w:pStyle w:val="TableTextSmall"/>
              <w:rPr>
                <w:b/>
              </w:rPr>
            </w:pPr>
            <w:r w:rsidRPr="00BB3F4F">
              <w:rPr>
                <w:b/>
              </w:rPr>
              <w:t>Indexation maintain at level for three years the income free areas for working age</w:t>
            </w:r>
          </w:p>
          <w:p w14:paraId="0231747C" w14:textId="2DBBA7F4" w:rsidR="00AE6C45" w:rsidRPr="00BB3F4F" w:rsidRDefault="00AE6C45" w:rsidP="003E46E9">
            <w:pPr>
              <w:pStyle w:val="TableTextSmall"/>
            </w:pPr>
            <w:r w:rsidRPr="00BB3F4F">
              <w:t xml:space="preserve">Social Services Legislation Amendment </w:t>
            </w:r>
            <w:r w:rsidR="003E46E9">
              <w:t>Act</w:t>
            </w:r>
            <w:r w:rsidR="003E46E9" w:rsidRPr="00BB3F4F">
              <w:t xml:space="preserve"> </w:t>
            </w:r>
            <w:r w:rsidRPr="00BB3F4F">
              <w:t>2017</w:t>
            </w:r>
          </w:p>
        </w:tc>
        <w:tc>
          <w:tcPr>
            <w:tcW w:w="433" w:type="pct"/>
          </w:tcPr>
          <w:p w14:paraId="3E4E6435" w14:textId="77777777" w:rsidR="00AE6C45" w:rsidRPr="00BB3F4F" w:rsidRDefault="00AE6C45" w:rsidP="00AE6C45">
            <w:pPr>
              <w:pStyle w:val="TableTextSmall"/>
            </w:pPr>
            <w:r w:rsidRPr="00BB3F4F">
              <w:t>2018</w:t>
            </w:r>
          </w:p>
        </w:tc>
        <w:tc>
          <w:tcPr>
            <w:tcW w:w="2802" w:type="pct"/>
          </w:tcPr>
          <w:p w14:paraId="606710B5" w14:textId="77777777" w:rsidR="00AE6C45" w:rsidRPr="00BB3F4F" w:rsidRDefault="00AE6C45" w:rsidP="00AE6C45">
            <w:pPr>
              <w:pStyle w:val="TableTextSmall"/>
            </w:pPr>
            <w:r w:rsidRPr="00BB3F4F">
              <w:t>Maintain at level for three years, the income free areas for all working age allowances (other than student payments) and for Parenting Payment Single.</w:t>
            </w:r>
          </w:p>
        </w:tc>
      </w:tr>
      <w:tr w:rsidR="00AE6C45" w:rsidRPr="00BB3F4F" w14:paraId="29B2B04A" w14:textId="77777777" w:rsidTr="00BB3F4F">
        <w:trPr>
          <w:cantSplit/>
        </w:trPr>
        <w:tc>
          <w:tcPr>
            <w:tcW w:w="1765" w:type="pct"/>
          </w:tcPr>
          <w:p w14:paraId="224BBC02" w14:textId="77777777" w:rsidR="00AE6C45" w:rsidRPr="00BB3F4F" w:rsidRDefault="00AE6C45" w:rsidP="00AE6C45">
            <w:pPr>
              <w:pStyle w:val="TableTextSmall"/>
              <w:rPr>
                <w:b/>
              </w:rPr>
            </w:pPr>
            <w:r w:rsidRPr="00BB3F4F">
              <w:rPr>
                <w:b/>
              </w:rPr>
              <w:t>Indexation maintain at level for three years the income free areas for student payments</w:t>
            </w:r>
          </w:p>
          <w:p w14:paraId="4E786C92" w14:textId="1326F88F" w:rsidR="00AE6C45" w:rsidRPr="00BB3F4F" w:rsidRDefault="00AE6C45" w:rsidP="003E46E9">
            <w:pPr>
              <w:pStyle w:val="TableTextSmall"/>
            </w:pPr>
            <w:r w:rsidRPr="00BB3F4F">
              <w:t xml:space="preserve">Social Services Legislation Amendment </w:t>
            </w:r>
            <w:r w:rsidR="003E46E9">
              <w:t>Act</w:t>
            </w:r>
            <w:r w:rsidR="003E46E9" w:rsidRPr="00BB3F4F">
              <w:t xml:space="preserve"> </w:t>
            </w:r>
            <w:r w:rsidRPr="00BB3F4F">
              <w:t>2017</w:t>
            </w:r>
          </w:p>
        </w:tc>
        <w:tc>
          <w:tcPr>
            <w:tcW w:w="433" w:type="pct"/>
          </w:tcPr>
          <w:p w14:paraId="7CEA00B1" w14:textId="77777777" w:rsidR="00AE6C45" w:rsidRPr="00BB3F4F" w:rsidRDefault="00AE6C45" w:rsidP="00AE6C45">
            <w:pPr>
              <w:pStyle w:val="TableTextSmall"/>
            </w:pPr>
            <w:r w:rsidRPr="00BB3F4F">
              <w:t>2018</w:t>
            </w:r>
          </w:p>
        </w:tc>
        <w:tc>
          <w:tcPr>
            <w:tcW w:w="2802" w:type="pct"/>
          </w:tcPr>
          <w:p w14:paraId="38297678" w14:textId="77777777" w:rsidR="00AE6C45" w:rsidRPr="00BB3F4F" w:rsidRDefault="00AE6C45" w:rsidP="00AE6C45">
            <w:pPr>
              <w:pStyle w:val="TableTextSmall"/>
            </w:pPr>
            <w:r w:rsidRPr="00BB3F4F">
              <w:t>Maintain at level for three years, the income free areas and other means test thresholds for student payments, including the student income bank limits.</w:t>
            </w:r>
          </w:p>
        </w:tc>
      </w:tr>
      <w:tr w:rsidR="00AE6C45" w:rsidRPr="00BB3F4F" w14:paraId="77425C6F" w14:textId="77777777" w:rsidTr="00BB3F4F">
        <w:trPr>
          <w:cantSplit/>
        </w:trPr>
        <w:tc>
          <w:tcPr>
            <w:tcW w:w="1765" w:type="pct"/>
          </w:tcPr>
          <w:p w14:paraId="4721C06D" w14:textId="177AC2D0" w:rsidR="00AE6C45" w:rsidRPr="00BB3F4F" w:rsidRDefault="00AE6C45" w:rsidP="00AE6C45">
            <w:pPr>
              <w:pStyle w:val="TableTextSmall"/>
              <w:rPr>
                <w:b/>
              </w:rPr>
            </w:pPr>
            <w:r w:rsidRPr="00BB3F4F">
              <w:rPr>
                <w:b/>
              </w:rPr>
              <w:t xml:space="preserve">Ordinary Waiting period - Working Age Payments (excluding Widows </w:t>
            </w:r>
            <w:r w:rsidR="00845D12">
              <w:rPr>
                <w:b/>
              </w:rPr>
              <w:t>A</w:t>
            </w:r>
            <w:r w:rsidRPr="00BB3F4F">
              <w:rPr>
                <w:b/>
              </w:rPr>
              <w:t>llowance)</w:t>
            </w:r>
          </w:p>
          <w:p w14:paraId="74E0029E" w14:textId="591A5346" w:rsidR="00AE6C45" w:rsidRPr="00BB3F4F" w:rsidRDefault="00AE6C45" w:rsidP="003E46E9">
            <w:pPr>
              <w:pStyle w:val="TableTextSmall"/>
            </w:pPr>
            <w:r w:rsidRPr="00BB3F4F">
              <w:t xml:space="preserve">Social Services Legislation Amendment </w:t>
            </w:r>
            <w:r w:rsidR="003E46E9">
              <w:t>Act</w:t>
            </w:r>
            <w:r w:rsidR="003E46E9" w:rsidRPr="00BB3F4F">
              <w:t xml:space="preserve"> </w:t>
            </w:r>
            <w:r w:rsidRPr="00BB3F4F">
              <w:t>2017</w:t>
            </w:r>
          </w:p>
        </w:tc>
        <w:tc>
          <w:tcPr>
            <w:tcW w:w="433" w:type="pct"/>
          </w:tcPr>
          <w:p w14:paraId="50D14C40" w14:textId="77777777" w:rsidR="00AE6C45" w:rsidRPr="00BB3F4F" w:rsidRDefault="00AE6C45" w:rsidP="00AE6C45">
            <w:pPr>
              <w:pStyle w:val="TableTextSmall"/>
            </w:pPr>
            <w:r w:rsidRPr="00BB3F4F">
              <w:t>2018</w:t>
            </w:r>
          </w:p>
        </w:tc>
        <w:tc>
          <w:tcPr>
            <w:tcW w:w="2802" w:type="pct"/>
          </w:tcPr>
          <w:p w14:paraId="08671FFA" w14:textId="10B97106" w:rsidR="00AE6C45" w:rsidRPr="00BB3F4F" w:rsidRDefault="00AE6C45" w:rsidP="00C67E35">
            <w:pPr>
              <w:pStyle w:val="TableTextSmall"/>
            </w:pPr>
            <w:r w:rsidRPr="00BB3F4F">
              <w:t xml:space="preserve">Creates a new ordinary waiting period for Parenting Payment, and for Youth Allowance for a person who is not undertaking full-time study and is not a new apprentice (referred to as </w:t>
            </w:r>
            <w:r w:rsidR="00C67E35">
              <w:t>Y</w:t>
            </w:r>
            <w:r w:rsidRPr="00BB3F4F">
              <w:t xml:space="preserve">outh </w:t>
            </w:r>
            <w:r w:rsidR="00C67E35">
              <w:t>Allowance (O</w:t>
            </w:r>
            <w:r w:rsidRPr="00BB3F4F">
              <w:t>ther)).</w:t>
            </w:r>
          </w:p>
        </w:tc>
      </w:tr>
      <w:tr w:rsidR="00AE6C45" w:rsidRPr="00BB3F4F" w14:paraId="0532769F" w14:textId="77777777" w:rsidTr="00BB3F4F">
        <w:trPr>
          <w:cantSplit/>
        </w:trPr>
        <w:tc>
          <w:tcPr>
            <w:tcW w:w="1765" w:type="pct"/>
          </w:tcPr>
          <w:p w14:paraId="47E10B61" w14:textId="77777777" w:rsidR="00AE6C45" w:rsidRPr="00BB3F4F" w:rsidRDefault="00AE6C45" w:rsidP="00AE6C45">
            <w:pPr>
              <w:pStyle w:val="TableTextSmall"/>
              <w:rPr>
                <w:b/>
              </w:rPr>
            </w:pPr>
            <w:r w:rsidRPr="00BB3F4F">
              <w:rPr>
                <w:b/>
              </w:rPr>
              <w:t>Family Tax Benefit - Maintain child rates for 2 years</w:t>
            </w:r>
          </w:p>
          <w:p w14:paraId="1F7E6839" w14:textId="61F98FA6" w:rsidR="00AE6C45" w:rsidRPr="00BB3F4F" w:rsidRDefault="00AE6C45" w:rsidP="003E46E9">
            <w:pPr>
              <w:pStyle w:val="TableTextSmall"/>
            </w:pPr>
            <w:r w:rsidRPr="00BB3F4F">
              <w:t xml:space="preserve">Social Services Legislation Amendment </w:t>
            </w:r>
            <w:r w:rsidR="003E46E9">
              <w:t>Act</w:t>
            </w:r>
            <w:r w:rsidR="003E46E9" w:rsidRPr="00BB3F4F">
              <w:t xml:space="preserve"> </w:t>
            </w:r>
            <w:r w:rsidRPr="00BB3F4F">
              <w:t>2017</w:t>
            </w:r>
          </w:p>
        </w:tc>
        <w:tc>
          <w:tcPr>
            <w:tcW w:w="433" w:type="pct"/>
          </w:tcPr>
          <w:p w14:paraId="4F712055" w14:textId="77777777" w:rsidR="00AE6C45" w:rsidRPr="00BB3F4F" w:rsidRDefault="00AE6C45" w:rsidP="00AE6C45">
            <w:pPr>
              <w:pStyle w:val="TableTextSmall"/>
            </w:pPr>
            <w:r w:rsidRPr="00BB3F4F">
              <w:t>2018</w:t>
            </w:r>
          </w:p>
        </w:tc>
        <w:tc>
          <w:tcPr>
            <w:tcW w:w="2802" w:type="pct"/>
          </w:tcPr>
          <w:p w14:paraId="41F23D9D" w14:textId="50E29315" w:rsidR="00AE6C45" w:rsidRPr="00BB3F4F" w:rsidRDefault="00AE6C45" w:rsidP="00961841">
            <w:pPr>
              <w:pStyle w:val="TableTextSmall"/>
            </w:pPr>
            <w:r w:rsidRPr="00BB3F4F">
              <w:t xml:space="preserve">Maintain the current </w:t>
            </w:r>
            <w:r w:rsidR="00961841">
              <w:t>F</w:t>
            </w:r>
            <w:r w:rsidRPr="00BB3F4F">
              <w:t xml:space="preserve">amily </w:t>
            </w:r>
            <w:r w:rsidR="00961841">
              <w:t>T</w:t>
            </w:r>
            <w:r w:rsidRPr="00BB3F4F">
              <w:t xml:space="preserve">ax </w:t>
            </w:r>
            <w:r w:rsidR="00961841">
              <w:t>B</w:t>
            </w:r>
            <w:r w:rsidRPr="00BB3F4F">
              <w:t>enefit (FTB) rates for two years, from 1 July 2017. This change applies to the maximum standard, base rate and approved care organisation rate of FTB Part A and the maximum rate of FTB Part B.</w:t>
            </w:r>
          </w:p>
        </w:tc>
      </w:tr>
      <w:tr w:rsidR="00AE6C45" w:rsidRPr="00BB3F4F" w14:paraId="31FCEE6D" w14:textId="77777777" w:rsidTr="00BB3F4F">
        <w:trPr>
          <w:cantSplit/>
        </w:trPr>
        <w:tc>
          <w:tcPr>
            <w:tcW w:w="1765" w:type="pct"/>
          </w:tcPr>
          <w:p w14:paraId="7BFD6948" w14:textId="4676CCC8" w:rsidR="00AE6C45" w:rsidRPr="00BB3F4F" w:rsidRDefault="00AE6C45" w:rsidP="00AE6C45">
            <w:pPr>
              <w:pStyle w:val="TableTextSmall"/>
              <w:rPr>
                <w:b/>
              </w:rPr>
            </w:pPr>
            <w:r w:rsidRPr="00BB3F4F">
              <w:rPr>
                <w:b/>
              </w:rPr>
              <w:t xml:space="preserve">Reduce the qualification period for Youth Allowance/ Independent test for </w:t>
            </w:r>
            <w:r w:rsidR="00845D12">
              <w:rPr>
                <w:b/>
              </w:rPr>
              <w:t>Y</w:t>
            </w:r>
            <w:r w:rsidRPr="00BB3F4F">
              <w:rPr>
                <w:b/>
              </w:rPr>
              <w:t xml:space="preserve">outh </w:t>
            </w:r>
            <w:r w:rsidR="00845D12">
              <w:rPr>
                <w:b/>
              </w:rPr>
              <w:t>A</w:t>
            </w:r>
            <w:r w:rsidRPr="00BB3F4F">
              <w:rPr>
                <w:b/>
              </w:rPr>
              <w:t>llowance and scholarship payments for students</w:t>
            </w:r>
          </w:p>
          <w:p w14:paraId="43BCDFD9" w14:textId="3E08D0BC" w:rsidR="00AE6C45" w:rsidRPr="00BB3F4F" w:rsidRDefault="00AE6C45" w:rsidP="003E46E9">
            <w:pPr>
              <w:pStyle w:val="TableTextSmall"/>
            </w:pPr>
            <w:r w:rsidRPr="00BB3F4F">
              <w:t xml:space="preserve">Social Services Legislation Amendment (Simplifying Student Payments) </w:t>
            </w:r>
            <w:r w:rsidR="003E46E9">
              <w:t>Act</w:t>
            </w:r>
            <w:r w:rsidR="003E46E9" w:rsidRPr="00BB3F4F">
              <w:t xml:space="preserve"> </w:t>
            </w:r>
            <w:r w:rsidRPr="00BB3F4F">
              <w:t>2017</w:t>
            </w:r>
          </w:p>
        </w:tc>
        <w:tc>
          <w:tcPr>
            <w:tcW w:w="433" w:type="pct"/>
          </w:tcPr>
          <w:p w14:paraId="3FE468DD" w14:textId="77777777" w:rsidR="00AE6C45" w:rsidRPr="00BB3F4F" w:rsidRDefault="00AE6C45" w:rsidP="00AE6C45">
            <w:pPr>
              <w:pStyle w:val="TableTextSmall"/>
            </w:pPr>
            <w:r w:rsidRPr="00BB3F4F">
              <w:t>2018</w:t>
            </w:r>
          </w:p>
        </w:tc>
        <w:tc>
          <w:tcPr>
            <w:tcW w:w="2802" w:type="pct"/>
          </w:tcPr>
          <w:p w14:paraId="3897C8BE" w14:textId="77777777" w:rsidR="00AE6C45" w:rsidRPr="00BB3F4F" w:rsidRDefault="00AE6C45" w:rsidP="00AE6C45">
            <w:pPr>
              <w:pStyle w:val="TableTextSmall"/>
            </w:pPr>
            <w:r w:rsidRPr="00BB3F4F">
              <w:t xml:space="preserve">Students who qualify under this provision will be eligible for Youth Allowance as independent after 14 months, rather than the current 18 month period, provided they have earned at least a minimum rate of pay. </w:t>
            </w:r>
          </w:p>
        </w:tc>
      </w:tr>
      <w:tr w:rsidR="00AE6C45" w:rsidRPr="00BB3F4F" w14:paraId="3ABA5E22" w14:textId="77777777" w:rsidTr="00BB3F4F">
        <w:trPr>
          <w:cantSplit/>
        </w:trPr>
        <w:tc>
          <w:tcPr>
            <w:tcW w:w="1765" w:type="pct"/>
          </w:tcPr>
          <w:p w14:paraId="4F53976D" w14:textId="77777777" w:rsidR="00AE6C45" w:rsidRPr="00BB3F4F" w:rsidRDefault="00AE6C45" w:rsidP="00AE6C45">
            <w:pPr>
              <w:pStyle w:val="TableTextSmall"/>
              <w:rPr>
                <w:b/>
              </w:rPr>
            </w:pPr>
            <w:r w:rsidRPr="00BB3F4F">
              <w:rPr>
                <w:b/>
              </w:rPr>
              <w:t>Align means test with other payments/ Means testing for social security benefits</w:t>
            </w:r>
          </w:p>
          <w:p w14:paraId="54E5038B" w14:textId="733C98AE" w:rsidR="00AE6C45" w:rsidRPr="00BB3F4F" w:rsidRDefault="00AE6C45" w:rsidP="003E46E9">
            <w:pPr>
              <w:pStyle w:val="TableTextSmall"/>
            </w:pPr>
            <w:r w:rsidRPr="00BB3F4F">
              <w:t xml:space="preserve">Social Services Legislation Amendment (Simplifying Student Payments) </w:t>
            </w:r>
            <w:r w:rsidR="003E46E9">
              <w:t>Act</w:t>
            </w:r>
            <w:r w:rsidR="003E46E9" w:rsidRPr="00BB3F4F">
              <w:t xml:space="preserve"> </w:t>
            </w:r>
            <w:r w:rsidRPr="00BB3F4F">
              <w:t>2017</w:t>
            </w:r>
          </w:p>
        </w:tc>
        <w:tc>
          <w:tcPr>
            <w:tcW w:w="433" w:type="pct"/>
          </w:tcPr>
          <w:p w14:paraId="70C5C841" w14:textId="77777777" w:rsidR="00AE6C45" w:rsidRPr="00BB3F4F" w:rsidRDefault="00AE6C45" w:rsidP="00AE6C45">
            <w:pPr>
              <w:pStyle w:val="TableTextSmall"/>
            </w:pPr>
            <w:r w:rsidRPr="00BB3F4F">
              <w:t>2018</w:t>
            </w:r>
          </w:p>
        </w:tc>
        <w:tc>
          <w:tcPr>
            <w:tcW w:w="2802" w:type="pct"/>
          </w:tcPr>
          <w:p w14:paraId="6EA060DE" w14:textId="77777777" w:rsidR="00AE6C45" w:rsidRPr="00BB3F4F" w:rsidRDefault="00AE6C45" w:rsidP="00AE6C45">
            <w:pPr>
              <w:pStyle w:val="TableTextSmall"/>
            </w:pPr>
            <w:r w:rsidRPr="00BB3F4F">
              <w:t>Simplification of means testing for student payments.</w:t>
            </w:r>
          </w:p>
          <w:p w14:paraId="19B11D36" w14:textId="77777777" w:rsidR="00AE6C45" w:rsidRPr="00BB3F4F" w:rsidRDefault="00AE6C45" w:rsidP="00AE6C45">
            <w:pPr>
              <w:pStyle w:val="TableTextSmall"/>
            </w:pPr>
          </w:p>
        </w:tc>
      </w:tr>
      <w:tr w:rsidR="00AE6C45" w:rsidRPr="00BB3F4F" w14:paraId="377A346E" w14:textId="77777777" w:rsidTr="00BB3F4F">
        <w:trPr>
          <w:cantSplit/>
        </w:trPr>
        <w:tc>
          <w:tcPr>
            <w:tcW w:w="1765" w:type="pct"/>
          </w:tcPr>
          <w:p w14:paraId="1ABA1D10" w14:textId="77777777" w:rsidR="00AE6C45" w:rsidRPr="00BB3F4F" w:rsidRDefault="00AE6C45" w:rsidP="00AE6C45">
            <w:pPr>
              <w:pStyle w:val="TableTextSmall"/>
              <w:rPr>
                <w:b/>
              </w:rPr>
            </w:pPr>
            <w:r w:rsidRPr="00BB3F4F">
              <w:rPr>
                <w:b/>
              </w:rPr>
              <w:t>Automatically updating geographical classifications/ Remoteness structure</w:t>
            </w:r>
          </w:p>
          <w:p w14:paraId="70F9B910" w14:textId="76BA49FD" w:rsidR="00AE6C45" w:rsidRPr="00BB3F4F" w:rsidRDefault="00AE6C45" w:rsidP="003E46E9">
            <w:pPr>
              <w:pStyle w:val="TableTextSmall"/>
            </w:pPr>
            <w:r w:rsidRPr="00BB3F4F">
              <w:t xml:space="preserve">Social Services Legislation Amendment (Simplifying Student Payments) </w:t>
            </w:r>
            <w:r w:rsidR="003E46E9">
              <w:t>Act</w:t>
            </w:r>
            <w:r w:rsidR="003E46E9" w:rsidRPr="00BB3F4F">
              <w:t xml:space="preserve"> </w:t>
            </w:r>
            <w:r w:rsidRPr="00BB3F4F">
              <w:t>2017</w:t>
            </w:r>
          </w:p>
        </w:tc>
        <w:tc>
          <w:tcPr>
            <w:tcW w:w="433" w:type="pct"/>
          </w:tcPr>
          <w:p w14:paraId="373D9B3E" w14:textId="77777777" w:rsidR="00AE6C45" w:rsidRPr="00BB3F4F" w:rsidRDefault="00AE6C45" w:rsidP="00AE6C45">
            <w:pPr>
              <w:pStyle w:val="TableTextSmall"/>
            </w:pPr>
            <w:r w:rsidRPr="00BB3F4F">
              <w:t>2018</w:t>
            </w:r>
          </w:p>
        </w:tc>
        <w:tc>
          <w:tcPr>
            <w:tcW w:w="2802" w:type="pct"/>
          </w:tcPr>
          <w:p w14:paraId="517959E3" w14:textId="51A69B8E" w:rsidR="00AE6C45" w:rsidRPr="00BB3F4F" w:rsidRDefault="00AE6C45" w:rsidP="00C67E35">
            <w:pPr>
              <w:pStyle w:val="TableTextSmall"/>
            </w:pPr>
            <w:r w:rsidRPr="00BB3F4F">
              <w:t>This measure was part of the 2016-17 Budget and simplifies the process for updating the Australian Statistical Geography Standard (ASGS) remoteness structure published by the Australian Statistician which is used to assess eligibility for student payments under the Social Security Act. This will ensure that an a</w:t>
            </w:r>
            <w:r w:rsidR="00C67E35">
              <w:t>ssessment of qualification for Y</w:t>
            </w:r>
            <w:r w:rsidRPr="00BB3F4F">
              <w:t xml:space="preserve">outh </w:t>
            </w:r>
            <w:r w:rsidR="00C67E35">
              <w:t>A</w:t>
            </w:r>
            <w:r w:rsidRPr="00BB3F4F">
              <w:t>llowance and qualificati</w:t>
            </w:r>
            <w:r w:rsidR="00C67E35">
              <w:t>on for, and rate of, R</w:t>
            </w:r>
            <w:r w:rsidRPr="00BB3F4F">
              <w:t xml:space="preserve">elocation </w:t>
            </w:r>
            <w:r w:rsidR="00C67E35">
              <w:t>S</w:t>
            </w:r>
            <w:r w:rsidRPr="00BB3F4F">
              <w:t>cholarship payments is based on up-to-date geographical classification information.</w:t>
            </w:r>
          </w:p>
        </w:tc>
      </w:tr>
      <w:tr w:rsidR="00AE6C45" w:rsidRPr="00BB3F4F" w14:paraId="622CA7CF" w14:textId="77777777" w:rsidTr="00BB3F4F">
        <w:trPr>
          <w:cantSplit/>
        </w:trPr>
        <w:tc>
          <w:tcPr>
            <w:tcW w:w="1765" w:type="pct"/>
          </w:tcPr>
          <w:p w14:paraId="663A2711" w14:textId="77777777" w:rsidR="00AE6C45" w:rsidRPr="00BB3F4F" w:rsidRDefault="00AE6C45" w:rsidP="00AE6C45">
            <w:pPr>
              <w:pStyle w:val="TableTextSmall"/>
              <w:rPr>
                <w:b/>
              </w:rPr>
            </w:pPr>
            <w:r w:rsidRPr="00BB3F4F">
              <w:rPr>
                <w:b/>
              </w:rPr>
              <w:t>Amendments to Disability Services Act</w:t>
            </w:r>
          </w:p>
          <w:p w14:paraId="5FF99F79" w14:textId="63B555A3" w:rsidR="00AE6C45" w:rsidRPr="00BB3F4F" w:rsidRDefault="00AE6C45" w:rsidP="003E46E9">
            <w:pPr>
              <w:pStyle w:val="TableTextSmall"/>
            </w:pPr>
            <w:r w:rsidRPr="00BB3F4F">
              <w:t xml:space="preserve">Disability Services Amendment (Linking Upper Age Limits for Disability Employment Services to Pension Age) </w:t>
            </w:r>
            <w:r w:rsidR="003E46E9">
              <w:t>Act</w:t>
            </w:r>
            <w:r w:rsidR="003E46E9" w:rsidRPr="00BB3F4F">
              <w:t xml:space="preserve"> </w:t>
            </w:r>
            <w:r w:rsidRPr="00BB3F4F">
              <w:t>2017</w:t>
            </w:r>
          </w:p>
        </w:tc>
        <w:tc>
          <w:tcPr>
            <w:tcW w:w="433" w:type="pct"/>
          </w:tcPr>
          <w:p w14:paraId="0667DF2B" w14:textId="77777777" w:rsidR="00AE6C45" w:rsidRPr="00BB3F4F" w:rsidRDefault="00AE6C45" w:rsidP="00AE6C45">
            <w:pPr>
              <w:pStyle w:val="TableTextSmall"/>
            </w:pPr>
            <w:r w:rsidRPr="00BB3F4F">
              <w:t>2018</w:t>
            </w:r>
          </w:p>
        </w:tc>
        <w:tc>
          <w:tcPr>
            <w:tcW w:w="2802" w:type="pct"/>
          </w:tcPr>
          <w:p w14:paraId="59E931E9" w14:textId="77777777" w:rsidR="00AE6C45" w:rsidRPr="00BB3F4F" w:rsidRDefault="00AE6C45" w:rsidP="00AE6C45">
            <w:pPr>
              <w:pStyle w:val="TableTextSmall"/>
            </w:pPr>
            <w:r w:rsidRPr="00BB3F4F">
              <w:t>Allows technical amendment to correct a mismatch between Disability Employment Services eligibility and the age of qualification for the Age Pension that would otherwise arise from 1 July 2017. This will remove the reference to ‘65 years’ and replace it with the term ‘pension age’</w:t>
            </w:r>
          </w:p>
        </w:tc>
      </w:tr>
      <w:tr w:rsidR="00AE6C45" w:rsidRPr="00BB3F4F" w14:paraId="20C796EC" w14:textId="77777777" w:rsidTr="00BB3F4F">
        <w:trPr>
          <w:cantSplit/>
        </w:trPr>
        <w:tc>
          <w:tcPr>
            <w:tcW w:w="1765" w:type="pct"/>
          </w:tcPr>
          <w:p w14:paraId="662EAD2D" w14:textId="77777777" w:rsidR="00AE6C45" w:rsidRPr="00BB3F4F" w:rsidRDefault="00AE6C45" w:rsidP="00AE6C45">
            <w:pPr>
              <w:pStyle w:val="TableTextSmall"/>
              <w:rPr>
                <w:b/>
              </w:rPr>
            </w:pPr>
            <w:r w:rsidRPr="00BB3F4F">
              <w:rPr>
                <w:b/>
              </w:rPr>
              <w:t>Seasonal horticultural work income exemption</w:t>
            </w:r>
          </w:p>
          <w:p w14:paraId="27B696A7" w14:textId="3EA32941" w:rsidR="00AE6C45" w:rsidRPr="00BB3F4F" w:rsidRDefault="00AE6C45" w:rsidP="003E46E9">
            <w:pPr>
              <w:pStyle w:val="TableTextSmall"/>
            </w:pPr>
            <w:r w:rsidRPr="00BB3F4F">
              <w:t xml:space="preserve">Social Services Legislation Amendment (Seasonal Worker Incentives for Jobseekers) </w:t>
            </w:r>
            <w:r w:rsidR="003E46E9">
              <w:t>Act</w:t>
            </w:r>
            <w:r w:rsidR="003E46E9" w:rsidRPr="00BB3F4F">
              <w:t xml:space="preserve"> </w:t>
            </w:r>
            <w:r w:rsidRPr="00BB3F4F">
              <w:t>2017</w:t>
            </w:r>
          </w:p>
        </w:tc>
        <w:tc>
          <w:tcPr>
            <w:tcW w:w="433" w:type="pct"/>
          </w:tcPr>
          <w:p w14:paraId="22BE4F73" w14:textId="77777777" w:rsidR="00AE6C45" w:rsidRPr="00BB3F4F" w:rsidRDefault="00AE6C45" w:rsidP="00AE6C45">
            <w:pPr>
              <w:pStyle w:val="TableTextSmall"/>
            </w:pPr>
            <w:r w:rsidRPr="00BB3F4F">
              <w:t>2018</w:t>
            </w:r>
          </w:p>
        </w:tc>
        <w:tc>
          <w:tcPr>
            <w:tcW w:w="2802" w:type="pct"/>
          </w:tcPr>
          <w:p w14:paraId="79FAACE4" w14:textId="77777777" w:rsidR="00AE6C45" w:rsidRPr="00BB3F4F" w:rsidRDefault="00AE6C45" w:rsidP="00AE6C45">
            <w:pPr>
              <w:pStyle w:val="TableTextSmall"/>
            </w:pPr>
            <w:r w:rsidRPr="00BB3F4F">
              <w:t>This measure provides a social security income test incentive aimed at increasing the number of job seekers who undertake specified seasonal horticultural work, such as fruit picking. This change will be trialled for 2 years, commencing 1 July 2017.</w:t>
            </w:r>
          </w:p>
        </w:tc>
      </w:tr>
      <w:tr w:rsidR="00AE6C45" w:rsidRPr="00BB3F4F" w14:paraId="16694687" w14:textId="77777777" w:rsidTr="00BB3F4F">
        <w:trPr>
          <w:cantSplit/>
        </w:trPr>
        <w:tc>
          <w:tcPr>
            <w:tcW w:w="1765" w:type="pct"/>
          </w:tcPr>
          <w:p w14:paraId="23F5AB63" w14:textId="77777777" w:rsidR="00AE6C45" w:rsidRPr="00BB3F4F" w:rsidRDefault="00AE6C45" w:rsidP="00AE6C45">
            <w:pPr>
              <w:pStyle w:val="TableTextSmall"/>
              <w:rPr>
                <w:b/>
              </w:rPr>
            </w:pPr>
            <w:r w:rsidRPr="00BB3F4F">
              <w:rPr>
                <w:b/>
              </w:rPr>
              <w:lastRenderedPageBreak/>
              <w:t>Reinstate Pensioner Concession Cards to former recipients</w:t>
            </w:r>
          </w:p>
          <w:p w14:paraId="22BCABAA" w14:textId="147270B1" w:rsidR="00AE6C45" w:rsidRPr="00BB3F4F" w:rsidRDefault="00AE6C45" w:rsidP="003E46E9">
            <w:pPr>
              <w:pStyle w:val="TableTextSmall"/>
            </w:pPr>
            <w:r w:rsidRPr="00BB3F4F">
              <w:t xml:space="preserve">Social Services Legislation Amendment (Energy Assistance Payment &amp; Pensioner Concession Card) </w:t>
            </w:r>
            <w:r w:rsidR="003E46E9">
              <w:t>Act</w:t>
            </w:r>
            <w:r w:rsidR="003E46E9" w:rsidRPr="00BB3F4F">
              <w:t xml:space="preserve"> </w:t>
            </w:r>
            <w:r w:rsidRPr="00BB3F4F">
              <w:t>2017</w:t>
            </w:r>
          </w:p>
        </w:tc>
        <w:tc>
          <w:tcPr>
            <w:tcW w:w="433" w:type="pct"/>
          </w:tcPr>
          <w:p w14:paraId="3B12632A" w14:textId="77777777" w:rsidR="00AE6C45" w:rsidRPr="00BB3F4F" w:rsidRDefault="00AE6C45" w:rsidP="00AE6C45">
            <w:pPr>
              <w:pStyle w:val="TableTextSmall"/>
            </w:pPr>
            <w:r w:rsidRPr="00BB3F4F">
              <w:t>2018</w:t>
            </w:r>
          </w:p>
        </w:tc>
        <w:tc>
          <w:tcPr>
            <w:tcW w:w="2802" w:type="pct"/>
          </w:tcPr>
          <w:p w14:paraId="4B7303E5" w14:textId="77777777" w:rsidR="00AE6C45" w:rsidRPr="00BB3F4F" w:rsidRDefault="00AE6C45" w:rsidP="00AE6C45">
            <w:pPr>
              <w:pStyle w:val="TableTextSmall"/>
            </w:pPr>
            <w:r w:rsidRPr="00BB3F4F">
              <w:t xml:space="preserve">This provides a pensioner concession card to various social security pensioners and veterans’ payments recipients where the recipient’s payment or pension was cancelled on 1 January 2017 due to the rebalancing of the assets test parameters by the Social Services Legislation Amendment (Fair and Sustainable Pensions) Act 201. </w:t>
            </w:r>
          </w:p>
        </w:tc>
      </w:tr>
      <w:tr w:rsidR="00AE6C45" w:rsidRPr="00BB3F4F" w14:paraId="68C6044B" w14:textId="77777777" w:rsidTr="00BB3F4F">
        <w:trPr>
          <w:cantSplit/>
        </w:trPr>
        <w:tc>
          <w:tcPr>
            <w:tcW w:w="1765" w:type="pct"/>
          </w:tcPr>
          <w:p w14:paraId="5FC376D1" w14:textId="77777777" w:rsidR="00AE6C45" w:rsidRPr="00BB3F4F" w:rsidRDefault="00AE6C45" w:rsidP="00AE6C45">
            <w:pPr>
              <w:pStyle w:val="TableTextSmall"/>
              <w:rPr>
                <w:b/>
              </w:rPr>
            </w:pPr>
            <w:r w:rsidRPr="00BB3F4F">
              <w:rPr>
                <w:b/>
              </w:rPr>
              <w:t>Queensland Commission Income Management Regime - Cape York</w:t>
            </w:r>
          </w:p>
          <w:p w14:paraId="68B21E98" w14:textId="0559F41F" w:rsidR="00AE6C45" w:rsidRPr="00BB3F4F" w:rsidRDefault="00AE6C45" w:rsidP="003E46E9">
            <w:pPr>
              <w:pStyle w:val="TableTextSmall"/>
            </w:pPr>
            <w:r w:rsidRPr="00BB3F4F">
              <w:t xml:space="preserve">Social Services Legislation Amendment (Queensland Commission Income Management Regime) </w:t>
            </w:r>
            <w:r w:rsidR="003E46E9">
              <w:t>Act</w:t>
            </w:r>
            <w:r w:rsidR="003E46E9" w:rsidRPr="00BB3F4F">
              <w:t xml:space="preserve"> </w:t>
            </w:r>
            <w:r w:rsidRPr="00BB3F4F">
              <w:t>2017</w:t>
            </w:r>
          </w:p>
        </w:tc>
        <w:tc>
          <w:tcPr>
            <w:tcW w:w="433" w:type="pct"/>
          </w:tcPr>
          <w:p w14:paraId="144C91ED" w14:textId="77777777" w:rsidR="00AE6C45" w:rsidRPr="00BB3F4F" w:rsidRDefault="00AE6C45" w:rsidP="00AE6C45">
            <w:pPr>
              <w:pStyle w:val="TableTextSmall"/>
            </w:pPr>
            <w:r w:rsidRPr="00BB3F4F">
              <w:t>2018</w:t>
            </w:r>
          </w:p>
        </w:tc>
        <w:tc>
          <w:tcPr>
            <w:tcW w:w="2802" w:type="pct"/>
          </w:tcPr>
          <w:p w14:paraId="5886E95E" w14:textId="05D51F55" w:rsidR="00AE6C45" w:rsidRPr="00BB3F4F" w:rsidRDefault="00AE6C45" w:rsidP="00AE6C45">
            <w:pPr>
              <w:pStyle w:val="TableTextSmall"/>
            </w:pPr>
            <w:r w:rsidRPr="00BB3F4F">
              <w:t>"This enables a two year continuation of the Income Management element of Cape York Welfare Reform in the communities of Aurukun, Coen, Hope Vale, and Mossman Gorge.</w:t>
            </w:r>
          </w:p>
          <w:p w14:paraId="4AB3A4CC" w14:textId="46DA3F9C" w:rsidR="00AE6C45" w:rsidRPr="00BB3F4F" w:rsidRDefault="00AE6C45" w:rsidP="00AE6C45">
            <w:pPr>
              <w:pStyle w:val="TableTextSmall"/>
            </w:pPr>
            <w:r w:rsidRPr="00BB3F4F">
              <w:t>The continuation of Income Management until 30 June 2019 is a key element of the reforms and will continue to assist in stabilising people’s circumstances and fostering behavioural change, particularly in the areas of school attendance, parental responsibility and increasing individual responsibility."</w:t>
            </w:r>
          </w:p>
        </w:tc>
      </w:tr>
      <w:tr w:rsidR="00AE6C45" w:rsidRPr="00BB3F4F" w14:paraId="55FB4549" w14:textId="77777777" w:rsidTr="00BB3F4F">
        <w:trPr>
          <w:cantSplit/>
        </w:trPr>
        <w:tc>
          <w:tcPr>
            <w:tcW w:w="1765" w:type="pct"/>
          </w:tcPr>
          <w:p w14:paraId="0F9F9774" w14:textId="77777777" w:rsidR="00AE6C45" w:rsidRPr="00BB3F4F" w:rsidRDefault="00AE6C45" w:rsidP="00AE6C45">
            <w:pPr>
              <w:pStyle w:val="TableTextSmall"/>
              <w:rPr>
                <w:b/>
              </w:rPr>
            </w:pPr>
            <w:r w:rsidRPr="00BB3F4F">
              <w:rPr>
                <w:b/>
              </w:rPr>
              <w:t>Introduction of Child Care Subsidy (CCS) and Additional Child Care Subsidy (ACCS), and cessation of Child Care Benefit (CCB) and Child Care Rebate (CCR).</w:t>
            </w:r>
          </w:p>
          <w:p w14:paraId="7881E752" w14:textId="2B731A08" w:rsidR="00AE6C45" w:rsidRPr="00BB3F4F" w:rsidRDefault="00AE6C45" w:rsidP="003E46E9">
            <w:pPr>
              <w:pStyle w:val="TableTextSmall"/>
            </w:pPr>
            <w:r w:rsidRPr="00BB3F4F">
              <w:t xml:space="preserve">Family Assistance Legislation Amendment (Jobs for Families Child Care Package) </w:t>
            </w:r>
            <w:r w:rsidR="003E46E9">
              <w:t>Act</w:t>
            </w:r>
            <w:r w:rsidR="003E46E9" w:rsidRPr="00BB3F4F">
              <w:t xml:space="preserve"> </w:t>
            </w:r>
            <w:r w:rsidRPr="00BB3F4F">
              <w:t>201</w:t>
            </w:r>
            <w:r w:rsidR="003E46E9">
              <w:t>7</w:t>
            </w:r>
          </w:p>
        </w:tc>
        <w:tc>
          <w:tcPr>
            <w:tcW w:w="433" w:type="pct"/>
          </w:tcPr>
          <w:p w14:paraId="2A943F1C" w14:textId="77777777" w:rsidR="00AE6C45" w:rsidRPr="00BB3F4F" w:rsidRDefault="00AE6C45" w:rsidP="00AE6C45">
            <w:pPr>
              <w:pStyle w:val="TableTextSmall"/>
            </w:pPr>
            <w:r w:rsidRPr="00BB3F4F">
              <w:t>2019</w:t>
            </w:r>
          </w:p>
        </w:tc>
        <w:tc>
          <w:tcPr>
            <w:tcW w:w="2802" w:type="pct"/>
          </w:tcPr>
          <w:p w14:paraId="1445D4A4" w14:textId="77777777" w:rsidR="00AE6C45" w:rsidRPr="00BB3F4F" w:rsidRDefault="00AE6C45" w:rsidP="00AE6C45">
            <w:pPr>
              <w:pStyle w:val="TableTextSmall"/>
            </w:pPr>
            <w:r w:rsidRPr="00BB3F4F">
              <w:t>The CCS will replace the current child care payments (including CCB and CCR). ACCS will provide improved and targeted support to those families who require it most, such as: families with children at risk of serious abuse or neglect; families experiencing temporary financial hardship; families on income support transitioning to work; and grandparent carers on income support</w:t>
            </w:r>
          </w:p>
        </w:tc>
      </w:tr>
      <w:tr w:rsidR="00AE6C45" w:rsidRPr="00BB3F4F" w14:paraId="4CE3790A" w14:textId="77777777" w:rsidTr="00BB3F4F">
        <w:trPr>
          <w:cantSplit/>
        </w:trPr>
        <w:tc>
          <w:tcPr>
            <w:tcW w:w="1765" w:type="pct"/>
          </w:tcPr>
          <w:p w14:paraId="239DD3B8" w14:textId="77777777" w:rsidR="00AE6C45" w:rsidRPr="00BB3F4F" w:rsidRDefault="00AE6C45" w:rsidP="00AE6C45">
            <w:pPr>
              <w:pStyle w:val="TableTextSmall"/>
              <w:rPr>
                <w:b/>
              </w:rPr>
            </w:pPr>
            <w:r w:rsidRPr="00BB3F4F">
              <w:rPr>
                <w:b/>
              </w:rPr>
              <w:t>Remove the exemptions for Parents in Employment Nil Rate Periods</w:t>
            </w:r>
          </w:p>
          <w:p w14:paraId="78CFF748" w14:textId="77777777" w:rsidR="00AE6C45" w:rsidRPr="00BB3F4F" w:rsidRDefault="00AE6C45" w:rsidP="00AE6C45">
            <w:pPr>
              <w:pStyle w:val="TableTextSmall"/>
            </w:pPr>
            <w:r w:rsidRPr="00BB3F4F">
              <w:t>Budget Savings (Omnibus) Act 2016</w:t>
            </w:r>
          </w:p>
        </w:tc>
        <w:tc>
          <w:tcPr>
            <w:tcW w:w="433" w:type="pct"/>
          </w:tcPr>
          <w:p w14:paraId="5D4E8342" w14:textId="77777777" w:rsidR="00AE6C45" w:rsidRPr="00BB3F4F" w:rsidRDefault="00AE6C45" w:rsidP="00AE6C45">
            <w:pPr>
              <w:pStyle w:val="TableTextSmall"/>
            </w:pPr>
            <w:r w:rsidRPr="00BB3F4F">
              <w:t>2019</w:t>
            </w:r>
          </w:p>
        </w:tc>
        <w:tc>
          <w:tcPr>
            <w:tcW w:w="2802" w:type="pct"/>
          </w:tcPr>
          <w:p w14:paraId="280E6FCB" w14:textId="77777777" w:rsidR="00AE6C45" w:rsidRPr="00BB3F4F" w:rsidRDefault="00AE6C45" w:rsidP="00AE6C45">
            <w:pPr>
              <w:pStyle w:val="TableTextSmall"/>
              <w:rPr>
                <w:lang w:eastAsia="en-AU"/>
              </w:rPr>
            </w:pPr>
            <w:r w:rsidRPr="00BB3F4F">
              <w:t>From 1 July 2018, people will no longer be exempt from income testing arrangements and their actual income will be taken into account for the purpose of calculating family and student payments.</w:t>
            </w:r>
          </w:p>
        </w:tc>
      </w:tr>
      <w:tr w:rsidR="00AE6C45" w:rsidRPr="00733C78" w14:paraId="6BE65842" w14:textId="77777777" w:rsidTr="00BB3F4F">
        <w:trPr>
          <w:cantSplit/>
        </w:trPr>
        <w:tc>
          <w:tcPr>
            <w:tcW w:w="1765" w:type="pct"/>
          </w:tcPr>
          <w:p w14:paraId="4DA75A9C" w14:textId="77777777" w:rsidR="00AE6C45" w:rsidRPr="00BB3F4F" w:rsidRDefault="00AE6C45" w:rsidP="00AE6C45">
            <w:pPr>
              <w:pStyle w:val="TableTextSmall"/>
              <w:rPr>
                <w:b/>
              </w:rPr>
            </w:pPr>
            <w:r w:rsidRPr="00BB3F4F">
              <w:rPr>
                <w:b/>
              </w:rPr>
              <w:t>Automatically issue Health Care Cards/ Health care cards</w:t>
            </w:r>
          </w:p>
          <w:p w14:paraId="284BF4AE" w14:textId="79BA8077" w:rsidR="00AE6C45" w:rsidRPr="00BB3F4F" w:rsidRDefault="00AE6C45" w:rsidP="003E46E9">
            <w:pPr>
              <w:pStyle w:val="TableTextSmall"/>
            </w:pPr>
            <w:r w:rsidRPr="00BB3F4F">
              <w:t xml:space="preserve">Social Services Legislation Amendment (Simplifying Student Payments) </w:t>
            </w:r>
            <w:r w:rsidR="003E46E9">
              <w:t>Act</w:t>
            </w:r>
            <w:r w:rsidR="003E46E9" w:rsidRPr="00BB3F4F">
              <w:t xml:space="preserve"> </w:t>
            </w:r>
            <w:r w:rsidRPr="00BB3F4F">
              <w:t>2017</w:t>
            </w:r>
          </w:p>
        </w:tc>
        <w:tc>
          <w:tcPr>
            <w:tcW w:w="433" w:type="pct"/>
          </w:tcPr>
          <w:p w14:paraId="04F6812B" w14:textId="77777777" w:rsidR="00AE6C45" w:rsidRPr="00BB3F4F" w:rsidRDefault="00AE6C45" w:rsidP="00AE6C45">
            <w:pPr>
              <w:pStyle w:val="TableTextSmall"/>
            </w:pPr>
            <w:r w:rsidRPr="00BB3F4F">
              <w:t>2020</w:t>
            </w:r>
          </w:p>
        </w:tc>
        <w:tc>
          <w:tcPr>
            <w:tcW w:w="2802" w:type="pct"/>
          </w:tcPr>
          <w:p w14:paraId="7FC60CCF" w14:textId="77777777" w:rsidR="00AE6C45" w:rsidRPr="00BB3F4F" w:rsidRDefault="00AE6C45" w:rsidP="00AE6C45">
            <w:pPr>
              <w:pStyle w:val="TableTextSmall"/>
            </w:pPr>
            <w:r w:rsidRPr="00BB3F4F">
              <w:t>All students receiving income support will be automatically issued a health care card (HCC).</w:t>
            </w:r>
          </w:p>
        </w:tc>
      </w:tr>
    </w:tbl>
    <w:p w14:paraId="4CAB9489" w14:textId="371E504A" w:rsidR="002534B6" w:rsidRPr="00F7563E" w:rsidRDefault="002534B6" w:rsidP="002534B6">
      <w:pPr>
        <w:pStyle w:val="Minorheading"/>
      </w:pPr>
      <w:bookmarkStart w:id="349" w:name="_Toc466019163"/>
      <w:r w:rsidRPr="00F7563E">
        <w:rPr>
          <w:i w:val="0"/>
          <w:snapToGrid/>
        </w:rPr>
        <w:t>Operational developments</w:t>
      </w:r>
      <w:bookmarkEnd w:id="349"/>
      <w:r w:rsidR="00F7563E" w:rsidRPr="00F7563E" w:rsidDel="00F7563E">
        <w:rPr>
          <w:i w:val="0"/>
          <w:snapToGrid/>
        </w:rPr>
        <w:t xml:space="preserve"> </w:t>
      </w:r>
    </w:p>
    <w:p w14:paraId="6D6E37BD" w14:textId="185A3A00" w:rsidR="002534B6" w:rsidRPr="00F7563E" w:rsidRDefault="00F7563E" w:rsidP="002534B6">
      <w:pPr>
        <w:pStyle w:val="PwCNormal"/>
        <w:numPr>
          <w:ilvl w:val="0"/>
          <w:numId w:val="0"/>
        </w:numPr>
      </w:pPr>
      <w:r>
        <w:t xml:space="preserve">Over the last few years there have also been operational developments relating to the medical assessment for the Disability Support Pension. </w:t>
      </w:r>
    </w:p>
    <w:p w14:paraId="385D440C" w14:textId="586FE3BF" w:rsidR="002534B6" w:rsidRPr="00F7563E" w:rsidRDefault="002534B6" w:rsidP="002534B6">
      <w:pPr>
        <w:pStyle w:val="ListBullet"/>
      </w:pPr>
      <w:r w:rsidRPr="00F7563E">
        <w:t>These assessments were first introduced as part of the process for new DSP claims from 1 January 2015.</w:t>
      </w:r>
    </w:p>
    <w:p w14:paraId="6D0859E5" w14:textId="5780F6BE" w:rsidR="002534B6" w:rsidRDefault="002534B6" w:rsidP="002534B6">
      <w:pPr>
        <w:pStyle w:val="ListBullet"/>
      </w:pPr>
      <w:r w:rsidRPr="00F7563E">
        <w:t>A process of reviewing DSP medical assessments for current recipients under the age of 35 also commenced from 1 July 2014.</w:t>
      </w:r>
    </w:p>
    <w:p w14:paraId="200BA6C7" w14:textId="482B04C5" w:rsidR="00F7563E" w:rsidRPr="00F7563E" w:rsidRDefault="00F7563E" w:rsidP="002534B6">
      <w:pPr>
        <w:pStyle w:val="ListBullet"/>
      </w:pPr>
      <w:r>
        <w:t>Further to this, from 1 July 2016 additional medical reviews are being undertaken for DSP recipients.</w:t>
      </w:r>
    </w:p>
    <w:p w14:paraId="746DA8B7" w14:textId="267B8713" w:rsidR="002534B6" w:rsidRPr="00F7563E" w:rsidRDefault="002534B6" w:rsidP="002534B6">
      <w:pPr>
        <w:pStyle w:val="PwCNormal"/>
        <w:numPr>
          <w:ilvl w:val="0"/>
          <w:numId w:val="1"/>
        </w:numPr>
      </w:pPr>
      <w:r w:rsidRPr="00F7563E">
        <w:t>Th</w:t>
      </w:r>
      <w:r w:rsidR="00622E1A">
        <w:t>ese</w:t>
      </w:r>
      <w:r w:rsidRPr="00F7563E">
        <w:t xml:space="preserve"> development</w:t>
      </w:r>
      <w:r w:rsidR="00622E1A">
        <w:t>s</w:t>
      </w:r>
      <w:r w:rsidRPr="00F7563E">
        <w:t xml:space="preserve"> ha</w:t>
      </w:r>
      <w:r w:rsidR="00622E1A">
        <w:t>ve</w:t>
      </w:r>
      <w:r w:rsidRPr="00F7563E">
        <w:t xml:space="preserve"> resulted in changes to the welfare population at 30 June 201</w:t>
      </w:r>
      <w:r w:rsidR="00F7563E">
        <w:t>7</w:t>
      </w:r>
      <w:r w:rsidRPr="00F7563E">
        <w:t xml:space="preserve">. In particular, as most of the people impacted started receiving Newstart in place of </w:t>
      </w:r>
      <w:r w:rsidR="006D014F">
        <w:t>Disability Support Pension</w:t>
      </w:r>
      <w:r w:rsidRPr="00F7563E">
        <w:t xml:space="preserve"> there was a reduction in the number of </w:t>
      </w:r>
      <w:r w:rsidR="006D014F">
        <w:t>Disability Support Pension</w:t>
      </w:r>
      <w:r w:rsidRPr="00F7563E">
        <w:t xml:space="preserve"> recipients and an equivalent increase in </w:t>
      </w:r>
      <w:r w:rsidR="0049533C">
        <w:t>W</w:t>
      </w:r>
      <w:r w:rsidRPr="00F7563E">
        <w:t xml:space="preserve">orking </w:t>
      </w:r>
      <w:r w:rsidR="0049533C">
        <w:t>A</w:t>
      </w:r>
      <w:r w:rsidR="0049533C" w:rsidRPr="00F7563E">
        <w:t xml:space="preserve">ge </w:t>
      </w:r>
      <w:r w:rsidRPr="00F7563E">
        <w:t xml:space="preserve">payment recipients. While the assessments resulted in reduced numbers of DSP recipients, they did not directly impact the average payment levels for </w:t>
      </w:r>
      <w:r w:rsidR="006D014F">
        <w:t>D</w:t>
      </w:r>
      <w:r w:rsidRPr="00F7563E">
        <w:t xml:space="preserve">isability </w:t>
      </w:r>
      <w:r w:rsidR="006D014F">
        <w:t>S</w:t>
      </w:r>
      <w:r w:rsidRPr="00F7563E">
        <w:t>upport benefits.</w:t>
      </w:r>
    </w:p>
    <w:p w14:paraId="1ED59159" w14:textId="77777777" w:rsidR="00727763" w:rsidRDefault="00727763" w:rsidP="00125F7E">
      <w:pPr>
        <w:pStyle w:val="PwCNormal"/>
        <w:numPr>
          <w:ilvl w:val="0"/>
          <w:numId w:val="0"/>
        </w:numPr>
      </w:pPr>
    </w:p>
    <w:p w14:paraId="67360A71" w14:textId="77777777" w:rsidR="005F7440" w:rsidRDefault="005F7440" w:rsidP="00125F7E">
      <w:pPr>
        <w:pStyle w:val="PwCNormal"/>
        <w:numPr>
          <w:ilvl w:val="0"/>
          <w:numId w:val="0"/>
        </w:numPr>
      </w:pPr>
    </w:p>
    <w:p w14:paraId="1F3B8E42" w14:textId="77777777" w:rsidR="005F7440" w:rsidRPr="00EC326F" w:rsidRDefault="005F7440" w:rsidP="00125F7E">
      <w:pPr>
        <w:pStyle w:val="PwCNormal"/>
        <w:numPr>
          <w:ilvl w:val="0"/>
          <w:numId w:val="0"/>
        </w:numPr>
        <w:sectPr w:rsidR="005F7440" w:rsidRPr="00EC326F" w:rsidSect="00AF5BE0">
          <w:headerReference w:type="even" r:id="rId188"/>
          <w:footerReference w:type="even" r:id="rId189"/>
          <w:footerReference w:type="default" r:id="rId190"/>
          <w:headerReference w:type="first" r:id="rId191"/>
          <w:footerReference w:type="first" r:id="rId192"/>
          <w:pgSz w:w="11907" w:h="16840" w:code="9"/>
          <w:pgMar w:top="1588" w:right="1021" w:bottom="1418" w:left="1021" w:header="567" w:footer="567" w:gutter="0"/>
          <w:cols w:space="227"/>
          <w:docGrid w:linePitch="360"/>
        </w:sectPr>
      </w:pPr>
    </w:p>
    <w:p w14:paraId="0235D2FC" w14:textId="77777777" w:rsidR="00D6172F" w:rsidRPr="00EC326F" w:rsidRDefault="00D6172F">
      <w:pPr>
        <w:pStyle w:val="PwCNormal"/>
        <w:numPr>
          <w:ilvl w:val="0"/>
          <w:numId w:val="0"/>
        </w:numPr>
      </w:pPr>
    </w:p>
    <w:sectPr w:rsidR="00D6172F" w:rsidRPr="00EC326F" w:rsidSect="000061F7">
      <w:headerReference w:type="even" r:id="rId193"/>
      <w:headerReference w:type="default" r:id="rId194"/>
      <w:footerReference w:type="even" r:id="rId195"/>
      <w:footerReference w:type="default" r:id="rId196"/>
      <w:headerReference w:type="first" r:id="rId197"/>
      <w:footerReference w:type="first" r:id="rId198"/>
      <w:type w:val="oddPage"/>
      <w:pgSz w:w="11907" w:h="16840" w:code="9"/>
      <w:pgMar w:top="1588" w:right="1021" w:bottom="1418" w:left="1021" w:header="567" w:footer="56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3ACE6" w14:textId="77777777" w:rsidR="00507428" w:rsidRDefault="00507428" w:rsidP="004343B3">
      <w:pPr>
        <w:pStyle w:val="Separator"/>
      </w:pPr>
      <w:r>
        <w:separator/>
      </w:r>
    </w:p>
    <w:p w14:paraId="714CE2E5" w14:textId="77777777" w:rsidR="00507428" w:rsidRDefault="00507428"/>
    <w:p w14:paraId="2DA96840" w14:textId="77777777" w:rsidR="00507428" w:rsidRDefault="00507428"/>
  </w:endnote>
  <w:endnote w:type="continuationSeparator" w:id="0">
    <w:p w14:paraId="45F3F0A3" w14:textId="77777777" w:rsidR="00507428" w:rsidRDefault="00507428" w:rsidP="004343B3">
      <w:pPr>
        <w:pStyle w:val="Separator"/>
      </w:pPr>
      <w:r>
        <w:continuationSeparator/>
      </w:r>
    </w:p>
    <w:p w14:paraId="3A637DF3" w14:textId="77777777" w:rsidR="00507428" w:rsidRDefault="00507428"/>
    <w:p w14:paraId="15E399DD" w14:textId="77777777" w:rsidR="00507428" w:rsidRDefault="00507428"/>
  </w:endnote>
  <w:endnote w:type="continuationNotice" w:id="1">
    <w:p w14:paraId="27185188" w14:textId="77777777" w:rsidR="00507428" w:rsidRDefault="00507428" w:rsidP="004343B3">
      <w:pPr>
        <w:pStyle w:val="Separator"/>
      </w:pPr>
    </w:p>
    <w:p w14:paraId="6AFC8913" w14:textId="77777777" w:rsidR="00507428" w:rsidRDefault="00507428"/>
    <w:p w14:paraId="7523805B" w14:textId="77777777" w:rsidR="00507428" w:rsidRDefault="005074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25B15" w14:textId="696F1DE9" w:rsidR="00507428" w:rsidRDefault="00507428">
    <w:pPr>
      <w:pStyle w:val="Footer"/>
    </w:pPr>
    <w:r w:rsidRPr="00306559">
      <w:rPr>
        <w:noProof/>
        <w:snapToGrid/>
        <w:lang w:eastAsia="en-AU"/>
      </w:rPr>
      <w:drawing>
        <wp:anchor distT="0" distB="0" distL="114300" distR="114300" simplePos="0" relativeHeight="251646976" behindDoc="0" locked="0" layoutInCell="1" allowOverlap="1" wp14:anchorId="4EF2E9EA" wp14:editId="135FA7FF">
          <wp:simplePos x="0" y="0"/>
          <wp:positionH relativeFrom="page">
            <wp:posOffset>504190</wp:posOffset>
          </wp:positionH>
          <wp:positionV relativeFrom="page">
            <wp:posOffset>9253220</wp:posOffset>
          </wp:positionV>
          <wp:extent cx="1238400" cy="939600"/>
          <wp:effectExtent l="0" t="0" r="0" b="0"/>
          <wp:wrapThrough wrapText="bothSides">
            <wp:wrapPolygon edited="0">
              <wp:start x="12960" y="0"/>
              <wp:lineTo x="12960" y="7010"/>
              <wp:lineTo x="6314" y="10077"/>
              <wp:lineTo x="0" y="13144"/>
              <wp:lineTo x="0" y="21030"/>
              <wp:lineTo x="3323" y="21030"/>
              <wp:lineTo x="11631" y="21030"/>
              <wp:lineTo x="16948" y="18402"/>
              <wp:lineTo x="16283" y="14020"/>
              <wp:lineTo x="21268" y="9639"/>
              <wp:lineTo x="21268" y="2629"/>
              <wp:lineTo x="18277" y="0"/>
              <wp:lineTo x="12960" y="0"/>
            </wp:wrapPolygon>
          </wp:wrapThrough>
          <wp:docPr id="121" name="Picture 17" descr="PwC_fl_wht.png" title="Pw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PwC_fl_wht.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8400" cy="939600"/>
                  </a:xfrm>
                  <a:prstGeom prst="rect">
                    <a:avLst/>
                  </a:prstGeom>
                </pic:spPr>
              </pic:pic>
            </a:graphicData>
          </a:graphic>
          <wp14:sizeRelH relativeFrom="margin">
            <wp14:pctWidth>0</wp14:pctWidth>
          </wp14:sizeRelH>
          <wp14:sizeRelV relativeFrom="margin">
            <wp14:pctHeight>0</wp14:pctHeight>
          </wp14:sizeRelV>
        </wp:anchor>
      </w:drawing>
    </w:r>
    <w:r>
      <w:t>v</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75FE6" w14:textId="77777777" w:rsidR="00507428" w:rsidRPr="00CD4A84" w:rsidRDefault="00507428" w:rsidP="00CC5ACB">
    <w:pPr>
      <w:pStyle w:val="Footer"/>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106</w:t>
    </w:r>
    <w:r w:rsidRPr="00A4206D">
      <w:rPr>
        <w:noProof/>
        <w:color w:val="E02628"/>
      </w:rPr>
      <w:fldChar w:fldCharType="end"/>
    </w:r>
    <w:r>
      <w:t xml:space="preserve"> | Department of Social Services</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B1F06" w14:textId="77777777" w:rsidR="00507428" w:rsidRPr="00CD4A84" w:rsidRDefault="00507428" w:rsidP="00CC5ACB">
    <w:pPr>
      <w:pStyle w:val="Footer"/>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106</w:t>
    </w:r>
    <w:r w:rsidRPr="00A4206D">
      <w:rPr>
        <w:noProof/>
        <w:color w:val="E02628"/>
      </w:rPr>
      <w:fldChar w:fldCharType="end"/>
    </w:r>
    <w:r>
      <w:t xml:space="preserve"> | Department of Social Services</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373FE" w14:textId="77777777" w:rsidR="00507428" w:rsidRPr="00655CB8" w:rsidRDefault="00507428" w:rsidP="00CC5ACB">
    <w:pPr>
      <w:pStyle w:val="Footer"/>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112</w:t>
    </w:r>
    <w:r w:rsidRPr="00A4206D">
      <w:rPr>
        <w:noProof/>
        <w:color w:val="E02628"/>
      </w:rPr>
      <w:fldChar w:fldCharType="end"/>
    </w:r>
    <w:r>
      <w:rPr>
        <w:noProof/>
      </w:rPr>
      <w:t xml:space="preserve"> | Department of Social Services</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0CD96" w14:textId="77777777" w:rsidR="00507428" w:rsidRPr="00CC5ACB" w:rsidRDefault="00507428" w:rsidP="00CC5ACB">
    <w:pPr>
      <w:pStyle w:val="Footer-ToC"/>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w:t>
    </w:r>
    <w:r w:rsidRPr="00A4206D">
      <w:rPr>
        <w:noProof/>
        <w:color w:val="E02628"/>
      </w:rPr>
      <w:fldChar w:fldCharType="end"/>
    </w:r>
    <w:r w:rsidRPr="00A4206D">
      <w:rPr>
        <w:color w:val="E02628"/>
      </w:rPr>
      <w:t xml:space="preserve"> </w:t>
    </w:r>
    <w:r>
      <w:t xml:space="preserve">| </w:t>
    </w:r>
    <w:r>
      <w:fldChar w:fldCharType="begin"/>
    </w:r>
    <w:r>
      <w:instrText xml:space="preserve"> STYLEREF "Cover Title" </w:instrText>
    </w:r>
    <w:r>
      <w:fldChar w:fldCharType="separate"/>
    </w:r>
    <w:r>
      <w:rPr>
        <w:b/>
        <w:bCs/>
        <w:noProof/>
        <w:lang w:val="en-US"/>
      </w:rPr>
      <w:t>Error! No text of specified style in document.</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DFF3E" w14:textId="77777777" w:rsidR="00507428" w:rsidRPr="00CC5ACB" w:rsidRDefault="00507428" w:rsidP="00CC5ACB">
    <w:pPr>
      <w:pStyle w:val="Footer"/>
      <w:jc w:val="right"/>
    </w:pPr>
    <w:r>
      <w:rPr>
        <w:noProof/>
      </w:rPr>
      <w:t xml:space="preserve">Department of Social Services | </w:t>
    </w: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172</w:t>
    </w:r>
    <w:r w:rsidRPr="00A4206D">
      <w:rPr>
        <w:noProof/>
        <w:color w:val="E0262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2D469" w14:textId="77777777" w:rsidR="00507428" w:rsidRPr="008C6722" w:rsidRDefault="00507428" w:rsidP="00CE1D9D">
    <w:pPr>
      <w:pStyle w:val="Footer-ToC"/>
    </w:pPr>
    <w:r w:rsidRPr="009B4134">
      <w:rPr>
        <w:color w:val="EB8C00" w:themeColor="text2"/>
      </w:rPr>
      <w:fldChar w:fldCharType="begin"/>
    </w:r>
    <w:r w:rsidRPr="009B4134">
      <w:rPr>
        <w:color w:val="EB8C00" w:themeColor="text2"/>
      </w:rPr>
      <w:instrText xml:space="preserve"> PAGE  \* MERGEFORMAT </w:instrText>
    </w:r>
    <w:r w:rsidRPr="009B4134">
      <w:rPr>
        <w:color w:val="EB8C00" w:themeColor="text2"/>
      </w:rPr>
      <w:fldChar w:fldCharType="separate"/>
    </w:r>
    <w:r>
      <w:rPr>
        <w:noProof/>
        <w:color w:val="EB8C00" w:themeColor="text2"/>
      </w:rPr>
      <w:t>134</w:t>
    </w:r>
    <w:r w:rsidRPr="009B4134">
      <w:rPr>
        <w:noProof/>
        <w:color w:val="EB8C00" w:themeColor="text2"/>
      </w:rPr>
      <w:fldChar w:fldCharType="end"/>
    </w:r>
    <w:r>
      <w:t xml:space="preserve"> | </w:t>
    </w:r>
    <w:r>
      <w:fldChar w:fldCharType="begin"/>
    </w:r>
    <w:r>
      <w:instrText xml:space="preserve"> STYLEREF "Cover Title" </w:instrText>
    </w:r>
    <w:r>
      <w:fldChar w:fldCharType="separate"/>
    </w:r>
    <w:r>
      <w:rPr>
        <w:b/>
        <w:bCs/>
        <w:noProof/>
        <w:lang w:val="en-US"/>
      </w:rPr>
      <w:t>Error! No text of specified style in document.</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7C4BD" w14:textId="18BCF003" w:rsidR="00507428" w:rsidRPr="001675BA" w:rsidRDefault="00507428" w:rsidP="001675BA">
    <w:pPr>
      <w:pStyle w:val="Footer-ToC"/>
      <w:jc w:val="right"/>
    </w:pPr>
    <w:r>
      <w:rPr>
        <w:noProof/>
      </w:rPr>
      <w:t>Department of Social Services |</w:t>
    </w:r>
    <w:r w:rsidRPr="009B4134">
      <w:rPr>
        <w:noProof/>
        <w:color w:val="EB8C00" w:themeColor="text2"/>
      </w:rPr>
      <w:t xml:space="preserve"> </w:t>
    </w:r>
    <w:r w:rsidRPr="00A4206D">
      <w:rPr>
        <w:color w:val="E02628"/>
      </w:rPr>
      <w:fldChar w:fldCharType="begin"/>
    </w:r>
    <w:r w:rsidRPr="00A4206D">
      <w:rPr>
        <w:color w:val="E02628"/>
      </w:rPr>
      <w:instrText xml:space="preserve"> PAGE  \* MERGEFORMAT </w:instrText>
    </w:r>
    <w:r w:rsidRPr="00A4206D">
      <w:rPr>
        <w:color w:val="E02628"/>
      </w:rPr>
      <w:fldChar w:fldCharType="separate"/>
    </w:r>
    <w:r w:rsidR="00552375">
      <w:rPr>
        <w:noProof/>
        <w:color w:val="E02628"/>
      </w:rPr>
      <w:t>161</w:t>
    </w:r>
    <w:r w:rsidRPr="00A4206D">
      <w:rPr>
        <w:noProof/>
        <w:color w:val="E0262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50" w:name="_Toc441682813"/>
  <w:bookmarkStart w:id="351" w:name="_Toc290460141"/>
  <w:bookmarkStart w:id="352" w:name="_Toc292795890"/>
  <w:bookmarkStart w:id="353" w:name="_Toc292795900"/>
  <w:bookmarkStart w:id="354" w:name="_Toc292795947"/>
  <w:bookmarkStart w:id="355" w:name="_Toc292795954"/>
  <w:bookmarkStart w:id="356" w:name="_Toc294534323"/>
  <w:bookmarkStart w:id="357" w:name="_Toc326144379"/>
  <w:bookmarkStart w:id="358" w:name="_Toc326144425"/>
  <w:bookmarkStart w:id="359" w:name="_Toc326144496"/>
  <w:bookmarkStart w:id="360" w:name="_Toc326144518"/>
  <w:bookmarkStart w:id="361" w:name="_Toc326144577"/>
  <w:bookmarkStart w:id="362" w:name="_Toc326144612"/>
  <w:bookmarkStart w:id="363" w:name="_Toc326144706"/>
  <w:bookmarkStart w:id="364" w:name="ExecSum"/>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14:paraId="318672FA" w14:textId="77777777" w:rsidR="00507428" w:rsidRPr="001675BA" w:rsidRDefault="00507428" w:rsidP="001675BA">
    <w:pPr>
      <w:pStyle w:val="Footer-ToC"/>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w:t>
    </w:r>
    <w:r w:rsidRPr="00A4206D">
      <w:rPr>
        <w:noProof/>
        <w:color w:val="E02628"/>
      </w:rPr>
      <w:fldChar w:fldCharType="end"/>
    </w:r>
    <w:r w:rsidRPr="00A4206D">
      <w:rPr>
        <w:color w:val="E02628"/>
      </w:rPr>
      <w:t xml:space="preserve"> </w:t>
    </w:r>
    <w:r>
      <w:t xml:space="preserve">| </w:t>
    </w:r>
    <w:r>
      <w:fldChar w:fldCharType="begin"/>
    </w:r>
    <w:r>
      <w:instrText xml:space="preserve"> STYLEREF "Cover Title" </w:instrText>
    </w:r>
    <w:r>
      <w:fldChar w:fldCharType="separate"/>
    </w:r>
    <w:r>
      <w:rPr>
        <w:b/>
        <w:bCs/>
        <w:noProof/>
        <w:lang w:val="en-US"/>
      </w:rPr>
      <w:t>Error! No text of specified style in document.</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3B0DA" w14:textId="77777777" w:rsidR="00507428" w:rsidRDefault="00507428" w:rsidP="00CD4A84">
    <w:pPr>
      <w:pStyle w:val="Copyright"/>
      <w:framePr w:wrap="around"/>
    </w:pPr>
    <w:r w:rsidRPr="00CD4A84">
      <w:t>© 201</w:t>
    </w:r>
    <w:r>
      <w:t>6</w:t>
    </w:r>
    <w:r w:rsidRPr="00CD4A84">
      <w:t xml:space="preserve"> PricewaterhouseCoopers. All rights reserved.</w:t>
    </w:r>
    <w:r w:rsidRPr="00CD4A84">
      <w:br/>
      <w:t>PwC refers to the Australian member firm, and may sometimes refer to the PwC network.</w:t>
    </w:r>
    <w:r w:rsidRPr="00CD4A84">
      <w:br/>
      <w:t>Each member firm is a separate legal entity. Please see www.pwc.com/structure for further details.</w:t>
    </w:r>
  </w:p>
  <w:p w14:paraId="19048EAA" w14:textId="77777777" w:rsidR="00507428" w:rsidRDefault="00507428" w:rsidP="00CD4A84">
    <w:pPr>
      <w:pStyle w:val="Copyright"/>
      <w:framePr w:wrap="around"/>
    </w:pPr>
    <w:r>
      <w:t>Liability is limited by a scheme approved under Professional Standards Legislation.</w:t>
    </w:r>
  </w:p>
  <w:p w14:paraId="5EE1BFC9" w14:textId="77777777" w:rsidR="00507428" w:rsidRPr="00CD4A84" w:rsidRDefault="00507428" w:rsidP="00025538">
    <w:pPr>
      <w:pStyle w:val="Copyright"/>
      <w:framePr w:h="2079" w:hRule="exact" w:wrap="around" w:x="1021" w:y="14048"/>
    </w:pPr>
    <w:r w:rsidRPr="00025538">
      <w:t>The opinions, comments or analysis expressed in this document are those of the author or authors and do not necessarily represent the views of the Department or the Minister for Social Services, and cannot be taken in any way as expressions of government policy.</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1C04" w14:textId="77777777" w:rsidR="00507428" w:rsidRPr="00A175AE" w:rsidRDefault="00507428" w:rsidP="00A175AE">
    <w:pPr>
      <w:pStyle w:val="Copyright"/>
      <w:framePr w:w="0" w:wrap="auto" w:vAnchor="margin" w:hAnchor="text" w:xAlign="left" w:yAlign="inline"/>
    </w:pPr>
    <w:r w:rsidRPr="00A175AE">
      <w:t>The opinions, comments or analysis expressed in this document are those of the author or authors and do not necessarily represent the views of the Department or the Minister for Social Services, and cannot be taken in any way as expressions of government policy.</w:t>
    </w:r>
  </w:p>
  <w:p w14:paraId="33DA8272" w14:textId="3F847601" w:rsidR="00507428" w:rsidRPr="00A175AE" w:rsidRDefault="00507428" w:rsidP="00A175AE">
    <w:pPr>
      <w:pStyle w:val="Copyright"/>
      <w:framePr w:w="0" w:wrap="auto" w:vAnchor="margin" w:hAnchor="text" w:xAlign="left" w:yAlign="inline"/>
    </w:pPr>
    <w:r w:rsidRPr="00A175AE">
      <w:t>© 201</w:t>
    </w:r>
    <w:r>
      <w:t>8</w:t>
    </w:r>
    <w:r w:rsidRPr="00A175AE">
      <w:t xml:space="preserve"> PricewaterhouseCoopers. All rights reserved.</w:t>
    </w:r>
    <w:r w:rsidRPr="00A175AE">
      <w:br/>
      <w:t>PwC refers to the Australian member firm, and may sometimes refer to the PwC network.</w:t>
    </w:r>
    <w:r w:rsidRPr="00A175AE">
      <w:br/>
      <w:t>Each member firm is a separate legal entity. Please see www.pwc.com/structure for further details.</w:t>
    </w:r>
  </w:p>
  <w:p w14:paraId="60CB23B5" w14:textId="77777777" w:rsidR="00507428" w:rsidRPr="00A175AE" w:rsidRDefault="00507428" w:rsidP="00A175AE">
    <w:pPr>
      <w:pStyle w:val="Copyright"/>
      <w:framePr w:w="0" w:wrap="auto" w:vAnchor="margin" w:hAnchor="text" w:xAlign="left" w:yAlign="inline"/>
    </w:pPr>
    <w:r w:rsidRPr="00A175AE">
      <w:t>Liability is limited by a scheme approved under Professional Standards Legislation.</w:t>
    </w:r>
  </w:p>
  <w:p w14:paraId="6C25BDDA" w14:textId="77777777" w:rsidR="00507428" w:rsidRPr="001675BA" w:rsidRDefault="00507428" w:rsidP="0073669D">
    <w:pPr>
      <w:pStyle w:val="Footer-To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5BB27" w14:textId="77777777" w:rsidR="00507428" w:rsidRPr="00A4206D" w:rsidRDefault="00507428" w:rsidP="0075290F">
    <w:pPr>
      <w:pStyle w:val="Footer-ToC"/>
      <w:rPr>
        <w:color w:val="000000" w:themeColor="text1"/>
      </w:rPr>
    </w:pPr>
    <w:r w:rsidRPr="0075290F">
      <w:rPr>
        <w:color w:val="E02628"/>
      </w:rPr>
      <w:fldChar w:fldCharType="begin"/>
    </w:r>
    <w:r w:rsidRPr="0075290F">
      <w:rPr>
        <w:color w:val="E02628"/>
      </w:rPr>
      <w:instrText xml:space="preserve"> PAGE  \* MERGEFORMAT </w:instrText>
    </w:r>
    <w:r w:rsidRPr="0075290F">
      <w:rPr>
        <w:color w:val="E02628"/>
      </w:rPr>
      <w:fldChar w:fldCharType="separate"/>
    </w:r>
    <w:r>
      <w:rPr>
        <w:noProof/>
        <w:color w:val="E02628"/>
      </w:rPr>
      <w:t>1</w:t>
    </w:r>
    <w:r w:rsidRPr="0075290F">
      <w:rPr>
        <w:noProof/>
        <w:color w:val="E02628"/>
      </w:rPr>
      <w:fldChar w:fldCharType="end"/>
    </w:r>
    <w:r w:rsidRPr="00A4206D">
      <w:rPr>
        <w:color w:val="000000" w:themeColor="text1"/>
      </w:rPr>
      <w:t xml:space="preserve"> | </w:t>
    </w:r>
    <w:r w:rsidRPr="00A4206D">
      <w:rPr>
        <w:color w:val="000000" w:themeColor="text1"/>
      </w:rPr>
      <w:fldChar w:fldCharType="begin"/>
    </w:r>
    <w:r w:rsidRPr="00A4206D">
      <w:rPr>
        <w:color w:val="000000" w:themeColor="text1"/>
      </w:rPr>
      <w:instrText xml:space="preserve"> STYLEREF "Cover Title" </w:instrText>
    </w:r>
    <w:r w:rsidRPr="00A4206D">
      <w:rPr>
        <w:color w:val="000000" w:themeColor="text1"/>
      </w:rPr>
      <w:fldChar w:fldCharType="separate"/>
    </w:r>
    <w:r>
      <w:rPr>
        <w:b/>
        <w:bCs/>
        <w:noProof/>
        <w:color w:val="000000" w:themeColor="text1"/>
        <w:lang w:val="en-US"/>
      </w:rPr>
      <w:t>Error! No text of specified style in document.</w:t>
    </w:r>
    <w:r w:rsidRPr="00A4206D">
      <w:rPr>
        <w:noProof/>
        <w:color w:val="000000" w:themeColor="text1"/>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D4DE" w14:textId="77777777" w:rsidR="00507428" w:rsidRPr="00A84ADF" w:rsidRDefault="00507428" w:rsidP="00C03E52">
    <w:pPr>
      <w:pStyle w:val="Copyright"/>
      <w:framePr w:wrap="around" w:x="974" w:y="14943"/>
    </w:pPr>
    <w:r>
      <w:t>© 2015 PricewaterhouseCoopers. All rights reserved.</w:t>
    </w:r>
    <w:r>
      <w:br/>
      <w:t>PwC refers to the Australian member firm, and may sometimes refer to the PwC network.</w:t>
    </w:r>
    <w:r>
      <w:br/>
      <w:t>Each member firm is a separate legal entity. Please see www.pwc.com/structure for further details.</w:t>
    </w:r>
    <w:r>
      <w:br/>
    </w:r>
    <w:r>
      <w:br/>
      <w:t>Liability limited by a scheme approved under Professional Standards Legislation</w:t>
    </w:r>
  </w:p>
  <w:p w14:paraId="49870E42" w14:textId="77777777" w:rsidR="00507428" w:rsidRPr="006650EF" w:rsidRDefault="00507428" w:rsidP="00C03E52">
    <w:pPr>
      <w:pStyle w:val="Foo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052DD" w14:textId="7D5BEB16" w:rsidR="00507428" w:rsidRPr="00A4206D" w:rsidRDefault="00507428" w:rsidP="0075290F">
    <w:pPr>
      <w:pStyle w:val="Footer-ToC"/>
      <w:jc w:val="right"/>
      <w:rPr>
        <w:color w:val="000000" w:themeColor="text1"/>
      </w:rPr>
    </w:pPr>
    <w:r>
      <w:rPr>
        <w:noProof/>
        <w:color w:val="000000" w:themeColor="text1"/>
      </w:rPr>
      <w:t xml:space="preserve">Department of Social Services </w:t>
    </w:r>
    <w:r w:rsidRPr="00A4206D">
      <w:rPr>
        <w:noProof/>
        <w:color w:val="000000" w:themeColor="text1"/>
      </w:rPr>
      <w:t xml:space="preserve">| </w:t>
    </w:r>
    <w:r w:rsidRPr="0075290F">
      <w:rPr>
        <w:color w:val="E02628"/>
      </w:rPr>
      <w:fldChar w:fldCharType="begin"/>
    </w:r>
    <w:r w:rsidRPr="0075290F">
      <w:rPr>
        <w:color w:val="E02628"/>
      </w:rPr>
      <w:instrText xml:space="preserve"> PAGE  \* MERGEFORMAT </w:instrText>
    </w:r>
    <w:r w:rsidRPr="0075290F">
      <w:rPr>
        <w:color w:val="E02628"/>
      </w:rPr>
      <w:fldChar w:fldCharType="separate"/>
    </w:r>
    <w:r w:rsidR="00552375">
      <w:rPr>
        <w:noProof/>
        <w:color w:val="E02628"/>
      </w:rPr>
      <w:t>iii</w:t>
    </w:r>
    <w:r w:rsidRPr="0075290F">
      <w:rPr>
        <w:noProof/>
        <w:color w:val="E026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CBBAE" w14:textId="552C7E76" w:rsidR="00507428" w:rsidRPr="00CD4A84" w:rsidRDefault="00507428" w:rsidP="008D5428">
    <w:pPr>
      <w:pStyle w:val="Footer"/>
    </w:pPr>
    <w:r w:rsidRPr="00CD4A84">
      <w:fldChar w:fldCharType="begin"/>
    </w:r>
    <w:r w:rsidRPr="00CD4A84">
      <w:instrText xml:space="preserve"> IF </w:instrText>
    </w:r>
    <w:r w:rsidRPr="00CD4A84">
      <w:fldChar w:fldCharType="begin"/>
    </w:r>
    <w:r w:rsidRPr="00CD4A84">
      <w:instrText xml:space="preserve"> =mod( </w:instrText>
    </w:r>
    <w:r w:rsidRPr="00CD4A84">
      <w:fldChar w:fldCharType="begin"/>
    </w:r>
    <w:r w:rsidRPr="00CD4A84">
      <w:instrText xml:space="preserve"> PAGE \* Arabic </w:instrText>
    </w:r>
    <w:r w:rsidRPr="00CD4A84">
      <w:fldChar w:fldCharType="separate"/>
    </w:r>
    <w:r>
      <w:rPr>
        <w:noProof/>
      </w:rPr>
      <w:instrText>12</w:instrText>
    </w:r>
    <w:r w:rsidRPr="00CD4A84">
      <w:fldChar w:fldCharType="end"/>
    </w:r>
    <w:r w:rsidRPr="00CD4A84">
      <w:instrText xml:space="preserve"> ,2) </w:instrText>
    </w:r>
    <w:r w:rsidRPr="00CD4A84">
      <w:fldChar w:fldCharType="separate"/>
    </w:r>
    <w:r>
      <w:rPr>
        <w:noProof/>
      </w:rPr>
      <w:instrText>0.0</w:instrText>
    </w:r>
    <w:r w:rsidRPr="00CD4A84">
      <w:fldChar w:fldCharType="end"/>
    </w:r>
    <w:r w:rsidRPr="00CD4A84">
      <w:instrText xml:space="preserve"> = "1" "</w:instrText>
    </w:r>
    <w:r w:rsidRPr="00CD4A84">
      <w:rPr>
        <w:color w:val="EB8C00" w:themeColor="text2"/>
      </w:rPr>
      <w:fldChar w:fldCharType="begin"/>
    </w:r>
    <w:r w:rsidRPr="00CD4A84">
      <w:rPr>
        <w:color w:val="EB8C00" w:themeColor="text2"/>
      </w:rPr>
      <w:instrText xml:space="preserve"> PAGE  \* MERGEFORMAT </w:instrText>
    </w:r>
    <w:r w:rsidRPr="00CD4A84">
      <w:rPr>
        <w:color w:val="EB8C00" w:themeColor="text2"/>
      </w:rPr>
      <w:fldChar w:fldCharType="separate"/>
    </w:r>
    <w:r>
      <w:rPr>
        <w:noProof/>
        <w:color w:val="EB8C00" w:themeColor="text2"/>
      </w:rPr>
      <w:instrText>xi</w:instrText>
    </w:r>
    <w:r w:rsidRPr="00CD4A84">
      <w:rPr>
        <w:color w:val="EB8C00" w:themeColor="text2"/>
      </w:rPr>
      <w:fldChar w:fldCharType="end"/>
    </w:r>
    <w:r w:rsidRPr="00CD4A84">
      <w:instrText xml:space="preserve"> </w:instrText>
    </w:r>
    <w:r w:rsidRPr="008D5428">
      <w:rPr>
        <w:color w:val="FFFFFF" w:themeColor="background1"/>
      </w:rPr>
      <w:instrText xml:space="preserve">| </w:instrText>
    </w:r>
    <w:r w:rsidRPr="008D5428">
      <w:rPr>
        <w:color w:val="FFFFFF" w:themeColor="background1"/>
      </w:rPr>
      <w:fldChar w:fldCharType="begin"/>
    </w:r>
    <w:r w:rsidRPr="008D5428">
      <w:rPr>
        <w:color w:val="FFFFFF" w:themeColor="background1"/>
      </w:rPr>
      <w:instrText xml:space="preserve"> STYLEREF "Cover Title" </w:instrText>
    </w:r>
    <w:r w:rsidRPr="008D5428">
      <w:rPr>
        <w:color w:val="FFFFFF" w:themeColor="background1"/>
      </w:rPr>
      <w:fldChar w:fldCharType="separate"/>
    </w:r>
    <w:r>
      <w:rPr>
        <w:noProof/>
        <w:color w:val="FFFFFF" w:themeColor="background1"/>
      </w:rPr>
      <w:instrText>Department of Social Services</w:instrText>
    </w:r>
    <w:r w:rsidRPr="008D5428">
      <w:rPr>
        <w:color w:val="FFFFFF" w:themeColor="background1"/>
      </w:rPr>
      <w:fldChar w:fldCharType="end"/>
    </w:r>
    <w:r w:rsidRPr="00CD4A84">
      <w:instrText>""</w:instrText>
    </w:r>
    <w:r w:rsidRPr="00CD4A84">
      <w:ptab w:relativeTo="margin" w:alignment="left" w:leader="none"/>
    </w:r>
    <w:r w:rsidRPr="008D5428">
      <w:rPr>
        <w:color w:val="FFFFFF" w:themeColor="background1"/>
      </w:rPr>
      <w:fldChar w:fldCharType="begin"/>
    </w:r>
    <w:r w:rsidRPr="008D5428">
      <w:rPr>
        <w:color w:val="FFFFFF" w:themeColor="background1"/>
      </w:rPr>
      <w:instrText xml:space="preserve"> STYLEREF "Cover Title" </w:instrText>
    </w:r>
    <w:r w:rsidRPr="008D5428">
      <w:rPr>
        <w:color w:val="FFFFFF" w:themeColor="background1"/>
      </w:rPr>
      <w:fldChar w:fldCharType="separate"/>
    </w:r>
    <w:r>
      <w:rPr>
        <w:b/>
        <w:bCs/>
        <w:noProof/>
        <w:color w:val="FFFFFF" w:themeColor="background1"/>
        <w:lang w:val="en-US"/>
      </w:rPr>
      <w:instrText>Error! No text of specified style in document.</w:instrText>
    </w:r>
    <w:r w:rsidRPr="008D5428">
      <w:rPr>
        <w:color w:val="FFFFFF" w:themeColor="background1"/>
      </w:rPr>
      <w:fldChar w:fldCharType="end"/>
    </w:r>
    <w:r w:rsidRPr="008D5428">
      <w:rPr>
        <w:color w:val="FFFFFF" w:themeColor="background1"/>
      </w:rPr>
      <w:instrText xml:space="preserve"> |</w:instrText>
    </w:r>
    <w:r w:rsidRPr="00CD4A84">
      <w:instrText xml:space="preserve"> </w:instrText>
    </w:r>
    <w:r w:rsidRPr="00CD4A84">
      <w:rPr>
        <w:color w:val="EB8C00" w:themeColor="text2"/>
      </w:rPr>
      <w:fldChar w:fldCharType="begin"/>
    </w:r>
    <w:r w:rsidRPr="00CD4A84">
      <w:rPr>
        <w:color w:val="EB8C00" w:themeColor="text2"/>
      </w:rPr>
      <w:instrText xml:space="preserve"> PAGE  \* MERGEFORMAT </w:instrText>
    </w:r>
    <w:r w:rsidRPr="00CD4A84">
      <w:rPr>
        <w:color w:val="EB8C00" w:themeColor="text2"/>
      </w:rPr>
      <w:fldChar w:fldCharType="separate"/>
    </w:r>
    <w:r>
      <w:rPr>
        <w:noProof/>
        <w:color w:val="EB8C00" w:themeColor="text2"/>
      </w:rPr>
      <w:instrText>xii</w:instrText>
    </w:r>
    <w:r w:rsidRPr="00CD4A84">
      <w:rPr>
        <w:color w:val="EB8C00" w:themeColor="text2"/>
      </w:rPr>
      <w:fldChar w:fldCharType="end"/>
    </w:r>
    <w:r w:rsidRPr="00CD4A84">
      <w:instrText xml:space="preserve"> </w:instrText>
    </w:r>
    <w:r w:rsidRPr="00CD4A84">
      <w:fldChar w:fldCharType="separate"/>
    </w:r>
    <w:r w:rsidRPr="00CD4A84">
      <w:rPr>
        <w:noProof/>
      </w:rPr>
      <w:ptab w:relativeTo="margin" w:alignment="left" w:leader="none"/>
    </w:r>
    <w:r>
      <w:rPr>
        <w:b/>
        <w:bCs/>
        <w:noProof/>
        <w:color w:val="FFFFFF" w:themeColor="background1"/>
        <w:lang w:val="en-US"/>
      </w:rPr>
      <w:t>Error! No text of specified style in document.</w:t>
    </w:r>
    <w:r w:rsidRPr="008D5428">
      <w:rPr>
        <w:noProof/>
        <w:color w:val="FFFFFF" w:themeColor="background1"/>
      </w:rPr>
      <w:t xml:space="preserve"> |</w:t>
    </w:r>
    <w:r w:rsidRPr="00CD4A84">
      <w:rPr>
        <w:noProof/>
      </w:rPr>
      <w:t xml:space="preserve"> </w:t>
    </w:r>
    <w:r>
      <w:rPr>
        <w:noProof/>
        <w:color w:val="EB8C00" w:themeColor="text2"/>
      </w:rPr>
      <w:t>xii</w:t>
    </w:r>
    <w:r w:rsidRPr="00CD4A84">
      <w:rPr>
        <w:noProof/>
      </w:rPr>
      <w:t xml:space="preserve"> </w:t>
    </w:r>
    <w:r w:rsidRPr="00CD4A8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340BB" w14:textId="77777777" w:rsidR="00507428" w:rsidRPr="00A4206D" w:rsidRDefault="00507428" w:rsidP="00CE1D9D">
    <w:pPr>
      <w:pStyle w:val="Footer-ToC"/>
      <w:rPr>
        <w:color w:val="000000" w:themeColor="text1"/>
      </w:rPr>
    </w:pPr>
    <w:r w:rsidRPr="0075290F">
      <w:rPr>
        <w:color w:val="E02628"/>
      </w:rPr>
      <w:fldChar w:fldCharType="begin"/>
    </w:r>
    <w:r w:rsidRPr="0075290F">
      <w:rPr>
        <w:color w:val="E02628"/>
      </w:rPr>
      <w:instrText xml:space="preserve"> PAGE  \* MERGEFORMAT </w:instrText>
    </w:r>
    <w:r w:rsidRPr="0075290F">
      <w:rPr>
        <w:color w:val="E02628"/>
      </w:rPr>
      <w:fldChar w:fldCharType="separate"/>
    </w:r>
    <w:r>
      <w:rPr>
        <w:noProof/>
        <w:color w:val="E02628"/>
      </w:rPr>
      <w:t>ii</w:t>
    </w:r>
    <w:r w:rsidRPr="0075290F">
      <w:rPr>
        <w:noProof/>
        <w:color w:val="E02628"/>
      </w:rPr>
      <w:fldChar w:fldCharType="end"/>
    </w:r>
    <w:r w:rsidRPr="00A4206D">
      <w:rPr>
        <w:color w:val="000000" w:themeColor="text1"/>
      </w:rPr>
      <w:t xml:space="preserve"> | </w:t>
    </w:r>
    <w:r w:rsidRPr="00A4206D">
      <w:rPr>
        <w:color w:val="000000" w:themeColor="text1"/>
      </w:rPr>
      <w:fldChar w:fldCharType="begin"/>
    </w:r>
    <w:r w:rsidRPr="00A4206D">
      <w:rPr>
        <w:color w:val="000000" w:themeColor="text1"/>
      </w:rPr>
      <w:instrText xml:space="preserve"> STYLEREF "Cover Title" </w:instrText>
    </w:r>
    <w:r w:rsidRPr="00A4206D">
      <w:rPr>
        <w:color w:val="000000" w:themeColor="text1"/>
      </w:rPr>
      <w:fldChar w:fldCharType="separate"/>
    </w:r>
    <w:r>
      <w:rPr>
        <w:b/>
        <w:bCs/>
        <w:noProof/>
        <w:color w:val="000000" w:themeColor="text1"/>
        <w:lang w:val="en-US"/>
      </w:rPr>
      <w:t>Error! No text of specified style in document.</w:t>
    </w:r>
    <w:r w:rsidRPr="00A4206D">
      <w:rPr>
        <w:noProof/>
        <w:color w:val="000000" w:themeColor="text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80C3D" w14:textId="5A871A85" w:rsidR="00507428" w:rsidRPr="00A4206D" w:rsidRDefault="00507428" w:rsidP="00CE1D9D">
    <w:pPr>
      <w:pStyle w:val="Footer-ToC"/>
      <w:jc w:val="right"/>
      <w:rPr>
        <w:color w:val="000000" w:themeColor="text1"/>
      </w:rPr>
    </w:pPr>
    <w:r>
      <w:rPr>
        <w:noProof/>
        <w:color w:val="000000" w:themeColor="text1"/>
      </w:rPr>
      <w:t>Department of Social Services</w:t>
    </w:r>
    <w:r w:rsidRPr="00A4206D">
      <w:rPr>
        <w:noProof/>
        <w:color w:val="000000" w:themeColor="text1"/>
      </w:rPr>
      <w:t xml:space="preserve"> | </w:t>
    </w:r>
    <w:r w:rsidRPr="0075290F">
      <w:rPr>
        <w:color w:val="E02628"/>
      </w:rPr>
      <w:fldChar w:fldCharType="begin"/>
    </w:r>
    <w:r w:rsidRPr="0075290F">
      <w:rPr>
        <w:color w:val="E02628"/>
      </w:rPr>
      <w:instrText xml:space="preserve"> PAGE \* MERGEFORMAT </w:instrText>
    </w:r>
    <w:r w:rsidRPr="0075290F">
      <w:rPr>
        <w:color w:val="E02628"/>
      </w:rPr>
      <w:fldChar w:fldCharType="separate"/>
    </w:r>
    <w:r w:rsidR="00552375">
      <w:rPr>
        <w:noProof/>
        <w:color w:val="E02628"/>
      </w:rPr>
      <w:t>98</w:t>
    </w:r>
    <w:r w:rsidRPr="0075290F">
      <w:rPr>
        <w:noProof/>
        <w:color w:val="E0262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A41BB" w14:textId="112AB2F3" w:rsidR="00507428" w:rsidRPr="00CD4A84" w:rsidRDefault="00507428" w:rsidP="001F627D">
    <w:pPr>
      <w:pStyle w:val="Footer"/>
    </w:pPr>
    <w:r w:rsidRPr="00CD4A84">
      <w:fldChar w:fldCharType="begin"/>
    </w:r>
    <w:r w:rsidRPr="00CD4A84">
      <w:instrText xml:space="preserve"> IF </w:instrText>
    </w:r>
    <w:r w:rsidRPr="00CD4A84">
      <w:fldChar w:fldCharType="begin"/>
    </w:r>
    <w:r w:rsidRPr="00CD4A84">
      <w:instrText xml:space="preserve"> =mod( </w:instrText>
    </w:r>
    <w:r w:rsidRPr="00CD4A84">
      <w:fldChar w:fldCharType="begin"/>
    </w:r>
    <w:r w:rsidRPr="00CD4A84">
      <w:instrText xml:space="preserve"> PAGE \* Arabic </w:instrText>
    </w:r>
    <w:r w:rsidRPr="00CD4A84">
      <w:fldChar w:fldCharType="separate"/>
    </w:r>
    <w:r>
      <w:rPr>
        <w:noProof/>
      </w:rPr>
      <w:instrText>1</w:instrText>
    </w:r>
    <w:r w:rsidRPr="00CD4A84">
      <w:fldChar w:fldCharType="end"/>
    </w:r>
    <w:r w:rsidRPr="00CD4A84">
      <w:instrText xml:space="preserve"> ,2) </w:instrText>
    </w:r>
    <w:r w:rsidRPr="00CD4A84">
      <w:fldChar w:fldCharType="separate"/>
    </w:r>
    <w:r>
      <w:rPr>
        <w:noProof/>
      </w:rPr>
      <w:instrText>1</w:instrText>
    </w:r>
    <w:r w:rsidRPr="00CD4A84">
      <w:fldChar w:fldCharType="end"/>
    </w:r>
    <w:r w:rsidRPr="00CD4A84">
      <w:instrText xml:space="preserve"> = "1" "</w:instrText>
    </w:r>
    <w:r>
      <w:ptab w:relativeTo="margin" w:alignment="right" w:leader="none"/>
    </w:r>
    <w:r w:rsidRPr="00CE1D9D">
      <w:rPr>
        <w:color w:val="FFFFFF" w:themeColor="background1"/>
      </w:rPr>
      <w:fldChar w:fldCharType="begin"/>
    </w:r>
    <w:r w:rsidRPr="00CE1D9D">
      <w:rPr>
        <w:color w:val="FFFFFF" w:themeColor="background1"/>
      </w:rPr>
      <w:instrText xml:space="preserve"> STYLEREF "Cover Title" </w:instrText>
    </w:r>
    <w:r w:rsidRPr="00CE1D9D">
      <w:rPr>
        <w:color w:val="FFFFFF" w:themeColor="background1"/>
      </w:rPr>
      <w:fldChar w:fldCharType="separate"/>
    </w:r>
    <w:r>
      <w:rPr>
        <w:b/>
        <w:bCs/>
        <w:noProof/>
        <w:color w:val="FFFFFF" w:themeColor="background1"/>
        <w:lang w:val="en-US"/>
      </w:rPr>
      <w:instrText>Error! No text of specified style in document.</w:instrText>
    </w:r>
    <w:r w:rsidRPr="00CE1D9D">
      <w:rPr>
        <w:color w:val="FFFFFF" w:themeColor="background1"/>
      </w:rPr>
      <w:fldChar w:fldCharType="end"/>
    </w:r>
    <w:r w:rsidRPr="00CE1D9D">
      <w:rPr>
        <w:color w:val="FFFFFF" w:themeColor="background1"/>
      </w:rPr>
      <w:instrText xml:space="preserve"> |</w:instrText>
    </w:r>
    <w:r w:rsidRPr="00CD4A84">
      <w:instrText xml:space="preserve"> </w:instrText>
    </w:r>
    <w:r w:rsidRPr="00CD4A84">
      <w:rPr>
        <w:color w:val="EB8C00" w:themeColor="text2"/>
      </w:rPr>
      <w:fldChar w:fldCharType="begin"/>
    </w:r>
    <w:r w:rsidRPr="00CD4A84">
      <w:rPr>
        <w:color w:val="EB8C00" w:themeColor="text2"/>
      </w:rPr>
      <w:instrText xml:space="preserve"> PAGE  \* MERGEFORMAT </w:instrText>
    </w:r>
    <w:r w:rsidRPr="00CD4A84">
      <w:rPr>
        <w:color w:val="EB8C00" w:themeColor="text2"/>
      </w:rPr>
      <w:fldChar w:fldCharType="separate"/>
    </w:r>
    <w:r>
      <w:rPr>
        <w:noProof/>
        <w:color w:val="EB8C00" w:themeColor="text2"/>
      </w:rPr>
      <w:instrText>1</w:instrText>
    </w:r>
    <w:r w:rsidRPr="00CD4A84">
      <w:rPr>
        <w:color w:val="EB8C00" w:themeColor="text2"/>
      </w:rPr>
      <w:fldChar w:fldCharType="end"/>
    </w:r>
    <w:r>
      <w:rPr>
        <w:color w:val="EB8C00" w:themeColor="text2"/>
      </w:rPr>
      <w:instrText xml:space="preserve">" </w:instrText>
    </w:r>
    <w:r w:rsidRPr="00CD4A84">
      <w:instrText>"</w:instrText>
    </w:r>
    <w:r w:rsidRPr="00CD4A84">
      <w:rPr>
        <w:color w:val="EB8C00" w:themeColor="text2"/>
      </w:rPr>
      <w:fldChar w:fldCharType="begin"/>
    </w:r>
    <w:r w:rsidRPr="00CD4A84">
      <w:rPr>
        <w:color w:val="EB8C00" w:themeColor="text2"/>
      </w:rPr>
      <w:instrText xml:space="preserve"> PAGE  \* MERGEFORMAT </w:instrText>
    </w:r>
    <w:r w:rsidRPr="00CD4A84">
      <w:rPr>
        <w:color w:val="EB8C00" w:themeColor="text2"/>
      </w:rPr>
      <w:fldChar w:fldCharType="separate"/>
    </w:r>
    <w:r>
      <w:rPr>
        <w:noProof/>
        <w:color w:val="EB8C00" w:themeColor="text2"/>
      </w:rPr>
      <w:instrText>i</w:instrText>
    </w:r>
    <w:r w:rsidRPr="00CD4A84">
      <w:rPr>
        <w:color w:val="EB8C00" w:themeColor="text2"/>
      </w:rPr>
      <w:fldChar w:fldCharType="end"/>
    </w:r>
    <w:r w:rsidRPr="00CD4A84">
      <w:instrText xml:space="preserve"> </w:instrText>
    </w:r>
    <w:r w:rsidRPr="00CE1D9D">
      <w:rPr>
        <w:color w:val="FFFFFF" w:themeColor="background1"/>
      </w:rPr>
      <w:instrText xml:space="preserve">| </w:instrText>
    </w:r>
    <w:r w:rsidRPr="00CE1D9D">
      <w:rPr>
        <w:color w:val="FFFFFF" w:themeColor="background1"/>
      </w:rPr>
      <w:fldChar w:fldCharType="begin"/>
    </w:r>
    <w:r w:rsidRPr="00CE1D9D">
      <w:rPr>
        <w:color w:val="FFFFFF" w:themeColor="background1"/>
      </w:rPr>
      <w:instrText xml:space="preserve"> STYLEREF "Cover Title" </w:instrText>
    </w:r>
    <w:r w:rsidRPr="00CE1D9D">
      <w:rPr>
        <w:color w:val="FFFFFF" w:themeColor="background1"/>
      </w:rPr>
      <w:fldChar w:fldCharType="separate"/>
    </w:r>
    <w:r>
      <w:rPr>
        <w:noProof/>
        <w:color w:val="FFFFFF" w:themeColor="background1"/>
      </w:rPr>
      <w:instrText>Department of Social Services</w:instrText>
    </w:r>
    <w:r w:rsidRPr="00CE1D9D">
      <w:rPr>
        <w:color w:val="FFFFFF" w:themeColor="background1"/>
      </w:rPr>
      <w:fldChar w:fldCharType="end"/>
    </w:r>
    <w:r w:rsidRPr="00CD4A84">
      <w:instrText xml:space="preserve">" </w:instrText>
    </w:r>
    <w:r w:rsidRPr="00CD4A84">
      <w:fldChar w:fldCharType="separate"/>
    </w:r>
    <w:r>
      <w:rPr>
        <w:noProof/>
      </w:rPr>
      <w:ptab w:relativeTo="margin" w:alignment="right" w:leader="none"/>
    </w:r>
    <w:r>
      <w:rPr>
        <w:b/>
        <w:bCs/>
        <w:noProof/>
        <w:color w:val="FFFFFF" w:themeColor="background1"/>
        <w:lang w:val="en-US"/>
      </w:rPr>
      <w:t>Error! No text of specified style in document.</w:t>
    </w:r>
    <w:r w:rsidRPr="00CE1D9D">
      <w:rPr>
        <w:noProof/>
        <w:color w:val="FFFFFF" w:themeColor="background1"/>
      </w:rPr>
      <w:t xml:space="preserve"> |</w:t>
    </w:r>
    <w:r w:rsidRPr="00CD4A84">
      <w:rPr>
        <w:noProof/>
      </w:rPr>
      <w:t xml:space="preserve"> </w:t>
    </w:r>
    <w:r>
      <w:rPr>
        <w:noProof/>
        <w:color w:val="EB8C00" w:themeColor="text2"/>
      </w:rPr>
      <w:t>1</w:t>
    </w:r>
    <w:r w:rsidRPr="00CD4A8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3A18" w14:textId="77777777" w:rsidR="00507428" w:rsidRPr="00655CB8" w:rsidRDefault="00507428" w:rsidP="0075290F">
    <w:pPr>
      <w:pStyle w:val="Footer"/>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w:t>
    </w:r>
    <w:r w:rsidRPr="00A4206D">
      <w:rPr>
        <w:noProof/>
        <w:color w:val="E02628"/>
      </w:rPr>
      <w:fldChar w:fldCharType="end"/>
    </w:r>
    <w:r>
      <w:rPr>
        <w:noProof/>
      </w:rPr>
      <w:t xml:space="preserve"> | Department of Social Services</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02FFC" w14:textId="77777777" w:rsidR="00507428" w:rsidRPr="00655CB8" w:rsidRDefault="00507428" w:rsidP="00CC5ACB">
    <w:pPr>
      <w:pStyle w:val="Footer"/>
    </w:pPr>
    <w:r w:rsidRPr="00A4206D">
      <w:rPr>
        <w:color w:val="E02628"/>
      </w:rPr>
      <w:fldChar w:fldCharType="begin"/>
    </w:r>
    <w:r w:rsidRPr="00A4206D">
      <w:rPr>
        <w:color w:val="E02628"/>
      </w:rPr>
      <w:instrText xml:space="preserve"> PAGE  \* MERGEFORMAT </w:instrText>
    </w:r>
    <w:r w:rsidRPr="00A4206D">
      <w:rPr>
        <w:color w:val="E02628"/>
      </w:rPr>
      <w:fldChar w:fldCharType="separate"/>
    </w:r>
    <w:r>
      <w:rPr>
        <w:noProof/>
        <w:color w:val="E02628"/>
      </w:rPr>
      <w:t>112</w:t>
    </w:r>
    <w:r w:rsidRPr="00A4206D">
      <w:rPr>
        <w:noProof/>
        <w:color w:val="E02628"/>
      </w:rPr>
      <w:fldChar w:fldCharType="end"/>
    </w:r>
    <w:r>
      <w:rPr>
        <w:noProof/>
      </w:rPr>
      <w:t xml:space="preserve"> | Department of Social Services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BB3B6" w14:textId="77777777" w:rsidR="00507428" w:rsidRDefault="00507428" w:rsidP="004343B3">
      <w:pPr>
        <w:pStyle w:val="Separator"/>
      </w:pPr>
      <w:r>
        <w:separator/>
      </w:r>
    </w:p>
    <w:p w14:paraId="233A46F4" w14:textId="77777777" w:rsidR="00507428" w:rsidRDefault="00507428"/>
  </w:footnote>
  <w:footnote w:type="continuationSeparator" w:id="0">
    <w:p w14:paraId="3683634B" w14:textId="77777777" w:rsidR="00507428" w:rsidRDefault="00507428" w:rsidP="004343B3">
      <w:pPr>
        <w:pStyle w:val="Separator"/>
      </w:pPr>
      <w:r>
        <w:continuationSeparator/>
      </w:r>
    </w:p>
    <w:p w14:paraId="698500BF" w14:textId="77777777" w:rsidR="00507428" w:rsidRDefault="00507428"/>
  </w:footnote>
  <w:footnote w:type="continuationNotice" w:id="1">
    <w:p w14:paraId="2E27399C" w14:textId="77777777" w:rsidR="00507428" w:rsidRPr="00F20B7D" w:rsidRDefault="00507428" w:rsidP="00F20B7D">
      <w:pPr>
        <w:pStyle w:val="Footer"/>
        <w:rPr>
          <w:sz w:val="2"/>
          <w:szCs w:val="2"/>
        </w:rPr>
      </w:pPr>
    </w:p>
    <w:p w14:paraId="31D9EDF0" w14:textId="77777777" w:rsidR="00507428" w:rsidRDefault="00507428"/>
    <w:p w14:paraId="1089E8FB" w14:textId="77777777" w:rsidR="00507428" w:rsidRDefault="00507428"/>
  </w:footnote>
  <w:footnote w:id="2">
    <w:p w14:paraId="6B5C76BC" w14:textId="77777777" w:rsidR="00507428" w:rsidRPr="006025DB" w:rsidRDefault="00507428" w:rsidP="00B10720">
      <w:pPr>
        <w:pStyle w:val="FootnoteText"/>
        <w:rPr>
          <w:lang w:val="en-US"/>
        </w:rPr>
      </w:pPr>
      <w:r>
        <w:rPr>
          <w:rStyle w:val="FootnoteReference"/>
        </w:rPr>
        <w:footnoteRef/>
      </w:r>
      <w:r>
        <w:t xml:space="preserve"> </w:t>
      </w:r>
      <w:r>
        <w:rPr>
          <w:lang w:val="en-US"/>
        </w:rPr>
        <w:t xml:space="preserve">Lifetime cost information for those in secondary school older than age 22 has not been shown due to the very small numbers of people </w:t>
      </w:r>
    </w:p>
    <w:p w14:paraId="554400E8" w14:textId="77777777" w:rsidR="00507428" w:rsidRPr="001F447E" w:rsidRDefault="00507428" w:rsidP="00B10720">
      <w:pPr>
        <w:pStyle w:val="FootnoteText"/>
        <w:ind w:left="0" w:firstLine="0"/>
        <w:rPr>
          <w:lang w:val="en-US"/>
        </w:rPr>
      </w:pPr>
    </w:p>
  </w:footnote>
  <w:footnote w:id="3">
    <w:p w14:paraId="1F494BA2" w14:textId="77777777" w:rsidR="00507428" w:rsidRPr="001A5076" w:rsidRDefault="00507428" w:rsidP="00247079">
      <w:pPr>
        <w:pStyle w:val="FootnoteText"/>
        <w:rPr>
          <w:lang w:val="en-US"/>
        </w:rPr>
      </w:pPr>
      <w:r w:rsidRPr="00FD2CE9">
        <w:rPr>
          <w:rStyle w:val="FootnoteReference"/>
        </w:rPr>
        <w:footnoteRef/>
      </w:r>
      <w:r w:rsidRPr="00FD2CE9">
        <w:t xml:space="preserve"> We note that this process of assigning a family unit is not straightforward. Limitations in the data meant that a child could be initially identified as part of multiple family units due to their association (i.e. parent or guardian relationship) with these adults. It was therefore necessary to devise a set of business rules to allocate children to an individual family unit – this was done by allocating the child to the family unit of the person who is seen to be their primary caregiver in the administrative data.</w:t>
      </w:r>
    </w:p>
  </w:footnote>
  <w:footnote w:id="4">
    <w:p w14:paraId="59E736A1" w14:textId="6C7B87BF" w:rsidR="00507428" w:rsidRPr="00DC3C22" w:rsidRDefault="00507428" w:rsidP="00247079">
      <w:pPr>
        <w:pStyle w:val="FootnoteText"/>
        <w:rPr>
          <w:lang w:val="en-US"/>
        </w:rPr>
      </w:pPr>
      <w:r>
        <w:rPr>
          <w:rStyle w:val="FootnoteReference"/>
        </w:rPr>
        <w:footnoteRef/>
      </w:r>
      <w:r>
        <w:t xml:space="preserve"> The two specific adults that form a couple family unit were only able to be linked (and therefore their ages determined) if welfare data was available for both adults. For the family units where this data was not </w:t>
      </w:r>
      <w:r w:rsidRPr="004C0EE7">
        <w:t>available (around 41% of couple family units), we</w:t>
      </w:r>
      <w:r>
        <w:t xml:space="preserve"> have assumed that the two adults have the same age for the purposes of this table.</w:t>
      </w:r>
    </w:p>
  </w:footnote>
  <w:footnote w:id="5">
    <w:p w14:paraId="1E0BF51A" w14:textId="77777777" w:rsidR="00507428" w:rsidRDefault="00507428" w:rsidP="00131663">
      <w:pPr>
        <w:pStyle w:val="FootnoteText"/>
      </w:pPr>
      <w:r>
        <w:rPr>
          <w:rStyle w:val="FootnoteReference"/>
        </w:rPr>
        <w:footnoteRef/>
      </w:r>
      <w:r>
        <w:t xml:space="preserve"> </w:t>
      </w:r>
      <w:r>
        <w:tab/>
        <w:t>Source: ABS – 2016 estimated resident population projected to 2017 by PwC</w:t>
      </w:r>
    </w:p>
  </w:footnote>
  <w:footnote w:id="6">
    <w:p w14:paraId="6527D6F2" w14:textId="77777777" w:rsidR="00507428" w:rsidRPr="00CA61C6" w:rsidRDefault="00507428" w:rsidP="00266179">
      <w:pPr>
        <w:pStyle w:val="FootnoteText"/>
        <w:rPr>
          <w:lang w:val="en-US"/>
        </w:rPr>
      </w:pPr>
      <w:r>
        <w:rPr>
          <w:rStyle w:val="FootnoteReference"/>
        </w:rPr>
        <w:footnoteRef/>
      </w:r>
      <w:r>
        <w:t xml:space="preserve"> </w:t>
      </w:r>
      <w:r>
        <w:rPr>
          <w:lang w:val="en-US"/>
        </w:rPr>
        <w:t>This figure excludes the experience of the 2017 year which is significantly impacted by data maturity.</w:t>
      </w:r>
    </w:p>
  </w:footnote>
  <w:footnote w:id="7">
    <w:p w14:paraId="29C45EE6" w14:textId="77777777" w:rsidR="00507428" w:rsidRDefault="00507428" w:rsidP="007B0A8D">
      <w:pPr>
        <w:pStyle w:val="FootnoteText"/>
      </w:pPr>
      <w:r>
        <w:rPr>
          <w:rStyle w:val="FootnoteReference"/>
        </w:rPr>
        <w:footnoteRef/>
      </w:r>
      <w:r>
        <w:t xml:space="preserve"> </w:t>
      </w:r>
      <w:r w:rsidRPr="006F7AC0">
        <w:t>This figure excludes the experience of the 2017 year which is significantly impacted by data maturity.</w:t>
      </w:r>
    </w:p>
  </w:footnote>
  <w:footnote w:id="8">
    <w:p w14:paraId="439482E3" w14:textId="77777777" w:rsidR="00507428" w:rsidRDefault="00507428" w:rsidP="007B0A8D">
      <w:pPr>
        <w:pStyle w:val="FootnoteText"/>
      </w:pPr>
      <w:r>
        <w:rPr>
          <w:rStyle w:val="FootnoteReference"/>
        </w:rPr>
        <w:footnoteRef/>
      </w:r>
      <w:r>
        <w:t xml:space="preserve"> </w:t>
      </w:r>
      <w:r w:rsidRPr="00F55FFE">
        <w:t>This figure excludes the experience of the 2017 year which is significantly impacted by data maturity.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CDF12" w14:textId="70F8E1B3" w:rsidR="00507428" w:rsidRPr="008F0566" w:rsidRDefault="00507428" w:rsidP="008F0566">
    <w:pPr>
      <w:pStyle w:val="Header"/>
    </w:pPr>
    <w:r>
      <w:rPr>
        <w:rFonts w:ascii="Georgia" w:eastAsia="+mn-ea" w:hAnsi="Georgia"/>
        <w:noProof/>
        <w:szCs w:val="20"/>
        <w:lang w:eastAsia="en-AU"/>
      </w:rPr>
      <mc:AlternateContent>
        <mc:Choice Requires="wps">
          <w:drawing>
            <wp:anchor distT="0" distB="0" distL="114300" distR="114300" simplePos="0" relativeHeight="251653120" behindDoc="1" locked="0" layoutInCell="0" allowOverlap="1" wp14:anchorId="274CF94C" wp14:editId="52211292">
              <wp:simplePos x="0" y="0"/>
              <wp:positionH relativeFrom="margin">
                <wp:align>center</wp:align>
              </wp:positionH>
              <wp:positionV relativeFrom="margin">
                <wp:align>center</wp:align>
              </wp:positionV>
              <wp:extent cx="5772150" cy="2308860"/>
              <wp:effectExtent l="0" t="1562100" r="0" b="1263015"/>
              <wp:wrapNone/>
              <wp:docPr id="1079"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EE8475" w14:textId="77777777" w:rsidR="00507428" w:rsidRDefault="00507428" w:rsidP="00A578C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4CF94C" id="_x0000_t202" coordsize="21600,21600" o:spt="202" path="m,l,21600r21600,l21600,xe">
              <v:stroke joinstyle="miter"/>
              <v:path gradientshapeok="t" o:connecttype="rect"/>
            </v:shapetype>
            <v:shape id="WordArt 35" o:spid="_x0000_s1026" type="#_x0000_t202" style="position:absolute;margin-left:0;margin-top:0;width:454.5pt;height:181.8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" o:allowincell="f" filled="f" stroked="f">
              <v:stroke joinstyle="round"/>
              <o:lock v:ext="edit" shapetype="t"/>
              <v:textbox style="mso-fit-shape-to-text:t">
                <w:txbxContent>
                  <w:p w14:paraId="26EE8475" w14:textId="77777777" w:rsidR="00507428" w:rsidRDefault="00507428" w:rsidP="00A578C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napToGrid/>
        <w:lang w:eastAsia="en-AU"/>
      </w:rPr>
      <mc:AlternateContent>
        <mc:Choice Requires="wpg">
          <w:drawing>
            <wp:anchor distT="0" distB="0" distL="114300" distR="114300" simplePos="0" relativeHeight="251656192" behindDoc="0" locked="0" layoutInCell="1" allowOverlap="1" wp14:anchorId="7EE61DFC" wp14:editId="59D23AD6">
              <wp:simplePos x="0" y="0"/>
              <wp:positionH relativeFrom="page">
                <wp:posOffset>0</wp:posOffset>
              </wp:positionH>
              <wp:positionV relativeFrom="page">
                <wp:posOffset>0</wp:posOffset>
              </wp:positionV>
              <wp:extent cx="6912610" cy="10692130"/>
              <wp:effectExtent l="9525" t="9525" r="12065" b="13970"/>
              <wp:wrapNone/>
              <wp:docPr id="71" name="EvenGrid" descr="Gr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10692130"/>
                        <a:chOff x="0" y="0"/>
                        <a:chExt cx="10886" cy="16838"/>
                      </a:xfrm>
                    </wpg:grpSpPr>
                    <wpg:grpSp>
                      <wpg:cNvPr id="72" name="Group 2851"/>
                      <wpg:cNvGrpSpPr>
                        <a:grpSpLocks/>
                      </wpg:cNvGrpSpPr>
                      <wpg:grpSpPr bwMode="auto">
                        <a:xfrm>
                          <a:off x="1021" y="567"/>
                          <a:ext cx="9251" cy="15704"/>
                          <a:chOff x="1021" y="567"/>
                          <a:chExt cx="9251" cy="15704"/>
                        </a:xfrm>
                      </wpg:grpSpPr>
                      <wps:wsp>
                        <wps:cNvPr id="73" name="AutoShape 2852"/>
                        <wps:cNvCnPr>
                          <a:cxnSpLocks noChangeShapeType="1"/>
                        </wps:cNvCnPr>
                        <wps:spPr bwMode="auto">
                          <a:xfrm>
                            <a:off x="1021"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74" name="AutoShape 2853"/>
                        <wps:cNvCnPr>
                          <a:cxnSpLocks noChangeShapeType="1"/>
                        </wps:cNvCnPr>
                        <wps:spPr bwMode="auto">
                          <a:xfrm>
                            <a:off x="186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5" name="AutoShape 2854"/>
                        <wps:cNvCnPr>
                          <a:cxnSpLocks noChangeShapeType="1"/>
                        </wps:cNvCnPr>
                        <wps:spPr bwMode="auto">
                          <a:xfrm>
                            <a:off x="2703"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6" name="AutoShape 2855"/>
                        <wps:cNvCnPr>
                          <a:cxnSpLocks noChangeShapeType="1"/>
                        </wps:cNvCnPr>
                        <wps:spPr bwMode="auto">
                          <a:xfrm>
                            <a:off x="3544"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77" name="AutoShape 2856"/>
                        <wps:cNvCnPr>
                          <a:cxnSpLocks noChangeShapeType="1"/>
                        </wps:cNvCnPr>
                        <wps:spPr bwMode="auto">
                          <a:xfrm>
                            <a:off x="438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8" name="AutoShape 2857"/>
                        <wps:cNvCnPr>
                          <a:cxnSpLocks noChangeShapeType="1"/>
                        </wps:cNvCnPr>
                        <wps:spPr bwMode="auto">
                          <a:xfrm>
                            <a:off x="522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9" name="AutoShape 2858"/>
                        <wps:cNvCnPr>
                          <a:cxnSpLocks noChangeShapeType="1"/>
                        </wps:cNvCnPr>
                        <wps:spPr bwMode="auto">
                          <a:xfrm>
                            <a:off x="606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80" name="AutoShape 2859"/>
                        <wps:cNvCnPr>
                          <a:cxnSpLocks noChangeShapeType="1"/>
                        </wps:cNvCnPr>
                        <wps:spPr bwMode="auto">
                          <a:xfrm>
                            <a:off x="690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81" name="AutoShape 2860"/>
                        <wps:cNvCnPr>
                          <a:cxnSpLocks noChangeShapeType="1"/>
                        </wps:cNvCnPr>
                        <wps:spPr bwMode="auto">
                          <a:xfrm>
                            <a:off x="774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82" name="AutoShape 2861"/>
                        <wps:cNvCnPr>
                          <a:cxnSpLocks noChangeShapeType="1"/>
                        </wps:cNvCnPr>
                        <wps:spPr bwMode="auto">
                          <a:xfrm>
                            <a:off x="859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83" name="AutoShape 2862"/>
                        <wps:cNvCnPr>
                          <a:cxnSpLocks noChangeShapeType="1"/>
                        </wps:cNvCnPr>
                        <wps:spPr bwMode="auto">
                          <a:xfrm>
                            <a:off x="943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84" name="AutoShape 2863"/>
                        <wps:cNvCnPr>
                          <a:cxnSpLocks noChangeShapeType="1"/>
                        </wps:cNvCnPr>
                        <wps:spPr bwMode="auto">
                          <a:xfrm>
                            <a:off x="1027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s:wsp>
                      <wps:cNvPr id="85" name="AutoShape 2864"/>
                      <wps:cNvCnPr>
                        <a:cxnSpLocks noChangeShapeType="1"/>
                      </wps:cNvCnPr>
                      <wps:spPr bwMode="auto">
                        <a:xfrm>
                          <a:off x="0"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s:wsp>
                      <wps:cNvPr id="86" name="AutoShape 2865"/>
                      <wps:cNvCnPr>
                        <a:cxnSpLocks noChangeShapeType="1"/>
                      </wps:cNvCnPr>
                      <wps:spPr bwMode="auto">
                        <a:xfrm>
                          <a:off x="794"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g:grpSp>
                      <wpg:cNvPr id="87" name="Group 2866"/>
                      <wpg:cNvGrpSpPr>
                        <a:grpSpLocks/>
                      </wpg:cNvGrpSpPr>
                      <wpg:grpSpPr bwMode="auto">
                        <a:xfrm>
                          <a:off x="1021" y="567"/>
                          <a:ext cx="9865" cy="15706"/>
                          <a:chOff x="907" y="567"/>
                          <a:chExt cx="9865" cy="15706"/>
                        </a:xfrm>
                      </wpg:grpSpPr>
                      <wps:wsp>
                        <wps:cNvPr id="88" name="AutoShape 2867"/>
                        <wps:cNvCnPr>
                          <a:cxnSpLocks noChangeShapeType="1"/>
                        </wps:cNvCnPr>
                        <wps:spPr bwMode="auto">
                          <a:xfrm>
                            <a:off x="907" y="16273"/>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89" name="AutoShape 2868"/>
                        <wps:cNvCnPr>
                          <a:cxnSpLocks noChangeShapeType="1"/>
                        </wps:cNvCnPr>
                        <wps:spPr bwMode="auto">
                          <a:xfrm>
                            <a:off x="907" y="1452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0" name="AutoShape 2869"/>
                        <wps:cNvCnPr>
                          <a:cxnSpLocks noChangeShapeType="1"/>
                        </wps:cNvCnPr>
                        <wps:spPr bwMode="auto">
                          <a:xfrm>
                            <a:off x="907" y="567"/>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91" name="AutoShape 2870"/>
                        <wps:cNvCnPr>
                          <a:cxnSpLocks noChangeShapeType="1"/>
                        </wps:cNvCnPr>
                        <wps:spPr bwMode="auto">
                          <a:xfrm>
                            <a:off x="907" y="143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2" name="AutoShape 2871"/>
                        <wps:cNvCnPr>
                          <a:cxnSpLocks noChangeShapeType="1"/>
                        </wps:cNvCnPr>
                        <wps:spPr bwMode="auto">
                          <a:xfrm>
                            <a:off x="907" y="231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3" name="AutoShape 2872"/>
                        <wps:cNvCnPr>
                          <a:cxnSpLocks noChangeShapeType="1"/>
                        </wps:cNvCnPr>
                        <wps:spPr bwMode="auto">
                          <a:xfrm>
                            <a:off x="907" y="318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4" name="AutoShape 2873"/>
                        <wps:cNvCnPr>
                          <a:cxnSpLocks noChangeShapeType="1"/>
                        </wps:cNvCnPr>
                        <wps:spPr bwMode="auto">
                          <a:xfrm>
                            <a:off x="907" y="405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5" name="AutoShape 2874"/>
                        <wps:cNvCnPr>
                          <a:cxnSpLocks noChangeShapeType="1"/>
                        </wps:cNvCnPr>
                        <wps:spPr bwMode="auto">
                          <a:xfrm>
                            <a:off x="907" y="492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6" name="AutoShape 2875"/>
                        <wps:cNvCnPr>
                          <a:cxnSpLocks noChangeShapeType="1"/>
                        </wps:cNvCnPr>
                        <wps:spPr bwMode="auto">
                          <a:xfrm>
                            <a:off x="907" y="580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7" name="AutoShape 2876"/>
                        <wps:cNvCnPr>
                          <a:cxnSpLocks noChangeShapeType="1"/>
                        </wps:cNvCnPr>
                        <wps:spPr bwMode="auto">
                          <a:xfrm>
                            <a:off x="907" y="667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8" name="AutoShape 2877"/>
                        <wps:cNvCnPr>
                          <a:cxnSpLocks noChangeShapeType="1"/>
                        </wps:cNvCnPr>
                        <wps:spPr bwMode="auto">
                          <a:xfrm>
                            <a:off x="907" y="754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99" name="AutoShape 2878"/>
                        <wps:cNvCnPr>
                          <a:cxnSpLocks noChangeShapeType="1"/>
                        </wps:cNvCnPr>
                        <wps:spPr bwMode="auto">
                          <a:xfrm>
                            <a:off x="907" y="842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0" name="AutoShape 2879"/>
                        <wps:cNvCnPr>
                          <a:cxnSpLocks noChangeShapeType="1"/>
                        </wps:cNvCnPr>
                        <wps:spPr bwMode="auto">
                          <a:xfrm>
                            <a:off x="907" y="929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1" name="AutoShape 2880"/>
                        <wps:cNvCnPr>
                          <a:cxnSpLocks noChangeShapeType="1"/>
                        </wps:cNvCnPr>
                        <wps:spPr bwMode="auto">
                          <a:xfrm>
                            <a:off x="907" y="1016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2" name="AutoShape 2881"/>
                        <wps:cNvCnPr>
                          <a:cxnSpLocks noChangeShapeType="1"/>
                        </wps:cNvCnPr>
                        <wps:spPr bwMode="auto">
                          <a:xfrm>
                            <a:off x="907" y="1103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3" name="AutoShape 2882"/>
                        <wps:cNvCnPr>
                          <a:cxnSpLocks noChangeShapeType="1"/>
                        </wps:cNvCnPr>
                        <wps:spPr bwMode="auto">
                          <a:xfrm>
                            <a:off x="907" y="1191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4" name="AutoShape 2883"/>
                        <wps:cNvCnPr>
                          <a:cxnSpLocks noChangeShapeType="1"/>
                        </wps:cNvCnPr>
                        <wps:spPr bwMode="auto">
                          <a:xfrm>
                            <a:off x="907" y="1278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5" name="AutoShape 2884"/>
                        <wps:cNvCnPr>
                          <a:cxnSpLocks noChangeShapeType="1"/>
                        </wps:cNvCnPr>
                        <wps:spPr bwMode="auto">
                          <a:xfrm>
                            <a:off x="907" y="1365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6" name="AutoShape 2885"/>
                        <wps:cNvCnPr>
                          <a:cxnSpLocks noChangeShapeType="1"/>
                        </wps:cNvCnPr>
                        <wps:spPr bwMode="auto">
                          <a:xfrm>
                            <a:off x="907" y="1540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g:grpSp>
                      <wpg:cNvPr id="107" name="Group 2886"/>
                      <wpg:cNvGrpSpPr>
                        <a:grpSpLocks/>
                      </wpg:cNvGrpSpPr>
                      <wpg:grpSpPr bwMode="auto">
                        <a:xfrm>
                          <a:off x="1633" y="567"/>
                          <a:ext cx="9251" cy="15704"/>
                          <a:chOff x="1635" y="567"/>
                          <a:chExt cx="9251" cy="15704"/>
                        </a:xfrm>
                      </wpg:grpSpPr>
                      <wps:wsp>
                        <wps:cNvPr id="108" name="AutoShape 2887"/>
                        <wps:cNvCnPr>
                          <a:cxnSpLocks noChangeShapeType="1"/>
                        </wps:cNvCnPr>
                        <wps:spPr bwMode="auto">
                          <a:xfrm>
                            <a:off x="163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09" name="AutoShape 2888"/>
                        <wps:cNvCnPr>
                          <a:cxnSpLocks noChangeShapeType="1"/>
                        </wps:cNvCnPr>
                        <wps:spPr bwMode="auto">
                          <a:xfrm>
                            <a:off x="247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0" name="AutoShape 2889"/>
                        <wps:cNvCnPr>
                          <a:cxnSpLocks noChangeShapeType="1"/>
                        </wps:cNvCnPr>
                        <wps:spPr bwMode="auto">
                          <a:xfrm>
                            <a:off x="331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1" name="AutoShape 2890"/>
                        <wps:cNvCnPr>
                          <a:cxnSpLocks noChangeShapeType="1"/>
                        </wps:cNvCnPr>
                        <wps:spPr bwMode="auto">
                          <a:xfrm>
                            <a:off x="415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2" name="AutoShape 2891"/>
                        <wps:cNvCnPr>
                          <a:cxnSpLocks noChangeShapeType="1"/>
                        </wps:cNvCnPr>
                        <wps:spPr bwMode="auto">
                          <a:xfrm>
                            <a:off x="499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3" name="AutoShape 2892"/>
                        <wps:cNvCnPr>
                          <a:cxnSpLocks noChangeShapeType="1"/>
                        </wps:cNvCnPr>
                        <wps:spPr bwMode="auto">
                          <a:xfrm>
                            <a:off x="584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4" name="AutoShape 2893"/>
                        <wps:cNvCnPr>
                          <a:cxnSpLocks noChangeShapeType="1"/>
                        </wps:cNvCnPr>
                        <wps:spPr bwMode="auto">
                          <a:xfrm>
                            <a:off x="668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5" name="AutoShape 2894"/>
                        <wps:cNvCnPr>
                          <a:cxnSpLocks noChangeShapeType="1"/>
                        </wps:cNvCnPr>
                        <wps:spPr bwMode="auto">
                          <a:xfrm>
                            <a:off x="752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6" name="AutoShape 2895"/>
                        <wps:cNvCnPr>
                          <a:cxnSpLocks noChangeShapeType="1"/>
                        </wps:cNvCnPr>
                        <wps:spPr bwMode="auto">
                          <a:xfrm>
                            <a:off x="8363"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117" name="AutoShape 2896"/>
                        <wps:cNvCnPr>
                          <a:cxnSpLocks noChangeShapeType="1"/>
                        </wps:cNvCnPr>
                        <wps:spPr bwMode="auto">
                          <a:xfrm>
                            <a:off x="9204"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8" name="AutoShape 2897"/>
                        <wps:cNvCnPr>
                          <a:cxnSpLocks noChangeShapeType="1"/>
                        </wps:cNvCnPr>
                        <wps:spPr bwMode="auto">
                          <a:xfrm>
                            <a:off x="1004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19" name="AutoShape 2898"/>
                        <wps:cNvCnPr>
                          <a:cxnSpLocks noChangeShapeType="1"/>
                        </wps:cNvCnPr>
                        <wps:spPr bwMode="auto">
                          <a:xfrm>
                            <a:off x="10886"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031E8F" id="EvenGrid" o:spid="_x0000_s1026" alt="Grid" style="position:absolute;margin-left:0;margin-top:0;width:544.3pt;height:841.9pt;z-index:251656192;mso-position-horizontal-relative:page;mso-position-vertical-relative:page" coordsize="1088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">
              <v:group id="Group 2851" o:spid="_x0000_s1027" style="position:absolute;left:1021;top:567;width:9251;height:15704" coordorigin="1021,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32" coordsize="21600,21600" o:spt="32" o:oned="t" path="m,l21600,21600e" filled="f">
                  <v:path arrowok="t" fillok="f" o:connecttype="none"/>
                  <o:lock v:ext="edit" shapetype="t"/>
                </v:shapetype>
                <v:shape id="AutoShape 2852" o:spid="_x0000_s1028" type="#_x0000_t32" style="position:absolute;left:102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" strokecolor="#002060"/>
                <v:shape id="AutoShape 2853" o:spid="_x0000_s1029" type="#_x0000_t32" style="position:absolute;left:186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" strokecolor="#00b0f0"/>
                <v:shape id="AutoShape 2854" o:spid="_x0000_s1030" type="#_x0000_t32" style="position:absolute;left:270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" strokecolor="#00b0f0"/>
                <v:shape id="AutoShape 2855" o:spid="_x0000_s1031" type="#_x0000_t32" style="position:absolute;left:354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" strokecolor="#002060"/>
                <v:shape id="AutoShape 2856" o:spid="_x0000_s1032" type="#_x0000_t32" style="position:absolute;left:438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" strokecolor="#00b0f0"/>
                <v:shape id="AutoShape 2857" o:spid="_x0000_s1033" type="#_x0000_t32" style="position:absolute;left:522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" strokecolor="#00b0f0"/>
                <v:shape id="AutoShape 2858" o:spid="_x0000_s1034" type="#_x0000_t32" style="position:absolute;left:606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" strokecolor="#002060"/>
                <v:shape id="AutoShape 2859" o:spid="_x0000_s1035" type="#_x0000_t32" style="position:absolute;left:690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" strokecolor="#00b0f0"/>
                <v:shape id="AutoShape 2860" o:spid="_x0000_s1036" type="#_x0000_t32" style="position:absolute;left:774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" strokecolor="#00b0f0"/>
                <v:shape id="AutoShape 2861" o:spid="_x0000_s1037" type="#_x0000_t32" style="position:absolute;left:859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" strokecolor="#002060"/>
                <v:shape id="AutoShape 2862" o:spid="_x0000_s1038" type="#_x0000_t32" style="position:absolute;left:943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" strokecolor="#00b0f0"/>
                <v:shape id="AutoShape 2863" o:spid="_x0000_s1039" type="#_x0000_t32" style="position:absolute;left:1027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" strokecolor="#00b0f0"/>
              </v:group>
              <v:shape id="AutoShape 2864" o:spid="_x0000_s1040" type="#_x0000_t32" style="position:absolute;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" strokecolor="#f6f"/>
              <v:shape id="AutoShape 2865" o:spid="_x0000_s1041" type="#_x0000_t32" style="position:absolute;left:794;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" strokecolor="#f6f"/>
              <v:group id="Group 2866" o:spid="_x0000_s1042" style="position:absolute;left:1021;top:567;width:9865;height:15706" coordorigin="907,567" coordsize="9865,1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AutoShape 2867" o:spid="_x0000_s1043" type="#_x0000_t32" style="position:absolute;left:907;top:16273;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" strokecolor="#002060"/>
                <v:shape id="AutoShape 2868" o:spid="_x0000_s1044" type="#_x0000_t32" style="position:absolute;left:907;top:1452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" strokecolor="#00b0f0"/>
                <v:shape id="AutoShape 2869" o:spid="_x0000_s1045" type="#_x0000_t32" style="position:absolute;left:907;top:56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" strokecolor="#002060"/>
                <v:shape id="AutoShape 2870" o:spid="_x0000_s1046" type="#_x0000_t32" style="position:absolute;left:907;top:143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" strokecolor="#00b0f0"/>
                <v:shape id="AutoShape 2871" o:spid="_x0000_s1047" type="#_x0000_t32" style="position:absolute;left:907;top:231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" strokecolor="#00b0f0"/>
                <v:shape id="AutoShape 2872" o:spid="_x0000_s1048" type="#_x0000_t32" style="position:absolute;left:907;top:318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" strokecolor="#00b0f0"/>
                <v:shape id="AutoShape 2873" o:spid="_x0000_s1049" type="#_x0000_t32" style="position:absolute;left:907;top:405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" strokecolor="#00b0f0"/>
                <v:shape id="AutoShape 2874" o:spid="_x0000_s1050" type="#_x0000_t32" style="position:absolute;left:907;top:492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" strokecolor="#00b0f0"/>
                <v:shape id="AutoShape 2875" o:spid="_x0000_s1051" type="#_x0000_t32" style="position:absolute;left:907;top:580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" strokecolor="#00b0f0"/>
                <v:shape id="AutoShape 2876" o:spid="_x0000_s1052" type="#_x0000_t32" style="position:absolute;left:907;top:667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" strokecolor="#00b0f0"/>
                <v:shape id="AutoShape 2877" o:spid="_x0000_s1053" type="#_x0000_t32" style="position:absolute;left:907;top:754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" strokecolor="#00b0f0"/>
                <v:shape id="AutoShape 2878" o:spid="_x0000_s1054" type="#_x0000_t32" style="position:absolute;left:907;top:842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" strokecolor="#00b0f0"/>
                <v:shape id="AutoShape 2879" o:spid="_x0000_s1055" type="#_x0000_t32" style="position:absolute;left:907;top:929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" strokecolor="#00b0f0"/>
                <v:shape id="AutoShape 2880" o:spid="_x0000_s1056" type="#_x0000_t32" style="position:absolute;left:907;top:1016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" strokecolor="#00b0f0"/>
                <v:shape id="AutoShape 2881" o:spid="_x0000_s1057" type="#_x0000_t32" style="position:absolute;left:907;top:1103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" strokecolor="#00b0f0"/>
                <v:shape id="AutoShape 2882" o:spid="_x0000_s1058" type="#_x0000_t32" style="position:absolute;left:907;top:1191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" strokecolor="#00b0f0"/>
                <v:shape id="AutoShape 2883" o:spid="_x0000_s1059" type="#_x0000_t32" style="position:absolute;left:907;top:1278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" strokecolor="#00b0f0"/>
                <v:shape id="AutoShape 2884" o:spid="_x0000_s1060" type="#_x0000_t32" style="position:absolute;left:907;top:1365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" strokecolor="#00b0f0"/>
                <v:shape id="AutoShape 2885" o:spid="_x0000_s1061" type="#_x0000_t32" style="position:absolute;left:907;top:1540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" strokecolor="#00b0f0"/>
              </v:group>
              <v:group id="Group 2886" o:spid="_x0000_s1062" style="position:absolute;left:1633;top:567;width:9251;height:15704" coordorigin="1635,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AutoShape 2887" o:spid="_x0000_s1063" type="#_x0000_t32" style="position:absolute;left:163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" strokecolor="#00b0f0"/>
                <v:shape id="AutoShape 2888" o:spid="_x0000_s1064" type="#_x0000_t32" style="position:absolute;left:247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" strokecolor="#00b0f0"/>
                <v:shape id="AutoShape 2889" o:spid="_x0000_s1065" type="#_x0000_t32" style="position:absolute;left:331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" strokecolor="#002060"/>
                <v:shape id="AutoShape 2890" o:spid="_x0000_s1066" type="#_x0000_t32" style="position:absolute;left:415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" strokecolor="#00b0f0"/>
                <v:shape id="AutoShape 2891" o:spid="_x0000_s1067" type="#_x0000_t32" style="position:absolute;left:499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" strokecolor="#00b0f0"/>
                <v:shape id="AutoShape 2892" o:spid="_x0000_s1068" type="#_x0000_t32" style="position:absolute;left:584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" strokecolor="#002060"/>
                <v:shape id="AutoShape 2893" o:spid="_x0000_s1069" type="#_x0000_t32" style="position:absolute;left:668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" strokecolor="#00b0f0"/>
                <v:shape id="AutoShape 2894" o:spid="_x0000_s1070" type="#_x0000_t32" style="position:absolute;left:752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" strokecolor="#00b0f0"/>
                <v:shape id="AutoShape 2895" o:spid="_x0000_s1071" type="#_x0000_t32" style="position:absolute;left:836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" strokecolor="#002060"/>
                <v:shape id="AutoShape 2896" o:spid="_x0000_s1072" type="#_x0000_t32" style="position:absolute;left:920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" strokecolor="#00b0f0"/>
                <v:shape id="AutoShape 2897" o:spid="_x0000_s1073" type="#_x0000_t32" style="position:absolute;left:1004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" strokecolor="#00b0f0"/>
                <v:shape id="AutoShape 2898" o:spid="_x0000_s1074" type="#_x0000_t32" style="position:absolute;left:1088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" strokecolor="#002060"/>
              </v:group>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AFD4C" w14:textId="404C1460" w:rsidR="00507428" w:rsidRDefault="0050742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C1253" w14:textId="4845FEC8" w:rsidR="00507428" w:rsidRPr="00A4206D" w:rsidRDefault="00507428" w:rsidP="00CD4A84">
    <w:pPr>
      <w:pStyle w:val="Header"/>
    </w:pPr>
    <w:r>
      <w:rPr>
        <w:noProof/>
        <w:snapToGrid/>
        <w:lang w:eastAsia="en-AU"/>
      </w:rPr>
      <w:ptab w:relativeTo="margin" w:alignment="right" w:leader="none"/>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8DD13" w14:textId="693A0419" w:rsidR="00507428" w:rsidRPr="00A4206D" w:rsidRDefault="00507428" w:rsidP="00202D53">
    <w:pPr>
      <w:pStyle w:val="Header"/>
      <w:rPr>
        <w:color w:val="000000" w:themeColor="text1"/>
      </w:rPr>
    </w:pPr>
    <w:r>
      <w:rPr>
        <w:noProof/>
        <w:snapToGrid/>
        <w:lang w:eastAsia="en-AU"/>
      </w:rPr>
      <w:fldChar w:fldCharType="begin"/>
    </w:r>
    <w:r>
      <w:rPr>
        <w:noProof/>
        <w:snapToGrid/>
        <w:lang w:eastAsia="en-AU"/>
      </w:rPr>
      <w:instrText xml:space="preserve"> STYLEREF  "Heading 2" </w:instrText>
    </w:r>
    <w:r>
      <w:rPr>
        <w:noProof/>
        <w:snapToGrid/>
        <w:lang w:eastAsia="en-AU"/>
      </w:rPr>
      <w:fldChar w:fldCharType="separate"/>
    </w:r>
    <w:r w:rsidR="00552375">
      <w:rPr>
        <w:noProof/>
        <w:snapToGrid/>
        <w:lang w:eastAsia="en-AU"/>
      </w:rPr>
      <w:t>Results for income support recipients</w:t>
    </w:r>
    <w:r>
      <w:rPr>
        <w:noProof/>
        <w:snapToGrid/>
        <w:lang w:eastAsia="en-AU"/>
      </w:rPr>
      <w:fldChar w:fldCharType="end"/>
    </w:r>
    <w:r w:rsidRPr="00A4206D">
      <w:rPr>
        <w:noProof/>
        <w:snapToGrid/>
        <w:color w:val="000000" w:themeColor="text1"/>
        <w:lang w:eastAsia="en-AU"/>
      </w:rPr>
      <w:ptab w:relativeTo="margin" w:alignment="right" w:leader="none"/>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B05F5" w14:textId="7A14B2ED" w:rsidR="00507428" w:rsidRPr="00477399" w:rsidRDefault="00507428" w:rsidP="00862DF5">
    <w:pPr>
      <w:pStyle w:val="Header"/>
    </w:pPr>
    <w:r w:rsidRPr="00814CE1">
      <w:rPr>
        <w:noProof/>
        <w:snapToGrid/>
        <w:lang w:eastAsia="en-AU"/>
      </w:rPr>
      <w:fldChar w:fldCharType="begin"/>
    </w:r>
    <w:r w:rsidRPr="00814CE1">
      <w:rPr>
        <w:noProof/>
        <w:snapToGrid/>
        <w:lang w:eastAsia="en-AU"/>
      </w:rPr>
      <w:instrText xml:space="preserve"> STYLEREF "Heading 2" </w:instrText>
    </w:r>
    <w:r w:rsidRPr="00814CE1">
      <w:rPr>
        <w:noProof/>
        <w:snapToGrid/>
        <w:lang w:eastAsia="en-AU"/>
      </w:rPr>
      <w:fldChar w:fldCharType="separate"/>
    </w:r>
    <w:r>
      <w:rPr>
        <w:noProof/>
        <w:snapToGrid/>
        <w:lang w:eastAsia="en-AU"/>
      </w:rPr>
      <w:t>Developments and new insights</w:t>
    </w:r>
    <w:r w:rsidRPr="00814CE1">
      <w:rPr>
        <w:noProof/>
        <w:snapToGrid/>
        <w:lang w:eastAsia="en-AU"/>
      </w:rPr>
      <w:fldChar w:fldCharType="end"/>
    </w:r>
    <w:r>
      <w:rPr>
        <w:noProof/>
        <w:snapToGrid/>
        <w:lang w:eastAsia="en-AU"/>
      </w:rPr>
      <w:ptab w:relativeTo="margin" w:alignment="right" w:leader="none"/>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8F7E5" w14:textId="1049CB9B" w:rsidR="00507428" w:rsidRDefault="0050742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F3A6B" w14:textId="1D2586BA" w:rsidR="00507428" w:rsidRDefault="00507428">
    <w:pPr>
      <w:pStyle w:val="Header"/>
    </w:pPr>
    <w:r>
      <w:rPr>
        <w:noProof/>
        <w:lang w:eastAsia="en-AU"/>
      </w:rPr>
      <mc:AlternateContent>
        <mc:Choice Requires="wps">
          <w:drawing>
            <wp:anchor distT="0" distB="0" distL="114300" distR="114300" simplePos="0" relativeHeight="251662336" behindDoc="1" locked="0" layoutInCell="0" allowOverlap="1" wp14:anchorId="40830A62" wp14:editId="2DEA6A52">
              <wp:simplePos x="0" y="0"/>
              <wp:positionH relativeFrom="margin">
                <wp:align>center</wp:align>
              </wp:positionH>
              <wp:positionV relativeFrom="margin">
                <wp:align>center</wp:align>
              </wp:positionV>
              <wp:extent cx="6308725" cy="2523490"/>
              <wp:effectExtent l="0" t="1714500" r="0" b="1381760"/>
              <wp:wrapNone/>
              <wp:docPr id="3106" name="Text Box 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08725" cy="2523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6B61D9" w14:textId="77777777" w:rsidR="00507428" w:rsidRDefault="00507428" w:rsidP="0084657F">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830A62" id="_x0000_t202" coordsize="21600,21600" o:spt="202" path="m,l,21600r21600,l21600,xe">
              <v:stroke joinstyle="miter"/>
              <v:path gradientshapeok="t" o:connecttype="rect"/>
            </v:shapetype>
            <v:shape id="Text Box 3106" o:spid="_x0000_s1029" type="#_x0000_t202" style="position:absolute;margin-left:0;margin-top:0;width:496.75pt;height:198.7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" o:allowincell="f" filled="f" stroked="f">
              <v:stroke joinstyle="round"/>
              <o:lock v:ext="edit" shapetype="t"/>
              <v:textbox style="mso-fit-shape-to-text:t">
                <w:txbxContent>
                  <w:p w14:paraId="586B61D9" w14:textId="77777777" w:rsidR="00507428" w:rsidRDefault="00507428" w:rsidP="0084657F">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714FE" w14:textId="07212217" w:rsidR="00507428" w:rsidRDefault="00507428">
    <w:pPr>
      <w:pStyle w:val="Header"/>
    </w:pPr>
    <w:r>
      <w:rPr>
        <w:noProof/>
        <w:lang w:eastAsia="en-AU"/>
      </w:rPr>
      <mc:AlternateContent>
        <mc:Choice Requires="wps">
          <w:drawing>
            <wp:anchor distT="0" distB="0" distL="114300" distR="114300" simplePos="0" relativeHeight="251661312" behindDoc="1" locked="0" layoutInCell="0" allowOverlap="1" wp14:anchorId="7E322E82" wp14:editId="14FD8869">
              <wp:simplePos x="0" y="0"/>
              <wp:positionH relativeFrom="margin">
                <wp:align>center</wp:align>
              </wp:positionH>
              <wp:positionV relativeFrom="margin">
                <wp:align>center</wp:align>
              </wp:positionV>
              <wp:extent cx="6308725" cy="2523490"/>
              <wp:effectExtent l="0" t="1714500" r="0" b="1381760"/>
              <wp:wrapNone/>
              <wp:docPr id="3072"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08725" cy="2523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ACD47F" w14:textId="77777777" w:rsidR="00507428" w:rsidRDefault="00507428" w:rsidP="0084657F">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322E82" id="_x0000_t202" coordsize="21600,21600" o:spt="202" path="m,l,21600r21600,l21600,xe">
              <v:stroke joinstyle="miter"/>
              <v:path gradientshapeok="t" o:connecttype="rect"/>
            </v:shapetype>
            <v:shape id="Text Box 3072" o:spid="_x0000_s1030" type="#_x0000_t202" style="position:absolute;margin-left:0;margin-top:0;width:496.75pt;height:198.7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" o:allowincell="f" filled="f" stroked="f">
              <v:stroke joinstyle="round"/>
              <o:lock v:ext="edit" shapetype="t"/>
              <v:textbox style="mso-fit-shape-to-text:t">
                <w:txbxContent>
                  <w:p w14:paraId="0EACD47F" w14:textId="77777777" w:rsidR="00507428" w:rsidRDefault="00507428" w:rsidP="0084657F">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A581B" w14:textId="11DF3A0E" w:rsidR="00507428" w:rsidRDefault="0050742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B3CB4" w14:textId="43AE5427" w:rsidR="00507428" w:rsidRPr="00814CE1" w:rsidRDefault="00507428" w:rsidP="00CD4A84">
    <w:pPr>
      <w:pStyle w:val="Header"/>
    </w:pPr>
    <w:r>
      <w:rPr>
        <w:noProof/>
        <w:snapToGrid/>
        <w:lang w:eastAsia="en-AU"/>
      </w:rPr>
      <w:ptab w:relativeTo="margin" w:alignment="right" w:leader="none"/>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B502C" w14:textId="414DC48A" w:rsidR="00507428" w:rsidRDefault="00507428">
    <w:pPr>
      <w:pStyle w:val="Header"/>
    </w:pPr>
    <w:r>
      <w:rPr>
        <w:noProof/>
      </w:rPr>
      <w:pict w14:anchorId="45D91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2" type="#_x0000_t136" style="position:absolute;margin-left:0;margin-top:0;width:496.75pt;height:198.7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BF1E" w14:textId="16F78525" w:rsidR="00507428" w:rsidRPr="008F0566" w:rsidRDefault="00507428" w:rsidP="008F0566">
    <w:pPr>
      <w:pStyle w:val="Header"/>
    </w:pPr>
    <w:r>
      <w:rPr>
        <w:rFonts w:ascii="Georgia" w:eastAsia="+mn-ea" w:hAnsi="Georgia"/>
        <w:noProof/>
        <w:szCs w:val="20"/>
        <w:lang w:eastAsia="en-AU"/>
      </w:rPr>
      <mc:AlternateContent>
        <mc:Choice Requires="wps">
          <w:drawing>
            <wp:anchor distT="0" distB="0" distL="114300" distR="114300" simplePos="0" relativeHeight="251652096" behindDoc="1" locked="0" layoutInCell="0" allowOverlap="1" wp14:anchorId="2EA23380" wp14:editId="71280EBD">
              <wp:simplePos x="0" y="0"/>
              <wp:positionH relativeFrom="margin">
                <wp:align>center</wp:align>
              </wp:positionH>
              <wp:positionV relativeFrom="margin">
                <wp:align>center</wp:align>
              </wp:positionV>
              <wp:extent cx="5772150" cy="2308860"/>
              <wp:effectExtent l="0" t="1562100" r="0" b="1263015"/>
              <wp:wrapNone/>
              <wp:docPr id="1068"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5882F3" w14:textId="77777777" w:rsidR="00507428" w:rsidRDefault="00507428" w:rsidP="00A578C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A23380" id="_x0000_t202" coordsize="21600,21600" o:spt="202" path="m,l,21600r21600,l21600,xe">
              <v:stroke joinstyle="miter"/>
              <v:path gradientshapeok="t" o:connecttype="rect"/>
            </v:shapetype>
            <v:shape id="WordArt 33" o:spid="_x0000_s1027" type="#_x0000_t202" style="position:absolute;margin-left:0;margin-top:0;width:454.5pt;height:181.8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" o:allowincell="f" filled="f" stroked="f">
              <v:stroke joinstyle="round"/>
              <o:lock v:ext="edit" shapetype="t"/>
              <v:textbox style="mso-fit-shape-to-text:t">
                <w:txbxContent>
                  <w:p w14:paraId="195882F3" w14:textId="77777777" w:rsidR="00507428" w:rsidRDefault="00507428" w:rsidP="00A578C1">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napToGrid/>
        <w:lang w:eastAsia="en-AU"/>
      </w:rPr>
      <mc:AlternateContent>
        <mc:Choice Requires="wpg">
          <w:drawing>
            <wp:anchor distT="0" distB="0" distL="114300" distR="114300" simplePos="0" relativeHeight="251655168" behindDoc="0" locked="0" layoutInCell="1" allowOverlap="1" wp14:anchorId="1C28253E" wp14:editId="28CA5130">
              <wp:simplePos x="0" y="0"/>
              <wp:positionH relativeFrom="page">
                <wp:posOffset>0</wp:posOffset>
              </wp:positionH>
              <wp:positionV relativeFrom="page">
                <wp:posOffset>0</wp:posOffset>
              </wp:positionV>
              <wp:extent cx="6912610" cy="10692130"/>
              <wp:effectExtent l="9525" t="9525" r="12065" b="13970"/>
              <wp:wrapNone/>
              <wp:docPr id="17" name="OddGrid" descr="Gri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10692130"/>
                        <a:chOff x="0" y="0"/>
                        <a:chExt cx="10886" cy="16838"/>
                      </a:xfrm>
                    </wpg:grpSpPr>
                    <wpg:grpSp>
                      <wpg:cNvPr id="18" name="Group 2018"/>
                      <wpg:cNvGrpSpPr>
                        <a:grpSpLocks/>
                      </wpg:cNvGrpSpPr>
                      <wpg:grpSpPr bwMode="auto">
                        <a:xfrm>
                          <a:off x="1021" y="567"/>
                          <a:ext cx="9251" cy="15704"/>
                          <a:chOff x="1021" y="567"/>
                          <a:chExt cx="9251" cy="15704"/>
                        </a:xfrm>
                      </wpg:grpSpPr>
                      <wps:wsp>
                        <wps:cNvPr id="21" name="AutoShape 2019"/>
                        <wps:cNvCnPr>
                          <a:cxnSpLocks noChangeShapeType="1"/>
                        </wps:cNvCnPr>
                        <wps:spPr bwMode="auto">
                          <a:xfrm>
                            <a:off x="1021"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2" name="AutoShape 2020"/>
                        <wps:cNvCnPr>
                          <a:cxnSpLocks noChangeShapeType="1"/>
                        </wps:cNvCnPr>
                        <wps:spPr bwMode="auto">
                          <a:xfrm>
                            <a:off x="186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3" name="AutoShape 2021"/>
                        <wps:cNvCnPr>
                          <a:cxnSpLocks noChangeShapeType="1"/>
                        </wps:cNvCnPr>
                        <wps:spPr bwMode="auto">
                          <a:xfrm>
                            <a:off x="2703"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4" name="AutoShape 2022"/>
                        <wps:cNvCnPr>
                          <a:cxnSpLocks noChangeShapeType="1"/>
                        </wps:cNvCnPr>
                        <wps:spPr bwMode="auto">
                          <a:xfrm>
                            <a:off x="3544"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5" name="AutoShape 2023"/>
                        <wps:cNvCnPr>
                          <a:cxnSpLocks noChangeShapeType="1"/>
                        </wps:cNvCnPr>
                        <wps:spPr bwMode="auto">
                          <a:xfrm>
                            <a:off x="438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6" name="AutoShape 2024"/>
                        <wps:cNvCnPr>
                          <a:cxnSpLocks noChangeShapeType="1"/>
                        </wps:cNvCnPr>
                        <wps:spPr bwMode="auto">
                          <a:xfrm>
                            <a:off x="522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7" name="AutoShape 2025"/>
                        <wps:cNvCnPr>
                          <a:cxnSpLocks noChangeShapeType="1"/>
                        </wps:cNvCnPr>
                        <wps:spPr bwMode="auto">
                          <a:xfrm>
                            <a:off x="606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28" name="AutoShape 2026"/>
                        <wps:cNvCnPr>
                          <a:cxnSpLocks noChangeShapeType="1"/>
                        </wps:cNvCnPr>
                        <wps:spPr bwMode="auto">
                          <a:xfrm>
                            <a:off x="690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9" name="AutoShape 2027"/>
                        <wps:cNvCnPr>
                          <a:cxnSpLocks noChangeShapeType="1"/>
                        </wps:cNvCnPr>
                        <wps:spPr bwMode="auto">
                          <a:xfrm>
                            <a:off x="774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0" name="AutoShape 2028"/>
                        <wps:cNvCnPr>
                          <a:cxnSpLocks noChangeShapeType="1"/>
                        </wps:cNvCnPr>
                        <wps:spPr bwMode="auto">
                          <a:xfrm>
                            <a:off x="859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1" name="AutoShape 2029"/>
                        <wps:cNvCnPr>
                          <a:cxnSpLocks noChangeShapeType="1"/>
                        </wps:cNvCnPr>
                        <wps:spPr bwMode="auto">
                          <a:xfrm>
                            <a:off x="943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2" name="AutoShape 2030"/>
                        <wps:cNvCnPr>
                          <a:cxnSpLocks noChangeShapeType="1"/>
                        </wps:cNvCnPr>
                        <wps:spPr bwMode="auto">
                          <a:xfrm>
                            <a:off x="1027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s:wsp>
                      <wps:cNvPr id="33" name="AutoShape 2031"/>
                      <wps:cNvCnPr>
                        <a:cxnSpLocks noChangeShapeType="1"/>
                      </wps:cNvCnPr>
                      <wps:spPr bwMode="auto">
                        <a:xfrm>
                          <a:off x="0"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s:wsp>
                      <wps:cNvPr id="34" name="AutoShape 2032"/>
                      <wps:cNvCnPr>
                        <a:cxnSpLocks noChangeShapeType="1"/>
                      </wps:cNvCnPr>
                      <wps:spPr bwMode="auto">
                        <a:xfrm>
                          <a:off x="794" y="0"/>
                          <a:ext cx="0" cy="16838"/>
                        </a:xfrm>
                        <a:prstGeom prst="straightConnector1">
                          <a:avLst/>
                        </a:prstGeom>
                        <a:noFill/>
                        <a:ln w="9525">
                          <a:solidFill>
                            <a:srgbClr val="FF66FF"/>
                          </a:solidFill>
                          <a:round/>
                          <a:headEnd/>
                          <a:tailEnd/>
                        </a:ln>
                        <a:extLst>
                          <a:ext uri="{909E8E84-426E-40DD-AFC4-6F175D3DCCD1}">
                            <a14:hiddenFill xmlns:a14="http://schemas.microsoft.com/office/drawing/2010/main">
                              <a:noFill/>
                            </a14:hiddenFill>
                          </a:ext>
                        </a:extLst>
                      </wps:spPr>
                      <wps:bodyPr/>
                    </wps:wsp>
                    <wpg:grpSp>
                      <wpg:cNvPr id="35" name="Group 2033"/>
                      <wpg:cNvGrpSpPr>
                        <a:grpSpLocks/>
                      </wpg:cNvGrpSpPr>
                      <wpg:grpSpPr bwMode="auto">
                        <a:xfrm>
                          <a:off x="1021" y="567"/>
                          <a:ext cx="9865" cy="15706"/>
                          <a:chOff x="907" y="567"/>
                          <a:chExt cx="9865" cy="15706"/>
                        </a:xfrm>
                      </wpg:grpSpPr>
                      <wps:wsp>
                        <wps:cNvPr id="36" name="AutoShape 2034"/>
                        <wps:cNvCnPr>
                          <a:cxnSpLocks noChangeShapeType="1"/>
                        </wps:cNvCnPr>
                        <wps:spPr bwMode="auto">
                          <a:xfrm>
                            <a:off x="907" y="16273"/>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7" name="AutoShape 2035"/>
                        <wps:cNvCnPr>
                          <a:cxnSpLocks noChangeShapeType="1"/>
                        </wps:cNvCnPr>
                        <wps:spPr bwMode="auto">
                          <a:xfrm>
                            <a:off x="907" y="1452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38" name="AutoShape 2036"/>
                        <wps:cNvCnPr>
                          <a:cxnSpLocks noChangeShapeType="1"/>
                        </wps:cNvCnPr>
                        <wps:spPr bwMode="auto">
                          <a:xfrm>
                            <a:off x="907" y="567"/>
                            <a:ext cx="986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9" name="AutoShape 2037"/>
                        <wps:cNvCnPr>
                          <a:cxnSpLocks noChangeShapeType="1"/>
                        </wps:cNvCnPr>
                        <wps:spPr bwMode="auto">
                          <a:xfrm>
                            <a:off x="907" y="143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0" name="AutoShape 2038"/>
                        <wps:cNvCnPr>
                          <a:cxnSpLocks noChangeShapeType="1"/>
                        </wps:cNvCnPr>
                        <wps:spPr bwMode="auto">
                          <a:xfrm>
                            <a:off x="907" y="231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1" name="AutoShape 2039"/>
                        <wps:cNvCnPr>
                          <a:cxnSpLocks noChangeShapeType="1"/>
                        </wps:cNvCnPr>
                        <wps:spPr bwMode="auto">
                          <a:xfrm>
                            <a:off x="907" y="318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2" name="AutoShape 2040"/>
                        <wps:cNvCnPr>
                          <a:cxnSpLocks noChangeShapeType="1"/>
                        </wps:cNvCnPr>
                        <wps:spPr bwMode="auto">
                          <a:xfrm>
                            <a:off x="907" y="405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3" name="AutoShape 2041"/>
                        <wps:cNvCnPr>
                          <a:cxnSpLocks noChangeShapeType="1"/>
                        </wps:cNvCnPr>
                        <wps:spPr bwMode="auto">
                          <a:xfrm>
                            <a:off x="907" y="4929"/>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4" name="AutoShape 2042"/>
                        <wps:cNvCnPr>
                          <a:cxnSpLocks noChangeShapeType="1"/>
                        </wps:cNvCnPr>
                        <wps:spPr bwMode="auto">
                          <a:xfrm>
                            <a:off x="907" y="580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5" name="AutoShape 2043"/>
                        <wps:cNvCnPr>
                          <a:cxnSpLocks noChangeShapeType="1"/>
                        </wps:cNvCnPr>
                        <wps:spPr bwMode="auto">
                          <a:xfrm>
                            <a:off x="907" y="6674"/>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6" name="AutoShape 2044"/>
                        <wps:cNvCnPr>
                          <a:cxnSpLocks noChangeShapeType="1"/>
                        </wps:cNvCnPr>
                        <wps:spPr bwMode="auto">
                          <a:xfrm>
                            <a:off x="907" y="754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7" name="AutoShape 2045"/>
                        <wps:cNvCnPr>
                          <a:cxnSpLocks noChangeShapeType="1"/>
                        </wps:cNvCnPr>
                        <wps:spPr bwMode="auto">
                          <a:xfrm>
                            <a:off x="907" y="842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8" name="AutoShape 2046"/>
                        <wps:cNvCnPr>
                          <a:cxnSpLocks noChangeShapeType="1"/>
                        </wps:cNvCnPr>
                        <wps:spPr bwMode="auto">
                          <a:xfrm>
                            <a:off x="907" y="929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49" name="AutoShape 2047"/>
                        <wps:cNvCnPr>
                          <a:cxnSpLocks noChangeShapeType="1"/>
                        </wps:cNvCnPr>
                        <wps:spPr bwMode="auto">
                          <a:xfrm>
                            <a:off x="907" y="1016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0" name="AutoShape 2048"/>
                        <wps:cNvCnPr>
                          <a:cxnSpLocks noChangeShapeType="1"/>
                        </wps:cNvCnPr>
                        <wps:spPr bwMode="auto">
                          <a:xfrm>
                            <a:off x="907" y="11037"/>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1" name="AutoShape 2049"/>
                        <wps:cNvCnPr>
                          <a:cxnSpLocks noChangeShapeType="1"/>
                        </wps:cNvCnPr>
                        <wps:spPr bwMode="auto">
                          <a:xfrm>
                            <a:off x="907" y="1191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2" name="AutoShape 2050"/>
                        <wps:cNvCnPr>
                          <a:cxnSpLocks noChangeShapeType="1"/>
                        </wps:cNvCnPr>
                        <wps:spPr bwMode="auto">
                          <a:xfrm>
                            <a:off x="907" y="12782"/>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3" name="AutoShape 2051"/>
                        <wps:cNvCnPr>
                          <a:cxnSpLocks noChangeShapeType="1"/>
                        </wps:cNvCnPr>
                        <wps:spPr bwMode="auto">
                          <a:xfrm>
                            <a:off x="907" y="13655"/>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4" name="AutoShape 2052"/>
                        <wps:cNvCnPr>
                          <a:cxnSpLocks noChangeShapeType="1"/>
                        </wps:cNvCnPr>
                        <wps:spPr bwMode="auto">
                          <a:xfrm>
                            <a:off x="907" y="15400"/>
                            <a:ext cx="98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grpSp>
                    <wpg:grpSp>
                      <wpg:cNvPr id="58" name="Group 2053"/>
                      <wpg:cNvGrpSpPr>
                        <a:grpSpLocks/>
                      </wpg:cNvGrpSpPr>
                      <wpg:grpSpPr bwMode="auto">
                        <a:xfrm>
                          <a:off x="1633" y="567"/>
                          <a:ext cx="9251" cy="15704"/>
                          <a:chOff x="1635" y="567"/>
                          <a:chExt cx="9251" cy="15704"/>
                        </a:xfrm>
                      </wpg:grpSpPr>
                      <wps:wsp>
                        <wps:cNvPr id="59" name="AutoShape 2054"/>
                        <wps:cNvCnPr>
                          <a:cxnSpLocks noChangeShapeType="1"/>
                        </wps:cNvCnPr>
                        <wps:spPr bwMode="auto">
                          <a:xfrm>
                            <a:off x="163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0" name="AutoShape 2055"/>
                        <wps:cNvCnPr>
                          <a:cxnSpLocks noChangeShapeType="1"/>
                        </wps:cNvCnPr>
                        <wps:spPr bwMode="auto">
                          <a:xfrm>
                            <a:off x="2476"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1" name="AutoShape 2056"/>
                        <wps:cNvCnPr>
                          <a:cxnSpLocks noChangeShapeType="1"/>
                        </wps:cNvCnPr>
                        <wps:spPr bwMode="auto">
                          <a:xfrm>
                            <a:off x="3317"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62" name="AutoShape 2057"/>
                        <wps:cNvCnPr>
                          <a:cxnSpLocks noChangeShapeType="1"/>
                        </wps:cNvCnPr>
                        <wps:spPr bwMode="auto">
                          <a:xfrm>
                            <a:off x="4158"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3" name="AutoShape 2058"/>
                        <wps:cNvCnPr>
                          <a:cxnSpLocks noChangeShapeType="1"/>
                        </wps:cNvCnPr>
                        <wps:spPr bwMode="auto">
                          <a:xfrm>
                            <a:off x="4999"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4" name="AutoShape 2059"/>
                        <wps:cNvCnPr>
                          <a:cxnSpLocks noChangeShapeType="1"/>
                        </wps:cNvCnPr>
                        <wps:spPr bwMode="auto">
                          <a:xfrm>
                            <a:off x="5840"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65" name="AutoShape 2060"/>
                        <wps:cNvCnPr>
                          <a:cxnSpLocks noChangeShapeType="1"/>
                        </wps:cNvCnPr>
                        <wps:spPr bwMode="auto">
                          <a:xfrm>
                            <a:off x="6681"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6" name="AutoShape 2061"/>
                        <wps:cNvCnPr>
                          <a:cxnSpLocks noChangeShapeType="1"/>
                        </wps:cNvCnPr>
                        <wps:spPr bwMode="auto">
                          <a:xfrm>
                            <a:off x="7522"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7" name="AutoShape 2062"/>
                        <wps:cNvCnPr>
                          <a:cxnSpLocks noChangeShapeType="1"/>
                        </wps:cNvCnPr>
                        <wps:spPr bwMode="auto">
                          <a:xfrm>
                            <a:off x="8363"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68" name="AutoShape 2063"/>
                        <wps:cNvCnPr>
                          <a:cxnSpLocks noChangeShapeType="1"/>
                        </wps:cNvCnPr>
                        <wps:spPr bwMode="auto">
                          <a:xfrm>
                            <a:off x="9204"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69" name="AutoShape 2064"/>
                        <wps:cNvCnPr>
                          <a:cxnSpLocks noChangeShapeType="1"/>
                        </wps:cNvCnPr>
                        <wps:spPr bwMode="auto">
                          <a:xfrm>
                            <a:off x="10045" y="567"/>
                            <a:ext cx="0" cy="15704"/>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70" name="AutoShape 2065"/>
                        <wps:cNvCnPr>
                          <a:cxnSpLocks noChangeShapeType="1"/>
                        </wps:cNvCnPr>
                        <wps:spPr bwMode="auto">
                          <a:xfrm>
                            <a:off x="10886" y="567"/>
                            <a:ext cx="0" cy="15704"/>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552FEF0" id="OddGrid" o:spid="_x0000_s1026" alt="Grid" style="position:absolute;margin-left:0;margin-top:0;width:544.3pt;height:841.9pt;z-index:251655168;mso-position-horizontal-relative:page;mso-position-vertical-relative:page" coordsize="1088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">
              <v:group id="Group 2018" o:spid="_x0000_s1027" style="position:absolute;left:1021;top:567;width:9251;height:15704" coordorigin="1021,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32" coordsize="21600,21600" o:spt="32" o:oned="t" path="m,l21600,21600e" filled="f">
                  <v:path arrowok="t" fillok="f" o:connecttype="none"/>
                  <o:lock v:ext="edit" shapetype="t"/>
                </v:shapetype>
                <v:shape id="AutoShape 2019" o:spid="_x0000_s1028" type="#_x0000_t32" style="position:absolute;left:102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" strokecolor="#002060"/>
                <v:shape id="AutoShape 2020" o:spid="_x0000_s1029" type="#_x0000_t32" style="position:absolute;left:186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" strokecolor="#00b0f0"/>
                <v:shape id="AutoShape 2021" o:spid="_x0000_s1030" type="#_x0000_t32" style="position:absolute;left:270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" strokecolor="#00b0f0"/>
                <v:shape id="AutoShape 2022" o:spid="_x0000_s1031" type="#_x0000_t32" style="position:absolute;left:354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" strokecolor="#002060"/>
                <v:shape id="AutoShape 2023" o:spid="_x0000_s1032" type="#_x0000_t32" style="position:absolute;left:438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" strokecolor="#00b0f0"/>
                <v:shape id="AutoShape 2024" o:spid="_x0000_s1033" type="#_x0000_t32" style="position:absolute;left:522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" strokecolor="#00b0f0"/>
                <v:shape id="AutoShape 2025" o:spid="_x0000_s1034" type="#_x0000_t32" style="position:absolute;left:606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" strokecolor="#002060"/>
                <v:shape id="AutoShape 2026" o:spid="_x0000_s1035" type="#_x0000_t32" style="position:absolute;left:690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" strokecolor="#00b0f0"/>
                <v:shape id="AutoShape 2027" o:spid="_x0000_s1036" type="#_x0000_t32" style="position:absolute;left:774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" strokecolor="#00b0f0"/>
                <v:shape id="AutoShape 2028" o:spid="_x0000_s1037" type="#_x0000_t32" style="position:absolute;left:859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" strokecolor="#002060"/>
                <v:shape id="AutoShape 2029" o:spid="_x0000_s1038" type="#_x0000_t32" style="position:absolute;left:943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" strokecolor="#00b0f0"/>
                <v:shape id="AutoShape 2030" o:spid="_x0000_s1039" type="#_x0000_t32" style="position:absolute;left:1027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" strokecolor="#00b0f0"/>
              </v:group>
              <v:shape id="AutoShape 2031" o:spid="_x0000_s1040" type="#_x0000_t32" style="position:absolute;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" strokecolor="#f6f"/>
              <v:shape id="AutoShape 2032" o:spid="_x0000_s1041" type="#_x0000_t32" style="position:absolute;left:794;width:0;height:16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" strokecolor="#f6f"/>
              <v:group id="Group 2033" o:spid="_x0000_s1042" style="position:absolute;left:1021;top:567;width:9865;height:15706" coordorigin="907,567" coordsize="9865,1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utoShape 2034" o:spid="_x0000_s1043" type="#_x0000_t32" style="position:absolute;left:907;top:16273;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" strokecolor="#002060"/>
                <v:shape id="AutoShape 2035" o:spid="_x0000_s1044" type="#_x0000_t32" style="position:absolute;left:907;top:1452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" strokecolor="#00b0f0"/>
                <v:shape id="AutoShape 2036" o:spid="_x0000_s1045" type="#_x0000_t32" style="position:absolute;left:907;top:56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" strokecolor="#002060"/>
                <v:shape id="AutoShape 2037" o:spid="_x0000_s1046" type="#_x0000_t32" style="position:absolute;left:907;top:143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" strokecolor="#00b0f0"/>
                <v:shape id="AutoShape 2038" o:spid="_x0000_s1047" type="#_x0000_t32" style="position:absolute;left:907;top:231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" strokecolor="#00b0f0"/>
                <v:shape id="AutoShape 2039" o:spid="_x0000_s1048" type="#_x0000_t32" style="position:absolute;left:907;top:318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" strokecolor="#00b0f0"/>
                <v:shape id="AutoShape 2040" o:spid="_x0000_s1049" type="#_x0000_t32" style="position:absolute;left:907;top:405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" strokecolor="#00b0f0"/>
                <v:shape id="AutoShape 2041" o:spid="_x0000_s1050" type="#_x0000_t32" style="position:absolute;left:907;top:4929;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" strokecolor="#00b0f0"/>
                <v:shape id="AutoShape 2042" o:spid="_x0000_s1051" type="#_x0000_t32" style="position:absolute;left:907;top:580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" strokecolor="#00b0f0"/>
                <v:shape id="AutoShape 2043" o:spid="_x0000_s1052" type="#_x0000_t32" style="position:absolute;left:907;top:6674;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" strokecolor="#00b0f0"/>
                <v:shape id="AutoShape 2044" o:spid="_x0000_s1053" type="#_x0000_t32" style="position:absolute;left:907;top:754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" strokecolor="#00b0f0"/>
                <v:shape id="AutoShape 2045" o:spid="_x0000_s1054" type="#_x0000_t32" style="position:absolute;left:907;top:842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" strokecolor="#00b0f0"/>
                <v:shape id="AutoShape 2046" o:spid="_x0000_s1055" type="#_x0000_t32" style="position:absolute;left:907;top:929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" strokecolor="#00b0f0"/>
                <v:shape id="AutoShape 2047" o:spid="_x0000_s1056" type="#_x0000_t32" style="position:absolute;left:907;top:1016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" strokecolor="#00b0f0"/>
                <v:shape id="AutoShape 2048" o:spid="_x0000_s1057" type="#_x0000_t32" style="position:absolute;left:907;top:11037;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" strokecolor="#00b0f0"/>
                <v:shape id="AutoShape 2049" o:spid="_x0000_s1058" type="#_x0000_t32" style="position:absolute;left:907;top:1191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" strokecolor="#00b0f0"/>
                <v:shape id="AutoShape 2050" o:spid="_x0000_s1059" type="#_x0000_t32" style="position:absolute;left:907;top:12782;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" strokecolor="#00b0f0"/>
                <v:shape id="AutoShape 2051" o:spid="_x0000_s1060" type="#_x0000_t32" style="position:absolute;left:907;top:13655;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" strokecolor="#00b0f0"/>
                <v:shape id="AutoShape 2052" o:spid="_x0000_s1061" type="#_x0000_t32" style="position:absolute;left:907;top:15400;width: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" strokecolor="#00b0f0"/>
              </v:group>
              <v:group id="Group 2053" o:spid="_x0000_s1062" style="position:absolute;left:1633;top:567;width:9251;height:15704" coordorigin="1635,567" coordsize="9251,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utoShape 2054" o:spid="_x0000_s1063" type="#_x0000_t32" style="position:absolute;left:163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" strokecolor="#00b0f0"/>
                <v:shape id="AutoShape 2055" o:spid="_x0000_s1064" type="#_x0000_t32" style="position:absolute;left:247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" strokecolor="#00b0f0"/>
                <v:shape id="AutoShape 2056" o:spid="_x0000_s1065" type="#_x0000_t32" style="position:absolute;left:3317;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" strokecolor="#002060"/>
                <v:shape id="AutoShape 2057" o:spid="_x0000_s1066" type="#_x0000_t32" style="position:absolute;left:4158;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" strokecolor="#00b0f0"/>
                <v:shape id="AutoShape 2058" o:spid="_x0000_s1067" type="#_x0000_t32" style="position:absolute;left:4999;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" strokecolor="#00b0f0"/>
                <v:shape id="AutoShape 2059" o:spid="_x0000_s1068" type="#_x0000_t32" style="position:absolute;left:5840;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" strokecolor="#002060"/>
                <v:shape id="AutoShape 2060" o:spid="_x0000_s1069" type="#_x0000_t32" style="position:absolute;left:6681;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" strokecolor="#00b0f0"/>
                <v:shape id="AutoShape 2061" o:spid="_x0000_s1070" type="#_x0000_t32" style="position:absolute;left:7522;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" strokecolor="#00b0f0"/>
                <v:shape id="AutoShape 2062" o:spid="_x0000_s1071" type="#_x0000_t32" style="position:absolute;left:8363;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" strokecolor="#002060"/>
                <v:shape id="AutoShape 2063" o:spid="_x0000_s1072" type="#_x0000_t32" style="position:absolute;left:9204;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" strokecolor="#00b0f0"/>
                <v:shape id="AutoShape 2064" o:spid="_x0000_s1073" type="#_x0000_t32" style="position:absolute;left:10045;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" strokecolor="#00b0f0"/>
                <v:shape id="AutoShape 2065" o:spid="_x0000_s1074" type="#_x0000_t32" style="position:absolute;left:10886;top:567;width:0;height:1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" strokecolor="#002060"/>
              </v:group>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1334B" w14:textId="3BC2F56A" w:rsidR="00507428" w:rsidRPr="00814CE1" w:rsidRDefault="00507428" w:rsidP="00CD4A84">
    <w:pPr>
      <w:pStyle w:val="Header"/>
    </w:pPr>
    <w:r>
      <w:rPr>
        <w:noProof/>
      </w:rPr>
      <w:pict w14:anchorId="33AD0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1" type="#_x0000_t136" style="position:absolute;margin-left:0;margin-top:0;width:496.75pt;height:198.7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snapToGrid/>
        <w:lang w:eastAsia="en-AU"/>
      </w:rPr>
      <w:ptab w:relativeTo="margin" w:alignment="right" w:leader="none"/>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265FE" w14:textId="5D77A241" w:rsidR="00507428" w:rsidRDefault="00507428">
    <w:pPr>
      <w:pStyle w:val="Header"/>
    </w:pPr>
    <w:r>
      <w:rPr>
        <w:noProof/>
        <w:lang w:eastAsia="en-AU"/>
      </w:rPr>
      <mc:AlternateContent>
        <mc:Choice Requires="wps">
          <w:drawing>
            <wp:anchor distT="0" distB="0" distL="114300" distR="114300" simplePos="0" relativeHeight="251664384" behindDoc="1" locked="0" layoutInCell="0" allowOverlap="1" wp14:anchorId="53124B6E" wp14:editId="5D66D599">
              <wp:simplePos x="0" y="0"/>
              <wp:positionH relativeFrom="margin">
                <wp:align>center</wp:align>
              </wp:positionH>
              <wp:positionV relativeFrom="margin">
                <wp:align>center</wp:align>
              </wp:positionV>
              <wp:extent cx="6308725" cy="2523490"/>
              <wp:effectExtent l="0" t="1714500" r="0" b="138176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08725" cy="2523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8B314F" w14:textId="77777777" w:rsidR="00507428" w:rsidRDefault="00507428" w:rsidP="000A2D4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124B6E" id="_x0000_t202" coordsize="21600,21600" o:spt="202" path="m,l,21600r21600,l21600,xe">
              <v:stroke joinstyle="miter"/>
              <v:path gradientshapeok="t" o:connecttype="rect"/>
            </v:shapetype>
            <v:shape id="Text Box 194" o:spid="_x0000_s1031" type="#_x0000_t202" style="position:absolute;margin-left:0;margin-top:0;width:496.75pt;height:198.7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" o:allowincell="f" filled="f" stroked="f">
              <v:stroke joinstyle="round"/>
              <o:lock v:ext="edit" shapetype="t"/>
              <v:textbox style="mso-fit-shape-to-text:t">
                <w:txbxContent>
                  <w:p w14:paraId="348B314F" w14:textId="77777777" w:rsidR="00507428" w:rsidRDefault="00507428" w:rsidP="000A2D4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5E852" w14:textId="5F79C496" w:rsidR="00507428" w:rsidRDefault="00507428">
    <w:pPr>
      <w:pStyle w:val="Header"/>
    </w:pPr>
    <w:r>
      <w:rPr>
        <w:noProof/>
        <w:lang w:eastAsia="en-AU"/>
      </w:rPr>
      <mc:AlternateContent>
        <mc:Choice Requires="wps">
          <w:drawing>
            <wp:anchor distT="0" distB="0" distL="114300" distR="114300" simplePos="0" relativeHeight="251663360" behindDoc="1" locked="0" layoutInCell="0" allowOverlap="1" wp14:anchorId="7FE49984" wp14:editId="4D1D23ED">
              <wp:simplePos x="0" y="0"/>
              <wp:positionH relativeFrom="margin">
                <wp:align>center</wp:align>
              </wp:positionH>
              <wp:positionV relativeFrom="margin">
                <wp:align>center</wp:align>
              </wp:positionV>
              <wp:extent cx="6308725" cy="2523490"/>
              <wp:effectExtent l="0" t="1714500" r="0" b="138176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08725" cy="2523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4860D9" w14:textId="77777777" w:rsidR="00507428" w:rsidRDefault="00507428" w:rsidP="000A2D4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E49984" id="_x0000_t202" coordsize="21600,21600" o:spt="202" path="m,l,21600r21600,l21600,xe">
              <v:stroke joinstyle="miter"/>
              <v:path gradientshapeok="t" o:connecttype="rect"/>
            </v:shapetype>
            <v:shape id="Text Box 193" o:spid="_x0000_s1032" type="#_x0000_t202" style="position:absolute;margin-left:0;margin-top:0;width:496.75pt;height:198.7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" o:allowincell="f" filled="f" stroked="f">
              <v:stroke joinstyle="round"/>
              <o:lock v:ext="edit" shapetype="t"/>
              <v:textbox style="mso-fit-shape-to-text:t">
                <w:txbxContent>
                  <w:p w14:paraId="114860D9" w14:textId="77777777" w:rsidR="00507428" w:rsidRDefault="00507428" w:rsidP="000A2D4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AC1C" w14:textId="63EB76C8" w:rsidR="00507428" w:rsidRDefault="0050742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527A2" w14:textId="5B38B36B" w:rsidR="00507428" w:rsidRDefault="0050742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CDF25" w14:textId="519889CE" w:rsidR="00507428" w:rsidRPr="007E5215" w:rsidRDefault="00507428" w:rsidP="000702F7">
    <w:pPr>
      <w:pStyle w:val="Header"/>
    </w:pPr>
    <w:r w:rsidRPr="00AB5A95">
      <w:rPr>
        <w:noProof/>
        <w:snapToGrid/>
        <w:color w:val="FFFFFF" w:themeColor="background1"/>
        <w:lang w:eastAsia="en-AU"/>
      </w:rPr>
      <w:ptab w:relativeTo="margin" w:alignment="right" w:leader="none"/>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A3C9C" w14:textId="46200553" w:rsidR="00507428" w:rsidRDefault="0050742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4F0BA" w14:textId="50665F61" w:rsidR="00507428" w:rsidRPr="00464A2B" w:rsidRDefault="00507428" w:rsidP="00DA3F76">
    <w:pPr>
      <w:pStyle w:val="Header"/>
    </w:pPr>
    <w:r>
      <w:rPr>
        <w:noProof/>
        <w:snapToGrid/>
        <w:color w:val="000000" w:themeColor="text1"/>
        <w:lang w:eastAsia="en-AU"/>
      </w:rPr>
      <w:fldChar w:fldCharType="begin"/>
    </w:r>
    <w:r>
      <w:rPr>
        <w:noProof/>
        <w:snapToGrid/>
        <w:color w:val="000000" w:themeColor="text1"/>
        <w:lang w:eastAsia="en-AU"/>
      </w:rPr>
      <w:instrText xml:space="preserve"> STYLEREF  "Heading 2 Appendix" \w </w:instrText>
    </w:r>
    <w:r>
      <w:rPr>
        <w:noProof/>
        <w:snapToGrid/>
        <w:color w:val="000000" w:themeColor="text1"/>
        <w:lang w:eastAsia="en-AU"/>
      </w:rPr>
      <w:fldChar w:fldCharType="separate"/>
    </w:r>
    <w:r w:rsidR="00552375">
      <w:rPr>
        <w:noProof/>
        <w:snapToGrid/>
        <w:color w:val="000000" w:themeColor="text1"/>
        <w:lang w:eastAsia="en-AU"/>
      </w:rPr>
      <w:t>Appendix B</w:t>
    </w:r>
    <w:r>
      <w:rPr>
        <w:noProof/>
        <w:snapToGrid/>
        <w:color w:val="000000" w:themeColor="text1"/>
        <w:lang w:eastAsia="en-AU"/>
      </w:rPr>
      <w:fldChar w:fldCharType="end"/>
    </w:r>
    <w:r>
      <w:rPr>
        <w:noProof/>
        <w:snapToGrid/>
        <w:color w:val="000000" w:themeColor="text1"/>
        <w:lang w:eastAsia="en-AU"/>
      </w:rPr>
      <w:t xml:space="preserve"> </w:t>
    </w:r>
    <w:r>
      <w:rPr>
        <w:noProof/>
        <w:snapToGrid/>
        <w:color w:val="000000" w:themeColor="text1"/>
        <w:lang w:eastAsia="en-AU"/>
      </w:rPr>
      <w:fldChar w:fldCharType="begin"/>
    </w:r>
    <w:r>
      <w:rPr>
        <w:noProof/>
        <w:snapToGrid/>
        <w:color w:val="000000" w:themeColor="text1"/>
        <w:lang w:eastAsia="en-AU"/>
      </w:rPr>
      <w:instrText xml:space="preserve"> STYLEREF  "Heading 2 Appendix" </w:instrText>
    </w:r>
    <w:r>
      <w:rPr>
        <w:noProof/>
        <w:snapToGrid/>
        <w:color w:val="000000" w:themeColor="text1"/>
        <w:lang w:eastAsia="en-AU"/>
      </w:rPr>
      <w:fldChar w:fldCharType="separate"/>
    </w:r>
    <w:r w:rsidR="00552375">
      <w:rPr>
        <w:noProof/>
        <w:snapToGrid/>
        <w:color w:val="000000" w:themeColor="text1"/>
        <w:lang w:eastAsia="en-AU"/>
      </w:rPr>
      <w:t>Policy changes</w:t>
    </w:r>
    <w:r>
      <w:rPr>
        <w:noProof/>
        <w:snapToGrid/>
        <w:color w:val="000000" w:themeColor="text1"/>
        <w:lang w:eastAsia="en-AU"/>
      </w:rPr>
      <w:fldChar w:fldCharType="end"/>
    </w:r>
    <w:r w:rsidRPr="00A4206D">
      <w:rPr>
        <w:noProof/>
        <w:snapToGrid/>
        <w:color w:val="000000" w:themeColor="text1"/>
        <w:lang w:eastAsia="en-AU"/>
      </w:rPr>
      <w:ptab w:relativeTo="margin" w:alignment="right" w:leader="none"/>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38095" w14:textId="73847398" w:rsidR="00507428" w:rsidRPr="00202D53" w:rsidRDefault="00507428" w:rsidP="000702F7">
    <w:pPr>
      <w:pStyle w:val="Header"/>
      <w:rPr>
        <w:color w:val="auto"/>
      </w:rPr>
    </w:pPr>
    <w:r>
      <w:rPr>
        <w:noProof/>
        <w:snapToGrid/>
        <w:color w:val="000000" w:themeColor="text1"/>
        <w:lang w:eastAsia="en-AU"/>
      </w:rPr>
      <w:fldChar w:fldCharType="begin"/>
    </w:r>
    <w:r>
      <w:rPr>
        <w:noProof/>
        <w:snapToGrid/>
        <w:color w:val="000000" w:themeColor="text1"/>
        <w:lang w:eastAsia="en-AU"/>
      </w:rPr>
      <w:instrText xml:space="preserve"> STYLEREF  "Heading 2 Appendix" \w </w:instrText>
    </w:r>
    <w:r>
      <w:rPr>
        <w:noProof/>
        <w:snapToGrid/>
        <w:color w:val="000000" w:themeColor="text1"/>
        <w:lang w:eastAsia="en-AU"/>
      </w:rPr>
      <w:fldChar w:fldCharType="separate"/>
    </w:r>
    <w:r>
      <w:rPr>
        <w:noProof/>
        <w:snapToGrid/>
        <w:color w:val="000000" w:themeColor="text1"/>
        <w:lang w:eastAsia="en-AU"/>
      </w:rPr>
      <w:t>Appendix A</w:t>
    </w:r>
    <w:r>
      <w:rPr>
        <w:noProof/>
        <w:snapToGrid/>
        <w:color w:val="000000" w:themeColor="text1"/>
        <w:lang w:eastAsia="en-AU"/>
      </w:rPr>
      <w:fldChar w:fldCharType="end"/>
    </w:r>
    <w:r>
      <w:rPr>
        <w:noProof/>
        <w:snapToGrid/>
        <w:color w:val="000000" w:themeColor="text1"/>
        <w:lang w:eastAsia="en-AU"/>
      </w:rPr>
      <w:t xml:space="preserve"> </w:t>
    </w:r>
    <w:r>
      <w:rPr>
        <w:noProof/>
        <w:snapToGrid/>
        <w:color w:val="000000" w:themeColor="text1"/>
        <w:lang w:eastAsia="en-AU"/>
      </w:rPr>
      <w:fldChar w:fldCharType="begin"/>
    </w:r>
    <w:r>
      <w:rPr>
        <w:noProof/>
        <w:snapToGrid/>
        <w:color w:val="000000" w:themeColor="text1"/>
        <w:lang w:eastAsia="en-AU"/>
      </w:rPr>
      <w:instrText xml:space="preserve"> STYLEREF  "Heading 2 Appendix" </w:instrText>
    </w:r>
    <w:r>
      <w:rPr>
        <w:noProof/>
        <w:snapToGrid/>
        <w:color w:val="000000" w:themeColor="text1"/>
        <w:lang w:eastAsia="en-AU"/>
      </w:rPr>
      <w:fldChar w:fldCharType="separate"/>
    </w:r>
    <w:r>
      <w:rPr>
        <w:noProof/>
        <w:snapToGrid/>
        <w:color w:val="000000" w:themeColor="text1"/>
        <w:lang w:eastAsia="en-AU"/>
      </w:rPr>
      <w:t>Glossary</w:t>
    </w:r>
    <w:r>
      <w:rPr>
        <w:noProof/>
        <w:snapToGrid/>
        <w:color w:val="000000" w:themeColor="text1"/>
        <w:lang w:eastAsia="en-AU"/>
      </w:rPr>
      <w:fldChar w:fldCharType="end"/>
    </w:r>
    <w:r w:rsidRPr="00202D53">
      <w:rPr>
        <w:noProof/>
        <w:snapToGrid/>
        <w:color w:val="auto"/>
        <w:lang w:eastAsia="en-AU"/>
      </w:rPr>
      <w:ptab w:relativeTo="margin" w:alignment="right" w:leader="none"/>
    </w:r>
    <w:r w:rsidRPr="00AA5D12">
      <w:rPr>
        <w:b/>
        <w:noProof/>
        <w:snapToGrid/>
        <w:color w:val="808080" w:themeColor="background1" w:themeShade="80"/>
        <w:sz w:val="24"/>
        <w:lang w:eastAsia="en-AU"/>
      </w:rPr>
      <w:t>Confidential Draft</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BF82D" w14:textId="2F5ACFEE" w:rsidR="00507428" w:rsidRPr="00662D6A" w:rsidRDefault="00507428" w:rsidP="00662D6A">
    <w:pPr>
      <w:pStyle w:val="Footer"/>
      <w:rPr>
        <w:b/>
        <w:color w:val="FFFFFF" w:themeColor="background1"/>
      </w:rPr>
    </w:pPr>
    <w:r w:rsidRPr="00662D6A">
      <w:rPr>
        <w:noProof/>
        <w:snapToGrid/>
        <w:color w:val="FFFFFF" w:themeColor="background1"/>
        <w:lang w:eastAsia="en-AU"/>
      </w:rPr>
      <w:drawing>
        <wp:anchor distT="0" distB="0" distL="114300" distR="114300" simplePos="0" relativeHeight="251657216" behindDoc="1" locked="0" layoutInCell="1" allowOverlap="1" wp14:anchorId="4808D44F" wp14:editId="71F810AA">
          <wp:simplePos x="0" y="0"/>
          <wp:positionH relativeFrom="page">
            <wp:posOffset>144379</wp:posOffset>
          </wp:positionH>
          <wp:positionV relativeFrom="page">
            <wp:posOffset>144378</wp:posOffset>
          </wp:positionV>
          <wp:extent cx="7270728" cy="10371221"/>
          <wp:effectExtent l="0" t="0" r="6985" b="0"/>
          <wp:wrapNone/>
          <wp:docPr id="120" name="Picture 120" descr="Decorative grey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n Wright\Desktop\01 Initial Files for TAG\127028556_app and back cov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2000" cy="103730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themeColor="background1"/>
        <w:lang w:eastAsia="en-AU"/>
      </w:rPr>
      <mc:AlternateContent>
        <mc:Choice Requires="wps">
          <w:drawing>
            <wp:anchor distT="0" distB="0" distL="114300" distR="114300" simplePos="0" relativeHeight="251659264" behindDoc="1" locked="0" layoutInCell="0" allowOverlap="1" wp14:anchorId="5E2752BB" wp14:editId="54A4343B">
              <wp:simplePos x="0" y="0"/>
              <wp:positionH relativeFrom="margin">
                <wp:align>center</wp:align>
              </wp:positionH>
              <wp:positionV relativeFrom="margin">
                <wp:align>center</wp:align>
              </wp:positionV>
              <wp:extent cx="5520055" cy="1839595"/>
              <wp:effectExtent l="0" t="1562100" r="0" b="1351280"/>
              <wp:wrapNone/>
              <wp:docPr id="55" name="WordAr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0055" cy="1839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060AE2" w14:textId="77777777" w:rsidR="00507428" w:rsidRDefault="00507428" w:rsidP="00A578C1">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2752BB" id="_x0000_t202" coordsize="21600,21600" o:spt="202" path="m,l,21600r21600,l21600,xe">
              <v:stroke joinstyle="miter"/>
              <v:path gradientshapeok="t" o:connecttype="rect"/>
            </v:shapetype>
            <v:shape id="WordArt 190" o:spid="_x0000_s1033" type="#_x0000_t202" style="position:absolute;margin-left:0;margin-top:0;width:434.65pt;height:144.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" o:allowincell="f" filled="f" stroked="f">
              <v:stroke joinstyle="round"/>
              <o:lock v:ext="edit" shapetype="t"/>
              <v:textbox style="mso-fit-shape-to-text:t">
                <w:txbxContent>
                  <w:p w14:paraId="70060AE2" w14:textId="77777777" w:rsidR="00507428" w:rsidRDefault="00507428" w:rsidP="00A578C1">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662D6A">
      <w:rPr>
        <w:b/>
        <w:color w:val="FFFFFF" w:themeColor="background1"/>
      </w:rPr>
      <w:ptab w:relativeTo="margin" w:alignment="right" w:leader="none"/>
    </w:r>
    <w:r>
      <w:rPr>
        <w:noProof/>
        <w:color w:val="FFFFFF" w:themeColor="background1"/>
        <w:lang w:eastAsia="en-AU"/>
      </w:rPr>
      <mc:AlternateContent>
        <mc:Choice Requires="wps">
          <w:drawing>
            <wp:anchor distT="0" distB="0" distL="114300" distR="114300" simplePos="0" relativeHeight="251658240" behindDoc="1" locked="0" layoutInCell="0" allowOverlap="1" wp14:anchorId="312CED10" wp14:editId="3A74999E">
              <wp:simplePos x="0" y="0"/>
              <wp:positionH relativeFrom="margin">
                <wp:align>center</wp:align>
              </wp:positionH>
              <wp:positionV relativeFrom="margin">
                <wp:align>center</wp:align>
              </wp:positionV>
              <wp:extent cx="5520055" cy="1839595"/>
              <wp:effectExtent l="0" t="1562100" r="0" b="1351280"/>
              <wp:wrapNone/>
              <wp:docPr id="4" name="WordAr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0055" cy="1839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BD52E5" w14:textId="77777777" w:rsidR="00507428" w:rsidRDefault="00507428" w:rsidP="00A578C1">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2CED10" id="WordArt 189" o:spid="_x0000_s1034" type="#_x0000_t202" style="position:absolute;margin-left:0;margin-top:0;width:434.65pt;height:144.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" o:allowincell="f" filled="f" stroked="f">
              <v:stroke joinstyle="round"/>
              <o:lock v:ext="edit" shapetype="t"/>
              <v:textbox style="mso-fit-shape-to-text:t">
                <w:txbxContent>
                  <w:p w14:paraId="4EBD52E5" w14:textId="77777777" w:rsidR="00507428" w:rsidRDefault="00507428" w:rsidP="00A578C1">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75DE1" w14:textId="6C32B93A" w:rsidR="00507428" w:rsidRPr="000F4EB8" w:rsidRDefault="00507428" w:rsidP="00CD4A84">
    <w:pPr>
      <w:pStyle w:val="URLCover"/>
      <w:rPr>
        <w:rFonts w:eastAsia="+mn-ea"/>
      </w:rPr>
    </w:pPr>
    <w:r>
      <w:t xml:space="preserve"> </w:t>
    </w:r>
    <w:r>
      <w:rPr>
        <w:noProof/>
        <w:snapToGrid/>
        <w:lang w:eastAsia="en-AU"/>
      </w:rPr>
      <w:drawing>
        <wp:anchor distT="0" distB="0" distL="114300" distR="114300" simplePos="0" relativeHeight="251660288" behindDoc="0" locked="0" layoutInCell="1" allowOverlap="1" wp14:anchorId="60D52EC7" wp14:editId="7B91CC0D">
          <wp:simplePos x="0" y="0"/>
          <wp:positionH relativeFrom="page">
            <wp:align>left</wp:align>
          </wp:positionH>
          <wp:positionV relativeFrom="page">
            <wp:align>top</wp:align>
          </wp:positionV>
          <wp:extent cx="7560000" cy="10800000"/>
          <wp:effectExtent l="0" t="0" r="3175" b="1905"/>
          <wp:wrapNone/>
          <wp:docPr id="2" name="Picture 2" descr="Z:\BPS\Presentations\Document Services\Live Jobs\PwC\127057947_DSS report formatting_OSV1\Workarea\cover\Slide1.PNG"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BPS\Presentations\Document Services\Live Jobs\PwC\127057947_DSS report formatting_OSV1\Workarea\cover\Slide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80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A716F" w14:textId="22804EC6" w:rsidR="00507428" w:rsidRPr="00662D6A" w:rsidRDefault="00507428" w:rsidP="00662D6A">
    <w:pPr>
      <w:pStyle w:val="Footer"/>
      <w:rPr>
        <w:b/>
        <w:color w:val="FFFFFF" w:themeColor="background1"/>
      </w:rPr>
    </w:pPr>
    <w:r w:rsidRPr="00662D6A">
      <w:rPr>
        <w:b/>
        <w:color w:val="FFFFFF" w:themeColor="background1"/>
      </w:rPr>
      <w:ptab w:relativeTo="margin" w:alignment="right" w:leader="none"/>
    </w:r>
  </w:p>
  <w:p w14:paraId="36AE6DAA" w14:textId="77777777" w:rsidR="00507428" w:rsidRPr="00662D6A" w:rsidRDefault="00507428" w:rsidP="00662D6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D6F91" w14:textId="59F130D3" w:rsidR="00507428" w:rsidRDefault="00507428" w:rsidP="00CD4A84">
    <w:pPr>
      <w:pStyle w:val="URL"/>
      <w:framePr w:wrap="around" w:x="1004" w:y="437"/>
      <w:numPr>
        <w:ilvl w:val="0"/>
        <w:numId w:val="1"/>
      </w:numPr>
    </w:pPr>
    <w:r>
      <w:t>www.pwc.com.au</w:t>
    </w:r>
  </w:p>
  <w:p w14:paraId="439DDE39" w14:textId="77777777" w:rsidR="00507428" w:rsidRPr="00B51431" w:rsidRDefault="00507428" w:rsidP="00CD4A84">
    <w:pPr>
      <w:pStyle w:val="Header"/>
      <w:rPr>
        <w:color w:val="FFFFFF" w:themeColor="background1"/>
      </w:rPr>
    </w:pPr>
    <w:r>
      <w:rPr>
        <w:noProof/>
        <w:snapToGrid/>
        <w:lang w:eastAsia="en-AU"/>
      </w:rPr>
      <w:drawing>
        <wp:anchor distT="0" distB="0" distL="114300" distR="114300" simplePos="0" relativeHeight="251634688" behindDoc="1" locked="0" layoutInCell="1" allowOverlap="1" wp14:anchorId="4A7FF06A" wp14:editId="2636289A">
          <wp:simplePos x="0" y="0"/>
          <wp:positionH relativeFrom="page">
            <wp:posOffset>144379</wp:posOffset>
          </wp:positionH>
          <wp:positionV relativeFrom="page">
            <wp:posOffset>144379</wp:posOffset>
          </wp:positionV>
          <wp:extent cx="7271599" cy="10443410"/>
          <wp:effectExtent l="0" t="0" r="5715" b="0"/>
          <wp:wrapNone/>
          <wp:docPr id="389" name="Picture 389" descr="Decorative grey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n Wright\Desktop\01 Initial Files for TAG\127028556_app and back cover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2000" cy="104439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AU"/>
      </w:rPr>
      <w:ptab w:relativeTo="margin" w:alignment="right" w:leader="none"/>
    </w:r>
  </w:p>
  <w:p w14:paraId="1A6314AA" w14:textId="77777777" w:rsidR="00507428" w:rsidRPr="00B51431" w:rsidRDefault="00507428" w:rsidP="00CD4A84">
    <w:pPr>
      <w:pStyle w:val="Header"/>
    </w:pPr>
  </w:p>
  <w:p w14:paraId="661C7D12" w14:textId="77777777" w:rsidR="00507428" w:rsidRPr="00CD4A84" w:rsidRDefault="00507428" w:rsidP="00CD4A8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C1BB5" w14:textId="14EAEE6A" w:rsidR="00507428" w:rsidRPr="0073669D" w:rsidRDefault="00507428" w:rsidP="00662D6A">
    <w:pPr>
      <w:pStyle w:val="Footer"/>
      <w:rPr>
        <w:b/>
        <w:color w:val="FFFFFF" w:themeColor="background1"/>
      </w:rPr>
    </w:pPr>
    <w:r w:rsidRPr="0073669D">
      <w:rPr>
        <w:color w:val="FFFFFF" w:themeColor="background1"/>
        <w:sz w:val="36"/>
        <w:szCs w:val="36"/>
      </w:rPr>
      <w:t>www.pwc.com.au</w:t>
    </w:r>
    <w:r>
      <w:rPr>
        <w:noProof/>
        <w:snapToGrid/>
        <w:lang w:eastAsia="en-AU"/>
      </w:rPr>
      <w:drawing>
        <wp:anchor distT="0" distB="0" distL="114300" distR="114300" simplePos="0" relativeHeight="251635712" behindDoc="1" locked="0" layoutInCell="1" allowOverlap="1" wp14:anchorId="38F3BC94" wp14:editId="06C06C7F">
          <wp:simplePos x="0" y="0"/>
          <wp:positionH relativeFrom="page">
            <wp:align>center</wp:align>
          </wp:positionH>
          <wp:positionV relativeFrom="page">
            <wp:align>center</wp:align>
          </wp:positionV>
          <wp:extent cx="7272000" cy="10443600"/>
          <wp:effectExtent l="0" t="0" r="5715" b="0"/>
          <wp:wrapNone/>
          <wp:docPr id="11" name="Picture 11" descr="Decorative grey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n Wright\Desktop\01 Initial Files for TAG\127028556_app and back cover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2000" cy="1044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69D">
      <w:rPr>
        <w:b/>
        <w:color w:val="FFFFFF" w:themeColor="background1"/>
      </w:rPr>
      <w:ptab w:relativeTo="margin" w:alignment="right" w:leader="none"/>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3A2F2" w14:textId="49E7BAAC" w:rsidR="00507428" w:rsidRPr="00CD4A84" w:rsidRDefault="00507428" w:rsidP="00CD4A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A7B96" w14:textId="26030241" w:rsidR="00507428" w:rsidRPr="00AB5A95" w:rsidRDefault="00507428" w:rsidP="00CD4A84">
    <w:pPr>
      <w:pStyle w:val="Header"/>
      <w:rPr>
        <w:color w:val="FFFFFF" w:themeColor="background1"/>
      </w:rPr>
    </w:pPr>
    <w:r w:rsidRPr="00AB5A95">
      <w:rPr>
        <w:noProof/>
        <w:snapToGrid/>
        <w:color w:val="FFFFFF" w:themeColor="background1"/>
        <w:lang w:eastAsia="en-AU"/>
      </w:rP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F72A2" w14:textId="16ED152C" w:rsidR="00507428" w:rsidRPr="00AB5A95" w:rsidRDefault="00507428" w:rsidP="008D5428">
    <w:pPr>
      <w:pStyle w:val="Header"/>
      <w:rPr>
        <w:color w:val="FFFFFF" w:themeColor="background1"/>
      </w:rPr>
    </w:pPr>
    <w:r w:rsidRPr="00AB5A95">
      <w:rPr>
        <w:noProof/>
        <w:snapToGrid/>
        <w:color w:val="FFFFFF" w:themeColor="background1"/>
        <w:lang w:eastAsia="en-AU"/>
      </w:rP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9E06" w14:textId="30BB8C52" w:rsidR="00507428" w:rsidRPr="00AB5A95" w:rsidRDefault="00507428" w:rsidP="00CD4A84">
    <w:pPr>
      <w:pStyle w:val="Header"/>
      <w:rPr>
        <w:color w:val="FFFFFF" w:themeColor="background1"/>
      </w:rPr>
    </w:pPr>
    <w:r>
      <w:rPr>
        <w:noProof/>
        <w:color w:val="FFFFFF" w:themeColor="background1"/>
        <w:lang w:eastAsia="en-AU"/>
      </w:rPr>
      <mc:AlternateContent>
        <mc:Choice Requires="wps">
          <w:drawing>
            <wp:anchor distT="0" distB="0" distL="114300" distR="114300" simplePos="0" relativeHeight="251643904" behindDoc="1" locked="0" layoutInCell="0" allowOverlap="1" wp14:anchorId="3221133A" wp14:editId="6A4859E1">
              <wp:simplePos x="0" y="0"/>
              <wp:positionH relativeFrom="margin">
                <wp:align>center</wp:align>
              </wp:positionH>
              <wp:positionV relativeFrom="margin">
                <wp:align>center</wp:align>
              </wp:positionV>
              <wp:extent cx="5520055" cy="1839595"/>
              <wp:effectExtent l="0" t="1562100" r="0" b="1351280"/>
              <wp:wrapNone/>
              <wp:docPr id="1058" name="WordArt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0055" cy="1839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9623F8" w14:textId="77777777" w:rsidR="00507428" w:rsidRDefault="00507428" w:rsidP="00A578C1">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21133A" id="_x0000_t202" coordsize="21600,21600" o:spt="202" path="m,l,21600r21600,l21600,xe">
              <v:stroke joinstyle="miter"/>
              <v:path gradientshapeok="t" o:connecttype="rect"/>
            </v:shapetype>
            <v:shape id="WordArt 149" o:spid="_x0000_s1028" type="#_x0000_t202" style="position:absolute;margin-left:0;margin-top:0;width:434.65pt;height:144.85pt;rotation:-45;z-index:-251672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" o:allowincell="f" filled="f" stroked="f">
              <v:stroke joinstyle="round"/>
              <o:lock v:ext="edit" shapetype="t"/>
              <v:textbox style="mso-fit-shape-to-text:t">
                <w:txbxContent>
                  <w:p w14:paraId="049623F8" w14:textId="77777777" w:rsidR="00507428" w:rsidRDefault="00507428" w:rsidP="00A578C1">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AB5A95">
      <w:rPr>
        <w:noProof/>
        <w:snapToGrid/>
        <w:color w:val="FFFFFF" w:themeColor="background1"/>
        <w:lang w:eastAsia="en-AU"/>
      </w:rPr>
      <w:ptab w:relativeTo="margin" w:alignment="right" w:leader="none"/>
    </w:r>
    <w:r w:rsidRPr="00AB5A95">
      <w:rPr>
        <w:b/>
        <w:noProof/>
        <w:snapToGrid/>
        <w:color w:val="FFFFFF" w:themeColor="background1"/>
        <w:lang w:eastAsia="en-AU"/>
      </w:rPr>
      <w:t>Confidential</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9591" w14:textId="1D13F8D8" w:rsidR="00507428" w:rsidRPr="00A4206D" w:rsidRDefault="00507428" w:rsidP="008D5428">
    <w:pPr>
      <w:pStyle w:val="Header"/>
      <w:rPr>
        <w:color w:val="000000" w:themeColor="text1"/>
      </w:rPr>
    </w:pPr>
    <w:r w:rsidRPr="00A4206D">
      <w:rPr>
        <w:noProof/>
        <w:snapToGrid/>
        <w:color w:val="000000" w:themeColor="text1"/>
        <w:lang w:eastAsia="en-AU"/>
      </w:rPr>
      <w:fldChar w:fldCharType="begin"/>
    </w:r>
    <w:r w:rsidRPr="00A4206D">
      <w:rPr>
        <w:noProof/>
        <w:snapToGrid/>
        <w:color w:val="000000" w:themeColor="text1"/>
        <w:lang w:eastAsia="en-AU"/>
      </w:rPr>
      <w:instrText xml:space="preserve"> STYLEREF "Heading 1" </w:instrText>
    </w:r>
    <w:r w:rsidRPr="00A4206D">
      <w:rPr>
        <w:noProof/>
        <w:snapToGrid/>
        <w:color w:val="000000" w:themeColor="text1"/>
        <w:lang w:eastAsia="en-AU"/>
      </w:rPr>
      <w:fldChar w:fldCharType="separate"/>
    </w:r>
    <w:r>
      <w:rPr>
        <w:noProof/>
        <w:snapToGrid/>
        <w:color w:val="000000" w:themeColor="text1"/>
        <w:lang w:eastAsia="en-AU"/>
      </w:rPr>
      <w:t>Part I: Executive summary</w:t>
    </w:r>
    <w:r w:rsidRPr="00A4206D">
      <w:rPr>
        <w:noProof/>
        <w:snapToGrid/>
        <w:color w:val="000000" w:themeColor="text1"/>
        <w:lang w:eastAsia="en-AU"/>
      </w:rPr>
      <w:fldChar w:fldCharType="end"/>
    </w:r>
    <w:r w:rsidRPr="00A4206D">
      <w:rPr>
        <w:noProof/>
        <w:snapToGrid/>
        <w:color w:val="000000" w:themeColor="text1"/>
        <w:lang w:eastAsia="en-AU"/>
      </w:rP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24413" w14:textId="71F08F2C" w:rsidR="00507428" w:rsidRPr="00A4206D" w:rsidRDefault="00507428" w:rsidP="00202D53">
    <w:pPr>
      <w:pStyle w:val="Header"/>
      <w:rPr>
        <w:color w:val="000000" w:themeColor="text1"/>
      </w:rPr>
    </w:pPr>
    <w:r>
      <w:rPr>
        <w:noProof/>
        <w:snapToGrid/>
        <w:lang w:eastAsia="en-AU"/>
      </w:rPr>
      <w:t>Executive summary</w:t>
    </w:r>
    <w:r w:rsidRPr="00A4206D">
      <w:rPr>
        <w:noProof/>
        <w:snapToGrid/>
        <w:color w:val="000000" w:themeColor="text1"/>
        <w:lang w:eastAsia="en-AU"/>
      </w:rPr>
      <w:ptab w:relativeTo="margin" w:alignment="right" w:leader="none"/>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5839" w14:textId="56A89975" w:rsidR="00507428" w:rsidRPr="001F627D" w:rsidRDefault="00507428" w:rsidP="001F627D">
    <w:pPr>
      <w:pStyle w:val="Footer"/>
      <w:rPr>
        <w:b/>
        <w:color w:val="FFFFFF" w:themeColor="background1"/>
      </w:rPr>
    </w:pPr>
    <w:r w:rsidRPr="001F627D">
      <w:rPr>
        <w:noProof/>
        <w:snapToGrid/>
        <w:color w:val="FFFFFF" w:themeColor="background1"/>
        <w:lang w:eastAsia="en-AU"/>
      </w:rPr>
      <w:drawing>
        <wp:anchor distT="0" distB="0" distL="114300" distR="114300" simplePos="0" relativeHeight="251636736" behindDoc="1" locked="0" layoutInCell="1" allowOverlap="1" wp14:anchorId="196DCE85" wp14:editId="74AD0D76">
          <wp:simplePos x="0" y="0"/>
          <wp:positionH relativeFrom="page">
            <wp:posOffset>144379</wp:posOffset>
          </wp:positionH>
          <wp:positionV relativeFrom="page">
            <wp:posOffset>144378</wp:posOffset>
          </wp:positionV>
          <wp:extent cx="7270728" cy="10371221"/>
          <wp:effectExtent l="0" t="0" r="6985" b="0"/>
          <wp:wrapNone/>
          <wp:docPr id="1050" name="Picture 1050"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n Wright\Desktop\01 Initial Files for TAG\127028556_app and back cov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2000" cy="10373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27D">
      <w:rPr>
        <w:b/>
        <w:color w:val="FFFFFF" w:themeColor="background1"/>
      </w:rPr>
      <w:ptab w:relativeTo="margin" w:alignment="right" w:leader="none"/>
    </w:r>
    <w:r w:rsidRPr="001F627D">
      <w:rPr>
        <w:b/>
        <w:color w:val="FFFFFF" w:themeColor="background1"/>
      </w:rPr>
      <w:t>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0F15E9"/>
    <w:multiLevelType w:val="multilevel"/>
    <w:tmpl w:val="0C70999A"/>
    <w:styleLink w:val="NormalWhiteBullet"/>
    <w:lvl w:ilvl="0">
      <w:start w:val="1"/>
      <w:numFmt w:val="bullet"/>
      <w:pStyle w:val="TableTextNormalWhiteBullet"/>
      <w:lvlText w:val=""/>
      <w:lvlJc w:val="left"/>
      <w:pPr>
        <w:ind w:left="284" w:hanging="284"/>
      </w:pPr>
      <w:rPr>
        <w:rFonts w:ascii="Symbol" w:hAnsi="Symbol"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 w15:restartNumberingAfterBreak="0">
    <w:nsid w:val="08112352"/>
    <w:multiLevelType w:val="multilevel"/>
    <w:tmpl w:val="A0E0581C"/>
    <w:styleLink w:val="Bullets"/>
    <w:lvl w:ilvl="0">
      <w:start w:val="1"/>
      <w:numFmt w:val="bullet"/>
      <w:pStyle w:val="Bullet1"/>
      <w:lvlText w:val=""/>
      <w:lvlJc w:val="left"/>
      <w:pPr>
        <w:tabs>
          <w:tab w:val="num" w:pos="284"/>
        </w:tabs>
        <w:ind w:left="284" w:hanging="284"/>
      </w:pPr>
      <w:rPr>
        <w:rFonts w:ascii="Symbol" w:hAnsi="Symbol" w:hint="default"/>
        <w:color w:val="404040" w:themeColor="text1" w:themeTint="BF"/>
      </w:rPr>
    </w:lvl>
    <w:lvl w:ilvl="1">
      <w:start w:val="1"/>
      <w:numFmt w:val="bullet"/>
      <w:pStyle w:val="Bullet2"/>
      <w:lvlText w:val="–"/>
      <w:lvlJc w:val="left"/>
      <w:pPr>
        <w:tabs>
          <w:tab w:val="num" w:pos="567"/>
        </w:tabs>
        <w:ind w:left="568" w:hanging="284"/>
      </w:pPr>
      <w:rPr>
        <w:rFonts w:ascii="Arial" w:hAnsi="Arial" w:hint="default"/>
        <w:color w:val="404040" w:themeColor="text1" w:themeTint="BF"/>
      </w:rPr>
    </w:lvl>
    <w:lvl w:ilvl="2">
      <w:start w:val="1"/>
      <w:numFmt w:val="bullet"/>
      <w:pStyle w:val="Bullet3"/>
      <w:lvlText w:val="◦"/>
      <w:lvlJc w:val="left"/>
      <w:pPr>
        <w:tabs>
          <w:tab w:val="num" w:pos="851"/>
        </w:tabs>
        <w:ind w:left="852" w:hanging="284"/>
      </w:pPr>
      <w:rPr>
        <w:rFonts w:ascii="Georgia" w:hAnsi="Georgia" w:hint="default"/>
        <w:color w:val="auto"/>
      </w:rPr>
    </w:lvl>
    <w:lvl w:ilvl="3">
      <w:start w:val="1"/>
      <w:numFmt w:val="bullet"/>
      <w:pStyle w:val="Bullet4"/>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4" w15:restartNumberingAfterBreak="0">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84408E"/>
    <w:multiLevelType w:val="multilevel"/>
    <w:tmpl w:val="EE3860A0"/>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 w15:restartNumberingAfterBreak="0">
    <w:nsid w:val="0C525FAE"/>
    <w:multiLevelType w:val="multilevel"/>
    <w:tmpl w:val="D3E20192"/>
    <w:lvl w:ilvl="0">
      <w:start w:val="1"/>
      <w:numFmt w:val="lowerLetter"/>
      <w:lvlText w:val="%1)"/>
      <w:lvlJc w:val="left"/>
      <w:pPr>
        <w:tabs>
          <w:tab w:val="num" w:pos="284"/>
        </w:tabs>
        <w:ind w:left="284" w:hanging="284"/>
      </w:pPr>
      <w:rPr>
        <w:rFonts w:hint="default"/>
        <w:b w:val="0"/>
        <w:i w:val="0"/>
        <w:color w:val="404040" w:themeColor="text1" w:themeTint="BF"/>
      </w:rPr>
    </w:lvl>
    <w:lvl w:ilvl="1">
      <w:start w:val="1"/>
      <w:numFmt w:val="bullet"/>
      <w:lvlText w:val="–"/>
      <w:lvlJc w:val="left"/>
      <w:pPr>
        <w:tabs>
          <w:tab w:val="num" w:pos="567"/>
        </w:tabs>
        <w:ind w:left="568" w:hanging="284"/>
      </w:pPr>
      <w:rPr>
        <w:rFonts w:ascii="Arial" w:hAnsi="Arial"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7" w15:restartNumberingAfterBreak="0">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8" w15:restartNumberingAfterBreak="0">
    <w:nsid w:val="133F0943"/>
    <w:multiLevelType w:val="hybridMultilevel"/>
    <w:tmpl w:val="D72EBA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D755DA"/>
    <w:multiLevelType w:val="hybridMultilevel"/>
    <w:tmpl w:val="CE4A87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417FC4"/>
    <w:multiLevelType w:val="multilevel"/>
    <w:tmpl w:val="50B20D3A"/>
    <w:styleLink w:val="TableNumberedListSmall"/>
    <w:lvl w:ilvl="0">
      <w:start w:val="1"/>
      <w:numFmt w:val="decimal"/>
      <w:lvlRestart w:val="0"/>
      <w:pStyle w:val="TableNumberedListSmall1"/>
      <w:lvlText w:val="%1"/>
      <w:lvlJc w:val="left"/>
      <w:pPr>
        <w:tabs>
          <w:tab w:val="num" w:pos="283"/>
        </w:tabs>
        <w:ind w:left="284" w:hanging="284"/>
      </w:pPr>
      <w:rPr>
        <w:rFonts w:asciiTheme="minorHAnsi" w:hAnsiTheme="minorHAnsi" w:hint="default"/>
        <w:b w:val="0"/>
        <w:i w:val="0"/>
        <w:color w:val="auto"/>
        <w:sz w:val="20"/>
      </w:rPr>
    </w:lvl>
    <w:lvl w:ilvl="1">
      <w:start w:val="1"/>
      <w:numFmt w:val="lowerLetter"/>
      <w:lvlRestart w:val="0"/>
      <w:pStyle w:val="TableNumberedListSmall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Small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1" w15:restartNumberingAfterBreak="0">
    <w:nsid w:val="184E21E9"/>
    <w:multiLevelType w:val="hybridMultilevel"/>
    <w:tmpl w:val="5EC07C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5" w15:restartNumberingAfterBreak="0">
    <w:nsid w:val="24F87509"/>
    <w:multiLevelType w:val="hybridMultilevel"/>
    <w:tmpl w:val="5A003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83947C2"/>
    <w:multiLevelType w:val="multilevel"/>
    <w:tmpl w:val="50B20D3A"/>
    <w:numStyleLink w:val="TableNumberedListSmall"/>
  </w:abstractNum>
  <w:abstractNum w:abstractNumId="17" w15:restartNumberingAfterBreak="0">
    <w:nsid w:val="285C09A9"/>
    <w:multiLevelType w:val="multilevel"/>
    <w:tmpl w:val="9E5EE414"/>
    <w:styleLink w:val="Appendixheading"/>
    <w:lvl w:ilvl="0">
      <w:start w:val="1"/>
      <w:numFmt w:val="none"/>
      <w:lvlRestart w:val="0"/>
      <w:suff w:val="nothing"/>
      <w:lvlText w:val=""/>
      <w:lvlJc w:val="left"/>
      <w:pPr>
        <w:ind w:left="0" w:firstLine="0"/>
      </w:pPr>
      <w:rPr>
        <w:rFonts w:hint="default"/>
      </w:rPr>
    </w:lvl>
    <w:lvl w:ilvl="1">
      <w:start w:val="1"/>
      <w:numFmt w:val="upperLetter"/>
      <w:lvlRestart w:val="0"/>
      <w:lvlText w:val="%1%2"/>
      <w:lvlJc w:val="left"/>
      <w:pPr>
        <w:tabs>
          <w:tab w:val="num" w:pos="851"/>
        </w:tabs>
        <w:ind w:left="851" w:hanging="851"/>
      </w:pPr>
      <w:rPr>
        <w:rFonts w:hint="default"/>
      </w:rPr>
    </w:lvl>
    <w:lvl w:ilvl="2">
      <w:start w:val="1"/>
      <w:numFmt w:val="decimal"/>
      <w:lvlText w:val="%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upperLetter"/>
      <w:lvlRestart w:val="0"/>
      <w:lvlText w:val="Appendix %5"/>
      <w:lvlJc w:val="left"/>
      <w:pPr>
        <w:tabs>
          <w:tab w:val="num" w:pos="2552"/>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567"/>
        </w:tabs>
        <w:ind w:left="567" w:hanging="567"/>
      </w:pPr>
      <w:rPr>
        <w:rFonts w:hint="default"/>
        <w:b w:val="0"/>
        <w:i w:val="0"/>
        <w:color w:val="auto"/>
      </w:rPr>
    </w:lvl>
    <w:lvl w:ilvl="8">
      <w:start w:val="1"/>
      <w:numFmt w:val="lowerLetter"/>
      <w:lvlText w:val="%9"/>
      <w:lvlJc w:val="left"/>
      <w:pPr>
        <w:tabs>
          <w:tab w:val="num" w:pos="1134"/>
        </w:tabs>
        <w:ind w:left="1134" w:hanging="567"/>
      </w:pPr>
      <w:rPr>
        <w:rFonts w:hint="default"/>
        <w:b w:val="0"/>
        <w:i w:val="0"/>
        <w:color w:val="auto"/>
      </w:rPr>
    </w:lvl>
  </w:abstractNum>
  <w:abstractNum w:abstractNumId="18" w15:restartNumberingAfterBreak="0">
    <w:nsid w:val="29F60073"/>
    <w:multiLevelType w:val="multilevel"/>
    <w:tmpl w:val="28909FD8"/>
    <w:lvl w:ilvl="0">
      <w:start w:val="1"/>
      <w:numFmt w:val="decimal"/>
      <w:lvlRestart w:val="0"/>
      <w:pStyle w:val="TableNumberedList1"/>
      <w:lvlText w:val="%1"/>
      <w:lvlJc w:val="left"/>
      <w:pPr>
        <w:tabs>
          <w:tab w:val="num" w:pos="283"/>
        </w:tabs>
        <w:ind w:left="284" w:hanging="284"/>
      </w:pPr>
      <w:rPr>
        <w:rFonts w:ascii="Times New Roman" w:hAnsi="Times New Roman" w:hint="default"/>
        <w:b w:val="0"/>
        <w:i w:val="0"/>
        <w:color w:val="auto"/>
        <w:sz w:val="20"/>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9" w15:restartNumberingAfterBreak="0">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0" w15:restartNumberingAfterBreak="0">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AE522F"/>
    <w:multiLevelType w:val="hybridMultilevel"/>
    <w:tmpl w:val="175EC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A97523"/>
    <w:multiLevelType w:val="hybridMultilevel"/>
    <w:tmpl w:val="124676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95812A3"/>
    <w:multiLevelType w:val="hybridMultilevel"/>
    <w:tmpl w:val="7868C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4F29E4"/>
    <w:multiLevelType w:val="multilevel"/>
    <w:tmpl w:val="D310ABA0"/>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284"/>
        </w:tabs>
        <w:ind w:left="284" w:hanging="284"/>
      </w:pPr>
      <w:rPr>
        <w:rFonts w:hint="default"/>
        <w:b w:val="0"/>
        <w:i w:val="0"/>
        <w:color w:val="auto"/>
      </w:rPr>
    </w:lvl>
    <w:lvl w:ilvl="8">
      <w:start w:val="1"/>
      <w:numFmt w:val="lowerLetter"/>
      <w:lvlText w:val="%9"/>
      <w:lvlJc w:val="left"/>
      <w:pPr>
        <w:tabs>
          <w:tab w:val="num" w:pos="567"/>
        </w:tabs>
        <w:ind w:left="567" w:hanging="283"/>
      </w:pPr>
      <w:rPr>
        <w:rFonts w:hint="default"/>
        <w:b w:val="0"/>
        <w:i w:val="0"/>
        <w:color w:val="auto"/>
      </w:rPr>
    </w:lvl>
  </w:abstractNum>
  <w:abstractNum w:abstractNumId="27" w15:restartNumberingAfterBreak="0">
    <w:nsid w:val="3EE52A50"/>
    <w:multiLevelType w:val="multilevel"/>
    <w:tmpl w:val="EE12AE72"/>
    <w:styleLink w:val="PwCAppendixList1"/>
    <w:lvl w:ilvl="0">
      <w:start w:val="1"/>
      <w:numFmt w:val="upperLetter"/>
      <w:pStyle w:val="Appendix"/>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2267E70"/>
    <w:multiLevelType w:val="hybridMultilevel"/>
    <w:tmpl w:val="A880A7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0" w15:restartNumberingAfterBreak="0">
    <w:nsid w:val="4AAB5470"/>
    <w:multiLevelType w:val="multilevel"/>
    <w:tmpl w:val="70E46C8A"/>
    <w:lvl w:ilvl="0">
      <w:start w:val="1"/>
      <w:numFmt w:val="bullet"/>
      <w:lvlRestart w:val="0"/>
      <w:pStyle w:val="ListBullet"/>
      <w:lvlText w:val=""/>
      <w:lvlJc w:val="left"/>
      <w:pPr>
        <w:tabs>
          <w:tab w:val="num" w:pos="284"/>
        </w:tabs>
        <w:ind w:left="284" w:hanging="284"/>
      </w:pPr>
      <w:rPr>
        <w:rFonts w:ascii="Symbol" w:hAnsi="Symbol" w:hint="default"/>
        <w:b w:val="0"/>
        <w:i w:val="0"/>
        <w:color w:val="auto"/>
      </w:rPr>
    </w:lvl>
    <w:lvl w:ilvl="1">
      <w:start w:val="1"/>
      <w:numFmt w:val="bullet"/>
      <w:pStyle w:val="ListBullet2"/>
      <w:lvlText w:val="–"/>
      <w:lvlJc w:val="left"/>
      <w:pPr>
        <w:tabs>
          <w:tab w:val="num" w:pos="567"/>
        </w:tabs>
        <w:ind w:left="568" w:hanging="284"/>
      </w:pPr>
      <w:rPr>
        <w:rFonts w:ascii="Arial" w:hAnsi="Arial" w:hint="default"/>
        <w:b w:val="0"/>
        <w:i w:val="0"/>
        <w:color w:val="auto"/>
      </w:rPr>
    </w:lvl>
    <w:lvl w:ilvl="2">
      <w:start w:val="1"/>
      <w:numFmt w:val="bullet"/>
      <w:pStyle w:val="ListBullet3"/>
      <w:lvlText w:val="◦"/>
      <w:lvlJc w:val="left"/>
      <w:pPr>
        <w:tabs>
          <w:tab w:val="num" w:pos="851"/>
        </w:tabs>
        <w:ind w:left="852" w:hanging="284"/>
      </w:pPr>
      <w:rPr>
        <w:rFonts w:ascii="Georgia" w:hAnsi="Georgia" w:hint="default"/>
        <w:b w:val="0"/>
        <w:i w:val="0"/>
        <w:color w:val="auto"/>
        <w:sz w:val="18"/>
        <w:szCs w:val="10"/>
      </w:rPr>
    </w:lvl>
    <w:lvl w:ilvl="3">
      <w:start w:val="1"/>
      <w:numFmt w:val="bullet"/>
      <w:pStyle w:val="ListBullet4"/>
      <w:lvlText w:val=""/>
      <w:lvlJc w:val="left"/>
      <w:pPr>
        <w:tabs>
          <w:tab w:val="num" w:pos="1134"/>
        </w:tabs>
        <w:ind w:left="1136" w:hanging="284"/>
      </w:pPr>
      <w:rPr>
        <w:rFonts w:ascii="Symbol" w:hAnsi="Symbol" w:hint="default"/>
        <w:b w:val="0"/>
        <w:i w:val="0"/>
        <w:color w:val="auto"/>
        <w:sz w:val="20"/>
        <w:szCs w:val="10"/>
      </w:rPr>
    </w:lvl>
    <w:lvl w:ilvl="4">
      <w:start w:val="1"/>
      <w:numFmt w:val="bullet"/>
      <w:pStyle w:val="ListBullet5"/>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31" w15:restartNumberingAfterBreak="0">
    <w:nsid w:val="4D8C2F25"/>
    <w:multiLevelType w:val="multilevel"/>
    <w:tmpl w:val="6E008996"/>
    <w:lvl w:ilvl="0">
      <w:start w:val="1"/>
      <w:numFmt w:val="bullet"/>
      <w:lvlRestart w:val="0"/>
      <w:pStyle w:val="TableBullet1Normal"/>
      <w:lvlText w:val=""/>
      <w:lvlJc w:val="left"/>
      <w:pPr>
        <w:tabs>
          <w:tab w:val="num" w:pos="283"/>
        </w:tabs>
        <w:ind w:left="284" w:hanging="284"/>
      </w:pPr>
      <w:rPr>
        <w:rFonts w:ascii="Symbol" w:hAnsi="Symbol" w:hint="default"/>
        <w:b w:val="0"/>
        <w:i w:val="0"/>
        <w:color w:val="auto"/>
      </w:rPr>
    </w:lvl>
    <w:lvl w:ilvl="1">
      <w:start w:val="1"/>
      <w:numFmt w:val="bullet"/>
      <w:lvlRestart w:val="0"/>
      <w:pStyle w:val="TableBullet2Normal"/>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Bullet3Normal"/>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2" w15:restartNumberingAfterBreak="0">
    <w:nsid w:val="504C3E6C"/>
    <w:multiLevelType w:val="multilevel"/>
    <w:tmpl w:val="9078E2FE"/>
    <w:lvl w:ilvl="0">
      <w:start w:val="1"/>
      <w:numFmt w:val="decimal"/>
      <w:lvlRestart w:val="0"/>
      <w:suff w:val="nothing"/>
      <w:lvlText w:val="%1"/>
      <w:lvlJc w:val="left"/>
      <w:pPr>
        <w:ind w:left="0" w:firstLine="0"/>
      </w:pPr>
      <w:rPr>
        <w:rFonts w:hint="default"/>
      </w:rPr>
    </w:lvl>
    <w:lvl w:ilvl="1">
      <w:start w:val="1"/>
      <w:numFmt w:val="decimal"/>
      <w:pStyle w:val="Heading2ExecutiveSummary"/>
      <w:lvlText w:val="%2."/>
      <w:lvlJc w:val="left"/>
      <w:pPr>
        <w:tabs>
          <w:tab w:val="num" w:pos="851"/>
        </w:tabs>
        <w:ind w:left="851" w:hanging="851"/>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567"/>
        </w:tabs>
        <w:ind w:left="567" w:hanging="567"/>
      </w:pPr>
      <w:rPr>
        <w:rFonts w:hint="default"/>
        <w:b w:val="0"/>
        <w:i w:val="0"/>
        <w:color w:val="auto"/>
      </w:rPr>
    </w:lvl>
    <w:lvl w:ilvl="8">
      <w:start w:val="1"/>
      <w:numFmt w:val="lowerLetter"/>
      <w:lvlText w:val="%9"/>
      <w:lvlJc w:val="left"/>
      <w:pPr>
        <w:tabs>
          <w:tab w:val="num" w:pos="1134"/>
        </w:tabs>
        <w:ind w:left="1134" w:hanging="567"/>
      </w:pPr>
      <w:rPr>
        <w:rFonts w:hint="default"/>
        <w:b w:val="0"/>
        <w:i w:val="0"/>
        <w:color w:val="auto"/>
      </w:rPr>
    </w:lvl>
  </w:abstractNum>
  <w:abstractNum w:abstractNumId="33" w15:restartNumberingAfterBreak="0">
    <w:nsid w:val="518C39C9"/>
    <w:multiLevelType w:val="multilevel"/>
    <w:tmpl w:val="D93463A2"/>
    <w:styleLink w:val="Style1"/>
    <w:lvl w:ilvl="0">
      <w:start w:val="1"/>
      <w:numFmt w:val="decimal"/>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8520262"/>
    <w:multiLevelType w:val="hybridMultilevel"/>
    <w:tmpl w:val="1FFA1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DC76B7F"/>
    <w:multiLevelType w:val="multilevel"/>
    <w:tmpl w:val="3BF69606"/>
    <w:lvl w:ilvl="0">
      <w:start w:val="1"/>
      <w:numFmt w:val="none"/>
      <w:lvlRestart w:val="0"/>
      <w:suff w:val="nothing"/>
      <w:lvlText w:val=""/>
      <w:lvlJc w:val="left"/>
      <w:pPr>
        <w:ind w:left="0" w:firstLine="0"/>
      </w:pPr>
      <w:rPr>
        <w:rFonts w:hint="default"/>
      </w:rPr>
    </w:lvl>
    <w:lvl w:ilvl="1">
      <w:start w:val="1"/>
      <w:numFmt w:val="upperLetter"/>
      <w:lvlRestart w:val="0"/>
      <w:pStyle w:val="Heading2Appendix"/>
      <w:lvlText w:val="%1%2"/>
      <w:lvlJc w:val="left"/>
      <w:pPr>
        <w:tabs>
          <w:tab w:val="num" w:pos="851"/>
        </w:tabs>
        <w:ind w:left="851" w:hanging="851"/>
      </w:pPr>
      <w:rPr>
        <w:rFonts w:hint="default"/>
      </w:rPr>
    </w:lvl>
    <w:lvl w:ilvl="2">
      <w:start w:val="1"/>
      <w:numFmt w:val="decimal"/>
      <w:lvlText w:val="%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upperLetter"/>
      <w:lvlRestart w:val="0"/>
      <w:lvlText w:val="Appendix %5"/>
      <w:lvlJc w:val="left"/>
      <w:pPr>
        <w:tabs>
          <w:tab w:val="num" w:pos="2552"/>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567"/>
        </w:tabs>
        <w:ind w:left="567" w:hanging="567"/>
      </w:pPr>
      <w:rPr>
        <w:rFonts w:hint="default"/>
        <w:b w:val="0"/>
        <w:i w:val="0"/>
        <w:color w:val="auto"/>
      </w:rPr>
    </w:lvl>
    <w:lvl w:ilvl="8">
      <w:start w:val="1"/>
      <w:numFmt w:val="lowerLetter"/>
      <w:lvlText w:val="%9"/>
      <w:lvlJc w:val="left"/>
      <w:pPr>
        <w:tabs>
          <w:tab w:val="num" w:pos="1134"/>
        </w:tabs>
        <w:ind w:left="1134" w:hanging="567"/>
      </w:pPr>
      <w:rPr>
        <w:rFonts w:hint="default"/>
        <w:b w:val="0"/>
        <w:i w:val="0"/>
        <w:color w:val="auto"/>
      </w:rPr>
    </w:lvl>
  </w:abstractNum>
  <w:abstractNum w:abstractNumId="36" w15:restartNumberingAfterBreak="0">
    <w:nsid w:val="5E2324AA"/>
    <w:multiLevelType w:val="multilevel"/>
    <w:tmpl w:val="0F0A3E24"/>
    <w:lvl w:ilvl="0">
      <w:start w:val="1"/>
      <w:numFmt w:val="none"/>
      <w:lvlRestart w:val="0"/>
      <w:pStyle w:val="ChapterNumberLong"/>
      <w:suff w:val="nothing"/>
      <w:lvlText w:val="%1"/>
      <w:lvlJc w:val="left"/>
      <w:pPr>
        <w:ind w:left="0" w:firstLine="0"/>
      </w:pPr>
      <w:rPr>
        <w:rFonts w:hint="default"/>
      </w:rPr>
    </w:lvl>
    <w:lvl w:ilvl="1">
      <w:start w:val="1"/>
      <w:numFmt w:val="decimal"/>
      <w:lvlRestart w:val="0"/>
      <w:pStyle w:val="Heading2"/>
      <w:lvlText w:val="%2"/>
      <w:lvlJc w:val="left"/>
      <w:pPr>
        <w:tabs>
          <w:tab w:val="num" w:pos="851"/>
        </w:tabs>
        <w:ind w:left="851" w:hanging="851"/>
      </w:pPr>
      <w:rPr>
        <w:rFonts w:hint="default"/>
      </w:rPr>
    </w:lvl>
    <w:lvl w:ilvl="2">
      <w:start w:val="1"/>
      <w:numFmt w:val="decimal"/>
      <w:pStyle w:val="Heading3"/>
      <w:lvlText w:val="%2.%3"/>
      <w:lvlJc w:val="left"/>
      <w:pPr>
        <w:tabs>
          <w:tab w:val="num" w:pos="851"/>
        </w:tabs>
        <w:ind w:left="851" w:hanging="851"/>
      </w:pPr>
      <w:rPr>
        <w:rFonts w:hint="default"/>
      </w:rPr>
    </w:lvl>
    <w:lvl w:ilvl="3">
      <w:start w:val="1"/>
      <w:numFmt w:val="decimal"/>
      <w:lvlText w:val="%2.%3.%4"/>
      <w:lvlJc w:val="left"/>
      <w:pPr>
        <w:tabs>
          <w:tab w:val="num" w:pos="851"/>
        </w:tabs>
        <w:ind w:left="851" w:hanging="851"/>
      </w:pPr>
      <w:rPr>
        <w:rFonts w:hint="default"/>
      </w:rPr>
    </w:lvl>
    <w:lvl w:ilvl="4">
      <w:start w:val="1"/>
      <w:numFmt w:val="none"/>
      <w:lvlRestart w:val="0"/>
      <w:lvlText w:val=""/>
      <w:lvlJc w:val="left"/>
      <w:pPr>
        <w:tabs>
          <w:tab w:val="num" w:pos="2552"/>
        </w:tabs>
        <w:ind w:left="0" w:firstLine="0"/>
      </w:pPr>
      <w:rPr>
        <w:rFonts w:hint="default"/>
      </w:rPr>
    </w:lvl>
    <w:lvl w:ilvl="5">
      <w:start w:val="1"/>
      <w:numFmt w:val="none"/>
      <w:lvlRestart w:val="0"/>
      <w:pStyle w:val="AppendixNumberLong"/>
      <w:suff w:val="nothing"/>
      <w:lvlText w:val=""/>
      <w:lvlJc w:val="left"/>
      <w:pPr>
        <w:ind w:left="0" w:firstLine="0"/>
      </w:pPr>
      <w:rPr>
        <w:rFonts w:hint="default"/>
      </w:rPr>
    </w:lvl>
    <w:lvl w:ilvl="6">
      <w:start w:val="1"/>
      <w:numFmt w:val="decimal"/>
      <w:pStyle w:val="Heading8"/>
      <w:lvlText w:val="%7"/>
      <w:lvlJc w:val="left"/>
      <w:pPr>
        <w:tabs>
          <w:tab w:val="num" w:pos="567"/>
        </w:tabs>
        <w:ind w:left="567" w:hanging="567"/>
      </w:pPr>
      <w:rPr>
        <w:rFonts w:hint="default"/>
        <w:b/>
        <w:i/>
      </w:rPr>
    </w:lvl>
    <w:lvl w:ilvl="7">
      <w:start w:val="1"/>
      <w:numFmt w:val="decimal"/>
      <w:pStyle w:val="ChapterNumberedList1"/>
      <w:lvlText w:val="%8"/>
      <w:lvlJc w:val="left"/>
      <w:pPr>
        <w:tabs>
          <w:tab w:val="num" w:pos="567"/>
        </w:tabs>
        <w:ind w:left="567" w:hanging="567"/>
      </w:pPr>
      <w:rPr>
        <w:rFonts w:hint="default"/>
        <w:b w:val="0"/>
        <w:i w:val="0"/>
        <w:color w:val="auto"/>
      </w:rPr>
    </w:lvl>
    <w:lvl w:ilvl="8">
      <w:start w:val="1"/>
      <w:numFmt w:val="lowerLetter"/>
      <w:pStyle w:val="ChapterNumberedList2"/>
      <w:lvlText w:val="%9"/>
      <w:lvlJc w:val="left"/>
      <w:pPr>
        <w:tabs>
          <w:tab w:val="num" w:pos="1134"/>
        </w:tabs>
        <w:ind w:left="1134" w:hanging="567"/>
      </w:pPr>
      <w:rPr>
        <w:rFonts w:hint="default"/>
        <w:b w:val="0"/>
        <w:i w:val="0"/>
        <w:color w:val="auto"/>
      </w:rPr>
    </w:lvl>
  </w:abstractNum>
  <w:abstractNum w:abstractNumId="37" w15:restartNumberingAfterBreak="0">
    <w:nsid w:val="63917BB9"/>
    <w:multiLevelType w:val="multilevel"/>
    <w:tmpl w:val="D286DFA4"/>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38" w15:restartNumberingAfterBreak="0">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9" w15:restartNumberingAfterBreak="0">
    <w:nsid w:val="707518CF"/>
    <w:multiLevelType w:val="multilevel"/>
    <w:tmpl w:val="A0E0581C"/>
    <w:name w:val="Bullets2"/>
    <w:numStyleLink w:val="Bullets"/>
  </w:abstractNum>
  <w:abstractNum w:abstractNumId="40" w15:restartNumberingAfterBreak="0">
    <w:nsid w:val="78745F8E"/>
    <w:multiLevelType w:val="hybridMultilevel"/>
    <w:tmpl w:val="2C3C62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91D0EC4"/>
    <w:multiLevelType w:val="hybridMultilevel"/>
    <w:tmpl w:val="D72EBA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2A2490"/>
    <w:multiLevelType w:val="hybridMultilevel"/>
    <w:tmpl w:val="E30CCBA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15:restartNumberingAfterBreak="0">
    <w:nsid w:val="7C9B0FD4"/>
    <w:multiLevelType w:val="hybridMultilevel"/>
    <w:tmpl w:val="FB6AC24A"/>
    <w:lvl w:ilvl="0" w:tplc="6A54A3A2">
      <w:start w:val="2016"/>
      <w:numFmt w:val="bullet"/>
      <w:lvlText w:val="-"/>
      <w:lvlJc w:val="left"/>
      <w:pPr>
        <w:ind w:left="405" w:hanging="360"/>
      </w:pPr>
      <w:rPr>
        <w:rFonts w:ascii="Arial" w:eastAsia="Times New Roman" w:hAnsi="Arial" w:cs="Arial" w:hint="default"/>
      </w:rPr>
    </w:lvl>
    <w:lvl w:ilvl="1" w:tplc="0C090003">
      <w:start w:val="1"/>
      <w:numFmt w:val="bullet"/>
      <w:lvlText w:val="o"/>
      <w:lvlJc w:val="left"/>
      <w:pPr>
        <w:ind w:left="1125" w:hanging="360"/>
      </w:pPr>
      <w:rPr>
        <w:rFonts w:ascii="Courier New" w:hAnsi="Courier New" w:cs="Courier New" w:hint="default"/>
      </w:rPr>
    </w:lvl>
    <w:lvl w:ilvl="2" w:tplc="0C090005">
      <w:start w:val="1"/>
      <w:numFmt w:val="bullet"/>
      <w:lvlText w:val=""/>
      <w:lvlJc w:val="left"/>
      <w:pPr>
        <w:ind w:left="1845" w:hanging="360"/>
      </w:pPr>
      <w:rPr>
        <w:rFonts w:ascii="Wingdings" w:hAnsi="Wingdings" w:hint="default"/>
      </w:rPr>
    </w:lvl>
    <w:lvl w:ilvl="3" w:tplc="0C090001">
      <w:start w:val="1"/>
      <w:numFmt w:val="bullet"/>
      <w:lvlText w:val=""/>
      <w:lvlJc w:val="left"/>
      <w:pPr>
        <w:ind w:left="2565" w:hanging="360"/>
      </w:pPr>
      <w:rPr>
        <w:rFonts w:ascii="Symbol" w:hAnsi="Symbol" w:hint="default"/>
      </w:rPr>
    </w:lvl>
    <w:lvl w:ilvl="4" w:tplc="0C090003">
      <w:start w:val="1"/>
      <w:numFmt w:val="bullet"/>
      <w:lvlText w:val="o"/>
      <w:lvlJc w:val="left"/>
      <w:pPr>
        <w:ind w:left="3285" w:hanging="360"/>
      </w:pPr>
      <w:rPr>
        <w:rFonts w:ascii="Courier New" w:hAnsi="Courier New" w:cs="Courier New" w:hint="default"/>
      </w:rPr>
    </w:lvl>
    <w:lvl w:ilvl="5" w:tplc="0C090005">
      <w:start w:val="1"/>
      <w:numFmt w:val="bullet"/>
      <w:lvlText w:val=""/>
      <w:lvlJc w:val="left"/>
      <w:pPr>
        <w:ind w:left="4005" w:hanging="360"/>
      </w:pPr>
      <w:rPr>
        <w:rFonts w:ascii="Wingdings" w:hAnsi="Wingdings" w:hint="default"/>
      </w:rPr>
    </w:lvl>
    <w:lvl w:ilvl="6" w:tplc="0C090001">
      <w:start w:val="1"/>
      <w:numFmt w:val="bullet"/>
      <w:lvlText w:val=""/>
      <w:lvlJc w:val="left"/>
      <w:pPr>
        <w:ind w:left="4725" w:hanging="360"/>
      </w:pPr>
      <w:rPr>
        <w:rFonts w:ascii="Symbol" w:hAnsi="Symbol" w:hint="default"/>
      </w:rPr>
    </w:lvl>
    <w:lvl w:ilvl="7" w:tplc="0C090003">
      <w:start w:val="1"/>
      <w:numFmt w:val="bullet"/>
      <w:lvlText w:val="o"/>
      <w:lvlJc w:val="left"/>
      <w:pPr>
        <w:ind w:left="5445" w:hanging="360"/>
      </w:pPr>
      <w:rPr>
        <w:rFonts w:ascii="Courier New" w:hAnsi="Courier New" w:cs="Courier New" w:hint="default"/>
      </w:rPr>
    </w:lvl>
    <w:lvl w:ilvl="8" w:tplc="0C090005">
      <w:start w:val="1"/>
      <w:numFmt w:val="bullet"/>
      <w:lvlText w:val=""/>
      <w:lvlJc w:val="left"/>
      <w:pPr>
        <w:ind w:left="6165" w:hanging="360"/>
      </w:pPr>
      <w:rPr>
        <w:rFonts w:ascii="Wingdings" w:hAnsi="Wingdings" w:hint="default"/>
      </w:rPr>
    </w:lvl>
  </w:abstractNum>
  <w:num w:numId="1">
    <w:abstractNumId w:val="37"/>
  </w:num>
  <w:num w:numId="2">
    <w:abstractNumId w:val="13"/>
  </w:num>
  <w:num w:numId="3">
    <w:abstractNumId w:val="0"/>
  </w:num>
  <w:num w:numId="4">
    <w:abstractNumId w:val="32"/>
  </w:num>
  <w:num w:numId="5">
    <w:abstractNumId w:val="20"/>
  </w:num>
  <w:num w:numId="6">
    <w:abstractNumId w:val="2"/>
  </w:num>
  <w:num w:numId="7">
    <w:abstractNumId w:val="3"/>
  </w:num>
  <w:num w:numId="8">
    <w:abstractNumId w:val="26"/>
  </w:num>
  <w:num w:numId="9">
    <w:abstractNumId w:val="4"/>
  </w:num>
  <w:num w:numId="10">
    <w:abstractNumId w:val="21"/>
  </w:num>
  <w:num w:numId="11">
    <w:abstractNumId w:val="7"/>
  </w:num>
  <w:num w:numId="12">
    <w:abstractNumId w:val="30"/>
  </w:num>
  <w:num w:numId="13">
    <w:abstractNumId w:val="12"/>
  </w:num>
  <w:num w:numId="14">
    <w:abstractNumId w:val="1"/>
  </w:num>
  <w:num w:numId="15">
    <w:abstractNumId w:val="27"/>
  </w:num>
  <w:num w:numId="16">
    <w:abstractNumId w:val="5"/>
  </w:num>
  <w:num w:numId="17">
    <w:abstractNumId w:val="33"/>
  </w:num>
  <w:num w:numId="18">
    <w:abstractNumId w:val="31"/>
  </w:num>
  <w:num w:numId="19">
    <w:abstractNumId w:val="19"/>
  </w:num>
  <w:num w:numId="20">
    <w:abstractNumId w:val="38"/>
  </w:num>
  <w:num w:numId="21">
    <w:abstractNumId w:val="29"/>
  </w:num>
  <w:num w:numId="22">
    <w:abstractNumId w:val="14"/>
  </w:num>
  <w:num w:numId="23">
    <w:abstractNumId w:val="18"/>
  </w:num>
  <w:num w:numId="24">
    <w:abstractNumId w:val="10"/>
  </w:num>
  <w:num w:numId="25">
    <w:abstractNumId w:val="16"/>
  </w:num>
  <w:num w:numId="26">
    <w:abstractNumId w:val="1"/>
  </w:num>
  <w:num w:numId="27">
    <w:abstractNumId w:val="33"/>
  </w:num>
  <w:num w:numId="28">
    <w:abstractNumId w:val="37"/>
  </w:num>
  <w:num w:numId="29">
    <w:abstractNumId w:val="17"/>
  </w:num>
  <w:num w:numId="30">
    <w:abstractNumId w:val="36"/>
  </w:num>
  <w:num w:numId="31">
    <w:abstractNumId w:val="35"/>
    <w:lvlOverride w:ilvl="0">
      <w:lvl w:ilvl="0">
        <w:start w:val="1"/>
        <w:numFmt w:val="none"/>
        <w:lvlRestart w:val="0"/>
        <w:suff w:val="nothing"/>
        <w:lvlText w:val=""/>
        <w:lvlJc w:val="left"/>
        <w:pPr>
          <w:ind w:left="0" w:firstLine="0"/>
        </w:pPr>
        <w:rPr>
          <w:rFonts w:hint="default"/>
        </w:rPr>
      </w:lvl>
    </w:lvlOverride>
    <w:lvlOverride w:ilvl="1">
      <w:lvl w:ilvl="1">
        <w:start w:val="1"/>
        <w:numFmt w:val="upperLetter"/>
        <w:lvlRestart w:val="0"/>
        <w:pStyle w:val="Heading2Appendix"/>
        <w:lvlText w:val="Appendix %1%2"/>
        <w:lvlJc w:val="left"/>
        <w:pPr>
          <w:tabs>
            <w:tab w:val="num" w:pos="2268"/>
          </w:tabs>
          <w:ind w:left="2268" w:hanging="2268"/>
        </w:pPr>
        <w:rPr>
          <w:rFonts w:hint="default"/>
        </w:rPr>
      </w:lvl>
    </w:lvlOverride>
    <w:lvlOverride w:ilvl="2">
      <w:lvl w:ilvl="2">
        <w:start w:val="1"/>
        <w:numFmt w:val="decimal"/>
        <w:lvlText w:val="%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upperLetter"/>
        <w:lvlRestart w:val="0"/>
        <w:lvlText w:val="Appendix %5"/>
        <w:lvlJc w:val="left"/>
        <w:pPr>
          <w:tabs>
            <w:tab w:val="num" w:pos="2552"/>
          </w:tabs>
          <w:ind w:left="0" w:firstLine="0"/>
        </w:pPr>
        <w:rPr>
          <w:rFonts w:hint="default"/>
        </w:rPr>
      </w:lvl>
    </w:lvlOverride>
    <w:lvlOverride w:ilvl="5">
      <w:lvl w:ilvl="5">
        <w:start w:val="1"/>
        <w:numFmt w:val="upperLetter"/>
        <w:lvlRestart w:val="0"/>
        <w:suff w:val="nothing"/>
        <w:lvlText w:val="Appendix %6"/>
        <w:lvlJc w:val="left"/>
        <w:pPr>
          <w:ind w:left="0" w:firstLine="0"/>
        </w:pPr>
        <w:rPr>
          <w:rFonts w:hint="default"/>
        </w:rPr>
      </w:lvl>
    </w:lvlOverride>
    <w:lvlOverride w:ilvl="6">
      <w:lvl w:ilvl="6">
        <w:start w:val="1"/>
        <w:numFmt w:val="decimal"/>
        <w:lvlText w:val="%7"/>
        <w:lvlJc w:val="left"/>
        <w:pPr>
          <w:tabs>
            <w:tab w:val="num" w:pos="567"/>
          </w:tabs>
          <w:ind w:left="567" w:hanging="567"/>
        </w:pPr>
        <w:rPr>
          <w:rFonts w:hint="default"/>
          <w:b/>
          <w:i/>
        </w:rPr>
      </w:lvl>
    </w:lvlOverride>
    <w:lvlOverride w:ilvl="7">
      <w:lvl w:ilvl="7">
        <w:start w:val="1"/>
        <w:numFmt w:val="decimal"/>
        <w:lvlText w:val="%8"/>
        <w:lvlJc w:val="left"/>
        <w:pPr>
          <w:tabs>
            <w:tab w:val="num" w:pos="567"/>
          </w:tabs>
          <w:ind w:left="567" w:hanging="567"/>
        </w:pPr>
        <w:rPr>
          <w:rFonts w:hint="default"/>
          <w:b w:val="0"/>
          <w:i w:val="0"/>
          <w:color w:val="auto"/>
        </w:rPr>
      </w:lvl>
    </w:lvlOverride>
    <w:lvlOverride w:ilvl="8">
      <w:lvl w:ilvl="8">
        <w:start w:val="1"/>
        <w:numFmt w:val="lowerLetter"/>
        <w:lvlText w:val="%9"/>
        <w:lvlJc w:val="left"/>
        <w:pPr>
          <w:tabs>
            <w:tab w:val="num" w:pos="1134"/>
          </w:tabs>
          <w:ind w:left="1134" w:hanging="567"/>
        </w:pPr>
        <w:rPr>
          <w:rFonts w:hint="default"/>
          <w:b w:val="0"/>
          <w:i w:val="0"/>
          <w:color w:val="auto"/>
        </w:rPr>
      </w:lvl>
    </w:lvlOverride>
  </w:num>
  <w:num w:numId="32">
    <w:abstractNumId w:val="42"/>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28"/>
  </w:num>
  <w:num w:numId="38">
    <w:abstractNumId w:val="15"/>
  </w:num>
  <w:num w:numId="39">
    <w:abstractNumId w:val="40"/>
  </w:num>
  <w:num w:numId="40">
    <w:abstractNumId w:val="34"/>
  </w:num>
  <w:num w:numId="41">
    <w:abstractNumId w:val="9"/>
  </w:num>
  <w:num w:numId="42">
    <w:abstractNumId w:val="41"/>
  </w:num>
  <w:num w:numId="43">
    <w:abstractNumId w:val="23"/>
  </w:num>
  <w:num w:numId="44">
    <w:abstractNumId w:val="25"/>
  </w:num>
  <w:num w:numId="45">
    <w:abstractNumId w:val="22"/>
  </w:num>
  <w:num w:numId="46">
    <w:abstractNumId w:val="3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 w:numId="48">
    <w:abstractNumId w:val="6"/>
  </w:num>
  <w:num w:numId="49">
    <w:abstractNumId w:val="3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isplayHorizontalDrawingGridEvery w:val="2"/>
  <w:characterSpacingControl w:val="doNotCompress"/>
  <w:hdrShapeDefaults>
    <o:shapedefaults v:ext="edit" spidmax="2133" fillcolor="none [3215]" stroke="f">
      <v:fill color="none [3215]"/>
      <v:stroke on="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399"/>
    <w:rsid w:val="00000267"/>
    <w:rsid w:val="000008BE"/>
    <w:rsid w:val="00000E07"/>
    <w:rsid w:val="00000E27"/>
    <w:rsid w:val="000010DC"/>
    <w:rsid w:val="000012FE"/>
    <w:rsid w:val="00001404"/>
    <w:rsid w:val="0000147F"/>
    <w:rsid w:val="00001687"/>
    <w:rsid w:val="000017C4"/>
    <w:rsid w:val="00001986"/>
    <w:rsid w:val="00001B2E"/>
    <w:rsid w:val="00002F7F"/>
    <w:rsid w:val="00002F85"/>
    <w:rsid w:val="00003814"/>
    <w:rsid w:val="0000452C"/>
    <w:rsid w:val="000046CA"/>
    <w:rsid w:val="00004A4E"/>
    <w:rsid w:val="00004C82"/>
    <w:rsid w:val="00004E44"/>
    <w:rsid w:val="00005044"/>
    <w:rsid w:val="0000587B"/>
    <w:rsid w:val="00005CEB"/>
    <w:rsid w:val="000061F7"/>
    <w:rsid w:val="00006B9F"/>
    <w:rsid w:val="00006DC6"/>
    <w:rsid w:val="00007353"/>
    <w:rsid w:val="00007406"/>
    <w:rsid w:val="00007599"/>
    <w:rsid w:val="00007EFD"/>
    <w:rsid w:val="000101DD"/>
    <w:rsid w:val="00010682"/>
    <w:rsid w:val="00010746"/>
    <w:rsid w:val="00010A4B"/>
    <w:rsid w:val="00010A5D"/>
    <w:rsid w:val="00011B56"/>
    <w:rsid w:val="000131CD"/>
    <w:rsid w:val="000139B6"/>
    <w:rsid w:val="00013C0E"/>
    <w:rsid w:val="00013DFD"/>
    <w:rsid w:val="000143E9"/>
    <w:rsid w:val="00014498"/>
    <w:rsid w:val="000148A7"/>
    <w:rsid w:val="00014CFF"/>
    <w:rsid w:val="00015271"/>
    <w:rsid w:val="00015598"/>
    <w:rsid w:val="00015F14"/>
    <w:rsid w:val="00015F3F"/>
    <w:rsid w:val="000165FF"/>
    <w:rsid w:val="00017177"/>
    <w:rsid w:val="00017186"/>
    <w:rsid w:val="00017440"/>
    <w:rsid w:val="000203C2"/>
    <w:rsid w:val="00020D16"/>
    <w:rsid w:val="00020F39"/>
    <w:rsid w:val="00020F7F"/>
    <w:rsid w:val="00020F8D"/>
    <w:rsid w:val="00021020"/>
    <w:rsid w:val="0002190E"/>
    <w:rsid w:val="000219D0"/>
    <w:rsid w:val="000226D8"/>
    <w:rsid w:val="00022F70"/>
    <w:rsid w:val="00023712"/>
    <w:rsid w:val="00023C97"/>
    <w:rsid w:val="00023EAB"/>
    <w:rsid w:val="0002400B"/>
    <w:rsid w:val="0002413C"/>
    <w:rsid w:val="00025387"/>
    <w:rsid w:val="00025538"/>
    <w:rsid w:val="000258DF"/>
    <w:rsid w:val="00025D5E"/>
    <w:rsid w:val="00025DB9"/>
    <w:rsid w:val="00027B5F"/>
    <w:rsid w:val="0003004A"/>
    <w:rsid w:val="000301FE"/>
    <w:rsid w:val="0003042D"/>
    <w:rsid w:val="000308DC"/>
    <w:rsid w:val="0003102B"/>
    <w:rsid w:val="00031309"/>
    <w:rsid w:val="000316F9"/>
    <w:rsid w:val="000317A6"/>
    <w:rsid w:val="000318E9"/>
    <w:rsid w:val="000324F8"/>
    <w:rsid w:val="000326BA"/>
    <w:rsid w:val="000327FB"/>
    <w:rsid w:val="00032B92"/>
    <w:rsid w:val="000334A2"/>
    <w:rsid w:val="0003399A"/>
    <w:rsid w:val="00033E5E"/>
    <w:rsid w:val="0003410A"/>
    <w:rsid w:val="000346A9"/>
    <w:rsid w:val="00034E97"/>
    <w:rsid w:val="00035288"/>
    <w:rsid w:val="0003531D"/>
    <w:rsid w:val="00035CA3"/>
    <w:rsid w:val="0003687B"/>
    <w:rsid w:val="00036E72"/>
    <w:rsid w:val="00037061"/>
    <w:rsid w:val="00037542"/>
    <w:rsid w:val="000377D1"/>
    <w:rsid w:val="00037911"/>
    <w:rsid w:val="00037D92"/>
    <w:rsid w:val="0004030F"/>
    <w:rsid w:val="00040BC7"/>
    <w:rsid w:val="0004157C"/>
    <w:rsid w:val="0004161E"/>
    <w:rsid w:val="00041787"/>
    <w:rsid w:val="000418DB"/>
    <w:rsid w:val="00041E14"/>
    <w:rsid w:val="00042109"/>
    <w:rsid w:val="000423B6"/>
    <w:rsid w:val="00042517"/>
    <w:rsid w:val="00042531"/>
    <w:rsid w:val="0004263B"/>
    <w:rsid w:val="0004285E"/>
    <w:rsid w:val="00042940"/>
    <w:rsid w:val="00042AE7"/>
    <w:rsid w:val="00043650"/>
    <w:rsid w:val="0004409E"/>
    <w:rsid w:val="00044237"/>
    <w:rsid w:val="00044373"/>
    <w:rsid w:val="000444FF"/>
    <w:rsid w:val="00044693"/>
    <w:rsid w:val="00047063"/>
    <w:rsid w:val="000473AE"/>
    <w:rsid w:val="00047714"/>
    <w:rsid w:val="000506A5"/>
    <w:rsid w:val="000509A8"/>
    <w:rsid w:val="00050ACB"/>
    <w:rsid w:val="00051862"/>
    <w:rsid w:val="00051AB3"/>
    <w:rsid w:val="00051B4C"/>
    <w:rsid w:val="00051F41"/>
    <w:rsid w:val="000520AB"/>
    <w:rsid w:val="0005222A"/>
    <w:rsid w:val="0005289F"/>
    <w:rsid w:val="00052948"/>
    <w:rsid w:val="000529A7"/>
    <w:rsid w:val="000531AA"/>
    <w:rsid w:val="0005367E"/>
    <w:rsid w:val="000537A3"/>
    <w:rsid w:val="00053B6E"/>
    <w:rsid w:val="00053B82"/>
    <w:rsid w:val="00054424"/>
    <w:rsid w:val="000545CE"/>
    <w:rsid w:val="00054C40"/>
    <w:rsid w:val="00055A6A"/>
    <w:rsid w:val="00055AC1"/>
    <w:rsid w:val="00055BAE"/>
    <w:rsid w:val="00055EA9"/>
    <w:rsid w:val="0005601E"/>
    <w:rsid w:val="000564EC"/>
    <w:rsid w:val="0005674C"/>
    <w:rsid w:val="00056B25"/>
    <w:rsid w:val="00056E48"/>
    <w:rsid w:val="00056FF3"/>
    <w:rsid w:val="000576C1"/>
    <w:rsid w:val="000576C4"/>
    <w:rsid w:val="000606D1"/>
    <w:rsid w:val="000608D7"/>
    <w:rsid w:val="00061068"/>
    <w:rsid w:val="00061964"/>
    <w:rsid w:val="000619A2"/>
    <w:rsid w:val="00061DA1"/>
    <w:rsid w:val="00062BF4"/>
    <w:rsid w:val="000634B8"/>
    <w:rsid w:val="00063503"/>
    <w:rsid w:val="00063BE4"/>
    <w:rsid w:val="00063F33"/>
    <w:rsid w:val="00064170"/>
    <w:rsid w:val="00064A4C"/>
    <w:rsid w:val="00064A8F"/>
    <w:rsid w:val="00064B40"/>
    <w:rsid w:val="00064EB8"/>
    <w:rsid w:val="0006530A"/>
    <w:rsid w:val="000655AF"/>
    <w:rsid w:val="00065B5B"/>
    <w:rsid w:val="00065D94"/>
    <w:rsid w:val="0006621A"/>
    <w:rsid w:val="00066677"/>
    <w:rsid w:val="00066753"/>
    <w:rsid w:val="00066A3D"/>
    <w:rsid w:val="00066E33"/>
    <w:rsid w:val="000672D7"/>
    <w:rsid w:val="00067532"/>
    <w:rsid w:val="000679F1"/>
    <w:rsid w:val="00067A90"/>
    <w:rsid w:val="00067EC5"/>
    <w:rsid w:val="00067FC5"/>
    <w:rsid w:val="00070164"/>
    <w:rsid w:val="000702F7"/>
    <w:rsid w:val="00070486"/>
    <w:rsid w:val="00070875"/>
    <w:rsid w:val="000713BA"/>
    <w:rsid w:val="000713E0"/>
    <w:rsid w:val="0007221A"/>
    <w:rsid w:val="00072236"/>
    <w:rsid w:val="00072850"/>
    <w:rsid w:val="00072D5B"/>
    <w:rsid w:val="0007417E"/>
    <w:rsid w:val="000747FE"/>
    <w:rsid w:val="00074AD4"/>
    <w:rsid w:val="00074BD9"/>
    <w:rsid w:val="0007527B"/>
    <w:rsid w:val="00076C97"/>
    <w:rsid w:val="00077037"/>
    <w:rsid w:val="000778D4"/>
    <w:rsid w:val="00077BEE"/>
    <w:rsid w:val="00077C4F"/>
    <w:rsid w:val="00077EBF"/>
    <w:rsid w:val="00077F1D"/>
    <w:rsid w:val="0008001B"/>
    <w:rsid w:val="00080254"/>
    <w:rsid w:val="00080442"/>
    <w:rsid w:val="00080AF8"/>
    <w:rsid w:val="00080D50"/>
    <w:rsid w:val="0008139D"/>
    <w:rsid w:val="000815C7"/>
    <w:rsid w:val="00081A58"/>
    <w:rsid w:val="00081A83"/>
    <w:rsid w:val="00082CD9"/>
    <w:rsid w:val="00083051"/>
    <w:rsid w:val="00083357"/>
    <w:rsid w:val="000833A2"/>
    <w:rsid w:val="000836DA"/>
    <w:rsid w:val="00083E99"/>
    <w:rsid w:val="00083FFC"/>
    <w:rsid w:val="000847B3"/>
    <w:rsid w:val="00084B93"/>
    <w:rsid w:val="00084BD2"/>
    <w:rsid w:val="00084C5B"/>
    <w:rsid w:val="0008679C"/>
    <w:rsid w:val="00087048"/>
    <w:rsid w:val="00087C5B"/>
    <w:rsid w:val="00090263"/>
    <w:rsid w:val="000905BA"/>
    <w:rsid w:val="000907F6"/>
    <w:rsid w:val="00090AAB"/>
    <w:rsid w:val="00091458"/>
    <w:rsid w:val="000922E9"/>
    <w:rsid w:val="0009340E"/>
    <w:rsid w:val="00093848"/>
    <w:rsid w:val="00093972"/>
    <w:rsid w:val="00093B18"/>
    <w:rsid w:val="00093B4E"/>
    <w:rsid w:val="00094408"/>
    <w:rsid w:val="00094721"/>
    <w:rsid w:val="0009489E"/>
    <w:rsid w:val="00094956"/>
    <w:rsid w:val="000949CF"/>
    <w:rsid w:val="00095042"/>
    <w:rsid w:val="00095A1C"/>
    <w:rsid w:val="0009615A"/>
    <w:rsid w:val="0009637C"/>
    <w:rsid w:val="00096CE6"/>
    <w:rsid w:val="00096F31"/>
    <w:rsid w:val="000974E7"/>
    <w:rsid w:val="00097676"/>
    <w:rsid w:val="00097678"/>
    <w:rsid w:val="00097740"/>
    <w:rsid w:val="000A0570"/>
    <w:rsid w:val="000A0836"/>
    <w:rsid w:val="000A0BCD"/>
    <w:rsid w:val="000A19BE"/>
    <w:rsid w:val="000A1F3F"/>
    <w:rsid w:val="000A21A7"/>
    <w:rsid w:val="000A2303"/>
    <w:rsid w:val="000A27B8"/>
    <w:rsid w:val="000A2C22"/>
    <w:rsid w:val="000A2D48"/>
    <w:rsid w:val="000A30F0"/>
    <w:rsid w:val="000A32FD"/>
    <w:rsid w:val="000A35DE"/>
    <w:rsid w:val="000A38AA"/>
    <w:rsid w:val="000A3986"/>
    <w:rsid w:val="000A3D3E"/>
    <w:rsid w:val="000A4154"/>
    <w:rsid w:val="000A4352"/>
    <w:rsid w:val="000A4E41"/>
    <w:rsid w:val="000A51EE"/>
    <w:rsid w:val="000A5360"/>
    <w:rsid w:val="000A5A21"/>
    <w:rsid w:val="000A6014"/>
    <w:rsid w:val="000A67AE"/>
    <w:rsid w:val="000A6C7B"/>
    <w:rsid w:val="000A6F12"/>
    <w:rsid w:val="000A7182"/>
    <w:rsid w:val="000A744F"/>
    <w:rsid w:val="000A770F"/>
    <w:rsid w:val="000A78CD"/>
    <w:rsid w:val="000A7A1E"/>
    <w:rsid w:val="000B00A4"/>
    <w:rsid w:val="000B076F"/>
    <w:rsid w:val="000B0862"/>
    <w:rsid w:val="000B0A40"/>
    <w:rsid w:val="000B0B54"/>
    <w:rsid w:val="000B1068"/>
    <w:rsid w:val="000B1935"/>
    <w:rsid w:val="000B1C9E"/>
    <w:rsid w:val="000B2A0C"/>
    <w:rsid w:val="000B2B48"/>
    <w:rsid w:val="000B319E"/>
    <w:rsid w:val="000B3A67"/>
    <w:rsid w:val="000B510F"/>
    <w:rsid w:val="000B5AFD"/>
    <w:rsid w:val="000B6197"/>
    <w:rsid w:val="000B61EE"/>
    <w:rsid w:val="000B62A0"/>
    <w:rsid w:val="000B65CE"/>
    <w:rsid w:val="000B6F63"/>
    <w:rsid w:val="000B741C"/>
    <w:rsid w:val="000B74A8"/>
    <w:rsid w:val="000B7AB9"/>
    <w:rsid w:val="000B7AC9"/>
    <w:rsid w:val="000B7E22"/>
    <w:rsid w:val="000B7F93"/>
    <w:rsid w:val="000C009C"/>
    <w:rsid w:val="000C0109"/>
    <w:rsid w:val="000C0364"/>
    <w:rsid w:val="000C0DC8"/>
    <w:rsid w:val="000C0F43"/>
    <w:rsid w:val="000C10E3"/>
    <w:rsid w:val="000C17D9"/>
    <w:rsid w:val="000C1B8D"/>
    <w:rsid w:val="000C2EC5"/>
    <w:rsid w:val="000C3053"/>
    <w:rsid w:val="000C312A"/>
    <w:rsid w:val="000C313F"/>
    <w:rsid w:val="000C321B"/>
    <w:rsid w:val="000C3423"/>
    <w:rsid w:val="000C360D"/>
    <w:rsid w:val="000C4204"/>
    <w:rsid w:val="000C427F"/>
    <w:rsid w:val="000C4821"/>
    <w:rsid w:val="000C4EB1"/>
    <w:rsid w:val="000C56BD"/>
    <w:rsid w:val="000C5D73"/>
    <w:rsid w:val="000C5EEC"/>
    <w:rsid w:val="000C5F39"/>
    <w:rsid w:val="000C6659"/>
    <w:rsid w:val="000C669B"/>
    <w:rsid w:val="000C6A99"/>
    <w:rsid w:val="000C6D90"/>
    <w:rsid w:val="000C6DD7"/>
    <w:rsid w:val="000C6F10"/>
    <w:rsid w:val="000C7202"/>
    <w:rsid w:val="000C759B"/>
    <w:rsid w:val="000C761D"/>
    <w:rsid w:val="000D0E17"/>
    <w:rsid w:val="000D1127"/>
    <w:rsid w:val="000D1395"/>
    <w:rsid w:val="000D190E"/>
    <w:rsid w:val="000D21C3"/>
    <w:rsid w:val="000D2E44"/>
    <w:rsid w:val="000D305E"/>
    <w:rsid w:val="000D3400"/>
    <w:rsid w:val="000D34E8"/>
    <w:rsid w:val="000D3B7B"/>
    <w:rsid w:val="000D3C42"/>
    <w:rsid w:val="000D3C62"/>
    <w:rsid w:val="000D3DB2"/>
    <w:rsid w:val="000D4216"/>
    <w:rsid w:val="000D4527"/>
    <w:rsid w:val="000D48CF"/>
    <w:rsid w:val="000D4EA5"/>
    <w:rsid w:val="000D57CE"/>
    <w:rsid w:val="000D665D"/>
    <w:rsid w:val="000D68C7"/>
    <w:rsid w:val="000D6C29"/>
    <w:rsid w:val="000D6FAA"/>
    <w:rsid w:val="000D73F9"/>
    <w:rsid w:val="000D7A0A"/>
    <w:rsid w:val="000D7DDD"/>
    <w:rsid w:val="000E0D37"/>
    <w:rsid w:val="000E0E16"/>
    <w:rsid w:val="000E126D"/>
    <w:rsid w:val="000E146D"/>
    <w:rsid w:val="000E14AD"/>
    <w:rsid w:val="000E152F"/>
    <w:rsid w:val="000E1719"/>
    <w:rsid w:val="000E199E"/>
    <w:rsid w:val="000E1CDF"/>
    <w:rsid w:val="000E2F96"/>
    <w:rsid w:val="000E3534"/>
    <w:rsid w:val="000E3802"/>
    <w:rsid w:val="000E3CDF"/>
    <w:rsid w:val="000E4B48"/>
    <w:rsid w:val="000E5857"/>
    <w:rsid w:val="000E5D59"/>
    <w:rsid w:val="000E628C"/>
    <w:rsid w:val="000E6396"/>
    <w:rsid w:val="000E6459"/>
    <w:rsid w:val="000E6525"/>
    <w:rsid w:val="000E65B2"/>
    <w:rsid w:val="000E751E"/>
    <w:rsid w:val="000E7587"/>
    <w:rsid w:val="000E7917"/>
    <w:rsid w:val="000E7BB5"/>
    <w:rsid w:val="000E7F0D"/>
    <w:rsid w:val="000F030F"/>
    <w:rsid w:val="000F07C7"/>
    <w:rsid w:val="000F0E2B"/>
    <w:rsid w:val="000F0EBA"/>
    <w:rsid w:val="000F118B"/>
    <w:rsid w:val="000F1388"/>
    <w:rsid w:val="000F2138"/>
    <w:rsid w:val="000F233E"/>
    <w:rsid w:val="000F2695"/>
    <w:rsid w:val="000F2BA5"/>
    <w:rsid w:val="000F30B6"/>
    <w:rsid w:val="000F40BB"/>
    <w:rsid w:val="000F45E1"/>
    <w:rsid w:val="000F4EB8"/>
    <w:rsid w:val="000F4EE1"/>
    <w:rsid w:val="000F5BBE"/>
    <w:rsid w:val="000F610A"/>
    <w:rsid w:val="000F61CA"/>
    <w:rsid w:val="000F6418"/>
    <w:rsid w:val="000F6F51"/>
    <w:rsid w:val="000F76FF"/>
    <w:rsid w:val="000F77C6"/>
    <w:rsid w:val="000F78FC"/>
    <w:rsid w:val="000F7C0B"/>
    <w:rsid w:val="001002E4"/>
    <w:rsid w:val="00100306"/>
    <w:rsid w:val="00100753"/>
    <w:rsid w:val="001013F4"/>
    <w:rsid w:val="001015D1"/>
    <w:rsid w:val="00101742"/>
    <w:rsid w:val="00101E7E"/>
    <w:rsid w:val="001021B9"/>
    <w:rsid w:val="001023C0"/>
    <w:rsid w:val="001026F1"/>
    <w:rsid w:val="00102D31"/>
    <w:rsid w:val="00103591"/>
    <w:rsid w:val="00103BB4"/>
    <w:rsid w:val="00103CDF"/>
    <w:rsid w:val="00103DB3"/>
    <w:rsid w:val="001040F1"/>
    <w:rsid w:val="00104E3B"/>
    <w:rsid w:val="00105AA9"/>
    <w:rsid w:val="00106911"/>
    <w:rsid w:val="00106975"/>
    <w:rsid w:val="00106A88"/>
    <w:rsid w:val="00107250"/>
    <w:rsid w:val="0010742A"/>
    <w:rsid w:val="001074A9"/>
    <w:rsid w:val="00110F8B"/>
    <w:rsid w:val="00111324"/>
    <w:rsid w:val="0011147A"/>
    <w:rsid w:val="0011151B"/>
    <w:rsid w:val="00111544"/>
    <w:rsid w:val="00111A1B"/>
    <w:rsid w:val="00112921"/>
    <w:rsid w:val="0011298C"/>
    <w:rsid w:val="00112A1C"/>
    <w:rsid w:val="00112C54"/>
    <w:rsid w:val="00113B06"/>
    <w:rsid w:val="00113D7F"/>
    <w:rsid w:val="0011421B"/>
    <w:rsid w:val="00114E32"/>
    <w:rsid w:val="0011562A"/>
    <w:rsid w:val="00115B5C"/>
    <w:rsid w:val="00115E20"/>
    <w:rsid w:val="00116A0C"/>
    <w:rsid w:val="00116C85"/>
    <w:rsid w:val="001173B4"/>
    <w:rsid w:val="001179B7"/>
    <w:rsid w:val="00117CC2"/>
    <w:rsid w:val="00117D9C"/>
    <w:rsid w:val="0012001A"/>
    <w:rsid w:val="00120321"/>
    <w:rsid w:val="00120380"/>
    <w:rsid w:val="001209DC"/>
    <w:rsid w:val="00121828"/>
    <w:rsid w:val="0012197A"/>
    <w:rsid w:val="001226BE"/>
    <w:rsid w:val="00122CDE"/>
    <w:rsid w:val="0012354E"/>
    <w:rsid w:val="00123EF1"/>
    <w:rsid w:val="00124454"/>
    <w:rsid w:val="0012447C"/>
    <w:rsid w:val="0012467F"/>
    <w:rsid w:val="00124924"/>
    <w:rsid w:val="00124E9B"/>
    <w:rsid w:val="00125AFC"/>
    <w:rsid w:val="00125D74"/>
    <w:rsid w:val="00125F7E"/>
    <w:rsid w:val="00126AFF"/>
    <w:rsid w:val="00126DC3"/>
    <w:rsid w:val="00126FF0"/>
    <w:rsid w:val="00127187"/>
    <w:rsid w:val="00127829"/>
    <w:rsid w:val="00127E6F"/>
    <w:rsid w:val="00130007"/>
    <w:rsid w:val="00130727"/>
    <w:rsid w:val="00130745"/>
    <w:rsid w:val="00130834"/>
    <w:rsid w:val="00131663"/>
    <w:rsid w:val="00132660"/>
    <w:rsid w:val="001326F4"/>
    <w:rsid w:val="00132A5A"/>
    <w:rsid w:val="00132DE6"/>
    <w:rsid w:val="00132EED"/>
    <w:rsid w:val="00132F74"/>
    <w:rsid w:val="0013454A"/>
    <w:rsid w:val="00135AE9"/>
    <w:rsid w:val="00135DF3"/>
    <w:rsid w:val="0013632E"/>
    <w:rsid w:val="001365C4"/>
    <w:rsid w:val="00136B0C"/>
    <w:rsid w:val="00137B03"/>
    <w:rsid w:val="0014036D"/>
    <w:rsid w:val="0014062F"/>
    <w:rsid w:val="00141457"/>
    <w:rsid w:val="001415DD"/>
    <w:rsid w:val="001420B0"/>
    <w:rsid w:val="00142D25"/>
    <w:rsid w:val="00142D83"/>
    <w:rsid w:val="00142F9D"/>
    <w:rsid w:val="001432D3"/>
    <w:rsid w:val="0014358B"/>
    <w:rsid w:val="001436B6"/>
    <w:rsid w:val="001437A7"/>
    <w:rsid w:val="00143C1A"/>
    <w:rsid w:val="00144465"/>
    <w:rsid w:val="00144864"/>
    <w:rsid w:val="00144D45"/>
    <w:rsid w:val="00145367"/>
    <w:rsid w:val="00145BAE"/>
    <w:rsid w:val="00145EB4"/>
    <w:rsid w:val="001469D4"/>
    <w:rsid w:val="00146E85"/>
    <w:rsid w:val="00146EF1"/>
    <w:rsid w:val="0014703A"/>
    <w:rsid w:val="001476BD"/>
    <w:rsid w:val="001476BE"/>
    <w:rsid w:val="001479C2"/>
    <w:rsid w:val="0015001A"/>
    <w:rsid w:val="00150F86"/>
    <w:rsid w:val="00151504"/>
    <w:rsid w:val="00151AD0"/>
    <w:rsid w:val="00151DA9"/>
    <w:rsid w:val="00152498"/>
    <w:rsid w:val="00152A10"/>
    <w:rsid w:val="00152AEF"/>
    <w:rsid w:val="00152FD4"/>
    <w:rsid w:val="00152FE9"/>
    <w:rsid w:val="0015303F"/>
    <w:rsid w:val="00154EC7"/>
    <w:rsid w:val="001550CA"/>
    <w:rsid w:val="00155C0E"/>
    <w:rsid w:val="00155FE3"/>
    <w:rsid w:val="00156206"/>
    <w:rsid w:val="00157444"/>
    <w:rsid w:val="00157A13"/>
    <w:rsid w:val="001604B6"/>
    <w:rsid w:val="00160DC2"/>
    <w:rsid w:val="0016127C"/>
    <w:rsid w:val="001612A7"/>
    <w:rsid w:val="00161330"/>
    <w:rsid w:val="00161790"/>
    <w:rsid w:val="00162CC2"/>
    <w:rsid w:val="00162F5D"/>
    <w:rsid w:val="00163AC6"/>
    <w:rsid w:val="00163ED4"/>
    <w:rsid w:val="001642BE"/>
    <w:rsid w:val="0016454D"/>
    <w:rsid w:val="001645C2"/>
    <w:rsid w:val="001647B8"/>
    <w:rsid w:val="00164A8D"/>
    <w:rsid w:val="00164B09"/>
    <w:rsid w:val="0016562C"/>
    <w:rsid w:val="00165AC0"/>
    <w:rsid w:val="00165BBB"/>
    <w:rsid w:val="00166AE4"/>
    <w:rsid w:val="00166CCF"/>
    <w:rsid w:val="00166F4F"/>
    <w:rsid w:val="001675BA"/>
    <w:rsid w:val="001678D6"/>
    <w:rsid w:val="0016798D"/>
    <w:rsid w:val="00167EE0"/>
    <w:rsid w:val="00167F7E"/>
    <w:rsid w:val="00170238"/>
    <w:rsid w:val="001708CB"/>
    <w:rsid w:val="00170DA1"/>
    <w:rsid w:val="00170DF6"/>
    <w:rsid w:val="0017101B"/>
    <w:rsid w:val="0017124A"/>
    <w:rsid w:val="00171B4A"/>
    <w:rsid w:val="00172324"/>
    <w:rsid w:val="00172361"/>
    <w:rsid w:val="0017254F"/>
    <w:rsid w:val="001738A0"/>
    <w:rsid w:val="001739CF"/>
    <w:rsid w:val="00174043"/>
    <w:rsid w:val="00174342"/>
    <w:rsid w:val="001743B1"/>
    <w:rsid w:val="001749D8"/>
    <w:rsid w:val="00174ACF"/>
    <w:rsid w:val="0017542E"/>
    <w:rsid w:val="00175613"/>
    <w:rsid w:val="00175A3C"/>
    <w:rsid w:val="00175A81"/>
    <w:rsid w:val="001766BA"/>
    <w:rsid w:val="001769E9"/>
    <w:rsid w:val="00176D14"/>
    <w:rsid w:val="00176D38"/>
    <w:rsid w:val="00176FDF"/>
    <w:rsid w:val="00177095"/>
    <w:rsid w:val="00180895"/>
    <w:rsid w:val="00181EAE"/>
    <w:rsid w:val="0018224C"/>
    <w:rsid w:val="001824CB"/>
    <w:rsid w:val="00182598"/>
    <w:rsid w:val="001827F1"/>
    <w:rsid w:val="001832F3"/>
    <w:rsid w:val="001838D0"/>
    <w:rsid w:val="00184855"/>
    <w:rsid w:val="00185348"/>
    <w:rsid w:val="00185379"/>
    <w:rsid w:val="001856FB"/>
    <w:rsid w:val="00185720"/>
    <w:rsid w:val="00185E01"/>
    <w:rsid w:val="00185E2B"/>
    <w:rsid w:val="00185F6F"/>
    <w:rsid w:val="0018606A"/>
    <w:rsid w:val="001861C1"/>
    <w:rsid w:val="001865D4"/>
    <w:rsid w:val="001865EC"/>
    <w:rsid w:val="0018665D"/>
    <w:rsid w:val="00187218"/>
    <w:rsid w:val="001872F7"/>
    <w:rsid w:val="00187352"/>
    <w:rsid w:val="001874CF"/>
    <w:rsid w:val="0018791A"/>
    <w:rsid w:val="00187C15"/>
    <w:rsid w:val="00187C2A"/>
    <w:rsid w:val="00190483"/>
    <w:rsid w:val="00191076"/>
    <w:rsid w:val="001915C8"/>
    <w:rsid w:val="00191712"/>
    <w:rsid w:val="00192241"/>
    <w:rsid w:val="001924FF"/>
    <w:rsid w:val="00192A42"/>
    <w:rsid w:val="00192F51"/>
    <w:rsid w:val="00193295"/>
    <w:rsid w:val="0019335C"/>
    <w:rsid w:val="00193397"/>
    <w:rsid w:val="001934C6"/>
    <w:rsid w:val="00193923"/>
    <w:rsid w:val="001945FA"/>
    <w:rsid w:val="00195219"/>
    <w:rsid w:val="00195642"/>
    <w:rsid w:val="00195715"/>
    <w:rsid w:val="00196839"/>
    <w:rsid w:val="00196D70"/>
    <w:rsid w:val="00197595"/>
    <w:rsid w:val="00197937"/>
    <w:rsid w:val="00197C7A"/>
    <w:rsid w:val="001A01CF"/>
    <w:rsid w:val="001A0B0A"/>
    <w:rsid w:val="001A0D72"/>
    <w:rsid w:val="001A129B"/>
    <w:rsid w:val="001A1535"/>
    <w:rsid w:val="001A15D2"/>
    <w:rsid w:val="001A1790"/>
    <w:rsid w:val="001A1C17"/>
    <w:rsid w:val="001A20E7"/>
    <w:rsid w:val="001A24EE"/>
    <w:rsid w:val="001A2696"/>
    <w:rsid w:val="001A3A6C"/>
    <w:rsid w:val="001A4293"/>
    <w:rsid w:val="001A4479"/>
    <w:rsid w:val="001A45EF"/>
    <w:rsid w:val="001A5076"/>
    <w:rsid w:val="001A5237"/>
    <w:rsid w:val="001A529E"/>
    <w:rsid w:val="001A577E"/>
    <w:rsid w:val="001A6378"/>
    <w:rsid w:val="001A665E"/>
    <w:rsid w:val="001A68D6"/>
    <w:rsid w:val="001A6EFD"/>
    <w:rsid w:val="001A7428"/>
    <w:rsid w:val="001A7CC0"/>
    <w:rsid w:val="001B0063"/>
    <w:rsid w:val="001B09CD"/>
    <w:rsid w:val="001B0C46"/>
    <w:rsid w:val="001B141E"/>
    <w:rsid w:val="001B1431"/>
    <w:rsid w:val="001B1514"/>
    <w:rsid w:val="001B154C"/>
    <w:rsid w:val="001B1C7F"/>
    <w:rsid w:val="001B1D8E"/>
    <w:rsid w:val="001B1E72"/>
    <w:rsid w:val="001B2382"/>
    <w:rsid w:val="001B24AD"/>
    <w:rsid w:val="001B27DC"/>
    <w:rsid w:val="001B3327"/>
    <w:rsid w:val="001B345C"/>
    <w:rsid w:val="001B34FF"/>
    <w:rsid w:val="001B3C7F"/>
    <w:rsid w:val="001B43B4"/>
    <w:rsid w:val="001B4B7C"/>
    <w:rsid w:val="001B4F8A"/>
    <w:rsid w:val="001B4FBA"/>
    <w:rsid w:val="001B51D8"/>
    <w:rsid w:val="001B5215"/>
    <w:rsid w:val="001B58F2"/>
    <w:rsid w:val="001B601B"/>
    <w:rsid w:val="001B678D"/>
    <w:rsid w:val="001B78F7"/>
    <w:rsid w:val="001B7C26"/>
    <w:rsid w:val="001B7D1D"/>
    <w:rsid w:val="001C0782"/>
    <w:rsid w:val="001C0B1C"/>
    <w:rsid w:val="001C0BC4"/>
    <w:rsid w:val="001C1369"/>
    <w:rsid w:val="001C1663"/>
    <w:rsid w:val="001C1846"/>
    <w:rsid w:val="001C19A3"/>
    <w:rsid w:val="001C2061"/>
    <w:rsid w:val="001C20C6"/>
    <w:rsid w:val="001C28BE"/>
    <w:rsid w:val="001C315B"/>
    <w:rsid w:val="001C32F9"/>
    <w:rsid w:val="001C332C"/>
    <w:rsid w:val="001C3BAB"/>
    <w:rsid w:val="001C4468"/>
    <w:rsid w:val="001C447B"/>
    <w:rsid w:val="001C47A5"/>
    <w:rsid w:val="001C4FE3"/>
    <w:rsid w:val="001C5347"/>
    <w:rsid w:val="001C5B48"/>
    <w:rsid w:val="001C5F00"/>
    <w:rsid w:val="001C5F7C"/>
    <w:rsid w:val="001C6506"/>
    <w:rsid w:val="001C6B01"/>
    <w:rsid w:val="001C6BE8"/>
    <w:rsid w:val="001C6D16"/>
    <w:rsid w:val="001C6DA4"/>
    <w:rsid w:val="001C71B6"/>
    <w:rsid w:val="001C71C1"/>
    <w:rsid w:val="001D00E6"/>
    <w:rsid w:val="001D0E4F"/>
    <w:rsid w:val="001D11DC"/>
    <w:rsid w:val="001D1630"/>
    <w:rsid w:val="001D1763"/>
    <w:rsid w:val="001D1AF5"/>
    <w:rsid w:val="001D1E2E"/>
    <w:rsid w:val="001D2237"/>
    <w:rsid w:val="001D23E8"/>
    <w:rsid w:val="001D28C2"/>
    <w:rsid w:val="001D29AE"/>
    <w:rsid w:val="001D2F3D"/>
    <w:rsid w:val="001D3DD1"/>
    <w:rsid w:val="001D3F73"/>
    <w:rsid w:val="001D3FEB"/>
    <w:rsid w:val="001D408D"/>
    <w:rsid w:val="001D4D60"/>
    <w:rsid w:val="001D5A08"/>
    <w:rsid w:val="001D5C0C"/>
    <w:rsid w:val="001D5C14"/>
    <w:rsid w:val="001D5CDB"/>
    <w:rsid w:val="001D6392"/>
    <w:rsid w:val="001D65CA"/>
    <w:rsid w:val="001D6816"/>
    <w:rsid w:val="001D6B9F"/>
    <w:rsid w:val="001D6C0E"/>
    <w:rsid w:val="001D77A6"/>
    <w:rsid w:val="001E06FE"/>
    <w:rsid w:val="001E13C5"/>
    <w:rsid w:val="001E1EB8"/>
    <w:rsid w:val="001E2F91"/>
    <w:rsid w:val="001E31A4"/>
    <w:rsid w:val="001E3EA7"/>
    <w:rsid w:val="001E41D9"/>
    <w:rsid w:val="001E4682"/>
    <w:rsid w:val="001E518A"/>
    <w:rsid w:val="001E5304"/>
    <w:rsid w:val="001E620F"/>
    <w:rsid w:val="001E62C4"/>
    <w:rsid w:val="001E650A"/>
    <w:rsid w:val="001E6A5E"/>
    <w:rsid w:val="001E6CE0"/>
    <w:rsid w:val="001E725C"/>
    <w:rsid w:val="001E7593"/>
    <w:rsid w:val="001E7EBB"/>
    <w:rsid w:val="001F0210"/>
    <w:rsid w:val="001F0793"/>
    <w:rsid w:val="001F0DAD"/>
    <w:rsid w:val="001F2764"/>
    <w:rsid w:val="001F2BB2"/>
    <w:rsid w:val="001F2C4E"/>
    <w:rsid w:val="001F3220"/>
    <w:rsid w:val="001F3282"/>
    <w:rsid w:val="001F343E"/>
    <w:rsid w:val="001F37B9"/>
    <w:rsid w:val="001F41B7"/>
    <w:rsid w:val="001F486B"/>
    <w:rsid w:val="001F523A"/>
    <w:rsid w:val="001F55EB"/>
    <w:rsid w:val="001F58E8"/>
    <w:rsid w:val="001F61A3"/>
    <w:rsid w:val="001F627D"/>
    <w:rsid w:val="001F6464"/>
    <w:rsid w:val="001F6938"/>
    <w:rsid w:val="001F7587"/>
    <w:rsid w:val="001F765D"/>
    <w:rsid w:val="001F798F"/>
    <w:rsid w:val="002007B1"/>
    <w:rsid w:val="00200817"/>
    <w:rsid w:val="0020088F"/>
    <w:rsid w:val="00200A39"/>
    <w:rsid w:val="002013D3"/>
    <w:rsid w:val="002014CF"/>
    <w:rsid w:val="00201BC9"/>
    <w:rsid w:val="00202810"/>
    <w:rsid w:val="0020287A"/>
    <w:rsid w:val="00202C76"/>
    <w:rsid w:val="00202D53"/>
    <w:rsid w:val="002030A3"/>
    <w:rsid w:val="00203710"/>
    <w:rsid w:val="00203CE9"/>
    <w:rsid w:val="00203E56"/>
    <w:rsid w:val="00203E6C"/>
    <w:rsid w:val="00204388"/>
    <w:rsid w:val="00204F10"/>
    <w:rsid w:val="00205442"/>
    <w:rsid w:val="0020574E"/>
    <w:rsid w:val="00205D40"/>
    <w:rsid w:val="00206595"/>
    <w:rsid w:val="002069F7"/>
    <w:rsid w:val="00206B35"/>
    <w:rsid w:val="00207471"/>
    <w:rsid w:val="00207C24"/>
    <w:rsid w:val="00207E36"/>
    <w:rsid w:val="00207E42"/>
    <w:rsid w:val="00210614"/>
    <w:rsid w:val="00210620"/>
    <w:rsid w:val="002108D1"/>
    <w:rsid w:val="0021094E"/>
    <w:rsid w:val="00211991"/>
    <w:rsid w:val="002128DD"/>
    <w:rsid w:val="00212B01"/>
    <w:rsid w:val="00212DA0"/>
    <w:rsid w:val="002138D2"/>
    <w:rsid w:val="00213C42"/>
    <w:rsid w:val="0021451C"/>
    <w:rsid w:val="00214F63"/>
    <w:rsid w:val="0021543C"/>
    <w:rsid w:val="002154D9"/>
    <w:rsid w:val="00215850"/>
    <w:rsid w:val="00215D7C"/>
    <w:rsid w:val="00215E7D"/>
    <w:rsid w:val="00216245"/>
    <w:rsid w:val="0021670F"/>
    <w:rsid w:val="00216B70"/>
    <w:rsid w:val="00217032"/>
    <w:rsid w:val="00217154"/>
    <w:rsid w:val="00217B45"/>
    <w:rsid w:val="00217E9B"/>
    <w:rsid w:val="00220510"/>
    <w:rsid w:val="00220C69"/>
    <w:rsid w:val="002219F5"/>
    <w:rsid w:val="00221B74"/>
    <w:rsid w:val="00221F55"/>
    <w:rsid w:val="002224A3"/>
    <w:rsid w:val="002228B6"/>
    <w:rsid w:val="00222EC0"/>
    <w:rsid w:val="002233A8"/>
    <w:rsid w:val="00224BA5"/>
    <w:rsid w:val="002258DE"/>
    <w:rsid w:val="00225A43"/>
    <w:rsid w:val="00225C9A"/>
    <w:rsid w:val="00225EC4"/>
    <w:rsid w:val="00225F1E"/>
    <w:rsid w:val="00226CEA"/>
    <w:rsid w:val="002278A5"/>
    <w:rsid w:val="00227AEC"/>
    <w:rsid w:val="00227DDB"/>
    <w:rsid w:val="00230266"/>
    <w:rsid w:val="00230A18"/>
    <w:rsid w:val="00231135"/>
    <w:rsid w:val="0023113D"/>
    <w:rsid w:val="00231EF2"/>
    <w:rsid w:val="00232B15"/>
    <w:rsid w:val="002330A0"/>
    <w:rsid w:val="002336D0"/>
    <w:rsid w:val="00233D2C"/>
    <w:rsid w:val="002340C3"/>
    <w:rsid w:val="00234835"/>
    <w:rsid w:val="00234F3A"/>
    <w:rsid w:val="002353A9"/>
    <w:rsid w:val="00235653"/>
    <w:rsid w:val="00235907"/>
    <w:rsid w:val="0023597B"/>
    <w:rsid w:val="00235E6E"/>
    <w:rsid w:val="00235FED"/>
    <w:rsid w:val="00236445"/>
    <w:rsid w:val="002365C3"/>
    <w:rsid w:val="00237A79"/>
    <w:rsid w:val="00237BCC"/>
    <w:rsid w:val="002400C7"/>
    <w:rsid w:val="002407B2"/>
    <w:rsid w:val="00240B8E"/>
    <w:rsid w:val="00240FC8"/>
    <w:rsid w:val="00240FCD"/>
    <w:rsid w:val="002413B5"/>
    <w:rsid w:val="00241695"/>
    <w:rsid w:val="002427DC"/>
    <w:rsid w:val="00242FDD"/>
    <w:rsid w:val="00243108"/>
    <w:rsid w:val="00243127"/>
    <w:rsid w:val="002433E0"/>
    <w:rsid w:val="00243644"/>
    <w:rsid w:val="002445FF"/>
    <w:rsid w:val="0024482C"/>
    <w:rsid w:val="002453D4"/>
    <w:rsid w:val="00245400"/>
    <w:rsid w:val="00245C02"/>
    <w:rsid w:val="002463A7"/>
    <w:rsid w:val="00246FD1"/>
    <w:rsid w:val="00247067"/>
    <w:rsid w:val="00247079"/>
    <w:rsid w:val="00247954"/>
    <w:rsid w:val="00247C8C"/>
    <w:rsid w:val="002504DF"/>
    <w:rsid w:val="00250D85"/>
    <w:rsid w:val="00250DD5"/>
    <w:rsid w:val="0025120F"/>
    <w:rsid w:val="00252639"/>
    <w:rsid w:val="00252C8C"/>
    <w:rsid w:val="002534B3"/>
    <w:rsid w:val="002534B6"/>
    <w:rsid w:val="00253519"/>
    <w:rsid w:val="00253686"/>
    <w:rsid w:val="002542AB"/>
    <w:rsid w:val="0025439E"/>
    <w:rsid w:val="00254659"/>
    <w:rsid w:val="0025481F"/>
    <w:rsid w:val="00254915"/>
    <w:rsid w:val="00254B03"/>
    <w:rsid w:val="002559D4"/>
    <w:rsid w:val="00255ECC"/>
    <w:rsid w:val="002566D3"/>
    <w:rsid w:val="00256B17"/>
    <w:rsid w:val="00256F0A"/>
    <w:rsid w:val="00257062"/>
    <w:rsid w:val="002570A9"/>
    <w:rsid w:val="00257526"/>
    <w:rsid w:val="0025754D"/>
    <w:rsid w:val="00257712"/>
    <w:rsid w:val="00257794"/>
    <w:rsid w:val="00257A82"/>
    <w:rsid w:val="0026018D"/>
    <w:rsid w:val="002602E8"/>
    <w:rsid w:val="00260355"/>
    <w:rsid w:val="002604F0"/>
    <w:rsid w:val="00260A31"/>
    <w:rsid w:val="00260B1B"/>
    <w:rsid w:val="00261202"/>
    <w:rsid w:val="00261B4E"/>
    <w:rsid w:val="00261C7F"/>
    <w:rsid w:val="002621EE"/>
    <w:rsid w:val="002627A5"/>
    <w:rsid w:val="002628D1"/>
    <w:rsid w:val="0026338F"/>
    <w:rsid w:val="00263753"/>
    <w:rsid w:val="002638EB"/>
    <w:rsid w:val="00263969"/>
    <w:rsid w:val="002639CC"/>
    <w:rsid w:val="00263AE9"/>
    <w:rsid w:val="00263C8E"/>
    <w:rsid w:val="00265253"/>
    <w:rsid w:val="0026608B"/>
    <w:rsid w:val="00266179"/>
    <w:rsid w:val="002667F0"/>
    <w:rsid w:val="00266A04"/>
    <w:rsid w:val="00266EC3"/>
    <w:rsid w:val="0026709E"/>
    <w:rsid w:val="00270109"/>
    <w:rsid w:val="00270144"/>
    <w:rsid w:val="002701A6"/>
    <w:rsid w:val="002701AD"/>
    <w:rsid w:val="00270315"/>
    <w:rsid w:val="002703AB"/>
    <w:rsid w:val="002705DA"/>
    <w:rsid w:val="0027072C"/>
    <w:rsid w:val="002709D2"/>
    <w:rsid w:val="00270C90"/>
    <w:rsid w:val="00270F6A"/>
    <w:rsid w:val="00271794"/>
    <w:rsid w:val="002718BB"/>
    <w:rsid w:val="00271CB6"/>
    <w:rsid w:val="00271E2A"/>
    <w:rsid w:val="00272599"/>
    <w:rsid w:val="002730F0"/>
    <w:rsid w:val="00273234"/>
    <w:rsid w:val="002736C6"/>
    <w:rsid w:val="00273C03"/>
    <w:rsid w:val="00273D52"/>
    <w:rsid w:val="00273EF9"/>
    <w:rsid w:val="0027446F"/>
    <w:rsid w:val="002745E9"/>
    <w:rsid w:val="0027472A"/>
    <w:rsid w:val="00275248"/>
    <w:rsid w:val="002757B8"/>
    <w:rsid w:val="00275813"/>
    <w:rsid w:val="00275B4D"/>
    <w:rsid w:val="002764EC"/>
    <w:rsid w:val="00276748"/>
    <w:rsid w:val="00276DF5"/>
    <w:rsid w:val="00276E27"/>
    <w:rsid w:val="00277441"/>
    <w:rsid w:val="002801C6"/>
    <w:rsid w:val="0028036C"/>
    <w:rsid w:val="00280476"/>
    <w:rsid w:val="00281EAB"/>
    <w:rsid w:val="00281F92"/>
    <w:rsid w:val="00281FD0"/>
    <w:rsid w:val="002825BF"/>
    <w:rsid w:val="00282F45"/>
    <w:rsid w:val="00283175"/>
    <w:rsid w:val="0028328C"/>
    <w:rsid w:val="002833F5"/>
    <w:rsid w:val="00283D59"/>
    <w:rsid w:val="002843A0"/>
    <w:rsid w:val="00284521"/>
    <w:rsid w:val="002848F8"/>
    <w:rsid w:val="00284965"/>
    <w:rsid w:val="002850FC"/>
    <w:rsid w:val="0028516D"/>
    <w:rsid w:val="00285547"/>
    <w:rsid w:val="0028561C"/>
    <w:rsid w:val="00285AAD"/>
    <w:rsid w:val="0028639C"/>
    <w:rsid w:val="002863C6"/>
    <w:rsid w:val="002866D9"/>
    <w:rsid w:val="00287490"/>
    <w:rsid w:val="002875A5"/>
    <w:rsid w:val="00287BBC"/>
    <w:rsid w:val="002906EC"/>
    <w:rsid w:val="00290763"/>
    <w:rsid w:val="002908C9"/>
    <w:rsid w:val="002911A3"/>
    <w:rsid w:val="00291202"/>
    <w:rsid w:val="00291C31"/>
    <w:rsid w:val="00291CEE"/>
    <w:rsid w:val="00292047"/>
    <w:rsid w:val="00292713"/>
    <w:rsid w:val="00292BF1"/>
    <w:rsid w:val="00293A5F"/>
    <w:rsid w:val="002940CD"/>
    <w:rsid w:val="00294214"/>
    <w:rsid w:val="00294FBA"/>
    <w:rsid w:val="00295ADA"/>
    <w:rsid w:val="002960CE"/>
    <w:rsid w:val="002962D1"/>
    <w:rsid w:val="00296433"/>
    <w:rsid w:val="00296814"/>
    <w:rsid w:val="00296E69"/>
    <w:rsid w:val="00297CF4"/>
    <w:rsid w:val="002A04B5"/>
    <w:rsid w:val="002A07D8"/>
    <w:rsid w:val="002A0A1A"/>
    <w:rsid w:val="002A0A25"/>
    <w:rsid w:val="002A0C42"/>
    <w:rsid w:val="002A10A3"/>
    <w:rsid w:val="002A1520"/>
    <w:rsid w:val="002A1781"/>
    <w:rsid w:val="002A349E"/>
    <w:rsid w:val="002A4114"/>
    <w:rsid w:val="002A420F"/>
    <w:rsid w:val="002A45F3"/>
    <w:rsid w:val="002A4C7C"/>
    <w:rsid w:val="002A4E44"/>
    <w:rsid w:val="002A5354"/>
    <w:rsid w:val="002A5520"/>
    <w:rsid w:val="002A69AD"/>
    <w:rsid w:val="002A7403"/>
    <w:rsid w:val="002A7E79"/>
    <w:rsid w:val="002A7FD4"/>
    <w:rsid w:val="002B093C"/>
    <w:rsid w:val="002B1002"/>
    <w:rsid w:val="002B10D1"/>
    <w:rsid w:val="002B1225"/>
    <w:rsid w:val="002B1624"/>
    <w:rsid w:val="002B1CD2"/>
    <w:rsid w:val="002B231E"/>
    <w:rsid w:val="002B2426"/>
    <w:rsid w:val="002B27CC"/>
    <w:rsid w:val="002B298D"/>
    <w:rsid w:val="002B2B33"/>
    <w:rsid w:val="002B2DDD"/>
    <w:rsid w:val="002B2F43"/>
    <w:rsid w:val="002B32AC"/>
    <w:rsid w:val="002B3373"/>
    <w:rsid w:val="002B40F7"/>
    <w:rsid w:val="002B4BC4"/>
    <w:rsid w:val="002B4C2E"/>
    <w:rsid w:val="002B4C86"/>
    <w:rsid w:val="002B4EA5"/>
    <w:rsid w:val="002B4F2E"/>
    <w:rsid w:val="002B5288"/>
    <w:rsid w:val="002B52D0"/>
    <w:rsid w:val="002B540A"/>
    <w:rsid w:val="002B56CB"/>
    <w:rsid w:val="002B5C64"/>
    <w:rsid w:val="002B60B6"/>
    <w:rsid w:val="002B612D"/>
    <w:rsid w:val="002B6195"/>
    <w:rsid w:val="002B6E6E"/>
    <w:rsid w:val="002B782D"/>
    <w:rsid w:val="002B7A82"/>
    <w:rsid w:val="002B7C8E"/>
    <w:rsid w:val="002C0004"/>
    <w:rsid w:val="002C016F"/>
    <w:rsid w:val="002C0347"/>
    <w:rsid w:val="002C08A6"/>
    <w:rsid w:val="002C0972"/>
    <w:rsid w:val="002C149A"/>
    <w:rsid w:val="002C205D"/>
    <w:rsid w:val="002C2640"/>
    <w:rsid w:val="002C2762"/>
    <w:rsid w:val="002C2815"/>
    <w:rsid w:val="002C29F8"/>
    <w:rsid w:val="002C2D55"/>
    <w:rsid w:val="002C2F4C"/>
    <w:rsid w:val="002C372D"/>
    <w:rsid w:val="002C3ABA"/>
    <w:rsid w:val="002C4478"/>
    <w:rsid w:val="002C44EA"/>
    <w:rsid w:val="002C4763"/>
    <w:rsid w:val="002C502E"/>
    <w:rsid w:val="002C5954"/>
    <w:rsid w:val="002C6FB3"/>
    <w:rsid w:val="002C719E"/>
    <w:rsid w:val="002C7354"/>
    <w:rsid w:val="002C7853"/>
    <w:rsid w:val="002D0A6D"/>
    <w:rsid w:val="002D1B11"/>
    <w:rsid w:val="002D2380"/>
    <w:rsid w:val="002D2514"/>
    <w:rsid w:val="002D25C5"/>
    <w:rsid w:val="002D38DD"/>
    <w:rsid w:val="002D4045"/>
    <w:rsid w:val="002D42B3"/>
    <w:rsid w:val="002D4F4C"/>
    <w:rsid w:val="002D5CE4"/>
    <w:rsid w:val="002D5D7E"/>
    <w:rsid w:val="002D5DC3"/>
    <w:rsid w:val="002D6616"/>
    <w:rsid w:val="002D6FED"/>
    <w:rsid w:val="002D73F5"/>
    <w:rsid w:val="002D7E5E"/>
    <w:rsid w:val="002E04B9"/>
    <w:rsid w:val="002E0659"/>
    <w:rsid w:val="002E0F9C"/>
    <w:rsid w:val="002E11FC"/>
    <w:rsid w:val="002E1E04"/>
    <w:rsid w:val="002E2936"/>
    <w:rsid w:val="002E2AA4"/>
    <w:rsid w:val="002E2E24"/>
    <w:rsid w:val="002E350F"/>
    <w:rsid w:val="002E4244"/>
    <w:rsid w:val="002E4365"/>
    <w:rsid w:val="002E481F"/>
    <w:rsid w:val="002E4B69"/>
    <w:rsid w:val="002E53ED"/>
    <w:rsid w:val="002E5940"/>
    <w:rsid w:val="002E5B95"/>
    <w:rsid w:val="002E6590"/>
    <w:rsid w:val="002E7455"/>
    <w:rsid w:val="002E7818"/>
    <w:rsid w:val="002E796E"/>
    <w:rsid w:val="002E7BDE"/>
    <w:rsid w:val="002E7E25"/>
    <w:rsid w:val="002E7FA2"/>
    <w:rsid w:val="002F02A4"/>
    <w:rsid w:val="002F0793"/>
    <w:rsid w:val="002F0CBF"/>
    <w:rsid w:val="002F121C"/>
    <w:rsid w:val="002F1364"/>
    <w:rsid w:val="002F15B1"/>
    <w:rsid w:val="002F2340"/>
    <w:rsid w:val="002F2C1A"/>
    <w:rsid w:val="002F2DB4"/>
    <w:rsid w:val="002F323F"/>
    <w:rsid w:val="002F3B91"/>
    <w:rsid w:val="002F459B"/>
    <w:rsid w:val="002F4B25"/>
    <w:rsid w:val="002F5590"/>
    <w:rsid w:val="002F5A74"/>
    <w:rsid w:val="002F5B71"/>
    <w:rsid w:val="002F603B"/>
    <w:rsid w:val="002F6082"/>
    <w:rsid w:val="002F6BF5"/>
    <w:rsid w:val="002F7661"/>
    <w:rsid w:val="002F7A8E"/>
    <w:rsid w:val="0030011D"/>
    <w:rsid w:val="00300596"/>
    <w:rsid w:val="00300ABF"/>
    <w:rsid w:val="00301999"/>
    <w:rsid w:val="0030199A"/>
    <w:rsid w:val="00301A2E"/>
    <w:rsid w:val="00302278"/>
    <w:rsid w:val="003023C4"/>
    <w:rsid w:val="00302BCF"/>
    <w:rsid w:val="00303067"/>
    <w:rsid w:val="00303266"/>
    <w:rsid w:val="00303A90"/>
    <w:rsid w:val="00303E1F"/>
    <w:rsid w:val="00303F34"/>
    <w:rsid w:val="00304624"/>
    <w:rsid w:val="00304820"/>
    <w:rsid w:val="003051B4"/>
    <w:rsid w:val="00305715"/>
    <w:rsid w:val="00305908"/>
    <w:rsid w:val="00305C59"/>
    <w:rsid w:val="00305E10"/>
    <w:rsid w:val="00305F4B"/>
    <w:rsid w:val="00306559"/>
    <w:rsid w:val="00306D3C"/>
    <w:rsid w:val="00306F4B"/>
    <w:rsid w:val="0030736C"/>
    <w:rsid w:val="003074EE"/>
    <w:rsid w:val="00307781"/>
    <w:rsid w:val="00307C9B"/>
    <w:rsid w:val="00307EF7"/>
    <w:rsid w:val="00310381"/>
    <w:rsid w:val="003103E1"/>
    <w:rsid w:val="003104AA"/>
    <w:rsid w:val="003107AC"/>
    <w:rsid w:val="00310CB2"/>
    <w:rsid w:val="00310CFE"/>
    <w:rsid w:val="00310E14"/>
    <w:rsid w:val="003114C1"/>
    <w:rsid w:val="0031224D"/>
    <w:rsid w:val="003129D2"/>
    <w:rsid w:val="00312C57"/>
    <w:rsid w:val="00312F72"/>
    <w:rsid w:val="00313076"/>
    <w:rsid w:val="003137BD"/>
    <w:rsid w:val="00313BD3"/>
    <w:rsid w:val="00313C31"/>
    <w:rsid w:val="00314461"/>
    <w:rsid w:val="003146EB"/>
    <w:rsid w:val="003155C5"/>
    <w:rsid w:val="00315A6F"/>
    <w:rsid w:val="00315CD9"/>
    <w:rsid w:val="00316D34"/>
    <w:rsid w:val="0031733E"/>
    <w:rsid w:val="00317710"/>
    <w:rsid w:val="0031787A"/>
    <w:rsid w:val="00317DE7"/>
    <w:rsid w:val="0032007F"/>
    <w:rsid w:val="0032020C"/>
    <w:rsid w:val="0032020E"/>
    <w:rsid w:val="003206E3"/>
    <w:rsid w:val="00320F32"/>
    <w:rsid w:val="003212B5"/>
    <w:rsid w:val="003213FB"/>
    <w:rsid w:val="003218C8"/>
    <w:rsid w:val="00321A6F"/>
    <w:rsid w:val="00321EAC"/>
    <w:rsid w:val="00322093"/>
    <w:rsid w:val="003229A7"/>
    <w:rsid w:val="00323BF8"/>
    <w:rsid w:val="0032436F"/>
    <w:rsid w:val="003245D8"/>
    <w:rsid w:val="00324DEE"/>
    <w:rsid w:val="00324F7E"/>
    <w:rsid w:val="003250F5"/>
    <w:rsid w:val="003250F7"/>
    <w:rsid w:val="003252FE"/>
    <w:rsid w:val="00325697"/>
    <w:rsid w:val="00325BD4"/>
    <w:rsid w:val="00325C37"/>
    <w:rsid w:val="00325FD3"/>
    <w:rsid w:val="00326353"/>
    <w:rsid w:val="0032654B"/>
    <w:rsid w:val="00327075"/>
    <w:rsid w:val="003270A5"/>
    <w:rsid w:val="00327A62"/>
    <w:rsid w:val="00327C6B"/>
    <w:rsid w:val="00330EAA"/>
    <w:rsid w:val="003314D3"/>
    <w:rsid w:val="003318BA"/>
    <w:rsid w:val="00331C11"/>
    <w:rsid w:val="00331CA0"/>
    <w:rsid w:val="00331DAA"/>
    <w:rsid w:val="0033202D"/>
    <w:rsid w:val="00332404"/>
    <w:rsid w:val="00332DB6"/>
    <w:rsid w:val="0033306B"/>
    <w:rsid w:val="003333C5"/>
    <w:rsid w:val="003335E9"/>
    <w:rsid w:val="00333E0B"/>
    <w:rsid w:val="003343D7"/>
    <w:rsid w:val="003349EB"/>
    <w:rsid w:val="00334CDC"/>
    <w:rsid w:val="0033544C"/>
    <w:rsid w:val="00336221"/>
    <w:rsid w:val="003364E5"/>
    <w:rsid w:val="00337061"/>
    <w:rsid w:val="0033779C"/>
    <w:rsid w:val="003379B4"/>
    <w:rsid w:val="00337F76"/>
    <w:rsid w:val="0034051B"/>
    <w:rsid w:val="00340545"/>
    <w:rsid w:val="00340549"/>
    <w:rsid w:val="003405EA"/>
    <w:rsid w:val="0034129E"/>
    <w:rsid w:val="0034289D"/>
    <w:rsid w:val="00342966"/>
    <w:rsid w:val="003435BE"/>
    <w:rsid w:val="0034389F"/>
    <w:rsid w:val="00343A91"/>
    <w:rsid w:val="0034450E"/>
    <w:rsid w:val="003445FC"/>
    <w:rsid w:val="00344CC1"/>
    <w:rsid w:val="003450A8"/>
    <w:rsid w:val="003452B2"/>
    <w:rsid w:val="0034537A"/>
    <w:rsid w:val="00345821"/>
    <w:rsid w:val="00345A35"/>
    <w:rsid w:val="00345BB6"/>
    <w:rsid w:val="00346132"/>
    <w:rsid w:val="00346235"/>
    <w:rsid w:val="003464D7"/>
    <w:rsid w:val="003465C0"/>
    <w:rsid w:val="00346BEB"/>
    <w:rsid w:val="00347CE8"/>
    <w:rsid w:val="00350AF0"/>
    <w:rsid w:val="00350B99"/>
    <w:rsid w:val="00351241"/>
    <w:rsid w:val="003515A2"/>
    <w:rsid w:val="00351935"/>
    <w:rsid w:val="00351DE1"/>
    <w:rsid w:val="00351FA6"/>
    <w:rsid w:val="003522D8"/>
    <w:rsid w:val="00352504"/>
    <w:rsid w:val="00352966"/>
    <w:rsid w:val="00352CB2"/>
    <w:rsid w:val="0035326F"/>
    <w:rsid w:val="0035350F"/>
    <w:rsid w:val="0035429F"/>
    <w:rsid w:val="00354ADA"/>
    <w:rsid w:val="00355117"/>
    <w:rsid w:val="0035517F"/>
    <w:rsid w:val="00356508"/>
    <w:rsid w:val="00357088"/>
    <w:rsid w:val="003571BB"/>
    <w:rsid w:val="003576A6"/>
    <w:rsid w:val="00360109"/>
    <w:rsid w:val="003604EB"/>
    <w:rsid w:val="00360615"/>
    <w:rsid w:val="003613F0"/>
    <w:rsid w:val="0036203C"/>
    <w:rsid w:val="0036241E"/>
    <w:rsid w:val="0036277C"/>
    <w:rsid w:val="00362C71"/>
    <w:rsid w:val="00362CC6"/>
    <w:rsid w:val="00362D5E"/>
    <w:rsid w:val="003639E6"/>
    <w:rsid w:val="00363B42"/>
    <w:rsid w:val="0036483F"/>
    <w:rsid w:val="00364886"/>
    <w:rsid w:val="00364B74"/>
    <w:rsid w:val="00364C26"/>
    <w:rsid w:val="003652C6"/>
    <w:rsid w:val="0036551B"/>
    <w:rsid w:val="0036618A"/>
    <w:rsid w:val="00366205"/>
    <w:rsid w:val="003666AA"/>
    <w:rsid w:val="003668BA"/>
    <w:rsid w:val="00366C83"/>
    <w:rsid w:val="00366CD5"/>
    <w:rsid w:val="00367142"/>
    <w:rsid w:val="00367462"/>
    <w:rsid w:val="00367555"/>
    <w:rsid w:val="00367708"/>
    <w:rsid w:val="00367939"/>
    <w:rsid w:val="00367B96"/>
    <w:rsid w:val="0037035D"/>
    <w:rsid w:val="0037036D"/>
    <w:rsid w:val="003707BD"/>
    <w:rsid w:val="0037093B"/>
    <w:rsid w:val="00371ABF"/>
    <w:rsid w:val="00371AEC"/>
    <w:rsid w:val="00371E7E"/>
    <w:rsid w:val="00372730"/>
    <w:rsid w:val="00372D34"/>
    <w:rsid w:val="00372F5B"/>
    <w:rsid w:val="00373021"/>
    <w:rsid w:val="00373362"/>
    <w:rsid w:val="003738A4"/>
    <w:rsid w:val="00373B4F"/>
    <w:rsid w:val="00373D2F"/>
    <w:rsid w:val="00374764"/>
    <w:rsid w:val="00374E5B"/>
    <w:rsid w:val="00374F88"/>
    <w:rsid w:val="0037558E"/>
    <w:rsid w:val="003758FB"/>
    <w:rsid w:val="003760BA"/>
    <w:rsid w:val="0037694D"/>
    <w:rsid w:val="0037696F"/>
    <w:rsid w:val="003769C7"/>
    <w:rsid w:val="00376AD8"/>
    <w:rsid w:val="00376CBB"/>
    <w:rsid w:val="00376F3B"/>
    <w:rsid w:val="00377287"/>
    <w:rsid w:val="00377556"/>
    <w:rsid w:val="003779E0"/>
    <w:rsid w:val="00377B1F"/>
    <w:rsid w:val="0038008F"/>
    <w:rsid w:val="003800AC"/>
    <w:rsid w:val="0038033A"/>
    <w:rsid w:val="00380A28"/>
    <w:rsid w:val="00380B7A"/>
    <w:rsid w:val="00380F77"/>
    <w:rsid w:val="00381350"/>
    <w:rsid w:val="00381696"/>
    <w:rsid w:val="00381D3A"/>
    <w:rsid w:val="0038213B"/>
    <w:rsid w:val="003828AA"/>
    <w:rsid w:val="00382963"/>
    <w:rsid w:val="003829FB"/>
    <w:rsid w:val="00382A9D"/>
    <w:rsid w:val="00382F2E"/>
    <w:rsid w:val="00383009"/>
    <w:rsid w:val="00384048"/>
    <w:rsid w:val="00384560"/>
    <w:rsid w:val="00384A17"/>
    <w:rsid w:val="00384AB2"/>
    <w:rsid w:val="003854AB"/>
    <w:rsid w:val="003855EF"/>
    <w:rsid w:val="003858C1"/>
    <w:rsid w:val="00385B5F"/>
    <w:rsid w:val="00385C5B"/>
    <w:rsid w:val="003860F1"/>
    <w:rsid w:val="00386327"/>
    <w:rsid w:val="00386AFD"/>
    <w:rsid w:val="003870A9"/>
    <w:rsid w:val="003872EA"/>
    <w:rsid w:val="00387420"/>
    <w:rsid w:val="00387A26"/>
    <w:rsid w:val="00387A67"/>
    <w:rsid w:val="0039047A"/>
    <w:rsid w:val="00390EC5"/>
    <w:rsid w:val="00391648"/>
    <w:rsid w:val="00392372"/>
    <w:rsid w:val="00392564"/>
    <w:rsid w:val="0039265E"/>
    <w:rsid w:val="003927F7"/>
    <w:rsid w:val="003929DD"/>
    <w:rsid w:val="00392FE7"/>
    <w:rsid w:val="003955B3"/>
    <w:rsid w:val="00395BE1"/>
    <w:rsid w:val="00395CFA"/>
    <w:rsid w:val="00395D37"/>
    <w:rsid w:val="00396422"/>
    <w:rsid w:val="00396E63"/>
    <w:rsid w:val="00397559"/>
    <w:rsid w:val="00397976"/>
    <w:rsid w:val="003979D2"/>
    <w:rsid w:val="00397CA7"/>
    <w:rsid w:val="003A0407"/>
    <w:rsid w:val="003A0455"/>
    <w:rsid w:val="003A046D"/>
    <w:rsid w:val="003A0671"/>
    <w:rsid w:val="003A0783"/>
    <w:rsid w:val="003A0C75"/>
    <w:rsid w:val="003A0D86"/>
    <w:rsid w:val="003A0F56"/>
    <w:rsid w:val="003A10D3"/>
    <w:rsid w:val="003A1137"/>
    <w:rsid w:val="003A1191"/>
    <w:rsid w:val="003A1204"/>
    <w:rsid w:val="003A1BE8"/>
    <w:rsid w:val="003A1DD5"/>
    <w:rsid w:val="003A2132"/>
    <w:rsid w:val="003A21C9"/>
    <w:rsid w:val="003A23DC"/>
    <w:rsid w:val="003A2DA2"/>
    <w:rsid w:val="003A2E2A"/>
    <w:rsid w:val="003A3C92"/>
    <w:rsid w:val="003A49A4"/>
    <w:rsid w:val="003A4A6F"/>
    <w:rsid w:val="003A4C27"/>
    <w:rsid w:val="003A4C33"/>
    <w:rsid w:val="003A4DBC"/>
    <w:rsid w:val="003A51E6"/>
    <w:rsid w:val="003A5FD6"/>
    <w:rsid w:val="003A6032"/>
    <w:rsid w:val="003A7368"/>
    <w:rsid w:val="003A73F6"/>
    <w:rsid w:val="003A797E"/>
    <w:rsid w:val="003A7B9F"/>
    <w:rsid w:val="003A7E00"/>
    <w:rsid w:val="003A7FC0"/>
    <w:rsid w:val="003B128B"/>
    <w:rsid w:val="003B1871"/>
    <w:rsid w:val="003B1B8B"/>
    <w:rsid w:val="003B1BC7"/>
    <w:rsid w:val="003B1DFD"/>
    <w:rsid w:val="003B2030"/>
    <w:rsid w:val="003B326B"/>
    <w:rsid w:val="003B3ACD"/>
    <w:rsid w:val="003B3B4F"/>
    <w:rsid w:val="003B40FE"/>
    <w:rsid w:val="003B429A"/>
    <w:rsid w:val="003B4480"/>
    <w:rsid w:val="003B4517"/>
    <w:rsid w:val="003B4E64"/>
    <w:rsid w:val="003B514A"/>
    <w:rsid w:val="003B5590"/>
    <w:rsid w:val="003B559D"/>
    <w:rsid w:val="003B5733"/>
    <w:rsid w:val="003B58FB"/>
    <w:rsid w:val="003B5AAE"/>
    <w:rsid w:val="003B5C06"/>
    <w:rsid w:val="003B5C78"/>
    <w:rsid w:val="003B5F25"/>
    <w:rsid w:val="003B6600"/>
    <w:rsid w:val="003B663F"/>
    <w:rsid w:val="003B666B"/>
    <w:rsid w:val="003B6961"/>
    <w:rsid w:val="003B69A9"/>
    <w:rsid w:val="003B6AA0"/>
    <w:rsid w:val="003B6FDA"/>
    <w:rsid w:val="003B74A5"/>
    <w:rsid w:val="003B752C"/>
    <w:rsid w:val="003B7938"/>
    <w:rsid w:val="003B7B4A"/>
    <w:rsid w:val="003C07B0"/>
    <w:rsid w:val="003C08A5"/>
    <w:rsid w:val="003C0DF8"/>
    <w:rsid w:val="003C0EFE"/>
    <w:rsid w:val="003C14CA"/>
    <w:rsid w:val="003C178B"/>
    <w:rsid w:val="003C1ACC"/>
    <w:rsid w:val="003C1B0D"/>
    <w:rsid w:val="003C211F"/>
    <w:rsid w:val="003C28A6"/>
    <w:rsid w:val="003C2CF0"/>
    <w:rsid w:val="003C32DF"/>
    <w:rsid w:val="003C3C52"/>
    <w:rsid w:val="003C3D9B"/>
    <w:rsid w:val="003C42CF"/>
    <w:rsid w:val="003C4872"/>
    <w:rsid w:val="003C4B33"/>
    <w:rsid w:val="003C4BFC"/>
    <w:rsid w:val="003C4E48"/>
    <w:rsid w:val="003C52DC"/>
    <w:rsid w:val="003C54D1"/>
    <w:rsid w:val="003C5C43"/>
    <w:rsid w:val="003C5E57"/>
    <w:rsid w:val="003C6224"/>
    <w:rsid w:val="003C6DF7"/>
    <w:rsid w:val="003C71A5"/>
    <w:rsid w:val="003C7631"/>
    <w:rsid w:val="003C787C"/>
    <w:rsid w:val="003C7B31"/>
    <w:rsid w:val="003C7C2F"/>
    <w:rsid w:val="003C7E3E"/>
    <w:rsid w:val="003D06E6"/>
    <w:rsid w:val="003D0850"/>
    <w:rsid w:val="003D1206"/>
    <w:rsid w:val="003D1C40"/>
    <w:rsid w:val="003D1C7B"/>
    <w:rsid w:val="003D20AF"/>
    <w:rsid w:val="003D21C8"/>
    <w:rsid w:val="003D26DD"/>
    <w:rsid w:val="003D28AE"/>
    <w:rsid w:val="003D3020"/>
    <w:rsid w:val="003D3282"/>
    <w:rsid w:val="003D3657"/>
    <w:rsid w:val="003D37EF"/>
    <w:rsid w:val="003D37FC"/>
    <w:rsid w:val="003D3972"/>
    <w:rsid w:val="003D41CD"/>
    <w:rsid w:val="003D4216"/>
    <w:rsid w:val="003D429E"/>
    <w:rsid w:val="003D51A5"/>
    <w:rsid w:val="003D5331"/>
    <w:rsid w:val="003D54AD"/>
    <w:rsid w:val="003D6B51"/>
    <w:rsid w:val="003D6F77"/>
    <w:rsid w:val="003D708E"/>
    <w:rsid w:val="003E028B"/>
    <w:rsid w:val="003E0A22"/>
    <w:rsid w:val="003E0BAB"/>
    <w:rsid w:val="003E12D4"/>
    <w:rsid w:val="003E1642"/>
    <w:rsid w:val="003E18BA"/>
    <w:rsid w:val="003E1EAF"/>
    <w:rsid w:val="003E2C9B"/>
    <w:rsid w:val="003E3939"/>
    <w:rsid w:val="003E4458"/>
    <w:rsid w:val="003E452A"/>
    <w:rsid w:val="003E46E9"/>
    <w:rsid w:val="003E4707"/>
    <w:rsid w:val="003E4862"/>
    <w:rsid w:val="003E4C68"/>
    <w:rsid w:val="003E4E38"/>
    <w:rsid w:val="003E4E85"/>
    <w:rsid w:val="003E5019"/>
    <w:rsid w:val="003E5546"/>
    <w:rsid w:val="003E58FF"/>
    <w:rsid w:val="003E5A24"/>
    <w:rsid w:val="003E626D"/>
    <w:rsid w:val="003E688E"/>
    <w:rsid w:val="003E6FC9"/>
    <w:rsid w:val="003E70D0"/>
    <w:rsid w:val="003F0189"/>
    <w:rsid w:val="003F0C96"/>
    <w:rsid w:val="003F11FD"/>
    <w:rsid w:val="003F1387"/>
    <w:rsid w:val="003F14CD"/>
    <w:rsid w:val="003F1BDC"/>
    <w:rsid w:val="003F1C3D"/>
    <w:rsid w:val="003F1F86"/>
    <w:rsid w:val="003F2651"/>
    <w:rsid w:val="003F2926"/>
    <w:rsid w:val="003F2A12"/>
    <w:rsid w:val="003F33BA"/>
    <w:rsid w:val="003F48DB"/>
    <w:rsid w:val="003F4C35"/>
    <w:rsid w:val="003F56F2"/>
    <w:rsid w:val="003F5828"/>
    <w:rsid w:val="003F6EB4"/>
    <w:rsid w:val="003F6FD1"/>
    <w:rsid w:val="003F70F7"/>
    <w:rsid w:val="003F7175"/>
    <w:rsid w:val="003F72A4"/>
    <w:rsid w:val="003F7436"/>
    <w:rsid w:val="003F79F5"/>
    <w:rsid w:val="003F7D30"/>
    <w:rsid w:val="004005DC"/>
    <w:rsid w:val="004007E3"/>
    <w:rsid w:val="00400C5B"/>
    <w:rsid w:val="00400D4D"/>
    <w:rsid w:val="00400D7F"/>
    <w:rsid w:val="00400FFA"/>
    <w:rsid w:val="004011CB"/>
    <w:rsid w:val="004016D4"/>
    <w:rsid w:val="00401DDE"/>
    <w:rsid w:val="004021B5"/>
    <w:rsid w:val="00402620"/>
    <w:rsid w:val="00402830"/>
    <w:rsid w:val="004031B8"/>
    <w:rsid w:val="0040376A"/>
    <w:rsid w:val="00403848"/>
    <w:rsid w:val="0040384E"/>
    <w:rsid w:val="004038BD"/>
    <w:rsid w:val="00403CC6"/>
    <w:rsid w:val="00403F4B"/>
    <w:rsid w:val="004040CE"/>
    <w:rsid w:val="00404399"/>
    <w:rsid w:val="00404528"/>
    <w:rsid w:val="0040469D"/>
    <w:rsid w:val="0040480E"/>
    <w:rsid w:val="00404994"/>
    <w:rsid w:val="004051D6"/>
    <w:rsid w:val="00405675"/>
    <w:rsid w:val="004057BD"/>
    <w:rsid w:val="004059BA"/>
    <w:rsid w:val="00405C3C"/>
    <w:rsid w:val="0040648C"/>
    <w:rsid w:val="00406928"/>
    <w:rsid w:val="00406BD8"/>
    <w:rsid w:val="00407066"/>
    <w:rsid w:val="004070DF"/>
    <w:rsid w:val="0040714F"/>
    <w:rsid w:val="00407FC7"/>
    <w:rsid w:val="004102E1"/>
    <w:rsid w:val="00410342"/>
    <w:rsid w:val="00410435"/>
    <w:rsid w:val="00410D4B"/>
    <w:rsid w:val="00410EA6"/>
    <w:rsid w:val="00410FEA"/>
    <w:rsid w:val="00411104"/>
    <w:rsid w:val="00411467"/>
    <w:rsid w:val="00411C7D"/>
    <w:rsid w:val="00411D0F"/>
    <w:rsid w:val="00412140"/>
    <w:rsid w:val="00412358"/>
    <w:rsid w:val="004126C7"/>
    <w:rsid w:val="004130FF"/>
    <w:rsid w:val="0041368B"/>
    <w:rsid w:val="004138E6"/>
    <w:rsid w:val="004139B5"/>
    <w:rsid w:val="0041445C"/>
    <w:rsid w:val="0041448B"/>
    <w:rsid w:val="00414885"/>
    <w:rsid w:val="00414ADD"/>
    <w:rsid w:val="0041517E"/>
    <w:rsid w:val="00415D8B"/>
    <w:rsid w:val="00416280"/>
    <w:rsid w:val="004167A1"/>
    <w:rsid w:val="00416B9F"/>
    <w:rsid w:val="004170F5"/>
    <w:rsid w:val="0041762D"/>
    <w:rsid w:val="00417872"/>
    <w:rsid w:val="00417CA1"/>
    <w:rsid w:val="00420601"/>
    <w:rsid w:val="00420A74"/>
    <w:rsid w:val="0042103E"/>
    <w:rsid w:val="0042206D"/>
    <w:rsid w:val="00422095"/>
    <w:rsid w:val="004224F9"/>
    <w:rsid w:val="004226B0"/>
    <w:rsid w:val="00422859"/>
    <w:rsid w:val="00423012"/>
    <w:rsid w:val="00423054"/>
    <w:rsid w:val="0042362C"/>
    <w:rsid w:val="00424836"/>
    <w:rsid w:val="0042496C"/>
    <w:rsid w:val="00424E0E"/>
    <w:rsid w:val="00424E84"/>
    <w:rsid w:val="00424FE7"/>
    <w:rsid w:val="0042514D"/>
    <w:rsid w:val="00425581"/>
    <w:rsid w:val="004256E9"/>
    <w:rsid w:val="00425B10"/>
    <w:rsid w:val="00425FC5"/>
    <w:rsid w:val="00426225"/>
    <w:rsid w:val="00427183"/>
    <w:rsid w:val="004273ED"/>
    <w:rsid w:val="004276AE"/>
    <w:rsid w:val="00427AF0"/>
    <w:rsid w:val="00427BEE"/>
    <w:rsid w:val="0043003C"/>
    <w:rsid w:val="00430521"/>
    <w:rsid w:val="00430B64"/>
    <w:rsid w:val="004317ED"/>
    <w:rsid w:val="00431B15"/>
    <w:rsid w:val="00431F76"/>
    <w:rsid w:val="00432309"/>
    <w:rsid w:val="004323FB"/>
    <w:rsid w:val="00432A28"/>
    <w:rsid w:val="00433033"/>
    <w:rsid w:val="004335C7"/>
    <w:rsid w:val="004341BA"/>
    <w:rsid w:val="004343B3"/>
    <w:rsid w:val="004348F0"/>
    <w:rsid w:val="00434994"/>
    <w:rsid w:val="00434B1B"/>
    <w:rsid w:val="00434D82"/>
    <w:rsid w:val="00435286"/>
    <w:rsid w:val="00435E29"/>
    <w:rsid w:val="00436418"/>
    <w:rsid w:val="00436560"/>
    <w:rsid w:val="00436E2D"/>
    <w:rsid w:val="00437157"/>
    <w:rsid w:val="004378E6"/>
    <w:rsid w:val="00437A92"/>
    <w:rsid w:val="00437C2B"/>
    <w:rsid w:val="00437DC1"/>
    <w:rsid w:val="00437DF8"/>
    <w:rsid w:val="00440020"/>
    <w:rsid w:val="0044108D"/>
    <w:rsid w:val="004411D9"/>
    <w:rsid w:val="00441864"/>
    <w:rsid w:val="00441D52"/>
    <w:rsid w:val="004421F6"/>
    <w:rsid w:val="004425FD"/>
    <w:rsid w:val="00442973"/>
    <w:rsid w:val="00442CF9"/>
    <w:rsid w:val="00442D69"/>
    <w:rsid w:val="00442DFE"/>
    <w:rsid w:val="00442F25"/>
    <w:rsid w:val="00443211"/>
    <w:rsid w:val="004435DF"/>
    <w:rsid w:val="0044374E"/>
    <w:rsid w:val="004438AC"/>
    <w:rsid w:val="004438FA"/>
    <w:rsid w:val="00445323"/>
    <w:rsid w:val="00445846"/>
    <w:rsid w:val="004461F7"/>
    <w:rsid w:val="004461F9"/>
    <w:rsid w:val="00446231"/>
    <w:rsid w:val="004465CA"/>
    <w:rsid w:val="004469DB"/>
    <w:rsid w:val="00446AAF"/>
    <w:rsid w:val="00447A2D"/>
    <w:rsid w:val="00450038"/>
    <w:rsid w:val="004500A8"/>
    <w:rsid w:val="00450840"/>
    <w:rsid w:val="00450C1B"/>
    <w:rsid w:val="00450E38"/>
    <w:rsid w:val="004518C9"/>
    <w:rsid w:val="00452188"/>
    <w:rsid w:val="004521EC"/>
    <w:rsid w:val="00452FA8"/>
    <w:rsid w:val="00453A75"/>
    <w:rsid w:val="00453B71"/>
    <w:rsid w:val="004542DF"/>
    <w:rsid w:val="0045450B"/>
    <w:rsid w:val="004546E4"/>
    <w:rsid w:val="00454C7F"/>
    <w:rsid w:val="00454F12"/>
    <w:rsid w:val="00455062"/>
    <w:rsid w:val="00455308"/>
    <w:rsid w:val="00455789"/>
    <w:rsid w:val="00455C8F"/>
    <w:rsid w:val="00455EDD"/>
    <w:rsid w:val="00456882"/>
    <w:rsid w:val="00456BE5"/>
    <w:rsid w:val="00456E8B"/>
    <w:rsid w:val="00457217"/>
    <w:rsid w:val="004574EC"/>
    <w:rsid w:val="00457A85"/>
    <w:rsid w:val="00457BE2"/>
    <w:rsid w:val="00457E7D"/>
    <w:rsid w:val="00460052"/>
    <w:rsid w:val="00460895"/>
    <w:rsid w:val="00460AAD"/>
    <w:rsid w:val="00460C9E"/>
    <w:rsid w:val="00460E80"/>
    <w:rsid w:val="00461AF8"/>
    <w:rsid w:val="00461B56"/>
    <w:rsid w:val="00461B96"/>
    <w:rsid w:val="00462400"/>
    <w:rsid w:val="00462590"/>
    <w:rsid w:val="0046265A"/>
    <w:rsid w:val="00462E79"/>
    <w:rsid w:val="00463277"/>
    <w:rsid w:val="00463833"/>
    <w:rsid w:val="004648F0"/>
    <w:rsid w:val="00464A2B"/>
    <w:rsid w:val="00464B9C"/>
    <w:rsid w:val="0046540E"/>
    <w:rsid w:val="004659BC"/>
    <w:rsid w:val="00465A6D"/>
    <w:rsid w:val="00465D73"/>
    <w:rsid w:val="00466C53"/>
    <w:rsid w:val="00466DEA"/>
    <w:rsid w:val="00467124"/>
    <w:rsid w:val="00467AD9"/>
    <w:rsid w:val="0047015C"/>
    <w:rsid w:val="00470608"/>
    <w:rsid w:val="00470697"/>
    <w:rsid w:val="004706E4"/>
    <w:rsid w:val="00470BC4"/>
    <w:rsid w:val="004713AD"/>
    <w:rsid w:val="004715AD"/>
    <w:rsid w:val="00471D0C"/>
    <w:rsid w:val="00471E7F"/>
    <w:rsid w:val="004721AF"/>
    <w:rsid w:val="004726F1"/>
    <w:rsid w:val="00472FEB"/>
    <w:rsid w:val="00473679"/>
    <w:rsid w:val="0047382B"/>
    <w:rsid w:val="00473AF5"/>
    <w:rsid w:val="00473BDA"/>
    <w:rsid w:val="00474576"/>
    <w:rsid w:val="00474A08"/>
    <w:rsid w:val="00474D5D"/>
    <w:rsid w:val="00475CE4"/>
    <w:rsid w:val="00475DC4"/>
    <w:rsid w:val="00475DFA"/>
    <w:rsid w:val="004761EA"/>
    <w:rsid w:val="004765F0"/>
    <w:rsid w:val="004766FD"/>
    <w:rsid w:val="00477399"/>
    <w:rsid w:val="004774AF"/>
    <w:rsid w:val="00477D62"/>
    <w:rsid w:val="0048050D"/>
    <w:rsid w:val="004806E1"/>
    <w:rsid w:val="00480883"/>
    <w:rsid w:val="0048097C"/>
    <w:rsid w:val="00480BDE"/>
    <w:rsid w:val="00480C7A"/>
    <w:rsid w:val="00480ED3"/>
    <w:rsid w:val="00481964"/>
    <w:rsid w:val="00482046"/>
    <w:rsid w:val="0048265F"/>
    <w:rsid w:val="00482B86"/>
    <w:rsid w:val="00482DBF"/>
    <w:rsid w:val="004832BD"/>
    <w:rsid w:val="00483DA6"/>
    <w:rsid w:val="00483E95"/>
    <w:rsid w:val="0048436D"/>
    <w:rsid w:val="00484A8E"/>
    <w:rsid w:val="00484EF4"/>
    <w:rsid w:val="004860A4"/>
    <w:rsid w:val="004862CB"/>
    <w:rsid w:val="00486B5F"/>
    <w:rsid w:val="00486ED8"/>
    <w:rsid w:val="0048701E"/>
    <w:rsid w:val="00487300"/>
    <w:rsid w:val="0048784B"/>
    <w:rsid w:val="00487907"/>
    <w:rsid w:val="00487BB7"/>
    <w:rsid w:val="00487CD9"/>
    <w:rsid w:val="004900F6"/>
    <w:rsid w:val="00490157"/>
    <w:rsid w:val="00490283"/>
    <w:rsid w:val="00490368"/>
    <w:rsid w:val="0049045D"/>
    <w:rsid w:val="0049074E"/>
    <w:rsid w:val="0049090B"/>
    <w:rsid w:val="00490A39"/>
    <w:rsid w:val="00490AC3"/>
    <w:rsid w:val="004910FA"/>
    <w:rsid w:val="00491364"/>
    <w:rsid w:val="00491DA0"/>
    <w:rsid w:val="00492E75"/>
    <w:rsid w:val="00492F53"/>
    <w:rsid w:val="0049357A"/>
    <w:rsid w:val="004938B4"/>
    <w:rsid w:val="00493EE3"/>
    <w:rsid w:val="00494C5D"/>
    <w:rsid w:val="0049533C"/>
    <w:rsid w:val="004954CF"/>
    <w:rsid w:val="00495DEA"/>
    <w:rsid w:val="004963A8"/>
    <w:rsid w:val="00496610"/>
    <w:rsid w:val="004971E8"/>
    <w:rsid w:val="004977E5"/>
    <w:rsid w:val="00497C68"/>
    <w:rsid w:val="004A0652"/>
    <w:rsid w:val="004A0693"/>
    <w:rsid w:val="004A0AF2"/>
    <w:rsid w:val="004A1CC0"/>
    <w:rsid w:val="004A276A"/>
    <w:rsid w:val="004A33FB"/>
    <w:rsid w:val="004A3749"/>
    <w:rsid w:val="004A38DD"/>
    <w:rsid w:val="004A41F1"/>
    <w:rsid w:val="004A4ADE"/>
    <w:rsid w:val="004A4C70"/>
    <w:rsid w:val="004A4C81"/>
    <w:rsid w:val="004A565F"/>
    <w:rsid w:val="004A5FE8"/>
    <w:rsid w:val="004A66F0"/>
    <w:rsid w:val="004A699F"/>
    <w:rsid w:val="004A6C05"/>
    <w:rsid w:val="004A7373"/>
    <w:rsid w:val="004A766A"/>
    <w:rsid w:val="004A7887"/>
    <w:rsid w:val="004A7D50"/>
    <w:rsid w:val="004B02C4"/>
    <w:rsid w:val="004B0A8B"/>
    <w:rsid w:val="004B1012"/>
    <w:rsid w:val="004B18C3"/>
    <w:rsid w:val="004B1A5F"/>
    <w:rsid w:val="004B1C72"/>
    <w:rsid w:val="004B1E27"/>
    <w:rsid w:val="004B229D"/>
    <w:rsid w:val="004B24C5"/>
    <w:rsid w:val="004B34F0"/>
    <w:rsid w:val="004B40D9"/>
    <w:rsid w:val="004B464F"/>
    <w:rsid w:val="004B4B04"/>
    <w:rsid w:val="004B4DEA"/>
    <w:rsid w:val="004B50AF"/>
    <w:rsid w:val="004B52C2"/>
    <w:rsid w:val="004B5327"/>
    <w:rsid w:val="004B5674"/>
    <w:rsid w:val="004B5F32"/>
    <w:rsid w:val="004B605A"/>
    <w:rsid w:val="004B6C89"/>
    <w:rsid w:val="004B7042"/>
    <w:rsid w:val="004B7602"/>
    <w:rsid w:val="004B7C65"/>
    <w:rsid w:val="004B7C94"/>
    <w:rsid w:val="004B7D70"/>
    <w:rsid w:val="004B7E73"/>
    <w:rsid w:val="004C0466"/>
    <w:rsid w:val="004C094B"/>
    <w:rsid w:val="004C09AF"/>
    <w:rsid w:val="004C0EE7"/>
    <w:rsid w:val="004C1E6D"/>
    <w:rsid w:val="004C1F04"/>
    <w:rsid w:val="004C2608"/>
    <w:rsid w:val="004C3158"/>
    <w:rsid w:val="004C315F"/>
    <w:rsid w:val="004C38B6"/>
    <w:rsid w:val="004C3B2E"/>
    <w:rsid w:val="004C41B5"/>
    <w:rsid w:val="004C4433"/>
    <w:rsid w:val="004C4A86"/>
    <w:rsid w:val="004C54D0"/>
    <w:rsid w:val="004C5873"/>
    <w:rsid w:val="004C5B61"/>
    <w:rsid w:val="004C5F62"/>
    <w:rsid w:val="004C5FE6"/>
    <w:rsid w:val="004C63BE"/>
    <w:rsid w:val="004C6CDA"/>
    <w:rsid w:val="004C748D"/>
    <w:rsid w:val="004C7A29"/>
    <w:rsid w:val="004D0110"/>
    <w:rsid w:val="004D01E2"/>
    <w:rsid w:val="004D033A"/>
    <w:rsid w:val="004D03AF"/>
    <w:rsid w:val="004D10AA"/>
    <w:rsid w:val="004D1C43"/>
    <w:rsid w:val="004D1C8E"/>
    <w:rsid w:val="004D1D4F"/>
    <w:rsid w:val="004D22A8"/>
    <w:rsid w:val="004D2525"/>
    <w:rsid w:val="004D2632"/>
    <w:rsid w:val="004D2673"/>
    <w:rsid w:val="004D2D20"/>
    <w:rsid w:val="004D2E17"/>
    <w:rsid w:val="004D3512"/>
    <w:rsid w:val="004D3514"/>
    <w:rsid w:val="004D3BBC"/>
    <w:rsid w:val="004D3CB2"/>
    <w:rsid w:val="004D520D"/>
    <w:rsid w:val="004D5456"/>
    <w:rsid w:val="004D5589"/>
    <w:rsid w:val="004D59B5"/>
    <w:rsid w:val="004D5AD7"/>
    <w:rsid w:val="004D5BD4"/>
    <w:rsid w:val="004D63E3"/>
    <w:rsid w:val="004D6986"/>
    <w:rsid w:val="004D69DD"/>
    <w:rsid w:val="004D73E5"/>
    <w:rsid w:val="004D7992"/>
    <w:rsid w:val="004E0593"/>
    <w:rsid w:val="004E0740"/>
    <w:rsid w:val="004E079F"/>
    <w:rsid w:val="004E0A02"/>
    <w:rsid w:val="004E0A69"/>
    <w:rsid w:val="004E0B72"/>
    <w:rsid w:val="004E15DA"/>
    <w:rsid w:val="004E1D6E"/>
    <w:rsid w:val="004E1EB1"/>
    <w:rsid w:val="004E2302"/>
    <w:rsid w:val="004E34D6"/>
    <w:rsid w:val="004E35A7"/>
    <w:rsid w:val="004E3B38"/>
    <w:rsid w:val="004E41EF"/>
    <w:rsid w:val="004E42F0"/>
    <w:rsid w:val="004E4CB7"/>
    <w:rsid w:val="004E4D4F"/>
    <w:rsid w:val="004E5110"/>
    <w:rsid w:val="004E623E"/>
    <w:rsid w:val="004E67A6"/>
    <w:rsid w:val="004E6980"/>
    <w:rsid w:val="004E6F4A"/>
    <w:rsid w:val="004F0878"/>
    <w:rsid w:val="004F0B10"/>
    <w:rsid w:val="004F14F5"/>
    <w:rsid w:val="004F2104"/>
    <w:rsid w:val="004F24B3"/>
    <w:rsid w:val="004F261E"/>
    <w:rsid w:val="004F263E"/>
    <w:rsid w:val="004F286B"/>
    <w:rsid w:val="004F28E6"/>
    <w:rsid w:val="004F2AD5"/>
    <w:rsid w:val="004F2CED"/>
    <w:rsid w:val="004F3702"/>
    <w:rsid w:val="004F3A3F"/>
    <w:rsid w:val="004F3CD5"/>
    <w:rsid w:val="004F417E"/>
    <w:rsid w:val="004F46FE"/>
    <w:rsid w:val="004F4AC2"/>
    <w:rsid w:val="004F4C9D"/>
    <w:rsid w:val="004F4F65"/>
    <w:rsid w:val="004F5167"/>
    <w:rsid w:val="004F58B8"/>
    <w:rsid w:val="004F5CAC"/>
    <w:rsid w:val="004F5ED1"/>
    <w:rsid w:val="004F6651"/>
    <w:rsid w:val="004F682D"/>
    <w:rsid w:val="004F69DD"/>
    <w:rsid w:val="004F78E9"/>
    <w:rsid w:val="005012B4"/>
    <w:rsid w:val="00501D76"/>
    <w:rsid w:val="0050235C"/>
    <w:rsid w:val="00502A29"/>
    <w:rsid w:val="00502D91"/>
    <w:rsid w:val="00502F4D"/>
    <w:rsid w:val="00503844"/>
    <w:rsid w:val="00503A1D"/>
    <w:rsid w:val="00503BA0"/>
    <w:rsid w:val="00504873"/>
    <w:rsid w:val="00504DE6"/>
    <w:rsid w:val="00505575"/>
    <w:rsid w:val="00505891"/>
    <w:rsid w:val="00505A11"/>
    <w:rsid w:val="00505D2B"/>
    <w:rsid w:val="00506403"/>
    <w:rsid w:val="0050706C"/>
    <w:rsid w:val="00507428"/>
    <w:rsid w:val="00507856"/>
    <w:rsid w:val="005104B3"/>
    <w:rsid w:val="00510814"/>
    <w:rsid w:val="00510B83"/>
    <w:rsid w:val="0051141E"/>
    <w:rsid w:val="00511B4C"/>
    <w:rsid w:val="00511D1F"/>
    <w:rsid w:val="00511F69"/>
    <w:rsid w:val="00512359"/>
    <w:rsid w:val="005127A5"/>
    <w:rsid w:val="00513616"/>
    <w:rsid w:val="00513754"/>
    <w:rsid w:val="005137DE"/>
    <w:rsid w:val="00513885"/>
    <w:rsid w:val="00514109"/>
    <w:rsid w:val="005145AA"/>
    <w:rsid w:val="00514927"/>
    <w:rsid w:val="00515105"/>
    <w:rsid w:val="0051577C"/>
    <w:rsid w:val="00516747"/>
    <w:rsid w:val="005178DE"/>
    <w:rsid w:val="00520519"/>
    <w:rsid w:val="005208A4"/>
    <w:rsid w:val="00520F1E"/>
    <w:rsid w:val="005211BC"/>
    <w:rsid w:val="00522039"/>
    <w:rsid w:val="0052254D"/>
    <w:rsid w:val="00522707"/>
    <w:rsid w:val="005227F1"/>
    <w:rsid w:val="00522816"/>
    <w:rsid w:val="005228B8"/>
    <w:rsid w:val="005236F7"/>
    <w:rsid w:val="00524384"/>
    <w:rsid w:val="00524531"/>
    <w:rsid w:val="00524862"/>
    <w:rsid w:val="0052509C"/>
    <w:rsid w:val="00525BD1"/>
    <w:rsid w:val="0052606E"/>
    <w:rsid w:val="00526158"/>
    <w:rsid w:val="005263EB"/>
    <w:rsid w:val="005267A6"/>
    <w:rsid w:val="00526E2E"/>
    <w:rsid w:val="00527333"/>
    <w:rsid w:val="005277DF"/>
    <w:rsid w:val="00527B93"/>
    <w:rsid w:val="00530A80"/>
    <w:rsid w:val="00530FBF"/>
    <w:rsid w:val="00531214"/>
    <w:rsid w:val="00531E1B"/>
    <w:rsid w:val="00532267"/>
    <w:rsid w:val="00532623"/>
    <w:rsid w:val="0053283B"/>
    <w:rsid w:val="005337B1"/>
    <w:rsid w:val="0053396E"/>
    <w:rsid w:val="00533D2D"/>
    <w:rsid w:val="00533F07"/>
    <w:rsid w:val="005345AB"/>
    <w:rsid w:val="005346A0"/>
    <w:rsid w:val="0053485B"/>
    <w:rsid w:val="00534EA5"/>
    <w:rsid w:val="00534FD3"/>
    <w:rsid w:val="00535AE8"/>
    <w:rsid w:val="00535CEA"/>
    <w:rsid w:val="00535DF5"/>
    <w:rsid w:val="005360DD"/>
    <w:rsid w:val="00536498"/>
    <w:rsid w:val="00536499"/>
    <w:rsid w:val="00536994"/>
    <w:rsid w:val="00537FB3"/>
    <w:rsid w:val="005402E0"/>
    <w:rsid w:val="0054053E"/>
    <w:rsid w:val="00540647"/>
    <w:rsid w:val="005409A2"/>
    <w:rsid w:val="005414DA"/>
    <w:rsid w:val="00541783"/>
    <w:rsid w:val="005417FB"/>
    <w:rsid w:val="0054192C"/>
    <w:rsid w:val="00541E00"/>
    <w:rsid w:val="00542596"/>
    <w:rsid w:val="005428AF"/>
    <w:rsid w:val="00543317"/>
    <w:rsid w:val="005439F8"/>
    <w:rsid w:val="0054436B"/>
    <w:rsid w:val="00544D91"/>
    <w:rsid w:val="00544E3B"/>
    <w:rsid w:val="00544EC9"/>
    <w:rsid w:val="00544EFD"/>
    <w:rsid w:val="005454EC"/>
    <w:rsid w:val="005463FC"/>
    <w:rsid w:val="005473BA"/>
    <w:rsid w:val="00547892"/>
    <w:rsid w:val="005478F4"/>
    <w:rsid w:val="00547AE6"/>
    <w:rsid w:val="00550307"/>
    <w:rsid w:val="005503CA"/>
    <w:rsid w:val="0055086B"/>
    <w:rsid w:val="00551020"/>
    <w:rsid w:val="005512EE"/>
    <w:rsid w:val="00551710"/>
    <w:rsid w:val="00551B85"/>
    <w:rsid w:val="005520D8"/>
    <w:rsid w:val="00552375"/>
    <w:rsid w:val="00552677"/>
    <w:rsid w:val="0055267F"/>
    <w:rsid w:val="0055281F"/>
    <w:rsid w:val="00552832"/>
    <w:rsid w:val="00552B16"/>
    <w:rsid w:val="00552D1C"/>
    <w:rsid w:val="00552E32"/>
    <w:rsid w:val="00553010"/>
    <w:rsid w:val="00553472"/>
    <w:rsid w:val="0055347D"/>
    <w:rsid w:val="0055372B"/>
    <w:rsid w:val="005538CE"/>
    <w:rsid w:val="00554C90"/>
    <w:rsid w:val="005554A9"/>
    <w:rsid w:val="00555705"/>
    <w:rsid w:val="00555F63"/>
    <w:rsid w:val="00555FB5"/>
    <w:rsid w:val="0055625C"/>
    <w:rsid w:val="00556EB3"/>
    <w:rsid w:val="005570A4"/>
    <w:rsid w:val="005575F7"/>
    <w:rsid w:val="00557BC8"/>
    <w:rsid w:val="0056000D"/>
    <w:rsid w:val="005609DA"/>
    <w:rsid w:val="00560F4C"/>
    <w:rsid w:val="00561021"/>
    <w:rsid w:val="00561641"/>
    <w:rsid w:val="005617D8"/>
    <w:rsid w:val="00561A6D"/>
    <w:rsid w:val="00561C16"/>
    <w:rsid w:val="00561DDC"/>
    <w:rsid w:val="00561E07"/>
    <w:rsid w:val="00561E91"/>
    <w:rsid w:val="005623CF"/>
    <w:rsid w:val="005627BE"/>
    <w:rsid w:val="005628A2"/>
    <w:rsid w:val="00562D58"/>
    <w:rsid w:val="00562E72"/>
    <w:rsid w:val="005632D1"/>
    <w:rsid w:val="005633D2"/>
    <w:rsid w:val="00563609"/>
    <w:rsid w:val="00563863"/>
    <w:rsid w:val="00563A58"/>
    <w:rsid w:val="005644B1"/>
    <w:rsid w:val="0056474D"/>
    <w:rsid w:val="00564B88"/>
    <w:rsid w:val="005661C8"/>
    <w:rsid w:val="00566515"/>
    <w:rsid w:val="00567009"/>
    <w:rsid w:val="00567207"/>
    <w:rsid w:val="00567703"/>
    <w:rsid w:val="005700DB"/>
    <w:rsid w:val="005701BB"/>
    <w:rsid w:val="005706BA"/>
    <w:rsid w:val="0057072F"/>
    <w:rsid w:val="005709EB"/>
    <w:rsid w:val="00570AA9"/>
    <w:rsid w:val="00570B39"/>
    <w:rsid w:val="00570C99"/>
    <w:rsid w:val="005710D8"/>
    <w:rsid w:val="005713C0"/>
    <w:rsid w:val="005714E3"/>
    <w:rsid w:val="00571AAD"/>
    <w:rsid w:val="00571B55"/>
    <w:rsid w:val="00571B86"/>
    <w:rsid w:val="00571EAB"/>
    <w:rsid w:val="00572319"/>
    <w:rsid w:val="00572378"/>
    <w:rsid w:val="00572B8F"/>
    <w:rsid w:val="00572B9E"/>
    <w:rsid w:val="00572BA7"/>
    <w:rsid w:val="005730EB"/>
    <w:rsid w:val="00573518"/>
    <w:rsid w:val="00573529"/>
    <w:rsid w:val="00573A08"/>
    <w:rsid w:val="00574287"/>
    <w:rsid w:val="00574A9C"/>
    <w:rsid w:val="00574E92"/>
    <w:rsid w:val="0057506F"/>
    <w:rsid w:val="0057523A"/>
    <w:rsid w:val="0057534D"/>
    <w:rsid w:val="00575B36"/>
    <w:rsid w:val="00575E90"/>
    <w:rsid w:val="00576653"/>
    <w:rsid w:val="00576D56"/>
    <w:rsid w:val="005773CE"/>
    <w:rsid w:val="005800CD"/>
    <w:rsid w:val="00580BD6"/>
    <w:rsid w:val="00581118"/>
    <w:rsid w:val="0058154F"/>
    <w:rsid w:val="00581D05"/>
    <w:rsid w:val="00582B60"/>
    <w:rsid w:val="00582E07"/>
    <w:rsid w:val="005832D9"/>
    <w:rsid w:val="0058347B"/>
    <w:rsid w:val="00583637"/>
    <w:rsid w:val="00583881"/>
    <w:rsid w:val="0058390B"/>
    <w:rsid w:val="0058394F"/>
    <w:rsid w:val="005840AE"/>
    <w:rsid w:val="005846DC"/>
    <w:rsid w:val="005857F3"/>
    <w:rsid w:val="00585BCD"/>
    <w:rsid w:val="005860AE"/>
    <w:rsid w:val="005861D4"/>
    <w:rsid w:val="005869A1"/>
    <w:rsid w:val="00587A0B"/>
    <w:rsid w:val="00587A84"/>
    <w:rsid w:val="005904FC"/>
    <w:rsid w:val="00590615"/>
    <w:rsid w:val="0059076F"/>
    <w:rsid w:val="00591FCE"/>
    <w:rsid w:val="00591FD8"/>
    <w:rsid w:val="00592A54"/>
    <w:rsid w:val="00593F8C"/>
    <w:rsid w:val="00594078"/>
    <w:rsid w:val="005940D6"/>
    <w:rsid w:val="00594443"/>
    <w:rsid w:val="00594876"/>
    <w:rsid w:val="00594D4F"/>
    <w:rsid w:val="00594D78"/>
    <w:rsid w:val="00595101"/>
    <w:rsid w:val="00595141"/>
    <w:rsid w:val="00595D93"/>
    <w:rsid w:val="00596223"/>
    <w:rsid w:val="0059630D"/>
    <w:rsid w:val="00596311"/>
    <w:rsid w:val="00596687"/>
    <w:rsid w:val="00596893"/>
    <w:rsid w:val="005970F9"/>
    <w:rsid w:val="005972B4"/>
    <w:rsid w:val="005974CD"/>
    <w:rsid w:val="00597603"/>
    <w:rsid w:val="005979E8"/>
    <w:rsid w:val="00597D06"/>
    <w:rsid w:val="005A0AE0"/>
    <w:rsid w:val="005A0C82"/>
    <w:rsid w:val="005A0E0F"/>
    <w:rsid w:val="005A13D0"/>
    <w:rsid w:val="005A2419"/>
    <w:rsid w:val="005A2566"/>
    <w:rsid w:val="005A2931"/>
    <w:rsid w:val="005A2ADD"/>
    <w:rsid w:val="005A3234"/>
    <w:rsid w:val="005A3A30"/>
    <w:rsid w:val="005A3BE1"/>
    <w:rsid w:val="005A4605"/>
    <w:rsid w:val="005A5369"/>
    <w:rsid w:val="005A629A"/>
    <w:rsid w:val="005A6332"/>
    <w:rsid w:val="005A69E4"/>
    <w:rsid w:val="005A6C41"/>
    <w:rsid w:val="005A6E4D"/>
    <w:rsid w:val="005A6F29"/>
    <w:rsid w:val="005A738B"/>
    <w:rsid w:val="005A7A6C"/>
    <w:rsid w:val="005B00F6"/>
    <w:rsid w:val="005B048F"/>
    <w:rsid w:val="005B0B5E"/>
    <w:rsid w:val="005B0CD2"/>
    <w:rsid w:val="005B176D"/>
    <w:rsid w:val="005B2282"/>
    <w:rsid w:val="005B2536"/>
    <w:rsid w:val="005B25AF"/>
    <w:rsid w:val="005B2D99"/>
    <w:rsid w:val="005B2DBF"/>
    <w:rsid w:val="005B2DD3"/>
    <w:rsid w:val="005B3422"/>
    <w:rsid w:val="005B3A0F"/>
    <w:rsid w:val="005B3C4A"/>
    <w:rsid w:val="005B3E7D"/>
    <w:rsid w:val="005B4370"/>
    <w:rsid w:val="005B4509"/>
    <w:rsid w:val="005B4676"/>
    <w:rsid w:val="005B46C6"/>
    <w:rsid w:val="005B4824"/>
    <w:rsid w:val="005B4828"/>
    <w:rsid w:val="005B4BF3"/>
    <w:rsid w:val="005B521A"/>
    <w:rsid w:val="005B56E9"/>
    <w:rsid w:val="005B6E0E"/>
    <w:rsid w:val="005B6E9C"/>
    <w:rsid w:val="005B7404"/>
    <w:rsid w:val="005B7998"/>
    <w:rsid w:val="005B7FDD"/>
    <w:rsid w:val="005B7FED"/>
    <w:rsid w:val="005C0346"/>
    <w:rsid w:val="005C0870"/>
    <w:rsid w:val="005C1115"/>
    <w:rsid w:val="005C16A0"/>
    <w:rsid w:val="005C1925"/>
    <w:rsid w:val="005C1972"/>
    <w:rsid w:val="005C1ED3"/>
    <w:rsid w:val="005C25D5"/>
    <w:rsid w:val="005C2EC6"/>
    <w:rsid w:val="005C3251"/>
    <w:rsid w:val="005C5E65"/>
    <w:rsid w:val="005C5F81"/>
    <w:rsid w:val="005C6197"/>
    <w:rsid w:val="005C63A9"/>
    <w:rsid w:val="005C63F9"/>
    <w:rsid w:val="005C66F3"/>
    <w:rsid w:val="005C6761"/>
    <w:rsid w:val="005C6E53"/>
    <w:rsid w:val="005C6ECC"/>
    <w:rsid w:val="005C7AB1"/>
    <w:rsid w:val="005D032E"/>
    <w:rsid w:val="005D0331"/>
    <w:rsid w:val="005D0A25"/>
    <w:rsid w:val="005D0C51"/>
    <w:rsid w:val="005D0D75"/>
    <w:rsid w:val="005D0D9B"/>
    <w:rsid w:val="005D10EB"/>
    <w:rsid w:val="005D160B"/>
    <w:rsid w:val="005D173D"/>
    <w:rsid w:val="005D17E7"/>
    <w:rsid w:val="005D1FAE"/>
    <w:rsid w:val="005D1FC6"/>
    <w:rsid w:val="005D2E8C"/>
    <w:rsid w:val="005D3EA4"/>
    <w:rsid w:val="005D4CAF"/>
    <w:rsid w:val="005D4EE2"/>
    <w:rsid w:val="005D5096"/>
    <w:rsid w:val="005D512D"/>
    <w:rsid w:val="005D5AF6"/>
    <w:rsid w:val="005D5E74"/>
    <w:rsid w:val="005D5EB4"/>
    <w:rsid w:val="005D6424"/>
    <w:rsid w:val="005D6CEC"/>
    <w:rsid w:val="005D7193"/>
    <w:rsid w:val="005D72C4"/>
    <w:rsid w:val="005D72EF"/>
    <w:rsid w:val="005E08F2"/>
    <w:rsid w:val="005E0D33"/>
    <w:rsid w:val="005E111E"/>
    <w:rsid w:val="005E11B3"/>
    <w:rsid w:val="005E146A"/>
    <w:rsid w:val="005E175A"/>
    <w:rsid w:val="005E1875"/>
    <w:rsid w:val="005E1CC7"/>
    <w:rsid w:val="005E20AB"/>
    <w:rsid w:val="005E2106"/>
    <w:rsid w:val="005E23E6"/>
    <w:rsid w:val="005E2460"/>
    <w:rsid w:val="005E2656"/>
    <w:rsid w:val="005E2BC9"/>
    <w:rsid w:val="005E3034"/>
    <w:rsid w:val="005E3B2E"/>
    <w:rsid w:val="005E3C26"/>
    <w:rsid w:val="005E3C65"/>
    <w:rsid w:val="005E3E42"/>
    <w:rsid w:val="005E3FB7"/>
    <w:rsid w:val="005E4264"/>
    <w:rsid w:val="005E446F"/>
    <w:rsid w:val="005E4F3B"/>
    <w:rsid w:val="005E52F3"/>
    <w:rsid w:val="005E58A5"/>
    <w:rsid w:val="005E5BEB"/>
    <w:rsid w:val="005E5F09"/>
    <w:rsid w:val="005E6A8A"/>
    <w:rsid w:val="005E6AAD"/>
    <w:rsid w:val="005E6FC1"/>
    <w:rsid w:val="005E7035"/>
    <w:rsid w:val="005E70C2"/>
    <w:rsid w:val="005E7D3E"/>
    <w:rsid w:val="005F0001"/>
    <w:rsid w:val="005F018B"/>
    <w:rsid w:val="005F048C"/>
    <w:rsid w:val="005F07CE"/>
    <w:rsid w:val="005F11E9"/>
    <w:rsid w:val="005F1607"/>
    <w:rsid w:val="005F16AA"/>
    <w:rsid w:val="005F23FB"/>
    <w:rsid w:val="005F3C7A"/>
    <w:rsid w:val="005F5A53"/>
    <w:rsid w:val="005F5E23"/>
    <w:rsid w:val="005F5EED"/>
    <w:rsid w:val="005F7135"/>
    <w:rsid w:val="005F71A7"/>
    <w:rsid w:val="005F7440"/>
    <w:rsid w:val="005F7605"/>
    <w:rsid w:val="005F7794"/>
    <w:rsid w:val="005F7C50"/>
    <w:rsid w:val="005F7C89"/>
    <w:rsid w:val="005F7D60"/>
    <w:rsid w:val="005F7F64"/>
    <w:rsid w:val="00600456"/>
    <w:rsid w:val="00600E90"/>
    <w:rsid w:val="00601672"/>
    <w:rsid w:val="006019B5"/>
    <w:rsid w:val="00601FDA"/>
    <w:rsid w:val="006028AF"/>
    <w:rsid w:val="006028C4"/>
    <w:rsid w:val="00602A9F"/>
    <w:rsid w:val="00602ABF"/>
    <w:rsid w:val="0060364A"/>
    <w:rsid w:val="00603784"/>
    <w:rsid w:val="00603F80"/>
    <w:rsid w:val="0060432B"/>
    <w:rsid w:val="00604AC3"/>
    <w:rsid w:val="006050E2"/>
    <w:rsid w:val="006054A0"/>
    <w:rsid w:val="006056E4"/>
    <w:rsid w:val="0060612D"/>
    <w:rsid w:val="006061A5"/>
    <w:rsid w:val="006067D2"/>
    <w:rsid w:val="00606BE8"/>
    <w:rsid w:val="00606D96"/>
    <w:rsid w:val="00606DFC"/>
    <w:rsid w:val="00606ED7"/>
    <w:rsid w:val="00606FC1"/>
    <w:rsid w:val="00607528"/>
    <w:rsid w:val="00607B15"/>
    <w:rsid w:val="00610731"/>
    <w:rsid w:val="00610A70"/>
    <w:rsid w:val="00610EAE"/>
    <w:rsid w:val="006113AD"/>
    <w:rsid w:val="006114CC"/>
    <w:rsid w:val="00611B43"/>
    <w:rsid w:val="0061276C"/>
    <w:rsid w:val="0061306E"/>
    <w:rsid w:val="006132EB"/>
    <w:rsid w:val="00613ACB"/>
    <w:rsid w:val="00613C35"/>
    <w:rsid w:val="00613D97"/>
    <w:rsid w:val="006141C4"/>
    <w:rsid w:val="006152F1"/>
    <w:rsid w:val="00615C81"/>
    <w:rsid w:val="006162DC"/>
    <w:rsid w:val="0061694E"/>
    <w:rsid w:val="00616B9A"/>
    <w:rsid w:val="006170EB"/>
    <w:rsid w:val="00617202"/>
    <w:rsid w:val="006172CD"/>
    <w:rsid w:val="00617515"/>
    <w:rsid w:val="006176B2"/>
    <w:rsid w:val="00617CBF"/>
    <w:rsid w:val="00620DC8"/>
    <w:rsid w:val="00621016"/>
    <w:rsid w:val="0062142F"/>
    <w:rsid w:val="006217A4"/>
    <w:rsid w:val="00621998"/>
    <w:rsid w:val="00621D5F"/>
    <w:rsid w:val="00621F91"/>
    <w:rsid w:val="0062242D"/>
    <w:rsid w:val="006224A7"/>
    <w:rsid w:val="00622902"/>
    <w:rsid w:val="0062299C"/>
    <w:rsid w:val="00622A15"/>
    <w:rsid w:val="00622E1A"/>
    <w:rsid w:val="006230CA"/>
    <w:rsid w:val="00623B12"/>
    <w:rsid w:val="00623EBB"/>
    <w:rsid w:val="00624368"/>
    <w:rsid w:val="006245CA"/>
    <w:rsid w:val="006246C9"/>
    <w:rsid w:val="00624F31"/>
    <w:rsid w:val="00625051"/>
    <w:rsid w:val="00625555"/>
    <w:rsid w:val="00625A51"/>
    <w:rsid w:val="00625F6B"/>
    <w:rsid w:val="00626556"/>
    <w:rsid w:val="006267AF"/>
    <w:rsid w:val="00626854"/>
    <w:rsid w:val="0062685D"/>
    <w:rsid w:val="006269DD"/>
    <w:rsid w:val="00626A34"/>
    <w:rsid w:val="00626BF5"/>
    <w:rsid w:val="00626D21"/>
    <w:rsid w:val="00626E73"/>
    <w:rsid w:val="00627209"/>
    <w:rsid w:val="00627214"/>
    <w:rsid w:val="006277AA"/>
    <w:rsid w:val="0063015B"/>
    <w:rsid w:val="0063022D"/>
    <w:rsid w:val="0063031B"/>
    <w:rsid w:val="006304C7"/>
    <w:rsid w:val="00630887"/>
    <w:rsid w:val="00630B42"/>
    <w:rsid w:val="00631B17"/>
    <w:rsid w:val="006320C9"/>
    <w:rsid w:val="00632311"/>
    <w:rsid w:val="00632352"/>
    <w:rsid w:val="006325B8"/>
    <w:rsid w:val="00632677"/>
    <w:rsid w:val="00633B33"/>
    <w:rsid w:val="006340DF"/>
    <w:rsid w:val="006341D0"/>
    <w:rsid w:val="006344C3"/>
    <w:rsid w:val="0063451F"/>
    <w:rsid w:val="0063455D"/>
    <w:rsid w:val="006346E1"/>
    <w:rsid w:val="0063476A"/>
    <w:rsid w:val="006347C6"/>
    <w:rsid w:val="006351DA"/>
    <w:rsid w:val="006357F1"/>
    <w:rsid w:val="00635B8C"/>
    <w:rsid w:val="00635CCF"/>
    <w:rsid w:val="00635F94"/>
    <w:rsid w:val="0063608F"/>
    <w:rsid w:val="00637CE4"/>
    <w:rsid w:val="006401B1"/>
    <w:rsid w:val="006403F0"/>
    <w:rsid w:val="00640F4C"/>
    <w:rsid w:val="00640F6F"/>
    <w:rsid w:val="00640F80"/>
    <w:rsid w:val="006415CB"/>
    <w:rsid w:val="00641D31"/>
    <w:rsid w:val="00642F13"/>
    <w:rsid w:val="0064358E"/>
    <w:rsid w:val="00643934"/>
    <w:rsid w:val="006444EB"/>
    <w:rsid w:val="006445CD"/>
    <w:rsid w:val="006446F3"/>
    <w:rsid w:val="0064496A"/>
    <w:rsid w:val="00644D7F"/>
    <w:rsid w:val="0064516F"/>
    <w:rsid w:val="00646809"/>
    <w:rsid w:val="00647294"/>
    <w:rsid w:val="00647550"/>
    <w:rsid w:val="0064756D"/>
    <w:rsid w:val="006476A3"/>
    <w:rsid w:val="006476D4"/>
    <w:rsid w:val="00647934"/>
    <w:rsid w:val="00647B4B"/>
    <w:rsid w:val="00647C2A"/>
    <w:rsid w:val="00650140"/>
    <w:rsid w:val="0065049A"/>
    <w:rsid w:val="0065094B"/>
    <w:rsid w:val="00650B20"/>
    <w:rsid w:val="00650BE5"/>
    <w:rsid w:val="00650CCD"/>
    <w:rsid w:val="00651457"/>
    <w:rsid w:val="00652397"/>
    <w:rsid w:val="00652A42"/>
    <w:rsid w:val="00652B90"/>
    <w:rsid w:val="006530A9"/>
    <w:rsid w:val="006531AB"/>
    <w:rsid w:val="006535BE"/>
    <w:rsid w:val="00654954"/>
    <w:rsid w:val="00654967"/>
    <w:rsid w:val="00655490"/>
    <w:rsid w:val="00655A58"/>
    <w:rsid w:val="00655CB8"/>
    <w:rsid w:val="006564D3"/>
    <w:rsid w:val="00657518"/>
    <w:rsid w:val="00657E4D"/>
    <w:rsid w:val="00660376"/>
    <w:rsid w:val="00660D81"/>
    <w:rsid w:val="00660DAC"/>
    <w:rsid w:val="00660EBD"/>
    <w:rsid w:val="006618F5"/>
    <w:rsid w:val="00662D6A"/>
    <w:rsid w:val="00662F50"/>
    <w:rsid w:val="00663B5E"/>
    <w:rsid w:val="00663FE2"/>
    <w:rsid w:val="00663FFE"/>
    <w:rsid w:val="0066412B"/>
    <w:rsid w:val="00664187"/>
    <w:rsid w:val="00664384"/>
    <w:rsid w:val="0066440E"/>
    <w:rsid w:val="0066472B"/>
    <w:rsid w:val="00664768"/>
    <w:rsid w:val="00664B10"/>
    <w:rsid w:val="00664C69"/>
    <w:rsid w:val="00664C79"/>
    <w:rsid w:val="006650EF"/>
    <w:rsid w:val="006656F3"/>
    <w:rsid w:val="006657FB"/>
    <w:rsid w:val="00665BD6"/>
    <w:rsid w:val="00665C4E"/>
    <w:rsid w:val="00666C31"/>
    <w:rsid w:val="006673A9"/>
    <w:rsid w:val="0066781C"/>
    <w:rsid w:val="00667D57"/>
    <w:rsid w:val="006703F3"/>
    <w:rsid w:val="00670F5C"/>
    <w:rsid w:val="00671250"/>
    <w:rsid w:val="0067238C"/>
    <w:rsid w:val="0067255E"/>
    <w:rsid w:val="00672AD3"/>
    <w:rsid w:val="0067365F"/>
    <w:rsid w:val="006736B8"/>
    <w:rsid w:val="00673894"/>
    <w:rsid w:val="00673EED"/>
    <w:rsid w:val="00674001"/>
    <w:rsid w:val="006742E0"/>
    <w:rsid w:val="00674C02"/>
    <w:rsid w:val="00674E42"/>
    <w:rsid w:val="006752A8"/>
    <w:rsid w:val="0067567C"/>
    <w:rsid w:val="006756C9"/>
    <w:rsid w:val="006769B5"/>
    <w:rsid w:val="006769F2"/>
    <w:rsid w:val="00676A00"/>
    <w:rsid w:val="00676D42"/>
    <w:rsid w:val="00677678"/>
    <w:rsid w:val="006777C0"/>
    <w:rsid w:val="00677CDB"/>
    <w:rsid w:val="00680965"/>
    <w:rsid w:val="00680E49"/>
    <w:rsid w:val="00680F21"/>
    <w:rsid w:val="00681753"/>
    <w:rsid w:val="006818CB"/>
    <w:rsid w:val="006819C0"/>
    <w:rsid w:val="00681B38"/>
    <w:rsid w:val="00681B3B"/>
    <w:rsid w:val="00681EE2"/>
    <w:rsid w:val="00681F17"/>
    <w:rsid w:val="00681F1D"/>
    <w:rsid w:val="0068249B"/>
    <w:rsid w:val="00682AA9"/>
    <w:rsid w:val="00682CF4"/>
    <w:rsid w:val="00683838"/>
    <w:rsid w:val="00683AF6"/>
    <w:rsid w:val="00683C98"/>
    <w:rsid w:val="00683D2B"/>
    <w:rsid w:val="006841CB"/>
    <w:rsid w:val="006841F4"/>
    <w:rsid w:val="00684846"/>
    <w:rsid w:val="006848AB"/>
    <w:rsid w:val="00684B12"/>
    <w:rsid w:val="00684BF4"/>
    <w:rsid w:val="00684FAE"/>
    <w:rsid w:val="00685194"/>
    <w:rsid w:val="00685E8C"/>
    <w:rsid w:val="00685FC7"/>
    <w:rsid w:val="00686700"/>
    <w:rsid w:val="00687237"/>
    <w:rsid w:val="00687829"/>
    <w:rsid w:val="00687B54"/>
    <w:rsid w:val="00690A60"/>
    <w:rsid w:val="00690E62"/>
    <w:rsid w:val="00690EF4"/>
    <w:rsid w:val="00691031"/>
    <w:rsid w:val="0069111D"/>
    <w:rsid w:val="00691438"/>
    <w:rsid w:val="00691D03"/>
    <w:rsid w:val="00692632"/>
    <w:rsid w:val="0069271B"/>
    <w:rsid w:val="00692BD3"/>
    <w:rsid w:val="00692E57"/>
    <w:rsid w:val="00693075"/>
    <w:rsid w:val="00693BC3"/>
    <w:rsid w:val="00694456"/>
    <w:rsid w:val="0069460D"/>
    <w:rsid w:val="006948E9"/>
    <w:rsid w:val="00694ED0"/>
    <w:rsid w:val="0069546C"/>
    <w:rsid w:val="00695761"/>
    <w:rsid w:val="00695B02"/>
    <w:rsid w:val="00695EF8"/>
    <w:rsid w:val="0069611A"/>
    <w:rsid w:val="00696210"/>
    <w:rsid w:val="00696262"/>
    <w:rsid w:val="00696937"/>
    <w:rsid w:val="00696A10"/>
    <w:rsid w:val="0069728F"/>
    <w:rsid w:val="00697AD2"/>
    <w:rsid w:val="006A00AE"/>
    <w:rsid w:val="006A011A"/>
    <w:rsid w:val="006A0244"/>
    <w:rsid w:val="006A0282"/>
    <w:rsid w:val="006A05DD"/>
    <w:rsid w:val="006A112C"/>
    <w:rsid w:val="006A17CD"/>
    <w:rsid w:val="006A1E38"/>
    <w:rsid w:val="006A21BB"/>
    <w:rsid w:val="006A28E3"/>
    <w:rsid w:val="006A2923"/>
    <w:rsid w:val="006A2CA2"/>
    <w:rsid w:val="006A3160"/>
    <w:rsid w:val="006A32BF"/>
    <w:rsid w:val="006A36F2"/>
    <w:rsid w:val="006A3CC0"/>
    <w:rsid w:val="006A3E03"/>
    <w:rsid w:val="006A3E2A"/>
    <w:rsid w:val="006A4C35"/>
    <w:rsid w:val="006A4D14"/>
    <w:rsid w:val="006A5437"/>
    <w:rsid w:val="006A58A3"/>
    <w:rsid w:val="006A61A6"/>
    <w:rsid w:val="006A68F3"/>
    <w:rsid w:val="006A699F"/>
    <w:rsid w:val="006A6CEF"/>
    <w:rsid w:val="006A70C0"/>
    <w:rsid w:val="006A773D"/>
    <w:rsid w:val="006B02C1"/>
    <w:rsid w:val="006B0820"/>
    <w:rsid w:val="006B08BA"/>
    <w:rsid w:val="006B0F21"/>
    <w:rsid w:val="006B1B51"/>
    <w:rsid w:val="006B1F50"/>
    <w:rsid w:val="006B2456"/>
    <w:rsid w:val="006B2636"/>
    <w:rsid w:val="006B2B5A"/>
    <w:rsid w:val="006B2D22"/>
    <w:rsid w:val="006B2DC2"/>
    <w:rsid w:val="006B36EB"/>
    <w:rsid w:val="006B38CA"/>
    <w:rsid w:val="006B3DED"/>
    <w:rsid w:val="006B4002"/>
    <w:rsid w:val="006B44F7"/>
    <w:rsid w:val="006B48C7"/>
    <w:rsid w:val="006B48ED"/>
    <w:rsid w:val="006B4937"/>
    <w:rsid w:val="006B4BFC"/>
    <w:rsid w:val="006B4DBC"/>
    <w:rsid w:val="006B51D0"/>
    <w:rsid w:val="006B5497"/>
    <w:rsid w:val="006B5BBE"/>
    <w:rsid w:val="006B612D"/>
    <w:rsid w:val="006B6E54"/>
    <w:rsid w:val="006B70E7"/>
    <w:rsid w:val="006B761D"/>
    <w:rsid w:val="006B7E3E"/>
    <w:rsid w:val="006C0939"/>
    <w:rsid w:val="006C1783"/>
    <w:rsid w:val="006C1B72"/>
    <w:rsid w:val="006C1EBA"/>
    <w:rsid w:val="006C1EC2"/>
    <w:rsid w:val="006C1EE6"/>
    <w:rsid w:val="006C21B8"/>
    <w:rsid w:val="006C2660"/>
    <w:rsid w:val="006C27B1"/>
    <w:rsid w:val="006C2A0E"/>
    <w:rsid w:val="006C2FAD"/>
    <w:rsid w:val="006C38E7"/>
    <w:rsid w:val="006C43CE"/>
    <w:rsid w:val="006C53A8"/>
    <w:rsid w:val="006C5E97"/>
    <w:rsid w:val="006C6200"/>
    <w:rsid w:val="006C644C"/>
    <w:rsid w:val="006C69AC"/>
    <w:rsid w:val="006C69AF"/>
    <w:rsid w:val="006C72C4"/>
    <w:rsid w:val="006C74A0"/>
    <w:rsid w:val="006C7A35"/>
    <w:rsid w:val="006C7A4B"/>
    <w:rsid w:val="006C7A6E"/>
    <w:rsid w:val="006D014F"/>
    <w:rsid w:val="006D02D7"/>
    <w:rsid w:val="006D0491"/>
    <w:rsid w:val="006D0650"/>
    <w:rsid w:val="006D0E5E"/>
    <w:rsid w:val="006D11EE"/>
    <w:rsid w:val="006D22E1"/>
    <w:rsid w:val="006D31E3"/>
    <w:rsid w:val="006D336D"/>
    <w:rsid w:val="006D3CBB"/>
    <w:rsid w:val="006D40BA"/>
    <w:rsid w:val="006D4242"/>
    <w:rsid w:val="006D545D"/>
    <w:rsid w:val="006D6202"/>
    <w:rsid w:val="006D67E8"/>
    <w:rsid w:val="006D709A"/>
    <w:rsid w:val="006D70E7"/>
    <w:rsid w:val="006D7FC4"/>
    <w:rsid w:val="006E00AC"/>
    <w:rsid w:val="006E040D"/>
    <w:rsid w:val="006E051D"/>
    <w:rsid w:val="006E1381"/>
    <w:rsid w:val="006E13BC"/>
    <w:rsid w:val="006E1411"/>
    <w:rsid w:val="006E1AC2"/>
    <w:rsid w:val="006E1D6D"/>
    <w:rsid w:val="006E2235"/>
    <w:rsid w:val="006E2523"/>
    <w:rsid w:val="006E280C"/>
    <w:rsid w:val="006E2864"/>
    <w:rsid w:val="006E32DA"/>
    <w:rsid w:val="006E35E8"/>
    <w:rsid w:val="006E3740"/>
    <w:rsid w:val="006E3ED1"/>
    <w:rsid w:val="006E3FB3"/>
    <w:rsid w:val="006E45C1"/>
    <w:rsid w:val="006E45E8"/>
    <w:rsid w:val="006E4610"/>
    <w:rsid w:val="006E480A"/>
    <w:rsid w:val="006E4F15"/>
    <w:rsid w:val="006E5225"/>
    <w:rsid w:val="006E5264"/>
    <w:rsid w:val="006E52F7"/>
    <w:rsid w:val="006E548B"/>
    <w:rsid w:val="006E5ACB"/>
    <w:rsid w:val="006E5DB8"/>
    <w:rsid w:val="006E5F49"/>
    <w:rsid w:val="006E634A"/>
    <w:rsid w:val="006E6755"/>
    <w:rsid w:val="006E677C"/>
    <w:rsid w:val="006E6DBD"/>
    <w:rsid w:val="006E750B"/>
    <w:rsid w:val="006E7788"/>
    <w:rsid w:val="006F057B"/>
    <w:rsid w:val="006F0A82"/>
    <w:rsid w:val="006F0B66"/>
    <w:rsid w:val="006F0C3C"/>
    <w:rsid w:val="006F0EE4"/>
    <w:rsid w:val="006F13DF"/>
    <w:rsid w:val="006F1513"/>
    <w:rsid w:val="006F1918"/>
    <w:rsid w:val="006F193C"/>
    <w:rsid w:val="006F1D25"/>
    <w:rsid w:val="006F1FC7"/>
    <w:rsid w:val="006F2CBC"/>
    <w:rsid w:val="006F2D78"/>
    <w:rsid w:val="006F2D7B"/>
    <w:rsid w:val="006F2EB2"/>
    <w:rsid w:val="006F312B"/>
    <w:rsid w:val="006F31E9"/>
    <w:rsid w:val="006F34B5"/>
    <w:rsid w:val="006F400A"/>
    <w:rsid w:val="006F48A8"/>
    <w:rsid w:val="006F4D5D"/>
    <w:rsid w:val="006F4DD0"/>
    <w:rsid w:val="006F54B5"/>
    <w:rsid w:val="006F5C81"/>
    <w:rsid w:val="006F5D5C"/>
    <w:rsid w:val="006F5EE4"/>
    <w:rsid w:val="006F603C"/>
    <w:rsid w:val="006F60C0"/>
    <w:rsid w:val="006F61BC"/>
    <w:rsid w:val="006F6201"/>
    <w:rsid w:val="006F62BF"/>
    <w:rsid w:val="006F6750"/>
    <w:rsid w:val="006F6F72"/>
    <w:rsid w:val="006F70BE"/>
    <w:rsid w:val="006F727E"/>
    <w:rsid w:val="006F771E"/>
    <w:rsid w:val="006F7AC0"/>
    <w:rsid w:val="006F7F6A"/>
    <w:rsid w:val="007005FE"/>
    <w:rsid w:val="007006DB"/>
    <w:rsid w:val="00700A78"/>
    <w:rsid w:val="00700E67"/>
    <w:rsid w:val="0070204F"/>
    <w:rsid w:val="00702377"/>
    <w:rsid w:val="007028E0"/>
    <w:rsid w:val="00702A11"/>
    <w:rsid w:val="0070342C"/>
    <w:rsid w:val="0070367F"/>
    <w:rsid w:val="007053CF"/>
    <w:rsid w:val="00705B2E"/>
    <w:rsid w:val="00705F3D"/>
    <w:rsid w:val="00706385"/>
    <w:rsid w:val="00706406"/>
    <w:rsid w:val="00706579"/>
    <w:rsid w:val="0070673A"/>
    <w:rsid w:val="00706A36"/>
    <w:rsid w:val="00706D9E"/>
    <w:rsid w:val="0070711B"/>
    <w:rsid w:val="0070717F"/>
    <w:rsid w:val="007074DC"/>
    <w:rsid w:val="00707627"/>
    <w:rsid w:val="00707822"/>
    <w:rsid w:val="00707875"/>
    <w:rsid w:val="00707C1E"/>
    <w:rsid w:val="00707D08"/>
    <w:rsid w:val="0071038A"/>
    <w:rsid w:val="007103FF"/>
    <w:rsid w:val="00710980"/>
    <w:rsid w:val="00710D81"/>
    <w:rsid w:val="00710E45"/>
    <w:rsid w:val="00711389"/>
    <w:rsid w:val="007115B3"/>
    <w:rsid w:val="007115C7"/>
    <w:rsid w:val="00711610"/>
    <w:rsid w:val="007116AD"/>
    <w:rsid w:val="0071186F"/>
    <w:rsid w:val="00711A6E"/>
    <w:rsid w:val="00711E1A"/>
    <w:rsid w:val="007124CD"/>
    <w:rsid w:val="007124D9"/>
    <w:rsid w:val="007126CB"/>
    <w:rsid w:val="007127B1"/>
    <w:rsid w:val="00712EB5"/>
    <w:rsid w:val="0071304E"/>
    <w:rsid w:val="00713349"/>
    <w:rsid w:val="00713A51"/>
    <w:rsid w:val="00713B34"/>
    <w:rsid w:val="00713DB8"/>
    <w:rsid w:val="00713FDF"/>
    <w:rsid w:val="007141F6"/>
    <w:rsid w:val="00714844"/>
    <w:rsid w:val="00715253"/>
    <w:rsid w:val="00715364"/>
    <w:rsid w:val="00715435"/>
    <w:rsid w:val="00715C99"/>
    <w:rsid w:val="00716076"/>
    <w:rsid w:val="00716483"/>
    <w:rsid w:val="00716535"/>
    <w:rsid w:val="007165D2"/>
    <w:rsid w:val="007167DF"/>
    <w:rsid w:val="00716B1D"/>
    <w:rsid w:val="00716C29"/>
    <w:rsid w:val="00716FF0"/>
    <w:rsid w:val="007177D8"/>
    <w:rsid w:val="00717C0D"/>
    <w:rsid w:val="00717D4B"/>
    <w:rsid w:val="007209E5"/>
    <w:rsid w:val="00721183"/>
    <w:rsid w:val="00721328"/>
    <w:rsid w:val="00721586"/>
    <w:rsid w:val="007215FA"/>
    <w:rsid w:val="00721AFB"/>
    <w:rsid w:val="00721C39"/>
    <w:rsid w:val="00722399"/>
    <w:rsid w:val="00722C67"/>
    <w:rsid w:val="00723595"/>
    <w:rsid w:val="007240E2"/>
    <w:rsid w:val="00724332"/>
    <w:rsid w:val="0072436B"/>
    <w:rsid w:val="007244C8"/>
    <w:rsid w:val="00725170"/>
    <w:rsid w:val="00725961"/>
    <w:rsid w:val="007261FA"/>
    <w:rsid w:val="00726503"/>
    <w:rsid w:val="00726AB8"/>
    <w:rsid w:val="00726D14"/>
    <w:rsid w:val="0072717C"/>
    <w:rsid w:val="007272D6"/>
    <w:rsid w:val="00727716"/>
    <w:rsid w:val="00727763"/>
    <w:rsid w:val="00727CE0"/>
    <w:rsid w:val="00727DB6"/>
    <w:rsid w:val="00730A5F"/>
    <w:rsid w:val="00730E72"/>
    <w:rsid w:val="00731184"/>
    <w:rsid w:val="00732168"/>
    <w:rsid w:val="007323DA"/>
    <w:rsid w:val="00733245"/>
    <w:rsid w:val="00733D32"/>
    <w:rsid w:val="00733F9A"/>
    <w:rsid w:val="00734043"/>
    <w:rsid w:val="00734B85"/>
    <w:rsid w:val="00734EFF"/>
    <w:rsid w:val="00735084"/>
    <w:rsid w:val="00735194"/>
    <w:rsid w:val="0073539F"/>
    <w:rsid w:val="00736168"/>
    <w:rsid w:val="0073618F"/>
    <w:rsid w:val="0073669D"/>
    <w:rsid w:val="00736732"/>
    <w:rsid w:val="00736A7A"/>
    <w:rsid w:val="00736E02"/>
    <w:rsid w:val="00737873"/>
    <w:rsid w:val="00737B91"/>
    <w:rsid w:val="00737F1C"/>
    <w:rsid w:val="0074002B"/>
    <w:rsid w:val="00740CFF"/>
    <w:rsid w:val="00741AF4"/>
    <w:rsid w:val="00742423"/>
    <w:rsid w:val="007427DD"/>
    <w:rsid w:val="00742E96"/>
    <w:rsid w:val="007430CB"/>
    <w:rsid w:val="007430E3"/>
    <w:rsid w:val="00743679"/>
    <w:rsid w:val="00743DD2"/>
    <w:rsid w:val="00744519"/>
    <w:rsid w:val="00744AAF"/>
    <w:rsid w:val="0074577D"/>
    <w:rsid w:val="00746074"/>
    <w:rsid w:val="007461ED"/>
    <w:rsid w:val="007464E6"/>
    <w:rsid w:val="00746A19"/>
    <w:rsid w:val="00746C2A"/>
    <w:rsid w:val="00746FC9"/>
    <w:rsid w:val="007472CE"/>
    <w:rsid w:val="00747F87"/>
    <w:rsid w:val="00750026"/>
    <w:rsid w:val="00750082"/>
    <w:rsid w:val="0075024A"/>
    <w:rsid w:val="00750782"/>
    <w:rsid w:val="007509E9"/>
    <w:rsid w:val="0075131D"/>
    <w:rsid w:val="00751719"/>
    <w:rsid w:val="00751797"/>
    <w:rsid w:val="00751C1F"/>
    <w:rsid w:val="00751EF4"/>
    <w:rsid w:val="00751FFD"/>
    <w:rsid w:val="0075283D"/>
    <w:rsid w:val="0075290F"/>
    <w:rsid w:val="00752B4D"/>
    <w:rsid w:val="00752BA6"/>
    <w:rsid w:val="0075341C"/>
    <w:rsid w:val="0075490D"/>
    <w:rsid w:val="0075497C"/>
    <w:rsid w:val="00754A71"/>
    <w:rsid w:val="00754D5D"/>
    <w:rsid w:val="00755627"/>
    <w:rsid w:val="0075588B"/>
    <w:rsid w:val="00755FC7"/>
    <w:rsid w:val="007560B3"/>
    <w:rsid w:val="0075685F"/>
    <w:rsid w:val="00756D25"/>
    <w:rsid w:val="00757056"/>
    <w:rsid w:val="0075764B"/>
    <w:rsid w:val="007601BA"/>
    <w:rsid w:val="007604AC"/>
    <w:rsid w:val="00760610"/>
    <w:rsid w:val="00760EDA"/>
    <w:rsid w:val="00760FF0"/>
    <w:rsid w:val="00761182"/>
    <w:rsid w:val="007613D6"/>
    <w:rsid w:val="00762003"/>
    <w:rsid w:val="007625E6"/>
    <w:rsid w:val="00762694"/>
    <w:rsid w:val="007628A0"/>
    <w:rsid w:val="007629AE"/>
    <w:rsid w:val="00763503"/>
    <w:rsid w:val="0076395D"/>
    <w:rsid w:val="00763E72"/>
    <w:rsid w:val="007641CF"/>
    <w:rsid w:val="00764263"/>
    <w:rsid w:val="0076499E"/>
    <w:rsid w:val="00764DC6"/>
    <w:rsid w:val="007655DE"/>
    <w:rsid w:val="007659D0"/>
    <w:rsid w:val="00765BBA"/>
    <w:rsid w:val="00765F22"/>
    <w:rsid w:val="00766D30"/>
    <w:rsid w:val="00766DE8"/>
    <w:rsid w:val="00767A35"/>
    <w:rsid w:val="00770073"/>
    <w:rsid w:val="00770178"/>
    <w:rsid w:val="00770598"/>
    <w:rsid w:val="007705EC"/>
    <w:rsid w:val="0077092E"/>
    <w:rsid w:val="007716BE"/>
    <w:rsid w:val="00771DD4"/>
    <w:rsid w:val="00771FB0"/>
    <w:rsid w:val="00773825"/>
    <w:rsid w:val="00773D74"/>
    <w:rsid w:val="0077432E"/>
    <w:rsid w:val="007743C0"/>
    <w:rsid w:val="007745B2"/>
    <w:rsid w:val="007749AA"/>
    <w:rsid w:val="00774A1E"/>
    <w:rsid w:val="00774DA3"/>
    <w:rsid w:val="00775092"/>
    <w:rsid w:val="00775B7B"/>
    <w:rsid w:val="00775DA8"/>
    <w:rsid w:val="007769D7"/>
    <w:rsid w:val="007770EE"/>
    <w:rsid w:val="007771FD"/>
    <w:rsid w:val="00777852"/>
    <w:rsid w:val="00777C3A"/>
    <w:rsid w:val="00780977"/>
    <w:rsid w:val="00780A6E"/>
    <w:rsid w:val="007812BB"/>
    <w:rsid w:val="00781443"/>
    <w:rsid w:val="007818B9"/>
    <w:rsid w:val="00781D7A"/>
    <w:rsid w:val="00781FA5"/>
    <w:rsid w:val="007823D9"/>
    <w:rsid w:val="00782413"/>
    <w:rsid w:val="007830C0"/>
    <w:rsid w:val="007840E3"/>
    <w:rsid w:val="007844EB"/>
    <w:rsid w:val="00784842"/>
    <w:rsid w:val="00784A67"/>
    <w:rsid w:val="00784B2F"/>
    <w:rsid w:val="00784FDB"/>
    <w:rsid w:val="00785A0D"/>
    <w:rsid w:val="00785F24"/>
    <w:rsid w:val="00785FA2"/>
    <w:rsid w:val="007862F6"/>
    <w:rsid w:val="00786363"/>
    <w:rsid w:val="00786D0C"/>
    <w:rsid w:val="007870DA"/>
    <w:rsid w:val="00787410"/>
    <w:rsid w:val="007903DC"/>
    <w:rsid w:val="0079053E"/>
    <w:rsid w:val="007905D9"/>
    <w:rsid w:val="00790639"/>
    <w:rsid w:val="0079098F"/>
    <w:rsid w:val="00790D5A"/>
    <w:rsid w:val="00790E5F"/>
    <w:rsid w:val="00791DF0"/>
    <w:rsid w:val="00792BBE"/>
    <w:rsid w:val="00792CC0"/>
    <w:rsid w:val="007930CE"/>
    <w:rsid w:val="00793253"/>
    <w:rsid w:val="00793655"/>
    <w:rsid w:val="00793E5A"/>
    <w:rsid w:val="00794483"/>
    <w:rsid w:val="007946D4"/>
    <w:rsid w:val="00794A63"/>
    <w:rsid w:val="00794E6F"/>
    <w:rsid w:val="00795805"/>
    <w:rsid w:val="00795B27"/>
    <w:rsid w:val="00795C7A"/>
    <w:rsid w:val="00795D1A"/>
    <w:rsid w:val="007961D1"/>
    <w:rsid w:val="00796ABF"/>
    <w:rsid w:val="00797CF4"/>
    <w:rsid w:val="007A02FC"/>
    <w:rsid w:val="007A093E"/>
    <w:rsid w:val="007A11FB"/>
    <w:rsid w:val="007A16E8"/>
    <w:rsid w:val="007A1B38"/>
    <w:rsid w:val="007A1BD2"/>
    <w:rsid w:val="007A2E06"/>
    <w:rsid w:val="007A314E"/>
    <w:rsid w:val="007A3A0F"/>
    <w:rsid w:val="007A3C9B"/>
    <w:rsid w:val="007A42DF"/>
    <w:rsid w:val="007A4B35"/>
    <w:rsid w:val="007A4CDC"/>
    <w:rsid w:val="007A4D02"/>
    <w:rsid w:val="007A4F13"/>
    <w:rsid w:val="007A6091"/>
    <w:rsid w:val="007A6306"/>
    <w:rsid w:val="007A693C"/>
    <w:rsid w:val="007A6CEF"/>
    <w:rsid w:val="007A6DC6"/>
    <w:rsid w:val="007A6E98"/>
    <w:rsid w:val="007A6EC6"/>
    <w:rsid w:val="007A6FF5"/>
    <w:rsid w:val="007B0121"/>
    <w:rsid w:val="007B0A8D"/>
    <w:rsid w:val="007B0F12"/>
    <w:rsid w:val="007B0FF0"/>
    <w:rsid w:val="007B11F1"/>
    <w:rsid w:val="007B1705"/>
    <w:rsid w:val="007B21B0"/>
    <w:rsid w:val="007B287F"/>
    <w:rsid w:val="007B3153"/>
    <w:rsid w:val="007B3269"/>
    <w:rsid w:val="007B3424"/>
    <w:rsid w:val="007B3D09"/>
    <w:rsid w:val="007B3DBE"/>
    <w:rsid w:val="007B434B"/>
    <w:rsid w:val="007B4453"/>
    <w:rsid w:val="007B4628"/>
    <w:rsid w:val="007B47A0"/>
    <w:rsid w:val="007B58CF"/>
    <w:rsid w:val="007B6032"/>
    <w:rsid w:val="007B62B8"/>
    <w:rsid w:val="007B6743"/>
    <w:rsid w:val="007B692F"/>
    <w:rsid w:val="007B793C"/>
    <w:rsid w:val="007B7E8B"/>
    <w:rsid w:val="007C00A3"/>
    <w:rsid w:val="007C0635"/>
    <w:rsid w:val="007C0753"/>
    <w:rsid w:val="007C07DB"/>
    <w:rsid w:val="007C088E"/>
    <w:rsid w:val="007C0AA9"/>
    <w:rsid w:val="007C0BC8"/>
    <w:rsid w:val="007C1B83"/>
    <w:rsid w:val="007C1C41"/>
    <w:rsid w:val="007C24C8"/>
    <w:rsid w:val="007C2E80"/>
    <w:rsid w:val="007C30DF"/>
    <w:rsid w:val="007C3637"/>
    <w:rsid w:val="007C368B"/>
    <w:rsid w:val="007C38BF"/>
    <w:rsid w:val="007C3AA1"/>
    <w:rsid w:val="007C4000"/>
    <w:rsid w:val="007C43FF"/>
    <w:rsid w:val="007C4C32"/>
    <w:rsid w:val="007C4E49"/>
    <w:rsid w:val="007C4F3B"/>
    <w:rsid w:val="007C4F65"/>
    <w:rsid w:val="007C519D"/>
    <w:rsid w:val="007C5C8F"/>
    <w:rsid w:val="007C60FB"/>
    <w:rsid w:val="007C649B"/>
    <w:rsid w:val="007C66EF"/>
    <w:rsid w:val="007C6E6D"/>
    <w:rsid w:val="007C6E9A"/>
    <w:rsid w:val="007C7C3E"/>
    <w:rsid w:val="007D04AC"/>
    <w:rsid w:val="007D0619"/>
    <w:rsid w:val="007D087E"/>
    <w:rsid w:val="007D0D57"/>
    <w:rsid w:val="007D13FB"/>
    <w:rsid w:val="007D1823"/>
    <w:rsid w:val="007D1C0E"/>
    <w:rsid w:val="007D1C4E"/>
    <w:rsid w:val="007D2AD9"/>
    <w:rsid w:val="007D35EF"/>
    <w:rsid w:val="007D3894"/>
    <w:rsid w:val="007D3C47"/>
    <w:rsid w:val="007D3C9B"/>
    <w:rsid w:val="007D432A"/>
    <w:rsid w:val="007D440B"/>
    <w:rsid w:val="007D44AB"/>
    <w:rsid w:val="007D46C0"/>
    <w:rsid w:val="007D5558"/>
    <w:rsid w:val="007D56DA"/>
    <w:rsid w:val="007D600E"/>
    <w:rsid w:val="007D65B4"/>
    <w:rsid w:val="007D68FC"/>
    <w:rsid w:val="007D6AE8"/>
    <w:rsid w:val="007D6CB6"/>
    <w:rsid w:val="007D6CE2"/>
    <w:rsid w:val="007D6F1D"/>
    <w:rsid w:val="007D75DA"/>
    <w:rsid w:val="007D7716"/>
    <w:rsid w:val="007D7B09"/>
    <w:rsid w:val="007E0B9A"/>
    <w:rsid w:val="007E0C1E"/>
    <w:rsid w:val="007E11CE"/>
    <w:rsid w:val="007E1F62"/>
    <w:rsid w:val="007E2179"/>
    <w:rsid w:val="007E2338"/>
    <w:rsid w:val="007E28A3"/>
    <w:rsid w:val="007E2B38"/>
    <w:rsid w:val="007E2D9D"/>
    <w:rsid w:val="007E2E8F"/>
    <w:rsid w:val="007E2F90"/>
    <w:rsid w:val="007E3953"/>
    <w:rsid w:val="007E4ACE"/>
    <w:rsid w:val="007E512F"/>
    <w:rsid w:val="007E5215"/>
    <w:rsid w:val="007E531F"/>
    <w:rsid w:val="007E596C"/>
    <w:rsid w:val="007E5AD8"/>
    <w:rsid w:val="007E5B05"/>
    <w:rsid w:val="007E5EA3"/>
    <w:rsid w:val="007E708A"/>
    <w:rsid w:val="007E714D"/>
    <w:rsid w:val="007E78AB"/>
    <w:rsid w:val="007F0EE0"/>
    <w:rsid w:val="007F1ABC"/>
    <w:rsid w:val="007F1B0D"/>
    <w:rsid w:val="007F1EBC"/>
    <w:rsid w:val="007F208D"/>
    <w:rsid w:val="007F2123"/>
    <w:rsid w:val="007F23EA"/>
    <w:rsid w:val="007F2910"/>
    <w:rsid w:val="007F32C3"/>
    <w:rsid w:val="007F33BF"/>
    <w:rsid w:val="007F3813"/>
    <w:rsid w:val="007F444E"/>
    <w:rsid w:val="007F48E8"/>
    <w:rsid w:val="007F49B3"/>
    <w:rsid w:val="007F4D8D"/>
    <w:rsid w:val="007F5257"/>
    <w:rsid w:val="007F5293"/>
    <w:rsid w:val="007F5E44"/>
    <w:rsid w:val="007F5E4D"/>
    <w:rsid w:val="007F6AAF"/>
    <w:rsid w:val="007F6B0F"/>
    <w:rsid w:val="007F6EAF"/>
    <w:rsid w:val="007F7C45"/>
    <w:rsid w:val="007F7D51"/>
    <w:rsid w:val="00801E6C"/>
    <w:rsid w:val="00801E9B"/>
    <w:rsid w:val="0080282B"/>
    <w:rsid w:val="00802E8C"/>
    <w:rsid w:val="008032CF"/>
    <w:rsid w:val="0080397C"/>
    <w:rsid w:val="00804F04"/>
    <w:rsid w:val="00804FBB"/>
    <w:rsid w:val="00805111"/>
    <w:rsid w:val="0080566E"/>
    <w:rsid w:val="00805857"/>
    <w:rsid w:val="00805A12"/>
    <w:rsid w:val="00805A20"/>
    <w:rsid w:val="00805B0B"/>
    <w:rsid w:val="00805D46"/>
    <w:rsid w:val="00807107"/>
    <w:rsid w:val="008072BC"/>
    <w:rsid w:val="008073A9"/>
    <w:rsid w:val="00807435"/>
    <w:rsid w:val="00807B4A"/>
    <w:rsid w:val="00807BE9"/>
    <w:rsid w:val="00807D20"/>
    <w:rsid w:val="00807DBA"/>
    <w:rsid w:val="00810280"/>
    <w:rsid w:val="008109E4"/>
    <w:rsid w:val="00811299"/>
    <w:rsid w:val="00811C1B"/>
    <w:rsid w:val="0081232E"/>
    <w:rsid w:val="00812B9A"/>
    <w:rsid w:val="00812DCF"/>
    <w:rsid w:val="00813172"/>
    <w:rsid w:val="0081399A"/>
    <w:rsid w:val="008140E0"/>
    <w:rsid w:val="00814201"/>
    <w:rsid w:val="00814D39"/>
    <w:rsid w:val="0081608F"/>
    <w:rsid w:val="008163E0"/>
    <w:rsid w:val="00816544"/>
    <w:rsid w:val="0081655F"/>
    <w:rsid w:val="0081675B"/>
    <w:rsid w:val="00816C60"/>
    <w:rsid w:val="00816D81"/>
    <w:rsid w:val="00820787"/>
    <w:rsid w:val="00820AD2"/>
    <w:rsid w:val="00820F24"/>
    <w:rsid w:val="00821557"/>
    <w:rsid w:val="00822702"/>
    <w:rsid w:val="00822855"/>
    <w:rsid w:val="00822C99"/>
    <w:rsid w:val="00823090"/>
    <w:rsid w:val="008238CE"/>
    <w:rsid w:val="00823E0F"/>
    <w:rsid w:val="0082405B"/>
    <w:rsid w:val="0082480A"/>
    <w:rsid w:val="00824AD6"/>
    <w:rsid w:val="00824D72"/>
    <w:rsid w:val="00824E67"/>
    <w:rsid w:val="0082546A"/>
    <w:rsid w:val="0082574C"/>
    <w:rsid w:val="00825756"/>
    <w:rsid w:val="008258D6"/>
    <w:rsid w:val="00825C76"/>
    <w:rsid w:val="0082664A"/>
    <w:rsid w:val="00826A35"/>
    <w:rsid w:val="00826DB4"/>
    <w:rsid w:val="0082712D"/>
    <w:rsid w:val="0082744D"/>
    <w:rsid w:val="00827796"/>
    <w:rsid w:val="00827BD0"/>
    <w:rsid w:val="00830810"/>
    <w:rsid w:val="00830DF5"/>
    <w:rsid w:val="00830E46"/>
    <w:rsid w:val="008310F6"/>
    <w:rsid w:val="00831A65"/>
    <w:rsid w:val="00831B3B"/>
    <w:rsid w:val="00831B9E"/>
    <w:rsid w:val="00831C91"/>
    <w:rsid w:val="00831CA5"/>
    <w:rsid w:val="00831EAF"/>
    <w:rsid w:val="00831FAE"/>
    <w:rsid w:val="0083203A"/>
    <w:rsid w:val="00832244"/>
    <w:rsid w:val="00832B42"/>
    <w:rsid w:val="00833113"/>
    <w:rsid w:val="00833C7E"/>
    <w:rsid w:val="00833D7D"/>
    <w:rsid w:val="00834114"/>
    <w:rsid w:val="0083411C"/>
    <w:rsid w:val="00834690"/>
    <w:rsid w:val="00834B39"/>
    <w:rsid w:val="0083579F"/>
    <w:rsid w:val="0083582F"/>
    <w:rsid w:val="00835841"/>
    <w:rsid w:val="0083596F"/>
    <w:rsid w:val="00835DA2"/>
    <w:rsid w:val="00835F9E"/>
    <w:rsid w:val="0083623D"/>
    <w:rsid w:val="008364DB"/>
    <w:rsid w:val="008371DC"/>
    <w:rsid w:val="00837305"/>
    <w:rsid w:val="0083756D"/>
    <w:rsid w:val="00837616"/>
    <w:rsid w:val="008376AD"/>
    <w:rsid w:val="008401A8"/>
    <w:rsid w:val="0084022E"/>
    <w:rsid w:val="00840291"/>
    <w:rsid w:val="0084080C"/>
    <w:rsid w:val="008411BC"/>
    <w:rsid w:val="00841521"/>
    <w:rsid w:val="00841AA4"/>
    <w:rsid w:val="0084202D"/>
    <w:rsid w:val="0084207A"/>
    <w:rsid w:val="00842371"/>
    <w:rsid w:val="008426CF"/>
    <w:rsid w:val="00842BF9"/>
    <w:rsid w:val="00842D2B"/>
    <w:rsid w:val="008433EE"/>
    <w:rsid w:val="00843CC2"/>
    <w:rsid w:val="00844394"/>
    <w:rsid w:val="00844468"/>
    <w:rsid w:val="00844DC6"/>
    <w:rsid w:val="00845250"/>
    <w:rsid w:val="00845350"/>
    <w:rsid w:val="008453EE"/>
    <w:rsid w:val="008457CA"/>
    <w:rsid w:val="00845D12"/>
    <w:rsid w:val="00846248"/>
    <w:rsid w:val="0084635B"/>
    <w:rsid w:val="0084657F"/>
    <w:rsid w:val="00846702"/>
    <w:rsid w:val="008471B8"/>
    <w:rsid w:val="0084748B"/>
    <w:rsid w:val="00847DA5"/>
    <w:rsid w:val="0085015D"/>
    <w:rsid w:val="0085029E"/>
    <w:rsid w:val="00850957"/>
    <w:rsid w:val="00850FEE"/>
    <w:rsid w:val="0085196D"/>
    <w:rsid w:val="00851A26"/>
    <w:rsid w:val="00851DF4"/>
    <w:rsid w:val="0085286B"/>
    <w:rsid w:val="008532E1"/>
    <w:rsid w:val="00853355"/>
    <w:rsid w:val="00853630"/>
    <w:rsid w:val="008536E9"/>
    <w:rsid w:val="00853955"/>
    <w:rsid w:val="00853BCC"/>
    <w:rsid w:val="00853FE9"/>
    <w:rsid w:val="00854109"/>
    <w:rsid w:val="00854E22"/>
    <w:rsid w:val="008556C0"/>
    <w:rsid w:val="00855B65"/>
    <w:rsid w:val="00855C36"/>
    <w:rsid w:val="00855D61"/>
    <w:rsid w:val="008561D0"/>
    <w:rsid w:val="008566F4"/>
    <w:rsid w:val="00856F04"/>
    <w:rsid w:val="00857C40"/>
    <w:rsid w:val="00857D22"/>
    <w:rsid w:val="00857D9D"/>
    <w:rsid w:val="00857FEE"/>
    <w:rsid w:val="00860037"/>
    <w:rsid w:val="008603F1"/>
    <w:rsid w:val="0086071B"/>
    <w:rsid w:val="00860AD5"/>
    <w:rsid w:val="008610B9"/>
    <w:rsid w:val="008616B4"/>
    <w:rsid w:val="00861774"/>
    <w:rsid w:val="00861F37"/>
    <w:rsid w:val="00862373"/>
    <w:rsid w:val="0086272C"/>
    <w:rsid w:val="008627C5"/>
    <w:rsid w:val="00862B0E"/>
    <w:rsid w:val="00862DF5"/>
    <w:rsid w:val="008634BA"/>
    <w:rsid w:val="00863503"/>
    <w:rsid w:val="008635CD"/>
    <w:rsid w:val="00864553"/>
    <w:rsid w:val="00865063"/>
    <w:rsid w:val="0086506F"/>
    <w:rsid w:val="0086517A"/>
    <w:rsid w:val="008651C6"/>
    <w:rsid w:val="00865694"/>
    <w:rsid w:val="00865813"/>
    <w:rsid w:val="008662EB"/>
    <w:rsid w:val="008668CC"/>
    <w:rsid w:val="00866D21"/>
    <w:rsid w:val="00867509"/>
    <w:rsid w:val="008679A5"/>
    <w:rsid w:val="00867ACD"/>
    <w:rsid w:val="00870239"/>
    <w:rsid w:val="0087053A"/>
    <w:rsid w:val="0087094B"/>
    <w:rsid w:val="00870C81"/>
    <w:rsid w:val="00870E03"/>
    <w:rsid w:val="00871054"/>
    <w:rsid w:val="008714CC"/>
    <w:rsid w:val="0087163F"/>
    <w:rsid w:val="00871B8B"/>
    <w:rsid w:val="00871D57"/>
    <w:rsid w:val="00871DAB"/>
    <w:rsid w:val="00871E70"/>
    <w:rsid w:val="00872834"/>
    <w:rsid w:val="008729A7"/>
    <w:rsid w:val="00872A1A"/>
    <w:rsid w:val="00872CE6"/>
    <w:rsid w:val="008737B1"/>
    <w:rsid w:val="008737F2"/>
    <w:rsid w:val="00873DF2"/>
    <w:rsid w:val="00873FEE"/>
    <w:rsid w:val="00874169"/>
    <w:rsid w:val="00874B24"/>
    <w:rsid w:val="00874C2C"/>
    <w:rsid w:val="00874C4A"/>
    <w:rsid w:val="00875144"/>
    <w:rsid w:val="00875412"/>
    <w:rsid w:val="0087555A"/>
    <w:rsid w:val="008755A3"/>
    <w:rsid w:val="00875A6C"/>
    <w:rsid w:val="00875C24"/>
    <w:rsid w:val="008760F6"/>
    <w:rsid w:val="008761D6"/>
    <w:rsid w:val="00876814"/>
    <w:rsid w:val="00876B12"/>
    <w:rsid w:val="00876FD4"/>
    <w:rsid w:val="008775F4"/>
    <w:rsid w:val="00877E93"/>
    <w:rsid w:val="008803F2"/>
    <w:rsid w:val="008806F9"/>
    <w:rsid w:val="008807A6"/>
    <w:rsid w:val="00880967"/>
    <w:rsid w:val="00880ACE"/>
    <w:rsid w:val="0088117E"/>
    <w:rsid w:val="008812E2"/>
    <w:rsid w:val="00881F47"/>
    <w:rsid w:val="00881FC5"/>
    <w:rsid w:val="00882850"/>
    <w:rsid w:val="008828C3"/>
    <w:rsid w:val="00882CFD"/>
    <w:rsid w:val="0088304B"/>
    <w:rsid w:val="008833C9"/>
    <w:rsid w:val="0088370E"/>
    <w:rsid w:val="00883CC7"/>
    <w:rsid w:val="0088409F"/>
    <w:rsid w:val="008843C0"/>
    <w:rsid w:val="0088469F"/>
    <w:rsid w:val="008846F2"/>
    <w:rsid w:val="0088486A"/>
    <w:rsid w:val="00884E4A"/>
    <w:rsid w:val="0088514D"/>
    <w:rsid w:val="008856B6"/>
    <w:rsid w:val="0088594C"/>
    <w:rsid w:val="00885E43"/>
    <w:rsid w:val="00886058"/>
    <w:rsid w:val="0088649E"/>
    <w:rsid w:val="008865B7"/>
    <w:rsid w:val="00887535"/>
    <w:rsid w:val="00887DE5"/>
    <w:rsid w:val="00887EB8"/>
    <w:rsid w:val="008901BA"/>
    <w:rsid w:val="00890717"/>
    <w:rsid w:val="0089095A"/>
    <w:rsid w:val="00890C37"/>
    <w:rsid w:val="00890FB4"/>
    <w:rsid w:val="0089108D"/>
    <w:rsid w:val="00891536"/>
    <w:rsid w:val="00891766"/>
    <w:rsid w:val="00891A50"/>
    <w:rsid w:val="008922C6"/>
    <w:rsid w:val="00892600"/>
    <w:rsid w:val="00892614"/>
    <w:rsid w:val="00892A8A"/>
    <w:rsid w:val="00893098"/>
    <w:rsid w:val="0089332D"/>
    <w:rsid w:val="0089355A"/>
    <w:rsid w:val="00893BA0"/>
    <w:rsid w:val="00893F62"/>
    <w:rsid w:val="008941F2"/>
    <w:rsid w:val="008951AE"/>
    <w:rsid w:val="008951E1"/>
    <w:rsid w:val="00895214"/>
    <w:rsid w:val="0089532A"/>
    <w:rsid w:val="00895447"/>
    <w:rsid w:val="0089579C"/>
    <w:rsid w:val="00895C8D"/>
    <w:rsid w:val="00895CCF"/>
    <w:rsid w:val="00895DD6"/>
    <w:rsid w:val="00897261"/>
    <w:rsid w:val="00897F2C"/>
    <w:rsid w:val="00897FEB"/>
    <w:rsid w:val="008A03ED"/>
    <w:rsid w:val="008A0AED"/>
    <w:rsid w:val="008A0B4C"/>
    <w:rsid w:val="008A0BFE"/>
    <w:rsid w:val="008A0C5A"/>
    <w:rsid w:val="008A152C"/>
    <w:rsid w:val="008A16CC"/>
    <w:rsid w:val="008A1800"/>
    <w:rsid w:val="008A1AF9"/>
    <w:rsid w:val="008A2638"/>
    <w:rsid w:val="008A349B"/>
    <w:rsid w:val="008A3BF8"/>
    <w:rsid w:val="008A3C08"/>
    <w:rsid w:val="008A3D59"/>
    <w:rsid w:val="008A3E55"/>
    <w:rsid w:val="008A4218"/>
    <w:rsid w:val="008A422D"/>
    <w:rsid w:val="008A46E9"/>
    <w:rsid w:val="008A4CCC"/>
    <w:rsid w:val="008A4F4E"/>
    <w:rsid w:val="008A5295"/>
    <w:rsid w:val="008A5C59"/>
    <w:rsid w:val="008A630A"/>
    <w:rsid w:val="008A64A5"/>
    <w:rsid w:val="008A65AF"/>
    <w:rsid w:val="008A6A78"/>
    <w:rsid w:val="008A6C5C"/>
    <w:rsid w:val="008A6D4A"/>
    <w:rsid w:val="008A70D3"/>
    <w:rsid w:val="008A737F"/>
    <w:rsid w:val="008A7927"/>
    <w:rsid w:val="008B06C1"/>
    <w:rsid w:val="008B08CC"/>
    <w:rsid w:val="008B0EDF"/>
    <w:rsid w:val="008B0EF8"/>
    <w:rsid w:val="008B1125"/>
    <w:rsid w:val="008B114E"/>
    <w:rsid w:val="008B1250"/>
    <w:rsid w:val="008B1881"/>
    <w:rsid w:val="008B1EA5"/>
    <w:rsid w:val="008B25B5"/>
    <w:rsid w:val="008B2C81"/>
    <w:rsid w:val="008B3F6B"/>
    <w:rsid w:val="008B4032"/>
    <w:rsid w:val="008B4066"/>
    <w:rsid w:val="008B40AA"/>
    <w:rsid w:val="008B48C8"/>
    <w:rsid w:val="008B49AF"/>
    <w:rsid w:val="008B4A76"/>
    <w:rsid w:val="008B53FB"/>
    <w:rsid w:val="008B5C64"/>
    <w:rsid w:val="008B6048"/>
    <w:rsid w:val="008B6146"/>
    <w:rsid w:val="008B61D6"/>
    <w:rsid w:val="008B6397"/>
    <w:rsid w:val="008B66A3"/>
    <w:rsid w:val="008B6F9F"/>
    <w:rsid w:val="008B7110"/>
    <w:rsid w:val="008B7F5F"/>
    <w:rsid w:val="008C02C3"/>
    <w:rsid w:val="008C0B83"/>
    <w:rsid w:val="008C0C37"/>
    <w:rsid w:val="008C0CB4"/>
    <w:rsid w:val="008C0F2E"/>
    <w:rsid w:val="008C17CB"/>
    <w:rsid w:val="008C1B15"/>
    <w:rsid w:val="008C24E9"/>
    <w:rsid w:val="008C2A37"/>
    <w:rsid w:val="008C2B82"/>
    <w:rsid w:val="008C2D4F"/>
    <w:rsid w:val="008C30D6"/>
    <w:rsid w:val="008C3299"/>
    <w:rsid w:val="008C3353"/>
    <w:rsid w:val="008C4DF9"/>
    <w:rsid w:val="008C52D3"/>
    <w:rsid w:val="008C5676"/>
    <w:rsid w:val="008C575A"/>
    <w:rsid w:val="008C5A39"/>
    <w:rsid w:val="008C5F44"/>
    <w:rsid w:val="008C62D5"/>
    <w:rsid w:val="008C63F7"/>
    <w:rsid w:val="008C6722"/>
    <w:rsid w:val="008C6848"/>
    <w:rsid w:val="008C71BB"/>
    <w:rsid w:val="008C74F5"/>
    <w:rsid w:val="008C7B0F"/>
    <w:rsid w:val="008C7E39"/>
    <w:rsid w:val="008D0B34"/>
    <w:rsid w:val="008D0F43"/>
    <w:rsid w:val="008D1AEB"/>
    <w:rsid w:val="008D288B"/>
    <w:rsid w:val="008D2F5D"/>
    <w:rsid w:val="008D3914"/>
    <w:rsid w:val="008D3BDB"/>
    <w:rsid w:val="008D3EC1"/>
    <w:rsid w:val="008D4477"/>
    <w:rsid w:val="008D4702"/>
    <w:rsid w:val="008D4B93"/>
    <w:rsid w:val="008D4D1B"/>
    <w:rsid w:val="008D4EBC"/>
    <w:rsid w:val="008D4EEE"/>
    <w:rsid w:val="008D5428"/>
    <w:rsid w:val="008D5472"/>
    <w:rsid w:val="008D5604"/>
    <w:rsid w:val="008D5612"/>
    <w:rsid w:val="008D562C"/>
    <w:rsid w:val="008D6782"/>
    <w:rsid w:val="008D7692"/>
    <w:rsid w:val="008D7BC4"/>
    <w:rsid w:val="008D7BDE"/>
    <w:rsid w:val="008E1064"/>
    <w:rsid w:val="008E141F"/>
    <w:rsid w:val="008E1D20"/>
    <w:rsid w:val="008E1DD5"/>
    <w:rsid w:val="008E2225"/>
    <w:rsid w:val="008E2612"/>
    <w:rsid w:val="008E2AF8"/>
    <w:rsid w:val="008E34A6"/>
    <w:rsid w:val="008E3615"/>
    <w:rsid w:val="008E3858"/>
    <w:rsid w:val="008E38BA"/>
    <w:rsid w:val="008E3BD6"/>
    <w:rsid w:val="008E3BFB"/>
    <w:rsid w:val="008E4328"/>
    <w:rsid w:val="008E55A0"/>
    <w:rsid w:val="008E5DED"/>
    <w:rsid w:val="008E64F8"/>
    <w:rsid w:val="008E66E8"/>
    <w:rsid w:val="008E6C2B"/>
    <w:rsid w:val="008E7013"/>
    <w:rsid w:val="008E710D"/>
    <w:rsid w:val="008E731C"/>
    <w:rsid w:val="008E7403"/>
    <w:rsid w:val="008E75A3"/>
    <w:rsid w:val="008E7789"/>
    <w:rsid w:val="008E7B90"/>
    <w:rsid w:val="008E7FB6"/>
    <w:rsid w:val="008F0566"/>
    <w:rsid w:val="008F0E36"/>
    <w:rsid w:val="008F0E5F"/>
    <w:rsid w:val="008F143A"/>
    <w:rsid w:val="008F15C0"/>
    <w:rsid w:val="008F1823"/>
    <w:rsid w:val="008F1B9B"/>
    <w:rsid w:val="008F1C65"/>
    <w:rsid w:val="008F21C0"/>
    <w:rsid w:val="008F2882"/>
    <w:rsid w:val="008F2C41"/>
    <w:rsid w:val="008F3976"/>
    <w:rsid w:val="008F465E"/>
    <w:rsid w:val="008F46CE"/>
    <w:rsid w:val="008F4F1A"/>
    <w:rsid w:val="008F4FB7"/>
    <w:rsid w:val="008F5487"/>
    <w:rsid w:val="008F5BF8"/>
    <w:rsid w:val="008F5ECB"/>
    <w:rsid w:val="008F60B1"/>
    <w:rsid w:val="008F6978"/>
    <w:rsid w:val="008F6AF0"/>
    <w:rsid w:val="008F6E81"/>
    <w:rsid w:val="008F725E"/>
    <w:rsid w:val="009001A9"/>
    <w:rsid w:val="00900ACE"/>
    <w:rsid w:val="0090109C"/>
    <w:rsid w:val="009011E4"/>
    <w:rsid w:val="00901CCB"/>
    <w:rsid w:val="00901DED"/>
    <w:rsid w:val="009025BF"/>
    <w:rsid w:val="0090298C"/>
    <w:rsid w:val="00903121"/>
    <w:rsid w:val="00903479"/>
    <w:rsid w:val="00903BC4"/>
    <w:rsid w:val="00904C82"/>
    <w:rsid w:val="00904E74"/>
    <w:rsid w:val="00904EAA"/>
    <w:rsid w:val="00904FF6"/>
    <w:rsid w:val="00905380"/>
    <w:rsid w:val="00905C6C"/>
    <w:rsid w:val="00905CE2"/>
    <w:rsid w:val="009060A0"/>
    <w:rsid w:val="0090634D"/>
    <w:rsid w:val="00906AFD"/>
    <w:rsid w:val="00907125"/>
    <w:rsid w:val="0090724C"/>
    <w:rsid w:val="009079B9"/>
    <w:rsid w:val="0091050E"/>
    <w:rsid w:val="009108B3"/>
    <w:rsid w:val="009111B1"/>
    <w:rsid w:val="00911D4D"/>
    <w:rsid w:val="00911D6C"/>
    <w:rsid w:val="009120D7"/>
    <w:rsid w:val="0091235D"/>
    <w:rsid w:val="00913043"/>
    <w:rsid w:val="00913136"/>
    <w:rsid w:val="00913803"/>
    <w:rsid w:val="00914F3F"/>
    <w:rsid w:val="00914F41"/>
    <w:rsid w:val="009150B1"/>
    <w:rsid w:val="009153C4"/>
    <w:rsid w:val="00915456"/>
    <w:rsid w:val="009159C2"/>
    <w:rsid w:val="00915F2F"/>
    <w:rsid w:val="00916568"/>
    <w:rsid w:val="009165C0"/>
    <w:rsid w:val="0091689C"/>
    <w:rsid w:val="00916C7F"/>
    <w:rsid w:val="00916FBE"/>
    <w:rsid w:val="009178E9"/>
    <w:rsid w:val="00917E84"/>
    <w:rsid w:val="009200F4"/>
    <w:rsid w:val="0092075D"/>
    <w:rsid w:val="00920CFD"/>
    <w:rsid w:val="009210D0"/>
    <w:rsid w:val="009225A4"/>
    <w:rsid w:val="009229DF"/>
    <w:rsid w:val="009231BC"/>
    <w:rsid w:val="009235C1"/>
    <w:rsid w:val="00923A80"/>
    <w:rsid w:val="00924BD8"/>
    <w:rsid w:val="00924CA6"/>
    <w:rsid w:val="00925349"/>
    <w:rsid w:val="009254FD"/>
    <w:rsid w:val="0092632C"/>
    <w:rsid w:val="00926DD5"/>
    <w:rsid w:val="00926FAA"/>
    <w:rsid w:val="0092720E"/>
    <w:rsid w:val="009273B8"/>
    <w:rsid w:val="009278D4"/>
    <w:rsid w:val="00927EEB"/>
    <w:rsid w:val="009301DC"/>
    <w:rsid w:val="00930431"/>
    <w:rsid w:val="00930AB8"/>
    <w:rsid w:val="00930D3B"/>
    <w:rsid w:val="00931257"/>
    <w:rsid w:val="009312BB"/>
    <w:rsid w:val="009315A4"/>
    <w:rsid w:val="0093165A"/>
    <w:rsid w:val="00931AA8"/>
    <w:rsid w:val="00931F8A"/>
    <w:rsid w:val="0093272E"/>
    <w:rsid w:val="009328F3"/>
    <w:rsid w:val="00932C75"/>
    <w:rsid w:val="00933433"/>
    <w:rsid w:val="009336C0"/>
    <w:rsid w:val="009339DA"/>
    <w:rsid w:val="00934061"/>
    <w:rsid w:val="00934425"/>
    <w:rsid w:val="00935358"/>
    <w:rsid w:val="0093592C"/>
    <w:rsid w:val="00935C0F"/>
    <w:rsid w:val="0093614E"/>
    <w:rsid w:val="009362DD"/>
    <w:rsid w:val="00936DC8"/>
    <w:rsid w:val="00936E99"/>
    <w:rsid w:val="00936F37"/>
    <w:rsid w:val="00936FB8"/>
    <w:rsid w:val="0093744A"/>
    <w:rsid w:val="00937568"/>
    <w:rsid w:val="009379C1"/>
    <w:rsid w:val="00940040"/>
    <w:rsid w:val="00940180"/>
    <w:rsid w:val="0094067B"/>
    <w:rsid w:val="009419A4"/>
    <w:rsid w:val="009419FB"/>
    <w:rsid w:val="009422F7"/>
    <w:rsid w:val="0094284D"/>
    <w:rsid w:val="00942A45"/>
    <w:rsid w:val="00943298"/>
    <w:rsid w:val="00943452"/>
    <w:rsid w:val="0094363D"/>
    <w:rsid w:val="009436DE"/>
    <w:rsid w:val="009436F3"/>
    <w:rsid w:val="00944B8D"/>
    <w:rsid w:val="00944D28"/>
    <w:rsid w:val="009458CB"/>
    <w:rsid w:val="009459B7"/>
    <w:rsid w:val="00945A3A"/>
    <w:rsid w:val="009471D4"/>
    <w:rsid w:val="0094724C"/>
    <w:rsid w:val="009478EB"/>
    <w:rsid w:val="00947BDB"/>
    <w:rsid w:val="00947D69"/>
    <w:rsid w:val="0095001C"/>
    <w:rsid w:val="009502C7"/>
    <w:rsid w:val="00950798"/>
    <w:rsid w:val="00952019"/>
    <w:rsid w:val="009520F2"/>
    <w:rsid w:val="00952243"/>
    <w:rsid w:val="009526F9"/>
    <w:rsid w:val="009527FB"/>
    <w:rsid w:val="009528C5"/>
    <w:rsid w:val="0095290F"/>
    <w:rsid w:val="009536E9"/>
    <w:rsid w:val="009539A9"/>
    <w:rsid w:val="00954044"/>
    <w:rsid w:val="0095411A"/>
    <w:rsid w:val="00954713"/>
    <w:rsid w:val="00954AF7"/>
    <w:rsid w:val="00954C78"/>
    <w:rsid w:val="00954E80"/>
    <w:rsid w:val="00955216"/>
    <w:rsid w:val="00955806"/>
    <w:rsid w:val="00955968"/>
    <w:rsid w:val="00955E29"/>
    <w:rsid w:val="009560B7"/>
    <w:rsid w:val="00956308"/>
    <w:rsid w:val="009568D2"/>
    <w:rsid w:val="00956AAD"/>
    <w:rsid w:val="00956C4D"/>
    <w:rsid w:val="00956CF1"/>
    <w:rsid w:val="00956CFA"/>
    <w:rsid w:val="00956ECC"/>
    <w:rsid w:val="00957082"/>
    <w:rsid w:val="00957602"/>
    <w:rsid w:val="00957E58"/>
    <w:rsid w:val="0096019E"/>
    <w:rsid w:val="00960746"/>
    <w:rsid w:val="00960849"/>
    <w:rsid w:val="00960BAA"/>
    <w:rsid w:val="00960BC8"/>
    <w:rsid w:val="00961841"/>
    <w:rsid w:val="009618B3"/>
    <w:rsid w:val="00961CB3"/>
    <w:rsid w:val="00961D8D"/>
    <w:rsid w:val="009622EA"/>
    <w:rsid w:val="00962770"/>
    <w:rsid w:val="00962D16"/>
    <w:rsid w:val="00962F59"/>
    <w:rsid w:val="009637CC"/>
    <w:rsid w:val="00964386"/>
    <w:rsid w:val="009648FA"/>
    <w:rsid w:val="00964D65"/>
    <w:rsid w:val="00964E82"/>
    <w:rsid w:val="00965504"/>
    <w:rsid w:val="00965A44"/>
    <w:rsid w:val="00965B9B"/>
    <w:rsid w:val="00966041"/>
    <w:rsid w:val="00966777"/>
    <w:rsid w:val="009668E2"/>
    <w:rsid w:val="00966958"/>
    <w:rsid w:val="00966FE8"/>
    <w:rsid w:val="009672F6"/>
    <w:rsid w:val="00967358"/>
    <w:rsid w:val="009679FB"/>
    <w:rsid w:val="00967BEE"/>
    <w:rsid w:val="00967C0A"/>
    <w:rsid w:val="00967F98"/>
    <w:rsid w:val="0097004D"/>
    <w:rsid w:val="00970F21"/>
    <w:rsid w:val="009711A6"/>
    <w:rsid w:val="0097140D"/>
    <w:rsid w:val="00971CD3"/>
    <w:rsid w:val="00972797"/>
    <w:rsid w:val="00972C26"/>
    <w:rsid w:val="00972D54"/>
    <w:rsid w:val="009739C5"/>
    <w:rsid w:val="00974284"/>
    <w:rsid w:val="0097451D"/>
    <w:rsid w:val="009747DF"/>
    <w:rsid w:val="00974A4D"/>
    <w:rsid w:val="00975188"/>
    <w:rsid w:val="00975419"/>
    <w:rsid w:val="009760EC"/>
    <w:rsid w:val="00976504"/>
    <w:rsid w:val="00976674"/>
    <w:rsid w:val="00976D38"/>
    <w:rsid w:val="0097760A"/>
    <w:rsid w:val="00977D67"/>
    <w:rsid w:val="00977E24"/>
    <w:rsid w:val="009800AF"/>
    <w:rsid w:val="0098057D"/>
    <w:rsid w:val="009810EC"/>
    <w:rsid w:val="00981F00"/>
    <w:rsid w:val="00982793"/>
    <w:rsid w:val="00982C1A"/>
    <w:rsid w:val="00982FA7"/>
    <w:rsid w:val="009839AD"/>
    <w:rsid w:val="0098403B"/>
    <w:rsid w:val="00984F02"/>
    <w:rsid w:val="009851D9"/>
    <w:rsid w:val="0098524A"/>
    <w:rsid w:val="009856FE"/>
    <w:rsid w:val="00985921"/>
    <w:rsid w:val="00985933"/>
    <w:rsid w:val="00985C82"/>
    <w:rsid w:val="00985DA3"/>
    <w:rsid w:val="0098603E"/>
    <w:rsid w:val="009867DF"/>
    <w:rsid w:val="00986DF4"/>
    <w:rsid w:val="009873D0"/>
    <w:rsid w:val="00987415"/>
    <w:rsid w:val="00987E5E"/>
    <w:rsid w:val="009909A1"/>
    <w:rsid w:val="00990BBE"/>
    <w:rsid w:val="0099104D"/>
    <w:rsid w:val="0099178C"/>
    <w:rsid w:val="00991BCC"/>
    <w:rsid w:val="0099211C"/>
    <w:rsid w:val="00992B0A"/>
    <w:rsid w:val="00992C9A"/>
    <w:rsid w:val="00993259"/>
    <w:rsid w:val="009938FE"/>
    <w:rsid w:val="00993DBB"/>
    <w:rsid w:val="00994402"/>
    <w:rsid w:val="00994A0F"/>
    <w:rsid w:val="00994EFA"/>
    <w:rsid w:val="009951BD"/>
    <w:rsid w:val="009952F8"/>
    <w:rsid w:val="00995D21"/>
    <w:rsid w:val="00997D00"/>
    <w:rsid w:val="009A0A1E"/>
    <w:rsid w:val="009A0C49"/>
    <w:rsid w:val="009A0CB3"/>
    <w:rsid w:val="009A1146"/>
    <w:rsid w:val="009A217D"/>
    <w:rsid w:val="009A2E69"/>
    <w:rsid w:val="009A3B2E"/>
    <w:rsid w:val="009A427B"/>
    <w:rsid w:val="009A44D6"/>
    <w:rsid w:val="009A4847"/>
    <w:rsid w:val="009A4951"/>
    <w:rsid w:val="009A4FE0"/>
    <w:rsid w:val="009A5C1D"/>
    <w:rsid w:val="009A5DCD"/>
    <w:rsid w:val="009A613B"/>
    <w:rsid w:val="009A62AB"/>
    <w:rsid w:val="009A646C"/>
    <w:rsid w:val="009A747E"/>
    <w:rsid w:val="009A7A6E"/>
    <w:rsid w:val="009A7ECF"/>
    <w:rsid w:val="009A7F01"/>
    <w:rsid w:val="009B0527"/>
    <w:rsid w:val="009B05E3"/>
    <w:rsid w:val="009B09DB"/>
    <w:rsid w:val="009B0D8E"/>
    <w:rsid w:val="009B14A1"/>
    <w:rsid w:val="009B162F"/>
    <w:rsid w:val="009B1EFA"/>
    <w:rsid w:val="009B2962"/>
    <w:rsid w:val="009B2D09"/>
    <w:rsid w:val="009B3461"/>
    <w:rsid w:val="009B3BB6"/>
    <w:rsid w:val="009B3D70"/>
    <w:rsid w:val="009B3E02"/>
    <w:rsid w:val="009B3EC8"/>
    <w:rsid w:val="009B3F67"/>
    <w:rsid w:val="009B41C7"/>
    <w:rsid w:val="009B46D3"/>
    <w:rsid w:val="009B46FF"/>
    <w:rsid w:val="009B48F0"/>
    <w:rsid w:val="009B4917"/>
    <w:rsid w:val="009B4ED6"/>
    <w:rsid w:val="009B4FDB"/>
    <w:rsid w:val="009B5164"/>
    <w:rsid w:val="009B5431"/>
    <w:rsid w:val="009B58B4"/>
    <w:rsid w:val="009B5C32"/>
    <w:rsid w:val="009B5C99"/>
    <w:rsid w:val="009B5E0B"/>
    <w:rsid w:val="009B6972"/>
    <w:rsid w:val="009B69BD"/>
    <w:rsid w:val="009B6B62"/>
    <w:rsid w:val="009B6C17"/>
    <w:rsid w:val="009B738A"/>
    <w:rsid w:val="009B77D4"/>
    <w:rsid w:val="009C01B1"/>
    <w:rsid w:val="009C0340"/>
    <w:rsid w:val="009C097B"/>
    <w:rsid w:val="009C0A22"/>
    <w:rsid w:val="009C0EBA"/>
    <w:rsid w:val="009C0F0C"/>
    <w:rsid w:val="009C1D12"/>
    <w:rsid w:val="009C1E40"/>
    <w:rsid w:val="009C22A2"/>
    <w:rsid w:val="009C372F"/>
    <w:rsid w:val="009C3B0C"/>
    <w:rsid w:val="009C3BE3"/>
    <w:rsid w:val="009C447B"/>
    <w:rsid w:val="009C475F"/>
    <w:rsid w:val="009C60B9"/>
    <w:rsid w:val="009C613B"/>
    <w:rsid w:val="009C6553"/>
    <w:rsid w:val="009C65E6"/>
    <w:rsid w:val="009C6795"/>
    <w:rsid w:val="009C6D1B"/>
    <w:rsid w:val="009C6FA7"/>
    <w:rsid w:val="009C7186"/>
    <w:rsid w:val="009C7C87"/>
    <w:rsid w:val="009C7DA9"/>
    <w:rsid w:val="009D051D"/>
    <w:rsid w:val="009D0800"/>
    <w:rsid w:val="009D0CB5"/>
    <w:rsid w:val="009D10DF"/>
    <w:rsid w:val="009D1354"/>
    <w:rsid w:val="009D13AE"/>
    <w:rsid w:val="009D18AB"/>
    <w:rsid w:val="009D1955"/>
    <w:rsid w:val="009D1AB4"/>
    <w:rsid w:val="009D1B64"/>
    <w:rsid w:val="009D1DD2"/>
    <w:rsid w:val="009D213A"/>
    <w:rsid w:val="009D2160"/>
    <w:rsid w:val="009D25A0"/>
    <w:rsid w:val="009D2617"/>
    <w:rsid w:val="009D27C8"/>
    <w:rsid w:val="009D3146"/>
    <w:rsid w:val="009D3857"/>
    <w:rsid w:val="009D39F3"/>
    <w:rsid w:val="009D3AAD"/>
    <w:rsid w:val="009D42CA"/>
    <w:rsid w:val="009D512E"/>
    <w:rsid w:val="009D5391"/>
    <w:rsid w:val="009D5414"/>
    <w:rsid w:val="009D55F1"/>
    <w:rsid w:val="009D5DC5"/>
    <w:rsid w:val="009D6F67"/>
    <w:rsid w:val="009D7202"/>
    <w:rsid w:val="009D7309"/>
    <w:rsid w:val="009D746F"/>
    <w:rsid w:val="009D76D0"/>
    <w:rsid w:val="009D7A73"/>
    <w:rsid w:val="009D7C35"/>
    <w:rsid w:val="009E0228"/>
    <w:rsid w:val="009E09F2"/>
    <w:rsid w:val="009E0C12"/>
    <w:rsid w:val="009E0F33"/>
    <w:rsid w:val="009E0F81"/>
    <w:rsid w:val="009E16EE"/>
    <w:rsid w:val="009E19C8"/>
    <w:rsid w:val="009E1AC2"/>
    <w:rsid w:val="009E2B18"/>
    <w:rsid w:val="009E2D9D"/>
    <w:rsid w:val="009E3331"/>
    <w:rsid w:val="009E3452"/>
    <w:rsid w:val="009E3B43"/>
    <w:rsid w:val="009E3D5A"/>
    <w:rsid w:val="009E4832"/>
    <w:rsid w:val="009E48F4"/>
    <w:rsid w:val="009E51B7"/>
    <w:rsid w:val="009E5218"/>
    <w:rsid w:val="009E54C5"/>
    <w:rsid w:val="009E5535"/>
    <w:rsid w:val="009E5762"/>
    <w:rsid w:val="009E60BE"/>
    <w:rsid w:val="009E6814"/>
    <w:rsid w:val="009E6F26"/>
    <w:rsid w:val="009E7639"/>
    <w:rsid w:val="009E7C59"/>
    <w:rsid w:val="009F0715"/>
    <w:rsid w:val="009F08BD"/>
    <w:rsid w:val="009F09E1"/>
    <w:rsid w:val="009F1098"/>
    <w:rsid w:val="009F1533"/>
    <w:rsid w:val="009F16D4"/>
    <w:rsid w:val="009F1CBC"/>
    <w:rsid w:val="009F251D"/>
    <w:rsid w:val="009F289F"/>
    <w:rsid w:val="009F29A7"/>
    <w:rsid w:val="009F2AB4"/>
    <w:rsid w:val="009F2BEA"/>
    <w:rsid w:val="009F2C00"/>
    <w:rsid w:val="009F2D50"/>
    <w:rsid w:val="009F30BD"/>
    <w:rsid w:val="009F3269"/>
    <w:rsid w:val="009F36D7"/>
    <w:rsid w:val="009F3811"/>
    <w:rsid w:val="009F3863"/>
    <w:rsid w:val="009F38AA"/>
    <w:rsid w:val="009F3E4A"/>
    <w:rsid w:val="009F4326"/>
    <w:rsid w:val="009F451E"/>
    <w:rsid w:val="009F46C0"/>
    <w:rsid w:val="009F4FE8"/>
    <w:rsid w:val="009F51D7"/>
    <w:rsid w:val="009F526A"/>
    <w:rsid w:val="009F574D"/>
    <w:rsid w:val="009F5B9F"/>
    <w:rsid w:val="009F6B52"/>
    <w:rsid w:val="009F6C3C"/>
    <w:rsid w:val="009F707A"/>
    <w:rsid w:val="009F749E"/>
    <w:rsid w:val="009F74CE"/>
    <w:rsid w:val="009F7A49"/>
    <w:rsid w:val="00A0089B"/>
    <w:rsid w:val="00A008C3"/>
    <w:rsid w:val="00A01560"/>
    <w:rsid w:val="00A01ACD"/>
    <w:rsid w:val="00A01E30"/>
    <w:rsid w:val="00A0215D"/>
    <w:rsid w:val="00A02636"/>
    <w:rsid w:val="00A02B3B"/>
    <w:rsid w:val="00A03684"/>
    <w:rsid w:val="00A040EF"/>
    <w:rsid w:val="00A04BEF"/>
    <w:rsid w:val="00A05B67"/>
    <w:rsid w:val="00A05F7D"/>
    <w:rsid w:val="00A0655E"/>
    <w:rsid w:val="00A06660"/>
    <w:rsid w:val="00A06C7D"/>
    <w:rsid w:val="00A06E2C"/>
    <w:rsid w:val="00A07225"/>
    <w:rsid w:val="00A07A91"/>
    <w:rsid w:val="00A07C5F"/>
    <w:rsid w:val="00A1077D"/>
    <w:rsid w:val="00A10C1C"/>
    <w:rsid w:val="00A1114D"/>
    <w:rsid w:val="00A112A1"/>
    <w:rsid w:val="00A11570"/>
    <w:rsid w:val="00A11BE0"/>
    <w:rsid w:val="00A11DE0"/>
    <w:rsid w:val="00A11DF9"/>
    <w:rsid w:val="00A1212B"/>
    <w:rsid w:val="00A12811"/>
    <w:rsid w:val="00A137E4"/>
    <w:rsid w:val="00A13FE6"/>
    <w:rsid w:val="00A145DF"/>
    <w:rsid w:val="00A146B7"/>
    <w:rsid w:val="00A14944"/>
    <w:rsid w:val="00A14F1D"/>
    <w:rsid w:val="00A15F96"/>
    <w:rsid w:val="00A164BB"/>
    <w:rsid w:val="00A16606"/>
    <w:rsid w:val="00A16A8D"/>
    <w:rsid w:val="00A16C47"/>
    <w:rsid w:val="00A173E4"/>
    <w:rsid w:val="00A1745F"/>
    <w:rsid w:val="00A175AE"/>
    <w:rsid w:val="00A17CB2"/>
    <w:rsid w:val="00A20437"/>
    <w:rsid w:val="00A20A07"/>
    <w:rsid w:val="00A2104C"/>
    <w:rsid w:val="00A21336"/>
    <w:rsid w:val="00A2141C"/>
    <w:rsid w:val="00A216FE"/>
    <w:rsid w:val="00A21B80"/>
    <w:rsid w:val="00A21C7D"/>
    <w:rsid w:val="00A22283"/>
    <w:rsid w:val="00A22386"/>
    <w:rsid w:val="00A227A5"/>
    <w:rsid w:val="00A22822"/>
    <w:rsid w:val="00A2289D"/>
    <w:rsid w:val="00A23BBC"/>
    <w:rsid w:val="00A24115"/>
    <w:rsid w:val="00A24223"/>
    <w:rsid w:val="00A2469A"/>
    <w:rsid w:val="00A24B44"/>
    <w:rsid w:val="00A24DCA"/>
    <w:rsid w:val="00A24F3E"/>
    <w:rsid w:val="00A2517B"/>
    <w:rsid w:val="00A25AE2"/>
    <w:rsid w:val="00A25CAA"/>
    <w:rsid w:val="00A25FB0"/>
    <w:rsid w:val="00A26023"/>
    <w:rsid w:val="00A26194"/>
    <w:rsid w:val="00A26199"/>
    <w:rsid w:val="00A26551"/>
    <w:rsid w:val="00A2666A"/>
    <w:rsid w:val="00A266AD"/>
    <w:rsid w:val="00A26AAD"/>
    <w:rsid w:val="00A26AEC"/>
    <w:rsid w:val="00A26F10"/>
    <w:rsid w:val="00A2708C"/>
    <w:rsid w:val="00A27095"/>
    <w:rsid w:val="00A27609"/>
    <w:rsid w:val="00A277D3"/>
    <w:rsid w:val="00A27E2A"/>
    <w:rsid w:val="00A27F64"/>
    <w:rsid w:val="00A30709"/>
    <w:rsid w:val="00A3174C"/>
    <w:rsid w:val="00A31B64"/>
    <w:rsid w:val="00A3213F"/>
    <w:rsid w:val="00A322DD"/>
    <w:rsid w:val="00A327F2"/>
    <w:rsid w:val="00A32F7E"/>
    <w:rsid w:val="00A33A53"/>
    <w:rsid w:val="00A34A9D"/>
    <w:rsid w:val="00A35222"/>
    <w:rsid w:val="00A353C4"/>
    <w:rsid w:val="00A3564B"/>
    <w:rsid w:val="00A3584A"/>
    <w:rsid w:val="00A35B20"/>
    <w:rsid w:val="00A35E5F"/>
    <w:rsid w:val="00A36255"/>
    <w:rsid w:val="00A36A0A"/>
    <w:rsid w:val="00A3701E"/>
    <w:rsid w:val="00A37602"/>
    <w:rsid w:val="00A37DA1"/>
    <w:rsid w:val="00A37E3E"/>
    <w:rsid w:val="00A40B9B"/>
    <w:rsid w:val="00A41280"/>
    <w:rsid w:val="00A4160D"/>
    <w:rsid w:val="00A417DF"/>
    <w:rsid w:val="00A41BFC"/>
    <w:rsid w:val="00A41DC0"/>
    <w:rsid w:val="00A4206D"/>
    <w:rsid w:val="00A4272C"/>
    <w:rsid w:val="00A42AF7"/>
    <w:rsid w:val="00A42F8A"/>
    <w:rsid w:val="00A43049"/>
    <w:rsid w:val="00A4342F"/>
    <w:rsid w:val="00A4463B"/>
    <w:rsid w:val="00A448E9"/>
    <w:rsid w:val="00A44940"/>
    <w:rsid w:val="00A44D17"/>
    <w:rsid w:val="00A45143"/>
    <w:rsid w:val="00A45668"/>
    <w:rsid w:val="00A4568B"/>
    <w:rsid w:val="00A45B67"/>
    <w:rsid w:val="00A46CE2"/>
    <w:rsid w:val="00A472A3"/>
    <w:rsid w:val="00A475C5"/>
    <w:rsid w:val="00A47BC7"/>
    <w:rsid w:val="00A47F87"/>
    <w:rsid w:val="00A5012F"/>
    <w:rsid w:val="00A507B1"/>
    <w:rsid w:val="00A51240"/>
    <w:rsid w:val="00A514CD"/>
    <w:rsid w:val="00A51793"/>
    <w:rsid w:val="00A51C66"/>
    <w:rsid w:val="00A51D36"/>
    <w:rsid w:val="00A523D9"/>
    <w:rsid w:val="00A524EB"/>
    <w:rsid w:val="00A527DA"/>
    <w:rsid w:val="00A52B3A"/>
    <w:rsid w:val="00A530C1"/>
    <w:rsid w:val="00A53A6E"/>
    <w:rsid w:val="00A53CE5"/>
    <w:rsid w:val="00A53E19"/>
    <w:rsid w:val="00A54549"/>
    <w:rsid w:val="00A5484F"/>
    <w:rsid w:val="00A5498C"/>
    <w:rsid w:val="00A54C4A"/>
    <w:rsid w:val="00A54F36"/>
    <w:rsid w:val="00A55180"/>
    <w:rsid w:val="00A55654"/>
    <w:rsid w:val="00A55B9B"/>
    <w:rsid w:val="00A5625C"/>
    <w:rsid w:val="00A564D4"/>
    <w:rsid w:val="00A56789"/>
    <w:rsid w:val="00A56DB5"/>
    <w:rsid w:val="00A57447"/>
    <w:rsid w:val="00A578C1"/>
    <w:rsid w:val="00A578F3"/>
    <w:rsid w:val="00A57C2A"/>
    <w:rsid w:val="00A57E91"/>
    <w:rsid w:val="00A608EB"/>
    <w:rsid w:val="00A60E2A"/>
    <w:rsid w:val="00A61A20"/>
    <w:rsid w:val="00A61A25"/>
    <w:rsid w:val="00A623ED"/>
    <w:rsid w:val="00A629D4"/>
    <w:rsid w:val="00A62A48"/>
    <w:rsid w:val="00A62B1F"/>
    <w:rsid w:val="00A63E2F"/>
    <w:rsid w:val="00A64116"/>
    <w:rsid w:val="00A64D11"/>
    <w:rsid w:val="00A6668E"/>
    <w:rsid w:val="00A66978"/>
    <w:rsid w:val="00A66DE7"/>
    <w:rsid w:val="00A67007"/>
    <w:rsid w:val="00A674BE"/>
    <w:rsid w:val="00A67953"/>
    <w:rsid w:val="00A70291"/>
    <w:rsid w:val="00A703B9"/>
    <w:rsid w:val="00A703D8"/>
    <w:rsid w:val="00A70C5D"/>
    <w:rsid w:val="00A70DFF"/>
    <w:rsid w:val="00A70F9F"/>
    <w:rsid w:val="00A71484"/>
    <w:rsid w:val="00A71B63"/>
    <w:rsid w:val="00A7277F"/>
    <w:rsid w:val="00A7349A"/>
    <w:rsid w:val="00A734B5"/>
    <w:rsid w:val="00A73577"/>
    <w:rsid w:val="00A73DD8"/>
    <w:rsid w:val="00A73E7F"/>
    <w:rsid w:val="00A744FD"/>
    <w:rsid w:val="00A747A5"/>
    <w:rsid w:val="00A749AB"/>
    <w:rsid w:val="00A749B8"/>
    <w:rsid w:val="00A74B4B"/>
    <w:rsid w:val="00A74D02"/>
    <w:rsid w:val="00A75868"/>
    <w:rsid w:val="00A75CB4"/>
    <w:rsid w:val="00A75DBD"/>
    <w:rsid w:val="00A76733"/>
    <w:rsid w:val="00A76A90"/>
    <w:rsid w:val="00A76CDB"/>
    <w:rsid w:val="00A76ED7"/>
    <w:rsid w:val="00A773AE"/>
    <w:rsid w:val="00A7795D"/>
    <w:rsid w:val="00A804A0"/>
    <w:rsid w:val="00A8125F"/>
    <w:rsid w:val="00A81591"/>
    <w:rsid w:val="00A81767"/>
    <w:rsid w:val="00A81B7A"/>
    <w:rsid w:val="00A81C28"/>
    <w:rsid w:val="00A824C3"/>
    <w:rsid w:val="00A82C09"/>
    <w:rsid w:val="00A82D43"/>
    <w:rsid w:val="00A845C8"/>
    <w:rsid w:val="00A84ADF"/>
    <w:rsid w:val="00A85D0B"/>
    <w:rsid w:val="00A85F80"/>
    <w:rsid w:val="00A861AF"/>
    <w:rsid w:val="00A8626A"/>
    <w:rsid w:val="00A86393"/>
    <w:rsid w:val="00A865F6"/>
    <w:rsid w:val="00A86693"/>
    <w:rsid w:val="00A8670D"/>
    <w:rsid w:val="00A86844"/>
    <w:rsid w:val="00A86868"/>
    <w:rsid w:val="00A86B3F"/>
    <w:rsid w:val="00A86C90"/>
    <w:rsid w:val="00A87097"/>
    <w:rsid w:val="00A870DA"/>
    <w:rsid w:val="00A8729E"/>
    <w:rsid w:val="00A87845"/>
    <w:rsid w:val="00A87947"/>
    <w:rsid w:val="00A879EE"/>
    <w:rsid w:val="00A90925"/>
    <w:rsid w:val="00A91046"/>
    <w:rsid w:val="00A911E9"/>
    <w:rsid w:val="00A911F9"/>
    <w:rsid w:val="00A91A7F"/>
    <w:rsid w:val="00A91D4B"/>
    <w:rsid w:val="00A91FFF"/>
    <w:rsid w:val="00A924AD"/>
    <w:rsid w:val="00A92563"/>
    <w:rsid w:val="00A925C6"/>
    <w:rsid w:val="00A925D1"/>
    <w:rsid w:val="00A925EB"/>
    <w:rsid w:val="00A927DD"/>
    <w:rsid w:val="00A929E7"/>
    <w:rsid w:val="00A92CEF"/>
    <w:rsid w:val="00A931EF"/>
    <w:rsid w:val="00A9383A"/>
    <w:rsid w:val="00A93A63"/>
    <w:rsid w:val="00A93CC2"/>
    <w:rsid w:val="00A93DA8"/>
    <w:rsid w:val="00A94A47"/>
    <w:rsid w:val="00A94C06"/>
    <w:rsid w:val="00A95367"/>
    <w:rsid w:val="00A954D9"/>
    <w:rsid w:val="00A95E24"/>
    <w:rsid w:val="00A95F9A"/>
    <w:rsid w:val="00A969A4"/>
    <w:rsid w:val="00A96D1E"/>
    <w:rsid w:val="00A97340"/>
    <w:rsid w:val="00A974C7"/>
    <w:rsid w:val="00AA07F6"/>
    <w:rsid w:val="00AA1061"/>
    <w:rsid w:val="00AA1130"/>
    <w:rsid w:val="00AA1214"/>
    <w:rsid w:val="00AA1E21"/>
    <w:rsid w:val="00AA2C5E"/>
    <w:rsid w:val="00AA2FF7"/>
    <w:rsid w:val="00AA3B35"/>
    <w:rsid w:val="00AA3FCE"/>
    <w:rsid w:val="00AA4431"/>
    <w:rsid w:val="00AA55BE"/>
    <w:rsid w:val="00AA58CF"/>
    <w:rsid w:val="00AA5961"/>
    <w:rsid w:val="00AA596F"/>
    <w:rsid w:val="00AA59E7"/>
    <w:rsid w:val="00AA5D12"/>
    <w:rsid w:val="00AA5D9E"/>
    <w:rsid w:val="00AA5E92"/>
    <w:rsid w:val="00AA5F11"/>
    <w:rsid w:val="00AA6F1E"/>
    <w:rsid w:val="00AA755C"/>
    <w:rsid w:val="00AA75C5"/>
    <w:rsid w:val="00AA787D"/>
    <w:rsid w:val="00AB03A9"/>
    <w:rsid w:val="00AB0550"/>
    <w:rsid w:val="00AB0A19"/>
    <w:rsid w:val="00AB2036"/>
    <w:rsid w:val="00AB2073"/>
    <w:rsid w:val="00AB2B46"/>
    <w:rsid w:val="00AB2FAD"/>
    <w:rsid w:val="00AB2FB2"/>
    <w:rsid w:val="00AB32F4"/>
    <w:rsid w:val="00AB37E3"/>
    <w:rsid w:val="00AB394F"/>
    <w:rsid w:val="00AB3B04"/>
    <w:rsid w:val="00AB3F85"/>
    <w:rsid w:val="00AB70B0"/>
    <w:rsid w:val="00AB740C"/>
    <w:rsid w:val="00AB7FAB"/>
    <w:rsid w:val="00AC0715"/>
    <w:rsid w:val="00AC1410"/>
    <w:rsid w:val="00AC17DE"/>
    <w:rsid w:val="00AC1D24"/>
    <w:rsid w:val="00AC1E05"/>
    <w:rsid w:val="00AC1E1E"/>
    <w:rsid w:val="00AC21D0"/>
    <w:rsid w:val="00AC21F7"/>
    <w:rsid w:val="00AC26E4"/>
    <w:rsid w:val="00AC2A83"/>
    <w:rsid w:val="00AC3069"/>
    <w:rsid w:val="00AC3251"/>
    <w:rsid w:val="00AC3B85"/>
    <w:rsid w:val="00AC4028"/>
    <w:rsid w:val="00AC4112"/>
    <w:rsid w:val="00AC4404"/>
    <w:rsid w:val="00AC44DC"/>
    <w:rsid w:val="00AC4AC4"/>
    <w:rsid w:val="00AC5206"/>
    <w:rsid w:val="00AC558A"/>
    <w:rsid w:val="00AC55A3"/>
    <w:rsid w:val="00AC5E34"/>
    <w:rsid w:val="00AC6233"/>
    <w:rsid w:val="00AC652B"/>
    <w:rsid w:val="00AC6681"/>
    <w:rsid w:val="00AC69AA"/>
    <w:rsid w:val="00AC6BDE"/>
    <w:rsid w:val="00AC6E4B"/>
    <w:rsid w:val="00AC7128"/>
    <w:rsid w:val="00AC7862"/>
    <w:rsid w:val="00AC7A97"/>
    <w:rsid w:val="00AD01A3"/>
    <w:rsid w:val="00AD05E7"/>
    <w:rsid w:val="00AD0EE6"/>
    <w:rsid w:val="00AD0FB6"/>
    <w:rsid w:val="00AD1C7F"/>
    <w:rsid w:val="00AD1CCC"/>
    <w:rsid w:val="00AD21EE"/>
    <w:rsid w:val="00AD2494"/>
    <w:rsid w:val="00AD305F"/>
    <w:rsid w:val="00AD3762"/>
    <w:rsid w:val="00AD433E"/>
    <w:rsid w:val="00AD4379"/>
    <w:rsid w:val="00AD470A"/>
    <w:rsid w:val="00AD49F4"/>
    <w:rsid w:val="00AD4E06"/>
    <w:rsid w:val="00AD5112"/>
    <w:rsid w:val="00AD5699"/>
    <w:rsid w:val="00AD5726"/>
    <w:rsid w:val="00AD5890"/>
    <w:rsid w:val="00AD5C92"/>
    <w:rsid w:val="00AD63D8"/>
    <w:rsid w:val="00AD63E7"/>
    <w:rsid w:val="00AD6A2A"/>
    <w:rsid w:val="00AD73AE"/>
    <w:rsid w:val="00AD767C"/>
    <w:rsid w:val="00AD7864"/>
    <w:rsid w:val="00AE0703"/>
    <w:rsid w:val="00AE0ACE"/>
    <w:rsid w:val="00AE0B66"/>
    <w:rsid w:val="00AE1B6B"/>
    <w:rsid w:val="00AE1D0C"/>
    <w:rsid w:val="00AE215C"/>
    <w:rsid w:val="00AE250B"/>
    <w:rsid w:val="00AE2E75"/>
    <w:rsid w:val="00AE3021"/>
    <w:rsid w:val="00AE30C1"/>
    <w:rsid w:val="00AE3581"/>
    <w:rsid w:val="00AE35FE"/>
    <w:rsid w:val="00AE4179"/>
    <w:rsid w:val="00AE4676"/>
    <w:rsid w:val="00AE4A37"/>
    <w:rsid w:val="00AE506B"/>
    <w:rsid w:val="00AE62CC"/>
    <w:rsid w:val="00AE6422"/>
    <w:rsid w:val="00AE65B6"/>
    <w:rsid w:val="00AE695A"/>
    <w:rsid w:val="00AE6AF1"/>
    <w:rsid w:val="00AE6C45"/>
    <w:rsid w:val="00AE71B1"/>
    <w:rsid w:val="00AE752C"/>
    <w:rsid w:val="00AE7740"/>
    <w:rsid w:val="00AE7C93"/>
    <w:rsid w:val="00AF0242"/>
    <w:rsid w:val="00AF0305"/>
    <w:rsid w:val="00AF05DB"/>
    <w:rsid w:val="00AF0E7C"/>
    <w:rsid w:val="00AF10F0"/>
    <w:rsid w:val="00AF1326"/>
    <w:rsid w:val="00AF175C"/>
    <w:rsid w:val="00AF1A70"/>
    <w:rsid w:val="00AF24C9"/>
    <w:rsid w:val="00AF2A2C"/>
    <w:rsid w:val="00AF3912"/>
    <w:rsid w:val="00AF3AF0"/>
    <w:rsid w:val="00AF3EF2"/>
    <w:rsid w:val="00AF4EA2"/>
    <w:rsid w:val="00AF5966"/>
    <w:rsid w:val="00AF5A7A"/>
    <w:rsid w:val="00AF5A80"/>
    <w:rsid w:val="00AF5BE0"/>
    <w:rsid w:val="00AF5E3C"/>
    <w:rsid w:val="00AF6069"/>
    <w:rsid w:val="00AF690C"/>
    <w:rsid w:val="00AF74F4"/>
    <w:rsid w:val="00AF768F"/>
    <w:rsid w:val="00AF7A21"/>
    <w:rsid w:val="00B00135"/>
    <w:rsid w:val="00B0094C"/>
    <w:rsid w:val="00B00B8D"/>
    <w:rsid w:val="00B00EA2"/>
    <w:rsid w:val="00B0130C"/>
    <w:rsid w:val="00B015AB"/>
    <w:rsid w:val="00B0235B"/>
    <w:rsid w:val="00B03042"/>
    <w:rsid w:val="00B03293"/>
    <w:rsid w:val="00B03AB4"/>
    <w:rsid w:val="00B03AF8"/>
    <w:rsid w:val="00B05302"/>
    <w:rsid w:val="00B055D3"/>
    <w:rsid w:val="00B056EC"/>
    <w:rsid w:val="00B05710"/>
    <w:rsid w:val="00B05A0F"/>
    <w:rsid w:val="00B06448"/>
    <w:rsid w:val="00B068FB"/>
    <w:rsid w:val="00B06B54"/>
    <w:rsid w:val="00B06C99"/>
    <w:rsid w:val="00B06D6C"/>
    <w:rsid w:val="00B06DED"/>
    <w:rsid w:val="00B06E1E"/>
    <w:rsid w:val="00B07965"/>
    <w:rsid w:val="00B07F76"/>
    <w:rsid w:val="00B07FC7"/>
    <w:rsid w:val="00B10720"/>
    <w:rsid w:val="00B109B4"/>
    <w:rsid w:val="00B10A70"/>
    <w:rsid w:val="00B11003"/>
    <w:rsid w:val="00B11AA5"/>
    <w:rsid w:val="00B11C5E"/>
    <w:rsid w:val="00B11F18"/>
    <w:rsid w:val="00B123EB"/>
    <w:rsid w:val="00B126D9"/>
    <w:rsid w:val="00B13334"/>
    <w:rsid w:val="00B1425B"/>
    <w:rsid w:val="00B14445"/>
    <w:rsid w:val="00B14943"/>
    <w:rsid w:val="00B15279"/>
    <w:rsid w:val="00B15535"/>
    <w:rsid w:val="00B15CF3"/>
    <w:rsid w:val="00B1664F"/>
    <w:rsid w:val="00B179D7"/>
    <w:rsid w:val="00B203B0"/>
    <w:rsid w:val="00B20639"/>
    <w:rsid w:val="00B20E22"/>
    <w:rsid w:val="00B21055"/>
    <w:rsid w:val="00B2141E"/>
    <w:rsid w:val="00B2157F"/>
    <w:rsid w:val="00B21667"/>
    <w:rsid w:val="00B21A08"/>
    <w:rsid w:val="00B21E29"/>
    <w:rsid w:val="00B229CC"/>
    <w:rsid w:val="00B22A98"/>
    <w:rsid w:val="00B235F7"/>
    <w:rsid w:val="00B2369D"/>
    <w:rsid w:val="00B238AF"/>
    <w:rsid w:val="00B23AD6"/>
    <w:rsid w:val="00B23B1A"/>
    <w:rsid w:val="00B23C38"/>
    <w:rsid w:val="00B23CF0"/>
    <w:rsid w:val="00B23E6D"/>
    <w:rsid w:val="00B244A5"/>
    <w:rsid w:val="00B253B7"/>
    <w:rsid w:val="00B25708"/>
    <w:rsid w:val="00B26157"/>
    <w:rsid w:val="00B2669E"/>
    <w:rsid w:val="00B27285"/>
    <w:rsid w:val="00B27A17"/>
    <w:rsid w:val="00B27C24"/>
    <w:rsid w:val="00B27C47"/>
    <w:rsid w:val="00B306FB"/>
    <w:rsid w:val="00B308A1"/>
    <w:rsid w:val="00B3148A"/>
    <w:rsid w:val="00B325DC"/>
    <w:rsid w:val="00B32CE2"/>
    <w:rsid w:val="00B33867"/>
    <w:rsid w:val="00B33BCE"/>
    <w:rsid w:val="00B34B2D"/>
    <w:rsid w:val="00B357EF"/>
    <w:rsid w:val="00B35A5E"/>
    <w:rsid w:val="00B3665D"/>
    <w:rsid w:val="00B36672"/>
    <w:rsid w:val="00B3701B"/>
    <w:rsid w:val="00B376A6"/>
    <w:rsid w:val="00B37A5A"/>
    <w:rsid w:val="00B37F76"/>
    <w:rsid w:val="00B407BE"/>
    <w:rsid w:val="00B40BC2"/>
    <w:rsid w:val="00B4128E"/>
    <w:rsid w:val="00B41641"/>
    <w:rsid w:val="00B419D1"/>
    <w:rsid w:val="00B41C6F"/>
    <w:rsid w:val="00B42303"/>
    <w:rsid w:val="00B42A7C"/>
    <w:rsid w:val="00B42F10"/>
    <w:rsid w:val="00B432F9"/>
    <w:rsid w:val="00B43465"/>
    <w:rsid w:val="00B43591"/>
    <w:rsid w:val="00B43727"/>
    <w:rsid w:val="00B437DB"/>
    <w:rsid w:val="00B43811"/>
    <w:rsid w:val="00B43929"/>
    <w:rsid w:val="00B446DE"/>
    <w:rsid w:val="00B44799"/>
    <w:rsid w:val="00B44A78"/>
    <w:rsid w:val="00B44F46"/>
    <w:rsid w:val="00B45E3F"/>
    <w:rsid w:val="00B45EB8"/>
    <w:rsid w:val="00B46271"/>
    <w:rsid w:val="00B46D9E"/>
    <w:rsid w:val="00B471DA"/>
    <w:rsid w:val="00B47BE6"/>
    <w:rsid w:val="00B5010E"/>
    <w:rsid w:val="00B50C5A"/>
    <w:rsid w:val="00B50F20"/>
    <w:rsid w:val="00B51043"/>
    <w:rsid w:val="00B512C1"/>
    <w:rsid w:val="00B513F7"/>
    <w:rsid w:val="00B51738"/>
    <w:rsid w:val="00B51777"/>
    <w:rsid w:val="00B51A40"/>
    <w:rsid w:val="00B51CCB"/>
    <w:rsid w:val="00B51DFA"/>
    <w:rsid w:val="00B52068"/>
    <w:rsid w:val="00B521E8"/>
    <w:rsid w:val="00B52A95"/>
    <w:rsid w:val="00B532FC"/>
    <w:rsid w:val="00B53964"/>
    <w:rsid w:val="00B5416B"/>
    <w:rsid w:val="00B54B69"/>
    <w:rsid w:val="00B54C20"/>
    <w:rsid w:val="00B54D40"/>
    <w:rsid w:val="00B5502A"/>
    <w:rsid w:val="00B553E4"/>
    <w:rsid w:val="00B556FE"/>
    <w:rsid w:val="00B55CA7"/>
    <w:rsid w:val="00B5689E"/>
    <w:rsid w:val="00B568BA"/>
    <w:rsid w:val="00B56939"/>
    <w:rsid w:val="00B569F9"/>
    <w:rsid w:val="00B56EAB"/>
    <w:rsid w:val="00B56F49"/>
    <w:rsid w:val="00B5703B"/>
    <w:rsid w:val="00B57122"/>
    <w:rsid w:val="00B576DA"/>
    <w:rsid w:val="00B57854"/>
    <w:rsid w:val="00B57D30"/>
    <w:rsid w:val="00B57D68"/>
    <w:rsid w:val="00B57E21"/>
    <w:rsid w:val="00B60210"/>
    <w:rsid w:val="00B603A6"/>
    <w:rsid w:val="00B60796"/>
    <w:rsid w:val="00B608C3"/>
    <w:rsid w:val="00B60CBC"/>
    <w:rsid w:val="00B60CF1"/>
    <w:rsid w:val="00B61105"/>
    <w:rsid w:val="00B61212"/>
    <w:rsid w:val="00B612AA"/>
    <w:rsid w:val="00B616D8"/>
    <w:rsid w:val="00B61CFA"/>
    <w:rsid w:val="00B61DB1"/>
    <w:rsid w:val="00B62683"/>
    <w:rsid w:val="00B62E12"/>
    <w:rsid w:val="00B62F89"/>
    <w:rsid w:val="00B6312A"/>
    <w:rsid w:val="00B63291"/>
    <w:rsid w:val="00B6335A"/>
    <w:rsid w:val="00B640B8"/>
    <w:rsid w:val="00B6427D"/>
    <w:rsid w:val="00B642B1"/>
    <w:rsid w:val="00B658A6"/>
    <w:rsid w:val="00B65A69"/>
    <w:rsid w:val="00B66542"/>
    <w:rsid w:val="00B668F2"/>
    <w:rsid w:val="00B669F4"/>
    <w:rsid w:val="00B67258"/>
    <w:rsid w:val="00B67FF7"/>
    <w:rsid w:val="00B70AEF"/>
    <w:rsid w:val="00B70B24"/>
    <w:rsid w:val="00B70BD7"/>
    <w:rsid w:val="00B70D47"/>
    <w:rsid w:val="00B70D7D"/>
    <w:rsid w:val="00B70D95"/>
    <w:rsid w:val="00B71296"/>
    <w:rsid w:val="00B71384"/>
    <w:rsid w:val="00B7168B"/>
    <w:rsid w:val="00B721FA"/>
    <w:rsid w:val="00B72649"/>
    <w:rsid w:val="00B72DD9"/>
    <w:rsid w:val="00B72F62"/>
    <w:rsid w:val="00B73377"/>
    <w:rsid w:val="00B735D4"/>
    <w:rsid w:val="00B73A14"/>
    <w:rsid w:val="00B73DE5"/>
    <w:rsid w:val="00B73DF4"/>
    <w:rsid w:val="00B743B1"/>
    <w:rsid w:val="00B74467"/>
    <w:rsid w:val="00B74633"/>
    <w:rsid w:val="00B74B42"/>
    <w:rsid w:val="00B75031"/>
    <w:rsid w:val="00B7511B"/>
    <w:rsid w:val="00B752E6"/>
    <w:rsid w:val="00B75897"/>
    <w:rsid w:val="00B75977"/>
    <w:rsid w:val="00B75A6A"/>
    <w:rsid w:val="00B75AF5"/>
    <w:rsid w:val="00B764CF"/>
    <w:rsid w:val="00B76797"/>
    <w:rsid w:val="00B7690C"/>
    <w:rsid w:val="00B76A14"/>
    <w:rsid w:val="00B77719"/>
    <w:rsid w:val="00B77B4E"/>
    <w:rsid w:val="00B77DA5"/>
    <w:rsid w:val="00B77F80"/>
    <w:rsid w:val="00B77FBE"/>
    <w:rsid w:val="00B8056A"/>
    <w:rsid w:val="00B80A06"/>
    <w:rsid w:val="00B80DDB"/>
    <w:rsid w:val="00B81331"/>
    <w:rsid w:val="00B818DB"/>
    <w:rsid w:val="00B81E73"/>
    <w:rsid w:val="00B82292"/>
    <w:rsid w:val="00B8293B"/>
    <w:rsid w:val="00B829EC"/>
    <w:rsid w:val="00B82CDD"/>
    <w:rsid w:val="00B84104"/>
    <w:rsid w:val="00B84E5E"/>
    <w:rsid w:val="00B85D1D"/>
    <w:rsid w:val="00B864D8"/>
    <w:rsid w:val="00B86662"/>
    <w:rsid w:val="00B86BC4"/>
    <w:rsid w:val="00B86F2B"/>
    <w:rsid w:val="00B875C8"/>
    <w:rsid w:val="00B87CBF"/>
    <w:rsid w:val="00B87DBC"/>
    <w:rsid w:val="00B87E35"/>
    <w:rsid w:val="00B902D7"/>
    <w:rsid w:val="00B90F98"/>
    <w:rsid w:val="00B91177"/>
    <w:rsid w:val="00B917E2"/>
    <w:rsid w:val="00B91F34"/>
    <w:rsid w:val="00B9401B"/>
    <w:rsid w:val="00B94892"/>
    <w:rsid w:val="00B94932"/>
    <w:rsid w:val="00B95011"/>
    <w:rsid w:val="00B95989"/>
    <w:rsid w:val="00B95A5F"/>
    <w:rsid w:val="00B96B29"/>
    <w:rsid w:val="00B96D34"/>
    <w:rsid w:val="00B96ED4"/>
    <w:rsid w:val="00B97013"/>
    <w:rsid w:val="00B97163"/>
    <w:rsid w:val="00B971CD"/>
    <w:rsid w:val="00B972A5"/>
    <w:rsid w:val="00B9798F"/>
    <w:rsid w:val="00BA0277"/>
    <w:rsid w:val="00BA04D3"/>
    <w:rsid w:val="00BA05F1"/>
    <w:rsid w:val="00BA0BAE"/>
    <w:rsid w:val="00BA0D9B"/>
    <w:rsid w:val="00BA1608"/>
    <w:rsid w:val="00BA2614"/>
    <w:rsid w:val="00BA28DB"/>
    <w:rsid w:val="00BA292D"/>
    <w:rsid w:val="00BA2944"/>
    <w:rsid w:val="00BA2FF9"/>
    <w:rsid w:val="00BA34D1"/>
    <w:rsid w:val="00BA37A6"/>
    <w:rsid w:val="00BA3982"/>
    <w:rsid w:val="00BA3C6B"/>
    <w:rsid w:val="00BA447A"/>
    <w:rsid w:val="00BA44EB"/>
    <w:rsid w:val="00BA459F"/>
    <w:rsid w:val="00BA58B0"/>
    <w:rsid w:val="00BA596E"/>
    <w:rsid w:val="00BA5F11"/>
    <w:rsid w:val="00BA66E6"/>
    <w:rsid w:val="00BA6979"/>
    <w:rsid w:val="00BA6A07"/>
    <w:rsid w:val="00BA6B01"/>
    <w:rsid w:val="00BA6C72"/>
    <w:rsid w:val="00BA6D55"/>
    <w:rsid w:val="00BA7348"/>
    <w:rsid w:val="00BA747E"/>
    <w:rsid w:val="00BA76F3"/>
    <w:rsid w:val="00BA7B87"/>
    <w:rsid w:val="00BA7D82"/>
    <w:rsid w:val="00BA7F0E"/>
    <w:rsid w:val="00BB0138"/>
    <w:rsid w:val="00BB0169"/>
    <w:rsid w:val="00BB02E7"/>
    <w:rsid w:val="00BB0739"/>
    <w:rsid w:val="00BB0BB0"/>
    <w:rsid w:val="00BB0E09"/>
    <w:rsid w:val="00BB1293"/>
    <w:rsid w:val="00BB1882"/>
    <w:rsid w:val="00BB1B02"/>
    <w:rsid w:val="00BB1D8F"/>
    <w:rsid w:val="00BB1DD4"/>
    <w:rsid w:val="00BB21B4"/>
    <w:rsid w:val="00BB238E"/>
    <w:rsid w:val="00BB25D2"/>
    <w:rsid w:val="00BB2A0E"/>
    <w:rsid w:val="00BB2A7E"/>
    <w:rsid w:val="00BB2A96"/>
    <w:rsid w:val="00BB2E24"/>
    <w:rsid w:val="00BB3010"/>
    <w:rsid w:val="00BB33DD"/>
    <w:rsid w:val="00BB3BF2"/>
    <w:rsid w:val="00BB3F4F"/>
    <w:rsid w:val="00BB4286"/>
    <w:rsid w:val="00BB5CB9"/>
    <w:rsid w:val="00BB5CD3"/>
    <w:rsid w:val="00BB6489"/>
    <w:rsid w:val="00BB6866"/>
    <w:rsid w:val="00BB700E"/>
    <w:rsid w:val="00BB74EB"/>
    <w:rsid w:val="00BB7806"/>
    <w:rsid w:val="00BB7E45"/>
    <w:rsid w:val="00BC006D"/>
    <w:rsid w:val="00BC0260"/>
    <w:rsid w:val="00BC086C"/>
    <w:rsid w:val="00BC0A43"/>
    <w:rsid w:val="00BC0A52"/>
    <w:rsid w:val="00BC1489"/>
    <w:rsid w:val="00BC1DBF"/>
    <w:rsid w:val="00BC3AA3"/>
    <w:rsid w:val="00BC3B3B"/>
    <w:rsid w:val="00BC407A"/>
    <w:rsid w:val="00BC447F"/>
    <w:rsid w:val="00BC4609"/>
    <w:rsid w:val="00BC4C41"/>
    <w:rsid w:val="00BC5131"/>
    <w:rsid w:val="00BC515D"/>
    <w:rsid w:val="00BC51A5"/>
    <w:rsid w:val="00BC5284"/>
    <w:rsid w:val="00BC5AD7"/>
    <w:rsid w:val="00BC5BFF"/>
    <w:rsid w:val="00BC5F0D"/>
    <w:rsid w:val="00BC68FB"/>
    <w:rsid w:val="00BC6913"/>
    <w:rsid w:val="00BC6BFE"/>
    <w:rsid w:val="00BC7251"/>
    <w:rsid w:val="00BC733E"/>
    <w:rsid w:val="00BD03B8"/>
    <w:rsid w:val="00BD074E"/>
    <w:rsid w:val="00BD0D49"/>
    <w:rsid w:val="00BD1093"/>
    <w:rsid w:val="00BD1A3A"/>
    <w:rsid w:val="00BD1D3B"/>
    <w:rsid w:val="00BD1F5F"/>
    <w:rsid w:val="00BD22AF"/>
    <w:rsid w:val="00BD2651"/>
    <w:rsid w:val="00BD2673"/>
    <w:rsid w:val="00BD2B49"/>
    <w:rsid w:val="00BD399C"/>
    <w:rsid w:val="00BD4134"/>
    <w:rsid w:val="00BD41E9"/>
    <w:rsid w:val="00BD4C98"/>
    <w:rsid w:val="00BD4F27"/>
    <w:rsid w:val="00BD5ECE"/>
    <w:rsid w:val="00BD6614"/>
    <w:rsid w:val="00BD67BB"/>
    <w:rsid w:val="00BD6AEC"/>
    <w:rsid w:val="00BD6F3C"/>
    <w:rsid w:val="00BD6FE6"/>
    <w:rsid w:val="00BD7021"/>
    <w:rsid w:val="00BD78B6"/>
    <w:rsid w:val="00BE0261"/>
    <w:rsid w:val="00BE08F2"/>
    <w:rsid w:val="00BE0CDA"/>
    <w:rsid w:val="00BE0FC7"/>
    <w:rsid w:val="00BE1162"/>
    <w:rsid w:val="00BE13A6"/>
    <w:rsid w:val="00BE14C5"/>
    <w:rsid w:val="00BE1E66"/>
    <w:rsid w:val="00BE29BE"/>
    <w:rsid w:val="00BE2E12"/>
    <w:rsid w:val="00BE3841"/>
    <w:rsid w:val="00BE4533"/>
    <w:rsid w:val="00BE4EA6"/>
    <w:rsid w:val="00BE4F03"/>
    <w:rsid w:val="00BE516C"/>
    <w:rsid w:val="00BE5E71"/>
    <w:rsid w:val="00BE601B"/>
    <w:rsid w:val="00BE64AC"/>
    <w:rsid w:val="00BE7287"/>
    <w:rsid w:val="00BF0391"/>
    <w:rsid w:val="00BF0598"/>
    <w:rsid w:val="00BF0860"/>
    <w:rsid w:val="00BF141D"/>
    <w:rsid w:val="00BF1834"/>
    <w:rsid w:val="00BF1A10"/>
    <w:rsid w:val="00BF1D7A"/>
    <w:rsid w:val="00BF1E58"/>
    <w:rsid w:val="00BF2A14"/>
    <w:rsid w:val="00BF2B9D"/>
    <w:rsid w:val="00BF2CD7"/>
    <w:rsid w:val="00BF30A4"/>
    <w:rsid w:val="00BF3343"/>
    <w:rsid w:val="00BF4F00"/>
    <w:rsid w:val="00BF521F"/>
    <w:rsid w:val="00BF571F"/>
    <w:rsid w:val="00BF5C7E"/>
    <w:rsid w:val="00BF6497"/>
    <w:rsid w:val="00BF66CD"/>
    <w:rsid w:val="00BF6E86"/>
    <w:rsid w:val="00BF721C"/>
    <w:rsid w:val="00BF7434"/>
    <w:rsid w:val="00BF7D7C"/>
    <w:rsid w:val="00BF7DB8"/>
    <w:rsid w:val="00BF7FDB"/>
    <w:rsid w:val="00C00578"/>
    <w:rsid w:val="00C00A66"/>
    <w:rsid w:val="00C00B62"/>
    <w:rsid w:val="00C015A1"/>
    <w:rsid w:val="00C02AF3"/>
    <w:rsid w:val="00C02F8E"/>
    <w:rsid w:val="00C03895"/>
    <w:rsid w:val="00C039AD"/>
    <w:rsid w:val="00C03C5E"/>
    <w:rsid w:val="00C03E52"/>
    <w:rsid w:val="00C03EAA"/>
    <w:rsid w:val="00C041C9"/>
    <w:rsid w:val="00C04524"/>
    <w:rsid w:val="00C049B0"/>
    <w:rsid w:val="00C04E7A"/>
    <w:rsid w:val="00C04ED2"/>
    <w:rsid w:val="00C053C1"/>
    <w:rsid w:val="00C05535"/>
    <w:rsid w:val="00C05678"/>
    <w:rsid w:val="00C0593F"/>
    <w:rsid w:val="00C06665"/>
    <w:rsid w:val="00C069F7"/>
    <w:rsid w:val="00C07300"/>
    <w:rsid w:val="00C077B3"/>
    <w:rsid w:val="00C07D5F"/>
    <w:rsid w:val="00C1016A"/>
    <w:rsid w:val="00C10259"/>
    <w:rsid w:val="00C1032B"/>
    <w:rsid w:val="00C105DC"/>
    <w:rsid w:val="00C1076E"/>
    <w:rsid w:val="00C10CF8"/>
    <w:rsid w:val="00C10EE3"/>
    <w:rsid w:val="00C11110"/>
    <w:rsid w:val="00C119FC"/>
    <w:rsid w:val="00C11A48"/>
    <w:rsid w:val="00C11D54"/>
    <w:rsid w:val="00C11E68"/>
    <w:rsid w:val="00C11EB0"/>
    <w:rsid w:val="00C11F6F"/>
    <w:rsid w:val="00C12DD4"/>
    <w:rsid w:val="00C13E7B"/>
    <w:rsid w:val="00C14118"/>
    <w:rsid w:val="00C14245"/>
    <w:rsid w:val="00C14705"/>
    <w:rsid w:val="00C14FC5"/>
    <w:rsid w:val="00C1542E"/>
    <w:rsid w:val="00C15562"/>
    <w:rsid w:val="00C15CAA"/>
    <w:rsid w:val="00C1626B"/>
    <w:rsid w:val="00C17274"/>
    <w:rsid w:val="00C20489"/>
    <w:rsid w:val="00C20A2C"/>
    <w:rsid w:val="00C20F96"/>
    <w:rsid w:val="00C214A3"/>
    <w:rsid w:val="00C220C3"/>
    <w:rsid w:val="00C2257E"/>
    <w:rsid w:val="00C225CC"/>
    <w:rsid w:val="00C22724"/>
    <w:rsid w:val="00C22895"/>
    <w:rsid w:val="00C23202"/>
    <w:rsid w:val="00C23E42"/>
    <w:rsid w:val="00C24185"/>
    <w:rsid w:val="00C243F1"/>
    <w:rsid w:val="00C244A3"/>
    <w:rsid w:val="00C245BB"/>
    <w:rsid w:val="00C24CA4"/>
    <w:rsid w:val="00C24D68"/>
    <w:rsid w:val="00C25DC4"/>
    <w:rsid w:val="00C26698"/>
    <w:rsid w:val="00C267D7"/>
    <w:rsid w:val="00C267F9"/>
    <w:rsid w:val="00C26982"/>
    <w:rsid w:val="00C27005"/>
    <w:rsid w:val="00C270FB"/>
    <w:rsid w:val="00C27113"/>
    <w:rsid w:val="00C2767E"/>
    <w:rsid w:val="00C27A42"/>
    <w:rsid w:val="00C27CCE"/>
    <w:rsid w:val="00C3052B"/>
    <w:rsid w:val="00C30540"/>
    <w:rsid w:val="00C308D2"/>
    <w:rsid w:val="00C30FE7"/>
    <w:rsid w:val="00C313B7"/>
    <w:rsid w:val="00C3170D"/>
    <w:rsid w:val="00C3184A"/>
    <w:rsid w:val="00C31B7E"/>
    <w:rsid w:val="00C31E83"/>
    <w:rsid w:val="00C32553"/>
    <w:rsid w:val="00C32D8A"/>
    <w:rsid w:val="00C332E3"/>
    <w:rsid w:val="00C33738"/>
    <w:rsid w:val="00C33D75"/>
    <w:rsid w:val="00C3450F"/>
    <w:rsid w:val="00C34E4D"/>
    <w:rsid w:val="00C3527B"/>
    <w:rsid w:val="00C35D20"/>
    <w:rsid w:val="00C35D66"/>
    <w:rsid w:val="00C3616B"/>
    <w:rsid w:val="00C36814"/>
    <w:rsid w:val="00C36A7A"/>
    <w:rsid w:val="00C36D61"/>
    <w:rsid w:val="00C36D6C"/>
    <w:rsid w:val="00C3716A"/>
    <w:rsid w:val="00C37482"/>
    <w:rsid w:val="00C37975"/>
    <w:rsid w:val="00C37F57"/>
    <w:rsid w:val="00C40AAE"/>
    <w:rsid w:val="00C40B7F"/>
    <w:rsid w:val="00C40BCC"/>
    <w:rsid w:val="00C40E32"/>
    <w:rsid w:val="00C4108A"/>
    <w:rsid w:val="00C41C65"/>
    <w:rsid w:val="00C42260"/>
    <w:rsid w:val="00C425CE"/>
    <w:rsid w:val="00C42722"/>
    <w:rsid w:val="00C429C5"/>
    <w:rsid w:val="00C42C32"/>
    <w:rsid w:val="00C42E3F"/>
    <w:rsid w:val="00C42E7D"/>
    <w:rsid w:val="00C431A0"/>
    <w:rsid w:val="00C44032"/>
    <w:rsid w:val="00C442D0"/>
    <w:rsid w:val="00C443B8"/>
    <w:rsid w:val="00C444AD"/>
    <w:rsid w:val="00C44537"/>
    <w:rsid w:val="00C45FC0"/>
    <w:rsid w:val="00C462DA"/>
    <w:rsid w:val="00C4653D"/>
    <w:rsid w:val="00C4715F"/>
    <w:rsid w:val="00C47219"/>
    <w:rsid w:val="00C473AE"/>
    <w:rsid w:val="00C47F52"/>
    <w:rsid w:val="00C5017F"/>
    <w:rsid w:val="00C502A4"/>
    <w:rsid w:val="00C503CF"/>
    <w:rsid w:val="00C503DF"/>
    <w:rsid w:val="00C5098B"/>
    <w:rsid w:val="00C50D2B"/>
    <w:rsid w:val="00C51418"/>
    <w:rsid w:val="00C519E5"/>
    <w:rsid w:val="00C51DD5"/>
    <w:rsid w:val="00C51FCA"/>
    <w:rsid w:val="00C52090"/>
    <w:rsid w:val="00C520E1"/>
    <w:rsid w:val="00C52808"/>
    <w:rsid w:val="00C52D4A"/>
    <w:rsid w:val="00C52DCA"/>
    <w:rsid w:val="00C530ED"/>
    <w:rsid w:val="00C53432"/>
    <w:rsid w:val="00C537F1"/>
    <w:rsid w:val="00C538E4"/>
    <w:rsid w:val="00C54F7B"/>
    <w:rsid w:val="00C55060"/>
    <w:rsid w:val="00C55329"/>
    <w:rsid w:val="00C5540D"/>
    <w:rsid w:val="00C55990"/>
    <w:rsid w:val="00C5632A"/>
    <w:rsid w:val="00C563C1"/>
    <w:rsid w:val="00C5685A"/>
    <w:rsid w:val="00C57047"/>
    <w:rsid w:val="00C5772F"/>
    <w:rsid w:val="00C57882"/>
    <w:rsid w:val="00C57FAD"/>
    <w:rsid w:val="00C60C90"/>
    <w:rsid w:val="00C61C8F"/>
    <w:rsid w:val="00C61D74"/>
    <w:rsid w:val="00C62115"/>
    <w:rsid w:val="00C62691"/>
    <w:rsid w:val="00C62854"/>
    <w:rsid w:val="00C62D28"/>
    <w:rsid w:val="00C62F0B"/>
    <w:rsid w:val="00C6398F"/>
    <w:rsid w:val="00C63AD5"/>
    <w:rsid w:val="00C63B57"/>
    <w:rsid w:val="00C63E65"/>
    <w:rsid w:val="00C64042"/>
    <w:rsid w:val="00C642A4"/>
    <w:rsid w:val="00C64866"/>
    <w:rsid w:val="00C64CED"/>
    <w:rsid w:val="00C653E4"/>
    <w:rsid w:val="00C65E5F"/>
    <w:rsid w:val="00C66309"/>
    <w:rsid w:val="00C6671B"/>
    <w:rsid w:val="00C669CC"/>
    <w:rsid w:val="00C66EAD"/>
    <w:rsid w:val="00C66F26"/>
    <w:rsid w:val="00C67333"/>
    <w:rsid w:val="00C673FB"/>
    <w:rsid w:val="00C67A0B"/>
    <w:rsid w:val="00C67E35"/>
    <w:rsid w:val="00C67E65"/>
    <w:rsid w:val="00C7091D"/>
    <w:rsid w:val="00C70AB2"/>
    <w:rsid w:val="00C72147"/>
    <w:rsid w:val="00C7246A"/>
    <w:rsid w:val="00C72C7E"/>
    <w:rsid w:val="00C72F31"/>
    <w:rsid w:val="00C730AC"/>
    <w:rsid w:val="00C732FF"/>
    <w:rsid w:val="00C7351F"/>
    <w:rsid w:val="00C743C2"/>
    <w:rsid w:val="00C74502"/>
    <w:rsid w:val="00C74DD5"/>
    <w:rsid w:val="00C74EBE"/>
    <w:rsid w:val="00C75602"/>
    <w:rsid w:val="00C75673"/>
    <w:rsid w:val="00C757FE"/>
    <w:rsid w:val="00C75845"/>
    <w:rsid w:val="00C758BC"/>
    <w:rsid w:val="00C75E30"/>
    <w:rsid w:val="00C75F36"/>
    <w:rsid w:val="00C76457"/>
    <w:rsid w:val="00C7673F"/>
    <w:rsid w:val="00C76822"/>
    <w:rsid w:val="00C76977"/>
    <w:rsid w:val="00C76B18"/>
    <w:rsid w:val="00C77474"/>
    <w:rsid w:val="00C77BCF"/>
    <w:rsid w:val="00C77F09"/>
    <w:rsid w:val="00C8015E"/>
    <w:rsid w:val="00C8034B"/>
    <w:rsid w:val="00C80C01"/>
    <w:rsid w:val="00C80D22"/>
    <w:rsid w:val="00C80D60"/>
    <w:rsid w:val="00C813F1"/>
    <w:rsid w:val="00C81657"/>
    <w:rsid w:val="00C82289"/>
    <w:rsid w:val="00C8262B"/>
    <w:rsid w:val="00C827E1"/>
    <w:rsid w:val="00C82C61"/>
    <w:rsid w:val="00C82CC5"/>
    <w:rsid w:val="00C82DA5"/>
    <w:rsid w:val="00C830EC"/>
    <w:rsid w:val="00C83206"/>
    <w:rsid w:val="00C838A9"/>
    <w:rsid w:val="00C83991"/>
    <w:rsid w:val="00C83DCB"/>
    <w:rsid w:val="00C84157"/>
    <w:rsid w:val="00C845BD"/>
    <w:rsid w:val="00C854AE"/>
    <w:rsid w:val="00C86849"/>
    <w:rsid w:val="00C86F84"/>
    <w:rsid w:val="00C87A27"/>
    <w:rsid w:val="00C87C4C"/>
    <w:rsid w:val="00C87E00"/>
    <w:rsid w:val="00C903B5"/>
    <w:rsid w:val="00C908C5"/>
    <w:rsid w:val="00C90994"/>
    <w:rsid w:val="00C90C26"/>
    <w:rsid w:val="00C90DE6"/>
    <w:rsid w:val="00C910AE"/>
    <w:rsid w:val="00C91126"/>
    <w:rsid w:val="00C91681"/>
    <w:rsid w:val="00C92097"/>
    <w:rsid w:val="00C92BDC"/>
    <w:rsid w:val="00C93C1A"/>
    <w:rsid w:val="00C94668"/>
    <w:rsid w:val="00C9488F"/>
    <w:rsid w:val="00C94CED"/>
    <w:rsid w:val="00C9513A"/>
    <w:rsid w:val="00C955A4"/>
    <w:rsid w:val="00C95825"/>
    <w:rsid w:val="00C959A0"/>
    <w:rsid w:val="00C96183"/>
    <w:rsid w:val="00C96512"/>
    <w:rsid w:val="00C96642"/>
    <w:rsid w:val="00C97F14"/>
    <w:rsid w:val="00C97F60"/>
    <w:rsid w:val="00CA05B1"/>
    <w:rsid w:val="00CA0700"/>
    <w:rsid w:val="00CA1013"/>
    <w:rsid w:val="00CA11BC"/>
    <w:rsid w:val="00CA152B"/>
    <w:rsid w:val="00CA1A2B"/>
    <w:rsid w:val="00CA1CE4"/>
    <w:rsid w:val="00CA1EB8"/>
    <w:rsid w:val="00CA25F7"/>
    <w:rsid w:val="00CA288D"/>
    <w:rsid w:val="00CA2BA2"/>
    <w:rsid w:val="00CA30FF"/>
    <w:rsid w:val="00CA36B5"/>
    <w:rsid w:val="00CA39F3"/>
    <w:rsid w:val="00CA3DFB"/>
    <w:rsid w:val="00CA438A"/>
    <w:rsid w:val="00CA4A00"/>
    <w:rsid w:val="00CA4E32"/>
    <w:rsid w:val="00CA59F2"/>
    <w:rsid w:val="00CA5CB2"/>
    <w:rsid w:val="00CA5E6A"/>
    <w:rsid w:val="00CA65EC"/>
    <w:rsid w:val="00CA73D7"/>
    <w:rsid w:val="00CA758E"/>
    <w:rsid w:val="00CA759D"/>
    <w:rsid w:val="00CA7B4B"/>
    <w:rsid w:val="00CA7DCA"/>
    <w:rsid w:val="00CB01B6"/>
    <w:rsid w:val="00CB04C8"/>
    <w:rsid w:val="00CB077C"/>
    <w:rsid w:val="00CB162F"/>
    <w:rsid w:val="00CB1C29"/>
    <w:rsid w:val="00CB2055"/>
    <w:rsid w:val="00CB329C"/>
    <w:rsid w:val="00CB32A9"/>
    <w:rsid w:val="00CB3489"/>
    <w:rsid w:val="00CB3939"/>
    <w:rsid w:val="00CB396C"/>
    <w:rsid w:val="00CB3ABF"/>
    <w:rsid w:val="00CB3B2B"/>
    <w:rsid w:val="00CB3F65"/>
    <w:rsid w:val="00CB4088"/>
    <w:rsid w:val="00CB472C"/>
    <w:rsid w:val="00CB4E5E"/>
    <w:rsid w:val="00CB4F24"/>
    <w:rsid w:val="00CB62A4"/>
    <w:rsid w:val="00CB6658"/>
    <w:rsid w:val="00CB66DC"/>
    <w:rsid w:val="00CB6799"/>
    <w:rsid w:val="00CB6B80"/>
    <w:rsid w:val="00CB6F22"/>
    <w:rsid w:val="00CB73C3"/>
    <w:rsid w:val="00CB7482"/>
    <w:rsid w:val="00CB7603"/>
    <w:rsid w:val="00CB7BAB"/>
    <w:rsid w:val="00CC0FEB"/>
    <w:rsid w:val="00CC15CB"/>
    <w:rsid w:val="00CC1828"/>
    <w:rsid w:val="00CC1D52"/>
    <w:rsid w:val="00CC1E99"/>
    <w:rsid w:val="00CC1FBB"/>
    <w:rsid w:val="00CC2174"/>
    <w:rsid w:val="00CC25C2"/>
    <w:rsid w:val="00CC25DA"/>
    <w:rsid w:val="00CC26F1"/>
    <w:rsid w:val="00CC2713"/>
    <w:rsid w:val="00CC28E8"/>
    <w:rsid w:val="00CC2FC7"/>
    <w:rsid w:val="00CC3286"/>
    <w:rsid w:val="00CC33C0"/>
    <w:rsid w:val="00CC365E"/>
    <w:rsid w:val="00CC3934"/>
    <w:rsid w:val="00CC42B6"/>
    <w:rsid w:val="00CC42FE"/>
    <w:rsid w:val="00CC44AA"/>
    <w:rsid w:val="00CC4AA4"/>
    <w:rsid w:val="00CC520E"/>
    <w:rsid w:val="00CC57B3"/>
    <w:rsid w:val="00CC58B7"/>
    <w:rsid w:val="00CC5ACB"/>
    <w:rsid w:val="00CC5FC2"/>
    <w:rsid w:val="00CC609E"/>
    <w:rsid w:val="00CC6723"/>
    <w:rsid w:val="00CC704B"/>
    <w:rsid w:val="00CC7CEE"/>
    <w:rsid w:val="00CD0396"/>
    <w:rsid w:val="00CD09B9"/>
    <w:rsid w:val="00CD0C1D"/>
    <w:rsid w:val="00CD0CBA"/>
    <w:rsid w:val="00CD0F8F"/>
    <w:rsid w:val="00CD1548"/>
    <w:rsid w:val="00CD1654"/>
    <w:rsid w:val="00CD17C4"/>
    <w:rsid w:val="00CD253F"/>
    <w:rsid w:val="00CD26D6"/>
    <w:rsid w:val="00CD28D1"/>
    <w:rsid w:val="00CD29B6"/>
    <w:rsid w:val="00CD3243"/>
    <w:rsid w:val="00CD39BE"/>
    <w:rsid w:val="00CD3E41"/>
    <w:rsid w:val="00CD4A84"/>
    <w:rsid w:val="00CD5011"/>
    <w:rsid w:val="00CD53F0"/>
    <w:rsid w:val="00CD54CF"/>
    <w:rsid w:val="00CD564E"/>
    <w:rsid w:val="00CD56CF"/>
    <w:rsid w:val="00CD56E6"/>
    <w:rsid w:val="00CD6191"/>
    <w:rsid w:val="00CD6804"/>
    <w:rsid w:val="00CD6B82"/>
    <w:rsid w:val="00CD728F"/>
    <w:rsid w:val="00CD7860"/>
    <w:rsid w:val="00CD79CA"/>
    <w:rsid w:val="00CD7B07"/>
    <w:rsid w:val="00CD7B4E"/>
    <w:rsid w:val="00CD7DCC"/>
    <w:rsid w:val="00CE0133"/>
    <w:rsid w:val="00CE035D"/>
    <w:rsid w:val="00CE05D6"/>
    <w:rsid w:val="00CE178A"/>
    <w:rsid w:val="00CE183F"/>
    <w:rsid w:val="00CE1D9D"/>
    <w:rsid w:val="00CE2493"/>
    <w:rsid w:val="00CE2965"/>
    <w:rsid w:val="00CE2A22"/>
    <w:rsid w:val="00CE2CD1"/>
    <w:rsid w:val="00CE2FDA"/>
    <w:rsid w:val="00CE3551"/>
    <w:rsid w:val="00CE3996"/>
    <w:rsid w:val="00CE3AA6"/>
    <w:rsid w:val="00CE3CFA"/>
    <w:rsid w:val="00CE40E2"/>
    <w:rsid w:val="00CE457D"/>
    <w:rsid w:val="00CE45AE"/>
    <w:rsid w:val="00CE4910"/>
    <w:rsid w:val="00CE4F9C"/>
    <w:rsid w:val="00CE522B"/>
    <w:rsid w:val="00CE5275"/>
    <w:rsid w:val="00CE6898"/>
    <w:rsid w:val="00CE6945"/>
    <w:rsid w:val="00CE71D7"/>
    <w:rsid w:val="00CE7C32"/>
    <w:rsid w:val="00CE7F6F"/>
    <w:rsid w:val="00CF0D29"/>
    <w:rsid w:val="00CF19A0"/>
    <w:rsid w:val="00CF1A08"/>
    <w:rsid w:val="00CF229B"/>
    <w:rsid w:val="00CF23F4"/>
    <w:rsid w:val="00CF26D7"/>
    <w:rsid w:val="00CF28FE"/>
    <w:rsid w:val="00CF2C63"/>
    <w:rsid w:val="00CF2DED"/>
    <w:rsid w:val="00CF2EEE"/>
    <w:rsid w:val="00CF306E"/>
    <w:rsid w:val="00CF3106"/>
    <w:rsid w:val="00CF3257"/>
    <w:rsid w:val="00CF3273"/>
    <w:rsid w:val="00CF3329"/>
    <w:rsid w:val="00CF36DE"/>
    <w:rsid w:val="00CF4091"/>
    <w:rsid w:val="00CF47FA"/>
    <w:rsid w:val="00CF5085"/>
    <w:rsid w:val="00CF59FA"/>
    <w:rsid w:val="00CF5AC7"/>
    <w:rsid w:val="00CF6095"/>
    <w:rsid w:val="00CF625E"/>
    <w:rsid w:val="00CF68BB"/>
    <w:rsid w:val="00CF6C09"/>
    <w:rsid w:val="00CF6E42"/>
    <w:rsid w:val="00CF7070"/>
    <w:rsid w:val="00CF74F6"/>
    <w:rsid w:val="00D00245"/>
    <w:rsid w:val="00D004ED"/>
    <w:rsid w:val="00D00FAE"/>
    <w:rsid w:val="00D01053"/>
    <w:rsid w:val="00D01390"/>
    <w:rsid w:val="00D01DBC"/>
    <w:rsid w:val="00D01F20"/>
    <w:rsid w:val="00D0248A"/>
    <w:rsid w:val="00D02678"/>
    <w:rsid w:val="00D02811"/>
    <w:rsid w:val="00D02A8A"/>
    <w:rsid w:val="00D02E4F"/>
    <w:rsid w:val="00D02F8C"/>
    <w:rsid w:val="00D037E5"/>
    <w:rsid w:val="00D03F29"/>
    <w:rsid w:val="00D041F3"/>
    <w:rsid w:val="00D048A5"/>
    <w:rsid w:val="00D04AA5"/>
    <w:rsid w:val="00D05A3B"/>
    <w:rsid w:val="00D065E0"/>
    <w:rsid w:val="00D06EF9"/>
    <w:rsid w:val="00D07163"/>
    <w:rsid w:val="00D07DD2"/>
    <w:rsid w:val="00D101C0"/>
    <w:rsid w:val="00D106BD"/>
    <w:rsid w:val="00D10802"/>
    <w:rsid w:val="00D10B02"/>
    <w:rsid w:val="00D11399"/>
    <w:rsid w:val="00D11473"/>
    <w:rsid w:val="00D11EFB"/>
    <w:rsid w:val="00D12175"/>
    <w:rsid w:val="00D12187"/>
    <w:rsid w:val="00D12233"/>
    <w:rsid w:val="00D12532"/>
    <w:rsid w:val="00D129E5"/>
    <w:rsid w:val="00D12AA0"/>
    <w:rsid w:val="00D130C5"/>
    <w:rsid w:val="00D136E4"/>
    <w:rsid w:val="00D1390A"/>
    <w:rsid w:val="00D1444E"/>
    <w:rsid w:val="00D145BC"/>
    <w:rsid w:val="00D15E0F"/>
    <w:rsid w:val="00D17034"/>
    <w:rsid w:val="00D1771F"/>
    <w:rsid w:val="00D17769"/>
    <w:rsid w:val="00D21ADE"/>
    <w:rsid w:val="00D21F29"/>
    <w:rsid w:val="00D229F0"/>
    <w:rsid w:val="00D22C7A"/>
    <w:rsid w:val="00D22D75"/>
    <w:rsid w:val="00D22DAB"/>
    <w:rsid w:val="00D232D3"/>
    <w:rsid w:val="00D235CC"/>
    <w:rsid w:val="00D245CB"/>
    <w:rsid w:val="00D24714"/>
    <w:rsid w:val="00D2478F"/>
    <w:rsid w:val="00D26958"/>
    <w:rsid w:val="00D26AFE"/>
    <w:rsid w:val="00D26E45"/>
    <w:rsid w:val="00D2756F"/>
    <w:rsid w:val="00D27624"/>
    <w:rsid w:val="00D27B44"/>
    <w:rsid w:val="00D27DA9"/>
    <w:rsid w:val="00D31106"/>
    <w:rsid w:val="00D31E79"/>
    <w:rsid w:val="00D32D19"/>
    <w:rsid w:val="00D3305D"/>
    <w:rsid w:val="00D331A7"/>
    <w:rsid w:val="00D334A9"/>
    <w:rsid w:val="00D33673"/>
    <w:rsid w:val="00D33CC2"/>
    <w:rsid w:val="00D34095"/>
    <w:rsid w:val="00D3423A"/>
    <w:rsid w:val="00D342CE"/>
    <w:rsid w:val="00D343B5"/>
    <w:rsid w:val="00D345E9"/>
    <w:rsid w:val="00D3509C"/>
    <w:rsid w:val="00D3571D"/>
    <w:rsid w:val="00D3699A"/>
    <w:rsid w:val="00D36C40"/>
    <w:rsid w:val="00D36C6A"/>
    <w:rsid w:val="00D36CBB"/>
    <w:rsid w:val="00D409B2"/>
    <w:rsid w:val="00D409F2"/>
    <w:rsid w:val="00D4139B"/>
    <w:rsid w:val="00D41B4A"/>
    <w:rsid w:val="00D41C5E"/>
    <w:rsid w:val="00D424C7"/>
    <w:rsid w:val="00D42603"/>
    <w:rsid w:val="00D42687"/>
    <w:rsid w:val="00D427BF"/>
    <w:rsid w:val="00D42991"/>
    <w:rsid w:val="00D42A51"/>
    <w:rsid w:val="00D42F2A"/>
    <w:rsid w:val="00D43474"/>
    <w:rsid w:val="00D43991"/>
    <w:rsid w:val="00D43B7F"/>
    <w:rsid w:val="00D44475"/>
    <w:rsid w:val="00D44796"/>
    <w:rsid w:val="00D44AEA"/>
    <w:rsid w:val="00D44F3C"/>
    <w:rsid w:val="00D44F86"/>
    <w:rsid w:val="00D45728"/>
    <w:rsid w:val="00D4576A"/>
    <w:rsid w:val="00D457D4"/>
    <w:rsid w:val="00D45D16"/>
    <w:rsid w:val="00D4612C"/>
    <w:rsid w:val="00D46609"/>
    <w:rsid w:val="00D467E0"/>
    <w:rsid w:val="00D46924"/>
    <w:rsid w:val="00D46D82"/>
    <w:rsid w:val="00D479C7"/>
    <w:rsid w:val="00D47A9C"/>
    <w:rsid w:val="00D47B8F"/>
    <w:rsid w:val="00D47BF6"/>
    <w:rsid w:val="00D47D4E"/>
    <w:rsid w:val="00D506CC"/>
    <w:rsid w:val="00D508F8"/>
    <w:rsid w:val="00D50C23"/>
    <w:rsid w:val="00D52134"/>
    <w:rsid w:val="00D522D7"/>
    <w:rsid w:val="00D52A72"/>
    <w:rsid w:val="00D54191"/>
    <w:rsid w:val="00D544F2"/>
    <w:rsid w:val="00D54B36"/>
    <w:rsid w:val="00D55490"/>
    <w:rsid w:val="00D5582B"/>
    <w:rsid w:val="00D5607D"/>
    <w:rsid w:val="00D566BF"/>
    <w:rsid w:val="00D56AE1"/>
    <w:rsid w:val="00D56D37"/>
    <w:rsid w:val="00D5754B"/>
    <w:rsid w:val="00D5787C"/>
    <w:rsid w:val="00D57A12"/>
    <w:rsid w:val="00D57C59"/>
    <w:rsid w:val="00D57D96"/>
    <w:rsid w:val="00D604A7"/>
    <w:rsid w:val="00D60C62"/>
    <w:rsid w:val="00D60D12"/>
    <w:rsid w:val="00D6172F"/>
    <w:rsid w:val="00D617C4"/>
    <w:rsid w:val="00D61B32"/>
    <w:rsid w:val="00D61BF2"/>
    <w:rsid w:val="00D62CA7"/>
    <w:rsid w:val="00D62FC5"/>
    <w:rsid w:val="00D641E6"/>
    <w:rsid w:val="00D64DE8"/>
    <w:rsid w:val="00D6534D"/>
    <w:rsid w:val="00D657FC"/>
    <w:rsid w:val="00D65852"/>
    <w:rsid w:val="00D65CF6"/>
    <w:rsid w:val="00D65D06"/>
    <w:rsid w:val="00D660D5"/>
    <w:rsid w:val="00D662AA"/>
    <w:rsid w:val="00D66A5A"/>
    <w:rsid w:val="00D66B96"/>
    <w:rsid w:val="00D66C45"/>
    <w:rsid w:val="00D67024"/>
    <w:rsid w:val="00D67083"/>
    <w:rsid w:val="00D672D1"/>
    <w:rsid w:val="00D67975"/>
    <w:rsid w:val="00D67B30"/>
    <w:rsid w:val="00D67BA4"/>
    <w:rsid w:val="00D70140"/>
    <w:rsid w:val="00D70157"/>
    <w:rsid w:val="00D703B8"/>
    <w:rsid w:val="00D704AA"/>
    <w:rsid w:val="00D70589"/>
    <w:rsid w:val="00D708C2"/>
    <w:rsid w:val="00D70A33"/>
    <w:rsid w:val="00D70BB9"/>
    <w:rsid w:val="00D71044"/>
    <w:rsid w:val="00D714FF"/>
    <w:rsid w:val="00D719A5"/>
    <w:rsid w:val="00D71FBC"/>
    <w:rsid w:val="00D7247D"/>
    <w:rsid w:val="00D726A2"/>
    <w:rsid w:val="00D72AE6"/>
    <w:rsid w:val="00D72D3E"/>
    <w:rsid w:val="00D7375A"/>
    <w:rsid w:val="00D738AF"/>
    <w:rsid w:val="00D73E2A"/>
    <w:rsid w:val="00D74052"/>
    <w:rsid w:val="00D74936"/>
    <w:rsid w:val="00D74981"/>
    <w:rsid w:val="00D75056"/>
    <w:rsid w:val="00D752FF"/>
    <w:rsid w:val="00D75EE0"/>
    <w:rsid w:val="00D75F34"/>
    <w:rsid w:val="00D76B04"/>
    <w:rsid w:val="00D7704F"/>
    <w:rsid w:val="00D77EE9"/>
    <w:rsid w:val="00D80370"/>
    <w:rsid w:val="00D80A31"/>
    <w:rsid w:val="00D80BCF"/>
    <w:rsid w:val="00D8111C"/>
    <w:rsid w:val="00D81E0E"/>
    <w:rsid w:val="00D821CD"/>
    <w:rsid w:val="00D82A82"/>
    <w:rsid w:val="00D83D04"/>
    <w:rsid w:val="00D853AC"/>
    <w:rsid w:val="00D8564A"/>
    <w:rsid w:val="00D85847"/>
    <w:rsid w:val="00D85D09"/>
    <w:rsid w:val="00D85ED8"/>
    <w:rsid w:val="00D85F9C"/>
    <w:rsid w:val="00D867E9"/>
    <w:rsid w:val="00D86966"/>
    <w:rsid w:val="00D8766E"/>
    <w:rsid w:val="00D904EF"/>
    <w:rsid w:val="00D90E28"/>
    <w:rsid w:val="00D90FCE"/>
    <w:rsid w:val="00D910D9"/>
    <w:rsid w:val="00D91214"/>
    <w:rsid w:val="00D9173B"/>
    <w:rsid w:val="00D91F83"/>
    <w:rsid w:val="00D91FEF"/>
    <w:rsid w:val="00D92A5F"/>
    <w:rsid w:val="00D92C0D"/>
    <w:rsid w:val="00D938A7"/>
    <w:rsid w:val="00D93BF7"/>
    <w:rsid w:val="00D94891"/>
    <w:rsid w:val="00D9512E"/>
    <w:rsid w:val="00D95A88"/>
    <w:rsid w:val="00D95DBA"/>
    <w:rsid w:val="00D963BE"/>
    <w:rsid w:val="00D96A60"/>
    <w:rsid w:val="00D97681"/>
    <w:rsid w:val="00D9776D"/>
    <w:rsid w:val="00D977F0"/>
    <w:rsid w:val="00D97824"/>
    <w:rsid w:val="00D97DB5"/>
    <w:rsid w:val="00D97E1E"/>
    <w:rsid w:val="00D97F54"/>
    <w:rsid w:val="00D97F5B"/>
    <w:rsid w:val="00DA01FF"/>
    <w:rsid w:val="00DA0B37"/>
    <w:rsid w:val="00DA0C88"/>
    <w:rsid w:val="00DA16DF"/>
    <w:rsid w:val="00DA205C"/>
    <w:rsid w:val="00DA22AF"/>
    <w:rsid w:val="00DA247F"/>
    <w:rsid w:val="00DA28D7"/>
    <w:rsid w:val="00DA2BAF"/>
    <w:rsid w:val="00DA2E45"/>
    <w:rsid w:val="00DA3F76"/>
    <w:rsid w:val="00DA4090"/>
    <w:rsid w:val="00DA4324"/>
    <w:rsid w:val="00DA4384"/>
    <w:rsid w:val="00DA4D95"/>
    <w:rsid w:val="00DA5507"/>
    <w:rsid w:val="00DA5525"/>
    <w:rsid w:val="00DA56E6"/>
    <w:rsid w:val="00DB08C6"/>
    <w:rsid w:val="00DB0F88"/>
    <w:rsid w:val="00DB1529"/>
    <w:rsid w:val="00DB1A08"/>
    <w:rsid w:val="00DB1D92"/>
    <w:rsid w:val="00DB2079"/>
    <w:rsid w:val="00DB2732"/>
    <w:rsid w:val="00DB274C"/>
    <w:rsid w:val="00DB29D7"/>
    <w:rsid w:val="00DB35D1"/>
    <w:rsid w:val="00DB3DF7"/>
    <w:rsid w:val="00DB42C6"/>
    <w:rsid w:val="00DB4A9C"/>
    <w:rsid w:val="00DB4CE9"/>
    <w:rsid w:val="00DB5060"/>
    <w:rsid w:val="00DB5AAB"/>
    <w:rsid w:val="00DB5C54"/>
    <w:rsid w:val="00DB5FC5"/>
    <w:rsid w:val="00DB608B"/>
    <w:rsid w:val="00DB63A5"/>
    <w:rsid w:val="00DB63E1"/>
    <w:rsid w:val="00DB6C69"/>
    <w:rsid w:val="00DB6EB5"/>
    <w:rsid w:val="00DB72AE"/>
    <w:rsid w:val="00DB7773"/>
    <w:rsid w:val="00DB7B5F"/>
    <w:rsid w:val="00DC0307"/>
    <w:rsid w:val="00DC048A"/>
    <w:rsid w:val="00DC08EE"/>
    <w:rsid w:val="00DC0BFC"/>
    <w:rsid w:val="00DC16DD"/>
    <w:rsid w:val="00DC1A1B"/>
    <w:rsid w:val="00DC209C"/>
    <w:rsid w:val="00DC271F"/>
    <w:rsid w:val="00DC2819"/>
    <w:rsid w:val="00DC3B09"/>
    <w:rsid w:val="00DC3DE1"/>
    <w:rsid w:val="00DC4055"/>
    <w:rsid w:val="00DC45A8"/>
    <w:rsid w:val="00DC4649"/>
    <w:rsid w:val="00DC4F69"/>
    <w:rsid w:val="00DC5060"/>
    <w:rsid w:val="00DC5100"/>
    <w:rsid w:val="00DC511A"/>
    <w:rsid w:val="00DC5776"/>
    <w:rsid w:val="00DC5951"/>
    <w:rsid w:val="00DC5DE5"/>
    <w:rsid w:val="00DC5E24"/>
    <w:rsid w:val="00DC6208"/>
    <w:rsid w:val="00DC646F"/>
    <w:rsid w:val="00DC7677"/>
    <w:rsid w:val="00DC786E"/>
    <w:rsid w:val="00DD051A"/>
    <w:rsid w:val="00DD0976"/>
    <w:rsid w:val="00DD1831"/>
    <w:rsid w:val="00DD23A2"/>
    <w:rsid w:val="00DD2563"/>
    <w:rsid w:val="00DD2594"/>
    <w:rsid w:val="00DD298A"/>
    <w:rsid w:val="00DD2E61"/>
    <w:rsid w:val="00DD2FD6"/>
    <w:rsid w:val="00DD310D"/>
    <w:rsid w:val="00DD3408"/>
    <w:rsid w:val="00DD3585"/>
    <w:rsid w:val="00DD470F"/>
    <w:rsid w:val="00DD4A07"/>
    <w:rsid w:val="00DD4F63"/>
    <w:rsid w:val="00DD54DE"/>
    <w:rsid w:val="00DD5BED"/>
    <w:rsid w:val="00DD66E7"/>
    <w:rsid w:val="00DD67BC"/>
    <w:rsid w:val="00DD6CBE"/>
    <w:rsid w:val="00DD6DAC"/>
    <w:rsid w:val="00DD6E4C"/>
    <w:rsid w:val="00DD6E8B"/>
    <w:rsid w:val="00DD7012"/>
    <w:rsid w:val="00DD7319"/>
    <w:rsid w:val="00DD75AF"/>
    <w:rsid w:val="00DD7698"/>
    <w:rsid w:val="00DD79B9"/>
    <w:rsid w:val="00DE139A"/>
    <w:rsid w:val="00DE165D"/>
    <w:rsid w:val="00DE19E9"/>
    <w:rsid w:val="00DE1E5E"/>
    <w:rsid w:val="00DE1EFA"/>
    <w:rsid w:val="00DE2844"/>
    <w:rsid w:val="00DE2A83"/>
    <w:rsid w:val="00DE2A95"/>
    <w:rsid w:val="00DE2AD1"/>
    <w:rsid w:val="00DE2C59"/>
    <w:rsid w:val="00DE32AA"/>
    <w:rsid w:val="00DE36B7"/>
    <w:rsid w:val="00DE3E46"/>
    <w:rsid w:val="00DE3E92"/>
    <w:rsid w:val="00DE4169"/>
    <w:rsid w:val="00DE5D02"/>
    <w:rsid w:val="00DE5DB1"/>
    <w:rsid w:val="00DE5F7D"/>
    <w:rsid w:val="00DE6DB9"/>
    <w:rsid w:val="00DE7003"/>
    <w:rsid w:val="00DE7083"/>
    <w:rsid w:val="00DE763A"/>
    <w:rsid w:val="00DE7A46"/>
    <w:rsid w:val="00DE7AD0"/>
    <w:rsid w:val="00DE7AF3"/>
    <w:rsid w:val="00DF0232"/>
    <w:rsid w:val="00DF03E8"/>
    <w:rsid w:val="00DF0944"/>
    <w:rsid w:val="00DF1604"/>
    <w:rsid w:val="00DF1705"/>
    <w:rsid w:val="00DF1CCF"/>
    <w:rsid w:val="00DF22D7"/>
    <w:rsid w:val="00DF2C65"/>
    <w:rsid w:val="00DF34EB"/>
    <w:rsid w:val="00DF3E66"/>
    <w:rsid w:val="00DF3F20"/>
    <w:rsid w:val="00DF4073"/>
    <w:rsid w:val="00DF4722"/>
    <w:rsid w:val="00DF4BE0"/>
    <w:rsid w:val="00DF4F7A"/>
    <w:rsid w:val="00DF7050"/>
    <w:rsid w:val="00DF7392"/>
    <w:rsid w:val="00DF7882"/>
    <w:rsid w:val="00DF7ED4"/>
    <w:rsid w:val="00E00E2E"/>
    <w:rsid w:val="00E010F3"/>
    <w:rsid w:val="00E016E8"/>
    <w:rsid w:val="00E022B7"/>
    <w:rsid w:val="00E02A3C"/>
    <w:rsid w:val="00E03231"/>
    <w:rsid w:val="00E0353D"/>
    <w:rsid w:val="00E03E07"/>
    <w:rsid w:val="00E04083"/>
    <w:rsid w:val="00E04387"/>
    <w:rsid w:val="00E04864"/>
    <w:rsid w:val="00E04C16"/>
    <w:rsid w:val="00E05272"/>
    <w:rsid w:val="00E054F1"/>
    <w:rsid w:val="00E056A6"/>
    <w:rsid w:val="00E05989"/>
    <w:rsid w:val="00E05BD8"/>
    <w:rsid w:val="00E05CA9"/>
    <w:rsid w:val="00E06009"/>
    <w:rsid w:val="00E061E9"/>
    <w:rsid w:val="00E06FCC"/>
    <w:rsid w:val="00E074FE"/>
    <w:rsid w:val="00E07517"/>
    <w:rsid w:val="00E07C49"/>
    <w:rsid w:val="00E10296"/>
    <w:rsid w:val="00E1169B"/>
    <w:rsid w:val="00E11907"/>
    <w:rsid w:val="00E119D9"/>
    <w:rsid w:val="00E11C73"/>
    <w:rsid w:val="00E12308"/>
    <w:rsid w:val="00E133E7"/>
    <w:rsid w:val="00E13789"/>
    <w:rsid w:val="00E13EFC"/>
    <w:rsid w:val="00E141E6"/>
    <w:rsid w:val="00E14210"/>
    <w:rsid w:val="00E14374"/>
    <w:rsid w:val="00E143D4"/>
    <w:rsid w:val="00E1467B"/>
    <w:rsid w:val="00E14A91"/>
    <w:rsid w:val="00E1529F"/>
    <w:rsid w:val="00E1581D"/>
    <w:rsid w:val="00E15B91"/>
    <w:rsid w:val="00E15E91"/>
    <w:rsid w:val="00E168D1"/>
    <w:rsid w:val="00E16F03"/>
    <w:rsid w:val="00E16F44"/>
    <w:rsid w:val="00E17274"/>
    <w:rsid w:val="00E17654"/>
    <w:rsid w:val="00E17BC7"/>
    <w:rsid w:val="00E205FB"/>
    <w:rsid w:val="00E20872"/>
    <w:rsid w:val="00E20B76"/>
    <w:rsid w:val="00E20C92"/>
    <w:rsid w:val="00E20D69"/>
    <w:rsid w:val="00E20DA0"/>
    <w:rsid w:val="00E210F2"/>
    <w:rsid w:val="00E21757"/>
    <w:rsid w:val="00E21D48"/>
    <w:rsid w:val="00E225F2"/>
    <w:rsid w:val="00E22A14"/>
    <w:rsid w:val="00E22D04"/>
    <w:rsid w:val="00E23958"/>
    <w:rsid w:val="00E23CF1"/>
    <w:rsid w:val="00E23E26"/>
    <w:rsid w:val="00E2407D"/>
    <w:rsid w:val="00E243ED"/>
    <w:rsid w:val="00E2487C"/>
    <w:rsid w:val="00E24974"/>
    <w:rsid w:val="00E249ED"/>
    <w:rsid w:val="00E2563E"/>
    <w:rsid w:val="00E25646"/>
    <w:rsid w:val="00E25694"/>
    <w:rsid w:val="00E258AC"/>
    <w:rsid w:val="00E258B2"/>
    <w:rsid w:val="00E25A07"/>
    <w:rsid w:val="00E25AE4"/>
    <w:rsid w:val="00E25B05"/>
    <w:rsid w:val="00E25CF9"/>
    <w:rsid w:val="00E25DD0"/>
    <w:rsid w:val="00E25F2D"/>
    <w:rsid w:val="00E26431"/>
    <w:rsid w:val="00E27379"/>
    <w:rsid w:val="00E27E5B"/>
    <w:rsid w:val="00E27E60"/>
    <w:rsid w:val="00E3015E"/>
    <w:rsid w:val="00E30A90"/>
    <w:rsid w:val="00E30DA7"/>
    <w:rsid w:val="00E30FE6"/>
    <w:rsid w:val="00E3102F"/>
    <w:rsid w:val="00E31137"/>
    <w:rsid w:val="00E313A9"/>
    <w:rsid w:val="00E31514"/>
    <w:rsid w:val="00E31820"/>
    <w:rsid w:val="00E31918"/>
    <w:rsid w:val="00E3242F"/>
    <w:rsid w:val="00E3363D"/>
    <w:rsid w:val="00E34065"/>
    <w:rsid w:val="00E34A8A"/>
    <w:rsid w:val="00E34B35"/>
    <w:rsid w:val="00E35AFF"/>
    <w:rsid w:val="00E35F96"/>
    <w:rsid w:val="00E36A04"/>
    <w:rsid w:val="00E36C05"/>
    <w:rsid w:val="00E36D60"/>
    <w:rsid w:val="00E4085D"/>
    <w:rsid w:val="00E40AC9"/>
    <w:rsid w:val="00E40D1B"/>
    <w:rsid w:val="00E40F00"/>
    <w:rsid w:val="00E4134B"/>
    <w:rsid w:val="00E41ED3"/>
    <w:rsid w:val="00E41F59"/>
    <w:rsid w:val="00E425DA"/>
    <w:rsid w:val="00E425E4"/>
    <w:rsid w:val="00E4291C"/>
    <w:rsid w:val="00E42ACF"/>
    <w:rsid w:val="00E42F5E"/>
    <w:rsid w:val="00E43112"/>
    <w:rsid w:val="00E436ED"/>
    <w:rsid w:val="00E43772"/>
    <w:rsid w:val="00E43C78"/>
    <w:rsid w:val="00E43D3E"/>
    <w:rsid w:val="00E44AEB"/>
    <w:rsid w:val="00E45EB1"/>
    <w:rsid w:val="00E4659E"/>
    <w:rsid w:val="00E46A42"/>
    <w:rsid w:val="00E46DFD"/>
    <w:rsid w:val="00E46E0D"/>
    <w:rsid w:val="00E471BA"/>
    <w:rsid w:val="00E47439"/>
    <w:rsid w:val="00E50333"/>
    <w:rsid w:val="00E50AED"/>
    <w:rsid w:val="00E50B7C"/>
    <w:rsid w:val="00E50E89"/>
    <w:rsid w:val="00E51015"/>
    <w:rsid w:val="00E51425"/>
    <w:rsid w:val="00E51E47"/>
    <w:rsid w:val="00E52162"/>
    <w:rsid w:val="00E522A0"/>
    <w:rsid w:val="00E522F5"/>
    <w:rsid w:val="00E523EF"/>
    <w:rsid w:val="00E53030"/>
    <w:rsid w:val="00E53ABA"/>
    <w:rsid w:val="00E53BA1"/>
    <w:rsid w:val="00E53C19"/>
    <w:rsid w:val="00E542F9"/>
    <w:rsid w:val="00E55044"/>
    <w:rsid w:val="00E550EC"/>
    <w:rsid w:val="00E552F6"/>
    <w:rsid w:val="00E5587A"/>
    <w:rsid w:val="00E55EB2"/>
    <w:rsid w:val="00E564C5"/>
    <w:rsid w:val="00E56FE3"/>
    <w:rsid w:val="00E57991"/>
    <w:rsid w:val="00E60028"/>
    <w:rsid w:val="00E60152"/>
    <w:rsid w:val="00E60424"/>
    <w:rsid w:val="00E604BD"/>
    <w:rsid w:val="00E60769"/>
    <w:rsid w:val="00E60784"/>
    <w:rsid w:val="00E607E4"/>
    <w:rsid w:val="00E6094F"/>
    <w:rsid w:val="00E61580"/>
    <w:rsid w:val="00E62A6B"/>
    <w:rsid w:val="00E62BA9"/>
    <w:rsid w:val="00E62BE9"/>
    <w:rsid w:val="00E63434"/>
    <w:rsid w:val="00E63712"/>
    <w:rsid w:val="00E6378A"/>
    <w:rsid w:val="00E63A6A"/>
    <w:rsid w:val="00E64403"/>
    <w:rsid w:val="00E645BA"/>
    <w:rsid w:val="00E64D9B"/>
    <w:rsid w:val="00E64F1E"/>
    <w:rsid w:val="00E65535"/>
    <w:rsid w:val="00E656D1"/>
    <w:rsid w:val="00E665F8"/>
    <w:rsid w:val="00E66BF3"/>
    <w:rsid w:val="00E66EF5"/>
    <w:rsid w:val="00E6783D"/>
    <w:rsid w:val="00E67CEF"/>
    <w:rsid w:val="00E70287"/>
    <w:rsid w:val="00E70B97"/>
    <w:rsid w:val="00E71130"/>
    <w:rsid w:val="00E71D13"/>
    <w:rsid w:val="00E72353"/>
    <w:rsid w:val="00E7333F"/>
    <w:rsid w:val="00E7371A"/>
    <w:rsid w:val="00E7403D"/>
    <w:rsid w:val="00E749FB"/>
    <w:rsid w:val="00E7549A"/>
    <w:rsid w:val="00E758AF"/>
    <w:rsid w:val="00E75A8A"/>
    <w:rsid w:val="00E75EAE"/>
    <w:rsid w:val="00E76198"/>
    <w:rsid w:val="00E76799"/>
    <w:rsid w:val="00E76CA1"/>
    <w:rsid w:val="00E77003"/>
    <w:rsid w:val="00E77455"/>
    <w:rsid w:val="00E7762B"/>
    <w:rsid w:val="00E80345"/>
    <w:rsid w:val="00E82397"/>
    <w:rsid w:val="00E8244A"/>
    <w:rsid w:val="00E8295F"/>
    <w:rsid w:val="00E82E43"/>
    <w:rsid w:val="00E8374F"/>
    <w:rsid w:val="00E83BC5"/>
    <w:rsid w:val="00E83F39"/>
    <w:rsid w:val="00E844A1"/>
    <w:rsid w:val="00E84622"/>
    <w:rsid w:val="00E84DE4"/>
    <w:rsid w:val="00E84E02"/>
    <w:rsid w:val="00E856BD"/>
    <w:rsid w:val="00E8574E"/>
    <w:rsid w:val="00E85CF6"/>
    <w:rsid w:val="00E863A3"/>
    <w:rsid w:val="00E872DC"/>
    <w:rsid w:val="00E879B3"/>
    <w:rsid w:val="00E87A5F"/>
    <w:rsid w:val="00E907D2"/>
    <w:rsid w:val="00E907E0"/>
    <w:rsid w:val="00E90893"/>
    <w:rsid w:val="00E908C4"/>
    <w:rsid w:val="00E90A3D"/>
    <w:rsid w:val="00E90BFA"/>
    <w:rsid w:val="00E911E5"/>
    <w:rsid w:val="00E91340"/>
    <w:rsid w:val="00E915CF"/>
    <w:rsid w:val="00E916DE"/>
    <w:rsid w:val="00E91EB7"/>
    <w:rsid w:val="00E91F2C"/>
    <w:rsid w:val="00E92056"/>
    <w:rsid w:val="00E92094"/>
    <w:rsid w:val="00E9258A"/>
    <w:rsid w:val="00E92D94"/>
    <w:rsid w:val="00E92DE3"/>
    <w:rsid w:val="00E92E1A"/>
    <w:rsid w:val="00E92EA5"/>
    <w:rsid w:val="00E930B7"/>
    <w:rsid w:val="00E933C6"/>
    <w:rsid w:val="00E93718"/>
    <w:rsid w:val="00E95A1E"/>
    <w:rsid w:val="00E95E8D"/>
    <w:rsid w:val="00E96365"/>
    <w:rsid w:val="00E964B9"/>
    <w:rsid w:val="00E96AC0"/>
    <w:rsid w:val="00E96ED1"/>
    <w:rsid w:val="00E97608"/>
    <w:rsid w:val="00EA093B"/>
    <w:rsid w:val="00EA1093"/>
    <w:rsid w:val="00EA124E"/>
    <w:rsid w:val="00EA18BE"/>
    <w:rsid w:val="00EA1ED9"/>
    <w:rsid w:val="00EA2254"/>
    <w:rsid w:val="00EA22F3"/>
    <w:rsid w:val="00EA2B4B"/>
    <w:rsid w:val="00EA3331"/>
    <w:rsid w:val="00EA3808"/>
    <w:rsid w:val="00EA3E90"/>
    <w:rsid w:val="00EA3ED2"/>
    <w:rsid w:val="00EA47AB"/>
    <w:rsid w:val="00EA4B0B"/>
    <w:rsid w:val="00EA4F9A"/>
    <w:rsid w:val="00EA56E4"/>
    <w:rsid w:val="00EA582A"/>
    <w:rsid w:val="00EA5D7F"/>
    <w:rsid w:val="00EA6604"/>
    <w:rsid w:val="00EA6623"/>
    <w:rsid w:val="00EA6A76"/>
    <w:rsid w:val="00EA6C53"/>
    <w:rsid w:val="00EA7526"/>
    <w:rsid w:val="00EA7C45"/>
    <w:rsid w:val="00EB0584"/>
    <w:rsid w:val="00EB0B4E"/>
    <w:rsid w:val="00EB0C3A"/>
    <w:rsid w:val="00EB1102"/>
    <w:rsid w:val="00EB1934"/>
    <w:rsid w:val="00EB1EC2"/>
    <w:rsid w:val="00EB2569"/>
    <w:rsid w:val="00EB281E"/>
    <w:rsid w:val="00EB292D"/>
    <w:rsid w:val="00EB2D1E"/>
    <w:rsid w:val="00EB3012"/>
    <w:rsid w:val="00EB35B5"/>
    <w:rsid w:val="00EB4012"/>
    <w:rsid w:val="00EB4ABD"/>
    <w:rsid w:val="00EB4D8B"/>
    <w:rsid w:val="00EB5B3B"/>
    <w:rsid w:val="00EB5DAE"/>
    <w:rsid w:val="00EB61DD"/>
    <w:rsid w:val="00EB61EA"/>
    <w:rsid w:val="00EB638C"/>
    <w:rsid w:val="00EB6400"/>
    <w:rsid w:val="00EB6711"/>
    <w:rsid w:val="00EB67A3"/>
    <w:rsid w:val="00EB6C3B"/>
    <w:rsid w:val="00EB6F50"/>
    <w:rsid w:val="00EB709B"/>
    <w:rsid w:val="00EB7502"/>
    <w:rsid w:val="00EB7766"/>
    <w:rsid w:val="00EB78D2"/>
    <w:rsid w:val="00EB7B97"/>
    <w:rsid w:val="00EB7B98"/>
    <w:rsid w:val="00EB7E63"/>
    <w:rsid w:val="00EB7F14"/>
    <w:rsid w:val="00EC083B"/>
    <w:rsid w:val="00EC08E1"/>
    <w:rsid w:val="00EC0F9A"/>
    <w:rsid w:val="00EC101E"/>
    <w:rsid w:val="00EC149C"/>
    <w:rsid w:val="00EC1651"/>
    <w:rsid w:val="00EC17D6"/>
    <w:rsid w:val="00EC197F"/>
    <w:rsid w:val="00EC1D99"/>
    <w:rsid w:val="00EC1E7F"/>
    <w:rsid w:val="00EC2915"/>
    <w:rsid w:val="00EC2C57"/>
    <w:rsid w:val="00EC30F8"/>
    <w:rsid w:val="00EC326F"/>
    <w:rsid w:val="00EC32B4"/>
    <w:rsid w:val="00EC35F7"/>
    <w:rsid w:val="00EC4100"/>
    <w:rsid w:val="00EC4281"/>
    <w:rsid w:val="00EC4B51"/>
    <w:rsid w:val="00EC5113"/>
    <w:rsid w:val="00EC52A6"/>
    <w:rsid w:val="00EC5962"/>
    <w:rsid w:val="00EC5AF8"/>
    <w:rsid w:val="00EC5DFB"/>
    <w:rsid w:val="00EC5E48"/>
    <w:rsid w:val="00EC5EC8"/>
    <w:rsid w:val="00EC604B"/>
    <w:rsid w:val="00EC6293"/>
    <w:rsid w:val="00EC6480"/>
    <w:rsid w:val="00EC68BF"/>
    <w:rsid w:val="00EC7A7B"/>
    <w:rsid w:val="00ED0184"/>
    <w:rsid w:val="00ED146A"/>
    <w:rsid w:val="00ED1911"/>
    <w:rsid w:val="00ED194F"/>
    <w:rsid w:val="00ED1C30"/>
    <w:rsid w:val="00ED1E8B"/>
    <w:rsid w:val="00ED276C"/>
    <w:rsid w:val="00ED27EB"/>
    <w:rsid w:val="00ED2AF0"/>
    <w:rsid w:val="00ED339A"/>
    <w:rsid w:val="00ED3F01"/>
    <w:rsid w:val="00ED40E6"/>
    <w:rsid w:val="00ED41D6"/>
    <w:rsid w:val="00ED4341"/>
    <w:rsid w:val="00ED4751"/>
    <w:rsid w:val="00ED4B9F"/>
    <w:rsid w:val="00ED5392"/>
    <w:rsid w:val="00ED5494"/>
    <w:rsid w:val="00ED5B65"/>
    <w:rsid w:val="00ED6565"/>
    <w:rsid w:val="00ED66A5"/>
    <w:rsid w:val="00ED7079"/>
    <w:rsid w:val="00ED713D"/>
    <w:rsid w:val="00ED7282"/>
    <w:rsid w:val="00ED7453"/>
    <w:rsid w:val="00ED7595"/>
    <w:rsid w:val="00ED7E03"/>
    <w:rsid w:val="00ED7E63"/>
    <w:rsid w:val="00EE04CE"/>
    <w:rsid w:val="00EE0666"/>
    <w:rsid w:val="00EE0762"/>
    <w:rsid w:val="00EE1628"/>
    <w:rsid w:val="00EE1BA5"/>
    <w:rsid w:val="00EE1EF5"/>
    <w:rsid w:val="00EE29A5"/>
    <w:rsid w:val="00EE2B1B"/>
    <w:rsid w:val="00EE2DCC"/>
    <w:rsid w:val="00EE313B"/>
    <w:rsid w:val="00EE3DB2"/>
    <w:rsid w:val="00EE42CA"/>
    <w:rsid w:val="00EE492D"/>
    <w:rsid w:val="00EE500A"/>
    <w:rsid w:val="00EE579C"/>
    <w:rsid w:val="00EE743C"/>
    <w:rsid w:val="00EE79F7"/>
    <w:rsid w:val="00EE7CA1"/>
    <w:rsid w:val="00EF05F6"/>
    <w:rsid w:val="00EF0821"/>
    <w:rsid w:val="00EF0944"/>
    <w:rsid w:val="00EF0A8D"/>
    <w:rsid w:val="00EF1825"/>
    <w:rsid w:val="00EF1AB9"/>
    <w:rsid w:val="00EF1AF7"/>
    <w:rsid w:val="00EF209D"/>
    <w:rsid w:val="00EF2B1A"/>
    <w:rsid w:val="00EF2CC8"/>
    <w:rsid w:val="00EF2E9F"/>
    <w:rsid w:val="00EF34A2"/>
    <w:rsid w:val="00EF3D46"/>
    <w:rsid w:val="00EF52CF"/>
    <w:rsid w:val="00EF5973"/>
    <w:rsid w:val="00EF5E71"/>
    <w:rsid w:val="00EF6487"/>
    <w:rsid w:val="00EF661E"/>
    <w:rsid w:val="00EF66C6"/>
    <w:rsid w:val="00EF6A15"/>
    <w:rsid w:val="00EF6A6C"/>
    <w:rsid w:val="00EF71C9"/>
    <w:rsid w:val="00EF7825"/>
    <w:rsid w:val="00EF787F"/>
    <w:rsid w:val="00EF7C59"/>
    <w:rsid w:val="00F00D21"/>
    <w:rsid w:val="00F013DE"/>
    <w:rsid w:val="00F0147A"/>
    <w:rsid w:val="00F0184D"/>
    <w:rsid w:val="00F019CF"/>
    <w:rsid w:val="00F01C83"/>
    <w:rsid w:val="00F0228C"/>
    <w:rsid w:val="00F0231E"/>
    <w:rsid w:val="00F023BC"/>
    <w:rsid w:val="00F025A9"/>
    <w:rsid w:val="00F02A33"/>
    <w:rsid w:val="00F02E2C"/>
    <w:rsid w:val="00F034CF"/>
    <w:rsid w:val="00F0395B"/>
    <w:rsid w:val="00F03ACC"/>
    <w:rsid w:val="00F041EF"/>
    <w:rsid w:val="00F0487D"/>
    <w:rsid w:val="00F053B9"/>
    <w:rsid w:val="00F05934"/>
    <w:rsid w:val="00F059D5"/>
    <w:rsid w:val="00F05CE5"/>
    <w:rsid w:val="00F05CEC"/>
    <w:rsid w:val="00F06130"/>
    <w:rsid w:val="00F0671E"/>
    <w:rsid w:val="00F06BAE"/>
    <w:rsid w:val="00F07468"/>
    <w:rsid w:val="00F1093E"/>
    <w:rsid w:val="00F11132"/>
    <w:rsid w:val="00F11369"/>
    <w:rsid w:val="00F11BB9"/>
    <w:rsid w:val="00F11C3B"/>
    <w:rsid w:val="00F11CDA"/>
    <w:rsid w:val="00F11D82"/>
    <w:rsid w:val="00F11DF8"/>
    <w:rsid w:val="00F12699"/>
    <w:rsid w:val="00F1274E"/>
    <w:rsid w:val="00F1281A"/>
    <w:rsid w:val="00F13726"/>
    <w:rsid w:val="00F13D27"/>
    <w:rsid w:val="00F13E8F"/>
    <w:rsid w:val="00F1414F"/>
    <w:rsid w:val="00F14608"/>
    <w:rsid w:val="00F147AD"/>
    <w:rsid w:val="00F14DA8"/>
    <w:rsid w:val="00F15352"/>
    <w:rsid w:val="00F15382"/>
    <w:rsid w:val="00F15CB4"/>
    <w:rsid w:val="00F163AB"/>
    <w:rsid w:val="00F177DF"/>
    <w:rsid w:val="00F17B07"/>
    <w:rsid w:val="00F17FEE"/>
    <w:rsid w:val="00F20B7D"/>
    <w:rsid w:val="00F20CBD"/>
    <w:rsid w:val="00F20E70"/>
    <w:rsid w:val="00F20F88"/>
    <w:rsid w:val="00F21094"/>
    <w:rsid w:val="00F212A5"/>
    <w:rsid w:val="00F21627"/>
    <w:rsid w:val="00F21799"/>
    <w:rsid w:val="00F225B7"/>
    <w:rsid w:val="00F229A4"/>
    <w:rsid w:val="00F23FA8"/>
    <w:rsid w:val="00F24140"/>
    <w:rsid w:val="00F24C99"/>
    <w:rsid w:val="00F24DE8"/>
    <w:rsid w:val="00F25180"/>
    <w:rsid w:val="00F251DF"/>
    <w:rsid w:val="00F25796"/>
    <w:rsid w:val="00F25CF7"/>
    <w:rsid w:val="00F25F72"/>
    <w:rsid w:val="00F25FE3"/>
    <w:rsid w:val="00F265DE"/>
    <w:rsid w:val="00F26868"/>
    <w:rsid w:val="00F26DF8"/>
    <w:rsid w:val="00F27D3B"/>
    <w:rsid w:val="00F27FA9"/>
    <w:rsid w:val="00F3080D"/>
    <w:rsid w:val="00F30A70"/>
    <w:rsid w:val="00F31A22"/>
    <w:rsid w:val="00F3239E"/>
    <w:rsid w:val="00F323DC"/>
    <w:rsid w:val="00F3272C"/>
    <w:rsid w:val="00F329D9"/>
    <w:rsid w:val="00F32B71"/>
    <w:rsid w:val="00F33531"/>
    <w:rsid w:val="00F339AB"/>
    <w:rsid w:val="00F33B08"/>
    <w:rsid w:val="00F343F1"/>
    <w:rsid w:val="00F34FDF"/>
    <w:rsid w:val="00F353B2"/>
    <w:rsid w:val="00F35803"/>
    <w:rsid w:val="00F35893"/>
    <w:rsid w:val="00F35D1F"/>
    <w:rsid w:val="00F35DC7"/>
    <w:rsid w:val="00F35E46"/>
    <w:rsid w:val="00F3660E"/>
    <w:rsid w:val="00F367AC"/>
    <w:rsid w:val="00F36AAD"/>
    <w:rsid w:val="00F36F13"/>
    <w:rsid w:val="00F373A7"/>
    <w:rsid w:val="00F37CC2"/>
    <w:rsid w:val="00F40526"/>
    <w:rsid w:val="00F415CD"/>
    <w:rsid w:val="00F4190E"/>
    <w:rsid w:val="00F41C4A"/>
    <w:rsid w:val="00F4206B"/>
    <w:rsid w:val="00F420A1"/>
    <w:rsid w:val="00F4243C"/>
    <w:rsid w:val="00F4299D"/>
    <w:rsid w:val="00F43461"/>
    <w:rsid w:val="00F436E1"/>
    <w:rsid w:val="00F43CCC"/>
    <w:rsid w:val="00F4435E"/>
    <w:rsid w:val="00F444E3"/>
    <w:rsid w:val="00F44E34"/>
    <w:rsid w:val="00F4509B"/>
    <w:rsid w:val="00F45253"/>
    <w:rsid w:val="00F4543C"/>
    <w:rsid w:val="00F45DBE"/>
    <w:rsid w:val="00F45E2D"/>
    <w:rsid w:val="00F45F5D"/>
    <w:rsid w:val="00F468D6"/>
    <w:rsid w:val="00F46AE6"/>
    <w:rsid w:val="00F46E0C"/>
    <w:rsid w:val="00F479AD"/>
    <w:rsid w:val="00F50B64"/>
    <w:rsid w:val="00F514B0"/>
    <w:rsid w:val="00F5172F"/>
    <w:rsid w:val="00F51B7D"/>
    <w:rsid w:val="00F51C62"/>
    <w:rsid w:val="00F52081"/>
    <w:rsid w:val="00F5271C"/>
    <w:rsid w:val="00F52967"/>
    <w:rsid w:val="00F52A42"/>
    <w:rsid w:val="00F532A7"/>
    <w:rsid w:val="00F541C6"/>
    <w:rsid w:val="00F544AB"/>
    <w:rsid w:val="00F54775"/>
    <w:rsid w:val="00F547F1"/>
    <w:rsid w:val="00F54A5D"/>
    <w:rsid w:val="00F54BE7"/>
    <w:rsid w:val="00F54D12"/>
    <w:rsid w:val="00F5517B"/>
    <w:rsid w:val="00F55FFE"/>
    <w:rsid w:val="00F5641A"/>
    <w:rsid w:val="00F56C9F"/>
    <w:rsid w:val="00F56CC7"/>
    <w:rsid w:val="00F56D88"/>
    <w:rsid w:val="00F57376"/>
    <w:rsid w:val="00F57799"/>
    <w:rsid w:val="00F5795D"/>
    <w:rsid w:val="00F57A09"/>
    <w:rsid w:val="00F57AB1"/>
    <w:rsid w:val="00F57EA9"/>
    <w:rsid w:val="00F57F49"/>
    <w:rsid w:val="00F602A0"/>
    <w:rsid w:val="00F605A9"/>
    <w:rsid w:val="00F60D2E"/>
    <w:rsid w:val="00F61080"/>
    <w:rsid w:val="00F614AA"/>
    <w:rsid w:val="00F618B5"/>
    <w:rsid w:val="00F61B8B"/>
    <w:rsid w:val="00F61E31"/>
    <w:rsid w:val="00F62E80"/>
    <w:rsid w:val="00F63267"/>
    <w:rsid w:val="00F6362D"/>
    <w:rsid w:val="00F63976"/>
    <w:rsid w:val="00F63BF2"/>
    <w:rsid w:val="00F63EF0"/>
    <w:rsid w:val="00F658F1"/>
    <w:rsid w:val="00F65AEF"/>
    <w:rsid w:val="00F667C9"/>
    <w:rsid w:val="00F66A0D"/>
    <w:rsid w:val="00F66D6C"/>
    <w:rsid w:val="00F67248"/>
    <w:rsid w:val="00F672E4"/>
    <w:rsid w:val="00F675BC"/>
    <w:rsid w:val="00F6774E"/>
    <w:rsid w:val="00F7007F"/>
    <w:rsid w:val="00F70147"/>
    <w:rsid w:val="00F70462"/>
    <w:rsid w:val="00F7058D"/>
    <w:rsid w:val="00F716C7"/>
    <w:rsid w:val="00F72D83"/>
    <w:rsid w:val="00F7320D"/>
    <w:rsid w:val="00F7340F"/>
    <w:rsid w:val="00F73CD5"/>
    <w:rsid w:val="00F73FB9"/>
    <w:rsid w:val="00F7411C"/>
    <w:rsid w:val="00F74386"/>
    <w:rsid w:val="00F7494B"/>
    <w:rsid w:val="00F74AC2"/>
    <w:rsid w:val="00F74B0D"/>
    <w:rsid w:val="00F74E53"/>
    <w:rsid w:val="00F7563E"/>
    <w:rsid w:val="00F7576C"/>
    <w:rsid w:val="00F75E43"/>
    <w:rsid w:val="00F75E44"/>
    <w:rsid w:val="00F76649"/>
    <w:rsid w:val="00F76D9E"/>
    <w:rsid w:val="00F76E38"/>
    <w:rsid w:val="00F76EE1"/>
    <w:rsid w:val="00F771A0"/>
    <w:rsid w:val="00F77275"/>
    <w:rsid w:val="00F773A4"/>
    <w:rsid w:val="00F774C0"/>
    <w:rsid w:val="00F77695"/>
    <w:rsid w:val="00F7788A"/>
    <w:rsid w:val="00F77E6A"/>
    <w:rsid w:val="00F8025A"/>
    <w:rsid w:val="00F806E4"/>
    <w:rsid w:val="00F80F10"/>
    <w:rsid w:val="00F8132F"/>
    <w:rsid w:val="00F815AF"/>
    <w:rsid w:val="00F81629"/>
    <w:rsid w:val="00F817C8"/>
    <w:rsid w:val="00F8250C"/>
    <w:rsid w:val="00F8263E"/>
    <w:rsid w:val="00F826C3"/>
    <w:rsid w:val="00F82771"/>
    <w:rsid w:val="00F82B0F"/>
    <w:rsid w:val="00F82BFE"/>
    <w:rsid w:val="00F82C85"/>
    <w:rsid w:val="00F8314A"/>
    <w:rsid w:val="00F8345B"/>
    <w:rsid w:val="00F83C53"/>
    <w:rsid w:val="00F83E94"/>
    <w:rsid w:val="00F83FCE"/>
    <w:rsid w:val="00F84BA0"/>
    <w:rsid w:val="00F853FA"/>
    <w:rsid w:val="00F85480"/>
    <w:rsid w:val="00F85716"/>
    <w:rsid w:val="00F85AE8"/>
    <w:rsid w:val="00F8614A"/>
    <w:rsid w:val="00F8631A"/>
    <w:rsid w:val="00F869D4"/>
    <w:rsid w:val="00F86D96"/>
    <w:rsid w:val="00F8777E"/>
    <w:rsid w:val="00F87ADC"/>
    <w:rsid w:val="00F87DBF"/>
    <w:rsid w:val="00F87F3C"/>
    <w:rsid w:val="00F903F5"/>
    <w:rsid w:val="00F90746"/>
    <w:rsid w:val="00F90FFB"/>
    <w:rsid w:val="00F910AD"/>
    <w:rsid w:val="00F9162B"/>
    <w:rsid w:val="00F918C5"/>
    <w:rsid w:val="00F91CA9"/>
    <w:rsid w:val="00F92210"/>
    <w:rsid w:val="00F92A74"/>
    <w:rsid w:val="00F92F5A"/>
    <w:rsid w:val="00F9397A"/>
    <w:rsid w:val="00F93F7D"/>
    <w:rsid w:val="00F94369"/>
    <w:rsid w:val="00F94902"/>
    <w:rsid w:val="00F94BE7"/>
    <w:rsid w:val="00F95046"/>
    <w:rsid w:val="00F95695"/>
    <w:rsid w:val="00F95822"/>
    <w:rsid w:val="00F9598E"/>
    <w:rsid w:val="00F95F3C"/>
    <w:rsid w:val="00F962F2"/>
    <w:rsid w:val="00F963BD"/>
    <w:rsid w:val="00F9642E"/>
    <w:rsid w:val="00F9645E"/>
    <w:rsid w:val="00F96D80"/>
    <w:rsid w:val="00F96FDA"/>
    <w:rsid w:val="00F97124"/>
    <w:rsid w:val="00FA0056"/>
    <w:rsid w:val="00FA037D"/>
    <w:rsid w:val="00FA06E8"/>
    <w:rsid w:val="00FA092A"/>
    <w:rsid w:val="00FA0EED"/>
    <w:rsid w:val="00FA0F8B"/>
    <w:rsid w:val="00FA1039"/>
    <w:rsid w:val="00FA158F"/>
    <w:rsid w:val="00FA2C74"/>
    <w:rsid w:val="00FA2E44"/>
    <w:rsid w:val="00FA2EB6"/>
    <w:rsid w:val="00FA2F5E"/>
    <w:rsid w:val="00FA3661"/>
    <w:rsid w:val="00FA3D3D"/>
    <w:rsid w:val="00FA3EB4"/>
    <w:rsid w:val="00FA3ECF"/>
    <w:rsid w:val="00FA4F6F"/>
    <w:rsid w:val="00FA58DE"/>
    <w:rsid w:val="00FA5C81"/>
    <w:rsid w:val="00FA5D8E"/>
    <w:rsid w:val="00FA6878"/>
    <w:rsid w:val="00FA6B5C"/>
    <w:rsid w:val="00FA7755"/>
    <w:rsid w:val="00FA789F"/>
    <w:rsid w:val="00FA7C0D"/>
    <w:rsid w:val="00FA7FEE"/>
    <w:rsid w:val="00FB082F"/>
    <w:rsid w:val="00FB0893"/>
    <w:rsid w:val="00FB0EBA"/>
    <w:rsid w:val="00FB123B"/>
    <w:rsid w:val="00FB25EA"/>
    <w:rsid w:val="00FB29C4"/>
    <w:rsid w:val="00FB2B19"/>
    <w:rsid w:val="00FB3264"/>
    <w:rsid w:val="00FB3584"/>
    <w:rsid w:val="00FB3622"/>
    <w:rsid w:val="00FB366B"/>
    <w:rsid w:val="00FB3A8D"/>
    <w:rsid w:val="00FB3BBD"/>
    <w:rsid w:val="00FB3D01"/>
    <w:rsid w:val="00FB4393"/>
    <w:rsid w:val="00FB5712"/>
    <w:rsid w:val="00FB6123"/>
    <w:rsid w:val="00FB679F"/>
    <w:rsid w:val="00FC088C"/>
    <w:rsid w:val="00FC09AA"/>
    <w:rsid w:val="00FC0D1B"/>
    <w:rsid w:val="00FC0E42"/>
    <w:rsid w:val="00FC1352"/>
    <w:rsid w:val="00FC1A1B"/>
    <w:rsid w:val="00FC1CE7"/>
    <w:rsid w:val="00FC27A1"/>
    <w:rsid w:val="00FC286A"/>
    <w:rsid w:val="00FC2987"/>
    <w:rsid w:val="00FC2E67"/>
    <w:rsid w:val="00FC2FFE"/>
    <w:rsid w:val="00FC30AF"/>
    <w:rsid w:val="00FC3233"/>
    <w:rsid w:val="00FC3475"/>
    <w:rsid w:val="00FC465D"/>
    <w:rsid w:val="00FC49F8"/>
    <w:rsid w:val="00FC4C84"/>
    <w:rsid w:val="00FC5A83"/>
    <w:rsid w:val="00FC5BEC"/>
    <w:rsid w:val="00FC60A3"/>
    <w:rsid w:val="00FC6359"/>
    <w:rsid w:val="00FC65A7"/>
    <w:rsid w:val="00FC69CD"/>
    <w:rsid w:val="00FC6ECC"/>
    <w:rsid w:val="00FC73D9"/>
    <w:rsid w:val="00FC74E2"/>
    <w:rsid w:val="00FC7A76"/>
    <w:rsid w:val="00FC7C1A"/>
    <w:rsid w:val="00FC7F68"/>
    <w:rsid w:val="00FC7F9E"/>
    <w:rsid w:val="00FD0854"/>
    <w:rsid w:val="00FD137B"/>
    <w:rsid w:val="00FD1CBE"/>
    <w:rsid w:val="00FD1D2C"/>
    <w:rsid w:val="00FD1E73"/>
    <w:rsid w:val="00FD20E4"/>
    <w:rsid w:val="00FD22C7"/>
    <w:rsid w:val="00FD2CE9"/>
    <w:rsid w:val="00FD2D61"/>
    <w:rsid w:val="00FD36A3"/>
    <w:rsid w:val="00FD3F85"/>
    <w:rsid w:val="00FD40FA"/>
    <w:rsid w:val="00FD46A5"/>
    <w:rsid w:val="00FD48D0"/>
    <w:rsid w:val="00FD4E29"/>
    <w:rsid w:val="00FD55E2"/>
    <w:rsid w:val="00FD5C02"/>
    <w:rsid w:val="00FD5D98"/>
    <w:rsid w:val="00FD5DD2"/>
    <w:rsid w:val="00FD5E26"/>
    <w:rsid w:val="00FD600F"/>
    <w:rsid w:val="00FD6216"/>
    <w:rsid w:val="00FD655D"/>
    <w:rsid w:val="00FD66DC"/>
    <w:rsid w:val="00FD7158"/>
    <w:rsid w:val="00FD7584"/>
    <w:rsid w:val="00FD7C88"/>
    <w:rsid w:val="00FE0EB7"/>
    <w:rsid w:val="00FE0F96"/>
    <w:rsid w:val="00FE112E"/>
    <w:rsid w:val="00FE1804"/>
    <w:rsid w:val="00FE1B44"/>
    <w:rsid w:val="00FE2625"/>
    <w:rsid w:val="00FE2C42"/>
    <w:rsid w:val="00FE30F6"/>
    <w:rsid w:val="00FE3835"/>
    <w:rsid w:val="00FE3D02"/>
    <w:rsid w:val="00FE3DC3"/>
    <w:rsid w:val="00FE3E27"/>
    <w:rsid w:val="00FE4010"/>
    <w:rsid w:val="00FE422A"/>
    <w:rsid w:val="00FE43E5"/>
    <w:rsid w:val="00FE4F9F"/>
    <w:rsid w:val="00FE60B8"/>
    <w:rsid w:val="00FE634D"/>
    <w:rsid w:val="00FE6871"/>
    <w:rsid w:val="00FE6AFE"/>
    <w:rsid w:val="00FE6D38"/>
    <w:rsid w:val="00FE72BF"/>
    <w:rsid w:val="00FE7495"/>
    <w:rsid w:val="00FE794C"/>
    <w:rsid w:val="00FE7984"/>
    <w:rsid w:val="00FE7A8F"/>
    <w:rsid w:val="00FE7F97"/>
    <w:rsid w:val="00FF00A0"/>
    <w:rsid w:val="00FF03BE"/>
    <w:rsid w:val="00FF0BC1"/>
    <w:rsid w:val="00FF13C4"/>
    <w:rsid w:val="00FF13D9"/>
    <w:rsid w:val="00FF1445"/>
    <w:rsid w:val="00FF1945"/>
    <w:rsid w:val="00FF1B92"/>
    <w:rsid w:val="00FF22EA"/>
    <w:rsid w:val="00FF2D23"/>
    <w:rsid w:val="00FF3001"/>
    <w:rsid w:val="00FF31AF"/>
    <w:rsid w:val="00FF3FDC"/>
    <w:rsid w:val="00FF4126"/>
    <w:rsid w:val="00FF4242"/>
    <w:rsid w:val="00FF435E"/>
    <w:rsid w:val="00FF4360"/>
    <w:rsid w:val="00FF462B"/>
    <w:rsid w:val="00FF5840"/>
    <w:rsid w:val="00FF5C61"/>
    <w:rsid w:val="00FF5D9C"/>
    <w:rsid w:val="00FF61CE"/>
    <w:rsid w:val="00FF63DC"/>
    <w:rsid w:val="00FF6A86"/>
    <w:rsid w:val="00FF707C"/>
    <w:rsid w:val="00FF77C1"/>
    <w:rsid w:val="00FF78CC"/>
    <w:rsid w:val="00FF79E7"/>
    <w:rsid w:val="00FF79FE"/>
    <w:rsid w:val="00FF7AD3"/>
    <w:rsid w:val="00FF7EC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3" fillcolor="none [3215]" stroke="f">
      <v:fill color="none [3215]"/>
      <v:stroke on="f"/>
    </o:shapedefaults>
    <o:shapelayout v:ext="edit">
      <o:idmap v:ext="edit" data="1"/>
    </o:shapelayout>
  </w:shapeDefaults>
  <w:decimalSymbol w:val="."/>
  <w:listSeparator w:val=","/>
  <w14:docId w14:val="5138B7BE"/>
  <w15:docId w15:val="{E6A9806C-716D-4E9F-A40F-73B55D0C2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iPriority="99" w:unhideWhenUsed="1" w:qFormat="1"/>
    <w:lsdException w:name="heading 8" w:locked="0" w:semiHidden="1" w:unhideWhenUsed="1" w:qFormat="1"/>
    <w:lsdException w:name="heading 9" w:locked="0" w:semiHidden="1" w:uiPriority="99" w:unhideWhenUsed="1" w:qFormat="1"/>
    <w:lsdException w:name="index 1" w:locked="0" w:semiHidden="1" w:uiPriority="99"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99" w:unhideWhenUsed="1"/>
    <w:lsdException w:name="footnote text" w:locked="0"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locked="0" w:semiHidden="1" w:uiPriority="99" w:unhideWhenUsed="1"/>
    <w:lsdException w:name="caption" w:locked="0" w:semiHidden="1" w:unhideWhenUsed="1" w:qFormat="1"/>
    <w:lsdException w:name="table of figures" w:locked="0" w:semiHidden="1" w:uiPriority="99" w:unhideWhenUsed="1"/>
    <w:lsdException w:name="envelope address" w:semiHidden="1" w:uiPriority="99" w:unhideWhenUsed="1"/>
    <w:lsdException w:name="envelope return" w:semiHidden="1" w:uiPriority="99"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iPriority="99" w:unhideWhenUsed="1"/>
    <w:lsdException w:name="table of authorities" w:locked="0" w:semiHidden="1" w:uiPriority="99" w:unhideWhenUsed="1"/>
    <w:lsdException w:name="macro" w:semiHidden="1" w:uiPriority="99" w:unhideWhenUsed="1"/>
    <w:lsdException w:name="toa heading" w:locked="0" w:semiHidden="1" w:uiPriority="99" w:unhideWhenUsed="1"/>
    <w:lsdException w:name="List" w:semiHidden="1" w:unhideWhenUsed="1"/>
    <w:lsdException w:name="List Bullet" w:semiHidden="1" w:uiPriority="14" w:unhideWhenUsed="1" w:qFormat="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uiPriority="99" w:qFormat="1"/>
    <w:lsdException w:name="Closing" w:locked="0" w:semiHidden="1" w:uiPriority="99" w:unhideWhenUsed="1"/>
    <w:lsdException w:name="Signature" w:locked="0" w:semiHidden="1" w:uiPriority="99" w:unhideWhenUsed="1"/>
    <w:lsdException w:name="Default Paragraph Font" w:locked="0"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locked="0" w:semiHidden="1" w:uiPriority="99" w:unhideWhenUsed="1"/>
    <w:lsdException w:name="Subtitle" w:locked="0" w:semiHidden="1" w:qFormat="1"/>
    <w:lsdException w:name="Salutation" w:locked="0" w:semiHidden="1" w:uiPriority="99" w:unhideWhenUsed="1"/>
    <w:lsdException w:name="Date" w:locked="0" w:uiPriority="99"/>
    <w:lsdException w:name="Body Text First Indent" w:semiHidden="1" w:uiPriority="99"/>
    <w:lsdException w:name="Body Text First Indent 2" w:semiHidden="1" w:uiPriority="99" w:unhideWhenUsed="1"/>
    <w:lsdException w:name="Note Heading" w:locked="0"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locked="0" w:semiHidden="1" w:uiPriority="99" w:unhideWhenUsed="1" w:qFormat="1"/>
    <w:lsdException w:name="Hyperlink" w:locked="0" w:semiHidden="1" w:uiPriority="99" w:unhideWhenUsed="1"/>
    <w:lsdException w:name="FollowedHyperlink" w:locked="0" w:semiHidden="1" w:unhideWhenUsed="1"/>
    <w:lsdException w:name="Strong" w:locked="0" w:qFormat="1"/>
    <w:lsdException w:name="Emphasis" w:uiPriority="20" w:qFormat="1"/>
    <w:lsdException w:name="Document Map" w:locked="0" w:semiHidden="1" w:uiPriority="99" w:unhideWhenUsed="1"/>
    <w:lsdException w:name="Plain Text" w:locked="0"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locked="0" w:semiHidden="1" w:unhideWhenUsed="1"/>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D67975"/>
    <w:pPr>
      <w:kinsoku w:val="0"/>
      <w:overflowPunct w:val="0"/>
      <w:autoSpaceDE w:val="0"/>
      <w:autoSpaceDN w:val="0"/>
      <w:adjustRightInd w:val="0"/>
      <w:snapToGrid w:val="0"/>
    </w:pPr>
    <w:rPr>
      <w:rFonts w:asciiTheme="minorHAnsi" w:hAnsiTheme="minorHAnsi" w:cs="Arial"/>
      <w:snapToGrid w:val="0"/>
      <w:color w:val="404040" w:themeColor="text1" w:themeTint="BF"/>
      <w:lang w:eastAsia="en-US"/>
    </w:rPr>
  </w:style>
  <w:style w:type="paragraph" w:styleId="Heading1">
    <w:name w:val="heading 1"/>
    <w:basedOn w:val="Normal"/>
    <w:next w:val="PwCNormal"/>
    <w:link w:val="Heading1Char"/>
    <w:qFormat/>
    <w:rsid w:val="00124924"/>
    <w:pPr>
      <w:outlineLvl w:val="0"/>
    </w:pPr>
    <w:rPr>
      <w:rFonts w:asciiTheme="majorHAnsi" w:hAnsiTheme="majorHAnsi"/>
      <w:bCs/>
      <w:color w:val="E0301E"/>
      <w:sz w:val="64"/>
      <w:szCs w:val="72"/>
    </w:rPr>
  </w:style>
  <w:style w:type="paragraph" w:styleId="Heading2">
    <w:name w:val="heading 2"/>
    <w:basedOn w:val="Normal"/>
    <w:next w:val="PwCNormal"/>
    <w:link w:val="Heading2Char"/>
    <w:qFormat/>
    <w:rsid w:val="004C748D"/>
    <w:pPr>
      <w:keepNext/>
      <w:keepLines/>
      <w:numPr>
        <w:ilvl w:val="1"/>
        <w:numId w:val="30"/>
      </w:numPr>
      <w:spacing w:after="240" w:line="400" w:lineRule="atLeast"/>
      <w:outlineLvl w:val="1"/>
    </w:pPr>
    <w:rPr>
      <w:rFonts w:asciiTheme="majorHAnsi" w:hAnsiTheme="majorHAnsi"/>
      <w:bCs/>
      <w:iCs/>
      <w:color w:val="E0301E"/>
      <w:sz w:val="40"/>
      <w:szCs w:val="36"/>
    </w:rPr>
  </w:style>
  <w:style w:type="paragraph" w:styleId="Heading3">
    <w:name w:val="heading 3"/>
    <w:basedOn w:val="Normal"/>
    <w:next w:val="PwCNormal"/>
    <w:link w:val="Heading3Char"/>
    <w:qFormat/>
    <w:rsid w:val="00BF7DB8"/>
    <w:pPr>
      <w:keepNext/>
      <w:numPr>
        <w:ilvl w:val="2"/>
        <w:numId w:val="30"/>
      </w:numPr>
      <w:spacing w:before="240" w:after="120"/>
      <w:outlineLvl w:val="2"/>
    </w:pPr>
    <w:rPr>
      <w:bCs/>
      <w:color w:val="E03028"/>
      <w:sz w:val="28"/>
    </w:rPr>
  </w:style>
  <w:style w:type="paragraph" w:styleId="Heading4">
    <w:name w:val="heading 4"/>
    <w:basedOn w:val="Normal"/>
    <w:next w:val="PwCNormal"/>
    <w:link w:val="Heading4Char"/>
    <w:qFormat/>
    <w:rsid w:val="00175A3C"/>
    <w:pPr>
      <w:keepNext/>
      <w:spacing w:before="240" w:after="120"/>
      <w:outlineLvl w:val="3"/>
    </w:pPr>
    <w:rPr>
      <w:bCs/>
      <w:color w:val="E03028"/>
      <w:sz w:val="24"/>
    </w:rPr>
  </w:style>
  <w:style w:type="paragraph" w:styleId="Heading5">
    <w:name w:val="heading 5"/>
    <w:basedOn w:val="Heading2"/>
    <w:next w:val="PwCNormal"/>
    <w:link w:val="Heading5Char"/>
    <w:qFormat/>
    <w:rsid w:val="00CD4A84"/>
    <w:pPr>
      <w:numPr>
        <w:ilvl w:val="0"/>
        <w:numId w:val="0"/>
      </w:numPr>
      <w:spacing w:before="360" w:line="380" w:lineRule="atLeast"/>
      <w:outlineLvl w:val="4"/>
    </w:pPr>
    <w:rPr>
      <w:bCs w:val="0"/>
      <w:iCs w:val="0"/>
      <w:sz w:val="32"/>
      <w:szCs w:val="32"/>
    </w:rPr>
  </w:style>
  <w:style w:type="paragraph" w:styleId="Heading6">
    <w:name w:val="heading 6"/>
    <w:basedOn w:val="Heading2"/>
    <w:next w:val="PwCNormal"/>
    <w:link w:val="Heading6Char"/>
    <w:qFormat/>
    <w:rsid w:val="008A65AF"/>
    <w:pPr>
      <w:spacing w:before="240" w:after="120" w:line="240" w:lineRule="auto"/>
      <w:outlineLvl w:val="5"/>
    </w:pPr>
    <w:rPr>
      <w:bCs w:val="0"/>
      <w:sz w:val="28"/>
    </w:rPr>
  </w:style>
  <w:style w:type="paragraph" w:styleId="Heading7">
    <w:name w:val="heading 7"/>
    <w:aliases w:val="Legal Level 1.1."/>
    <w:basedOn w:val="Heading6"/>
    <w:next w:val="PwCNormal"/>
    <w:link w:val="Heading7Char"/>
    <w:uiPriority w:val="99"/>
    <w:qFormat/>
    <w:rsid w:val="00CD4A84"/>
    <w:pPr>
      <w:outlineLvl w:val="6"/>
    </w:pPr>
    <w:rPr>
      <w:b/>
      <w:szCs w:val="28"/>
    </w:rPr>
  </w:style>
  <w:style w:type="paragraph" w:styleId="Heading8">
    <w:name w:val="heading 8"/>
    <w:aliases w:val="Legal Level 1.1.1."/>
    <w:basedOn w:val="Majorheading"/>
    <w:next w:val="PwCNormal"/>
    <w:link w:val="Heading8Char"/>
    <w:qFormat/>
    <w:rsid w:val="00CD4A84"/>
    <w:pPr>
      <w:numPr>
        <w:ilvl w:val="6"/>
        <w:numId w:val="30"/>
      </w:numPr>
      <w:outlineLvl w:val="7"/>
    </w:pPr>
    <w:rPr>
      <w:sz w:val="32"/>
      <w:szCs w:val="21"/>
    </w:rPr>
  </w:style>
  <w:style w:type="paragraph" w:styleId="Heading9">
    <w:name w:val="heading 9"/>
    <w:basedOn w:val="Heading8"/>
    <w:next w:val="PwCNormal"/>
    <w:link w:val="Heading9Char"/>
    <w:uiPriority w:val="99"/>
    <w:qFormat/>
    <w:rsid w:val="00CD4A84"/>
    <w:pPr>
      <w:numPr>
        <w:ilvl w:val="0"/>
        <w:numId w:val="0"/>
      </w:numPr>
      <w:outlineLvl w:val="8"/>
    </w:pPr>
    <w:rPr>
      <w:b w:val="0"/>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D4A84"/>
    <w:pPr>
      <w:tabs>
        <w:tab w:val="right" w:pos="8220"/>
      </w:tabs>
    </w:pPr>
    <w:rPr>
      <w:rFonts w:ascii="Arial" w:hAnsi="Arial"/>
      <w:sz w:val="19"/>
      <w:szCs w:val="18"/>
    </w:rPr>
  </w:style>
  <w:style w:type="paragraph" w:styleId="Footer">
    <w:name w:val="footer"/>
    <w:basedOn w:val="Normal"/>
    <w:link w:val="FooterChar"/>
    <w:uiPriority w:val="99"/>
    <w:rsid w:val="00CD4A84"/>
    <w:pPr>
      <w:tabs>
        <w:tab w:val="right" w:pos="8220"/>
      </w:tabs>
      <w:spacing w:line="0" w:lineRule="atLeast"/>
    </w:pPr>
    <w:rPr>
      <w:rFonts w:ascii="Arial" w:hAnsi="Arial"/>
      <w:sz w:val="19"/>
      <w:szCs w:val="18"/>
    </w:rPr>
  </w:style>
  <w:style w:type="paragraph" w:customStyle="1" w:styleId="Heading1TOC">
    <w:name w:val="Heading 1 TOC"/>
    <w:basedOn w:val="Heading1"/>
    <w:next w:val="PwCNormal"/>
    <w:uiPriority w:val="99"/>
    <w:unhideWhenUsed/>
    <w:rsid w:val="00143C1A"/>
    <w:rPr>
      <w:sz w:val="66"/>
    </w:rPr>
  </w:style>
  <w:style w:type="paragraph" w:customStyle="1" w:styleId="Covertitle">
    <w:name w:val="Cover title"/>
    <w:basedOn w:val="KeySentenceInside"/>
    <w:next w:val="HeadingCoverPageSecond"/>
    <w:uiPriority w:val="99"/>
    <w:rsid w:val="00CD4A84"/>
    <w:pPr>
      <w:framePr w:w="0" w:wrap="auto" w:vAnchor="margin" w:hAnchor="text" w:xAlign="left" w:yAlign="inline"/>
      <w:spacing w:before="200"/>
      <w:ind w:left="113"/>
      <w:jc w:val="center"/>
    </w:pPr>
    <w:rPr>
      <w:rFonts w:asciiTheme="majorHAnsi" w:hAnsiTheme="majorHAnsi"/>
      <w:b/>
      <w:i w:val="0"/>
      <w:color w:val="FFFFFF" w:themeColor="background1"/>
      <w:sz w:val="56"/>
      <w:lang w:val="en-GB"/>
    </w:rPr>
  </w:style>
  <w:style w:type="paragraph" w:customStyle="1" w:styleId="HeadingCoverPageSecond">
    <w:name w:val="Heading Cover Page Second"/>
    <w:basedOn w:val="Heading1Cover"/>
    <w:rsid w:val="00124924"/>
    <w:pPr>
      <w:spacing w:before="5600"/>
    </w:pPr>
    <w:rPr>
      <w:b/>
      <w:bCs w:val="0"/>
      <w:color w:val="FFFFFF" w:themeColor="background2"/>
      <w:sz w:val="36"/>
      <w:szCs w:val="64"/>
    </w:rPr>
  </w:style>
  <w:style w:type="paragraph" w:customStyle="1" w:styleId="AppendixNumberLong">
    <w:name w:val="Appendix Number (Long)"/>
    <w:basedOn w:val="Heading3"/>
    <w:next w:val="Heading3"/>
    <w:rsid w:val="00CD4A84"/>
    <w:pPr>
      <w:pageBreakBefore/>
      <w:numPr>
        <w:ilvl w:val="5"/>
      </w:numPr>
    </w:pPr>
    <w:rPr>
      <w:color w:val="000000" w:themeColor="text1"/>
    </w:rPr>
  </w:style>
  <w:style w:type="paragraph" w:customStyle="1" w:styleId="ChapterNumberLong">
    <w:name w:val="Chapter Number (Long)"/>
    <w:basedOn w:val="Heading1"/>
    <w:next w:val="Heading1"/>
    <w:rsid w:val="00CD4A84"/>
    <w:pPr>
      <w:pageBreakBefore/>
      <w:numPr>
        <w:numId w:val="30"/>
      </w:numPr>
    </w:pPr>
  </w:style>
  <w:style w:type="paragraph" w:customStyle="1" w:styleId="Footer-Even">
    <w:name w:val="Footer - Even"/>
    <w:basedOn w:val="Footer"/>
    <w:uiPriority w:val="99"/>
    <w:rsid w:val="00CD4A84"/>
  </w:style>
  <w:style w:type="paragraph" w:customStyle="1" w:styleId="URL">
    <w:name w:val="URL"/>
    <w:basedOn w:val="PwCNormal"/>
    <w:next w:val="PwCNormal"/>
    <w:uiPriority w:val="99"/>
    <w:rsid w:val="00CD4A84"/>
    <w:pPr>
      <w:framePr w:wrap="around" w:vAnchor="page" w:hAnchor="page" w:x="1022" w:y="568"/>
      <w:numPr>
        <w:numId w:val="0"/>
      </w:numPr>
      <w:spacing w:after="0"/>
    </w:pPr>
    <w:rPr>
      <w:rFonts w:eastAsia="+mn-ea"/>
      <w:snapToGrid/>
      <w:color w:val="FFFFFF" w:themeColor="background1"/>
      <w:sz w:val="36"/>
    </w:rPr>
  </w:style>
  <w:style w:type="paragraph" w:customStyle="1" w:styleId="Indent1">
    <w:name w:val="Indent 1"/>
    <w:basedOn w:val="Normal"/>
    <w:rsid w:val="00CD4A84"/>
    <w:pPr>
      <w:numPr>
        <w:ilvl w:val="1"/>
        <w:numId w:val="28"/>
      </w:numPr>
      <w:spacing w:before="100" w:after="100"/>
    </w:pPr>
    <w:rPr>
      <w:rFonts w:cs="Times New Roman"/>
    </w:rPr>
  </w:style>
  <w:style w:type="paragraph" w:customStyle="1" w:styleId="Indent2">
    <w:name w:val="Indent 2"/>
    <w:basedOn w:val="Indent1"/>
    <w:rsid w:val="00CD4A84"/>
    <w:pPr>
      <w:numPr>
        <w:ilvl w:val="2"/>
      </w:numPr>
    </w:pPr>
  </w:style>
  <w:style w:type="paragraph" w:customStyle="1" w:styleId="Indent3">
    <w:name w:val="Indent 3"/>
    <w:basedOn w:val="Indent2"/>
    <w:rsid w:val="00CD4A84"/>
    <w:pPr>
      <w:numPr>
        <w:ilvl w:val="3"/>
      </w:numPr>
    </w:pPr>
  </w:style>
  <w:style w:type="paragraph" w:customStyle="1" w:styleId="Indent5">
    <w:name w:val="Indent 5"/>
    <w:basedOn w:val="Indent4"/>
    <w:rsid w:val="00CD4A84"/>
    <w:pPr>
      <w:numPr>
        <w:ilvl w:val="5"/>
      </w:numPr>
    </w:pPr>
  </w:style>
  <w:style w:type="paragraph" w:customStyle="1" w:styleId="Indent6">
    <w:name w:val="Indent 6"/>
    <w:basedOn w:val="Indent5"/>
    <w:rsid w:val="00CD4A84"/>
    <w:pPr>
      <w:numPr>
        <w:ilvl w:val="6"/>
      </w:numPr>
    </w:pPr>
  </w:style>
  <w:style w:type="paragraph" w:customStyle="1" w:styleId="Indent7">
    <w:name w:val="Indent 7"/>
    <w:basedOn w:val="Indent6"/>
    <w:rsid w:val="00CD4A84"/>
    <w:pPr>
      <w:numPr>
        <w:ilvl w:val="7"/>
      </w:numPr>
    </w:pPr>
  </w:style>
  <w:style w:type="numbering" w:customStyle="1" w:styleId="Indents">
    <w:name w:val="Indents"/>
    <w:rsid w:val="00CD4A84"/>
    <w:pPr>
      <w:numPr>
        <w:numId w:val="11"/>
      </w:numPr>
    </w:pPr>
  </w:style>
  <w:style w:type="paragraph" w:customStyle="1" w:styleId="Copyright">
    <w:name w:val="Copyright"/>
    <w:basedOn w:val="Normal"/>
    <w:uiPriority w:val="99"/>
    <w:rsid w:val="00CD4A84"/>
    <w:pPr>
      <w:framePr w:w="7938" w:wrap="around" w:vAnchor="page" w:hAnchor="page" w:x="1022" w:y="15196"/>
      <w:spacing w:before="150" w:after="150" w:line="150" w:lineRule="atLeast"/>
      <w:ind w:right="816"/>
    </w:pPr>
    <w:rPr>
      <w:rFonts w:ascii="Arial" w:hAnsi="Arial"/>
      <w:color w:val="FFFFFF" w:themeColor="background1"/>
      <w:sz w:val="16"/>
      <w:lang w:val="en-US"/>
    </w:rPr>
  </w:style>
  <w:style w:type="paragraph" w:customStyle="1" w:styleId="Header-Even">
    <w:name w:val="Header - Even"/>
    <w:basedOn w:val="Header"/>
    <w:uiPriority w:val="99"/>
    <w:rsid w:val="00CD4A84"/>
  </w:style>
  <w:style w:type="paragraph" w:customStyle="1" w:styleId="PleaseNote">
    <w:name w:val="Please Note"/>
    <w:basedOn w:val="PrefaceTitle"/>
    <w:next w:val="PwCNormal"/>
    <w:uiPriority w:val="99"/>
    <w:rsid w:val="00CD4A84"/>
    <w:rPr>
      <w:iCs w:val="0"/>
    </w:rPr>
  </w:style>
  <w:style w:type="paragraph" w:customStyle="1" w:styleId="Indent4">
    <w:name w:val="Indent 4"/>
    <w:basedOn w:val="Indent3"/>
    <w:rsid w:val="00CD4A84"/>
    <w:pPr>
      <w:numPr>
        <w:ilvl w:val="4"/>
      </w:numPr>
    </w:pPr>
  </w:style>
  <w:style w:type="paragraph" w:styleId="TOC2">
    <w:name w:val="toc 2"/>
    <w:basedOn w:val="TOC1"/>
    <w:next w:val="PwCNormal"/>
    <w:uiPriority w:val="39"/>
    <w:qFormat/>
    <w:rsid w:val="000D6FAA"/>
    <w:pPr>
      <w:keepNext/>
      <w:keepLines/>
      <w:tabs>
        <w:tab w:val="left" w:pos="1701"/>
      </w:tabs>
      <w:spacing w:before="60" w:after="0"/>
      <w:ind w:left="1701" w:hanging="567"/>
    </w:pPr>
  </w:style>
  <w:style w:type="paragraph" w:styleId="TOC4">
    <w:name w:val="toc 4"/>
    <w:basedOn w:val="TOC2"/>
    <w:next w:val="PwCNormal"/>
    <w:uiPriority w:val="39"/>
    <w:rsid w:val="00CD4A84"/>
    <w:pPr>
      <w:ind w:left="4253" w:hanging="1418"/>
    </w:pPr>
  </w:style>
  <w:style w:type="paragraph" w:styleId="TOC7">
    <w:name w:val="toc 7"/>
    <w:basedOn w:val="TOC6"/>
    <w:next w:val="PwCNormal"/>
    <w:uiPriority w:val="39"/>
    <w:rsid w:val="00CD4A84"/>
    <w:pPr>
      <w:tabs>
        <w:tab w:val="left" w:pos="1985"/>
      </w:tabs>
      <w:ind w:left="1985" w:hanging="851"/>
    </w:pPr>
  </w:style>
  <w:style w:type="paragraph" w:customStyle="1" w:styleId="KeySentenceInside">
    <w:name w:val="Key Sentence Inside"/>
    <w:basedOn w:val="KeySentence"/>
    <w:uiPriority w:val="99"/>
    <w:rsid w:val="00CD4A84"/>
    <w:pPr>
      <w:framePr w:w="2296" w:wrap="notBeside" w:vAnchor="text" w:hAnchor="margin" w:x="-2521" w:y="1" w:anchorLock="1"/>
    </w:pPr>
  </w:style>
  <w:style w:type="paragraph" w:customStyle="1" w:styleId="ChapterNumberedList1">
    <w:name w:val="Chapter Numbered List 1"/>
    <w:basedOn w:val="PwCNormal"/>
    <w:rsid w:val="00CD4A84"/>
    <w:pPr>
      <w:numPr>
        <w:ilvl w:val="7"/>
        <w:numId w:val="30"/>
      </w:numPr>
    </w:pPr>
  </w:style>
  <w:style w:type="paragraph" w:customStyle="1" w:styleId="ChapterNumberedList2">
    <w:name w:val="Chapter Numbered List 2"/>
    <w:basedOn w:val="ChapterNumberedList1"/>
    <w:rsid w:val="00CD4A84"/>
    <w:pPr>
      <w:numPr>
        <w:ilvl w:val="8"/>
      </w:numPr>
    </w:pPr>
  </w:style>
  <w:style w:type="paragraph" w:styleId="TOC6">
    <w:name w:val="toc 6"/>
    <w:basedOn w:val="TOC2"/>
    <w:next w:val="PwCNormal"/>
    <w:uiPriority w:val="39"/>
    <w:rsid w:val="00C14245"/>
    <w:pPr>
      <w:keepNext w:val="0"/>
      <w:keepLines w:val="0"/>
      <w:tabs>
        <w:tab w:val="left" w:pos="3969"/>
      </w:tabs>
      <w:spacing w:before="0"/>
      <w:ind w:left="3969"/>
    </w:pPr>
  </w:style>
  <w:style w:type="paragraph" w:customStyle="1" w:styleId="PwCNormal">
    <w:name w:val="PwC Normal"/>
    <w:basedOn w:val="Normal"/>
    <w:link w:val="PwCNormalChar"/>
    <w:qFormat/>
    <w:rsid w:val="001A7428"/>
    <w:pPr>
      <w:numPr>
        <w:numId w:val="28"/>
      </w:numPr>
      <w:spacing w:before="120" w:after="120"/>
    </w:pPr>
  </w:style>
  <w:style w:type="paragraph" w:customStyle="1" w:styleId="CoverDate">
    <w:name w:val="Cover Date"/>
    <w:basedOn w:val="HeadingCoverPageSecond"/>
    <w:uiPriority w:val="99"/>
    <w:rsid w:val="00CD4A84"/>
    <w:pPr>
      <w:framePr w:wrap="notBeside" w:hAnchor="text"/>
    </w:pPr>
  </w:style>
  <w:style w:type="paragraph" w:customStyle="1" w:styleId="KeySentenceOutside">
    <w:name w:val="Key Sentence Outside"/>
    <w:basedOn w:val="KeySentence"/>
    <w:uiPriority w:val="99"/>
    <w:rsid w:val="00CD4A84"/>
    <w:pPr>
      <w:framePr w:w="2410" w:wrap="around" w:vAnchor="text" w:hAnchor="margin" w:x="7909" w:y="1" w:anchorLock="1"/>
    </w:pPr>
  </w:style>
  <w:style w:type="character" w:customStyle="1" w:styleId="PwCNormalChar">
    <w:name w:val="PwC Normal Char"/>
    <w:basedOn w:val="DefaultParagraphFont"/>
    <w:link w:val="PwCNormal"/>
    <w:rsid w:val="001A7428"/>
    <w:rPr>
      <w:rFonts w:asciiTheme="minorHAnsi" w:hAnsiTheme="minorHAnsi" w:cs="Arial"/>
      <w:snapToGrid w:val="0"/>
      <w:color w:val="404040" w:themeColor="text1" w:themeTint="BF"/>
      <w:lang w:eastAsia="en-US"/>
    </w:rPr>
  </w:style>
  <w:style w:type="paragraph" w:styleId="TOC1">
    <w:name w:val="toc 1"/>
    <w:basedOn w:val="Normal"/>
    <w:next w:val="PwCNormal"/>
    <w:uiPriority w:val="39"/>
    <w:qFormat/>
    <w:rsid w:val="000D6FAA"/>
    <w:pPr>
      <w:tabs>
        <w:tab w:val="right" w:pos="9809"/>
      </w:tabs>
      <w:spacing w:before="120" w:after="120"/>
      <w:ind w:left="1134" w:right="851"/>
    </w:pPr>
    <w:rPr>
      <w:b/>
      <w:noProof/>
      <w:color w:val="auto"/>
    </w:rPr>
  </w:style>
  <w:style w:type="paragraph" w:customStyle="1" w:styleId="CREATISID">
    <w:name w:val="CREATISID"/>
    <w:basedOn w:val="PwCNormal"/>
    <w:uiPriority w:val="99"/>
    <w:unhideWhenUsed/>
    <w:rsid w:val="00CD4A84"/>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CD4A84"/>
    <w:pPr>
      <w:numPr>
        <w:numId w:val="6"/>
      </w:numPr>
    </w:pPr>
  </w:style>
  <w:style w:type="paragraph" w:customStyle="1" w:styleId="Footer-Landscape">
    <w:name w:val="Footer - Landscape"/>
    <w:basedOn w:val="Footer"/>
    <w:uiPriority w:val="99"/>
    <w:rsid w:val="00CD4A84"/>
    <w:pPr>
      <w:tabs>
        <w:tab w:val="clear" w:pos="8220"/>
        <w:tab w:val="right" w:pos="14797"/>
      </w:tabs>
    </w:pPr>
  </w:style>
  <w:style w:type="paragraph" w:customStyle="1" w:styleId="TableBullet1Normal">
    <w:name w:val="Table Bullet 1 Normal"/>
    <w:basedOn w:val="TableTextNormal"/>
    <w:uiPriority w:val="99"/>
    <w:rsid w:val="00CD4A84"/>
    <w:pPr>
      <w:numPr>
        <w:numId w:val="18"/>
      </w:numPr>
      <w:spacing w:before="40" w:after="40"/>
    </w:pPr>
  </w:style>
  <w:style w:type="paragraph" w:customStyle="1" w:styleId="TableTextNormal">
    <w:name w:val="Table Text Normal"/>
    <w:basedOn w:val="Normal"/>
    <w:rsid w:val="001A7428"/>
    <w:pPr>
      <w:spacing w:before="80" w:after="80"/>
    </w:pPr>
  </w:style>
  <w:style w:type="paragraph" w:customStyle="1" w:styleId="TableBullet1Small">
    <w:name w:val="Table Bullet 1 Small"/>
    <w:basedOn w:val="TableTextSmall"/>
    <w:uiPriority w:val="99"/>
    <w:rsid w:val="00CD4A84"/>
    <w:pPr>
      <w:numPr>
        <w:numId w:val="19"/>
      </w:numPr>
      <w:spacing w:before="20" w:after="20"/>
    </w:pPr>
  </w:style>
  <w:style w:type="paragraph" w:customStyle="1" w:styleId="TableTextSmall">
    <w:name w:val="Table Text Small"/>
    <w:basedOn w:val="Normal"/>
    <w:link w:val="TableTextSmallChar"/>
    <w:rsid w:val="00CD4A84"/>
    <w:pPr>
      <w:spacing w:before="40" w:after="40"/>
    </w:pPr>
    <w:rPr>
      <w:sz w:val="16"/>
      <w:szCs w:val="18"/>
    </w:rPr>
  </w:style>
  <w:style w:type="paragraph" w:customStyle="1" w:styleId="TableBullet3Normal">
    <w:name w:val="Table Bullet 3 Normal"/>
    <w:basedOn w:val="TableBullet2Normal"/>
    <w:uiPriority w:val="99"/>
    <w:rsid w:val="00CD4A84"/>
    <w:pPr>
      <w:numPr>
        <w:ilvl w:val="2"/>
      </w:numPr>
    </w:pPr>
  </w:style>
  <w:style w:type="paragraph" w:customStyle="1" w:styleId="TableBullet3Small">
    <w:name w:val="Table Bullet 3 Small"/>
    <w:basedOn w:val="TableBullet2Small"/>
    <w:uiPriority w:val="99"/>
    <w:rsid w:val="00CD4A84"/>
    <w:pPr>
      <w:numPr>
        <w:ilvl w:val="2"/>
      </w:numPr>
    </w:pPr>
    <w:rPr>
      <w:szCs w:val="16"/>
    </w:rPr>
  </w:style>
  <w:style w:type="paragraph" w:customStyle="1" w:styleId="BlockText2">
    <w:name w:val="Block Text 2"/>
    <w:basedOn w:val="Normal"/>
    <w:uiPriority w:val="99"/>
    <w:qFormat/>
    <w:rsid w:val="00CD4A84"/>
    <w:pPr>
      <w:pBdr>
        <w:top w:val="single" w:sz="2" w:space="10" w:color="EB8C00" w:themeColor="text2"/>
        <w:left w:val="single" w:sz="2" w:space="10" w:color="EB8C00" w:themeColor="text2"/>
        <w:bottom w:val="single" w:sz="2" w:space="10" w:color="EB8C00" w:themeColor="text2"/>
        <w:right w:val="single" w:sz="2" w:space="10" w:color="EB8C00" w:themeColor="text2"/>
      </w:pBdr>
      <w:shd w:val="clear" w:color="auto" w:fill="EB8C00" w:themeFill="text2"/>
      <w:kinsoku/>
      <w:overflowPunct/>
      <w:autoSpaceDE/>
      <w:autoSpaceDN/>
      <w:adjustRightInd/>
      <w:snapToGrid/>
      <w:spacing w:after="240"/>
      <w:ind w:left="227" w:right="227"/>
    </w:pPr>
    <w:rPr>
      <w:rFonts w:eastAsiaTheme="minorHAnsi" w:cstheme="minorBidi"/>
      <w:i/>
      <w:snapToGrid/>
      <w:color w:val="FFFFFF" w:themeColor="background2"/>
      <w:sz w:val="48"/>
      <w:szCs w:val="48"/>
      <w:lang w:val="en-GB"/>
    </w:rPr>
  </w:style>
  <w:style w:type="paragraph" w:customStyle="1" w:styleId="Appendix">
    <w:name w:val="Appendix"/>
    <w:basedOn w:val="Heading1"/>
    <w:next w:val="Normal"/>
    <w:uiPriority w:val="99"/>
    <w:qFormat/>
    <w:rsid w:val="00CD4A84"/>
    <w:pPr>
      <w:keepNext/>
      <w:keepLines/>
      <w:numPr>
        <w:numId w:val="15"/>
      </w:numPr>
      <w:kinsoku/>
      <w:overflowPunct/>
      <w:autoSpaceDE/>
      <w:autoSpaceDN/>
      <w:adjustRightInd/>
      <w:snapToGrid/>
      <w:spacing w:after="480" w:line="600" w:lineRule="atLeast"/>
    </w:pPr>
    <w:rPr>
      <w:rFonts w:eastAsiaTheme="majorEastAsia" w:cstheme="majorBidi"/>
      <w:snapToGrid/>
      <w:szCs w:val="28"/>
      <w:lang w:val="en-GB"/>
    </w:rPr>
  </w:style>
  <w:style w:type="numbering" w:customStyle="1" w:styleId="PwCAppendixList1">
    <w:name w:val="PwC Appendix List 1"/>
    <w:uiPriority w:val="99"/>
    <w:rsid w:val="00CD4A84"/>
    <w:pPr>
      <w:numPr>
        <w:numId w:val="15"/>
      </w:numPr>
    </w:pPr>
  </w:style>
  <w:style w:type="paragraph" w:styleId="Caption">
    <w:name w:val="caption"/>
    <w:basedOn w:val="Normal"/>
    <w:next w:val="Normal"/>
    <w:unhideWhenUsed/>
    <w:qFormat/>
    <w:rsid w:val="00401DDE"/>
    <w:pPr>
      <w:keepNext/>
      <w:keepLines/>
      <w:tabs>
        <w:tab w:val="left" w:pos="992"/>
      </w:tabs>
      <w:spacing w:before="180" w:after="40"/>
    </w:pPr>
    <w:rPr>
      <w:rFonts w:asciiTheme="majorHAnsi" w:hAnsiTheme="majorHAnsi"/>
      <w:b/>
      <w:bCs/>
      <w:color w:val="E0301E"/>
      <w:szCs w:val="18"/>
    </w:rPr>
  </w:style>
  <w:style w:type="paragraph" w:customStyle="1" w:styleId="Majorheading">
    <w:name w:val="Major heading"/>
    <w:basedOn w:val="Normal"/>
    <w:next w:val="PwCNormal"/>
    <w:link w:val="MajorheadingChar"/>
    <w:rsid w:val="00175A3C"/>
    <w:pPr>
      <w:keepNext/>
      <w:keepLines/>
      <w:spacing w:before="240" w:after="120"/>
    </w:pPr>
    <w:rPr>
      <w:rFonts w:asciiTheme="majorHAnsi" w:hAnsiTheme="majorHAnsi"/>
      <w:b/>
      <w:color w:val="E0301E"/>
      <w:sz w:val="24"/>
      <w:szCs w:val="24"/>
    </w:rPr>
  </w:style>
  <w:style w:type="numbering" w:customStyle="1" w:styleId="TableBulletNormalList">
    <w:name w:val="Table Bullet Normal List"/>
    <w:rsid w:val="00CD4A84"/>
    <w:pPr>
      <w:numPr>
        <w:numId w:val="20"/>
      </w:numPr>
    </w:pPr>
  </w:style>
  <w:style w:type="paragraph" w:customStyle="1" w:styleId="Disclaimer">
    <w:name w:val="Disclaimer"/>
    <w:basedOn w:val="Normal"/>
    <w:uiPriority w:val="99"/>
    <w:unhideWhenUsed/>
    <w:rsid w:val="00CD4A84"/>
    <w:pPr>
      <w:spacing w:after="140"/>
    </w:pPr>
    <w:rPr>
      <w:rFonts w:ascii="Arial" w:hAnsi="Arial"/>
      <w:sz w:val="16"/>
    </w:rPr>
  </w:style>
  <w:style w:type="paragraph" w:customStyle="1" w:styleId="Footer-LandscapeEven">
    <w:name w:val="Footer - Landscape Even"/>
    <w:basedOn w:val="Footer-Landscape"/>
    <w:uiPriority w:val="99"/>
    <w:rsid w:val="00CD4A84"/>
  </w:style>
  <w:style w:type="paragraph" w:customStyle="1" w:styleId="PwCNormal-Single">
    <w:name w:val="PwC Normal - Single"/>
    <w:basedOn w:val="PwCNormal"/>
    <w:rsid w:val="00CD4A84"/>
    <w:pPr>
      <w:numPr>
        <w:numId w:val="0"/>
      </w:numPr>
      <w:spacing w:before="0" w:after="0"/>
    </w:pPr>
  </w:style>
  <w:style w:type="numbering" w:customStyle="1" w:styleId="TableNumberdListNormal">
    <w:name w:val="Table Numberd List Normal"/>
    <w:uiPriority w:val="99"/>
    <w:rsid w:val="00CD4A84"/>
    <w:pPr>
      <w:numPr>
        <w:numId w:val="22"/>
      </w:numPr>
    </w:pPr>
  </w:style>
  <w:style w:type="numbering" w:customStyle="1" w:styleId="TableNumberedListSmall">
    <w:name w:val="Table Numbered List Small"/>
    <w:uiPriority w:val="99"/>
    <w:rsid w:val="00CD4A84"/>
    <w:pPr>
      <w:numPr>
        <w:numId w:val="24"/>
      </w:numPr>
    </w:pPr>
  </w:style>
  <w:style w:type="paragraph" w:customStyle="1" w:styleId="TableIndent2Normal">
    <w:name w:val="Table Indent 2 Normal"/>
    <w:basedOn w:val="TableIndent1Normal"/>
    <w:uiPriority w:val="99"/>
    <w:rsid w:val="00CD4A84"/>
    <w:pPr>
      <w:ind w:left="567"/>
    </w:pPr>
  </w:style>
  <w:style w:type="paragraph" w:customStyle="1" w:styleId="TableIndent2Small">
    <w:name w:val="Table Indent 2 Small"/>
    <w:basedOn w:val="TableIndent1Small"/>
    <w:uiPriority w:val="99"/>
    <w:rsid w:val="00CD4A84"/>
    <w:pPr>
      <w:ind w:left="567"/>
    </w:pPr>
    <w:rPr>
      <w:szCs w:val="16"/>
    </w:rPr>
  </w:style>
  <w:style w:type="paragraph" w:customStyle="1" w:styleId="KeySentence">
    <w:name w:val="Key Sentence"/>
    <w:basedOn w:val="Normal"/>
    <w:uiPriority w:val="99"/>
    <w:rsid w:val="00CD4A84"/>
    <w:pPr>
      <w:spacing w:after="160" w:line="260" w:lineRule="atLeast"/>
    </w:pPr>
    <w:rPr>
      <w:i/>
      <w:color w:val="EB8C00" w:themeColor="text2"/>
      <w:sz w:val="16"/>
      <w:szCs w:val="18"/>
    </w:rPr>
  </w:style>
  <w:style w:type="numbering" w:customStyle="1" w:styleId="TableNumberedListS">
    <w:name w:val="Table Numbered List S"/>
    <w:rsid w:val="00CD4A84"/>
  </w:style>
  <w:style w:type="paragraph" w:customStyle="1" w:styleId="PrefaceTitle">
    <w:name w:val="Preface Title"/>
    <w:basedOn w:val="Heading2"/>
    <w:next w:val="PwCNormal"/>
    <w:uiPriority w:val="99"/>
    <w:rsid w:val="00CD4A84"/>
    <w:pPr>
      <w:numPr>
        <w:ilvl w:val="0"/>
        <w:numId w:val="0"/>
      </w:numPr>
      <w:spacing w:before="480" w:line="240" w:lineRule="auto"/>
    </w:pPr>
    <w:rPr>
      <w:b/>
      <w:color w:val="FFFFFF" w:themeColor="background1"/>
    </w:rPr>
  </w:style>
  <w:style w:type="paragraph" w:customStyle="1" w:styleId="Sources">
    <w:name w:val="Sources"/>
    <w:basedOn w:val="Normal"/>
    <w:next w:val="PwCNormal"/>
    <w:rsid w:val="003F6FD1"/>
    <w:pPr>
      <w:spacing w:before="80" w:after="80" w:line="180" w:lineRule="atLeast"/>
    </w:pPr>
    <w:rPr>
      <w:color w:val="E0301E"/>
      <w:sz w:val="16"/>
    </w:rPr>
  </w:style>
  <w:style w:type="paragraph" w:customStyle="1" w:styleId="Minorheading">
    <w:name w:val="Minor heading"/>
    <w:basedOn w:val="Majorheading"/>
    <w:next w:val="PwCNormal"/>
    <w:link w:val="MinorheadingChar"/>
    <w:rsid w:val="00C14245"/>
    <w:pPr>
      <w:spacing w:line="180" w:lineRule="atLeast"/>
    </w:pPr>
    <w:rPr>
      <w:b w:val="0"/>
      <w:i/>
      <w:sz w:val="22"/>
    </w:rPr>
  </w:style>
  <w:style w:type="paragraph" w:customStyle="1" w:styleId="Minorheading2">
    <w:name w:val="Minor heading 2"/>
    <w:basedOn w:val="Minorheading"/>
    <w:next w:val="PwCNormal"/>
    <w:uiPriority w:val="99"/>
    <w:rsid w:val="00A507B1"/>
    <w:pPr>
      <w:spacing w:line="240" w:lineRule="auto"/>
    </w:pPr>
    <w:rPr>
      <w:b/>
      <w:i w:val="0"/>
      <w:sz w:val="20"/>
    </w:rPr>
  </w:style>
  <w:style w:type="numbering" w:customStyle="1" w:styleId="PwCListNumbers1">
    <w:name w:val="PwC List Numbers 1"/>
    <w:uiPriority w:val="99"/>
    <w:rsid w:val="00CD4A84"/>
    <w:pPr>
      <w:numPr>
        <w:numId w:val="16"/>
      </w:numPr>
    </w:pPr>
  </w:style>
  <w:style w:type="paragraph" w:customStyle="1" w:styleId="BlockText3">
    <w:name w:val="Block Text 3"/>
    <w:basedOn w:val="BlockText"/>
    <w:uiPriority w:val="99"/>
    <w:qFormat/>
    <w:rsid w:val="00CD4A84"/>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kinsoku/>
      <w:overflowPunct/>
      <w:autoSpaceDE/>
      <w:autoSpaceDN/>
      <w:adjustRightInd/>
      <w:snapToGrid/>
      <w:ind w:left="227" w:right="227"/>
    </w:pPr>
    <w:rPr>
      <w:snapToGrid/>
      <w:sz w:val="96"/>
      <w:lang w:val="en-GB"/>
    </w:rPr>
  </w:style>
  <w:style w:type="paragraph" w:customStyle="1" w:styleId="TableBullet2Normal">
    <w:name w:val="Table Bullet 2 Normal"/>
    <w:basedOn w:val="TableBullet1Normal"/>
    <w:uiPriority w:val="99"/>
    <w:rsid w:val="00CD4A84"/>
    <w:pPr>
      <w:numPr>
        <w:ilvl w:val="1"/>
      </w:numPr>
    </w:pPr>
  </w:style>
  <w:style w:type="paragraph" w:customStyle="1" w:styleId="TableBullet2Small">
    <w:name w:val="Table Bullet 2 Small"/>
    <w:basedOn w:val="TableBullet1Small"/>
    <w:uiPriority w:val="99"/>
    <w:rsid w:val="00CD4A84"/>
    <w:pPr>
      <w:numPr>
        <w:ilvl w:val="1"/>
      </w:numPr>
    </w:pPr>
  </w:style>
  <w:style w:type="paragraph" w:customStyle="1" w:styleId="TableIndent1Normal">
    <w:name w:val="Table Indent 1 Normal"/>
    <w:basedOn w:val="TableBullet1Normal"/>
    <w:uiPriority w:val="99"/>
    <w:rsid w:val="00CD4A84"/>
    <w:pPr>
      <w:numPr>
        <w:numId w:val="0"/>
      </w:numPr>
      <w:ind w:left="284"/>
    </w:pPr>
  </w:style>
  <w:style w:type="paragraph" w:customStyle="1" w:styleId="TableIndent1Small">
    <w:name w:val="Table Indent 1 Small"/>
    <w:basedOn w:val="TableBullet1Small"/>
    <w:uiPriority w:val="99"/>
    <w:rsid w:val="00CD4A84"/>
    <w:pPr>
      <w:numPr>
        <w:numId w:val="0"/>
      </w:numPr>
      <w:ind w:left="284"/>
    </w:pPr>
  </w:style>
  <w:style w:type="paragraph" w:customStyle="1" w:styleId="SubHeading">
    <w:name w:val="Sub Heading"/>
    <w:basedOn w:val="PwCNormal"/>
    <w:uiPriority w:val="99"/>
    <w:rsid w:val="00CD4A84"/>
    <w:pPr>
      <w:numPr>
        <w:numId w:val="0"/>
      </w:numPr>
      <w:spacing w:after="480" w:line="600" w:lineRule="atLeast"/>
    </w:pPr>
    <w:rPr>
      <w:sz w:val="56"/>
    </w:rPr>
  </w:style>
  <w:style w:type="paragraph" w:styleId="FootnoteText">
    <w:name w:val="footnote text"/>
    <w:basedOn w:val="Normal"/>
    <w:link w:val="FootnoteTextChar"/>
    <w:rsid w:val="00C97F14"/>
    <w:pPr>
      <w:tabs>
        <w:tab w:val="left" w:pos="284"/>
      </w:tabs>
      <w:spacing w:before="80" w:after="80"/>
      <w:ind w:left="227" w:hanging="227"/>
    </w:pPr>
    <w:rPr>
      <w:sz w:val="16"/>
    </w:rPr>
  </w:style>
  <w:style w:type="character" w:styleId="FootnoteReference">
    <w:name w:val="footnote reference"/>
    <w:basedOn w:val="DefaultParagraphFont"/>
    <w:rsid w:val="00CD4A84"/>
    <w:rPr>
      <w:rFonts w:cs="Arial"/>
      <w:sz w:val="21"/>
      <w:vertAlign w:val="superscript"/>
    </w:rPr>
  </w:style>
  <w:style w:type="character" w:styleId="EndnoteReference">
    <w:name w:val="endnote reference"/>
    <w:basedOn w:val="DefaultParagraphFont"/>
    <w:semiHidden/>
    <w:unhideWhenUsed/>
    <w:rsid w:val="00CD4A84"/>
    <w:rPr>
      <w:rFonts w:ascii="Arial" w:hAnsi="Arial" w:cs="Arial"/>
      <w:sz w:val="21"/>
      <w:vertAlign w:val="superscript"/>
    </w:rPr>
  </w:style>
  <w:style w:type="paragraph" w:styleId="EndnoteText">
    <w:name w:val="endnote text"/>
    <w:basedOn w:val="FootnoteText"/>
    <w:link w:val="EndnoteTextChar"/>
    <w:uiPriority w:val="99"/>
    <w:semiHidden/>
    <w:unhideWhenUsed/>
    <w:rsid w:val="00CD4A84"/>
  </w:style>
  <w:style w:type="paragraph" w:customStyle="1" w:styleId="Address">
    <w:name w:val="Address"/>
    <w:basedOn w:val="Normal"/>
    <w:uiPriority w:val="99"/>
    <w:qFormat/>
    <w:rsid w:val="00CD4A84"/>
    <w:pPr>
      <w:kinsoku/>
      <w:overflowPunct/>
      <w:autoSpaceDE/>
      <w:autoSpaceDN/>
      <w:adjustRightInd/>
      <w:snapToGrid/>
      <w:spacing w:line="200" w:lineRule="atLeast"/>
    </w:pPr>
    <w:rPr>
      <w:rFonts w:eastAsiaTheme="minorHAnsi" w:cstheme="minorBidi"/>
      <w:i/>
      <w:noProof/>
      <w:snapToGrid/>
      <w:sz w:val="18"/>
      <w:szCs w:val="22"/>
      <w:lang w:val="en-GB" w:eastAsia="en-GB"/>
    </w:rPr>
  </w:style>
  <w:style w:type="table" w:styleId="TableGrid">
    <w:name w:val="Table Grid"/>
    <w:aliases w:val="Smart Text Table"/>
    <w:basedOn w:val="TableNormal"/>
    <w:uiPriority w:val="59"/>
    <w:locked/>
    <w:rsid w:val="00CD4A84"/>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PwCNormal"/>
    <w:uiPriority w:val="39"/>
    <w:qFormat/>
    <w:rsid w:val="000D6FAA"/>
    <w:pPr>
      <w:numPr>
        <w:ilvl w:val="2"/>
      </w:numPr>
      <w:tabs>
        <w:tab w:val="left" w:pos="2268"/>
      </w:tabs>
      <w:ind w:left="2268" w:hanging="567"/>
      <w:contextualSpacing/>
    </w:pPr>
    <w:rPr>
      <w:b w:val="0"/>
    </w:rPr>
  </w:style>
  <w:style w:type="paragraph" w:styleId="TOC5">
    <w:name w:val="toc 5"/>
    <w:basedOn w:val="TOC2"/>
    <w:next w:val="PwCNormal"/>
    <w:uiPriority w:val="39"/>
    <w:rsid w:val="00CD4A84"/>
  </w:style>
  <w:style w:type="paragraph" w:styleId="TOC8">
    <w:name w:val="toc 8"/>
    <w:basedOn w:val="TOC7"/>
    <w:next w:val="PwCNormal"/>
    <w:uiPriority w:val="39"/>
    <w:rsid w:val="00CD4A84"/>
    <w:pPr>
      <w:tabs>
        <w:tab w:val="clear" w:pos="1985"/>
        <w:tab w:val="left" w:pos="3402"/>
      </w:tabs>
      <w:ind w:left="3403"/>
    </w:pPr>
  </w:style>
  <w:style w:type="paragraph" w:styleId="TOC9">
    <w:name w:val="toc 9"/>
    <w:basedOn w:val="TOC8"/>
    <w:next w:val="PwCNormal"/>
    <w:uiPriority w:val="39"/>
    <w:rsid w:val="00CD4A84"/>
    <w:pPr>
      <w:tabs>
        <w:tab w:val="clear" w:pos="3402"/>
        <w:tab w:val="left" w:pos="4253"/>
      </w:tabs>
      <w:ind w:left="4253"/>
    </w:pPr>
  </w:style>
  <w:style w:type="paragraph" w:customStyle="1" w:styleId="Separator">
    <w:name w:val="Separator"/>
    <w:basedOn w:val="Normal"/>
    <w:uiPriority w:val="99"/>
    <w:semiHidden/>
    <w:rsid w:val="00CD4A84"/>
    <w:pPr>
      <w:spacing w:before="240" w:after="120"/>
    </w:pPr>
    <w:rPr>
      <w:sz w:val="16"/>
    </w:rPr>
  </w:style>
  <w:style w:type="numbering" w:customStyle="1" w:styleId="TableNumberedListN">
    <w:name w:val="Table Numbered List N"/>
    <w:rsid w:val="00CD4A84"/>
  </w:style>
  <w:style w:type="paragraph" w:customStyle="1" w:styleId="TableColumnHeadingNormal">
    <w:name w:val="Table Column Heading Normal"/>
    <w:basedOn w:val="TableTextNormal"/>
    <w:uiPriority w:val="99"/>
    <w:rsid w:val="002C7853"/>
    <w:pPr>
      <w:keepNext/>
      <w:keepLines/>
    </w:pPr>
    <w:rPr>
      <w:b/>
      <w:color w:val="FFFFFF" w:themeColor="background1"/>
    </w:rPr>
  </w:style>
  <w:style w:type="paragraph" w:customStyle="1" w:styleId="TableColumnHeadingSmall">
    <w:name w:val="Table Column Heading Small"/>
    <w:basedOn w:val="TableTextSmall"/>
    <w:next w:val="TableTextSmall"/>
    <w:rsid w:val="00CD4A84"/>
    <w:pPr>
      <w:keepNext/>
      <w:keepLines/>
    </w:pPr>
    <w:rPr>
      <w:b/>
      <w:color w:val="FFFFFF" w:themeColor="background2"/>
      <w:szCs w:val="16"/>
    </w:rPr>
  </w:style>
  <w:style w:type="numbering" w:customStyle="1" w:styleId="TableBulletSmallList">
    <w:name w:val="Table Bullet Small List"/>
    <w:rsid w:val="00CD4A84"/>
    <w:pPr>
      <w:numPr>
        <w:numId w:val="21"/>
      </w:numPr>
    </w:pPr>
  </w:style>
  <w:style w:type="paragraph" w:customStyle="1" w:styleId="Header-Landscape">
    <w:name w:val="Header - Landscape"/>
    <w:basedOn w:val="Header"/>
    <w:uiPriority w:val="99"/>
    <w:rsid w:val="00CD4A84"/>
  </w:style>
  <w:style w:type="character" w:styleId="PageNumber">
    <w:name w:val="page number"/>
    <w:semiHidden/>
    <w:unhideWhenUsed/>
    <w:rsid w:val="00CD4A84"/>
  </w:style>
  <w:style w:type="paragraph" w:styleId="Date">
    <w:name w:val="Date"/>
    <w:basedOn w:val="Normal"/>
    <w:next w:val="PwCNormal"/>
    <w:link w:val="DateChar"/>
    <w:uiPriority w:val="99"/>
    <w:semiHidden/>
    <w:rsid w:val="00CD4A84"/>
  </w:style>
  <w:style w:type="paragraph" w:customStyle="1" w:styleId="Indent8">
    <w:name w:val="Indent 8"/>
    <w:basedOn w:val="Indent7"/>
    <w:rsid w:val="00CD4A84"/>
    <w:pPr>
      <w:numPr>
        <w:ilvl w:val="8"/>
      </w:numPr>
    </w:pPr>
  </w:style>
  <w:style w:type="paragraph" w:customStyle="1" w:styleId="Header-LandscapeEven">
    <w:name w:val="Header - Landscape Even"/>
    <w:basedOn w:val="Header-Landscape"/>
    <w:uiPriority w:val="99"/>
    <w:rsid w:val="00CD4A84"/>
    <w:pPr>
      <w:tabs>
        <w:tab w:val="right" w:pos="14661"/>
      </w:tabs>
    </w:pPr>
  </w:style>
  <w:style w:type="paragraph" w:customStyle="1" w:styleId="Footer-ToC">
    <w:name w:val="Footer - ToC"/>
    <w:basedOn w:val="Footer"/>
    <w:uiPriority w:val="99"/>
    <w:rsid w:val="00CD4A84"/>
  </w:style>
  <w:style w:type="paragraph" w:customStyle="1" w:styleId="Footer-ToCEven">
    <w:name w:val="Footer - ToC Even"/>
    <w:basedOn w:val="Footer-ToC"/>
    <w:uiPriority w:val="99"/>
    <w:rsid w:val="00CD4A84"/>
  </w:style>
  <w:style w:type="table" w:customStyle="1" w:styleId="Tables-APBase">
    <w:name w:val="Tables - AP Base"/>
    <w:basedOn w:val="TableNormal"/>
    <w:rsid w:val="00CD4A84"/>
    <w:tblPr>
      <w:tblStyleRowBandSize w:val="1"/>
      <w:tblStyleColBandSize w:val="1"/>
      <w:tblBorders>
        <w:top w:val="single" w:sz="4" w:space="0" w:color="FFFFFF"/>
        <w:left w:val="single" w:sz="4" w:space="0" w:color="FFFFFF"/>
        <w:bottom w:val="single" w:sz="6" w:space="0" w:color="EB8C00" w:themeColor="text2"/>
        <w:right w:val="single" w:sz="4" w:space="0" w:color="FFFFFF"/>
        <w:insideH w:val="single" w:sz="6" w:space="0" w:color="EB8C00" w:themeColor="text2"/>
        <w:insideV w:val="single" w:sz="4" w:space="0" w:color="FFFFFF"/>
      </w:tblBorders>
    </w:tblPr>
    <w:tcPr>
      <w:shd w:val="clear" w:color="auto" w:fill="FFFFFF" w:themeFill="background2"/>
      <w:tcMar>
        <w:top w:w="0" w:type="dxa"/>
        <w:left w:w="108" w:type="dxa"/>
        <w:bottom w:w="0" w:type="dxa"/>
        <w:right w:w="108" w:type="dxa"/>
      </w:tcMar>
    </w:tcPr>
    <w:tblStylePr w:type="firstRow">
      <w:pPr>
        <w:jc w:val="left"/>
      </w:pPr>
      <w:rPr>
        <w:rFonts w:ascii="Georgia" w:hAnsi="Georgia"/>
        <w:b w:val="0"/>
        <w:color w:val="auto"/>
      </w:rPr>
      <w:tblPr/>
      <w:trPr>
        <w:tblHeader/>
      </w:trPr>
      <w:tcPr>
        <w:shd w:val="clear" w:color="auto" w:fill="EB8C00" w:themeFill="text2"/>
        <w:vAlign w:val="bottom"/>
      </w:tcPr>
    </w:tblStylePr>
    <w:tblStylePr w:type="lastRow">
      <w:rPr>
        <w:color w:val="auto"/>
      </w:rPr>
      <w:tblPr/>
      <w:tcPr>
        <w:tcBorders>
          <w:top w:val="single" w:sz="4" w:space="0" w:color="EB8C00"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CVText"/>
    <w:rsid w:val="00CD4A84"/>
    <w:pPr>
      <w:pBdr>
        <w:bottom w:val="none" w:sz="0" w:space="0" w:color="00457C"/>
      </w:pBdr>
    </w:pPr>
    <w:rPr>
      <w:i/>
      <w:color w:val="EB8C00" w:themeColor="text2"/>
      <w:sz w:val="24"/>
      <w:szCs w:val="24"/>
    </w:rPr>
  </w:style>
  <w:style w:type="paragraph" w:customStyle="1" w:styleId="ListBullet1">
    <w:name w:val="List Bullet 1"/>
    <w:basedOn w:val="Normal"/>
    <w:uiPriority w:val="99"/>
    <w:semiHidden/>
    <w:locked/>
    <w:rsid w:val="00CD4A84"/>
    <w:pPr>
      <w:tabs>
        <w:tab w:val="num" w:pos="720"/>
      </w:tabs>
      <w:spacing w:before="100" w:after="100"/>
      <w:ind w:left="720" w:hanging="720"/>
    </w:pPr>
  </w:style>
  <w:style w:type="paragraph" w:styleId="ListBullet2">
    <w:name w:val="List Bullet 2"/>
    <w:basedOn w:val="ListBullet1"/>
    <w:qFormat/>
    <w:locked/>
    <w:rsid w:val="00985933"/>
    <w:pPr>
      <w:numPr>
        <w:ilvl w:val="1"/>
        <w:numId w:val="12"/>
      </w:numPr>
      <w:spacing w:before="120" w:after="120"/>
    </w:pPr>
  </w:style>
  <w:style w:type="paragraph" w:styleId="ListBullet4">
    <w:name w:val="List Bullet 4"/>
    <w:basedOn w:val="ListBullet3"/>
    <w:unhideWhenUsed/>
    <w:locked/>
    <w:rsid w:val="00CD4A84"/>
    <w:pPr>
      <w:numPr>
        <w:ilvl w:val="3"/>
      </w:numPr>
    </w:pPr>
  </w:style>
  <w:style w:type="paragraph" w:customStyle="1" w:styleId="CVBullet1">
    <w:name w:val="CV Bullet 1"/>
    <w:basedOn w:val="CVText"/>
    <w:uiPriority w:val="99"/>
    <w:rsid w:val="00CD4A84"/>
    <w:pPr>
      <w:numPr>
        <w:numId w:val="9"/>
      </w:numPr>
      <w:spacing w:before="40" w:after="40"/>
    </w:pPr>
  </w:style>
  <w:style w:type="paragraph" w:customStyle="1" w:styleId="CVDetails">
    <w:name w:val="CV Details"/>
    <w:basedOn w:val="CVRoleTitle"/>
    <w:uiPriority w:val="99"/>
    <w:rsid w:val="00CD4A84"/>
    <w:pPr>
      <w:spacing w:before="120" w:after="40"/>
    </w:pPr>
    <w:rPr>
      <w:sz w:val="14"/>
    </w:rPr>
  </w:style>
  <w:style w:type="paragraph" w:customStyle="1" w:styleId="CVHeading2">
    <w:name w:val="CV Heading 2"/>
    <w:basedOn w:val="CVHeading1"/>
    <w:next w:val="CVText"/>
    <w:uiPriority w:val="99"/>
    <w:rsid w:val="00CD4A84"/>
    <w:pPr>
      <w:pBdr>
        <w:bottom w:val="none" w:sz="0" w:space="0" w:color="00457C"/>
      </w:pBdr>
    </w:pPr>
    <w:rPr>
      <w:b w:val="0"/>
      <w:sz w:val="18"/>
      <w:szCs w:val="24"/>
    </w:rPr>
  </w:style>
  <w:style w:type="paragraph" w:styleId="ListBullet3">
    <w:name w:val="List Bullet 3"/>
    <w:basedOn w:val="ListBullet2"/>
    <w:qFormat/>
    <w:locked/>
    <w:rsid w:val="00CD4A84"/>
    <w:pPr>
      <w:numPr>
        <w:ilvl w:val="2"/>
      </w:numPr>
    </w:pPr>
  </w:style>
  <w:style w:type="paragraph" w:customStyle="1" w:styleId="CVHeading1">
    <w:name w:val="CV Heading 1"/>
    <w:basedOn w:val="CVText"/>
    <w:next w:val="CVText"/>
    <w:uiPriority w:val="99"/>
    <w:rsid w:val="00CD4A84"/>
    <w:pPr>
      <w:keepNext/>
      <w:keepLines/>
      <w:spacing w:before="120"/>
    </w:pPr>
    <w:rPr>
      <w:b/>
      <w:i/>
      <w:color w:val="EB8C00" w:themeColor="text2"/>
    </w:rPr>
  </w:style>
  <w:style w:type="paragraph" w:customStyle="1" w:styleId="CVPhoto">
    <w:name w:val="CV Photo"/>
    <w:basedOn w:val="CVHeading2"/>
    <w:uiPriority w:val="99"/>
    <w:rsid w:val="00CD4A84"/>
    <w:rPr>
      <w:sz w:val="21"/>
    </w:rPr>
  </w:style>
  <w:style w:type="paragraph" w:customStyle="1" w:styleId="CVText">
    <w:name w:val="CV Text"/>
    <w:basedOn w:val="PwCNormal"/>
    <w:uiPriority w:val="99"/>
    <w:rsid w:val="00CD4A84"/>
    <w:pPr>
      <w:numPr>
        <w:numId w:val="0"/>
      </w:numPr>
      <w:spacing w:before="80" w:after="80"/>
    </w:pPr>
  </w:style>
  <w:style w:type="paragraph" w:customStyle="1" w:styleId="CVNamelarge">
    <w:name w:val="CV Name large"/>
    <w:basedOn w:val="CVText"/>
    <w:next w:val="CVRoleTitle"/>
    <w:uiPriority w:val="99"/>
    <w:rsid w:val="00CD4A84"/>
    <w:pPr>
      <w:spacing w:before="0"/>
    </w:pPr>
    <w:rPr>
      <w:b/>
      <w:i/>
      <w:color w:val="EB8C00" w:themeColor="text2"/>
      <w:sz w:val="36"/>
      <w:szCs w:val="24"/>
    </w:rPr>
  </w:style>
  <w:style w:type="paragraph" w:customStyle="1" w:styleId="CVBullet2">
    <w:name w:val="CV Bullet 2"/>
    <w:basedOn w:val="CVBullet1"/>
    <w:uiPriority w:val="99"/>
    <w:rsid w:val="00CD4A84"/>
    <w:pPr>
      <w:numPr>
        <w:ilvl w:val="1"/>
      </w:numPr>
    </w:pPr>
  </w:style>
  <w:style w:type="paragraph" w:styleId="Title">
    <w:name w:val="Title"/>
    <w:basedOn w:val="Normal"/>
    <w:link w:val="TitleChar"/>
    <w:uiPriority w:val="99"/>
    <w:qFormat/>
    <w:rsid w:val="00CD4A84"/>
    <w:pPr>
      <w:spacing w:before="240" w:after="60"/>
      <w:jc w:val="center"/>
      <w:outlineLvl w:val="0"/>
    </w:pPr>
    <w:rPr>
      <w:b/>
      <w:bCs/>
      <w:color w:val="EB8C00" w:themeColor="text2"/>
      <w:kern w:val="28"/>
      <w:sz w:val="32"/>
      <w:szCs w:val="32"/>
    </w:rPr>
  </w:style>
  <w:style w:type="paragraph" w:styleId="BalloonText">
    <w:name w:val="Balloon Text"/>
    <w:basedOn w:val="Normal"/>
    <w:link w:val="BalloonTextChar"/>
    <w:uiPriority w:val="99"/>
    <w:semiHidden/>
    <w:locked/>
    <w:rsid w:val="00CD4A84"/>
    <w:rPr>
      <w:rFonts w:ascii="Tahoma" w:hAnsi="Tahoma"/>
      <w:sz w:val="16"/>
      <w:szCs w:val="16"/>
    </w:rPr>
  </w:style>
  <w:style w:type="numbering" w:customStyle="1" w:styleId="Style1">
    <w:name w:val="Style1"/>
    <w:uiPriority w:val="99"/>
    <w:rsid w:val="00CD4A84"/>
    <w:pPr>
      <w:numPr>
        <w:numId w:val="17"/>
      </w:numPr>
    </w:pPr>
  </w:style>
  <w:style w:type="numbering" w:customStyle="1" w:styleId="IndentList">
    <w:name w:val="IndentList"/>
    <w:basedOn w:val="NoList"/>
    <w:rsid w:val="00CD4A84"/>
  </w:style>
  <w:style w:type="paragraph" w:customStyle="1" w:styleId="VersionControl">
    <w:name w:val="Version Control"/>
    <w:basedOn w:val="Heading1TOC"/>
    <w:uiPriority w:val="99"/>
    <w:unhideWhenUsed/>
    <w:rsid w:val="00CD4A84"/>
    <w:pPr>
      <w:framePr w:w="9923" w:wrap="around" w:vAnchor="text" w:hAnchor="page" w:x="1498" w:y="1"/>
      <w:spacing w:before="360"/>
    </w:pPr>
    <w:rPr>
      <w:sz w:val="28"/>
    </w:rPr>
  </w:style>
  <w:style w:type="paragraph" w:customStyle="1" w:styleId="VersionTableHeading">
    <w:name w:val="Version Table Heading"/>
    <w:basedOn w:val="VersionTableText"/>
    <w:uiPriority w:val="99"/>
    <w:unhideWhenUsed/>
    <w:rsid w:val="00CD4A84"/>
    <w:pPr>
      <w:framePr w:wrap="around"/>
    </w:pPr>
  </w:style>
  <w:style w:type="paragraph" w:customStyle="1" w:styleId="VersionTableText">
    <w:name w:val="Version Table Text"/>
    <w:basedOn w:val="VersionControl"/>
    <w:uiPriority w:val="99"/>
    <w:unhideWhenUsed/>
    <w:rsid w:val="00CD4A84"/>
    <w:pPr>
      <w:framePr w:wrap="around"/>
      <w:spacing w:before="80" w:after="80"/>
      <w:outlineLvl w:val="9"/>
    </w:pPr>
    <w:rPr>
      <w:rFonts w:ascii="Georgia" w:hAnsi="Georgia"/>
      <w:sz w:val="21"/>
      <w:szCs w:val="20"/>
    </w:rPr>
  </w:style>
  <w:style w:type="table" w:customStyle="1" w:styleId="Tables-APBase2">
    <w:name w:val="Tables - AP Base 2"/>
    <w:basedOn w:val="Tables-APBase"/>
    <w:uiPriority w:val="99"/>
    <w:qFormat/>
    <w:rsid w:val="00CD4A84"/>
    <w:tblPr/>
    <w:tcPr>
      <w:shd w:val="clear" w:color="auto" w:fill="FFFFFF" w:themeFill="background2"/>
    </w:tcPr>
    <w:tblStylePr w:type="firstRow">
      <w:pPr>
        <w:jc w:val="center"/>
      </w:pPr>
      <w:rPr>
        <w:rFonts w:asciiTheme="minorHAnsi" w:hAnsiTheme="minorHAnsi"/>
        <w:b/>
        <w:color w:val="FFFFFF" w:themeColor="background2"/>
      </w:rPr>
      <w:tblPr/>
      <w:trPr>
        <w:tblHeader/>
      </w:trPr>
      <w:tcPr>
        <w:tcBorders>
          <w:top w:val="single" w:sz="4" w:space="0" w:color="EB8C00" w:themeColor="text2"/>
          <w:bottom w:val="single" w:sz="4" w:space="0" w:color="EB8C00" w:themeColor="text2"/>
        </w:tcBorders>
        <w:shd w:val="clear" w:color="auto" w:fill="EB8C00" w:themeFill="text2"/>
        <w:vAlign w:val="bottom"/>
      </w:tcPr>
    </w:tblStylePr>
    <w:tblStylePr w:type="lastRow">
      <w:rPr>
        <w:color w:val="FFFFFF" w:themeColor="background1"/>
      </w:rPr>
      <w:tblPr/>
      <w:tcPr>
        <w:tcBorders>
          <w:top w:val="single" w:sz="4" w:space="0" w:color="EB8C00" w:themeColor="text2"/>
        </w:tcBorders>
        <w:shd w:val="clear" w:color="auto" w:fill="EB8C00" w:themeFill="text2"/>
      </w:tcPr>
    </w:tblStylePr>
    <w:tblStylePr w:type="firstCol">
      <w:tblPr/>
      <w:tcPr>
        <w:shd w:val="clear" w:color="auto" w:fill="FFFFFF" w:themeFill="background2"/>
      </w:tcPr>
    </w:tblStylePr>
    <w:tblStylePr w:type="lastCol">
      <w:tblPr/>
      <w:tcPr>
        <w:shd w:val="clear" w:color="auto" w:fill="FFFFFF" w:themeFill="background2"/>
      </w:tcPr>
    </w:tblStylePr>
    <w:tblStylePr w:type="band2Vert">
      <w:tblPr/>
      <w:tcPr>
        <w:shd w:val="clear" w:color="auto" w:fill="FFE8C8" w:themeFill="text2" w:themeFillTint="33"/>
      </w:tcPr>
    </w:tblStylePr>
    <w:tblStylePr w:type="band2Horz">
      <w:tblPr/>
      <w:tcPr>
        <w:shd w:val="clear" w:color="auto" w:fill="FFE8C8" w:themeFill="text2" w:themeFillTint="33"/>
      </w:tcPr>
    </w:tblStylePr>
    <w:tblStylePr w:type="nwCell">
      <w:pPr>
        <w:jc w:val="left"/>
      </w:pPr>
      <w:tblPr/>
      <w:tcPr>
        <w:shd w:val="clear" w:color="auto" w:fill="FFFFFF" w:themeFill="background1"/>
        <w:vAlign w:val="bottom"/>
      </w:tcPr>
    </w:tblStylePr>
  </w:style>
  <w:style w:type="character" w:customStyle="1" w:styleId="HeaderChar">
    <w:name w:val="Header Char"/>
    <w:basedOn w:val="DefaultParagraphFont"/>
    <w:link w:val="Header"/>
    <w:uiPriority w:val="99"/>
    <w:locked/>
    <w:rsid w:val="00CD4A84"/>
    <w:rPr>
      <w:rFonts w:ascii="Arial" w:hAnsi="Arial" w:cs="Arial"/>
      <w:snapToGrid w:val="0"/>
      <w:color w:val="404040" w:themeColor="text1" w:themeTint="BF"/>
      <w:sz w:val="19"/>
      <w:szCs w:val="18"/>
      <w:lang w:eastAsia="en-US"/>
    </w:rPr>
  </w:style>
  <w:style w:type="character" w:customStyle="1" w:styleId="FooterChar">
    <w:name w:val="Footer Char"/>
    <w:basedOn w:val="DefaultParagraphFont"/>
    <w:link w:val="Footer"/>
    <w:uiPriority w:val="99"/>
    <w:locked/>
    <w:rsid w:val="00CD4A84"/>
    <w:rPr>
      <w:rFonts w:ascii="Arial" w:hAnsi="Arial" w:cs="Arial"/>
      <w:snapToGrid w:val="0"/>
      <w:color w:val="404040" w:themeColor="text1" w:themeTint="BF"/>
      <w:sz w:val="19"/>
      <w:szCs w:val="18"/>
      <w:lang w:eastAsia="en-US"/>
    </w:rPr>
  </w:style>
  <w:style w:type="paragraph" w:customStyle="1" w:styleId="Header-FirstPage">
    <w:name w:val="Header - First Page"/>
    <w:basedOn w:val="Header"/>
    <w:uiPriority w:val="99"/>
    <w:rsid w:val="00CD4A84"/>
  </w:style>
  <w:style w:type="paragraph" w:customStyle="1" w:styleId="Appendicestitle">
    <w:name w:val="Appendices title"/>
    <w:basedOn w:val="Heading1TOC"/>
    <w:uiPriority w:val="99"/>
    <w:qFormat/>
    <w:rsid w:val="000702F7"/>
    <w:pPr>
      <w:numPr>
        <w:ilvl w:val="1"/>
        <w:numId w:val="27"/>
      </w:numPr>
      <w:spacing w:before="7200"/>
    </w:pPr>
  </w:style>
  <w:style w:type="numbering" w:customStyle="1" w:styleId="CVBullets">
    <w:name w:val="CV Bullets"/>
    <w:uiPriority w:val="99"/>
    <w:rsid w:val="00CD4A84"/>
    <w:pPr>
      <w:numPr>
        <w:numId w:val="10"/>
      </w:numPr>
    </w:pPr>
  </w:style>
  <w:style w:type="paragraph" w:styleId="DocumentMap">
    <w:name w:val="Document Map"/>
    <w:basedOn w:val="Normal"/>
    <w:link w:val="DocumentMapChar"/>
    <w:uiPriority w:val="99"/>
    <w:semiHidden/>
    <w:rsid w:val="00CD4A84"/>
    <w:rPr>
      <w:rFonts w:ascii="Tahoma" w:hAnsi="Tahoma" w:cs="Tahoma"/>
      <w:sz w:val="16"/>
      <w:szCs w:val="16"/>
    </w:rPr>
  </w:style>
  <w:style w:type="character" w:customStyle="1" w:styleId="DocumentMapChar">
    <w:name w:val="Document Map Char"/>
    <w:basedOn w:val="DefaultParagraphFont"/>
    <w:link w:val="DocumentMap"/>
    <w:uiPriority w:val="99"/>
    <w:semiHidden/>
    <w:rsid w:val="00CD4A84"/>
    <w:rPr>
      <w:rFonts w:ascii="Tahoma" w:hAnsi="Tahoma" w:cs="Tahoma"/>
      <w:snapToGrid w:val="0"/>
      <w:color w:val="404040" w:themeColor="text1" w:themeTint="BF"/>
      <w:sz w:val="16"/>
      <w:szCs w:val="16"/>
      <w:lang w:eastAsia="en-US"/>
    </w:rPr>
  </w:style>
  <w:style w:type="table" w:styleId="TableGrid1">
    <w:name w:val="Table Grid 1"/>
    <w:basedOn w:val="TableNormal"/>
    <w:semiHidden/>
    <w:locked/>
    <w:rsid w:val="00CD4A84"/>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CD4A84"/>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CD4A84"/>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CD4A84"/>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CD4A84"/>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CD4A84"/>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CD4A84"/>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CD4A84"/>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CD4A84"/>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CD4A84"/>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iPriority w:val="99"/>
    <w:unhideWhenUsed/>
    <w:locked/>
    <w:rsid w:val="00CD4A84"/>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uiPriority w:val="99"/>
    <w:rsid w:val="00CD4A84"/>
    <w:rPr>
      <w:rFonts w:ascii="Consolas" w:hAnsi="Consolas" w:cs="Arial"/>
      <w:snapToGrid w:val="0"/>
      <w:lang w:eastAsia="en-US"/>
    </w:rPr>
  </w:style>
  <w:style w:type="paragraph" w:styleId="Bibliography">
    <w:name w:val="Bibliography"/>
    <w:basedOn w:val="Normal"/>
    <w:next w:val="Normal"/>
    <w:uiPriority w:val="37"/>
    <w:semiHidden/>
    <w:locked/>
    <w:rsid w:val="00CD4A84"/>
  </w:style>
  <w:style w:type="paragraph" w:styleId="BlockText">
    <w:name w:val="Block Text"/>
    <w:basedOn w:val="Normal"/>
    <w:uiPriority w:val="99"/>
    <w:qFormat/>
    <w:rsid w:val="00CD4A84"/>
    <w:pPr>
      <w:spacing w:after="240"/>
    </w:pPr>
    <w:rPr>
      <w:rFonts w:eastAsiaTheme="minorEastAsia" w:cstheme="minorBidi"/>
      <w:b/>
      <w:i/>
      <w:iCs/>
      <w:color w:val="EB8C00" w:themeColor="accent1"/>
      <w:sz w:val="48"/>
    </w:rPr>
  </w:style>
  <w:style w:type="paragraph" w:styleId="BodyText">
    <w:name w:val="Body Text"/>
    <w:basedOn w:val="Normal"/>
    <w:link w:val="BodyTextChar"/>
    <w:uiPriority w:val="99"/>
    <w:semiHidden/>
    <w:locked/>
    <w:rsid w:val="00CD4A84"/>
    <w:pPr>
      <w:spacing w:after="120"/>
    </w:pPr>
  </w:style>
  <w:style w:type="character" w:customStyle="1" w:styleId="BodyTextChar">
    <w:name w:val="Body Text Char"/>
    <w:basedOn w:val="DefaultParagraphFont"/>
    <w:link w:val="BodyText"/>
    <w:uiPriority w:val="99"/>
    <w:semiHidden/>
    <w:rsid w:val="00CD4A84"/>
    <w:rPr>
      <w:rFonts w:asciiTheme="minorHAnsi" w:hAnsiTheme="minorHAnsi" w:cs="Arial"/>
      <w:snapToGrid w:val="0"/>
      <w:color w:val="404040" w:themeColor="text1" w:themeTint="BF"/>
      <w:sz w:val="22"/>
      <w:lang w:eastAsia="en-US"/>
    </w:rPr>
  </w:style>
  <w:style w:type="paragraph" w:styleId="BodyText2">
    <w:name w:val="Body Text 2"/>
    <w:basedOn w:val="Normal"/>
    <w:link w:val="BodyText2Char"/>
    <w:uiPriority w:val="99"/>
    <w:semiHidden/>
    <w:locked/>
    <w:rsid w:val="00CD4A84"/>
    <w:pPr>
      <w:spacing w:after="120" w:line="480" w:lineRule="auto"/>
    </w:pPr>
  </w:style>
  <w:style w:type="character" w:customStyle="1" w:styleId="BodyText2Char">
    <w:name w:val="Body Text 2 Char"/>
    <w:basedOn w:val="DefaultParagraphFont"/>
    <w:link w:val="BodyText2"/>
    <w:uiPriority w:val="99"/>
    <w:semiHidden/>
    <w:rsid w:val="00CD4A84"/>
    <w:rPr>
      <w:rFonts w:asciiTheme="minorHAnsi" w:hAnsiTheme="minorHAnsi" w:cs="Arial"/>
      <w:snapToGrid w:val="0"/>
      <w:color w:val="404040" w:themeColor="text1" w:themeTint="BF"/>
      <w:sz w:val="22"/>
      <w:lang w:eastAsia="en-US"/>
    </w:rPr>
  </w:style>
  <w:style w:type="paragraph" w:styleId="BodyText3">
    <w:name w:val="Body Text 3"/>
    <w:basedOn w:val="Normal"/>
    <w:link w:val="BodyText3Char"/>
    <w:uiPriority w:val="99"/>
    <w:semiHidden/>
    <w:locked/>
    <w:rsid w:val="00CD4A84"/>
    <w:pPr>
      <w:spacing w:after="120"/>
    </w:pPr>
    <w:rPr>
      <w:sz w:val="16"/>
      <w:szCs w:val="16"/>
    </w:rPr>
  </w:style>
  <w:style w:type="character" w:customStyle="1" w:styleId="BodyText3Char">
    <w:name w:val="Body Text 3 Char"/>
    <w:basedOn w:val="DefaultParagraphFont"/>
    <w:link w:val="BodyText3"/>
    <w:uiPriority w:val="99"/>
    <w:semiHidden/>
    <w:rsid w:val="00CD4A84"/>
    <w:rPr>
      <w:rFonts w:asciiTheme="minorHAnsi" w:hAnsiTheme="minorHAnsi" w:cs="Arial"/>
      <w:snapToGrid w:val="0"/>
      <w:color w:val="404040" w:themeColor="text1" w:themeTint="BF"/>
      <w:sz w:val="16"/>
      <w:szCs w:val="16"/>
      <w:lang w:eastAsia="en-US"/>
    </w:rPr>
  </w:style>
  <w:style w:type="paragraph" w:styleId="BodyTextFirstIndent">
    <w:name w:val="Body Text First Indent"/>
    <w:basedOn w:val="BodyText"/>
    <w:link w:val="BodyTextFirstIndentChar"/>
    <w:uiPriority w:val="99"/>
    <w:semiHidden/>
    <w:locked/>
    <w:rsid w:val="00CD4A84"/>
    <w:pPr>
      <w:spacing w:after="0"/>
      <w:ind w:firstLine="360"/>
    </w:pPr>
  </w:style>
  <w:style w:type="character" w:customStyle="1" w:styleId="BodyTextFirstIndentChar">
    <w:name w:val="Body Text First Indent Char"/>
    <w:basedOn w:val="BodyTextChar"/>
    <w:link w:val="BodyTextFirstIndent"/>
    <w:uiPriority w:val="99"/>
    <w:semiHidden/>
    <w:rsid w:val="00CD4A84"/>
    <w:rPr>
      <w:rFonts w:asciiTheme="minorHAnsi" w:hAnsiTheme="minorHAnsi" w:cs="Arial"/>
      <w:snapToGrid w:val="0"/>
      <w:color w:val="404040" w:themeColor="text1" w:themeTint="BF"/>
      <w:sz w:val="22"/>
      <w:lang w:eastAsia="en-US"/>
    </w:rPr>
  </w:style>
  <w:style w:type="paragraph" w:styleId="BodyTextIndent">
    <w:name w:val="Body Text Indent"/>
    <w:basedOn w:val="Normal"/>
    <w:link w:val="BodyTextIndentChar"/>
    <w:uiPriority w:val="99"/>
    <w:semiHidden/>
    <w:locked/>
    <w:rsid w:val="00CD4A84"/>
    <w:pPr>
      <w:spacing w:after="120"/>
      <w:ind w:left="283"/>
    </w:pPr>
  </w:style>
  <w:style w:type="character" w:customStyle="1" w:styleId="BodyTextIndentChar">
    <w:name w:val="Body Text Indent Char"/>
    <w:basedOn w:val="DefaultParagraphFont"/>
    <w:link w:val="BodyTextIndent"/>
    <w:uiPriority w:val="99"/>
    <w:semiHidden/>
    <w:rsid w:val="00CD4A84"/>
    <w:rPr>
      <w:rFonts w:asciiTheme="minorHAnsi" w:hAnsiTheme="minorHAnsi" w:cs="Arial"/>
      <w:snapToGrid w:val="0"/>
      <w:color w:val="404040" w:themeColor="text1" w:themeTint="BF"/>
      <w:sz w:val="22"/>
      <w:lang w:eastAsia="en-US"/>
    </w:rPr>
  </w:style>
  <w:style w:type="paragraph" w:styleId="BodyTextFirstIndent2">
    <w:name w:val="Body Text First Indent 2"/>
    <w:basedOn w:val="BodyTextIndent"/>
    <w:link w:val="BodyTextFirstIndent2Char"/>
    <w:uiPriority w:val="99"/>
    <w:semiHidden/>
    <w:locked/>
    <w:rsid w:val="00CD4A84"/>
    <w:pPr>
      <w:spacing w:after="0"/>
      <w:ind w:left="360" w:firstLine="360"/>
    </w:pPr>
  </w:style>
  <w:style w:type="character" w:customStyle="1" w:styleId="BodyTextFirstIndent2Char">
    <w:name w:val="Body Text First Indent 2 Char"/>
    <w:basedOn w:val="BodyTextIndentChar"/>
    <w:link w:val="BodyTextFirstIndent2"/>
    <w:uiPriority w:val="99"/>
    <w:semiHidden/>
    <w:rsid w:val="00CD4A84"/>
    <w:rPr>
      <w:rFonts w:asciiTheme="minorHAnsi" w:hAnsiTheme="minorHAnsi" w:cs="Arial"/>
      <w:snapToGrid w:val="0"/>
      <w:color w:val="404040" w:themeColor="text1" w:themeTint="BF"/>
      <w:sz w:val="22"/>
      <w:lang w:eastAsia="en-US"/>
    </w:rPr>
  </w:style>
  <w:style w:type="paragraph" w:styleId="BodyTextIndent2">
    <w:name w:val="Body Text Indent 2"/>
    <w:basedOn w:val="Normal"/>
    <w:link w:val="BodyTextIndent2Char"/>
    <w:uiPriority w:val="99"/>
    <w:semiHidden/>
    <w:locked/>
    <w:rsid w:val="00CD4A84"/>
    <w:pPr>
      <w:spacing w:after="120" w:line="480" w:lineRule="auto"/>
      <w:ind w:left="283"/>
    </w:pPr>
  </w:style>
  <w:style w:type="character" w:customStyle="1" w:styleId="BodyTextIndent2Char">
    <w:name w:val="Body Text Indent 2 Char"/>
    <w:basedOn w:val="DefaultParagraphFont"/>
    <w:link w:val="BodyTextIndent2"/>
    <w:uiPriority w:val="99"/>
    <w:semiHidden/>
    <w:rsid w:val="00CD4A84"/>
    <w:rPr>
      <w:rFonts w:asciiTheme="minorHAnsi" w:hAnsiTheme="minorHAnsi" w:cs="Arial"/>
      <w:snapToGrid w:val="0"/>
      <w:color w:val="404040" w:themeColor="text1" w:themeTint="BF"/>
      <w:sz w:val="22"/>
      <w:lang w:eastAsia="en-US"/>
    </w:rPr>
  </w:style>
  <w:style w:type="paragraph" w:styleId="BodyTextIndent3">
    <w:name w:val="Body Text Indent 3"/>
    <w:basedOn w:val="Normal"/>
    <w:link w:val="BodyTextIndent3Char"/>
    <w:uiPriority w:val="99"/>
    <w:semiHidden/>
    <w:locked/>
    <w:rsid w:val="00CD4A8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D4A84"/>
    <w:rPr>
      <w:rFonts w:asciiTheme="minorHAnsi" w:hAnsiTheme="minorHAnsi" w:cs="Arial"/>
      <w:snapToGrid w:val="0"/>
      <w:color w:val="404040" w:themeColor="text1" w:themeTint="BF"/>
      <w:sz w:val="16"/>
      <w:szCs w:val="16"/>
      <w:lang w:eastAsia="en-US"/>
    </w:rPr>
  </w:style>
  <w:style w:type="character" w:styleId="BookTitle">
    <w:name w:val="Book Title"/>
    <w:basedOn w:val="DefaultParagraphFont"/>
    <w:uiPriority w:val="33"/>
    <w:qFormat/>
    <w:locked/>
    <w:rsid w:val="00CD4A84"/>
    <w:rPr>
      <w:rFonts w:ascii="Georgia" w:hAnsi="Georgia"/>
      <w:b/>
      <w:bCs/>
      <w:smallCaps/>
      <w:spacing w:val="5"/>
    </w:rPr>
  </w:style>
  <w:style w:type="paragraph" w:styleId="Closing">
    <w:name w:val="Closing"/>
    <w:basedOn w:val="Normal"/>
    <w:link w:val="ClosingChar"/>
    <w:uiPriority w:val="99"/>
    <w:semiHidden/>
    <w:unhideWhenUsed/>
    <w:rsid w:val="00CD4A84"/>
    <w:pPr>
      <w:ind w:left="4252"/>
    </w:pPr>
  </w:style>
  <w:style w:type="character" w:customStyle="1" w:styleId="ClosingChar">
    <w:name w:val="Closing Char"/>
    <w:basedOn w:val="DefaultParagraphFont"/>
    <w:link w:val="Closing"/>
    <w:uiPriority w:val="99"/>
    <w:semiHidden/>
    <w:rsid w:val="00CD4A84"/>
    <w:rPr>
      <w:rFonts w:asciiTheme="minorHAnsi" w:hAnsiTheme="minorHAnsi" w:cs="Arial"/>
      <w:snapToGrid w:val="0"/>
      <w:color w:val="404040" w:themeColor="text1" w:themeTint="BF"/>
      <w:sz w:val="22"/>
      <w:lang w:eastAsia="en-US"/>
    </w:rPr>
  </w:style>
  <w:style w:type="character" w:styleId="CommentReference">
    <w:name w:val="annotation reference"/>
    <w:basedOn w:val="DefaultParagraphFont"/>
    <w:semiHidden/>
    <w:rsid w:val="00CD4A84"/>
    <w:rPr>
      <w:rFonts w:ascii="Georgia" w:hAnsi="Georgia"/>
      <w:sz w:val="16"/>
      <w:szCs w:val="16"/>
    </w:rPr>
  </w:style>
  <w:style w:type="paragraph" w:styleId="CommentText">
    <w:name w:val="annotation text"/>
    <w:basedOn w:val="Normal"/>
    <w:link w:val="CommentTextChar"/>
    <w:uiPriority w:val="99"/>
    <w:semiHidden/>
    <w:rsid w:val="00CD4A84"/>
  </w:style>
  <w:style w:type="character" w:customStyle="1" w:styleId="CommentTextChar">
    <w:name w:val="Comment Text Char"/>
    <w:basedOn w:val="DefaultParagraphFont"/>
    <w:link w:val="CommentText"/>
    <w:uiPriority w:val="99"/>
    <w:semiHidden/>
    <w:rsid w:val="00CD4A84"/>
    <w:rPr>
      <w:rFonts w:asciiTheme="minorHAnsi" w:hAnsiTheme="minorHAnsi" w:cs="Arial"/>
      <w:snapToGrid w:val="0"/>
      <w:color w:val="404040" w:themeColor="text1" w:themeTint="BF"/>
      <w:sz w:val="22"/>
      <w:lang w:eastAsia="en-US"/>
    </w:rPr>
  </w:style>
  <w:style w:type="paragraph" w:styleId="CommentSubject">
    <w:name w:val="annotation subject"/>
    <w:basedOn w:val="CommentText"/>
    <w:next w:val="CommentText"/>
    <w:link w:val="CommentSubjectChar"/>
    <w:uiPriority w:val="99"/>
    <w:semiHidden/>
    <w:rsid w:val="00CD4A84"/>
    <w:rPr>
      <w:b/>
      <w:bCs/>
    </w:rPr>
  </w:style>
  <w:style w:type="character" w:customStyle="1" w:styleId="CommentSubjectChar">
    <w:name w:val="Comment Subject Char"/>
    <w:basedOn w:val="CommentTextChar"/>
    <w:link w:val="CommentSubject"/>
    <w:uiPriority w:val="99"/>
    <w:semiHidden/>
    <w:rsid w:val="00CD4A84"/>
    <w:rPr>
      <w:rFonts w:asciiTheme="minorHAnsi" w:hAnsiTheme="minorHAnsi" w:cs="Arial"/>
      <w:b/>
      <w:bCs/>
      <w:snapToGrid w:val="0"/>
      <w:color w:val="404040" w:themeColor="text1" w:themeTint="BF"/>
      <w:sz w:val="22"/>
      <w:lang w:eastAsia="en-US"/>
    </w:rPr>
  </w:style>
  <w:style w:type="paragraph" w:styleId="EnvelopeAddress">
    <w:name w:val="envelope address"/>
    <w:basedOn w:val="Normal"/>
    <w:uiPriority w:val="99"/>
    <w:semiHidden/>
    <w:unhideWhenUsed/>
    <w:locked/>
    <w:rsid w:val="00CD4A8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locked/>
    <w:rsid w:val="00CD4A84"/>
    <w:rPr>
      <w:rFonts w:asciiTheme="majorHAnsi" w:eastAsiaTheme="majorEastAsia" w:hAnsiTheme="majorHAnsi" w:cstheme="majorBidi"/>
    </w:rPr>
  </w:style>
  <w:style w:type="character" w:styleId="FollowedHyperlink">
    <w:name w:val="FollowedHyperlink"/>
    <w:basedOn w:val="DefaultParagraphFont"/>
    <w:semiHidden/>
    <w:rsid w:val="00CD4A84"/>
    <w:rPr>
      <w:color w:val="EB8C00" w:themeColor="followedHyperlink"/>
      <w:u w:val="single"/>
    </w:rPr>
  </w:style>
  <w:style w:type="character" w:styleId="Hyperlink">
    <w:name w:val="Hyperlink"/>
    <w:basedOn w:val="DefaultParagraphFont"/>
    <w:uiPriority w:val="99"/>
    <w:rsid w:val="00CD4A84"/>
    <w:rPr>
      <w:color w:val="EB8C00" w:themeColor="text2"/>
      <w:u w:val="single"/>
    </w:rPr>
  </w:style>
  <w:style w:type="paragraph" w:styleId="IndexHeading">
    <w:name w:val="index heading"/>
    <w:basedOn w:val="Normal"/>
    <w:next w:val="Normal"/>
    <w:uiPriority w:val="99"/>
    <w:semiHidden/>
    <w:rsid w:val="00CD4A84"/>
    <w:rPr>
      <w:rFonts w:asciiTheme="majorHAnsi" w:eastAsiaTheme="majorEastAsia" w:hAnsiTheme="majorHAnsi" w:cstheme="majorBidi"/>
      <w:b/>
      <w:bCs/>
    </w:rPr>
  </w:style>
  <w:style w:type="paragraph" w:customStyle="1" w:styleId="BlockTextClient">
    <w:name w:val="Block Text Client"/>
    <w:basedOn w:val="BlockText"/>
    <w:uiPriority w:val="99"/>
    <w:rsid w:val="00CD4A84"/>
    <w:pPr>
      <w:spacing w:after="0"/>
    </w:pPr>
    <w:rPr>
      <w:b w:val="0"/>
      <w:sz w:val="20"/>
    </w:rPr>
  </w:style>
  <w:style w:type="paragraph" w:customStyle="1" w:styleId="BlockTextPosition">
    <w:name w:val="Block Text Position"/>
    <w:basedOn w:val="BlockText"/>
    <w:uiPriority w:val="99"/>
    <w:rsid w:val="00CD4A84"/>
    <w:rPr>
      <w:b w:val="0"/>
      <w:i w:val="0"/>
      <w:sz w:val="20"/>
    </w:rPr>
  </w:style>
  <w:style w:type="paragraph" w:customStyle="1" w:styleId="BlockText2Client">
    <w:name w:val="Block Text 2 Client"/>
    <w:basedOn w:val="BlockText2"/>
    <w:uiPriority w:val="99"/>
    <w:rsid w:val="00CD4A84"/>
    <w:pPr>
      <w:spacing w:after="0"/>
    </w:pPr>
    <w:rPr>
      <w:sz w:val="20"/>
      <w:szCs w:val="20"/>
    </w:rPr>
  </w:style>
  <w:style w:type="paragraph" w:customStyle="1" w:styleId="BlockText2Position">
    <w:name w:val="Block Text 2 Position"/>
    <w:basedOn w:val="BlockText2"/>
    <w:uiPriority w:val="99"/>
    <w:rsid w:val="00CD4A84"/>
    <w:rPr>
      <w:i w:val="0"/>
      <w:sz w:val="20"/>
      <w:szCs w:val="20"/>
    </w:rPr>
  </w:style>
  <w:style w:type="character" w:styleId="LineNumber">
    <w:name w:val="line number"/>
    <w:basedOn w:val="DefaultParagraphFont"/>
    <w:semiHidden/>
    <w:rsid w:val="00CD4A84"/>
  </w:style>
  <w:style w:type="paragraph" w:styleId="ListBullet">
    <w:name w:val="List Bullet"/>
    <w:basedOn w:val="Normal"/>
    <w:link w:val="ListBulletChar"/>
    <w:uiPriority w:val="14"/>
    <w:qFormat/>
    <w:locked/>
    <w:rsid w:val="001F627D"/>
    <w:pPr>
      <w:numPr>
        <w:numId w:val="12"/>
      </w:numPr>
      <w:spacing w:before="120" w:after="120"/>
    </w:pPr>
  </w:style>
  <w:style w:type="paragraph" w:styleId="ListBullet5">
    <w:name w:val="List Bullet 5"/>
    <w:basedOn w:val="ListBullet4"/>
    <w:unhideWhenUsed/>
    <w:locked/>
    <w:rsid w:val="00CD4A84"/>
    <w:pPr>
      <w:numPr>
        <w:ilvl w:val="4"/>
      </w:numPr>
      <w:contextualSpacing/>
    </w:pPr>
  </w:style>
  <w:style w:type="paragraph" w:styleId="ListNumber">
    <w:name w:val="List Number"/>
    <w:basedOn w:val="Normal"/>
    <w:uiPriority w:val="13"/>
    <w:unhideWhenUsed/>
    <w:qFormat/>
    <w:locked/>
    <w:rsid w:val="00CD4A84"/>
    <w:pPr>
      <w:contextualSpacing/>
    </w:pPr>
  </w:style>
  <w:style w:type="paragraph" w:styleId="ListNumber2">
    <w:name w:val="List Number 2"/>
    <w:basedOn w:val="ListNumber"/>
    <w:uiPriority w:val="13"/>
    <w:unhideWhenUsed/>
    <w:qFormat/>
    <w:locked/>
    <w:rsid w:val="00CD4A84"/>
    <w:pPr>
      <w:numPr>
        <w:ilvl w:val="1"/>
      </w:numPr>
    </w:pPr>
  </w:style>
  <w:style w:type="paragraph" w:styleId="ListNumber3">
    <w:name w:val="List Number 3"/>
    <w:basedOn w:val="ListNumber2"/>
    <w:uiPriority w:val="13"/>
    <w:unhideWhenUsed/>
    <w:qFormat/>
    <w:locked/>
    <w:rsid w:val="00CD4A84"/>
    <w:pPr>
      <w:numPr>
        <w:ilvl w:val="2"/>
      </w:numPr>
    </w:pPr>
  </w:style>
  <w:style w:type="paragraph" w:styleId="ListNumber4">
    <w:name w:val="List Number 4"/>
    <w:basedOn w:val="ListNumber3"/>
    <w:uiPriority w:val="13"/>
    <w:unhideWhenUsed/>
    <w:locked/>
    <w:rsid w:val="00CD4A84"/>
    <w:pPr>
      <w:numPr>
        <w:ilvl w:val="3"/>
      </w:numPr>
    </w:pPr>
  </w:style>
  <w:style w:type="paragraph" w:styleId="ListNumber5">
    <w:name w:val="List Number 5"/>
    <w:basedOn w:val="ListNumber4"/>
    <w:uiPriority w:val="13"/>
    <w:unhideWhenUsed/>
    <w:locked/>
    <w:rsid w:val="00CD4A84"/>
    <w:pPr>
      <w:numPr>
        <w:ilvl w:val="4"/>
      </w:numPr>
    </w:pPr>
  </w:style>
  <w:style w:type="paragraph" w:styleId="ListParagraph">
    <w:name w:val="List Paragraph"/>
    <w:basedOn w:val="Normal"/>
    <w:uiPriority w:val="34"/>
    <w:qFormat/>
    <w:locked/>
    <w:rsid w:val="00CD4A84"/>
    <w:pPr>
      <w:ind w:left="720"/>
      <w:contextualSpacing/>
    </w:pPr>
  </w:style>
  <w:style w:type="paragraph" w:styleId="MessageHeader">
    <w:name w:val="Message Header"/>
    <w:basedOn w:val="Normal"/>
    <w:link w:val="MessageHeaderChar"/>
    <w:uiPriority w:val="99"/>
    <w:semiHidden/>
    <w:rsid w:val="00CD4A8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D4A84"/>
    <w:rPr>
      <w:rFonts w:asciiTheme="majorHAnsi" w:eastAsiaTheme="majorEastAsia" w:hAnsiTheme="majorHAnsi" w:cstheme="majorBidi"/>
      <w:snapToGrid w:val="0"/>
      <w:color w:val="404040" w:themeColor="text1" w:themeTint="BF"/>
      <w:sz w:val="24"/>
      <w:szCs w:val="24"/>
      <w:shd w:val="pct20" w:color="auto" w:fill="auto"/>
      <w:lang w:eastAsia="en-US"/>
    </w:rPr>
  </w:style>
  <w:style w:type="paragraph" w:styleId="NoSpacing">
    <w:name w:val="No Spacing"/>
    <w:uiPriority w:val="1"/>
    <w:qFormat/>
    <w:rsid w:val="00CD4A84"/>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uiPriority w:val="99"/>
    <w:semiHidden/>
    <w:rsid w:val="00CD4A84"/>
    <w:pPr>
      <w:ind w:left="720"/>
    </w:pPr>
  </w:style>
  <w:style w:type="paragraph" w:styleId="NoteHeading">
    <w:name w:val="Note Heading"/>
    <w:basedOn w:val="Normal"/>
    <w:next w:val="Normal"/>
    <w:link w:val="NoteHeadingChar"/>
    <w:uiPriority w:val="99"/>
    <w:unhideWhenUsed/>
    <w:rsid w:val="00CD4A84"/>
  </w:style>
  <w:style w:type="character" w:customStyle="1" w:styleId="NoteHeadingChar">
    <w:name w:val="Note Heading Char"/>
    <w:basedOn w:val="DefaultParagraphFont"/>
    <w:link w:val="NoteHeading"/>
    <w:uiPriority w:val="99"/>
    <w:rsid w:val="00CD4A84"/>
    <w:rPr>
      <w:rFonts w:asciiTheme="minorHAnsi" w:hAnsiTheme="minorHAnsi" w:cs="Arial"/>
      <w:snapToGrid w:val="0"/>
      <w:color w:val="404040" w:themeColor="text1" w:themeTint="BF"/>
      <w:sz w:val="22"/>
      <w:lang w:eastAsia="en-US"/>
    </w:rPr>
  </w:style>
  <w:style w:type="character" w:styleId="PlaceholderText">
    <w:name w:val="Placeholder Text"/>
    <w:basedOn w:val="DefaultParagraphFont"/>
    <w:uiPriority w:val="99"/>
    <w:semiHidden/>
    <w:rsid w:val="00CD4A84"/>
    <w:rPr>
      <w:color w:val="808080"/>
    </w:rPr>
  </w:style>
  <w:style w:type="paragraph" w:styleId="PlainText">
    <w:name w:val="Plain Text"/>
    <w:basedOn w:val="Normal"/>
    <w:link w:val="PlainTextChar"/>
    <w:uiPriority w:val="99"/>
    <w:semiHidden/>
    <w:rsid w:val="00CD4A84"/>
    <w:rPr>
      <w:rFonts w:ascii="Consolas" w:hAnsi="Consolas"/>
    </w:rPr>
  </w:style>
  <w:style w:type="character" w:customStyle="1" w:styleId="PlainTextChar">
    <w:name w:val="Plain Text Char"/>
    <w:basedOn w:val="DefaultParagraphFont"/>
    <w:link w:val="PlainText"/>
    <w:uiPriority w:val="99"/>
    <w:semiHidden/>
    <w:rsid w:val="00CD4A84"/>
    <w:rPr>
      <w:rFonts w:ascii="Consolas" w:hAnsi="Consolas" w:cs="Arial"/>
      <w:snapToGrid w:val="0"/>
      <w:color w:val="404040" w:themeColor="text1" w:themeTint="BF"/>
      <w:sz w:val="22"/>
      <w:lang w:eastAsia="en-US"/>
    </w:rPr>
  </w:style>
  <w:style w:type="paragraph" w:styleId="Quote">
    <w:name w:val="Quote"/>
    <w:basedOn w:val="Normal"/>
    <w:next w:val="Normal"/>
    <w:link w:val="QuoteChar"/>
    <w:uiPriority w:val="29"/>
    <w:qFormat/>
    <w:rsid w:val="00CD4A84"/>
    <w:rPr>
      <w:i/>
      <w:iCs/>
      <w:color w:val="000000" w:themeColor="text1"/>
    </w:rPr>
  </w:style>
  <w:style w:type="character" w:customStyle="1" w:styleId="QuoteChar">
    <w:name w:val="Quote Char"/>
    <w:basedOn w:val="DefaultParagraphFont"/>
    <w:link w:val="Quote"/>
    <w:uiPriority w:val="29"/>
    <w:rsid w:val="00CD4A84"/>
    <w:rPr>
      <w:rFonts w:asciiTheme="minorHAnsi" w:hAnsiTheme="minorHAnsi" w:cs="Arial"/>
      <w:i/>
      <w:iCs/>
      <w:snapToGrid w:val="0"/>
      <w:color w:val="000000" w:themeColor="text1"/>
      <w:sz w:val="22"/>
      <w:lang w:eastAsia="en-US"/>
    </w:rPr>
  </w:style>
  <w:style w:type="paragraph" w:styleId="Salutation">
    <w:name w:val="Salutation"/>
    <w:basedOn w:val="Normal"/>
    <w:next w:val="Normal"/>
    <w:link w:val="SalutationChar"/>
    <w:uiPriority w:val="99"/>
    <w:semiHidden/>
    <w:unhideWhenUsed/>
    <w:rsid w:val="00CD4A84"/>
  </w:style>
  <w:style w:type="character" w:customStyle="1" w:styleId="SalutationChar">
    <w:name w:val="Salutation Char"/>
    <w:basedOn w:val="DefaultParagraphFont"/>
    <w:link w:val="Salutation"/>
    <w:uiPriority w:val="99"/>
    <w:semiHidden/>
    <w:rsid w:val="00CD4A84"/>
    <w:rPr>
      <w:rFonts w:asciiTheme="minorHAnsi" w:hAnsiTheme="minorHAnsi" w:cs="Arial"/>
      <w:snapToGrid w:val="0"/>
      <w:color w:val="404040" w:themeColor="text1" w:themeTint="BF"/>
      <w:sz w:val="22"/>
      <w:lang w:eastAsia="en-US"/>
    </w:rPr>
  </w:style>
  <w:style w:type="paragraph" w:styleId="Signature">
    <w:name w:val="Signature"/>
    <w:basedOn w:val="Normal"/>
    <w:link w:val="SignatureChar"/>
    <w:uiPriority w:val="99"/>
    <w:semiHidden/>
    <w:rsid w:val="00CD4A84"/>
    <w:pPr>
      <w:ind w:left="4252"/>
    </w:pPr>
  </w:style>
  <w:style w:type="character" w:customStyle="1" w:styleId="SignatureChar">
    <w:name w:val="Signature Char"/>
    <w:basedOn w:val="DefaultParagraphFont"/>
    <w:link w:val="Signature"/>
    <w:uiPriority w:val="99"/>
    <w:semiHidden/>
    <w:rsid w:val="00CD4A84"/>
    <w:rPr>
      <w:rFonts w:asciiTheme="minorHAnsi" w:hAnsiTheme="minorHAnsi" w:cs="Arial"/>
      <w:snapToGrid w:val="0"/>
      <w:color w:val="404040" w:themeColor="text1" w:themeTint="BF"/>
      <w:sz w:val="22"/>
      <w:lang w:eastAsia="en-US"/>
    </w:rPr>
  </w:style>
  <w:style w:type="paragraph" w:styleId="TableofAuthorities">
    <w:name w:val="table of authorities"/>
    <w:basedOn w:val="Normal"/>
    <w:next w:val="Normal"/>
    <w:uiPriority w:val="99"/>
    <w:semiHidden/>
    <w:unhideWhenUsed/>
    <w:rsid w:val="00CD4A84"/>
    <w:pPr>
      <w:ind w:left="210" w:hanging="210"/>
    </w:pPr>
  </w:style>
  <w:style w:type="paragraph" w:styleId="TableofFigures">
    <w:name w:val="table of figures"/>
    <w:basedOn w:val="Normal"/>
    <w:next w:val="Normal"/>
    <w:uiPriority w:val="99"/>
    <w:semiHidden/>
    <w:unhideWhenUsed/>
    <w:rsid w:val="00CD4A84"/>
  </w:style>
  <w:style w:type="paragraph" w:styleId="TOAHeading">
    <w:name w:val="toa heading"/>
    <w:basedOn w:val="Normal"/>
    <w:next w:val="Normal"/>
    <w:uiPriority w:val="99"/>
    <w:semiHidden/>
    <w:unhideWhenUsed/>
    <w:rsid w:val="00CD4A8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D4A84"/>
    <w:pPr>
      <w:keepNext/>
      <w:keepLines/>
      <w:spacing w:before="480"/>
      <w:outlineLvl w:val="9"/>
    </w:pPr>
    <w:rPr>
      <w:rFonts w:eastAsiaTheme="majorEastAsia" w:cstheme="majorBidi"/>
      <w:color w:val="B06800" w:themeColor="accent1" w:themeShade="BF"/>
      <w:sz w:val="28"/>
      <w:szCs w:val="28"/>
    </w:rPr>
  </w:style>
  <w:style w:type="paragraph" w:customStyle="1" w:styleId="CoverPanelFrame">
    <w:name w:val="Cover Panel Frame"/>
    <w:basedOn w:val="Coverpulloutframe"/>
    <w:uiPriority w:val="99"/>
    <w:rsid w:val="00CD4A84"/>
    <w:pPr>
      <w:framePr w:w="7441" w:wrap="notBeside" w:vAnchor="margin" w:hAnchor="text" w:x="-112" w:y="1"/>
      <w:pBdr>
        <w:top w:val="single" w:sz="4" w:space="1" w:color="auto"/>
        <w:left w:val="single" w:sz="4" w:space="4" w:color="auto"/>
      </w:pBdr>
    </w:pPr>
    <w:rPr>
      <w:rFonts w:eastAsia="+mn-ea"/>
    </w:rPr>
  </w:style>
  <w:style w:type="paragraph" w:customStyle="1" w:styleId="LogoActivated">
    <w:name w:val="Logo Activated"/>
    <w:basedOn w:val="Normal"/>
    <w:uiPriority w:val="99"/>
    <w:rsid w:val="00CD4A84"/>
    <w:pPr>
      <w:framePr w:w="3119" w:h="1412" w:hRule="exact" w:wrap="around" w:vAnchor="page" w:hAnchor="page" w:x="1543" w:y="15299"/>
      <w:tabs>
        <w:tab w:val="center" w:pos="2551"/>
        <w:tab w:val="right" w:pos="7682"/>
      </w:tabs>
      <w:spacing w:line="0" w:lineRule="atLeast"/>
    </w:pPr>
    <w:rPr>
      <w:rFonts w:asciiTheme="majorHAnsi" w:hAnsiTheme="majorHAnsi"/>
      <w:noProof/>
      <w:snapToGrid/>
      <w:sz w:val="18"/>
      <w:szCs w:val="32"/>
      <w:lang w:eastAsia="en-AU"/>
    </w:rPr>
  </w:style>
  <w:style w:type="paragraph" w:customStyle="1" w:styleId="FirstPagePanelFrame">
    <w:name w:val="First Page Panel Frame"/>
    <w:basedOn w:val="CoverPanelFrame"/>
    <w:uiPriority w:val="99"/>
    <w:rsid w:val="00CD4A84"/>
    <w:pPr>
      <w:framePr w:w="8334" w:h="227" w:hRule="exact" w:wrap="notBeside" w:y="-169"/>
      <w:pBdr>
        <w:top w:val="single" w:sz="6" w:space="1" w:color="EB8C00" w:themeColor="text2"/>
        <w:left w:val="single" w:sz="6" w:space="4" w:color="EB8C00" w:themeColor="text2"/>
      </w:pBdr>
    </w:pPr>
  </w:style>
  <w:style w:type="paragraph" w:customStyle="1" w:styleId="URLCover">
    <w:name w:val="URL Cover"/>
    <w:basedOn w:val="Normal"/>
    <w:uiPriority w:val="99"/>
    <w:rsid w:val="00CD4A84"/>
    <w:rPr>
      <w:color w:val="000000" w:themeColor="text1"/>
      <w:sz w:val="19"/>
    </w:rPr>
  </w:style>
  <w:style w:type="paragraph" w:customStyle="1" w:styleId="Coverpulloutframe">
    <w:name w:val="Cover pull out frame"/>
    <w:basedOn w:val="KeySentenceInside"/>
    <w:uiPriority w:val="99"/>
    <w:rsid w:val="00CD4A84"/>
    <w:pPr>
      <w:framePr w:w="2189" w:h="227" w:wrap="notBeside" w:vAnchor="page" w:hAnchor="page" w:x="908" w:y="8415"/>
      <w:pBdr>
        <w:top w:val="dotted" w:sz="8" w:space="1" w:color="EB8C00" w:themeColor="text2"/>
        <w:left w:val="dotted" w:sz="8" w:space="4" w:color="EB8C00" w:themeColor="text2"/>
      </w:pBdr>
      <w:spacing w:after="0" w:line="0" w:lineRule="atLeast"/>
    </w:pPr>
    <w:rPr>
      <w:color w:val="auto"/>
      <w:sz w:val="8"/>
      <w:lang w:val="en-GB"/>
    </w:rPr>
  </w:style>
  <w:style w:type="paragraph" w:customStyle="1" w:styleId="Heading1Cover">
    <w:name w:val="Heading 1 Cover"/>
    <w:basedOn w:val="Heading1"/>
    <w:uiPriority w:val="99"/>
    <w:rsid w:val="000B7AB9"/>
    <w:pPr>
      <w:spacing w:line="960" w:lineRule="atLeast"/>
      <w:jc w:val="center"/>
    </w:pPr>
    <w:rPr>
      <w:color w:val="auto"/>
      <w:sz w:val="92"/>
      <w:szCs w:val="88"/>
      <w:lang w:val="en-GB"/>
    </w:rPr>
  </w:style>
  <w:style w:type="paragraph" w:customStyle="1" w:styleId="Heading1ChapterHeading">
    <w:name w:val="Heading 1 Chapter Heading"/>
    <w:basedOn w:val="Heading1"/>
    <w:uiPriority w:val="99"/>
    <w:rsid w:val="000A7A1E"/>
    <w:rPr>
      <w:bCs w:val="0"/>
      <w:color w:val="E03028"/>
    </w:rPr>
  </w:style>
  <w:style w:type="paragraph" w:customStyle="1" w:styleId="LogoFixed">
    <w:name w:val="Logo Fixed"/>
    <w:basedOn w:val="LogoActivated"/>
    <w:uiPriority w:val="99"/>
    <w:rsid w:val="00CD4A84"/>
    <w:pPr>
      <w:framePr w:h="2733" w:hRule="exact" w:wrap="around" w:x="1322" w:y="14125"/>
    </w:pPr>
  </w:style>
  <w:style w:type="paragraph" w:customStyle="1" w:styleId="NumericCaption">
    <w:name w:val="Numeric Caption"/>
    <w:basedOn w:val="Caption"/>
    <w:uiPriority w:val="99"/>
    <w:rsid w:val="00CD4A84"/>
    <w:rPr>
      <w:rFonts w:ascii="Arial" w:hAnsi="Arial"/>
    </w:rPr>
  </w:style>
  <w:style w:type="paragraph" w:customStyle="1" w:styleId="NumericTableColumnHeadingNormal">
    <w:name w:val="Numeric Table Column Heading Normal"/>
    <w:basedOn w:val="TableColumnHeadingNormal"/>
    <w:uiPriority w:val="99"/>
    <w:rsid w:val="00CD4A84"/>
    <w:rPr>
      <w:rFonts w:ascii="Arial" w:hAnsi="Arial"/>
    </w:rPr>
  </w:style>
  <w:style w:type="paragraph" w:customStyle="1" w:styleId="NumericTableTextNormal">
    <w:name w:val="Numeric Table Text Normal"/>
    <w:basedOn w:val="TableTextNormal"/>
    <w:uiPriority w:val="99"/>
    <w:rsid w:val="00CD4A84"/>
    <w:rPr>
      <w:rFonts w:ascii="Arial" w:hAnsi="Arial"/>
    </w:rPr>
  </w:style>
  <w:style w:type="paragraph" w:customStyle="1" w:styleId="NumericSources">
    <w:name w:val="Numeric Sources"/>
    <w:basedOn w:val="Sources"/>
    <w:uiPriority w:val="99"/>
    <w:rsid w:val="00CD4A84"/>
    <w:rPr>
      <w:rFonts w:ascii="Arial" w:hAnsi="Arial"/>
    </w:rPr>
  </w:style>
  <w:style w:type="paragraph" w:customStyle="1" w:styleId="NumericTableColumnHeadingSmall">
    <w:name w:val="Numeric Table Column Heading Small"/>
    <w:basedOn w:val="NumericTableColumnHeadingNormal"/>
    <w:uiPriority w:val="99"/>
    <w:rsid w:val="00CD4A84"/>
    <w:rPr>
      <w:sz w:val="16"/>
      <w:szCs w:val="16"/>
    </w:rPr>
  </w:style>
  <w:style w:type="paragraph" w:customStyle="1" w:styleId="NumericTableTextSmall">
    <w:name w:val="Numeric Table Text Small"/>
    <w:basedOn w:val="NumericTableTextNormal"/>
    <w:uiPriority w:val="99"/>
    <w:rsid w:val="00CD4A84"/>
    <w:rPr>
      <w:sz w:val="16"/>
      <w:szCs w:val="16"/>
    </w:rPr>
  </w:style>
  <w:style w:type="paragraph" w:customStyle="1" w:styleId="NumericTableTextDecimalNormal">
    <w:name w:val="Numeric Table Text Decimal Normal"/>
    <w:basedOn w:val="NumericTableTextNormal"/>
    <w:uiPriority w:val="99"/>
    <w:rsid w:val="00CD4A84"/>
    <w:pPr>
      <w:tabs>
        <w:tab w:val="decimal" w:pos="1004"/>
      </w:tabs>
    </w:pPr>
  </w:style>
  <w:style w:type="paragraph" w:customStyle="1" w:styleId="NumericTableTextDecimalSmall">
    <w:name w:val="Numeric Table Text Decimal Small"/>
    <w:basedOn w:val="NumericTableTextDecimalNormal"/>
    <w:uiPriority w:val="99"/>
    <w:rsid w:val="00CD4A84"/>
    <w:rPr>
      <w:sz w:val="16"/>
      <w:szCs w:val="16"/>
    </w:rPr>
  </w:style>
  <w:style w:type="paragraph" w:customStyle="1" w:styleId="Heading2Nospacing">
    <w:name w:val="Heading 2 No spacing"/>
    <w:basedOn w:val="Heading2"/>
    <w:uiPriority w:val="99"/>
    <w:rsid w:val="00CD4A84"/>
    <w:pPr>
      <w:numPr>
        <w:ilvl w:val="0"/>
        <w:numId w:val="0"/>
      </w:numPr>
      <w:spacing w:after="0" w:line="0" w:lineRule="atLeast"/>
    </w:pPr>
  </w:style>
  <w:style w:type="paragraph" w:customStyle="1" w:styleId="TableNumberedList1">
    <w:name w:val="Table Numbered List 1"/>
    <w:basedOn w:val="TableTextNormal"/>
    <w:uiPriority w:val="99"/>
    <w:rsid w:val="00CD4A84"/>
    <w:pPr>
      <w:numPr>
        <w:numId w:val="23"/>
      </w:numPr>
    </w:pPr>
  </w:style>
  <w:style w:type="paragraph" w:customStyle="1" w:styleId="TableNumberedList2">
    <w:name w:val="Table Numbered List 2"/>
    <w:basedOn w:val="TableNumberedList1"/>
    <w:uiPriority w:val="99"/>
    <w:rsid w:val="00CD4A84"/>
    <w:pPr>
      <w:numPr>
        <w:ilvl w:val="1"/>
      </w:numPr>
      <w:spacing w:before="40" w:after="40"/>
    </w:pPr>
  </w:style>
  <w:style w:type="paragraph" w:customStyle="1" w:styleId="TableNumberedList3">
    <w:name w:val="Table Numbered List 3"/>
    <w:basedOn w:val="TableNumberedList2"/>
    <w:uiPriority w:val="99"/>
    <w:rsid w:val="00CD4A84"/>
    <w:pPr>
      <w:numPr>
        <w:ilvl w:val="2"/>
      </w:numPr>
    </w:pPr>
  </w:style>
  <w:style w:type="paragraph" w:customStyle="1" w:styleId="TableNumberedListSmall1">
    <w:name w:val="Table Numbered List Small 1"/>
    <w:basedOn w:val="TableTextSmall"/>
    <w:uiPriority w:val="99"/>
    <w:rsid w:val="00CD4A84"/>
    <w:pPr>
      <w:numPr>
        <w:numId w:val="25"/>
      </w:numPr>
    </w:pPr>
  </w:style>
  <w:style w:type="paragraph" w:customStyle="1" w:styleId="TableNumberedListSmall2">
    <w:name w:val="Table Numbered List Small 2"/>
    <w:basedOn w:val="TableNumberedListSmall1"/>
    <w:uiPriority w:val="99"/>
    <w:rsid w:val="00CD4A84"/>
    <w:pPr>
      <w:numPr>
        <w:ilvl w:val="1"/>
      </w:numPr>
    </w:pPr>
    <w:rPr>
      <w:szCs w:val="21"/>
    </w:rPr>
  </w:style>
  <w:style w:type="paragraph" w:customStyle="1" w:styleId="TableNumberedListSmall3">
    <w:name w:val="Table Numbered List Small 3"/>
    <w:basedOn w:val="TableNumberedListSmall2"/>
    <w:uiPriority w:val="99"/>
    <w:rsid w:val="00CD4A84"/>
    <w:pPr>
      <w:numPr>
        <w:ilvl w:val="2"/>
      </w:numPr>
    </w:pPr>
  </w:style>
  <w:style w:type="numbering" w:customStyle="1" w:styleId="ListNumberList">
    <w:name w:val="List Number List"/>
    <w:uiPriority w:val="99"/>
    <w:rsid w:val="00CD4A84"/>
    <w:pPr>
      <w:numPr>
        <w:numId w:val="13"/>
      </w:numPr>
    </w:pPr>
  </w:style>
  <w:style w:type="numbering" w:styleId="111111">
    <w:name w:val="Outline List 2"/>
    <w:basedOn w:val="NoList"/>
    <w:rsid w:val="00070164"/>
    <w:pPr>
      <w:numPr>
        <w:numId w:val="2"/>
      </w:numPr>
    </w:pPr>
  </w:style>
  <w:style w:type="numbering" w:styleId="1ai">
    <w:name w:val="Outline List 1"/>
    <w:basedOn w:val="NoList"/>
    <w:rsid w:val="00070164"/>
    <w:pPr>
      <w:numPr>
        <w:numId w:val="3"/>
      </w:numPr>
    </w:pPr>
  </w:style>
  <w:style w:type="numbering" w:styleId="ArticleSection">
    <w:name w:val="Outline List 3"/>
    <w:basedOn w:val="NoList"/>
    <w:rsid w:val="00CD4A84"/>
    <w:pPr>
      <w:numPr>
        <w:numId w:val="5"/>
      </w:numPr>
    </w:pPr>
  </w:style>
  <w:style w:type="paragraph" w:customStyle="1" w:styleId="Minorheading3">
    <w:name w:val="Minor heading 3"/>
    <w:basedOn w:val="Minorheading2"/>
    <w:uiPriority w:val="99"/>
    <w:rsid w:val="00CD4A84"/>
    <w:rPr>
      <w:b w:val="0"/>
      <w:i/>
    </w:rPr>
  </w:style>
  <w:style w:type="table" w:customStyle="1" w:styleId="Tables-APLines">
    <w:name w:val="Tables - AP Lines"/>
    <w:basedOn w:val="TableNormal"/>
    <w:rsid w:val="00CD4A84"/>
    <w:tblPr>
      <w:tblStyleRowBandSize w:val="1"/>
      <w:tblStyleColBandSize w:val="1"/>
      <w:tblBorders>
        <w:insideH w:val="single" w:sz="4" w:space="0" w:color="EB8C00" w:themeColor="text2"/>
        <w:insideV w:val="single" w:sz="4" w:space="0" w:color="EB8C00" w:themeColor="text2"/>
      </w:tblBorders>
    </w:tblPr>
    <w:tcPr>
      <w:shd w:val="clear" w:color="auto" w:fill="auto"/>
    </w:tcPr>
    <w:tblStylePr w:type="firstRow">
      <w:pPr>
        <w:jc w:val="center"/>
      </w:pPr>
      <w:rPr>
        <w:rFonts w:asciiTheme="minorHAnsi" w:hAnsiTheme="minorHAnsi"/>
        <w:color w:val="auto"/>
      </w:rPr>
      <w:tblPr/>
      <w:tcPr>
        <w:vAlign w:val="bottom"/>
      </w:tcPr>
    </w:tblStylePr>
    <w:tblStylePr w:type="lastRow">
      <w:rPr>
        <w:color w:val="FFFFFF" w:themeColor="background1"/>
      </w:rPr>
    </w:tblStylePr>
    <w:tblStylePr w:type="nwCell">
      <w:pPr>
        <w:jc w:val="left"/>
      </w:pPr>
      <w:tblPr/>
      <w:tcPr>
        <w:vAlign w:val="bottom"/>
      </w:tcPr>
    </w:tblStylePr>
  </w:style>
  <w:style w:type="table" w:customStyle="1" w:styleId="PwCPanelframe">
    <w:name w:val="PwC Panel frame"/>
    <w:basedOn w:val="TableNormal"/>
    <w:uiPriority w:val="99"/>
    <w:qFormat/>
    <w:rsid w:val="00CD4A84"/>
    <w:pPr>
      <w:spacing w:line="227" w:lineRule="exact"/>
    </w:pPr>
    <w:rPr>
      <w:sz w:val="8"/>
    </w:rPr>
    <w:tblPr>
      <w:tblBorders>
        <w:top w:val="single" w:sz="8" w:space="0" w:color="EB8C00" w:themeColor="text2"/>
        <w:left w:val="single" w:sz="8" w:space="0" w:color="EB8C00" w:themeColor="text2"/>
      </w:tblBorders>
      <w:tblCellMar>
        <w:left w:w="227" w:type="dxa"/>
        <w:right w:w="0" w:type="dxa"/>
      </w:tblCellMar>
    </w:tblPr>
    <w:tcPr>
      <w:shd w:val="clear" w:color="auto" w:fill="auto"/>
    </w:tcPr>
  </w:style>
  <w:style w:type="table" w:customStyle="1" w:styleId="PwCpull-outframe">
    <w:name w:val="PwC pull-out frame"/>
    <w:basedOn w:val="PwCPanelframe"/>
    <w:uiPriority w:val="99"/>
    <w:rsid w:val="00CD4A84"/>
    <w:tblPr>
      <w:tblBorders>
        <w:top w:val="dotted" w:sz="8" w:space="0" w:color="EB8C00" w:themeColor="text2"/>
        <w:left w:val="dotted" w:sz="8" w:space="0" w:color="EB8C00" w:themeColor="text2"/>
      </w:tblBorders>
    </w:tblPr>
    <w:tcPr>
      <w:shd w:val="clear" w:color="auto" w:fill="auto"/>
    </w:tcPr>
  </w:style>
  <w:style w:type="paragraph" w:customStyle="1" w:styleId="Bullet1">
    <w:name w:val="Bullet 1"/>
    <w:basedOn w:val="PwCNormal"/>
    <w:rsid w:val="00CD4A84"/>
    <w:pPr>
      <w:numPr>
        <w:numId w:val="7"/>
      </w:numPr>
      <w:spacing w:after="80"/>
    </w:pPr>
  </w:style>
  <w:style w:type="paragraph" w:customStyle="1" w:styleId="Bullet2">
    <w:name w:val="Bullet 2"/>
    <w:basedOn w:val="Bullet1"/>
    <w:rsid w:val="00CD4A84"/>
    <w:pPr>
      <w:numPr>
        <w:ilvl w:val="1"/>
      </w:numPr>
    </w:pPr>
  </w:style>
  <w:style w:type="paragraph" w:customStyle="1" w:styleId="Bullet3">
    <w:name w:val="Bullet 3"/>
    <w:basedOn w:val="Bullet2"/>
    <w:rsid w:val="00CD4A84"/>
    <w:pPr>
      <w:numPr>
        <w:ilvl w:val="2"/>
      </w:numPr>
    </w:pPr>
  </w:style>
  <w:style w:type="paragraph" w:customStyle="1" w:styleId="Bullet4">
    <w:name w:val="Bullet 4"/>
    <w:basedOn w:val="Bullet3"/>
    <w:rsid w:val="00CD4A84"/>
    <w:pPr>
      <w:numPr>
        <w:ilvl w:val="3"/>
      </w:numPr>
    </w:pPr>
  </w:style>
  <w:style w:type="numbering" w:customStyle="1" w:styleId="Bullets">
    <w:name w:val="Bullets"/>
    <w:uiPriority w:val="99"/>
    <w:rsid w:val="00CD4A84"/>
    <w:pPr>
      <w:numPr>
        <w:numId w:val="7"/>
      </w:numPr>
    </w:pPr>
  </w:style>
  <w:style w:type="paragraph" w:customStyle="1" w:styleId="FirstPagePanelFrame-Contents">
    <w:name w:val="First Page Panel Frame - Contents"/>
    <w:basedOn w:val="FirstPagePanelFrame"/>
    <w:uiPriority w:val="99"/>
    <w:rsid w:val="00CD4A84"/>
    <w:pPr>
      <w:framePr w:wrap="notBeside"/>
    </w:pPr>
  </w:style>
  <w:style w:type="numbering" w:customStyle="1" w:styleId="ChapterNumberingList">
    <w:name w:val="Chapter Numbering List"/>
    <w:uiPriority w:val="99"/>
    <w:rsid w:val="00CD4A84"/>
    <w:pPr>
      <w:numPr>
        <w:numId w:val="8"/>
      </w:numPr>
    </w:pPr>
  </w:style>
  <w:style w:type="character" w:customStyle="1" w:styleId="TableTextSmallChar">
    <w:name w:val="Table Text Small Char"/>
    <w:basedOn w:val="DefaultParagraphFont"/>
    <w:link w:val="TableTextSmall"/>
    <w:rsid w:val="00CD4A84"/>
    <w:rPr>
      <w:rFonts w:asciiTheme="minorHAnsi" w:hAnsiTheme="minorHAnsi" w:cs="Arial"/>
      <w:snapToGrid w:val="0"/>
      <w:color w:val="404040" w:themeColor="text1" w:themeTint="BF"/>
      <w:sz w:val="16"/>
      <w:szCs w:val="18"/>
      <w:lang w:eastAsia="en-US"/>
    </w:rPr>
  </w:style>
  <w:style w:type="table" w:customStyle="1" w:styleId="Tables-APBase1">
    <w:name w:val="Tables - AP Base1"/>
    <w:basedOn w:val="TableNormal"/>
    <w:rsid w:val="00CD4A84"/>
    <w:rPr>
      <w:rFonts w:ascii="Arial" w:hAnsi="Arial"/>
      <w:sz w:val="21"/>
      <w:szCs w:val="21"/>
    </w:rPr>
    <w:tblPr>
      <w:tblStyleRowBandSize w:val="1"/>
      <w:tblStyleColBandSize w:val="1"/>
      <w:tblBorders>
        <w:top w:val="single" w:sz="4" w:space="0" w:color="FFFFFF"/>
        <w:left w:val="single" w:sz="4" w:space="0" w:color="FFFFFF"/>
        <w:bottom w:val="single" w:sz="6" w:space="0" w:color="EB8C00" w:themeColor="text2"/>
        <w:right w:val="single" w:sz="4" w:space="0" w:color="FFFFFF"/>
        <w:insideH w:val="dotted" w:sz="8" w:space="0" w:color="EB8C00" w:themeColor="text2"/>
        <w:insideV w:val="single" w:sz="4" w:space="0" w:color="FFFFFF"/>
      </w:tblBorders>
    </w:tblPr>
    <w:tcPr>
      <w:shd w:val="clear" w:color="auto" w:fill="auto"/>
      <w:tcMar>
        <w:top w:w="0" w:type="dxa"/>
        <w:left w:w="108" w:type="dxa"/>
        <w:bottom w:w="0" w:type="dxa"/>
        <w:right w:w="108" w:type="dxa"/>
      </w:tcMar>
    </w:tcPr>
    <w:tblStylePr w:type="firstRow">
      <w:pPr>
        <w:jc w:val="left"/>
      </w:pPr>
      <w:rPr>
        <w:rFonts w:asciiTheme="minorHAnsi" w:hAnsiTheme="minorHAnsi"/>
        <w:b w:val="0"/>
        <w:color w:val="auto"/>
      </w:rPr>
      <w:tblPr/>
      <w:trPr>
        <w:tblHeader/>
      </w:trPr>
      <w:tcPr>
        <w:tcBorders>
          <w:top w:val="single" w:sz="4" w:space="0" w:color="EB8C00" w:themeColor="text2"/>
          <w:bottom w:val="single" w:sz="4" w:space="0" w:color="EB8C00" w:themeColor="text2"/>
        </w:tcBorders>
      </w:tcPr>
    </w:tblStylePr>
    <w:tblStylePr w:type="lastRow">
      <w:rPr>
        <w:color w:val="auto"/>
      </w:rPr>
      <w:tblPr/>
      <w:tcPr>
        <w:tcBorders>
          <w:top w:val="single" w:sz="4" w:space="0" w:color="EB8C00" w:themeColor="text2"/>
        </w:tcBorders>
        <w:shd w:val="clear" w:color="auto" w:fill="auto"/>
      </w:tcPr>
    </w:tblStylePr>
    <w:tblStylePr w:type="nwCell">
      <w:pPr>
        <w:jc w:val="left"/>
      </w:pPr>
      <w:tblPr/>
      <w:tcPr>
        <w:vAlign w:val="bottom"/>
      </w:tcPr>
    </w:tblStylePr>
  </w:style>
  <w:style w:type="paragraph" w:customStyle="1" w:styleId="TableText">
    <w:name w:val="Table Text"/>
    <w:basedOn w:val="Normal"/>
    <w:uiPriority w:val="99"/>
    <w:qFormat/>
    <w:rsid w:val="00EE500A"/>
    <w:pPr>
      <w:kinsoku/>
      <w:overflowPunct/>
      <w:autoSpaceDE/>
      <w:autoSpaceDN/>
      <w:adjustRightInd/>
      <w:snapToGrid/>
      <w:spacing w:line="264" w:lineRule="auto"/>
      <w:contextualSpacing/>
    </w:pPr>
    <w:rPr>
      <w:rFonts w:ascii="Arial" w:hAnsi="Arial" w:cs="Times New Roman"/>
      <w:snapToGrid/>
      <w:sz w:val="16"/>
      <w:lang w:val="en-US"/>
    </w:rPr>
  </w:style>
  <w:style w:type="paragraph" w:customStyle="1" w:styleId="ListBulletsingle">
    <w:name w:val="List Bullet single"/>
    <w:basedOn w:val="ListBullet"/>
    <w:link w:val="ListBulletsingleChar"/>
    <w:qFormat/>
    <w:rsid w:val="00CD4A84"/>
    <w:pPr>
      <w:numPr>
        <w:numId w:val="0"/>
      </w:numPr>
      <w:tabs>
        <w:tab w:val="num" w:pos="283"/>
      </w:tabs>
      <w:spacing w:before="0" w:after="0"/>
      <w:ind w:left="284" w:hanging="284"/>
    </w:pPr>
    <w:rPr>
      <w:szCs w:val="21"/>
      <w:lang w:val="en-NZ"/>
    </w:rPr>
  </w:style>
  <w:style w:type="paragraph" w:styleId="ListContinue">
    <w:name w:val="List Continue"/>
    <w:basedOn w:val="Normal"/>
    <w:semiHidden/>
    <w:locked/>
    <w:rsid w:val="00CD4A84"/>
    <w:pPr>
      <w:spacing w:after="120"/>
      <w:ind w:left="283"/>
      <w:contextualSpacing/>
    </w:pPr>
  </w:style>
  <w:style w:type="paragraph" w:customStyle="1" w:styleId="Tabletext0">
    <w:name w:val="Table text"/>
    <w:basedOn w:val="BodyText"/>
    <w:uiPriority w:val="99"/>
    <w:qFormat/>
    <w:rsid w:val="00345821"/>
    <w:pPr>
      <w:kinsoku/>
      <w:overflowPunct/>
      <w:autoSpaceDE/>
      <w:autoSpaceDN/>
      <w:adjustRightInd/>
      <w:snapToGrid/>
      <w:spacing w:before="40" w:after="40"/>
    </w:pPr>
    <w:rPr>
      <w:rFonts w:eastAsiaTheme="minorHAnsi" w:cstheme="minorBidi"/>
      <w:snapToGrid/>
      <w:sz w:val="18"/>
      <w:lang w:val="en-GB"/>
    </w:rPr>
  </w:style>
  <w:style w:type="table" w:styleId="LightList">
    <w:name w:val="Light List"/>
    <w:basedOn w:val="TableNormal"/>
    <w:uiPriority w:val="61"/>
    <w:locked/>
    <w:rsid w:val="00CD4A84"/>
    <w:rPr>
      <w:rFonts w:eastAsiaTheme="minorHAnsi" w:cstheme="minorBidi"/>
      <w:lang w:val="en-GB"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s-APBase20">
    <w:name w:val="Tables - AP Base2"/>
    <w:basedOn w:val="TableNormal"/>
    <w:rsid w:val="00CD4A84"/>
    <w:tblPr>
      <w:tblStyleRowBandSize w:val="1"/>
      <w:tblStyleColBandSize w:val="1"/>
      <w:tblBorders>
        <w:top w:val="single" w:sz="4" w:space="0" w:color="FFFFFF"/>
        <w:left w:val="single" w:sz="4" w:space="0" w:color="FFFFFF"/>
        <w:bottom w:val="single" w:sz="6" w:space="0" w:color="EB8C00" w:themeColor="text2"/>
        <w:right w:val="single" w:sz="4" w:space="0" w:color="FFFFFF"/>
        <w:insideH w:val="dotted" w:sz="8" w:space="0" w:color="EB8C00"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EB8C00" w:themeColor="text2"/>
          <w:bottom w:val="single" w:sz="4" w:space="0" w:color="EB8C00" w:themeColor="text2"/>
        </w:tcBorders>
      </w:tcPr>
    </w:tblStylePr>
    <w:tblStylePr w:type="lastRow">
      <w:rPr>
        <w:color w:val="auto"/>
      </w:rPr>
      <w:tblPr/>
      <w:tcPr>
        <w:tcBorders>
          <w:top w:val="single" w:sz="4" w:space="0" w:color="EB8C00" w:themeColor="text2"/>
        </w:tcBorders>
        <w:shd w:val="clear" w:color="auto" w:fill="auto"/>
      </w:tcPr>
    </w:tblStylePr>
    <w:tblStylePr w:type="nwCell">
      <w:pPr>
        <w:jc w:val="left"/>
      </w:pPr>
      <w:tblPr/>
      <w:tcPr>
        <w:vAlign w:val="bottom"/>
      </w:tcPr>
    </w:tblStylePr>
  </w:style>
  <w:style w:type="table" w:customStyle="1" w:styleId="Tables-APBase3">
    <w:name w:val="Tables - AP Base3"/>
    <w:basedOn w:val="TableNormal"/>
    <w:rsid w:val="00CD4A84"/>
    <w:tblPr>
      <w:tblStyleRowBandSize w:val="1"/>
      <w:tblStyleColBandSize w:val="1"/>
      <w:tblBorders>
        <w:top w:val="single" w:sz="4" w:space="0" w:color="FFFFFF"/>
        <w:left w:val="single" w:sz="4" w:space="0" w:color="FFFFFF"/>
        <w:bottom w:val="single" w:sz="6" w:space="0" w:color="EB8C00" w:themeColor="text2"/>
        <w:right w:val="single" w:sz="4" w:space="0" w:color="FFFFFF"/>
        <w:insideH w:val="dotted" w:sz="8" w:space="0" w:color="EB8C00"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EB8C00" w:themeColor="text2"/>
          <w:bottom w:val="single" w:sz="4" w:space="0" w:color="EB8C00" w:themeColor="text2"/>
        </w:tcBorders>
      </w:tcPr>
    </w:tblStylePr>
    <w:tblStylePr w:type="lastRow">
      <w:rPr>
        <w:color w:val="auto"/>
      </w:rPr>
      <w:tblPr/>
      <w:tcPr>
        <w:tcBorders>
          <w:top w:val="single" w:sz="4" w:space="0" w:color="EB8C00" w:themeColor="text2"/>
        </w:tcBorders>
        <w:shd w:val="clear" w:color="auto" w:fill="auto"/>
      </w:tcPr>
    </w:tblStylePr>
    <w:tblStylePr w:type="nwCell">
      <w:pPr>
        <w:jc w:val="left"/>
      </w:pPr>
      <w:tblPr/>
      <w:tcPr>
        <w:vAlign w:val="bottom"/>
      </w:tcPr>
    </w:tblStylePr>
  </w:style>
  <w:style w:type="paragraph" w:styleId="Revision">
    <w:name w:val="Revision"/>
    <w:hidden/>
    <w:uiPriority w:val="99"/>
    <w:semiHidden/>
    <w:rsid w:val="008C0C37"/>
    <w:rPr>
      <w:rFonts w:cs="Arial"/>
      <w:snapToGrid w:val="0"/>
      <w:lang w:eastAsia="en-US"/>
    </w:rPr>
  </w:style>
  <w:style w:type="paragraph" w:customStyle="1" w:styleId="Heading2ExecutiveSummary">
    <w:name w:val="Heading 2 Executive Summary"/>
    <w:basedOn w:val="Heading2"/>
    <w:link w:val="Heading2ExecutiveSummaryChar"/>
    <w:uiPriority w:val="99"/>
    <w:qFormat/>
    <w:rsid w:val="00C23E42"/>
    <w:pPr>
      <w:numPr>
        <w:numId w:val="4"/>
      </w:numPr>
      <w:spacing w:before="240" w:after="0" w:line="240" w:lineRule="auto"/>
    </w:pPr>
    <w:rPr>
      <w:sz w:val="32"/>
    </w:rPr>
  </w:style>
  <w:style w:type="paragraph" w:customStyle="1" w:styleId="ExecSummaryheading3">
    <w:name w:val="Exec Summary heading 3"/>
    <w:basedOn w:val="PwCNormal"/>
    <w:link w:val="ExecSummaryheading3Char"/>
    <w:uiPriority w:val="99"/>
    <w:qFormat/>
    <w:rsid w:val="00B67FF7"/>
    <w:rPr>
      <w:color w:val="EB8C00"/>
      <w:sz w:val="32"/>
      <w:szCs w:val="32"/>
    </w:rPr>
  </w:style>
  <w:style w:type="character" w:customStyle="1" w:styleId="Heading2Char">
    <w:name w:val="Heading 2 Char"/>
    <w:basedOn w:val="DefaultParagraphFont"/>
    <w:link w:val="Heading2"/>
    <w:rsid w:val="008D3BDB"/>
    <w:rPr>
      <w:rFonts w:asciiTheme="majorHAnsi" w:hAnsiTheme="majorHAnsi" w:cs="Arial"/>
      <w:bCs/>
      <w:iCs/>
      <w:snapToGrid w:val="0"/>
      <w:color w:val="E0301E"/>
      <w:sz w:val="40"/>
      <w:szCs w:val="36"/>
      <w:lang w:eastAsia="en-US"/>
    </w:rPr>
  </w:style>
  <w:style w:type="character" w:customStyle="1" w:styleId="Heading2ExecutiveSummaryChar">
    <w:name w:val="Heading 2 Executive Summary Char"/>
    <w:basedOn w:val="Heading2Char"/>
    <w:link w:val="Heading2ExecutiveSummary"/>
    <w:uiPriority w:val="99"/>
    <w:rsid w:val="00C23E42"/>
    <w:rPr>
      <w:rFonts w:asciiTheme="majorHAnsi" w:hAnsiTheme="majorHAnsi" w:cs="Arial"/>
      <w:bCs/>
      <w:iCs/>
      <w:snapToGrid w:val="0"/>
      <w:color w:val="E0301E"/>
      <w:sz w:val="32"/>
      <w:szCs w:val="36"/>
      <w:lang w:eastAsia="en-US"/>
    </w:rPr>
  </w:style>
  <w:style w:type="character" w:customStyle="1" w:styleId="ExecSummaryheading3Char">
    <w:name w:val="Exec Summary heading 3 Char"/>
    <w:basedOn w:val="PwCNormalChar"/>
    <w:link w:val="ExecSummaryheading3"/>
    <w:uiPriority w:val="99"/>
    <w:rsid w:val="00B67FF7"/>
    <w:rPr>
      <w:rFonts w:asciiTheme="minorHAnsi" w:hAnsiTheme="minorHAnsi" w:cs="Arial"/>
      <w:snapToGrid w:val="0"/>
      <w:color w:val="EB8C00"/>
      <w:sz w:val="32"/>
      <w:szCs w:val="32"/>
      <w:lang w:eastAsia="en-US"/>
    </w:rPr>
  </w:style>
  <w:style w:type="paragraph" w:styleId="NormalWeb">
    <w:name w:val="Normal (Web)"/>
    <w:basedOn w:val="Normal"/>
    <w:uiPriority w:val="99"/>
    <w:semiHidden/>
    <w:unhideWhenUsed/>
    <w:rsid w:val="00BB25D2"/>
    <w:pPr>
      <w:kinsoku/>
      <w:overflowPunct/>
      <w:autoSpaceDE/>
      <w:autoSpaceDN/>
      <w:adjustRightInd/>
      <w:snapToGrid/>
      <w:spacing w:before="100" w:beforeAutospacing="1" w:after="100" w:afterAutospacing="1"/>
    </w:pPr>
    <w:rPr>
      <w:rFonts w:ascii="Times New Roman" w:eastAsiaTheme="minorEastAsia" w:hAnsi="Times New Roman" w:cs="Times New Roman"/>
      <w:snapToGrid/>
      <w:sz w:val="24"/>
      <w:szCs w:val="24"/>
      <w:lang w:eastAsia="en-AU"/>
    </w:rPr>
  </w:style>
  <w:style w:type="paragraph" w:customStyle="1" w:styleId="PwCNormal-notefordraft">
    <w:name w:val="PwC Normal - note for draft"/>
    <w:basedOn w:val="PwCNormal"/>
    <w:link w:val="PwCNormal-notefordraftChar"/>
    <w:uiPriority w:val="99"/>
    <w:qFormat/>
    <w:rsid w:val="009A0C49"/>
    <w:pPr>
      <w:spacing w:before="240" w:after="240"/>
    </w:pPr>
    <w:rPr>
      <w:color w:val="FF0000"/>
    </w:rPr>
  </w:style>
  <w:style w:type="character" w:customStyle="1" w:styleId="PwCNormal-notefordraftChar">
    <w:name w:val="PwC Normal - note for draft Char"/>
    <w:basedOn w:val="PwCNormalChar"/>
    <w:link w:val="PwCNormal-notefordraft"/>
    <w:uiPriority w:val="99"/>
    <w:rsid w:val="009A0C49"/>
    <w:rPr>
      <w:rFonts w:asciiTheme="minorHAnsi" w:hAnsiTheme="minorHAnsi" w:cs="Arial"/>
      <w:snapToGrid w:val="0"/>
      <w:color w:val="FF0000"/>
      <w:lang w:eastAsia="en-US"/>
    </w:rPr>
  </w:style>
  <w:style w:type="paragraph" w:styleId="ListContinue2">
    <w:name w:val="List Continue 2"/>
    <w:basedOn w:val="Normal"/>
    <w:uiPriority w:val="99"/>
    <w:semiHidden/>
    <w:locked/>
    <w:rsid w:val="00C91126"/>
    <w:pPr>
      <w:spacing w:after="120"/>
      <w:ind w:left="566"/>
      <w:contextualSpacing/>
    </w:pPr>
  </w:style>
  <w:style w:type="paragraph" w:customStyle="1" w:styleId="Listbulletsingle-red">
    <w:name w:val="List bullet single - red"/>
    <w:basedOn w:val="ListBulletsingle"/>
    <w:link w:val="Listbulletsingle-redChar"/>
    <w:qFormat/>
    <w:rsid w:val="001C3BAB"/>
    <w:rPr>
      <w:color w:val="E0301E" w:themeColor="accent6"/>
    </w:rPr>
  </w:style>
  <w:style w:type="character" w:customStyle="1" w:styleId="ListBulletChar">
    <w:name w:val="List Bullet Char"/>
    <w:basedOn w:val="DefaultParagraphFont"/>
    <w:link w:val="ListBullet"/>
    <w:uiPriority w:val="14"/>
    <w:rsid w:val="001F627D"/>
    <w:rPr>
      <w:rFonts w:asciiTheme="minorHAnsi" w:hAnsiTheme="minorHAnsi" w:cs="Arial"/>
      <w:snapToGrid w:val="0"/>
      <w:color w:val="404040" w:themeColor="text1" w:themeTint="BF"/>
      <w:lang w:eastAsia="en-US"/>
    </w:rPr>
  </w:style>
  <w:style w:type="character" w:customStyle="1" w:styleId="ListBulletsingleChar">
    <w:name w:val="List Bullet single Char"/>
    <w:basedOn w:val="ListBulletChar"/>
    <w:link w:val="ListBulletsingle"/>
    <w:rsid w:val="001C3BAB"/>
    <w:rPr>
      <w:rFonts w:asciiTheme="minorHAnsi" w:hAnsiTheme="minorHAnsi" w:cs="Arial"/>
      <w:snapToGrid w:val="0"/>
      <w:color w:val="404040" w:themeColor="text1" w:themeTint="BF"/>
      <w:sz w:val="22"/>
      <w:szCs w:val="21"/>
      <w:lang w:val="en-NZ" w:eastAsia="en-US"/>
    </w:rPr>
  </w:style>
  <w:style w:type="character" w:customStyle="1" w:styleId="Listbulletsingle-redChar">
    <w:name w:val="List bullet single - red Char"/>
    <w:basedOn w:val="ListBulletsingleChar"/>
    <w:link w:val="Listbulletsingle-red"/>
    <w:rsid w:val="001C3BAB"/>
    <w:rPr>
      <w:rFonts w:asciiTheme="minorHAnsi" w:hAnsiTheme="minorHAnsi" w:cs="Arial"/>
      <w:snapToGrid w:val="0"/>
      <w:color w:val="E0301E" w:themeColor="accent6"/>
      <w:sz w:val="22"/>
      <w:szCs w:val="21"/>
      <w:lang w:val="en-NZ" w:eastAsia="en-US"/>
    </w:rPr>
  </w:style>
  <w:style w:type="table" w:customStyle="1" w:styleId="TableGrid10">
    <w:name w:val="Table Grid1"/>
    <w:basedOn w:val="TableNormal"/>
    <w:next w:val="TableGrid"/>
    <w:uiPriority w:val="59"/>
    <w:rsid w:val="007277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ingindent1">
    <w:name w:val="Hanging indent 1"/>
    <w:basedOn w:val="Bullet1"/>
    <w:uiPriority w:val="99"/>
    <w:qFormat/>
    <w:rsid w:val="00CD4A84"/>
    <w:pPr>
      <w:numPr>
        <w:numId w:val="0"/>
      </w:numPr>
      <w:ind w:left="284"/>
    </w:pPr>
  </w:style>
  <w:style w:type="numbering" w:customStyle="1" w:styleId="NormalWhiteBullet">
    <w:name w:val="Normal White Bullet"/>
    <w:uiPriority w:val="99"/>
    <w:rsid w:val="00CD4A84"/>
    <w:pPr>
      <w:numPr>
        <w:numId w:val="14"/>
      </w:numPr>
    </w:pPr>
  </w:style>
  <w:style w:type="paragraph" w:customStyle="1" w:styleId="TableTextNormalWhiteBullet">
    <w:name w:val="Table Text Normal White Bullet"/>
    <w:basedOn w:val="TableTextNormal"/>
    <w:uiPriority w:val="99"/>
    <w:qFormat/>
    <w:rsid w:val="00CD4A84"/>
    <w:pPr>
      <w:numPr>
        <w:numId w:val="26"/>
      </w:numPr>
      <w:spacing w:before="40" w:after="40"/>
    </w:pPr>
    <w:rPr>
      <w:color w:val="FFFFFF" w:themeColor="background1"/>
    </w:rPr>
  </w:style>
  <w:style w:type="paragraph" w:customStyle="1" w:styleId="TableTextSmalltopic">
    <w:name w:val="Table Text Small topic"/>
    <w:basedOn w:val="TableTextSmall"/>
    <w:uiPriority w:val="99"/>
    <w:qFormat/>
    <w:rsid w:val="00732168"/>
    <w:rPr>
      <w:b/>
    </w:rPr>
  </w:style>
  <w:style w:type="paragraph" w:customStyle="1" w:styleId="Summarytext">
    <w:name w:val="Summary text"/>
    <w:basedOn w:val="PwCNormal"/>
    <w:uiPriority w:val="99"/>
    <w:qFormat/>
    <w:rsid w:val="00371AEC"/>
    <w:pPr>
      <w:numPr>
        <w:numId w:val="0"/>
      </w:numPr>
    </w:pPr>
    <w:rPr>
      <w:color w:val="EB8C00" w:themeColor="text2"/>
      <w:sz w:val="26"/>
      <w:szCs w:val="22"/>
    </w:rPr>
  </w:style>
  <w:style w:type="table" w:styleId="MediumShading1-Accent1">
    <w:name w:val="Medium Shading 1 Accent 1"/>
    <w:basedOn w:val="TableNormal"/>
    <w:uiPriority w:val="63"/>
    <w:locked/>
    <w:rsid w:val="00456BE5"/>
    <w:tblPr>
      <w:tblStyleRowBandSize w:val="1"/>
      <w:tblStyleColBandSize w:val="1"/>
      <w:tblBorders>
        <w:top w:val="single" w:sz="8" w:space="0" w:color="FFAA31" w:themeColor="accent1" w:themeTint="BF"/>
        <w:left w:val="single" w:sz="8" w:space="0" w:color="FFAA31" w:themeColor="accent1" w:themeTint="BF"/>
        <w:bottom w:val="single" w:sz="8" w:space="0" w:color="FFAA31" w:themeColor="accent1" w:themeTint="BF"/>
        <w:right w:val="single" w:sz="8" w:space="0" w:color="FFAA31" w:themeColor="accent1" w:themeTint="BF"/>
        <w:insideH w:val="single" w:sz="8" w:space="0" w:color="FFAA31" w:themeColor="accent1" w:themeTint="BF"/>
      </w:tblBorders>
    </w:tblPr>
    <w:tblStylePr w:type="firstRow">
      <w:pPr>
        <w:spacing w:before="0" w:after="0" w:line="240" w:lineRule="auto"/>
      </w:pPr>
      <w:rPr>
        <w:b/>
        <w:bCs/>
        <w:color w:val="FFFFFF" w:themeColor="background1"/>
      </w:rPr>
      <w:tblPr/>
      <w:tcPr>
        <w:tcBorders>
          <w:top w:val="single" w:sz="8" w:space="0" w:color="FFAA31" w:themeColor="accent1" w:themeTint="BF"/>
          <w:left w:val="single" w:sz="8" w:space="0" w:color="FFAA31" w:themeColor="accent1" w:themeTint="BF"/>
          <w:bottom w:val="single" w:sz="8" w:space="0" w:color="FFAA31" w:themeColor="accent1" w:themeTint="BF"/>
          <w:right w:val="single" w:sz="8" w:space="0" w:color="FFAA31" w:themeColor="accent1" w:themeTint="BF"/>
          <w:insideH w:val="nil"/>
          <w:insideV w:val="nil"/>
        </w:tcBorders>
        <w:shd w:val="clear" w:color="auto" w:fill="EB8C00" w:themeFill="accent1"/>
      </w:tcPr>
    </w:tblStylePr>
    <w:tblStylePr w:type="lastRow">
      <w:pPr>
        <w:spacing w:before="0" w:after="0" w:line="240" w:lineRule="auto"/>
      </w:pPr>
      <w:rPr>
        <w:b/>
        <w:bCs/>
      </w:rPr>
      <w:tblPr/>
      <w:tcPr>
        <w:tcBorders>
          <w:top w:val="double" w:sz="6" w:space="0" w:color="FFAA31" w:themeColor="accent1" w:themeTint="BF"/>
          <w:left w:val="single" w:sz="8" w:space="0" w:color="FFAA31" w:themeColor="accent1" w:themeTint="BF"/>
          <w:bottom w:val="single" w:sz="8" w:space="0" w:color="FFAA31" w:themeColor="accent1" w:themeTint="BF"/>
          <w:right w:val="single" w:sz="8" w:space="0" w:color="FFAA3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3BB" w:themeFill="accent1" w:themeFillTint="3F"/>
      </w:tcPr>
    </w:tblStylePr>
    <w:tblStylePr w:type="band1Horz">
      <w:tblPr/>
      <w:tcPr>
        <w:tcBorders>
          <w:insideH w:val="nil"/>
          <w:insideV w:val="nil"/>
        </w:tcBorders>
        <w:shd w:val="clear" w:color="auto" w:fill="FFE3BB"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1769E9"/>
  </w:style>
  <w:style w:type="character" w:styleId="Emphasis">
    <w:name w:val="Emphasis"/>
    <w:basedOn w:val="DefaultParagraphFont"/>
    <w:uiPriority w:val="20"/>
    <w:qFormat/>
    <w:locked/>
    <w:rsid w:val="001769E9"/>
    <w:rPr>
      <w:i/>
      <w:iCs/>
    </w:rPr>
  </w:style>
  <w:style w:type="character" w:customStyle="1" w:styleId="StyleHeadingsArial33ptText2">
    <w:name w:val="Style +Headings (Arial) 33 pt Text 2"/>
    <w:basedOn w:val="DefaultParagraphFont"/>
    <w:rsid w:val="003F6FD1"/>
    <w:rPr>
      <w:rFonts w:asciiTheme="majorHAnsi" w:hAnsiTheme="majorHAnsi"/>
      <w:color w:val="E0301E"/>
      <w:sz w:val="66"/>
    </w:rPr>
  </w:style>
  <w:style w:type="paragraph" w:customStyle="1" w:styleId="StyleTableTextNormal8ptBoldText2">
    <w:name w:val="Style Table Text Normal + 8 pt Bold Text 2"/>
    <w:basedOn w:val="TableTextNormal"/>
    <w:rsid w:val="003F6FD1"/>
    <w:rPr>
      <w:b/>
      <w:bCs/>
      <w:color w:val="E0301E"/>
      <w:sz w:val="16"/>
    </w:rPr>
  </w:style>
  <w:style w:type="character" w:customStyle="1" w:styleId="Style8ptText2">
    <w:name w:val="Style 8 pt Text 2"/>
    <w:basedOn w:val="DefaultParagraphFont"/>
    <w:rsid w:val="003F6FD1"/>
    <w:rPr>
      <w:color w:val="E0301E"/>
      <w:sz w:val="16"/>
    </w:rPr>
  </w:style>
  <w:style w:type="paragraph" w:customStyle="1" w:styleId="StyleTableTextNormal8ptBoldText21">
    <w:name w:val="Style Table Text Normal + 8 pt Bold Text 21"/>
    <w:basedOn w:val="TableTextNormal"/>
    <w:uiPriority w:val="99"/>
    <w:rsid w:val="003F6FD1"/>
    <w:rPr>
      <w:b/>
      <w:bCs/>
      <w:color w:val="E0301E"/>
      <w:sz w:val="16"/>
    </w:rPr>
  </w:style>
  <w:style w:type="paragraph" w:customStyle="1" w:styleId="StylePwCNormalHeadingsArial14ptText2">
    <w:name w:val="Style PwC Normal + +Headings (Arial) 14 pt Text 2"/>
    <w:basedOn w:val="PwCNormal"/>
    <w:uiPriority w:val="99"/>
    <w:rsid w:val="003F6FD1"/>
    <w:rPr>
      <w:rFonts w:asciiTheme="majorHAnsi" w:hAnsiTheme="majorHAnsi"/>
      <w:color w:val="E0301E"/>
      <w:sz w:val="28"/>
    </w:rPr>
  </w:style>
  <w:style w:type="paragraph" w:customStyle="1" w:styleId="StylePwCNormalText2">
    <w:name w:val="Style PwC Normal + Text 2"/>
    <w:basedOn w:val="PwCNormal"/>
    <w:uiPriority w:val="99"/>
    <w:rsid w:val="003F6FD1"/>
    <w:rPr>
      <w:color w:val="E0301E"/>
    </w:rPr>
  </w:style>
  <w:style w:type="paragraph" w:customStyle="1" w:styleId="StylePwCNormalHeadingsArial18ptText2Centered">
    <w:name w:val="Style PwC Normal + +Headings (Arial) 18 pt Text 2 Centered"/>
    <w:basedOn w:val="PwCNormal"/>
    <w:uiPriority w:val="99"/>
    <w:rsid w:val="003F6FD1"/>
    <w:pPr>
      <w:jc w:val="center"/>
    </w:pPr>
    <w:rPr>
      <w:rFonts w:asciiTheme="majorHAnsi" w:hAnsiTheme="majorHAnsi" w:cs="Times New Roman"/>
      <w:color w:val="E0301E"/>
      <w:sz w:val="36"/>
    </w:rPr>
  </w:style>
  <w:style w:type="paragraph" w:customStyle="1" w:styleId="StyleSourcesCentered">
    <w:name w:val="Style Sources + Centered"/>
    <w:basedOn w:val="Sources"/>
    <w:uiPriority w:val="99"/>
    <w:rsid w:val="003F6FD1"/>
    <w:pPr>
      <w:jc w:val="center"/>
    </w:pPr>
    <w:rPr>
      <w:rFonts w:cs="Times New Roman"/>
    </w:rPr>
  </w:style>
  <w:style w:type="paragraph" w:customStyle="1" w:styleId="StylePwCNormalBoldText2">
    <w:name w:val="Style PwC Normal + Bold Text 2"/>
    <w:basedOn w:val="PwCNormal"/>
    <w:uiPriority w:val="99"/>
    <w:rsid w:val="003F6FD1"/>
    <w:rPr>
      <w:b/>
      <w:bCs/>
      <w:color w:val="E0301E"/>
    </w:rPr>
  </w:style>
  <w:style w:type="paragraph" w:customStyle="1" w:styleId="StyleTableTextNormal9ptBoldText2">
    <w:name w:val="Style Table Text Normal + 9 pt Bold Text 2"/>
    <w:basedOn w:val="TableTextNormal"/>
    <w:rsid w:val="003F6FD1"/>
    <w:rPr>
      <w:b/>
      <w:bCs/>
      <w:color w:val="E0301E"/>
      <w:sz w:val="18"/>
    </w:rPr>
  </w:style>
  <w:style w:type="paragraph" w:customStyle="1" w:styleId="StyleTableTextSmall9ptBoldText2">
    <w:name w:val="Style Table Text Small + 9 pt Bold Text 2"/>
    <w:basedOn w:val="TableTextSmall"/>
    <w:uiPriority w:val="99"/>
    <w:rsid w:val="003F6FD1"/>
    <w:rPr>
      <w:b/>
      <w:bCs/>
      <w:color w:val="E0301E"/>
      <w:sz w:val="18"/>
    </w:rPr>
  </w:style>
  <w:style w:type="paragraph" w:customStyle="1" w:styleId="StyleTableTextNormal9ptText2Before3ptAfter2pt">
    <w:name w:val="Style Table Text Normal + 9 pt Text 2 Before:  3 pt After:  2 pt"/>
    <w:basedOn w:val="TableTextNormal"/>
    <w:uiPriority w:val="99"/>
    <w:rsid w:val="003F6FD1"/>
    <w:pPr>
      <w:spacing w:before="60" w:after="40"/>
    </w:pPr>
    <w:rPr>
      <w:rFonts w:cs="Times New Roman"/>
      <w:color w:val="E0301E"/>
      <w:sz w:val="18"/>
    </w:rPr>
  </w:style>
  <w:style w:type="paragraph" w:customStyle="1" w:styleId="StyleTableTextNormal9ptText2Before3ptAfter2pt1">
    <w:name w:val="Style Table Text Normal + 9 pt Text 2 Before:  3 pt After:  2 pt1"/>
    <w:basedOn w:val="TableTextNormal"/>
    <w:uiPriority w:val="99"/>
    <w:rsid w:val="003F6FD1"/>
    <w:pPr>
      <w:spacing w:before="60" w:after="40"/>
    </w:pPr>
    <w:rPr>
      <w:rFonts w:cs="Times New Roman"/>
      <w:color w:val="E0301E"/>
      <w:sz w:val="18"/>
    </w:rPr>
  </w:style>
  <w:style w:type="numbering" w:customStyle="1" w:styleId="Appendixheading">
    <w:name w:val="Appendix heading"/>
    <w:uiPriority w:val="99"/>
    <w:rsid w:val="0037035D"/>
    <w:pPr>
      <w:numPr>
        <w:numId w:val="29"/>
      </w:numPr>
    </w:pPr>
  </w:style>
  <w:style w:type="paragraph" w:customStyle="1" w:styleId="StyleCaptionAfter0pt">
    <w:name w:val="Style Caption + After:  0 pt"/>
    <w:basedOn w:val="Caption"/>
    <w:uiPriority w:val="99"/>
    <w:rsid w:val="00401DDE"/>
    <w:pPr>
      <w:spacing w:after="0"/>
    </w:pPr>
    <w:rPr>
      <w:rFonts w:cs="Times New Roman"/>
      <w:szCs w:val="20"/>
    </w:rPr>
  </w:style>
  <w:style w:type="character" w:customStyle="1" w:styleId="StyleHeadingsArialBoldCustomColorRGB963532">
    <w:name w:val="Style +Headings (Arial) Bold Custom Color(RGB(963532))"/>
    <w:basedOn w:val="DefaultParagraphFont"/>
    <w:rsid w:val="005714E3"/>
    <w:rPr>
      <w:rFonts w:asciiTheme="majorHAnsi" w:hAnsiTheme="majorHAnsi"/>
      <w:b/>
      <w:bCs/>
      <w:color w:val="E0301E"/>
    </w:rPr>
  </w:style>
  <w:style w:type="paragraph" w:customStyle="1" w:styleId="StyleCaptionAfter0pt1">
    <w:name w:val="Style Caption + After:  0 pt1"/>
    <w:basedOn w:val="Caption"/>
    <w:uiPriority w:val="99"/>
    <w:rsid w:val="00401DDE"/>
    <w:pPr>
      <w:spacing w:after="0"/>
    </w:pPr>
    <w:rPr>
      <w:rFonts w:cs="Times New Roman"/>
      <w:szCs w:val="20"/>
    </w:rPr>
  </w:style>
  <w:style w:type="paragraph" w:customStyle="1" w:styleId="HeadingCoverPage">
    <w:name w:val="Heading Cover Page"/>
    <w:basedOn w:val="Normal"/>
    <w:next w:val="HeadingCoverPageSecond"/>
    <w:uiPriority w:val="99"/>
    <w:rsid w:val="00124924"/>
    <w:pPr>
      <w:jc w:val="center"/>
    </w:pPr>
    <w:rPr>
      <w:rFonts w:cs="Times New Roman"/>
      <w:bCs/>
      <w:color w:val="000000" w:themeColor="text1"/>
      <w:sz w:val="96"/>
    </w:rPr>
  </w:style>
  <w:style w:type="paragraph" w:customStyle="1" w:styleId="HeadingCoverPageSecondTitle">
    <w:name w:val="Heading Cover Page Second Title"/>
    <w:basedOn w:val="HeadingCoverPage"/>
    <w:uiPriority w:val="99"/>
    <w:rsid w:val="00124924"/>
    <w:pPr>
      <w:spacing w:before="6000" w:line="640" w:lineRule="atLeast"/>
    </w:pPr>
    <w:rPr>
      <w:bCs w:val="0"/>
      <w:color w:val="FFFFFF" w:themeColor="background1"/>
      <w:sz w:val="56"/>
    </w:rPr>
  </w:style>
  <w:style w:type="paragraph" w:customStyle="1" w:styleId="Heading1ValuationResults">
    <w:name w:val="Heading 1 Valuation Results"/>
    <w:basedOn w:val="Heading1"/>
    <w:uiPriority w:val="99"/>
    <w:rsid w:val="000A7A1E"/>
    <w:pPr>
      <w:spacing w:before="9000"/>
    </w:pPr>
    <w:rPr>
      <w:rFonts w:cs="Times New Roman"/>
      <w:bCs w:val="0"/>
      <w:color w:val="E03028"/>
      <w:szCs w:val="20"/>
    </w:rPr>
  </w:style>
  <w:style w:type="paragraph" w:customStyle="1" w:styleId="HeadingCoverPageSecondSubtitleLinespacingAtleast">
    <w:name w:val="Heading Cover Page Second Subtitle + Line spacing:  At least ..."/>
    <w:basedOn w:val="HeadingCoverPageSecondTitle"/>
    <w:uiPriority w:val="99"/>
    <w:rsid w:val="00124924"/>
    <w:pPr>
      <w:spacing w:before="0" w:line="480" w:lineRule="atLeast"/>
    </w:pPr>
  </w:style>
  <w:style w:type="paragraph" w:customStyle="1" w:styleId="HeadingCoverPageSecondSubtitle">
    <w:name w:val="Heading Cover Page Second Subtitle"/>
    <w:basedOn w:val="HeadingCoverPageSecondTitle"/>
    <w:uiPriority w:val="99"/>
    <w:qFormat/>
    <w:rsid w:val="00124924"/>
    <w:pPr>
      <w:spacing w:before="0"/>
    </w:pPr>
    <w:rPr>
      <w:sz w:val="36"/>
    </w:rPr>
  </w:style>
  <w:style w:type="paragraph" w:customStyle="1" w:styleId="Heading1ExecutiveSummary">
    <w:name w:val="Heading 1 Executive Summary"/>
    <w:basedOn w:val="Heading1"/>
    <w:uiPriority w:val="99"/>
    <w:qFormat/>
    <w:rsid w:val="00124924"/>
    <w:pPr>
      <w:spacing w:before="7200"/>
    </w:pPr>
    <w:rPr>
      <w:noProof/>
      <w:lang w:eastAsia="en-AU"/>
    </w:rPr>
  </w:style>
  <w:style w:type="paragraph" w:customStyle="1" w:styleId="Heading1Appendix">
    <w:name w:val="Heading 1 Appendix"/>
    <w:basedOn w:val="Heading1"/>
    <w:uiPriority w:val="99"/>
    <w:qFormat/>
    <w:rsid w:val="00124924"/>
    <w:pPr>
      <w:spacing w:before="7200"/>
    </w:pPr>
  </w:style>
  <w:style w:type="paragraph" w:customStyle="1" w:styleId="Heading3ExecutiveSummary">
    <w:name w:val="Heading 3 Executive Summary"/>
    <w:basedOn w:val="Heading3"/>
    <w:uiPriority w:val="99"/>
    <w:qFormat/>
    <w:rsid w:val="004963A8"/>
    <w:pPr>
      <w:numPr>
        <w:ilvl w:val="0"/>
        <w:numId w:val="0"/>
      </w:numPr>
      <w:spacing w:after="40" w:line="320" w:lineRule="atLeast"/>
    </w:pPr>
  </w:style>
  <w:style w:type="paragraph" w:customStyle="1" w:styleId="Heading2ChapterHeading">
    <w:name w:val="Heading 2 Chapter Heading"/>
    <w:basedOn w:val="Heading2"/>
    <w:uiPriority w:val="99"/>
    <w:qFormat/>
    <w:rsid w:val="008D3BDB"/>
  </w:style>
  <w:style w:type="paragraph" w:customStyle="1" w:styleId="Heading4a">
    <w:name w:val="Heading 4a"/>
    <w:basedOn w:val="Minorheading"/>
    <w:link w:val="Heading4aChar"/>
    <w:qFormat/>
    <w:rsid w:val="004F69DD"/>
    <w:pPr>
      <w:spacing w:before="120"/>
    </w:pPr>
  </w:style>
  <w:style w:type="character" w:customStyle="1" w:styleId="MajorheadingChar">
    <w:name w:val="Major heading Char"/>
    <w:basedOn w:val="DefaultParagraphFont"/>
    <w:link w:val="Majorheading"/>
    <w:rsid w:val="00175A3C"/>
    <w:rPr>
      <w:rFonts w:asciiTheme="majorHAnsi" w:hAnsiTheme="majorHAnsi" w:cs="Arial"/>
      <w:b/>
      <w:snapToGrid w:val="0"/>
      <w:color w:val="E0301E"/>
      <w:sz w:val="24"/>
      <w:szCs w:val="24"/>
      <w:lang w:eastAsia="en-US"/>
    </w:rPr>
  </w:style>
  <w:style w:type="character" w:customStyle="1" w:styleId="MinorheadingChar">
    <w:name w:val="Minor heading Char"/>
    <w:basedOn w:val="MajorheadingChar"/>
    <w:link w:val="Minorheading"/>
    <w:rsid w:val="004F69DD"/>
    <w:rPr>
      <w:rFonts w:asciiTheme="majorHAnsi" w:hAnsiTheme="majorHAnsi" w:cs="Arial"/>
      <w:b w:val="0"/>
      <w:i/>
      <w:snapToGrid w:val="0"/>
      <w:color w:val="E0301E"/>
      <w:sz w:val="22"/>
      <w:szCs w:val="24"/>
      <w:lang w:eastAsia="en-US"/>
    </w:rPr>
  </w:style>
  <w:style w:type="character" w:customStyle="1" w:styleId="Heading4aChar">
    <w:name w:val="Heading 4a Char"/>
    <w:basedOn w:val="MinorheadingChar"/>
    <w:link w:val="Heading4a"/>
    <w:rsid w:val="004F69DD"/>
    <w:rPr>
      <w:rFonts w:asciiTheme="majorHAnsi" w:hAnsiTheme="majorHAnsi" w:cs="Arial"/>
      <w:b w:val="0"/>
      <w:i/>
      <w:snapToGrid w:val="0"/>
      <w:color w:val="E0301E"/>
      <w:sz w:val="22"/>
      <w:szCs w:val="24"/>
      <w:lang w:eastAsia="en-US"/>
    </w:rPr>
  </w:style>
  <w:style w:type="paragraph" w:customStyle="1" w:styleId="PwCNormal-keepwithnext">
    <w:name w:val="PwC Normal - keep with next"/>
    <w:basedOn w:val="PwCNormal"/>
    <w:uiPriority w:val="99"/>
    <w:qFormat/>
    <w:rsid w:val="001B0063"/>
    <w:pPr>
      <w:keepNext/>
    </w:pPr>
  </w:style>
  <w:style w:type="paragraph" w:customStyle="1" w:styleId="ContentsPageTitle">
    <w:name w:val="Contents Page Title"/>
    <w:basedOn w:val="Normal"/>
    <w:next w:val="Normal"/>
    <w:uiPriority w:val="99"/>
    <w:qFormat/>
    <w:rsid w:val="000D6FAA"/>
    <w:rPr>
      <w:color w:val="FF0000"/>
      <w:sz w:val="48"/>
    </w:rPr>
  </w:style>
  <w:style w:type="paragraph" w:customStyle="1" w:styleId="AppendixPageTitle">
    <w:name w:val="Appendix Page Title"/>
    <w:basedOn w:val="Normal"/>
    <w:next w:val="Normal"/>
    <w:uiPriority w:val="99"/>
    <w:qFormat/>
    <w:rsid w:val="007D75DA"/>
    <w:pPr>
      <w:spacing w:before="6240"/>
    </w:pPr>
    <w:rPr>
      <w:color w:val="FF0000"/>
      <w:sz w:val="48"/>
    </w:rPr>
  </w:style>
  <w:style w:type="table" w:customStyle="1" w:styleId="PwCTableText">
    <w:name w:val="PwC Table Text"/>
    <w:basedOn w:val="TableNormal"/>
    <w:uiPriority w:val="99"/>
    <w:qFormat/>
    <w:rsid w:val="000E6459"/>
    <w:pPr>
      <w:spacing w:before="60" w:after="60"/>
    </w:pPr>
    <w:rPr>
      <w:rFonts w:eastAsiaTheme="minorHAnsi" w:cstheme="minorBidi"/>
      <w:lang w:val="en-GB" w:eastAsia="en-US"/>
    </w:rPr>
    <w:tblPr>
      <w:tblStyleRowBandSize w:val="1"/>
      <w:tblBorders>
        <w:insideH w:val="dotted" w:sz="4" w:space="0" w:color="EB8C00" w:themeColor="text2"/>
      </w:tblBorders>
    </w:tblPr>
    <w:tblStylePr w:type="firstRow">
      <w:rPr>
        <w:b/>
      </w:rPr>
      <w:tblPr/>
      <w:tcPr>
        <w:tcBorders>
          <w:top w:val="single" w:sz="6" w:space="0" w:color="EB8C00" w:themeColor="text2"/>
          <w:bottom w:val="single" w:sz="6" w:space="0" w:color="EB8C00" w:themeColor="text2"/>
        </w:tcBorders>
      </w:tcPr>
    </w:tblStylePr>
    <w:tblStylePr w:type="lastRow">
      <w:rPr>
        <w:b/>
      </w:rPr>
      <w:tblPr/>
      <w:tcPr>
        <w:tcBorders>
          <w:top w:val="single" w:sz="6" w:space="0" w:color="EB8C00" w:themeColor="text2"/>
          <w:bottom w:val="single" w:sz="6" w:space="0" w:color="EB8C00" w:themeColor="text2"/>
        </w:tcBorders>
      </w:tcPr>
    </w:tblStylePr>
    <w:tblStylePr w:type="band1Horz">
      <w:tblPr/>
      <w:tcPr>
        <w:tcBorders>
          <w:bottom w:val="nil"/>
        </w:tcBorders>
      </w:tcPr>
    </w:tblStylePr>
  </w:style>
  <w:style w:type="paragraph" w:styleId="IntenseQuote">
    <w:name w:val="Intense Quote"/>
    <w:basedOn w:val="Normal"/>
    <w:next w:val="Normal"/>
    <w:link w:val="IntenseQuoteChar"/>
    <w:uiPriority w:val="30"/>
    <w:qFormat/>
    <w:locked/>
    <w:rsid w:val="00B46271"/>
    <w:pPr>
      <w:pBdr>
        <w:top w:val="single" w:sz="4" w:space="10" w:color="EB8C00" w:themeColor="accent1"/>
        <w:bottom w:val="single" w:sz="4" w:space="10" w:color="EB8C00" w:themeColor="accent1"/>
      </w:pBdr>
      <w:spacing w:before="360" w:after="360"/>
      <w:ind w:left="864" w:right="864"/>
      <w:jc w:val="center"/>
    </w:pPr>
    <w:rPr>
      <w:i/>
      <w:iCs/>
      <w:color w:val="EB8C00" w:themeColor="accent1"/>
    </w:rPr>
  </w:style>
  <w:style w:type="character" w:customStyle="1" w:styleId="IntenseQuoteChar">
    <w:name w:val="Intense Quote Char"/>
    <w:basedOn w:val="DefaultParagraphFont"/>
    <w:link w:val="IntenseQuote"/>
    <w:uiPriority w:val="30"/>
    <w:rsid w:val="00B46271"/>
    <w:rPr>
      <w:rFonts w:asciiTheme="minorHAnsi" w:hAnsiTheme="minorHAnsi" w:cs="Arial"/>
      <w:i/>
      <w:iCs/>
      <w:snapToGrid w:val="0"/>
      <w:color w:val="EB8C00" w:themeColor="accent1"/>
      <w:lang w:eastAsia="en-US"/>
    </w:rPr>
  </w:style>
  <w:style w:type="character" w:styleId="IntenseEmphasis">
    <w:name w:val="Intense Emphasis"/>
    <w:basedOn w:val="DefaultParagraphFont"/>
    <w:uiPriority w:val="21"/>
    <w:qFormat/>
    <w:locked/>
    <w:rsid w:val="00B46271"/>
    <w:rPr>
      <w:i/>
      <w:iCs/>
      <w:color w:val="EB8C00" w:themeColor="accent1"/>
    </w:rPr>
  </w:style>
  <w:style w:type="table" w:styleId="LightList-Accent6">
    <w:name w:val="Light List Accent 6"/>
    <w:basedOn w:val="TableNormal"/>
    <w:uiPriority w:val="61"/>
    <w:locked/>
    <w:rsid w:val="00470BC4"/>
    <w:rPr>
      <w:rFonts w:ascii="Times New Roman" w:hAnsi="Times New Roman"/>
    </w:rPr>
    <w:tblPr>
      <w:tblStyleRowBandSize w:val="1"/>
      <w:tblStyleColBandSize w:val="1"/>
      <w:tblBorders>
        <w:top w:val="single" w:sz="8" w:space="0" w:color="E0301E" w:themeColor="accent6"/>
        <w:left w:val="single" w:sz="8" w:space="0" w:color="E0301E" w:themeColor="accent6"/>
        <w:bottom w:val="single" w:sz="8" w:space="0" w:color="E0301E" w:themeColor="accent6"/>
        <w:right w:val="single" w:sz="8" w:space="0" w:color="E0301E" w:themeColor="accent6"/>
      </w:tblBorders>
    </w:tblPr>
    <w:tblStylePr w:type="firstRow">
      <w:pPr>
        <w:spacing w:before="0" w:after="0" w:line="240" w:lineRule="auto"/>
      </w:pPr>
      <w:rPr>
        <w:b/>
        <w:bCs/>
        <w:color w:val="FFFFFF" w:themeColor="background1"/>
      </w:rPr>
      <w:tblPr/>
      <w:tcPr>
        <w:shd w:val="clear" w:color="auto" w:fill="E0301E" w:themeFill="accent6"/>
      </w:tcPr>
    </w:tblStylePr>
    <w:tblStylePr w:type="lastRow">
      <w:pPr>
        <w:spacing w:before="0" w:after="0" w:line="240" w:lineRule="auto"/>
      </w:pPr>
      <w:rPr>
        <w:b/>
        <w:bCs/>
      </w:rPr>
      <w:tblPr/>
      <w:tcPr>
        <w:tcBorders>
          <w:top w:val="double" w:sz="6" w:space="0" w:color="E0301E" w:themeColor="accent6"/>
          <w:left w:val="single" w:sz="8" w:space="0" w:color="E0301E" w:themeColor="accent6"/>
          <w:bottom w:val="single" w:sz="8" w:space="0" w:color="E0301E" w:themeColor="accent6"/>
          <w:right w:val="single" w:sz="8" w:space="0" w:color="E0301E" w:themeColor="accent6"/>
        </w:tcBorders>
      </w:tcPr>
    </w:tblStylePr>
    <w:tblStylePr w:type="firstCol">
      <w:rPr>
        <w:b/>
        <w:bCs/>
      </w:rPr>
    </w:tblStylePr>
    <w:tblStylePr w:type="lastCol">
      <w:rPr>
        <w:b/>
        <w:bCs/>
      </w:rPr>
    </w:tblStylePr>
    <w:tblStylePr w:type="band1Vert">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tblStylePr w:type="band1Horz">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style>
  <w:style w:type="paragraph" w:customStyle="1" w:styleId="Bodytext-single">
    <w:name w:val="Body text - single"/>
    <w:basedOn w:val="BodyText"/>
    <w:uiPriority w:val="99"/>
    <w:qFormat/>
    <w:rsid w:val="00470BC4"/>
    <w:pPr>
      <w:kinsoku/>
      <w:overflowPunct/>
      <w:autoSpaceDE/>
      <w:autoSpaceDN/>
      <w:adjustRightInd/>
      <w:snapToGrid/>
      <w:spacing w:after="0"/>
    </w:pPr>
    <w:rPr>
      <w:rFonts w:ascii="Georgia" w:eastAsiaTheme="minorHAnsi" w:hAnsi="Georgia" w:cstheme="minorBidi"/>
      <w:snapToGrid/>
      <w:color w:val="auto"/>
      <w:sz w:val="18"/>
      <w:szCs w:val="18"/>
    </w:rPr>
  </w:style>
  <w:style w:type="table" w:customStyle="1" w:styleId="ListTable3-Accent61">
    <w:name w:val="List Table 3 - Accent 61"/>
    <w:basedOn w:val="TableNormal"/>
    <w:uiPriority w:val="48"/>
    <w:rsid w:val="005A4605"/>
    <w:tblPr>
      <w:tblStyleRowBandSize w:val="1"/>
      <w:tblStyleColBandSize w:val="1"/>
      <w:tblBorders>
        <w:top w:val="single" w:sz="4" w:space="0" w:color="E0301E" w:themeColor="accent6"/>
        <w:left w:val="single" w:sz="4" w:space="0" w:color="E0301E" w:themeColor="accent6"/>
        <w:bottom w:val="single" w:sz="4" w:space="0" w:color="E0301E" w:themeColor="accent6"/>
        <w:right w:val="single" w:sz="4" w:space="0" w:color="E0301E" w:themeColor="accent6"/>
      </w:tblBorders>
    </w:tblPr>
    <w:tblStylePr w:type="firstRow">
      <w:rPr>
        <w:b/>
        <w:bCs/>
        <w:color w:val="FFFFFF" w:themeColor="background1"/>
      </w:rPr>
      <w:tblPr/>
      <w:tcPr>
        <w:shd w:val="clear" w:color="auto" w:fill="E0301E" w:themeFill="accent6"/>
      </w:tcPr>
    </w:tblStylePr>
    <w:tblStylePr w:type="lastRow">
      <w:rPr>
        <w:b/>
        <w:bCs/>
        <w:color w:val="auto"/>
      </w:rPr>
      <w:tblPr/>
      <w:tcPr>
        <w:tcBorders>
          <w:top w:val="double" w:sz="4" w:space="0" w:color="E030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01E" w:themeColor="accent6"/>
          <w:right w:val="single" w:sz="4" w:space="0" w:color="E0301E" w:themeColor="accent6"/>
        </w:tcBorders>
      </w:tcPr>
    </w:tblStylePr>
    <w:tblStylePr w:type="band1Horz">
      <w:tblPr/>
      <w:tcPr>
        <w:tcBorders>
          <w:top w:val="single" w:sz="4" w:space="0" w:color="E0301E" w:themeColor="accent6"/>
          <w:bottom w:val="single" w:sz="4" w:space="0" w:color="E030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01E" w:themeColor="accent6"/>
          <w:left w:val="nil"/>
        </w:tcBorders>
      </w:tcPr>
    </w:tblStylePr>
    <w:tblStylePr w:type="swCell">
      <w:tblPr/>
      <w:tcPr>
        <w:tcBorders>
          <w:top w:val="double" w:sz="4" w:space="0" w:color="E0301E" w:themeColor="accent6"/>
          <w:right w:val="nil"/>
        </w:tcBorders>
      </w:tcPr>
    </w:tblStylePr>
  </w:style>
  <w:style w:type="character" w:customStyle="1" w:styleId="FootnoteTextChar">
    <w:name w:val="Footnote Text Char"/>
    <w:basedOn w:val="DefaultParagraphFont"/>
    <w:link w:val="FootnoteText"/>
    <w:rsid w:val="00883CC7"/>
    <w:rPr>
      <w:rFonts w:asciiTheme="minorHAnsi" w:hAnsiTheme="minorHAnsi" w:cs="Arial"/>
      <w:snapToGrid w:val="0"/>
      <w:color w:val="404040" w:themeColor="text1" w:themeTint="BF"/>
      <w:sz w:val="16"/>
      <w:lang w:eastAsia="en-US"/>
    </w:rPr>
  </w:style>
  <w:style w:type="character" w:customStyle="1" w:styleId="Heading1Char">
    <w:name w:val="Heading 1 Char"/>
    <w:basedOn w:val="DefaultParagraphFont"/>
    <w:link w:val="Heading1"/>
    <w:rsid w:val="00F7320D"/>
    <w:rPr>
      <w:rFonts w:asciiTheme="majorHAnsi" w:hAnsiTheme="majorHAnsi" w:cs="Arial"/>
      <w:bCs/>
      <w:snapToGrid w:val="0"/>
      <w:color w:val="E0301E"/>
      <w:sz w:val="64"/>
      <w:szCs w:val="72"/>
      <w:lang w:eastAsia="en-US"/>
    </w:rPr>
  </w:style>
  <w:style w:type="character" w:customStyle="1" w:styleId="Heading3Char">
    <w:name w:val="Heading 3 Char"/>
    <w:basedOn w:val="DefaultParagraphFont"/>
    <w:link w:val="Heading3"/>
    <w:rsid w:val="00F7320D"/>
    <w:rPr>
      <w:rFonts w:asciiTheme="minorHAnsi" w:hAnsiTheme="minorHAnsi" w:cs="Arial"/>
      <w:bCs/>
      <w:snapToGrid w:val="0"/>
      <w:color w:val="E03028"/>
      <w:sz w:val="28"/>
      <w:lang w:eastAsia="en-US"/>
    </w:rPr>
  </w:style>
  <w:style w:type="character" w:customStyle="1" w:styleId="Heading4Char">
    <w:name w:val="Heading 4 Char"/>
    <w:basedOn w:val="DefaultParagraphFont"/>
    <w:link w:val="Heading4"/>
    <w:rsid w:val="00F7320D"/>
    <w:rPr>
      <w:rFonts w:asciiTheme="minorHAnsi" w:hAnsiTheme="minorHAnsi" w:cs="Arial"/>
      <w:bCs/>
      <w:snapToGrid w:val="0"/>
      <w:color w:val="E03028"/>
      <w:sz w:val="24"/>
      <w:lang w:eastAsia="en-US"/>
    </w:rPr>
  </w:style>
  <w:style w:type="character" w:customStyle="1" w:styleId="Heading5Char">
    <w:name w:val="Heading 5 Char"/>
    <w:basedOn w:val="DefaultParagraphFont"/>
    <w:link w:val="Heading5"/>
    <w:rsid w:val="00F7320D"/>
    <w:rPr>
      <w:rFonts w:asciiTheme="majorHAnsi" w:hAnsiTheme="majorHAnsi" w:cs="Arial"/>
      <w:snapToGrid w:val="0"/>
      <w:color w:val="E0301E"/>
      <w:sz w:val="32"/>
      <w:szCs w:val="32"/>
      <w:lang w:eastAsia="en-US"/>
    </w:rPr>
  </w:style>
  <w:style w:type="character" w:customStyle="1" w:styleId="Heading6Char">
    <w:name w:val="Heading 6 Char"/>
    <w:basedOn w:val="DefaultParagraphFont"/>
    <w:link w:val="Heading6"/>
    <w:rsid w:val="00F7320D"/>
    <w:rPr>
      <w:rFonts w:asciiTheme="majorHAnsi" w:hAnsiTheme="majorHAnsi" w:cs="Arial"/>
      <w:iCs/>
      <w:snapToGrid w:val="0"/>
      <w:color w:val="E0301E"/>
      <w:sz w:val="28"/>
      <w:szCs w:val="36"/>
      <w:lang w:eastAsia="en-US"/>
    </w:rPr>
  </w:style>
  <w:style w:type="character" w:customStyle="1" w:styleId="Heading7Char">
    <w:name w:val="Heading 7 Char"/>
    <w:aliases w:val="Legal Level 1.1. Char1"/>
    <w:basedOn w:val="DefaultParagraphFont"/>
    <w:link w:val="Heading7"/>
    <w:uiPriority w:val="99"/>
    <w:rsid w:val="00F7320D"/>
    <w:rPr>
      <w:rFonts w:asciiTheme="majorHAnsi" w:hAnsiTheme="majorHAnsi" w:cs="Arial"/>
      <w:b/>
      <w:iCs/>
      <w:snapToGrid w:val="0"/>
      <w:color w:val="E0301E"/>
      <w:sz w:val="28"/>
      <w:szCs w:val="28"/>
      <w:lang w:eastAsia="en-US"/>
    </w:rPr>
  </w:style>
  <w:style w:type="character" w:customStyle="1" w:styleId="Heading8Char">
    <w:name w:val="Heading 8 Char"/>
    <w:aliases w:val="Legal Level 1.1.1. Char"/>
    <w:basedOn w:val="DefaultParagraphFont"/>
    <w:link w:val="Heading8"/>
    <w:rsid w:val="00F7320D"/>
    <w:rPr>
      <w:rFonts w:asciiTheme="majorHAnsi" w:hAnsiTheme="majorHAnsi" w:cs="Arial"/>
      <w:b/>
      <w:snapToGrid w:val="0"/>
      <w:color w:val="E0301E"/>
      <w:sz w:val="32"/>
      <w:szCs w:val="21"/>
      <w:lang w:eastAsia="en-US"/>
    </w:rPr>
  </w:style>
  <w:style w:type="character" w:customStyle="1" w:styleId="Heading9Char">
    <w:name w:val="Heading 9 Char"/>
    <w:basedOn w:val="DefaultParagraphFont"/>
    <w:link w:val="Heading9"/>
    <w:uiPriority w:val="99"/>
    <w:rsid w:val="00F7320D"/>
    <w:rPr>
      <w:rFonts w:asciiTheme="majorHAnsi" w:hAnsiTheme="majorHAnsi" w:cs="Arial"/>
      <w:i/>
      <w:snapToGrid w:val="0"/>
      <w:color w:val="E0301E"/>
      <w:szCs w:val="21"/>
      <w:lang w:eastAsia="en-US"/>
    </w:rPr>
  </w:style>
  <w:style w:type="character" w:customStyle="1" w:styleId="Heading7Char1">
    <w:name w:val="Heading 7 Char1"/>
    <w:aliases w:val="Legal Level 1.1. Char"/>
    <w:basedOn w:val="DefaultParagraphFont"/>
    <w:semiHidden/>
    <w:rsid w:val="00F7320D"/>
    <w:rPr>
      <w:rFonts w:asciiTheme="majorHAnsi" w:eastAsiaTheme="majorEastAsia" w:hAnsiTheme="majorHAnsi" w:cstheme="majorBidi"/>
      <w:i/>
      <w:iCs/>
      <w:color w:val="754500" w:themeColor="accent1" w:themeShade="7F"/>
      <w:lang w:eastAsia="en-US"/>
    </w:rPr>
  </w:style>
  <w:style w:type="paragraph" w:styleId="Index1">
    <w:name w:val="index 1"/>
    <w:basedOn w:val="Normal"/>
    <w:next w:val="Normal"/>
    <w:autoRedefine/>
    <w:uiPriority w:val="99"/>
    <w:semiHidden/>
    <w:unhideWhenUsed/>
    <w:rsid w:val="00F7320D"/>
    <w:pPr>
      <w:ind w:left="200" w:hanging="200"/>
    </w:pPr>
    <w:rPr>
      <w:snapToGrid/>
    </w:rPr>
  </w:style>
  <w:style w:type="character" w:customStyle="1" w:styleId="EndnoteTextChar">
    <w:name w:val="Endnote Text Char"/>
    <w:basedOn w:val="DefaultParagraphFont"/>
    <w:link w:val="EndnoteText"/>
    <w:uiPriority w:val="99"/>
    <w:semiHidden/>
    <w:rsid w:val="00F7320D"/>
    <w:rPr>
      <w:rFonts w:asciiTheme="minorHAnsi" w:hAnsiTheme="minorHAnsi" w:cs="Arial"/>
      <w:snapToGrid w:val="0"/>
      <w:color w:val="404040" w:themeColor="text1" w:themeTint="BF"/>
      <w:sz w:val="16"/>
      <w:lang w:eastAsia="en-US"/>
    </w:rPr>
  </w:style>
  <w:style w:type="character" w:customStyle="1" w:styleId="TitleChar">
    <w:name w:val="Title Char"/>
    <w:basedOn w:val="DefaultParagraphFont"/>
    <w:link w:val="Title"/>
    <w:uiPriority w:val="99"/>
    <w:rsid w:val="00F7320D"/>
    <w:rPr>
      <w:rFonts w:asciiTheme="minorHAnsi" w:hAnsiTheme="minorHAnsi" w:cs="Arial"/>
      <w:b/>
      <w:bCs/>
      <w:snapToGrid w:val="0"/>
      <w:color w:val="EB8C00" w:themeColor="text2"/>
      <w:kern w:val="28"/>
      <w:sz w:val="32"/>
      <w:szCs w:val="32"/>
      <w:lang w:eastAsia="en-US"/>
    </w:rPr>
  </w:style>
  <w:style w:type="character" w:customStyle="1" w:styleId="DateChar">
    <w:name w:val="Date Char"/>
    <w:basedOn w:val="DefaultParagraphFont"/>
    <w:link w:val="Date"/>
    <w:uiPriority w:val="99"/>
    <w:semiHidden/>
    <w:rsid w:val="00F7320D"/>
    <w:rPr>
      <w:rFonts w:asciiTheme="minorHAnsi" w:hAnsiTheme="minorHAnsi" w:cs="Arial"/>
      <w:snapToGrid w:val="0"/>
      <w:color w:val="404040" w:themeColor="text1" w:themeTint="BF"/>
      <w:lang w:eastAsia="en-US"/>
    </w:rPr>
  </w:style>
  <w:style w:type="character" w:customStyle="1" w:styleId="BalloonTextChar">
    <w:name w:val="Balloon Text Char"/>
    <w:basedOn w:val="DefaultParagraphFont"/>
    <w:link w:val="BalloonText"/>
    <w:uiPriority w:val="99"/>
    <w:semiHidden/>
    <w:rsid w:val="00F7320D"/>
    <w:rPr>
      <w:rFonts w:ascii="Tahoma" w:hAnsi="Tahoma" w:cs="Arial"/>
      <w:snapToGrid w:val="0"/>
      <w:color w:val="404040" w:themeColor="text1" w:themeTint="BF"/>
      <w:sz w:val="16"/>
      <w:szCs w:val="16"/>
      <w:lang w:eastAsia="en-US"/>
    </w:rPr>
  </w:style>
  <w:style w:type="table" w:customStyle="1" w:styleId="ListTable3-Accent62">
    <w:name w:val="List Table 3 - Accent 62"/>
    <w:basedOn w:val="TableNormal"/>
    <w:uiPriority w:val="48"/>
    <w:rsid w:val="00362C71"/>
    <w:tblPr>
      <w:tblStyleRowBandSize w:val="1"/>
      <w:tblStyleColBandSize w:val="1"/>
      <w:tblBorders>
        <w:top w:val="single" w:sz="4" w:space="0" w:color="E0301E" w:themeColor="accent6"/>
        <w:left w:val="single" w:sz="4" w:space="0" w:color="E0301E" w:themeColor="accent6"/>
        <w:bottom w:val="single" w:sz="4" w:space="0" w:color="E0301E" w:themeColor="accent6"/>
        <w:right w:val="single" w:sz="4" w:space="0" w:color="E0301E" w:themeColor="accent6"/>
      </w:tblBorders>
    </w:tblPr>
    <w:tblStylePr w:type="firstRow">
      <w:rPr>
        <w:b/>
        <w:bCs/>
        <w:color w:val="FFFFFF" w:themeColor="background1"/>
      </w:rPr>
      <w:tblPr/>
      <w:tcPr>
        <w:shd w:val="clear" w:color="auto" w:fill="E0301E" w:themeFill="accent6"/>
      </w:tcPr>
    </w:tblStylePr>
    <w:tblStylePr w:type="lastRow">
      <w:rPr>
        <w:b/>
        <w:bCs/>
      </w:rPr>
      <w:tblPr/>
      <w:tcPr>
        <w:tcBorders>
          <w:top w:val="double" w:sz="4" w:space="0" w:color="E030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01E" w:themeColor="accent6"/>
          <w:right w:val="single" w:sz="4" w:space="0" w:color="E0301E" w:themeColor="accent6"/>
        </w:tcBorders>
      </w:tcPr>
    </w:tblStylePr>
    <w:tblStylePr w:type="band1Horz">
      <w:tblPr/>
      <w:tcPr>
        <w:tcBorders>
          <w:top w:val="single" w:sz="4" w:space="0" w:color="E0301E" w:themeColor="accent6"/>
          <w:bottom w:val="single" w:sz="4" w:space="0" w:color="E030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01E" w:themeColor="accent6"/>
          <w:left w:val="nil"/>
        </w:tcBorders>
      </w:tcPr>
    </w:tblStylePr>
    <w:tblStylePr w:type="swCell">
      <w:tblPr/>
      <w:tcPr>
        <w:tcBorders>
          <w:top w:val="double" w:sz="4" w:space="0" w:color="E0301E" w:themeColor="accent6"/>
          <w:right w:val="nil"/>
        </w:tcBorders>
      </w:tcPr>
    </w:tblStylePr>
  </w:style>
  <w:style w:type="paragraph" w:customStyle="1" w:styleId="Heading2Appendix">
    <w:name w:val="Heading 2 Appendix"/>
    <w:basedOn w:val="Heading2"/>
    <w:qFormat/>
    <w:rsid w:val="0037093B"/>
    <w:pPr>
      <w:numPr>
        <w:numId w:val="31"/>
      </w:numPr>
    </w:pPr>
  </w:style>
  <w:style w:type="table" w:customStyle="1" w:styleId="ListTable3-Accent63">
    <w:name w:val="List Table 3 - Accent 63"/>
    <w:basedOn w:val="TableNormal"/>
    <w:uiPriority w:val="48"/>
    <w:rsid w:val="001A4479"/>
    <w:tblPr>
      <w:tblStyleRowBandSize w:val="1"/>
      <w:tblStyleColBandSize w:val="1"/>
      <w:tblInd w:w="0" w:type="nil"/>
      <w:tblBorders>
        <w:top w:val="single" w:sz="4" w:space="0" w:color="E0301E" w:themeColor="accent6"/>
        <w:left w:val="single" w:sz="4" w:space="0" w:color="E0301E" w:themeColor="accent6"/>
        <w:bottom w:val="single" w:sz="4" w:space="0" w:color="E0301E" w:themeColor="accent6"/>
        <w:right w:val="single" w:sz="4" w:space="0" w:color="E0301E" w:themeColor="accent6"/>
      </w:tblBorders>
    </w:tblPr>
    <w:tblStylePr w:type="firstRow">
      <w:rPr>
        <w:b/>
        <w:bCs/>
        <w:color w:val="FFFFFF" w:themeColor="background1"/>
      </w:rPr>
      <w:tblPr/>
      <w:tcPr>
        <w:shd w:val="clear" w:color="auto" w:fill="E0301E" w:themeFill="accent6"/>
      </w:tcPr>
    </w:tblStylePr>
    <w:tblStylePr w:type="lastRow">
      <w:rPr>
        <w:b/>
        <w:bCs/>
      </w:rPr>
      <w:tblPr/>
      <w:tcPr>
        <w:tcBorders>
          <w:top w:val="double" w:sz="4" w:space="0" w:color="E030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01E" w:themeColor="accent6"/>
          <w:right w:val="single" w:sz="4" w:space="0" w:color="E0301E" w:themeColor="accent6"/>
        </w:tcBorders>
      </w:tcPr>
    </w:tblStylePr>
    <w:tblStylePr w:type="band1Horz">
      <w:tblPr/>
      <w:tcPr>
        <w:tcBorders>
          <w:top w:val="single" w:sz="4" w:space="0" w:color="E0301E" w:themeColor="accent6"/>
          <w:bottom w:val="single" w:sz="4" w:space="0" w:color="E030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01E" w:themeColor="accent6"/>
          <w:left w:val="nil"/>
        </w:tcBorders>
      </w:tcPr>
    </w:tblStylePr>
    <w:tblStylePr w:type="swCell">
      <w:tblPr/>
      <w:tcPr>
        <w:tcBorders>
          <w:top w:val="double" w:sz="4" w:space="0" w:color="E0301E" w:themeColor="accent6"/>
          <w:right w:val="nil"/>
        </w:tcBorders>
      </w:tcPr>
    </w:tblStylePr>
  </w:style>
  <w:style w:type="paragraph" w:customStyle="1" w:styleId="StyleListBulletAccent1">
    <w:name w:val="Style List Bullet + Accent 1"/>
    <w:basedOn w:val="ListBullet"/>
    <w:rsid w:val="00EB35B5"/>
    <w:rPr>
      <w:color w:val="E0301E"/>
    </w:rPr>
  </w:style>
  <w:style w:type="table" w:customStyle="1" w:styleId="Tables-APBase4">
    <w:name w:val="Tables - AP Base4"/>
    <w:basedOn w:val="TableNormal"/>
    <w:rsid w:val="00E31918"/>
    <w:tblPr>
      <w:tblStyleRowBandSize w:val="1"/>
      <w:tblStyleColBandSize w:val="1"/>
      <w:tblBorders>
        <w:top w:val="single" w:sz="4" w:space="0" w:color="FFFFFF"/>
        <w:left w:val="single" w:sz="4" w:space="0" w:color="FFFFFF"/>
        <w:bottom w:val="single" w:sz="6" w:space="0" w:color="EB8C00" w:themeColor="text2"/>
        <w:right w:val="single" w:sz="4" w:space="0" w:color="FFFFFF"/>
        <w:insideH w:val="single" w:sz="6" w:space="0" w:color="EB8C00" w:themeColor="text2"/>
        <w:insideV w:val="single" w:sz="4" w:space="0" w:color="FFFFFF"/>
      </w:tblBorders>
    </w:tblPr>
    <w:tcPr>
      <w:shd w:val="clear" w:color="auto" w:fill="FFFFFF" w:themeFill="background2"/>
      <w:tcMar>
        <w:top w:w="0" w:type="dxa"/>
        <w:left w:w="108" w:type="dxa"/>
        <w:bottom w:w="0" w:type="dxa"/>
        <w:right w:w="108" w:type="dxa"/>
      </w:tcMar>
    </w:tcPr>
    <w:tblStylePr w:type="firstRow">
      <w:pPr>
        <w:jc w:val="left"/>
      </w:pPr>
      <w:rPr>
        <w:rFonts w:ascii="Georgia" w:hAnsi="Georgia"/>
        <w:b w:val="0"/>
        <w:color w:val="auto"/>
      </w:rPr>
      <w:tblPr/>
      <w:trPr>
        <w:tblHeader/>
      </w:trPr>
      <w:tcPr>
        <w:shd w:val="clear" w:color="auto" w:fill="EB8C00" w:themeFill="text2"/>
        <w:vAlign w:val="bottom"/>
      </w:tcPr>
    </w:tblStylePr>
    <w:tblStylePr w:type="lastRow">
      <w:rPr>
        <w:color w:val="auto"/>
      </w:rPr>
      <w:tblPr/>
      <w:tcPr>
        <w:tcBorders>
          <w:top w:val="single" w:sz="4" w:space="0" w:color="EB8C00" w:themeColor="text2"/>
        </w:tcBorders>
        <w:shd w:val="clear" w:color="auto" w:fill="auto"/>
      </w:tcPr>
    </w:tblStylePr>
    <w:tblStylePr w:type="nwCell">
      <w:pPr>
        <w:jc w:val="left"/>
      </w:pPr>
      <w:tblPr/>
      <w:tcPr>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7652">
      <w:bodyDiv w:val="1"/>
      <w:marLeft w:val="0"/>
      <w:marRight w:val="0"/>
      <w:marTop w:val="0"/>
      <w:marBottom w:val="0"/>
      <w:divBdr>
        <w:top w:val="none" w:sz="0" w:space="0" w:color="auto"/>
        <w:left w:val="none" w:sz="0" w:space="0" w:color="auto"/>
        <w:bottom w:val="none" w:sz="0" w:space="0" w:color="auto"/>
        <w:right w:val="none" w:sz="0" w:space="0" w:color="auto"/>
      </w:divBdr>
    </w:div>
    <w:div w:id="36056087">
      <w:bodyDiv w:val="1"/>
      <w:marLeft w:val="0"/>
      <w:marRight w:val="0"/>
      <w:marTop w:val="0"/>
      <w:marBottom w:val="0"/>
      <w:divBdr>
        <w:top w:val="none" w:sz="0" w:space="0" w:color="auto"/>
        <w:left w:val="none" w:sz="0" w:space="0" w:color="auto"/>
        <w:bottom w:val="none" w:sz="0" w:space="0" w:color="auto"/>
        <w:right w:val="none" w:sz="0" w:space="0" w:color="auto"/>
      </w:divBdr>
    </w:div>
    <w:div w:id="89476583">
      <w:bodyDiv w:val="1"/>
      <w:marLeft w:val="0"/>
      <w:marRight w:val="0"/>
      <w:marTop w:val="0"/>
      <w:marBottom w:val="0"/>
      <w:divBdr>
        <w:top w:val="none" w:sz="0" w:space="0" w:color="auto"/>
        <w:left w:val="none" w:sz="0" w:space="0" w:color="auto"/>
        <w:bottom w:val="none" w:sz="0" w:space="0" w:color="auto"/>
        <w:right w:val="none" w:sz="0" w:space="0" w:color="auto"/>
      </w:divBdr>
    </w:div>
    <w:div w:id="145900208">
      <w:bodyDiv w:val="1"/>
      <w:marLeft w:val="0"/>
      <w:marRight w:val="0"/>
      <w:marTop w:val="0"/>
      <w:marBottom w:val="0"/>
      <w:divBdr>
        <w:top w:val="none" w:sz="0" w:space="0" w:color="auto"/>
        <w:left w:val="none" w:sz="0" w:space="0" w:color="auto"/>
        <w:bottom w:val="none" w:sz="0" w:space="0" w:color="auto"/>
        <w:right w:val="none" w:sz="0" w:space="0" w:color="auto"/>
      </w:divBdr>
    </w:div>
    <w:div w:id="175996464">
      <w:bodyDiv w:val="1"/>
      <w:marLeft w:val="0"/>
      <w:marRight w:val="0"/>
      <w:marTop w:val="0"/>
      <w:marBottom w:val="0"/>
      <w:divBdr>
        <w:top w:val="none" w:sz="0" w:space="0" w:color="auto"/>
        <w:left w:val="none" w:sz="0" w:space="0" w:color="auto"/>
        <w:bottom w:val="none" w:sz="0" w:space="0" w:color="auto"/>
        <w:right w:val="none" w:sz="0" w:space="0" w:color="auto"/>
      </w:divBdr>
    </w:div>
    <w:div w:id="184056341">
      <w:bodyDiv w:val="1"/>
      <w:marLeft w:val="0"/>
      <w:marRight w:val="0"/>
      <w:marTop w:val="0"/>
      <w:marBottom w:val="0"/>
      <w:divBdr>
        <w:top w:val="none" w:sz="0" w:space="0" w:color="auto"/>
        <w:left w:val="none" w:sz="0" w:space="0" w:color="auto"/>
        <w:bottom w:val="none" w:sz="0" w:space="0" w:color="auto"/>
        <w:right w:val="none" w:sz="0" w:space="0" w:color="auto"/>
      </w:divBdr>
    </w:div>
    <w:div w:id="190996143">
      <w:bodyDiv w:val="1"/>
      <w:marLeft w:val="0"/>
      <w:marRight w:val="0"/>
      <w:marTop w:val="0"/>
      <w:marBottom w:val="0"/>
      <w:divBdr>
        <w:top w:val="none" w:sz="0" w:space="0" w:color="auto"/>
        <w:left w:val="none" w:sz="0" w:space="0" w:color="auto"/>
        <w:bottom w:val="none" w:sz="0" w:space="0" w:color="auto"/>
        <w:right w:val="none" w:sz="0" w:space="0" w:color="auto"/>
      </w:divBdr>
    </w:div>
    <w:div w:id="199174867">
      <w:bodyDiv w:val="1"/>
      <w:marLeft w:val="0"/>
      <w:marRight w:val="0"/>
      <w:marTop w:val="0"/>
      <w:marBottom w:val="0"/>
      <w:divBdr>
        <w:top w:val="none" w:sz="0" w:space="0" w:color="auto"/>
        <w:left w:val="none" w:sz="0" w:space="0" w:color="auto"/>
        <w:bottom w:val="none" w:sz="0" w:space="0" w:color="auto"/>
        <w:right w:val="none" w:sz="0" w:space="0" w:color="auto"/>
      </w:divBdr>
    </w:div>
    <w:div w:id="216209125">
      <w:bodyDiv w:val="1"/>
      <w:marLeft w:val="0"/>
      <w:marRight w:val="0"/>
      <w:marTop w:val="0"/>
      <w:marBottom w:val="0"/>
      <w:divBdr>
        <w:top w:val="none" w:sz="0" w:space="0" w:color="auto"/>
        <w:left w:val="none" w:sz="0" w:space="0" w:color="auto"/>
        <w:bottom w:val="none" w:sz="0" w:space="0" w:color="auto"/>
        <w:right w:val="none" w:sz="0" w:space="0" w:color="auto"/>
      </w:divBdr>
    </w:div>
    <w:div w:id="276185603">
      <w:bodyDiv w:val="1"/>
      <w:marLeft w:val="0"/>
      <w:marRight w:val="0"/>
      <w:marTop w:val="0"/>
      <w:marBottom w:val="0"/>
      <w:divBdr>
        <w:top w:val="none" w:sz="0" w:space="0" w:color="auto"/>
        <w:left w:val="none" w:sz="0" w:space="0" w:color="auto"/>
        <w:bottom w:val="none" w:sz="0" w:space="0" w:color="auto"/>
        <w:right w:val="none" w:sz="0" w:space="0" w:color="auto"/>
      </w:divBdr>
    </w:div>
    <w:div w:id="312685370">
      <w:bodyDiv w:val="1"/>
      <w:marLeft w:val="0"/>
      <w:marRight w:val="0"/>
      <w:marTop w:val="0"/>
      <w:marBottom w:val="0"/>
      <w:divBdr>
        <w:top w:val="none" w:sz="0" w:space="0" w:color="auto"/>
        <w:left w:val="none" w:sz="0" w:space="0" w:color="auto"/>
        <w:bottom w:val="none" w:sz="0" w:space="0" w:color="auto"/>
        <w:right w:val="none" w:sz="0" w:space="0" w:color="auto"/>
      </w:divBdr>
    </w:div>
    <w:div w:id="313527517">
      <w:bodyDiv w:val="1"/>
      <w:marLeft w:val="0"/>
      <w:marRight w:val="0"/>
      <w:marTop w:val="0"/>
      <w:marBottom w:val="0"/>
      <w:divBdr>
        <w:top w:val="none" w:sz="0" w:space="0" w:color="auto"/>
        <w:left w:val="none" w:sz="0" w:space="0" w:color="auto"/>
        <w:bottom w:val="none" w:sz="0" w:space="0" w:color="auto"/>
        <w:right w:val="none" w:sz="0" w:space="0" w:color="auto"/>
      </w:divBdr>
      <w:divsChild>
        <w:div w:id="1322198423">
          <w:marLeft w:val="0"/>
          <w:marRight w:val="0"/>
          <w:marTop w:val="0"/>
          <w:marBottom w:val="0"/>
          <w:divBdr>
            <w:top w:val="none" w:sz="0" w:space="0" w:color="auto"/>
            <w:left w:val="none" w:sz="0" w:space="0" w:color="auto"/>
            <w:bottom w:val="none" w:sz="0" w:space="0" w:color="auto"/>
            <w:right w:val="none" w:sz="0" w:space="0" w:color="auto"/>
          </w:divBdr>
        </w:div>
      </w:divsChild>
    </w:div>
    <w:div w:id="315762986">
      <w:bodyDiv w:val="1"/>
      <w:marLeft w:val="0"/>
      <w:marRight w:val="0"/>
      <w:marTop w:val="0"/>
      <w:marBottom w:val="0"/>
      <w:divBdr>
        <w:top w:val="none" w:sz="0" w:space="0" w:color="auto"/>
        <w:left w:val="none" w:sz="0" w:space="0" w:color="auto"/>
        <w:bottom w:val="none" w:sz="0" w:space="0" w:color="auto"/>
        <w:right w:val="none" w:sz="0" w:space="0" w:color="auto"/>
      </w:divBdr>
    </w:div>
    <w:div w:id="340745550">
      <w:bodyDiv w:val="1"/>
      <w:marLeft w:val="0"/>
      <w:marRight w:val="0"/>
      <w:marTop w:val="0"/>
      <w:marBottom w:val="0"/>
      <w:divBdr>
        <w:top w:val="none" w:sz="0" w:space="0" w:color="auto"/>
        <w:left w:val="none" w:sz="0" w:space="0" w:color="auto"/>
        <w:bottom w:val="none" w:sz="0" w:space="0" w:color="auto"/>
        <w:right w:val="none" w:sz="0" w:space="0" w:color="auto"/>
      </w:divBdr>
    </w:div>
    <w:div w:id="397897340">
      <w:bodyDiv w:val="1"/>
      <w:marLeft w:val="0"/>
      <w:marRight w:val="0"/>
      <w:marTop w:val="0"/>
      <w:marBottom w:val="0"/>
      <w:divBdr>
        <w:top w:val="none" w:sz="0" w:space="0" w:color="auto"/>
        <w:left w:val="none" w:sz="0" w:space="0" w:color="auto"/>
        <w:bottom w:val="none" w:sz="0" w:space="0" w:color="auto"/>
        <w:right w:val="none" w:sz="0" w:space="0" w:color="auto"/>
      </w:divBdr>
    </w:div>
    <w:div w:id="398023053">
      <w:bodyDiv w:val="1"/>
      <w:marLeft w:val="0"/>
      <w:marRight w:val="0"/>
      <w:marTop w:val="0"/>
      <w:marBottom w:val="0"/>
      <w:divBdr>
        <w:top w:val="none" w:sz="0" w:space="0" w:color="auto"/>
        <w:left w:val="none" w:sz="0" w:space="0" w:color="auto"/>
        <w:bottom w:val="none" w:sz="0" w:space="0" w:color="auto"/>
        <w:right w:val="none" w:sz="0" w:space="0" w:color="auto"/>
      </w:divBdr>
    </w:div>
    <w:div w:id="422409807">
      <w:bodyDiv w:val="1"/>
      <w:marLeft w:val="0"/>
      <w:marRight w:val="0"/>
      <w:marTop w:val="0"/>
      <w:marBottom w:val="0"/>
      <w:divBdr>
        <w:top w:val="none" w:sz="0" w:space="0" w:color="auto"/>
        <w:left w:val="none" w:sz="0" w:space="0" w:color="auto"/>
        <w:bottom w:val="none" w:sz="0" w:space="0" w:color="auto"/>
        <w:right w:val="none" w:sz="0" w:space="0" w:color="auto"/>
      </w:divBdr>
    </w:div>
    <w:div w:id="449934595">
      <w:bodyDiv w:val="1"/>
      <w:marLeft w:val="0"/>
      <w:marRight w:val="0"/>
      <w:marTop w:val="0"/>
      <w:marBottom w:val="0"/>
      <w:divBdr>
        <w:top w:val="none" w:sz="0" w:space="0" w:color="auto"/>
        <w:left w:val="none" w:sz="0" w:space="0" w:color="auto"/>
        <w:bottom w:val="none" w:sz="0" w:space="0" w:color="auto"/>
        <w:right w:val="none" w:sz="0" w:space="0" w:color="auto"/>
      </w:divBdr>
    </w:div>
    <w:div w:id="461922540">
      <w:bodyDiv w:val="1"/>
      <w:marLeft w:val="0"/>
      <w:marRight w:val="0"/>
      <w:marTop w:val="0"/>
      <w:marBottom w:val="0"/>
      <w:divBdr>
        <w:top w:val="none" w:sz="0" w:space="0" w:color="auto"/>
        <w:left w:val="none" w:sz="0" w:space="0" w:color="auto"/>
        <w:bottom w:val="none" w:sz="0" w:space="0" w:color="auto"/>
        <w:right w:val="none" w:sz="0" w:space="0" w:color="auto"/>
      </w:divBdr>
    </w:div>
    <w:div w:id="468590084">
      <w:bodyDiv w:val="1"/>
      <w:marLeft w:val="0"/>
      <w:marRight w:val="0"/>
      <w:marTop w:val="0"/>
      <w:marBottom w:val="0"/>
      <w:divBdr>
        <w:top w:val="none" w:sz="0" w:space="0" w:color="auto"/>
        <w:left w:val="none" w:sz="0" w:space="0" w:color="auto"/>
        <w:bottom w:val="none" w:sz="0" w:space="0" w:color="auto"/>
        <w:right w:val="none" w:sz="0" w:space="0" w:color="auto"/>
      </w:divBdr>
    </w:div>
    <w:div w:id="500005860">
      <w:bodyDiv w:val="1"/>
      <w:marLeft w:val="0"/>
      <w:marRight w:val="0"/>
      <w:marTop w:val="0"/>
      <w:marBottom w:val="0"/>
      <w:divBdr>
        <w:top w:val="none" w:sz="0" w:space="0" w:color="auto"/>
        <w:left w:val="none" w:sz="0" w:space="0" w:color="auto"/>
        <w:bottom w:val="none" w:sz="0" w:space="0" w:color="auto"/>
        <w:right w:val="none" w:sz="0" w:space="0" w:color="auto"/>
      </w:divBdr>
    </w:div>
    <w:div w:id="503128479">
      <w:bodyDiv w:val="1"/>
      <w:marLeft w:val="0"/>
      <w:marRight w:val="0"/>
      <w:marTop w:val="0"/>
      <w:marBottom w:val="0"/>
      <w:divBdr>
        <w:top w:val="none" w:sz="0" w:space="0" w:color="auto"/>
        <w:left w:val="none" w:sz="0" w:space="0" w:color="auto"/>
        <w:bottom w:val="none" w:sz="0" w:space="0" w:color="auto"/>
        <w:right w:val="none" w:sz="0" w:space="0" w:color="auto"/>
      </w:divBdr>
    </w:div>
    <w:div w:id="534540550">
      <w:bodyDiv w:val="1"/>
      <w:marLeft w:val="0"/>
      <w:marRight w:val="0"/>
      <w:marTop w:val="0"/>
      <w:marBottom w:val="0"/>
      <w:divBdr>
        <w:top w:val="none" w:sz="0" w:space="0" w:color="auto"/>
        <w:left w:val="none" w:sz="0" w:space="0" w:color="auto"/>
        <w:bottom w:val="none" w:sz="0" w:space="0" w:color="auto"/>
        <w:right w:val="none" w:sz="0" w:space="0" w:color="auto"/>
      </w:divBdr>
    </w:div>
    <w:div w:id="569077742">
      <w:bodyDiv w:val="1"/>
      <w:marLeft w:val="0"/>
      <w:marRight w:val="0"/>
      <w:marTop w:val="0"/>
      <w:marBottom w:val="0"/>
      <w:divBdr>
        <w:top w:val="none" w:sz="0" w:space="0" w:color="auto"/>
        <w:left w:val="none" w:sz="0" w:space="0" w:color="auto"/>
        <w:bottom w:val="none" w:sz="0" w:space="0" w:color="auto"/>
        <w:right w:val="none" w:sz="0" w:space="0" w:color="auto"/>
      </w:divBdr>
    </w:div>
    <w:div w:id="570040573">
      <w:bodyDiv w:val="1"/>
      <w:marLeft w:val="0"/>
      <w:marRight w:val="0"/>
      <w:marTop w:val="0"/>
      <w:marBottom w:val="0"/>
      <w:divBdr>
        <w:top w:val="none" w:sz="0" w:space="0" w:color="auto"/>
        <w:left w:val="none" w:sz="0" w:space="0" w:color="auto"/>
        <w:bottom w:val="none" w:sz="0" w:space="0" w:color="auto"/>
        <w:right w:val="none" w:sz="0" w:space="0" w:color="auto"/>
      </w:divBdr>
    </w:div>
    <w:div w:id="611590316">
      <w:bodyDiv w:val="1"/>
      <w:marLeft w:val="0"/>
      <w:marRight w:val="0"/>
      <w:marTop w:val="0"/>
      <w:marBottom w:val="0"/>
      <w:divBdr>
        <w:top w:val="none" w:sz="0" w:space="0" w:color="auto"/>
        <w:left w:val="none" w:sz="0" w:space="0" w:color="auto"/>
        <w:bottom w:val="none" w:sz="0" w:space="0" w:color="auto"/>
        <w:right w:val="none" w:sz="0" w:space="0" w:color="auto"/>
      </w:divBdr>
    </w:div>
    <w:div w:id="629357857">
      <w:bodyDiv w:val="1"/>
      <w:marLeft w:val="0"/>
      <w:marRight w:val="0"/>
      <w:marTop w:val="0"/>
      <w:marBottom w:val="0"/>
      <w:divBdr>
        <w:top w:val="none" w:sz="0" w:space="0" w:color="auto"/>
        <w:left w:val="none" w:sz="0" w:space="0" w:color="auto"/>
        <w:bottom w:val="none" w:sz="0" w:space="0" w:color="auto"/>
        <w:right w:val="none" w:sz="0" w:space="0" w:color="auto"/>
      </w:divBdr>
    </w:div>
    <w:div w:id="630477563">
      <w:bodyDiv w:val="1"/>
      <w:marLeft w:val="0"/>
      <w:marRight w:val="0"/>
      <w:marTop w:val="0"/>
      <w:marBottom w:val="0"/>
      <w:divBdr>
        <w:top w:val="none" w:sz="0" w:space="0" w:color="auto"/>
        <w:left w:val="none" w:sz="0" w:space="0" w:color="auto"/>
        <w:bottom w:val="none" w:sz="0" w:space="0" w:color="auto"/>
        <w:right w:val="none" w:sz="0" w:space="0" w:color="auto"/>
      </w:divBdr>
    </w:div>
    <w:div w:id="650451394">
      <w:bodyDiv w:val="1"/>
      <w:marLeft w:val="0"/>
      <w:marRight w:val="0"/>
      <w:marTop w:val="0"/>
      <w:marBottom w:val="0"/>
      <w:divBdr>
        <w:top w:val="none" w:sz="0" w:space="0" w:color="auto"/>
        <w:left w:val="none" w:sz="0" w:space="0" w:color="auto"/>
        <w:bottom w:val="none" w:sz="0" w:space="0" w:color="auto"/>
        <w:right w:val="none" w:sz="0" w:space="0" w:color="auto"/>
      </w:divBdr>
    </w:div>
    <w:div w:id="658462131">
      <w:bodyDiv w:val="1"/>
      <w:marLeft w:val="0"/>
      <w:marRight w:val="0"/>
      <w:marTop w:val="0"/>
      <w:marBottom w:val="0"/>
      <w:divBdr>
        <w:top w:val="none" w:sz="0" w:space="0" w:color="auto"/>
        <w:left w:val="none" w:sz="0" w:space="0" w:color="auto"/>
        <w:bottom w:val="none" w:sz="0" w:space="0" w:color="auto"/>
        <w:right w:val="none" w:sz="0" w:space="0" w:color="auto"/>
      </w:divBdr>
    </w:div>
    <w:div w:id="722601481">
      <w:bodyDiv w:val="1"/>
      <w:marLeft w:val="0"/>
      <w:marRight w:val="0"/>
      <w:marTop w:val="0"/>
      <w:marBottom w:val="0"/>
      <w:divBdr>
        <w:top w:val="none" w:sz="0" w:space="0" w:color="auto"/>
        <w:left w:val="none" w:sz="0" w:space="0" w:color="auto"/>
        <w:bottom w:val="none" w:sz="0" w:space="0" w:color="auto"/>
        <w:right w:val="none" w:sz="0" w:space="0" w:color="auto"/>
      </w:divBdr>
    </w:div>
    <w:div w:id="761803774">
      <w:bodyDiv w:val="1"/>
      <w:marLeft w:val="0"/>
      <w:marRight w:val="0"/>
      <w:marTop w:val="0"/>
      <w:marBottom w:val="0"/>
      <w:divBdr>
        <w:top w:val="none" w:sz="0" w:space="0" w:color="auto"/>
        <w:left w:val="none" w:sz="0" w:space="0" w:color="auto"/>
        <w:bottom w:val="none" w:sz="0" w:space="0" w:color="auto"/>
        <w:right w:val="none" w:sz="0" w:space="0" w:color="auto"/>
      </w:divBdr>
    </w:div>
    <w:div w:id="802236297">
      <w:bodyDiv w:val="1"/>
      <w:marLeft w:val="0"/>
      <w:marRight w:val="0"/>
      <w:marTop w:val="0"/>
      <w:marBottom w:val="0"/>
      <w:divBdr>
        <w:top w:val="none" w:sz="0" w:space="0" w:color="auto"/>
        <w:left w:val="none" w:sz="0" w:space="0" w:color="auto"/>
        <w:bottom w:val="none" w:sz="0" w:space="0" w:color="auto"/>
        <w:right w:val="none" w:sz="0" w:space="0" w:color="auto"/>
      </w:divBdr>
    </w:div>
    <w:div w:id="820462480">
      <w:bodyDiv w:val="1"/>
      <w:marLeft w:val="0"/>
      <w:marRight w:val="0"/>
      <w:marTop w:val="0"/>
      <w:marBottom w:val="0"/>
      <w:divBdr>
        <w:top w:val="none" w:sz="0" w:space="0" w:color="auto"/>
        <w:left w:val="none" w:sz="0" w:space="0" w:color="auto"/>
        <w:bottom w:val="none" w:sz="0" w:space="0" w:color="auto"/>
        <w:right w:val="none" w:sz="0" w:space="0" w:color="auto"/>
      </w:divBdr>
    </w:div>
    <w:div w:id="843128111">
      <w:bodyDiv w:val="1"/>
      <w:marLeft w:val="0"/>
      <w:marRight w:val="0"/>
      <w:marTop w:val="0"/>
      <w:marBottom w:val="0"/>
      <w:divBdr>
        <w:top w:val="none" w:sz="0" w:space="0" w:color="auto"/>
        <w:left w:val="none" w:sz="0" w:space="0" w:color="auto"/>
        <w:bottom w:val="none" w:sz="0" w:space="0" w:color="auto"/>
        <w:right w:val="none" w:sz="0" w:space="0" w:color="auto"/>
      </w:divBdr>
    </w:div>
    <w:div w:id="846745625">
      <w:bodyDiv w:val="1"/>
      <w:marLeft w:val="0"/>
      <w:marRight w:val="0"/>
      <w:marTop w:val="0"/>
      <w:marBottom w:val="0"/>
      <w:divBdr>
        <w:top w:val="none" w:sz="0" w:space="0" w:color="auto"/>
        <w:left w:val="none" w:sz="0" w:space="0" w:color="auto"/>
        <w:bottom w:val="none" w:sz="0" w:space="0" w:color="auto"/>
        <w:right w:val="none" w:sz="0" w:space="0" w:color="auto"/>
      </w:divBdr>
    </w:div>
    <w:div w:id="863174833">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894582383">
      <w:bodyDiv w:val="1"/>
      <w:marLeft w:val="0"/>
      <w:marRight w:val="0"/>
      <w:marTop w:val="0"/>
      <w:marBottom w:val="0"/>
      <w:divBdr>
        <w:top w:val="none" w:sz="0" w:space="0" w:color="auto"/>
        <w:left w:val="none" w:sz="0" w:space="0" w:color="auto"/>
        <w:bottom w:val="none" w:sz="0" w:space="0" w:color="auto"/>
        <w:right w:val="none" w:sz="0" w:space="0" w:color="auto"/>
      </w:divBdr>
    </w:div>
    <w:div w:id="894894355">
      <w:bodyDiv w:val="1"/>
      <w:marLeft w:val="0"/>
      <w:marRight w:val="0"/>
      <w:marTop w:val="0"/>
      <w:marBottom w:val="0"/>
      <w:divBdr>
        <w:top w:val="none" w:sz="0" w:space="0" w:color="auto"/>
        <w:left w:val="none" w:sz="0" w:space="0" w:color="auto"/>
        <w:bottom w:val="none" w:sz="0" w:space="0" w:color="auto"/>
        <w:right w:val="none" w:sz="0" w:space="0" w:color="auto"/>
      </w:divBdr>
    </w:div>
    <w:div w:id="931282078">
      <w:bodyDiv w:val="1"/>
      <w:marLeft w:val="0"/>
      <w:marRight w:val="0"/>
      <w:marTop w:val="0"/>
      <w:marBottom w:val="0"/>
      <w:divBdr>
        <w:top w:val="none" w:sz="0" w:space="0" w:color="auto"/>
        <w:left w:val="none" w:sz="0" w:space="0" w:color="auto"/>
        <w:bottom w:val="none" w:sz="0" w:space="0" w:color="auto"/>
        <w:right w:val="none" w:sz="0" w:space="0" w:color="auto"/>
      </w:divBdr>
    </w:div>
    <w:div w:id="949434305">
      <w:bodyDiv w:val="1"/>
      <w:marLeft w:val="0"/>
      <w:marRight w:val="0"/>
      <w:marTop w:val="0"/>
      <w:marBottom w:val="0"/>
      <w:divBdr>
        <w:top w:val="none" w:sz="0" w:space="0" w:color="auto"/>
        <w:left w:val="none" w:sz="0" w:space="0" w:color="auto"/>
        <w:bottom w:val="none" w:sz="0" w:space="0" w:color="auto"/>
        <w:right w:val="none" w:sz="0" w:space="0" w:color="auto"/>
      </w:divBdr>
    </w:div>
    <w:div w:id="967468039">
      <w:bodyDiv w:val="1"/>
      <w:marLeft w:val="0"/>
      <w:marRight w:val="0"/>
      <w:marTop w:val="0"/>
      <w:marBottom w:val="0"/>
      <w:divBdr>
        <w:top w:val="none" w:sz="0" w:space="0" w:color="auto"/>
        <w:left w:val="none" w:sz="0" w:space="0" w:color="auto"/>
        <w:bottom w:val="none" w:sz="0" w:space="0" w:color="auto"/>
        <w:right w:val="none" w:sz="0" w:space="0" w:color="auto"/>
      </w:divBdr>
    </w:div>
    <w:div w:id="986283822">
      <w:bodyDiv w:val="1"/>
      <w:marLeft w:val="0"/>
      <w:marRight w:val="0"/>
      <w:marTop w:val="0"/>
      <w:marBottom w:val="0"/>
      <w:divBdr>
        <w:top w:val="none" w:sz="0" w:space="0" w:color="auto"/>
        <w:left w:val="none" w:sz="0" w:space="0" w:color="auto"/>
        <w:bottom w:val="none" w:sz="0" w:space="0" w:color="auto"/>
        <w:right w:val="none" w:sz="0" w:space="0" w:color="auto"/>
      </w:divBdr>
    </w:div>
    <w:div w:id="1005278098">
      <w:bodyDiv w:val="1"/>
      <w:marLeft w:val="0"/>
      <w:marRight w:val="0"/>
      <w:marTop w:val="0"/>
      <w:marBottom w:val="0"/>
      <w:divBdr>
        <w:top w:val="none" w:sz="0" w:space="0" w:color="auto"/>
        <w:left w:val="none" w:sz="0" w:space="0" w:color="auto"/>
        <w:bottom w:val="none" w:sz="0" w:space="0" w:color="auto"/>
        <w:right w:val="none" w:sz="0" w:space="0" w:color="auto"/>
      </w:divBdr>
    </w:div>
    <w:div w:id="1040397466">
      <w:bodyDiv w:val="1"/>
      <w:marLeft w:val="0"/>
      <w:marRight w:val="0"/>
      <w:marTop w:val="0"/>
      <w:marBottom w:val="0"/>
      <w:divBdr>
        <w:top w:val="none" w:sz="0" w:space="0" w:color="auto"/>
        <w:left w:val="none" w:sz="0" w:space="0" w:color="auto"/>
        <w:bottom w:val="none" w:sz="0" w:space="0" w:color="auto"/>
        <w:right w:val="none" w:sz="0" w:space="0" w:color="auto"/>
      </w:divBdr>
    </w:div>
    <w:div w:id="1101873604">
      <w:bodyDiv w:val="1"/>
      <w:marLeft w:val="0"/>
      <w:marRight w:val="0"/>
      <w:marTop w:val="0"/>
      <w:marBottom w:val="0"/>
      <w:divBdr>
        <w:top w:val="none" w:sz="0" w:space="0" w:color="auto"/>
        <w:left w:val="none" w:sz="0" w:space="0" w:color="auto"/>
        <w:bottom w:val="none" w:sz="0" w:space="0" w:color="auto"/>
        <w:right w:val="none" w:sz="0" w:space="0" w:color="auto"/>
      </w:divBdr>
    </w:div>
    <w:div w:id="1105347945">
      <w:bodyDiv w:val="1"/>
      <w:marLeft w:val="0"/>
      <w:marRight w:val="0"/>
      <w:marTop w:val="0"/>
      <w:marBottom w:val="0"/>
      <w:divBdr>
        <w:top w:val="none" w:sz="0" w:space="0" w:color="auto"/>
        <w:left w:val="none" w:sz="0" w:space="0" w:color="auto"/>
        <w:bottom w:val="none" w:sz="0" w:space="0" w:color="auto"/>
        <w:right w:val="none" w:sz="0" w:space="0" w:color="auto"/>
      </w:divBdr>
    </w:div>
    <w:div w:id="1106463750">
      <w:bodyDiv w:val="1"/>
      <w:marLeft w:val="0"/>
      <w:marRight w:val="0"/>
      <w:marTop w:val="0"/>
      <w:marBottom w:val="0"/>
      <w:divBdr>
        <w:top w:val="none" w:sz="0" w:space="0" w:color="auto"/>
        <w:left w:val="none" w:sz="0" w:space="0" w:color="auto"/>
        <w:bottom w:val="none" w:sz="0" w:space="0" w:color="auto"/>
        <w:right w:val="none" w:sz="0" w:space="0" w:color="auto"/>
      </w:divBdr>
    </w:div>
    <w:div w:id="1188643946">
      <w:bodyDiv w:val="1"/>
      <w:marLeft w:val="0"/>
      <w:marRight w:val="0"/>
      <w:marTop w:val="0"/>
      <w:marBottom w:val="0"/>
      <w:divBdr>
        <w:top w:val="none" w:sz="0" w:space="0" w:color="auto"/>
        <w:left w:val="none" w:sz="0" w:space="0" w:color="auto"/>
        <w:bottom w:val="none" w:sz="0" w:space="0" w:color="auto"/>
        <w:right w:val="none" w:sz="0" w:space="0" w:color="auto"/>
      </w:divBdr>
    </w:div>
    <w:div w:id="1217015001">
      <w:bodyDiv w:val="1"/>
      <w:marLeft w:val="0"/>
      <w:marRight w:val="0"/>
      <w:marTop w:val="0"/>
      <w:marBottom w:val="0"/>
      <w:divBdr>
        <w:top w:val="none" w:sz="0" w:space="0" w:color="auto"/>
        <w:left w:val="none" w:sz="0" w:space="0" w:color="auto"/>
        <w:bottom w:val="none" w:sz="0" w:space="0" w:color="auto"/>
        <w:right w:val="none" w:sz="0" w:space="0" w:color="auto"/>
      </w:divBdr>
    </w:div>
    <w:div w:id="1292983529">
      <w:bodyDiv w:val="1"/>
      <w:marLeft w:val="0"/>
      <w:marRight w:val="0"/>
      <w:marTop w:val="0"/>
      <w:marBottom w:val="0"/>
      <w:divBdr>
        <w:top w:val="none" w:sz="0" w:space="0" w:color="auto"/>
        <w:left w:val="none" w:sz="0" w:space="0" w:color="auto"/>
        <w:bottom w:val="none" w:sz="0" w:space="0" w:color="auto"/>
        <w:right w:val="none" w:sz="0" w:space="0" w:color="auto"/>
      </w:divBdr>
    </w:div>
    <w:div w:id="1370566784">
      <w:bodyDiv w:val="1"/>
      <w:marLeft w:val="0"/>
      <w:marRight w:val="0"/>
      <w:marTop w:val="0"/>
      <w:marBottom w:val="0"/>
      <w:divBdr>
        <w:top w:val="none" w:sz="0" w:space="0" w:color="auto"/>
        <w:left w:val="none" w:sz="0" w:space="0" w:color="auto"/>
        <w:bottom w:val="none" w:sz="0" w:space="0" w:color="auto"/>
        <w:right w:val="none" w:sz="0" w:space="0" w:color="auto"/>
      </w:divBdr>
    </w:div>
    <w:div w:id="1372731102">
      <w:bodyDiv w:val="1"/>
      <w:marLeft w:val="0"/>
      <w:marRight w:val="0"/>
      <w:marTop w:val="0"/>
      <w:marBottom w:val="0"/>
      <w:divBdr>
        <w:top w:val="none" w:sz="0" w:space="0" w:color="auto"/>
        <w:left w:val="none" w:sz="0" w:space="0" w:color="auto"/>
        <w:bottom w:val="none" w:sz="0" w:space="0" w:color="auto"/>
        <w:right w:val="none" w:sz="0" w:space="0" w:color="auto"/>
      </w:divBdr>
    </w:div>
    <w:div w:id="1383749316">
      <w:bodyDiv w:val="1"/>
      <w:marLeft w:val="0"/>
      <w:marRight w:val="0"/>
      <w:marTop w:val="0"/>
      <w:marBottom w:val="0"/>
      <w:divBdr>
        <w:top w:val="none" w:sz="0" w:space="0" w:color="auto"/>
        <w:left w:val="none" w:sz="0" w:space="0" w:color="auto"/>
        <w:bottom w:val="none" w:sz="0" w:space="0" w:color="auto"/>
        <w:right w:val="none" w:sz="0" w:space="0" w:color="auto"/>
      </w:divBdr>
    </w:div>
    <w:div w:id="1405026679">
      <w:bodyDiv w:val="1"/>
      <w:marLeft w:val="0"/>
      <w:marRight w:val="0"/>
      <w:marTop w:val="0"/>
      <w:marBottom w:val="0"/>
      <w:divBdr>
        <w:top w:val="none" w:sz="0" w:space="0" w:color="auto"/>
        <w:left w:val="none" w:sz="0" w:space="0" w:color="auto"/>
        <w:bottom w:val="none" w:sz="0" w:space="0" w:color="auto"/>
        <w:right w:val="none" w:sz="0" w:space="0" w:color="auto"/>
      </w:divBdr>
    </w:div>
    <w:div w:id="1405956617">
      <w:bodyDiv w:val="1"/>
      <w:marLeft w:val="0"/>
      <w:marRight w:val="0"/>
      <w:marTop w:val="0"/>
      <w:marBottom w:val="0"/>
      <w:divBdr>
        <w:top w:val="none" w:sz="0" w:space="0" w:color="auto"/>
        <w:left w:val="none" w:sz="0" w:space="0" w:color="auto"/>
        <w:bottom w:val="none" w:sz="0" w:space="0" w:color="auto"/>
        <w:right w:val="none" w:sz="0" w:space="0" w:color="auto"/>
      </w:divBdr>
    </w:div>
    <w:div w:id="1408838870">
      <w:bodyDiv w:val="1"/>
      <w:marLeft w:val="0"/>
      <w:marRight w:val="0"/>
      <w:marTop w:val="0"/>
      <w:marBottom w:val="0"/>
      <w:divBdr>
        <w:top w:val="none" w:sz="0" w:space="0" w:color="auto"/>
        <w:left w:val="none" w:sz="0" w:space="0" w:color="auto"/>
        <w:bottom w:val="none" w:sz="0" w:space="0" w:color="auto"/>
        <w:right w:val="none" w:sz="0" w:space="0" w:color="auto"/>
      </w:divBdr>
    </w:div>
    <w:div w:id="1442146035">
      <w:bodyDiv w:val="1"/>
      <w:marLeft w:val="0"/>
      <w:marRight w:val="0"/>
      <w:marTop w:val="0"/>
      <w:marBottom w:val="0"/>
      <w:divBdr>
        <w:top w:val="none" w:sz="0" w:space="0" w:color="auto"/>
        <w:left w:val="none" w:sz="0" w:space="0" w:color="auto"/>
        <w:bottom w:val="none" w:sz="0" w:space="0" w:color="auto"/>
        <w:right w:val="none" w:sz="0" w:space="0" w:color="auto"/>
      </w:divBdr>
    </w:div>
    <w:div w:id="1469009326">
      <w:bodyDiv w:val="1"/>
      <w:marLeft w:val="0"/>
      <w:marRight w:val="0"/>
      <w:marTop w:val="0"/>
      <w:marBottom w:val="0"/>
      <w:divBdr>
        <w:top w:val="none" w:sz="0" w:space="0" w:color="auto"/>
        <w:left w:val="none" w:sz="0" w:space="0" w:color="auto"/>
        <w:bottom w:val="none" w:sz="0" w:space="0" w:color="auto"/>
        <w:right w:val="none" w:sz="0" w:space="0" w:color="auto"/>
      </w:divBdr>
    </w:div>
    <w:div w:id="1495490473">
      <w:bodyDiv w:val="1"/>
      <w:marLeft w:val="0"/>
      <w:marRight w:val="0"/>
      <w:marTop w:val="0"/>
      <w:marBottom w:val="0"/>
      <w:divBdr>
        <w:top w:val="none" w:sz="0" w:space="0" w:color="auto"/>
        <w:left w:val="none" w:sz="0" w:space="0" w:color="auto"/>
        <w:bottom w:val="none" w:sz="0" w:space="0" w:color="auto"/>
        <w:right w:val="none" w:sz="0" w:space="0" w:color="auto"/>
      </w:divBdr>
    </w:div>
    <w:div w:id="1500656462">
      <w:bodyDiv w:val="1"/>
      <w:marLeft w:val="0"/>
      <w:marRight w:val="0"/>
      <w:marTop w:val="0"/>
      <w:marBottom w:val="0"/>
      <w:divBdr>
        <w:top w:val="none" w:sz="0" w:space="0" w:color="auto"/>
        <w:left w:val="none" w:sz="0" w:space="0" w:color="auto"/>
        <w:bottom w:val="none" w:sz="0" w:space="0" w:color="auto"/>
        <w:right w:val="none" w:sz="0" w:space="0" w:color="auto"/>
      </w:divBdr>
    </w:div>
    <w:div w:id="1508714395">
      <w:bodyDiv w:val="1"/>
      <w:marLeft w:val="0"/>
      <w:marRight w:val="0"/>
      <w:marTop w:val="0"/>
      <w:marBottom w:val="0"/>
      <w:divBdr>
        <w:top w:val="none" w:sz="0" w:space="0" w:color="auto"/>
        <w:left w:val="none" w:sz="0" w:space="0" w:color="auto"/>
        <w:bottom w:val="none" w:sz="0" w:space="0" w:color="auto"/>
        <w:right w:val="none" w:sz="0" w:space="0" w:color="auto"/>
      </w:divBdr>
    </w:div>
    <w:div w:id="1520852592">
      <w:bodyDiv w:val="1"/>
      <w:marLeft w:val="0"/>
      <w:marRight w:val="0"/>
      <w:marTop w:val="0"/>
      <w:marBottom w:val="0"/>
      <w:divBdr>
        <w:top w:val="none" w:sz="0" w:space="0" w:color="auto"/>
        <w:left w:val="none" w:sz="0" w:space="0" w:color="auto"/>
        <w:bottom w:val="none" w:sz="0" w:space="0" w:color="auto"/>
        <w:right w:val="none" w:sz="0" w:space="0" w:color="auto"/>
      </w:divBdr>
    </w:div>
    <w:div w:id="1537499741">
      <w:bodyDiv w:val="1"/>
      <w:marLeft w:val="0"/>
      <w:marRight w:val="0"/>
      <w:marTop w:val="0"/>
      <w:marBottom w:val="0"/>
      <w:divBdr>
        <w:top w:val="none" w:sz="0" w:space="0" w:color="auto"/>
        <w:left w:val="none" w:sz="0" w:space="0" w:color="auto"/>
        <w:bottom w:val="none" w:sz="0" w:space="0" w:color="auto"/>
        <w:right w:val="none" w:sz="0" w:space="0" w:color="auto"/>
      </w:divBdr>
    </w:div>
    <w:div w:id="1558009847">
      <w:bodyDiv w:val="1"/>
      <w:marLeft w:val="0"/>
      <w:marRight w:val="0"/>
      <w:marTop w:val="0"/>
      <w:marBottom w:val="0"/>
      <w:divBdr>
        <w:top w:val="none" w:sz="0" w:space="0" w:color="auto"/>
        <w:left w:val="none" w:sz="0" w:space="0" w:color="auto"/>
        <w:bottom w:val="none" w:sz="0" w:space="0" w:color="auto"/>
        <w:right w:val="none" w:sz="0" w:space="0" w:color="auto"/>
      </w:divBdr>
    </w:div>
    <w:div w:id="1577591793">
      <w:bodyDiv w:val="1"/>
      <w:marLeft w:val="0"/>
      <w:marRight w:val="0"/>
      <w:marTop w:val="0"/>
      <w:marBottom w:val="0"/>
      <w:divBdr>
        <w:top w:val="none" w:sz="0" w:space="0" w:color="auto"/>
        <w:left w:val="none" w:sz="0" w:space="0" w:color="auto"/>
        <w:bottom w:val="none" w:sz="0" w:space="0" w:color="auto"/>
        <w:right w:val="none" w:sz="0" w:space="0" w:color="auto"/>
      </w:divBdr>
    </w:div>
    <w:div w:id="1612083479">
      <w:bodyDiv w:val="1"/>
      <w:marLeft w:val="0"/>
      <w:marRight w:val="0"/>
      <w:marTop w:val="0"/>
      <w:marBottom w:val="0"/>
      <w:divBdr>
        <w:top w:val="none" w:sz="0" w:space="0" w:color="auto"/>
        <w:left w:val="none" w:sz="0" w:space="0" w:color="auto"/>
        <w:bottom w:val="none" w:sz="0" w:space="0" w:color="auto"/>
        <w:right w:val="none" w:sz="0" w:space="0" w:color="auto"/>
      </w:divBdr>
    </w:div>
    <w:div w:id="1614286785">
      <w:bodyDiv w:val="1"/>
      <w:marLeft w:val="0"/>
      <w:marRight w:val="0"/>
      <w:marTop w:val="0"/>
      <w:marBottom w:val="0"/>
      <w:divBdr>
        <w:top w:val="none" w:sz="0" w:space="0" w:color="auto"/>
        <w:left w:val="none" w:sz="0" w:space="0" w:color="auto"/>
        <w:bottom w:val="none" w:sz="0" w:space="0" w:color="auto"/>
        <w:right w:val="none" w:sz="0" w:space="0" w:color="auto"/>
      </w:divBdr>
    </w:div>
    <w:div w:id="1623421493">
      <w:bodyDiv w:val="1"/>
      <w:marLeft w:val="0"/>
      <w:marRight w:val="0"/>
      <w:marTop w:val="0"/>
      <w:marBottom w:val="0"/>
      <w:divBdr>
        <w:top w:val="none" w:sz="0" w:space="0" w:color="auto"/>
        <w:left w:val="none" w:sz="0" w:space="0" w:color="auto"/>
        <w:bottom w:val="none" w:sz="0" w:space="0" w:color="auto"/>
        <w:right w:val="none" w:sz="0" w:space="0" w:color="auto"/>
      </w:divBdr>
    </w:div>
    <w:div w:id="1650786507">
      <w:bodyDiv w:val="1"/>
      <w:marLeft w:val="0"/>
      <w:marRight w:val="0"/>
      <w:marTop w:val="0"/>
      <w:marBottom w:val="0"/>
      <w:divBdr>
        <w:top w:val="none" w:sz="0" w:space="0" w:color="auto"/>
        <w:left w:val="none" w:sz="0" w:space="0" w:color="auto"/>
        <w:bottom w:val="none" w:sz="0" w:space="0" w:color="auto"/>
        <w:right w:val="none" w:sz="0" w:space="0" w:color="auto"/>
      </w:divBdr>
    </w:div>
    <w:div w:id="1651134299">
      <w:bodyDiv w:val="1"/>
      <w:marLeft w:val="0"/>
      <w:marRight w:val="0"/>
      <w:marTop w:val="0"/>
      <w:marBottom w:val="0"/>
      <w:divBdr>
        <w:top w:val="none" w:sz="0" w:space="0" w:color="auto"/>
        <w:left w:val="none" w:sz="0" w:space="0" w:color="auto"/>
        <w:bottom w:val="none" w:sz="0" w:space="0" w:color="auto"/>
        <w:right w:val="none" w:sz="0" w:space="0" w:color="auto"/>
      </w:divBdr>
    </w:div>
    <w:div w:id="1697340535">
      <w:bodyDiv w:val="1"/>
      <w:marLeft w:val="0"/>
      <w:marRight w:val="0"/>
      <w:marTop w:val="0"/>
      <w:marBottom w:val="0"/>
      <w:divBdr>
        <w:top w:val="none" w:sz="0" w:space="0" w:color="auto"/>
        <w:left w:val="none" w:sz="0" w:space="0" w:color="auto"/>
        <w:bottom w:val="none" w:sz="0" w:space="0" w:color="auto"/>
        <w:right w:val="none" w:sz="0" w:space="0" w:color="auto"/>
      </w:divBdr>
    </w:div>
    <w:div w:id="1756246338">
      <w:bodyDiv w:val="1"/>
      <w:marLeft w:val="0"/>
      <w:marRight w:val="0"/>
      <w:marTop w:val="0"/>
      <w:marBottom w:val="0"/>
      <w:divBdr>
        <w:top w:val="none" w:sz="0" w:space="0" w:color="auto"/>
        <w:left w:val="none" w:sz="0" w:space="0" w:color="auto"/>
        <w:bottom w:val="none" w:sz="0" w:space="0" w:color="auto"/>
        <w:right w:val="none" w:sz="0" w:space="0" w:color="auto"/>
      </w:divBdr>
    </w:div>
    <w:div w:id="1759711775">
      <w:bodyDiv w:val="1"/>
      <w:marLeft w:val="0"/>
      <w:marRight w:val="0"/>
      <w:marTop w:val="0"/>
      <w:marBottom w:val="0"/>
      <w:divBdr>
        <w:top w:val="none" w:sz="0" w:space="0" w:color="auto"/>
        <w:left w:val="none" w:sz="0" w:space="0" w:color="auto"/>
        <w:bottom w:val="none" w:sz="0" w:space="0" w:color="auto"/>
        <w:right w:val="none" w:sz="0" w:space="0" w:color="auto"/>
      </w:divBdr>
    </w:div>
    <w:div w:id="1788966822">
      <w:bodyDiv w:val="1"/>
      <w:marLeft w:val="0"/>
      <w:marRight w:val="0"/>
      <w:marTop w:val="0"/>
      <w:marBottom w:val="0"/>
      <w:divBdr>
        <w:top w:val="none" w:sz="0" w:space="0" w:color="auto"/>
        <w:left w:val="none" w:sz="0" w:space="0" w:color="auto"/>
        <w:bottom w:val="none" w:sz="0" w:space="0" w:color="auto"/>
        <w:right w:val="none" w:sz="0" w:space="0" w:color="auto"/>
      </w:divBdr>
    </w:div>
    <w:div w:id="1800226723">
      <w:bodyDiv w:val="1"/>
      <w:marLeft w:val="0"/>
      <w:marRight w:val="0"/>
      <w:marTop w:val="0"/>
      <w:marBottom w:val="0"/>
      <w:divBdr>
        <w:top w:val="none" w:sz="0" w:space="0" w:color="auto"/>
        <w:left w:val="none" w:sz="0" w:space="0" w:color="auto"/>
        <w:bottom w:val="none" w:sz="0" w:space="0" w:color="auto"/>
        <w:right w:val="none" w:sz="0" w:space="0" w:color="auto"/>
      </w:divBdr>
    </w:div>
    <w:div w:id="1807970273">
      <w:bodyDiv w:val="1"/>
      <w:marLeft w:val="0"/>
      <w:marRight w:val="0"/>
      <w:marTop w:val="0"/>
      <w:marBottom w:val="0"/>
      <w:divBdr>
        <w:top w:val="none" w:sz="0" w:space="0" w:color="auto"/>
        <w:left w:val="none" w:sz="0" w:space="0" w:color="auto"/>
        <w:bottom w:val="none" w:sz="0" w:space="0" w:color="auto"/>
        <w:right w:val="none" w:sz="0" w:space="0" w:color="auto"/>
      </w:divBdr>
    </w:div>
    <w:div w:id="1826125673">
      <w:bodyDiv w:val="1"/>
      <w:marLeft w:val="0"/>
      <w:marRight w:val="0"/>
      <w:marTop w:val="0"/>
      <w:marBottom w:val="0"/>
      <w:divBdr>
        <w:top w:val="none" w:sz="0" w:space="0" w:color="auto"/>
        <w:left w:val="none" w:sz="0" w:space="0" w:color="auto"/>
        <w:bottom w:val="none" w:sz="0" w:space="0" w:color="auto"/>
        <w:right w:val="none" w:sz="0" w:space="0" w:color="auto"/>
      </w:divBdr>
    </w:div>
    <w:div w:id="1828016123">
      <w:bodyDiv w:val="1"/>
      <w:marLeft w:val="0"/>
      <w:marRight w:val="0"/>
      <w:marTop w:val="0"/>
      <w:marBottom w:val="0"/>
      <w:divBdr>
        <w:top w:val="none" w:sz="0" w:space="0" w:color="auto"/>
        <w:left w:val="none" w:sz="0" w:space="0" w:color="auto"/>
        <w:bottom w:val="none" w:sz="0" w:space="0" w:color="auto"/>
        <w:right w:val="none" w:sz="0" w:space="0" w:color="auto"/>
      </w:divBdr>
    </w:div>
    <w:div w:id="1847284028">
      <w:bodyDiv w:val="1"/>
      <w:marLeft w:val="0"/>
      <w:marRight w:val="0"/>
      <w:marTop w:val="0"/>
      <w:marBottom w:val="0"/>
      <w:divBdr>
        <w:top w:val="none" w:sz="0" w:space="0" w:color="auto"/>
        <w:left w:val="none" w:sz="0" w:space="0" w:color="auto"/>
        <w:bottom w:val="none" w:sz="0" w:space="0" w:color="auto"/>
        <w:right w:val="none" w:sz="0" w:space="0" w:color="auto"/>
      </w:divBdr>
    </w:div>
    <w:div w:id="1865897609">
      <w:bodyDiv w:val="1"/>
      <w:marLeft w:val="0"/>
      <w:marRight w:val="0"/>
      <w:marTop w:val="0"/>
      <w:marBottom w:val="0"/>
      <w:divBdr>
        <w:top w:val="none" w:sz="0" w:space="0" w:color="auto"/>
        <w:left w:val="none" w:sz="0" w:space="0" w:color="auto"/>
        <w:bottom w:val="none" w:sz="0" w:space="0" w:color="auto"/>
        <w:right w:val="none" w:sz="0" w:space="0" w:color="auto"/>
      </w:divBdr>
    </w:div>
    <w:div w:id="1916669432">
      <w:bodyDiv w:val="1"/>
      <w:marLeft w:val="0"/>
      <w:marRight w:val="0"/>
      <w:marTop w:val="0"/>
      <w:marBottom w:val="0"/>
      <w:divBdr>
        <w:top w:val="none" w:sz="0" w:space="0" w:color="auto"/>
        <w:left w:val="none" w:sz="0" w:space="0" w:color="auto"/>
        <w:bottom w:val="none" w:sz="0" w:space="0" w:color="auto"/>
        <w:right w:val="none" w:sz="0" w:space="0" w:color="auto"/>
      </w:divBdr>
    </w:div>
    <w:div w:id="1941446181">
      <w:bodyDiv w:val="1"/>
      <w:marLeft w:val="0"/>
      <w:marRight w:val="0"/>
      <w:marTop w:val="0"/>
      <w:marBottom w:val="0"/>
      <w:divBdr>
        <w:top w:val="none" w:sz="0" w:space="0" w:color="auto"/>
        <w:left w:val="none" w:sz="0" w:space="0" w:color="auto"/>
        <w:bottom w:val="none" w:sz="0" w:space="0" w:color="auto"/>
        <w:right w:val="none" w:sz="0" w:space="0" w:color="auto"/>
      </w:divBdr>
    </w:div>
    <w:div w:id="1993018160">
      <w:bodyDiv w:val="1"/>
      <w:marLeft w:val="0"/>
      <w:marRight w:val="0"/>
      <w:marTop w:val="0"/>
      <w:marBottom w:val="0"/>
      <w:divBdr>
        <w:top w:val="none" w:sz="0" w:space="0" w:color="auto"/>
        <w:left w:val="none" w:sz="0" w:space="0" w:color="auto"/>
        <w:bottom w:val="none" w:sz="0" w:space="0" w:color="auto"/>
        <w:right w:val="none" w:sz="0" w:space="0" w:color="auto"/>
      </w:divBdr>
    </w:div>
    <w:div w:id="2004819999">
      <w:bodyDiv w:val="1"/>
      <w:marLeft w:val="0"/>
      <w:marRight w:val="0"/>
      <w:marTop w:val="0"/>
      <w:marBottom w:val="0"/>
      <w:divBdr>
        <w:top w:val="none" w:sz="0" w:space="0" w:color="auto"/>
        <w:left w:val="none" w:sz="0" w:space="0" w:color="auto"/>
        <w:bottom w:val="none" w:sz="0" w:space="0" w:color="auto"/>
        <w:right w:val="none" w:sz="0" w:space="0" w:color="auto"/>
      </w:divBdr>
    </w:div>
    <w:div w:id="2010713204">
      <w:bodyDiv w:val="1"/>
      <w:marLeft w:val="0"/>
      <w:marRight w:val="0"/>
      <w:marTop w:val="0"/>
      <w:marBottom w:val="0"/>
      <w:divBdr>
        <w:top w:val="none" w:sz="0" w:space="0" w:color="auto"/>
        <w:left w:val="none" w:sz="0" w:space="0" w:color="auto"/>
        <w:bottom w:val="none" w:sz="0" w:space="0" w:color="auto"/>
        <w:right w:val="none" w:sz="0" w:space="0" w:color="auto"/>
      </w:divBdr>
    </w:div>
    <w:div w:id="2063140711">
      <w:bodyDiv w:val="1"/>
      <w:marLeft w:val="0"/>
      <w:marRight w:val="0"/>
      <w:marTop w:val="0"/>
      <w:marBottom w:val="0"/>
      <w:divBdr>
        <w:top w:val="none" w:sz="0" w:space="0" w:color="auto"/>
        <w:left w:val="none" w:sz="0" w:space="0" w:color="auto"/>
        <w:bottom w:val="none" w:sz="0" w:space="0" w:color="auto"/>
        <w:right w:val="none" w:sz="0" w:space="0" w:color="auto"/>
      </w:divBdr>
    </w:div>
    <w:div w:id="2074619562">
      <w:bodyDiv w:val="1"/>
      <w:marLeft w:val="0"/>
      <w:marRight w:val="0"/>
      <w:marTop w:val="0"/>
      <w:marBottom w:val="0"/>
      <w:divBdr>
        <w:top w:val="none" w:sz="0" w:space="0" w:color="auto"/>
        <w:left w:val="none" w:sz="0" w:space="0" w:color="auto"/>
        <w:bottom w:val="none" w:sz="0" w:space="0" w:color="auto"/>
        <w:right w:val="none" w:sz="0" w:space="0" w:color="auto"/>
      </w:divBdr>
    </w:div>
    <w:div w:id="2078240850">
      <w:bodyDiv w:val="1"/>
      <w:marLeft w:val="0"/>
      <w:marRight w:val="0"/>
      <w:marTop w:val="0"/>
      <w:marBottom w:val="0"/>
      <w:divBdr>
        <w:top w:val="none" w:sz="0" w:space="0" w:color="auto"/>
        <w:left w:val="none" w:sz="0" w:space="0" w:color="auto"/>
        <w:bottom w:val="none" w:sz="0" w:space="0" w:color="auto"/>
        <w:right w:val="none" w:sz="0" w:space="0" w:color="auto"/>
      </w:divBdr>
    </w:div>
    <w:div w:id="2081900160">
      <w:bodyDiv w:val="1"/>
      <w:marLeft w:val="0"/>
      <w:marRight w:val="0"/>
      <w:marTop w:val="0"/>
      <w:marBottom w:val="0"/>
      <w:divBdr>
        <w:top w:val="none" w:sz="0" w:space="0" w:color="auto"/>
        <w:left w:val="none" w:sz="0" w:space="0" w:color="auto"/>
        <w:bottom w:val="none" w:sz="0" w:space="0" w:color="auto"/>
        <w:right w:val="none" w:sz="0" w:space="0" w:color="auto"/>
      </w:divBdr>
    </w:div>
    <w:div w:id="2099011591">
      <w:bodyDiv w:val="1"/>
      <w:marLeft w:val="0"/>
      <w:marRight w:val="0"/>
      <w:marTop w:val="0"/>
      <w:marBottom w:val="0"/>
      <w:divBdr>
        <w:top w:val="none" w:sz="0" w:space="0" w:color="auto"/>
        <w:left w:val="none" w:sz="0" w:space="0" w:color="auto"/>
        <w:bottom w:val="none" w:sz="0" w:space="0" w:color="auto"/>
        <w:right w:val="none" w:sz="0" w:space="0" w:color="auto"/>
      </w:divBdr>
    </w:div>
    <w:div w:id="2109884468">
      <w:bodyDiv w:val="1"/>
      <w:marLeft w:val="0"/>
      <w:marRight w:val="0"/>
      <w:marTop w:val="0"/>
      <w:marBottom w:val="0"/>
      <w:divBdr>
        <w:top w:val="none" w:sz="0" w:space="0" w:color="auto"/>
        <w:left w:val="none" w:sz="0" w:space="0" w:color="auto"/>
        <w:bottom w:val="none" w:sz="0" w:space="0" w:color="auto"/>
        <w:right w:val="none" w:sz="0" w:space="0" w:color="auto"/>
      </w:divBdr>
    </w:div>
    <w:div w:id="2132549337">
      <w:bodyDiv w:val="1"/>
      <w:marLeft w:val="0"/>
      <w:marRight w:val="0"/>
      <w:marTop w:val="0"/>
      <w:marBottom w:val="0"/>
      <w:divBdr>
        <w:top w:val="none" w:sz="0" w:space="0" w:color="auto"/>
        <w:left w:val="none" w:sz="0" w:space="0" w:color="auto"/>
        <w:bottom w:val="none" w:sz="0" w:space="0" w:color="auto"/>
        <w:right w:val="none" w:sz="0" w:space="0" w:color="auto"/>
      </w:divBdr>
    </w:div>
    <w:div w:id="2139834949">
      <w:bodyDiv w:val="1"/>
      <w:marLeft w:val="0"/>
      <w:marRight w:val="0"/>
      <w:marTop w:val="0"/>
      <w:marBottom w:val="0"/>
      <w:divBdr>
        <w:top w:val="none" w:sz="0" w:space="0" w:color="auto"/>
        <w:left w:val="none" w:sz="0" w:space="0" w:color="auto"/>
        <w:bottom w:val="none" w:sz="0" w:space="0" w:color="auto"/>
        <w:right w:val="none" w:sz="0" w:space="0" w:color="auto"/>
      </w:divBdr>
    </w:div>
    <w:div w:id="214377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emf"/><Relationship Id="rId21" Type="http://schemas.openxmlformats.org/officeDocument/2006/relationships/image" Target="media/image6.emf"/><Relationship Id="rId42" Type="http://schemas.openxmlformats.org/officeDocument/2006/relationships/image" Target="media/image18.emf"/><Relationship Id="rId63" Type="http://schemas.openxmlformats.org/officeDocument/2006/relationships/image" Target="media/image39.emf"/><Relationship Id="rId84" Type="http://schemas.openxmlformats.org/officeDocument/2006/relationships/image" Target="media/image58.emf"/><Relationship Id="rId138" Type="http://schemas.openxmlformats.org/officeDocument/2006/relationships/image" Target="media/image106.emf"/><Relationship Id="rId159" Type="http://schemas.openxmlformats.org/officeDocument/2006/relationships/image" Target="media/image127.emf"/><Relationship Id="rId170" Type="http://schemas.openxmlformats.org/officeDocument/2006/relationships/image" Target="media/image135.emf"/><Relationship Id="rId191" Type="http://schemas.openxmlformats.org/officeDocument/2006/relationships/header" Target="header30.xml"/><Relationship Id="rId196" Type="http://schemas.openxmlformats.org/officeDocument/2006/relationships/footer" Target="footer19.xml"/><Relationship Id="rId200" Type="http://schemas.openxmlformats.org/officeDocument/2006/relationships/theme" Target="theme/theme1.xml"/><Relationship Id="rId16" Type="http://schemas.openxmlformats.org/officeDocument/2006/relationships/header" Target="header6.xml"/><Relationship Id="rId107" Type="http://schemas.openxmlformats.org/officeDocument/2006/relationships/image" Target="media/image78.emf"/><Relationship Id="rId11" Type="http://schemas.openxmlformats.org/officeDocument/2006/relationships/footer" Target="footer1.xml"/><Relationship Id="rId32" Type="http://schemas.openxmlformats.org/officeDocument/2006/relationships/footer" Target="footer7.xml"/><Relationship Id="rId37" Type="http://schemas.openxmlformats.org/officeDocument/2006/relationships/image" Target="media/image14.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header" Target="header13.xml"/><Relationship Id="rId102" Type="http://schemas.openxmlformats.org/officeDocument/2006/relationships/image" Target="media/image73.emf"/><Relationship Id="rId123" Type="http://schemas.openxmlformats.org/officeDocument/2006/relationships/image" Target="media/image91.emf"/><Relationship Id="rId128" Type="http://schemas.openxmlformats.org/officeDocument/2006/relationships/image" Target="media/image96.emf"/><Relationship Id="rId144" Type="http://schemas.openxmlformats.org/officeDocument/2006/relationships/image" Target="media/image112.emf"/><Relationship Id="rId149" Type="http://schemas.openxmlformats.org/officeDocument/2006/relationships/image" Target="media/image117.emf"/><Relationship Id="rId5" Type="http://schemas.openxmlformats.org/officeDocument/2006/relationships/webSettings" Target="webSettings.xml"/><Relationship Id="rId90" Type="http://schemas.openxmlformats.org/officeDocument/2006/relationships/image" Target="media/image64.emf"/><Relationship Id="rId95" Type="http://schemas.openxmlformats.org/officeDocument/2006/relationships/image" Target="media/image69.emf"/><Relationship Id="rId160" Type="http://schemas.openxmlformats.org/officeDocument/2006/relationships/image" Target="media/image128.emf"/><Relationship Id="rId165" Type="http://schemas.openxmlformats.org/officeDocument/2006/relationships/header" Target="header19.xml"/><Relationship Id="rId181" Type="http://schemas.openxmlformats.org/officeDocument/2006/relationships/header" Target="header24.xml"/><Relationship Id="rId186" Type="http://schemas.openxmlformats.org/officeDocument/2006/relationships/header" Target="header28.xml"/><Relationship Id="rId22" Type="http://schemas.openxmlformats.org/officeDocument/2006/relationships/image" Target="media/image7.emf"/><Relationship Id="rId27" Type="http://schemas.openxmlformats.org/officeDocument/2006/relationships/header" Target="header7.xml"/><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40.emf"/><Relationship Id="rId69" Type="http://schemas.openxmlformats.org/officeDocument/2006/relationships/image" Target="media/image45.emf"/><Relationship Id="rId113" Type="http://schemas.openxmlformats.org/officeDocument/2006/relationships/image" Target="media/image81.emf"/><Relationship Id="rId118" Type="http://schemas.openxmlformats.org/officeDocument/2006/relationships/image" Target="media/image86.emf"/><Relationship Id="rId134" Type="http://schemas.openxmlformats.org/officeDocument/2006/relationships/image" Target="media/image102.emf"/><Relationship Id="rId139" Type="http://schemas.openxmlformats.org/officeDocument/2006/relationships/image" Target="media/image107.emf"/><Relationship Id="rId80" Type="http://schemas.openxmlformats.org/officeDocument/2006/relationships/header" Target="header14.xml"/><Relationship Id="rId85" Type="http://schemas.openxmlformats.org/officeDocument/2006/relationships/image" Target="media/image59.emf"/><Relationship Id="rId150" Type="http://schemas.openxmlformats.org/officeDocument/2006/relationships/image" Target="media/image118.emf"/><Relationship Id="rId155" Type="http://schemas.openxmlformats.org/officeDocument/2006/relationships/image" Target="media/image123.emf"/><Relationship Id="rId171" Type="http://schemas.openxmlformats.org/officeDocument/2006/relationships/image" Target="media/image136.emf"/><Relationship Id="rId176" Type="http://schemas.openxmlformats.org/officeDocument/2006/relationships/header" Target="header21.xml"/><Relationship Id="rId192" Type="http://schemas.openxmlformats.org/officeDocument/2006/relationships/footer" Target="footer17.xml"/><Relationship Id="rId197" Type="http://schemas.openxmlformats.org/officeDocument/2006/relationships/header" Target="header33.xml"/><Relationship Id="rId12" Type="http://schemas.openxmlformats.org/officeDocument/2006/relationships/header" Target="header4.xml"/><Relationship Id="rId17" Type="http://schemas.openxmlformats.org/officeDocument/2006/relationships/footer" Target="footer4.xml"/><Relationship Id="rId33" Type="http://schemas.openxmlformats.org/officeDocument/2006/relationships/image" Target="media/image13.jpeg"/><Relationship Id="rId38" Type="http://schemas.openxmlformats.org/officeDocument/2006/relationships/header" Target="header12.xml"/><Relationship Id="rId59" Type="http://schemas.openxmlformats.org/officeDocument/2006/relationships/image" Target="media/image35.emf"/><Relationship Id="rId103" Type="http://schemas.openxmlformats.org/officeDocument/2006/relationships/image" Target="media/image74.emf"/><Relationship Id="rId108" Type="http://schemas.openxmlformats.org/officeDocument/2006/relationships/image" Target="media/image79.emf"/><Relationship Id="rId124" Type="http://schemas.openxmlformats.org/officeDocument/2006/relationships/image" Target="media/image92.emf"/><Relationship Id="rId129" Type="http://schemas.openxmlformats.org/officeDocument/2006/relationships/image" Target="media/image97.emf"/><Relationship Id="rId54" Type="http://schemas.openxmlformats.org/officeDocument/2006/relationships/image" Target="media/image30.emf"/><Relationship Id="rId70" Type="http://schemas.openxmlformats.org/officeDocument/2006/relationships/image" Target="media/image46.emf"/><Relationship Id="rId75" Type="http://schemas.openxmlformats.org/officeDocument/2006/relationships/image" Target="media/image51.emf"/><Relationship Id="rId91" Type="http://schemas.openxmlformats.org/officeDocument/2006/relationships/image" Target="media/image65.emf"/><Relationship Id="rId96" Type="http://schemas.openxmlformats.org/officeDocument/2006/relationships/image" Target="media/image70.emf"/><Relationship Id="rId140" Type="http://schemas.openxmlformats.org/officeDocument/2006/relationships/image" Target="media/image108.emf"/><Relationship Id="rId145" Type="http://schemas.openxmlformats.org/officeDocument/2006/relationships/image" Target="media/image113.emf"/><Relationship Id="rId161" Type="http://schemas.openxmlformats.org/officeDocument/2006/relationships/image" Target="media/image129.emf"/><Relationship Id="rId166" Type="http://schemas.openxmlformats.org/officeDocument/2006/relationships/header" Target="header20.xml"/><Relationship Id="rId182" Type="http://schemas.openxmlformats.org/officeDocument/2006/relationships/header" Target="header25.xml"/><Relationship Id="rId187"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header" Target="header8.xml"/><Relationship Id="rId49" Type="http://schemas.openxmlformats.org/officeDocument/2006/relationships/image" Target="media/image25.emf"/><Relationship Id="rId114" Type="http://schemas.openxmlformats.org/officeDocument/2006/relationships/image" Target="media/image82.emf"/><Relationship Id="rId119" Type="http://schemas.openxmlformats.org/officeDocument/2006/relationships/image" Target="media/image87.emf"/><Relationship Id="rId44" Type="http://schemas.openxmlformats.org/officeDocument/2006/relationships/image" Target="media/image20.emf"/><Relationship Id="rId60" Type="http://schemas.openxmlformats.org/officeDocument/2006/relationships/image" Target="media/image36.emf"/><Relationship Id="rId65" Type="http://schemas.openxmlformats.org/officeDocument/2006/relationships/image" Target="media/image41.emf"/><Relationship Id="rId81" Type="http://schemas.openxmlformats.org/officeDocument/2006/relationships/image" Target="media/image55.emf"/><Relationship Id="rId86" Type="http://schemas.openxmlformats.org/officeDocument/2006/relationships/image" Target="media/image60.emf"/><Relationship Id="rId130" Type="http://schemas.openxmlformats.org/officeDocument/2006/relationships/image" Target="media/image98.emf"/><Relationship Id="rId135" Type="http://schemas.openxmlformats.org/officeDocument/2006/relationships/image" Target="media/image103.emf"/><Relationship Id="rId151" Type="http://schemas.openxmlformats.org/officeDocument/2006/relationships/image" Target="media/image119.emf"/><Relationship Id="rId156" Type="http://schemas.openxmlformats.org/officeDocument/2006/relationships/image" Target="media/image124.emf"/><Relationship Id="rId177" Type="http://schemas.openxmlformats.org/officeDocument/2006/relationships/header" Target="header22.xml"/><Relationship Id="rId198" Type="http://schemas.openxmlformats.org/officeDocument/2006/relationships/footer" Target="footer20.xml"/><Relationship Id="rId172" Type="http://schemas.openxmlformats.org/officeDocument/2006/relationships/image" Target="media/image137.emf"/><Relationship Id="rId193" Type="http://schemas.openxmlformats.org/officeDocument/2006/relationships/header" Target="header31.xml"/><Relationship Id="rId13" Type="http://schemas.openxmlformats.org/officeDocument/2006/relationships/header" Target="header5.xml"/><Relationship Id="rId18" Type="http://schemas.openxmlformats.org/officeDocument/2006/relationships/image" Target="media/image3.jpeg"/><Relationship Id="rId39" Type="http://schemas.openxmlformats.org/officeDocument/2006/relationships/image" Target="media/image15.emf"/><Relationship Id="rId109" Type="http://schemas.openxmlformats.org/officeDocument/2006/relationships/header" Target="header17.xml"/><Relationship Id="rId34" Type="http://schemas.openxmlformats.org/officeDocument/2006/relationships/header" Target="header10.xml"/><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52.emf"/><Relationship Id="rId97" Type="http://schemas.openxmlformats.org/officeDocument/2006/relationships/image" Target="media/image71.emf"/><Relationship Id="rId104" Type="http://schemas.openxmlformats.org/officeDocument/2006/relationships/image" Target="media/image75.emf"/><Relationship Id="rId120" Type="http://schemas.openxmlformats.org/officeDocument/2006/relationships/image" Target="media/image88.emf"/><Relationship Id="rId125" Type="http://schemas.openxmlformats.org/officeDocument/2006/relationships/image" Target="media/image93.emf"/><Relationship Id="rId141" Type="http://schemas.openxmlformats.org/officeDocument/2006/relationships/image" Target="media/image109.emf"/><Relationship Id="rId146" Type="http://schemas.openxmlformats.org/officeDocument/2006/relationships/image" Target="media/image114.emf"/><Relationship Id="rId167" Type="http://schemas.openxmlformats.org/officeDocument/2006/relationships/footer" Target="footer11.xml"/><Relationship Id="rId188"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6.emf"/><Relationship Id="rId162" Type="http://schemas.openxmlformats.org/officeDocument/2006/relationships/image" Target="media/image130.emf"/><Relationship Id="rId183"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9.emf"/><Relationship Id="rId40" Type="http://schemas.openxmlformats.org/officeDocument/2006/relationships/image" Target="media/image16.emf"/><Relationship Id="rId45" Type="http://schemas.openxmlformats.org/officeDocument/2006/relationships/image" Target="media/image21.emf"/><Relationship Id="rId66" Type="http://schemas.openxmlformats.org/officeDocument/2006/relationships/image" Target="media/image42.emf"/><Relationship Id="rId87" Type="http://schemas.openxmlformats.org/officeDocument/2006/relationships/image" Target="media/image61.emf"/><Relationship Id="rId110" Type="http://schemas.openxmlformats.org/officeDocument/2006/relationships/header" Target="header18.xml"/><Relationship Id="rId115" Type="http://schemas.openxmlformats.org/officeDocument/2006/relationships/image" Target="media/image83.emf"/><Relationship Id="rId131" Type="http://schemas.openxmlformats.org/officeDocument/2006/relationships/image" Target="media/image99.emf"/><Relationship Id="rId136" Type="http://schemas.openxmlformats.org/officeDocument/2006/relationships/image" Target="media/image104.emf"/><Relationship Id="rId157" Type="http://schemas.openxmlformats.org/officeDocument/2006/relationships/image" Target="media/image125.emf"/><Relationship Id="rId178" Type="http://schemas.openxmlformats.org/officeDocument/2006/relationships/footer" Target="footer12.xml"/><Relationship Id="rId61" Type="http://schemas.openxmlformats.org/officeDocument/2006/relationships/image" Target="media/image37.emf"/><Relationship Id="rId82" Type="http://schemas.openxmlformats.org/officeDocument/2006/relationships/image" Target="media/image56.emf"/><Relationship Id="rId152" Type="http://schemas.openxmlformats.org/officeDocument/2006/relationships/image" Target="media/image120.emf"/><Relationship Id="rId173" Type="http://schemas.openxmlformats.org/officeDocument/2006/relationships/image" Target="media/image138.emf"/><Relationship Id="rId194" Type="http://schemas.openxmlformats.org/officeDocument/2006/relationships/header" Target="header32.xml"/><Relationship Id="rId199" Type="http://schemas.openxmlformats.org/officeDocument/2006/relationships/fontTable" Target="fontTable.xml"/><Relationship Id="rId19" Type="http://schemas.openxmlformats.org/officeDocument/2006/relationships/image" Target="media/image4.emf"/><Relationship Id="rId14" Type="http://schemas.openxmlformats.org/officeDocument/2006/relationships/footer" Target="footer2.xml"/><Relationship Id="rId30" Type="http://schemas.openxmlformats.org/officeDocument/2006/relationships/footer" Target="footer6.xml"/><Relationship Id="rId35" Type="http://schemas.openxmlformats.org/officeDocument/2006/relationships/header" Target="header11.xml"/><Relationship Id="rId56" Type="http://schemas.openxmlformats.org/officeDocument/2006/relationships/image" Target="media/image32.emf"/><Relationship Id="rId77" Type="http://schemas.openxmlformats.org/officeDocument/2006/relationships/image" Target="media/image53.emf"/><Relationship Id="rId100" Type="http://schemas.openxmlformats.org/officeDocument/2006/relationships/header" Target="header16.xml"/><Relationship Id="rId105" Type="http://schemas.openxmlformats.org/officeDocument/2006/relationships/image" Target="media/image76.emf"/><Relationship Id="rId126" Type="http://schemas.openxmlformats.org/officeDocument/2006/relationships/image" Target="media/image94.emf"/><Relationship Id="rId147" Type="http://schemas.openxmlformats.org/officeDocument/2006/relationships/image" Target="media/image115.emf"/><Relationship Id="rId168" Type="http://schemas.openxmlformats.org/officeDocument/2006/relationships/image" Target="media/image133.emf"/><Relationship Id="rId8" Type="http://schemas.openxmlformats.org/officeDocument/2006/relationships/header" Target="header1.xml"/><Relationship Id="rId51" Type="http://schemas.openxmlformats.org/officeDocument/2006/relationships/image" Target="media/image27.emf"/><Relationship Id="rId72" Type="http://schemas.openxmlformats.org/officeDocument/2006/relationships/image" Target="media/image48.emf"/><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89.emf"/><Relationship Id="rId142" Type="http://schemas.openxmlformats.org/officeDocument/2006/relationships/image" Target="media/image110.emf"/><Relationship Id="rId163" Type="http://schemas.openxmlformats.org/officeDocument/2006/relationships/image" Target="media/image131.emf"/><Relationship Id="rId184" Type="http://schemas.openxmlformats.org/officeDocument/2006/relationships/header" Target="header26.xml"/><Relationship Id="rId189" Type="http://schemas.openxmlformats.org/officeDocument/2006/relationships/footer" Target="footer15.xm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2.emf"/><Relationship Id="rId67" Type="http://schemas.openxmlformats.org/officeDocument/2006/relationships/image" Target="media/image43.emf"/><Relationship Id="rId116" Type="http://schemas.openxmlformats.org/officeDocument/2006/relationships/image" Target="media/image84.emf"/><Relationship Id="rId137" Type="http://schemas.openxmlformats.org/officeDocument/2006/relationships/image" Target="media/image105.emf"/><Relationship Id="rId158" Type="http://schemas.openxmlformats.org/officeDocument/2006/relationships/image" Target="media/image126.emf"/><Relationship Id="rId20" Type="http://schemas.openxmlformats.org/officeDocument/2006/relationships/image" Target="media/image5.emf"/><Relationship Id="rId41" Type="http://schemas.openxmlformats.org/officeDocument/2006/relationships/image" Target="media/image17.emf"/><Relationship Id="rId62" Type="http://schemas.openxmlformats.org/officeDocument/2006/relationships/image" Target="media/image38.emf"/><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footer" Target="footer10.xml"/><Relationship Id="rId132" Type="http://schemas.openxmlformats.org/officeDocument/2006/relationships/image" Target="media/image100.emf"/><Relationship Id="rId153" Type="http://schemas.openxmlformats.org/officeDocument/2006/relationships/image" Target="media/image121.emf"/><Relationship Id="rId174" Type="http://schemas.openxmlformats.org/officeDocument/2006/relationships/image" Target="media/image139.emf"/><Relationship Id="rId179" Type="http://schemas.openxmlformats.org/officeDocument/2006/relationships/image" Target="media/image141.jpeg"/><Relationship Id="rId195" Type="http://schemas.openxmlformats.org/officeDocument/2006/relationships/footer" Target="footer18.xml"/><Relationship Id="rId190" Type="http://schemas.openxmlformats.org/officeDocument/2006/relationships/footer" Target="footer16.xml"/><Relationship Id="rId15" Type="http://schemas.openxmlformats.org/officeDocument/2006/relationships/footer" Target="footer3.xml"/><Relationship Id="rId36" Type="http://schemas.openxmlformats.org/officeDocument/2006/relationships/footer" Target="footer8.xml"/><Relationship Id="rId57" Type="http://schemas.openxmlformats.org/officeDocument/2006/relationships/image" Target="media/image33.emf"/><Relationship Id="rId106" Type="http://schemas.openxmlformats.org/officeDocument/2006/relationships/image" Target="media/image77.emf"/><Relationship Id="rId127" Type="http://schemas.openxmlformats.org/officeDocument/2006/relationships/image" Target="media/image95.emf"/><Relationship Id="rId10" Type="http://schemas.openxmlformats.org/officeDocument/2006/relationships/header" Target="header3.xml"/><Relationship Id="rId31" Type="http://schemas.openxmlformats.org/officeDocument/2006/relationships/header" Target="header9.xml"/><Relationship Id="rId52" Type="http://schemas.openxmlformats.org/officeDocument/2006/relationships/image" Target="media/image28.emf"/><Relationship Id="rId73" Type="http://schemas.openxmlformats.org/officeDocument/2006/relationships/image" Target="media/image49.emf"/><Relationship Id="rId78" Type="http://schemas.openxmlformats.org/officeDocument/2006/relationships/image" Target="media/image54.emf"/><Relationship Id="rId94" Type="http://schemas.openxmlformats.org/officeDocument/2006/relationships/image" Target="media/image68.emf"/><Relationship Id="rId99" Type="http://schemas.openxmlformats.org/officeDocument/2006/relationships/header" Target="header15.xml"/><Relationship Id="rId101" Type="http://schemas.openxmlformats.org/officeDocument/2006/relationships/footer" Target="footer9.xml"/><Relationship Id="rId122" Type="http://schemas.openxmlformats.org/officeDocument/2006/relationships/image" Target="media/image90.emf"/><Relationship Id="rId143" Type="http://schemas.openxmlformats.org/officeDocument/2006/relationships/image" Target="media/image111.emf"/><Relationship Id="rId148" Type="http://schemas.openxmlformats.org/officeDocument/2006/relationships/image" Target="media/image116.emf"/><Relationship Id="rId164" Type="http://schemas.openxmlformats.org/officeDocument/2006/relationships/image" Target="media/image132.emf"/><Relationship Id="rId169" Type="http://schemas.openxmlformats.org/officeDocument/2006/relationships/image" Target="media/image134.emf"/><Relationship Id="rId185"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23.xml"/><Relationship Id="rId26" Type="http://schemas.openxmlformats.org/officeDocument/2006/relationships/image" Target="media/image11.emf"/><Relationship Id="rId47" Type="http://schemas.openxmlformats.org/officeDocument/2006/relationships/image" Target="media/image23.emf"/><Relationship Id="rId68" Type="http://schemas.openxmlformats.org/officeDocument/2006/relationships/image" Target="media/image44.emf"/><Relationship Id="rId89" Type="http://schemas.openxmlformats.org/officeDocument/2006/relationships/image" Target="media/image63.emf"/><Relationship Id="rId112" Type="http://schemas.openxmlformats.org/officeDocument/2006/relationships/image" Target="media/image80.emf"/><Relationship Id="rId133" Type="http://schemas.openxmlformats.org/officeDocument/2006/relationships/image" Target="media/image101.emf"/><Relationship Id="rId154" Type="http://schemas.openxmlformats.org/officeDocument/2006/relationships/image" Target="media/image122.emf"/><Relationship Id="rId175" Type="http://schemas.openxmlformats.org/officeDocument/2006/relationships/image" Target="media/image140.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42.jpeg"/></Relationships>
</file>

<file path=word/_rels/header32.xml.rels><?xml version="1.0" encoding="UTF-8" standalone="yes"?>
<Relationships xmlns="http://schemas.openxmlformats.org/package/2006/relationships"><Relationship Id="rId1" Type="http://schemas.openxmlformats.org/officeDocument/2006/relationships/image" Target="media/image142.jpeg"/></Relationships>
</file>

<file path=word/_rels/header9.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PwC">
  <a:themeElements>
    <a:clrScheme name="PwC Tangerine">
      <a:dk1>
        <a:srgbClr val="000000"/>
      </a:dk1>
      <a:lt1>
        <a:srgbClr val="FFFFFF"/>
      </a:lt1>
      <a:dk2>
        <a:srgbClr val="EB8C00"/>
      </a:dk2>
      <a:lt2>
        <a:srgbClr val="FFFFFF"/>
      </a:lt2>
      <a:accent1>
        <a:srgbClr val="EB8C00"/>
      </a:accent1>
      <a:accent2>
        <a:srgbClr val="FFB600"/>
      </a:accent2>
      <a:accent3>
        <a:srgbClr val="602320"/>
      </a:accent3>
      <a:accent4>
        <a:srgbClr val="DB536A"/>
      </a:accent4>
      <a:accent5>
        <a:srgbClr val="A32020"/>
      </a:accent5>
      <a:accent6>
        <a:srgbClr val="E0301E"/>
      </a:accent6>
      <a:hlink>
        <a:srgbClr val="EB8C00"/>
      </a:hlink>
      <a:folHlink>
        <a:srgbClr val="EB8C00"/>
      </a:folHlink>
    </a:clrScheme>
    <a:fontScheme name="Arial Onl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AACE8-5A0B-4F08-B686-769BEF972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166</Pages>
  <Words>57459</Words>
  <Characters>327520</Characters>
  <Application>Microsoft Office Word</Application>
  <DocSecurity>0</DocSecurity>
  <Lines>2729</Lines>
  <Paragraphs>768</Paragraphs>
  <ScaleCrop>false</ScaleCrop>
  <HeadingPairs>
    <vt:vector size="2" baseType="variant">
      <vt:variant>
        <vt:lpstr>Title</vt:lpstr>
      </vt:variant>
      <vt:variant>
        <vt:i4>1</vt:i4>
      </vt:variant>
    </vt:vector>
  </HeadingPairs>
  <TitlesOfParts>
    <vt:vector size="1" baseType="lpstr">
      <vt:lpstr>Valuation Report, 30 June 2017 Valuation</vt:lpstr>
    </vt:vector>
  </TitlesOfParts>
  <Company>PricewaterhouseCoopers</Company>
  <LinksUpToDate>false</LinksUpToDate>
  <CharactersWithSpaces>384211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30 June 2017 Valuation</dc:title>
  <dc:subject>Valuation Report, 30 June 2017 Valuation</dc:subject>
  <dc:creator>PricewaterhouseCoopers Actuarial</dc:creator>
  <cp:keywords>Abstudy – studying, Austudy, Youth Allowance (Student), Working Age, Abstudy, Austudy, Newstart, Sickness Allowance, Special Benefit, Youth Allowance (other), Income support – Parents, Parenting Payment – Partnered, Parenting Payment – Single, Income supp</cp:keywords>
  <dc:description/>
  <cp:lastModifiedBy>Mike Clough</cp:lastModifiedBy>
  <cp:revision>7</cp:revision>
  <cp:lastPrinted>2018-02-14T05:26:00Z</cp:lastPrinted>
  <dcterms:created xsi:type="dcterms:W3CDTF">2018-02-14T00:48:00Z</dcterms:created>
  <dcterms:modified xsi:type="dcterms:W3CDTF">2018-06-26T07:02:00Z</dcterms:modified>
  <cp:category>Publication</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