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12"/>
      </w:tblGrid>
      <w:tr w:rsidR="00F909D7" w:rsidTr="00653D26">
        <w:trPr>
          <w:trHeight w:val="11025"/>
        </w:trPr>
        <w:tc>
          <w:tcPr>
            <w:tcW w:w="7912" w:type="dxa"/>
          </w:tcPr>
          <w:p w:rsidR="00F909D7" w:rsidRPr="00653D26" w:rsidRDefault="001633CC" w:rsidP="0048062E">
            <w:pPr>
              <w:pStyle w:val="Covertitle1112pt"/>
              <w:rPr>
                <w:sz w:val="180"/>
              </w:rPr>
            </w:pPr>
            <w:r>
              <w:drawing>
                <wp:anchor distT="0" distB="0" distL="114300" distR="114300" simplePos="0" relativeHeight="251658240" behindDoc="1" locked="0" layoutInCell="1" allowOverlap="1" wp14:anchorId="00C65BE6" wp14:editId="54C02C64">
                  <wp:simplePos x="0" y="0"/>
                  <wp:positionH relativeFrom="page">
                    <wp:posOffset>-1193800</wp:posOffset>
                  </wp:positionH>
                  <wp:positionV relativeFrom="page">
                    <wp:posOffset>-1802609</wp:posOffset>
                  </wp:positionV>
                  <wp:extent cx="7548245" cy="10677525"/>
                  <wp:effectExtent l="0" t="0" r="0" b="9525"/>
                  <wp:wrapNone/>
                  <wp:docPr id="1" name="Picture 1" descr="https://intra.aspac.kpmg.com/sites/AU/marketsandgrowth/pursuittoolkit/BrandRefreshPublicationCovers/block01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aspac.kpmg.com/sites/AU/marketsandgrowth/pursuittoolkit/BrandRefreshPublicationCovers/block013-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824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D26" w:rsidRPr="4EDDD2B4">
              <w:rPr>
                <w:sz w:val="180"/>
                <w:szCs w:val="180"/>
              </w:rPr>
              <w:t xml:space="preserve">IPS Trial Literature Review </w:t>
            </w:r>
          </w:p>
          <w:p w:rsidR="00F909D7" w:rsidRDefault="00F909D7" w:rsidP="00860299">
            <w:pPr>
              <w:pStyle w:val="Covertitle316ptNB"/>
            </w:pPr>
          </w:p>
          <w:p w:rsidR="00653D26" w:rsidRDefault="00653D26" w:rsidP="00860299">
            <w:pPr>
              <w:pStyle w:val="Covertitle316ptNB"/>
            </w:pPr>
            <w:r>
              <w:t>For the Department of Social Services</w:t>
            </w:r>
          </w:p>
          <w:p w:rsidR="00653D26" w:rsidRDefault="00653D26" w:rsidP="00860299">
            <w:pPr>
              <w:pStyle w:val="Covertitle316ptNB"/>
            </w:pPr>
          </w:p>
          <w:p w:rsidR="00653D26" w:rsidRPr="00765A4F" w:rsidRDefault="00653D26" w:rsidP="00860299">
            <w:pPr>
              <w:pStyle w:val="Covertitle316ptNB"/>
            </w:pPr>
            <w:r>
              <w:t>2020</w:t>
            </w:r>
          </w:p>
        </w:tc>
      </w:tr>
      <w:tr w:rsidR="00F909D7" w:rsidTr="00653D26">
        <w:trPr>
          <w:trHeight w:val="1095"/>
        </w:trPr>
        <w:tc>
          <w:tcPr>
            <w:tcW w:w="7912" w:type="dxa"/>
            <w:vAlign w:val="bottom"/>
          </w:tcPr>
          <w:p w:rsidR="00F909D7" w:rsidRDefault="00F909D7" w:rsidP="00F909D7">
            <w:pPr>
              <w:pStyle w:val="Covertitle410pt"/>
              <w:spacing w:before="240"/>
            </w:pPr>
            <w:r>
              <w:t>KPMG</w:t>
            </w:r>
            <w:r w:rsidRPr="00A130DE">
              <w:t>.com</w:t>
            </w:r>
            <w:r>
              <w:t>.au</w:t>
            </w:r>
          </w:p>
        </w:tc>
      </w:tr>
    </w:tbl>
    <w:p w:rsidR="00F909D7" w:rsidRDefault="00F909D7" w:rsidP="00F909D7">
      <w:pPr>
        <w:pStyle w:val="Covertitle410pt"/>
        <w:sectPr w:rsidR="00F909D7" w:rsidSect="00F32E04">
          <w:footerReference w:type="default" r:id="rId8"/>
          <w:pgSz w:w="11906" w:h="16838"/>
          <w:pgMar w:top="2835" w:right="1418" w:bottom="851" w:left="1899" w:header="709" w:footer="709" w:gutter="0"/>
          <w:cols w:space="708"/>
          <w:docGrid w:linePitch="360"/>
        </w:sectPr>
      </w:pPr>
    </w:p>
    <w:p w:rsidR="00653D26" w:rsidRDefault="00653D26" w:rsidP="005A7907">
      <w:pPr>
        <w:pStyle w:val="HeadingLevel3NoNumber"/>
      </w:pPr>
      <w:bookmarkStart w:id="0" w:name="_Toc41553024"/>
      <w:r w:rsidRPr="00707B9B">
        <w:lastRenderedPageBreak/>
        <w:t>Disclaimer</w:t>
      </w:r>
      <w:bookmarkEnd w:id="0"/>
    </w:p>
    <w:p w:rsidR="003C2DD9" w:rsidRPr="003C2DD9" w:rsidRDefault="003C2DD9" w:rsidP="005A7907">
      <w:pPr>
        <w:pStyle w:val="Headinglevel4NoNumber"/>
      </w:pPr>
      <w:r>
        <w:t>Inherent limitations</w:t>
      </w:r>
    </w:p>
    <w:p w:rsidR="00653D26" w:rsidRDefault="00653D26" w:rsidP="00653D26">
      <w:pPr>
        <w:pStyle w:val="BodyText"/>
      </w:pPr>
      <w:r>
        <w:t xml:space="preserve">This report has been prepared as outlined in the </w:t>
      </w:r>
      <w:r w:rsidR="00F67867">
        <w:t>Introduction</w:t>
      </w:r>
      <w:r>
        <w:t xml:space="preserve"> Section </w:t>
      </w:r>
      <w:r w:rsidR="00D320D9">
        <w:t>of this report in accordance with contract between KPMG and the Department of Social Services dated 28 April 2020.</w:t>
      </w:r>
      <w:r>
        <w:t xml:space="preserve"> 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w:t>
      </w:r>
    </w:p>
    <w:p w:rsidR="00653D26" w:rsidRDefault="00653D26" w:rsidP="00653D26">
      <w:pPr>
        <w:pStyle w:val="BodyText"/>
      </w:pPr>
      <w:r>
        <w:t>No warranty of completeness, accuracy or reliability is given in relation to the statements and representations made by, and the information and documentation provided by, Department of Social Services management and personnel consulted as part of the process.</w:t>
      </w:r>
    </w:p>
    <w:p w:rsidR="00653D26" w:rsidRDefault="00653D26" w:rsidP="00653D26">
      <w:pPr>
        <w:pStyle w:val="BodyText"/>
      </w:pPr>
      <w:r>
        <w:t>KPMG have indicated within this report the sources of the information provided. We have not sought to independently verify those sources unless otherwise noted within the report.</w:t>
      </w:r>
    </w:p>
    <w:p w:rsidR="00653D26" w:rsidRDefault="00653D26" w:rsidP="00653D26">
      <w:pPr>
        <w:pStyle w:val="BodyText"/>
      </w:pPr>
      <w:r>
        <w:t>KPMG is under no obligation in any circumstance to update this report, in either oral or written form, for events occurring after the report has been issued in final form.</w:t>
      </w:r>
    </w:p>
    <w:p w:rsidR="003C2DD9" w:rsidRDefault="003C2DD9" w:rsidP="005A7907">
      <w:pPr>
        <w:pStyle w:val="Headinglevel4NoNumber"/>
      </w:pPr>
      <w:r>
        <w:t>Third party release</w:t>
      </w:r>
    </w:p>
    <w:p w:rsidR="003C2DD9" w:rsidRDefault="003C2DD9" w:rsidP="003C2DD9">
      <w:pPr>
        <w:pStyle w:val="BodyText"/>
      </w:pPr>
      <w:r>
        <w:t xml:space="preserve">This report is solely for the purpose set out in the </w:t>
      </w:r>
      <w:r w:rsidR="00F67867">
        <w:t>Introduction</w:t>
      </w:r>
      <w:r>
        <w:t xml:space="preserve"> Section and for Department of Social </w:t>
      </w:r>
      <w:proofErr w:type="gramStart"/>
      <w:r>
        <w:t>Services information, and</w:t>
      </w:r>
      <w:proofErr w:type="gramEnd"/>
      <w:r>
        <w:t xml:space="preserve"> is not to be used for any purpose not contemplated in the engagement letter/contract or to be distributed to any third party without KPMG’s prior written consent.</w:t>
      </w:r>
    </w:p>
    <w:p w:rsidR="003C2DD9" w:rsidRDefault="003C2DD9" w:rsidP="003C2DD9">
      <w:pPr>
        <w:pStyle w:val="BodyText"/>
      </w:pPr>
      <w:r>
        <w:t>This report has been prepared at the request of Department of Social Services in accordance with the terms of KPMG</w:t>
      </w:r>
      <w:r w:rsidR="00D320D9">
        <w:t>’</w:t>
      </w:r>
      <w:r>
        <w:t>s contract dated 28 April 2020. Other than our responsibility to Department of Social Services, neither KPMG nor any member or employee of KPMG undertakes responsibility arising in any way from reliance placed by a third party on this report. Any reliance placed is that party’s sole responsibility.</w:t>
      </w:r>
    </w:p>
    <w:p w:rsidR="00744704" w:rsidRPr="00744704" w:rsidRDefault="00744704" w:rsidP="005A7907">
      <w:pPr>
        <w:pStyle w:val="Headinglevel4NoNumber"/>
        <w:rPr>
          <w:lang w:val="en-US"/>
        </w:rPr>
      </w:pPr>
      <w:r>
        <w:rPr>
          <w:lang w:val="en-US"/>
        </w:rPr>
        <w:t>Accessibility</w:t>
      </w:r>
    </w:p>
    <w:p w:rsidR="00744704" w:rsidRDefault="00744704" w:rsidP="00744704">
      <w:pPr>
        <w:pStyle w:val="BodyText"/>
      </w:pPr>
      <w:r>
        <w:t>To comply with the Commonwealth Government’s accessibility requirements, two versions of this Report are available: a KPMG-branded PDF version and an unbranded Microsoft Word version. The KPMG-branded PDF version of this Report remains the definitive version of this Report.</w:t>
      </w:r>
    </w:p>
    <w:p w:rsidR="00AD4B92" w:rsidRPr="003C2DD9" w:rsidRDefault="00AD4B92" w:rsidP="00744704">
      <w:pPr>
        <w:pStyle w:val="BodyText"/>
        <w:sectPr w:rsidR="00AD4B92" w:rsidRPr="003C2DD9" w:rsidSect="005469A3">
          <w:headerReference w:type="even" r:id="rId9"/>
          <w:headerReference w:type="default" r:id="rId10"/>
          <w:footerReference w:type="default" r:id="rId11"/>
          <w:headerReference w:type="first" r:id="rId12"/>
          <w:pgSz w:w="11906" w:h="16838"/>
          <w:pgMar w:top="1418" w:right="1418" w:bottom="1418" w:left="1418" w:header="709" w:footer="454" w:gutter="0"/>
          <w:pgNumType w:fmt="lowerRoman" w:start="1"/>
          <w:cols w:space="708"/>
          <w:docGrid w:linePitch="360"/>
        </w:sectPr>
      </w:pPr>
    </w:p>
    <w:p w:rsidR="00C44D69" w:rsidRDefault="00C44D69" w:rsidP="00437799">
      <w:pPr>
        <w:pStyle w:val="HeadingLevel1NoNumber"/>
      </w:pPr>
      <w:bookmarkStart w:id="1" w:name="_Toc46398176"/>
      <w:bookmarkStart w:id="2" w:name="_Toc40285034"/>
      <w:bookmarkStart w:id="3" w:name="_Toc41553025"/>
      <w:r>
        <w:lastRenderedPageBreak/>
        <w:t>Main Messages</w:t>
      </w:r>
      <w:bookmarkEnd w:id="1"/>
    </w:p>
    <w:p w:rsidR="006C573D" w:rsidRPr="006C573D" w:rsidRDefault="006C573D" w:rsidP="006C573D">
      <w:pPr>
        <w:pStyle w:val="BodyText"/>
      </w:pPr>
      <w:r>
        <w:t>This</w:t>
      </w:r>
      <w:r w:rsidRPr="006C573D">
        <w:t xml:space="preserve"> literature review aims to identify and consider a number of adap</w:t>
      </w:r>
      <w:r w:rsidR="00CF0B09">
        <w:t>ta</w:t>
      </w:r>
      <w:r w:rsidRPr="006C573D">
        <w:t xml:space="preserve">tions that have been made to </w:t>
      </w:r>
      <w:r w:rsidR="004031D9">
        <w:t xml:space="preserve">Individual Placement and Support (IPS) </w:t>
      </w:r>
      <w:r w:rsidRPr="006C573D">
        <w:t>and supported employment models across the globe, to establish what could be adapted or added to the domestic model of IPS</w:t>
      </w:r>
      <w:r w:rsidR="00643A60">
        <w:t>, specifically within the IPS Trial,</w:t>
      </w:r>
      <w:r w:rsidRPr="006C573D">
        <w:t xml:space="preserve"> to enhance outcomes for participants. In addition, it investigates what outcomes look like for distinct cohort groups. </w:t>
      </w:r>
    </w:p>
    <w:p w:rsidR="006C573D" w:rsidRPr="006C573D" w:rsidRDefault="006C573D" w:rsidP="006C573D">
      <w:pPr>
        <w:pStyle w:val="BodyText"/>
      </w:pPr>
      <w:r w:rsidRPr="006C573D">
        <w:t>Despite limited studies into various IPS adap</w:t>
      </w:r>
      <w:r w:rsidR="00CF0B09">
        <w:t>ta</w:t>
      </w:r>
      <w:r w:rsidRPr="006C573D">
        <w:t xml:space="preserve">tions, there have been studies both internationally and domestically to understand what </w:t>
      </w:r>
      <w:r w:rsidR="00CF0B09">
        <w:t>the incorporation of</w:t>
      </w:r>
      <w:r w:rsidR="00CF0B09" w:rsidRPr="006C573D">
        <w:t xml:space="preserve"> </w:t>
      </w:r>
      <w:r w:rsidRPr="006C573D">
        <w:t xml:space="preserve">skills training, cognitive skills training, peer group interaction and education means for participants. </w:t>
      </w:r>
    </w:p>
    <w:p w:rsidR="006C573D" w:rsidRDefault="006C573D" w:rsidP="006C573D">
      <w:pPr>
        <w:pStyle w:val="BodyText"/>
      </w:pPr>
      <w:r w:rsidRPr="006C573D">
        <w:t>The research found three key elements which showed the most promise to support young people</w:t>
      </w:r>
      <w:r>
        <w:t>:</w:t>
      </w:r>
    </w:p>
    <w:p w:rsidR="006C573D" w:rsidRDefault="004031D9" w:rsidP="006C573D">
      <w:pPr>
        <w:pStyle w:val="BodyText"/>
      </w:pPr>
      <w:r w:rsidRPr="006C573D">
        <w:rPr>
          <w:noProof/>
          <w:color w:val="005EB8" w:themeColor="background2"/>
          <w:lang w:eastAsia="en-AU"/>
        </w:rPr>
        <w:drawing>
          <wp:anchor distT="0" distB="0" distL="114300" distR="114300" simplePos="0" relativeHeight="251658241" behindDoc="0" locked="0" layoutInCell="1" allowOverlap="1" wp14:anchorId="22A4B2AD" wp14:editId="641E5E91">
            <wp:simplePos x="0" y="0"/>
            <wp:positionH relativeFrom="margin">
              <wp:posOffset>0</wp:posOffset>
            </wp:positionH>
            <wp:positionV relativeFrom="margin">
              <wp:posOffset>2706370</wp:posOffset>
            </wp:positionV>
            <wp:extent cx="1873250" cy="672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1915"/>
                    <a:stretch/>
                  </pic:blipFill>
                  <pic:spPr bwMode="auto">
                    <a:xfrm>
                      <a:off x="0" y="0"/>
                      <a:ext cx="1873250" cy="67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86B">
        <w:rPr>
          <w:color w:val="005EB8" w:themeColor="background2"/>
        </w:rPr>
        <w:t>The supported education model c</w:t>
      </w:r>
      <w:r w:rsidR="006C573D" w:rsidRPr="006C573D">
        <w:rPr>
          <w:color w:val="005EB8" w:themeColor="background2"/>
        </w:rPr>
        <w:t xml:space="preserve">ould be considered </w:t>
      </w:r>
      <w:r w:rsidR="00F67867">
        <w:rPr>
          <w:color w:val="005EB8" w:themeColor="background2"/>
        </w:rPr>
        <w:t>in line with the focus on education within the IPS Trial</w:t>
      </w:r>
      <w:r w:rsidR="006C573D" w:rsidRPr="006C573D">
        <w:rPr>
          <w:color w:val="005EB8" w:themeColor="background2"/>
        </w:rPr>
        <w:t>, however</w:t>
      </w:r>
      <w:r w:rsidR="00CF0B09">
        <w:rPr>
          <w:color w:val="005EB8" w:themeColor="background2"/>
        </w:rPr>
        <w:t>,</w:t>
      </w:r>
      <w:r w:rsidR="006C573D" w:rsidRPr="006C573D">
        <w:rPr>
          <w:color w:val="005EB8" w:themeColor="background2"/>
        </w:rPr>
        <w:t xml:space="preserve"> </w:t>
      </w:r>
      <w:r w:rsidR="0037354D">
        <w:rPr>
          <w:color w:val="005EB8" w:themeColor="background2"/>
        </w:rPr>
        <w:t>ideally</w:t>
      </w:r>
      <w:r w:rsidR="00CF0B09">
        <w:rPr>
          <w:color w:val="005EB8" w:themeColor="background2"/>
        </w:rPr>
        <w:t>,</w:t>
      </w:r>
      <w:r w:rsidR="0037354D">
        <w:rPr>
          <w:color w:val="005EB8" w:themeColor="background2"/>
        </w:rPr>
        <w:t xml:space="preserve"> it would</w:t>
      </w:r>
      <w:r w:rsidR="006C573D" w:rsidRPr="006C573D">
        <w:rPr>
          <w:color w:val="005EB8" w:themeColor="background2"/>
        </w:rPr>
        <w:t xml:space="preserve"> be included as its own component with its own education </w:t>
      </w:r>
      <w:r w:rsidR="0023686B">
        <w:rPr>
          <w:color w:val="005EB8" w:themeColor="background2"/>
        </w:rPr>
        <w:t xml:space="preserve">specialist, rather than using </w:t>
      </w:r>
      <w:r w:rsidR="006C573D" w:rsidRPr="006C573D">
        <w:rPr>
          <w:color w:val="005EB8" w:themeColor="background2"/>
        </w:rPr>
        <w:t xml:space="preserve">employment specialists. Additionally, the appropriateness to provide education support </w:t>
      </w:r>
      <w:r w:rsidR="0037354D">
        <w:rPr>
          <w:color w:val="005EB8" w:themeColor="background2"/>
        </w:rPr>
        <w:t>to</w:t>
      </w:r>
      <w:r w:rsidR="006C573D" w:rsidRPr="006C573D">
        <w:rPr>
          <w:color w:val="005EB8" w:themeColor="background2"/>
        </w:rPr>
        <w:t xml:space="preserve"> young people </w:t>
      </w:r>
      <w:r w:rsidR="0037354D">
        <w:rPr>
          <w:color w:val="005EB8" w:themeColor="background2"/>
        </w:rPr>
        <w:t>of compulsory</w:t>
      </w:r>
      <w:r w:rsidR="006C573D" w:rsidRPr="006C573D">
        <w:rPr>
          <w:color w:val="005EB8" w:themeColor="background2"/>
        </w:rPr>
        <w:t xml:space="preserve"> school </w:t>
      </w:r>
      <w:r w:rsidR="0037354D">
        <w:rPr>
          <w:color w:val="005EB8" w:themeColor="background2"/>
        </w:rPr>
        <w:t>ages</w:t>
      </w:r>
      <w:r w:rsidR="006C573D" w:rsidRPr="006C573D">
        <w:rPr>
          <w:color w:val="005EB8" w:themeColor="background2"/>
        </w:rPr>
        <w:t xml:space="preserve"> needs to be considered. </w:t>
      </w:r>
    </w:p>
    <w:p w:rsidR="002A31D9" w:rsidRDefault="004031D9" w:rsidP="00CF0B09">
      <w:pPr>
        <w:pStyle w:val="BodyText"/>
        <w:spacing w:before="240"/>
        <w:ind w:left="3118" w:hanging="238"/>
        <w:rPr>
          <w:noProof/>
          <w:lang w:eastAsia="en-AU"/>
        </w:rPr>
      </w:pPr>
      <w:r>
        <w:rPr>
          <w:noProof/>
          <w:lang w:eastAsia="en-AU"/>
        </w:rPr>
        <w:drawing>
          <wp:anchor distT="0" distB="0" distL="114300" distR="114300" simplePos="0" relativeHeight="251658242" behindDoc="0" locked="0" layoutInCell="1" allowOverlap="1" wp14:anchorId="2D5B1B08" wp14:editId="32E83BBF">
            <wp:simplePos x="0" y="0"/>
            <wp:positionH relativeFrom="margin">
              <wp:posOffset>0</wp:posOffset>
            </wp:positionH>
            <wp:positionV relativeFrom="margin">
              <wp:posOffset>3736340</wp:posOffset>
            </wp:positionV>
            <wp:extent cx="1871980" cy="654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0032"/>
                    <a:stretch/>
                  </pic:blipFill>
                  <pic:spPr bwMode="auto">
                    <a:xfrm>
                      <a:off x="0" y="0"/>
                      <a:ext cx="1871980" cy="654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31D9" w:rsidRPr="002A31D9">
        <w:rPr>
          <w:color w:val="005EB8" w:themeColor="background2"/>
        </w:rPr>
        <w:t>Cognitive adap</w:t>
      </w:r>
      <w:r w:rsidR="00CF0B09">
        <w:rPr>
          <w:color w:val="005EB8" w:themeColor="background2"/>
        </w:rPr>
        <w:t>ta</w:t>
      </w:r>
      <w:r w:rsidR="002A31D9" w:rsidRPr="002A31D9">
        <w:rPr>
          <w:color w:val="005EB8" w:themeColor="background2"/>
        </w:rPr>
        <w:t>tions have been proven to be successful in providing multi</w:t>
      </w:r>
      <w:r w:rsidR="00CF0B09">
        <w:rPr>
          <w:color w:val="005EB8" w:themeColor="background2"/>
        </w:rPr>
        <w:noBreakHyphen/>
      </w:r>
      <w:r w:rsidR="002A31D9" w:rsidRPr="002A31D9">
        <w:rPr>
          <w:color w:val="005EB8" w:themeColor="background2"/>
        </w:rPr>
        <w:t>faceted approaches to improve social skills, ability to learn and executive functioning. Research demonstrated that</w:t>
      </w:r>
      <w:r w:rsidR="00CF0B09">
        <w:rPr>
          <w:color w:val="005EB8" w:themeColor="background2"/>
        </w:rPr>
        <w:t>,</w:t>
      </w:r>
      <w:r w:rsidR="002A31D9" w:rsidRPr="002A31D9">
        <w:rPr>
          <w:color w:val="005EB8" w:themeColor="background2"/>
        </w:rPr>
        <w:t xml:space="preserve"> for this cohort</w:t>
      </w:r>
      <w:r w:rsidR="00CF0B09">
        <w:rPr>
          <w:color w:val="005EB8" w:themeColor="background2"/>
        </w:rPr>
        <w:t>,</w:t>
      </w:r>
      <w:r w:rsidR="002A31D9" w:rsidRPr="002A31D9">
        <w:rPr>
          <w:color w:val="005EB8" w:themeColor="background2"/>
        </w:rPr>
        <w:t xml:space="preserve"> the Thinking Skills for Work model appeared most effective, with 69.6 per cent achieving employment outcomes. </w:t>
      </w:r>
    </w:p>
    <w:p w:rsidR="00CF0B09" w:rsidRDefault="00CF0B09" w:rsidP="006C573D">
      <w:pPr>
        <w:pStyle w:val="BodyText"/>
        <w:rPr>
          <w:color w:val="005EB8" w:themeColor="background2"/>
        </w:rPr>
      </w:pPr>
    </w:p>
    <w:p w:rsidR="002A31D9" w:rsidRDefault="00CF0B09" w:rsidP="006C573D">
      <w:pPr>
        <w:pStyle w:val="BodyText"/>
        <w:rPr>
          <w:color w:val="005EB8" w:themeColor="background2"/>
        </w:rPr>
      </w:pPr>
      <w:r>
        <w:rPr>
          <w:noProof/>
          <w:lang w:eastAsia="en-AU"/>
        </w:rPr>
        <w:drawing>
          <wp:anchor distT="0" distB="0" distL="114300" distR="114300" simplePos="0" relativeHeight="251658243" behindDoc="0" locked="0" layoutInCell="1" allowOverlap="1" wp14:anchorId="52A79D93" wp14:editId="1DD96F31">
            <wp:simplePos x="0" y="0"/>
            <wp:positionH relativeFrom="margin">
              <wp:posOffset>-2540</wp:posOffset>
            </wp:positionH>
            <wp:positionV relativeFrom="margin">
              <wp:posOffset>4730893</wp:posOffset>
            </wp:positionV>
            <wp:extent cx="1871980" cy="7194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4272"/>
                    <a:stretch/>
                  </pic:blipFill>
                  <pic:spPr bwMode="auto">
                    <a:xfrm>
                      <a:off x="0" y="0"/>
                      <a:ext cx="1871980" cy="719455"/>
                    </a:xfrm>
                    <a:prstGeom prst="rect">
                      <a:avLst/>
                    </a:prstGeom>
                    <a:noFill/>
                    <a:ln>
                      <a:noFill/>
                    </a:ln>
                    <a:extLst>
                      <a:ext uri="{53640926-AAD7-44D8-BBD7-CCE9431645EC}">
                        <a14:shadowObscured xmlns:a14="http://schemas.microsoft.com/office/drawing/2010/main"/>
                      </a:ext>
                    </a:extLst>
                  </pic:spPr>
                </pic:pic>
              </a:graphicData>
            </a:graphic>
          </wp:anchor>
        </w:drawing>
      </w:r>
      <w:r w:rsidR="002A31D9" w:rsidRPr="002A31D9">
        <w:rPr>
          <w:color w:val="005EB8" w:themeColor="background2"/>
        </w:rPr>
        <w:t xml:space="preserve">Integrated </w:t>
      </w:r>
      <w:r w:rsidR="0023686B">
        <w:rPr>
          <w:color w:val="005EB8" w:themeColor="background2"/>
        </w:rPr>
        <w:t>supported</w:t>
      </w:r>
      <w:r w:rsidR="002A31D9" w:rsidRPr="002A31D9">
        <w:rPr>
          <w:color w:val="005EB8" w:themeColor="background2"/>
        </w:rPr>
        <w:t xml:space="preserve"> employment (ISE) improves </w:t>
      </w:r>
      <w:r w:rsidR="00107B8B">
        <w:rPr>
          <w:color w:val="005EB8" w:themeColor="background2"/>
        </w:rPr>
        <w:t>participants’</w:t>
      </w:r>
      <w:r w:rsidR="002A31D9" w:rsidRPr="002A31D9">
        <w:rPr>
          <w:color w:val="005EB8" w:themeColor="background2"/>
        </w:rPr>
        <w:t xml:space="preserve"> social skills in work environments, including the management of difficult situations. Studies showed that 60 per cent of participants who access</w:t>
      </w:r>
      <w:r w:rsidR="00107B8B">
        <w:rPr>
          <w:color w:val="005EB8" w:themeColor="background2"/>
        </w:rPr>
        <w:t>ed</w:t>
      </w:r>
      <w:r w:rsidR="002A31D9" w:rsidRPr="002A31D9">
        <w:rPr>
          <w:color w:val="005EB8" w:themeColor="background2"/>
        </w:rPr>
        <w:t xml:space="preserve"> ISE with IPS gained competitive employment, compared to 30 per cent who only accessed IPS. </w:t>
      </w:r>
    </w:p>
    <w:p w:rsidR="00450960" w:rsidRPr="000E5CE5" w:rsidRDefault="008C24F3" w:rsidP="006C63BB">
      <w:pPr>
        <w:pStyle w:val="BodyText"/>
        <w:jc w:val="left"/>
        <w:rPr>
          <w:b/>
          <w:noProof/>
          <w:lang w:eastAsia="en-AU"/>
        </w:rPr>
      </w:pPr>
      <w:r w:rsidRPr="008C24F3">
        <w:rPr>
          <w:noProof/>
          <w:lang w:eastAsia="en-AU"/>
        </w:rPr>
        <w:t>Limited research has been conducted to determine whether there are particular contextual factors that may influence the effectiveness of outcomes beyond implementation enablers</w:t>
      </w:r>
      <w:r>
        <w:rPr>
          <w:noProof/>
          <w:lang w:eastAsia="en-AU"/>
        </w:rPr>
        <w:t>; however</w:t>
      </w:r>
      <w:r w:rsidR="00450960">
        <w:rPr>
          <w:noProof/>
          <w:lang w:eastAsia="en-AU"/>
        </w:rPr>
        <w:t>,</w:t>
      </w:r>
      <w:r>
        <w:rPr>
          <w:noProof/>
          <w:lang w:eastAsia="en-AU"/>
        </w:rPr>
        <w:t xml:space="preserve"> the below has been identifed</w:t>
      </w:r>
      <w:r w:rsidR="0023686B">
        <w:rPr>
          <w:noProof/>
          <w:lang w:eastAsia="en-AU"/>
        </w:rPr>
        <w:t xml:space="preserve"> within the literature</w:t>
      </w:r>
      <w:r>
        <w:rPr>
          <w:noProof/>
          <w:lang w:eastAsia="en-AU"/>
        </w:rPr>
        <w:t>:</w:t>
      </w:r>
      <w:r w:rsidR="0059696B" w:rsidRPr="0059696B">
        <w:rPr>
          <w:b/>
          <w:noProof/>
          <w:lang w:eastAsia="en-AU"/>
        </w:rPr>
        <w:t xml:space="preserve"> </w:t>
      </w:r>
      <w:r w:rsidR="00E5731D">
        <w:rPr>
          <w:noProof/>
          <w:lang w:eastAsia="en-AU"/>
        </w:rPr>
        <w:drawing>
          <wp:inline distT="0" distB="0" distL="0" distR="0" wp14:anchorId="18A7A5F8" wp14:editId="7BF5295A">
            <wp:extent cx="5171826" cy="2686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4278" cy="2692517"/>
                    </a:xfrm>
                    <a:prstGeom prst="rect">
                      <a:avLst/>
                    </a:prstGeom>
                    <a:noFill/>
                  </pic:spPr>
                </pic:pic>
              </a:graphicData>
            </a:graphic>
          </wp:inline>
        </w:drawing>
      </w:r>
    </w:p>
    <w:p w:rsidR="009633A2" w:rsidRDefault="00857090" w:rsidP="00437799">
      <w:pPr>
        <w:pStyle w:val="HeadingLevel1NoNumber"/>
      </w:pPr>
      <w:bookmarkStart w:id="4" w:name="_Toc46398177"/>
      <w:r>
        <w:lastRenderedPageBreak/>
        <w:t>E</w:t>
      </w:r>
      <w:r w:rsidR="004A3F32">
        <w:t>xecutive summary</w:t>
      </w:r>
      <w:bookmarkEnd w:id="2"/>
      <w:bookmarkEnd w:id="3"/>
      <w:bookmarkEnd w:id="4"/>
    </w:p>
    <w:p w:rsidR="008526CA" w:rsidRDefault="005A331E" w:rsidP="005A331E">
      <w:pPr>
        <w:pStyle w:val="BodyText"/>
      </w:pPr>
      <w:bookmarkStart w:id="5" w:name="_Toc41553026"/>
      <w:r>
        <w:t xml:space="preserve">The purpose of this document </w:t>
      </w:r>
      <w:r w:rsidR="00450960">
        <w:t xml:space="preserve">is </w:t>
      </w:r>
      <w:r>
        <w:t xml:space="preserve">to provide a literature review </w:t>
      </w:r>
      <w:r w:rsidR="00450960">
        <w:t>that sets out</w:t>
      </w:r>
      <w:r>
        <w:t xml:space="preserve"> insights into how the Individual Placement and Support (IPS) model can be strengthened</w:t>
      </w:r>
      <w:r w:rsidR="006A79C5">
        <w:t>, particularly for the IPS Trial</w:t>
      </w:r>
      <w:r>
        <w:t xml:space="preserve">. This will be considered through two key research questions: </w:t>
      </w:r>
    </w:p>
    <w:p w:rsidR="005A331E" w:rsidRPr="005A331E" w:rsidRDefault="00653D26" w:rsidP="00DF1E27">
      <w:pPr>
        <w:pStyle w:val="BodyText"/>
        <w:numPr>
          <w:ilvl w:val="0"/>
          <w:numId w:val="20"/>
        </w:numPr>
        <w:ind w:left="426" w:hanging="426"/>
      </w:pPr>
      <w:r>
        <w:t xml:space="preserve">How </w:t>
      </w:r>
      <w:r w:rsidR="006A79C5">
        <w:t>can</w:t>
      </w:r>
      <w:r w:rsidR="005A331E" w:rsidRPr="005A331E">
        <w:t xml:space="preserve"> the effectiveness of</w:t>
      </w:r>
      <w:r w:rsidR="00450960">
        <w:t xml:space="preserve"> the</w:t>
      </w:r>
      <w:r w:rsidR="005A331E" w:rsidRPr="005A331E">
        <w:t xml:space="preserve"> IPS model be improved?  </w:t>
      </w:r>
    </w:p>
    <w:p w:rsidR="005A331E" w:rsidRDefault="005A331E" w:rsidP="00DF1E27">
      <w:pPr>
        <w:pStyle w:val="BodyText"/>
        <w:numPr>
          <w:ilvl w:val="0"/>
          <w:numId w:val="20"/>
        </w:numPr>
        <w:ind w:left="426" w:hanging="426"/>
      </w:pPr>
      <w:r w:rsidRPr="005A331E">
        <w:t>What are the considerations in the transferability and scalability of the IPS model?</w:t>
      </w:r>
    </w:p>
    <w:p w:rsidR="005A331E" w:rsidRDefault="005A331E" w:rsidP="005A7907">
      <w:pPr>
        <w:pStyle w:val="HeadingLevel2NoNumber"/>
      </w:pPr>
      <w:r>
        <w:t>The IPS model and IPS Trial</w:t>
      </w:r>
    </w:p>
    <w:p w:rsidR="00206EA3" w:rsidRDefault="00206EA3" w:rsidP="00206EA3">
      <w:pPr>
        <w:pStyle w:val="BodyText"/>
      </w:pPr>
      <w:r>
        <w:t xml:space="preserve">The IPS model was originally developed in the United States in the early 1990s and integrates employment and vocational support with traditional mental health and non-vocational support. It focuses on the individual needs of people with mental illness who are seeking to remain in </w:t>
      </w:r>
      <w:proofErr w:type="gramStart"/>
      <w:r>
        <w:t>employment, and</w:t>
      </w:r>
      <w:proofErr w:type="gramEnd"/>
      <w:r>
        <w:t xml:space="preserve"> aims to support participants to rapidly seek employment and gain paid work in a competitive employment setting. The IPS model focuses on eight core Practice Principles:</w:t>
      </w:r>
    </w:p>
    <w:p w:rsidR="00206EA3" w:rsidRDefault="00C05820" w:rsidP="00C05820">
      <w:pPr>
        <w:pStyle w:val="TableBullet1stlevel"/>
      </w:pPr>
      <w:r>
        <w:t>f</w:t>
      </w:r>
      <w:r w:rsidR="00206EA3">
        <w:t>ocus on competitive employment</w:t>
      </w:r>
      <w:r>
        <w:t>;</w:t>
      </w:r>
    </w:p>
    <w:p w:rsidR="00206EA3" w:rsidRDefault="00C05820" w:rsidP="00C05820">
      <w:pPr>
        <w:pStyle w:val="TableBullet1stlevel"/>
      </w:pPr>
      <w:r>
        <w:t>e</w:t>
      </w:r>
      <w:r w:rsidR="00206EA3">
        <w:t>ligibility based on participants</w:t>
      </w:r>
      <w:r w:rsidR="00450960">
        <w:t>’</w:t>
      </w:r>
      <w:r w:rsidR="00206EA3">
        <w:t xml:space="preserve"> choices</w:t>
      </w:r>
      <w:r>
        <w:t>;</w:t>
      </w:r>
      <w:r w:rsidR="00206EA3">
        <w:t xml:space="preserve"> </w:t>
      </w:r>
    </w:p>
    <w:p w:rsidR="00206EA3" w:rsidRDefault="00C05820" w:rsidP="00C05820">
      <w:pPr>
        <w:pStyle w:val="TableBullet1stlevel"/>
      </w:pPr>
      <w:r>
        <w:t>i</w:t>
      </w:r>
      <w:r w:rsidR="00206EA3">
        <w:t>ntegration of rehabilitation and mental health services</w:t>
      </w:r>
      <w:r>
        <w:t>;</w:t>
      </w:r>
    </w:p>
    <w:p w:rsidR="00206EA3" w:rsidRDefault="00C05820" w:rsidP="00C05820">
      <w:pPr>
        <w:pStyle w:val="TableBullet1stlevel"/>
      </w:pPr>
      <w:r>
        <w:t>a</w:t>
      </w:r>
      <w:r w:rsidR="00206EA3">
        <w:t>ttention to participants’ preferences</w:t>
      </w:r>
      <w:r>
        <w:t>;</w:t>
      </w:r>
    </w:p>
    <w:p w:rsidR="00206EA3" w:rsidRDefault="00C05820" w:rsidP="00C05820">
      <w:pPr>
        <w:pStyle w:val="TableBullet1stlevel"/>
      </w:pPr>
      <w:r>
        <w:t>p</w:t>
      </w:r>
      <w:r w:rsidR="00206EA3">
        <w:t>ersonalised benefits counselling</w:t>
      </w:r>
      <w:r>
        <w:t>;</w:t>
      </w:r>
    </w:p>
    <w:p w:rsidR="00206EA3" w:rsidRDefault="00C05820" w:rsidP="00C05820">
      <w:pPr>
        <w:pStyle w:val="TableBullet1stlevel"/>
      </w:pPr>
      <w:r>
        <w:t>r</w:t>
      </w:r>
      <w:r w:rsidR="00206EA3">
        <w:t>api</w:t>
      </w:r>
      <w:r>
        <w:t>d job search;</w:t>
      </w:r>
    </w:p>
    <w:p w:rsidR="00206EA3" w:rsidRDefault="00C05820" w:rsidP="00C05820">
      <w:pPr>
        <w:pStyle w:val="TableBullet1stlevel"/>
      </w:pPr>
      <w:r>
        <w:t>s</w:t>
      </w:r>
      <w:r w:rsidR="00206EA3">
        <w:t>ystematic job development</w:t>
      </w:r>
      <w:r>
        <w:t>; and</w:t>
      </w:r>
      <w:r w:rsidR="00206EA3">
        <w:t xml:space="preserve"> </w:t>
      </w:r>
    </w:p>
    <w:p w:rsidR="005A331E" w:rsidRDefault="00C05820" w:rsidP="00C05820">
      <w:pPr>
        <w:pStyle w:val="TableBullet1stlevel"/>
      </w:pPr>
      <w:r>
        <w:t>t</w:t>
      </w:r>
      <w:r w:rsidR="00206EA3">
        <w:t>ime-unlimited and individualised support</w:t>
      </w:r>
      <w:r>
        <w:t>.</w:t>
      </w:r>
      <w:r w:rsidR="00206EA3">
        <w:t xml:space="preserve"> </w:t>
      </w:r>
    </w:p>
    <w:p w:rsidR="005A331E" w:rsidRDefault="00BE18A3" w:rsidP="000C28B8">
      <w:pPr>
        <w:pStyle w:val="BodyText"/>
      </w:pPr>
      <w:r w:rsidRPr="00BE18A3">
        <w:t xml:space="preserve">The 2015-16 Federal Budget allocated funding for </w:t>
      </w:r>
      <w:r>
        <w:t xml:space="preserve">IPS to be trialled </w:t>
      </w:r>
      <w:r w:rsidRPr="00BE18A3">
        <w:t>to support young people experiencing mild to moderate mental health disorders. The IP</w:t>
      </w:r>
      <w:r w:rsidR="00450960">
        <w:t>S Trial commenced in 2016 in 14 </w:t>
      </w:r>
      <w:r w:rsidRPr="00BE18A3">
        <w:t>hea</w:t>
      </w:r>
      <w:r w:rsidR="00330B93">
        <w:t xml:space="preserve">dspace sites across Australia. </w:t>
      </w:r>
      <w:r w:rsidRPr="00BE18A3">
        <w:t>The Trial was extended in 2019 to current and additional sites to June 2021. There are now 24 headspace sites del</w:t>
      </w:r>
      <w:r w:rsidR="000C28B8">
        <w:t>ivering IPS as part of the Trial.</w:t>
      </w:r>
    </w:p>
    <w:p w:rsidR="00F909D7" w:rsidRDefault="00653D26" w:rsidP="005A7907">
      <w:pPr>
        <w:pStyle w:val="HeadingLevel2NoNumber"/>
      </w:pPr>
      <w:r>
        <w:t xml:space="preserve">How </w:t>
      </w:r>
      <w:r w:rsidR="006A79C5">
        <w:t>can</w:t>
      </w:r>
      <w:r>
        <w:t xml:space="preserve"> the effectiveness of the IPS model be improved?</w:t>
      </w:r>
      <w:bookmarkEnd w:id="5"/>
    </w:p>
    <w:p w:rsidR="00813F45" w:rsidRDefault="00813F45" w:rsidP="00813F45">
      <w:pPr>
        <w:pStyle w:val="BodyText"/>
      </w:pPr>
      <w:r>
        <w:t xml:space="preserve">The literature review identified </w:t>
      </w:r>
      <w:proofErr w:type="gramStart"/>
      <w:r>
        <w:t>a number of</w:t>
      </w:r>
      <w:proofErr w:type="gramEnd"/>
      <w:r>
        <w:t xml:space="preserve"> adap</w:t>
      </w:r>
      <w:r w:rsidR="00450960">
        <w:t>ta</w:t>
      </w:r>
      <w:r>
        <w:t>tions to the IPS model. They are summarised in the table below.</w:t>
      </w:r>
    </w:p>
    <w:p w:rsidR="00813F45" w:rsidRDefault="00813F45" w:rsidP="00813F45">
      <w:pPr>
        <w:pStyle w:val="Caption"/>
        <w:keepNext/>
      </w:pPr>
      <w:r>
        <w:t xml:space="preserve">Table </w:t>
      </w:r>
      <w:r w:rsidR="008C24F3">
        <w:rPr>
          <w:noProof/>
        </w:rPr>
        <w:fldChar w:fldCharType="begin"/>
      </w:r>
      <w:r w:rsidR="008C24F3">
        <w:rPr>
          <w:noProof/>
        </w:rPr>
        <w:instrText xml:space="preserve"> SEQ Table \* ARABIC </w:instrText>
      </w:r>
      <w:r w:rsidR="008C24F3">
        <w:rPr>
          <w:noProof/>
        </w:rPr>
        <w:fldChar w:fldCharType="separate"/>
      </w:r>
      <w:r>
        <w:rPr>
          <w:noProof/>
        </w:rPr>
        <w:t>1</w:t>
      </w:r>
      <w:r w:rsidR="008C24F3">
        <w:rPr>
          <w:noProof/>
        </w:rPr>
        <w:fldChar w:fldCharType="end"/>
      </w:r>
      <w:r>
        <w:t>: IPS Model Additions and Outcomes</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2"/>
        <w:gridCol w:w="3290"/>
        <w:gridCol w:w="4252"/>
      </w:tblGrid>
      <w:tr w:rsidR="00813F45" w:rsidRPr="00AD4B92" w:rsidTr="00AF7CB8">
        <w:trPr>
          <w:tblHeader/>
        </w:trPr>
        <w:tc>
          <w:tcPr>
            <w:tcW w:w="2092" w:type="dxa"/>
            <w:shd w:val="clear" w:color="auto" w:fill="005EB8" w:themeFill="background2"/>
          </w:tcPr>
          <w:p w:rsidR="00813F45" w:rsidRPr="00AD4B92" w:rsidRDefault="00813F45" w:rsidP="00AD4B92">
            <w:pPr>
              <w:pStyle w:val="Tableheading"/>
            </w:pPr>
            <w:r w:rsidRPr="00AD4B92">
              <w:t>Model Addition</w:t>
            </w:r>
          </w:p>
        </w:tc>
        <w:tc>
          <w:tcPr>
            <w:tcW w:w="3290" w:type="dxa"/>
            <w:shd w:val="clear" w:color="auto" w:fill="005EB8" w:themeFill="background2"/>
          </w:tcPr>
          <w:p w:rsidR="00813F45" w:rsidRPr="00AD4B92" w:rsidRDefault="00813F45" w:rsidP="00AD4B92">
            <w:pPr>
              <w:pStyle w:val="Tableheading"/>
            </w:pPr>
            <w:r w:rsidRPr="00AD4B92">
              <w:t xml:space="preserve">Description </w:t>
            </w:r>
          </w:p>
        </w:tc>
        <w:tc>
          <w:tcPr>
            <w:tcW w:w="4252" w:type="dxa"/>
            <w:shd w:val="clear" w:color="auto" w:fill="005EB8" w:themeFill="background2"/>
          </w:tcPr>
          <w:p w:rsidR="00813F45" w:rsidRPr="00AD4B92" w:rsidRDefault="00813F45" w:rsidP="00AD4B92">
            <w:pPr>
              <w:pStyle w:val="Tableheading"/>
            </w:pPr>
            <w:r w:rsidRPr="00AD4B92">
              <w:t>Outcomes Summary</w:t>
            </w:r>
          </w:p>
        </w:tc>
      </w:tr>
      <w:tr w:rsidR="00813F45" w:rsidTr="00AF7CB8">
        <w:tc>
          <w:tcPr>
            <w:tcW w:w="9634" w:type="dxa"/>
            <w:gridSpan w:val="3"/>
            <w:shd w:val="clear" w:color="auto" w:fill="0091DA"/>
          </w:tcPr>
          <w:p w:rsidR="00813F45" w:rsidRPr="00224297" w:rsidRDefault="00813F45" w:rsidP="00AD4B92">
            <w:pPr>
              <w:pStyle w:val="Tableheadingcentred"/>
            </w:pPr>
            <w:r w:rsidRPr="00224297">
              <w:t>Skills Training</w:t>
            </w:r>
          </w:p>
        </w:tc>
      </w:tr>
      <w:tr w:rsidR="00813F45" w:rsidTr="00AF7CB8">
        <w:tc>
          <w:tcPr>
            <w:tcW w:w="2092" w:type="dxa"/>
          </w:tcPr>
          <w:p w:rsidR="00813F45" w:rsidRDefault="00813F45" w:rsidP="00AD4B92">
            <w:pPr>
              <w:pStyle w:val="Tabletext"/>
            </w:pPr>
            <w:r w:rsidRPr="00837973">
              <w:t>Integrated Supported Employment (ISE)</w:t>
            </w:r>
          </w:p>
          <w:p w:rsidR="00813F45" w:rsidRDefault="00813F45" w:rsidP="00AD4B92">
            <w:pPr>
              <w:pStyle w:val="Tabletext"/>
            </w:pPr>
            <w:r>
              <w:t>(Tsang 2003)</w:t>
            </w:r>
          </w:p>
        </w:tc>
        <w:tc>
          <w:tcPr>
            <w:tcW w:w="3290" w:type="dxa"/>
          </w:tcPr>
          <w:p w:rsidR="00813F45" w:rsidRDefault="00813F45" w:rsidP="00AD4B92">
            <w:pPr>
              <w:pStyle w:val="Tabletext"/>
            </w:pPr>
            <w:r>
              <w:t>T</w:t>
            </w:r>
            <w:r w:rsidRPr="00C50012">
              <w:t>eaches participants social skills to retain a job, such as developing good working relationships, and how to manage difficult situations in the workplace</w:t>
            </w:r>
            <w:r>
              <w:t>.</w:t>
            </w:r>
          </w:p>
        </w:tc>
        <w:tc>
          <w:tcPr>
            <w:tcW w:w="4252" w:type="dxa"/>
          </w:tcPr>
          <w:p w:rsidR="00813F45" w:rsidRDefault="00813F45" w:rsidP="00AD4B92">
            <w:pPr>
              <w:pStyle w:val="Tabletext"/>
            </w:pPr>
            <w:r>
              <w:t xml:space="preserve">60 per cent who accessed the IPS model enhanced with ISE gained competitive employment, compared to an IPS model only </w:t>
            </w:r>
            <w:r w:rsidR="00450960">
              <w:t xml:space="preserve">with </w:t>
            </w:r>
            <w:r w:rsidR="00F75E40">
              <w:t xml:space="preserve">the </w:t>
            </w:r>
            <w:r>
              <w:t xml:space="preserve">control </w:t>
            </w:r>
            <w:r w:rsidR="00F75E40">
              <w:t xml:space="preserve">group </w:t>
            </w:r>
            <w:r>
              <w:t>achieving</w:t>
            </w:r>
            <w:r w:rsidR="00F75E40">
              <w:t xml:space="preserve"> a</w:t>
            </w:r>
            <w:r>
              <w:t xml:space="preserve"> 30 per cent</w:t>
            </w:r>
            <w:r w:rsidR="00F75E40">
              <w:t xml:space="preserve"> employment rate</w:t>
            </w:r>
            <w:r>
              <w:t xml:space="preserve">. </w:t>
            </w:r>
          </w:p>
        </w:tc>
      </w:tr>
      <w:tr w:rsidR="00813F45" w:rsidTr="00AF7CB8">
        <w:tc>
          <w:tcPr>
            <w:tcW w:w="2092" w:type="dxa"/>
          </w:tcPr>
          <w:p w:rsidR="00813F45" w:rsidRDefault="00813F45" w:rsidP="00AD4B92">
            <w:pPr>
              <w:pStyle w:val="Tabletext"/>
            </w:pPr>
            <w:r w:rsidRPr="0026270E">
              <w:lastRenderedPageBreak/>
              <w:t>Workplace Fundamentals Training (WFT)</w:t>
            </w:r>
          </w:p>
          <w:p w:rsidR="00813F45" w:rsidRDefault="00813F45" w:rsidP="00AD4B92">
            <w:pPr>
              <w:pStyle w:val="Tabletext"/>
            </w:pPr>
            <w:r>
              <w:t>(Wallace &amp; Tauber 2004)</w:t>
            </w:r>
          </w:p>
        </w:tc>
        <w:tc>
          <w:tcPr>
            <w:tcW w:w="3290" w:type="dxa"/>
          </w:tcPr>
          <w:p w:rsidR="00813F45" w:rsidRDefault="00813F45" w:rsidP="00AD4B92">
            <w:pPr>
              <w:pStyle w:val="Tabletext"/>
            </w:pPr>
            <w:r>
              <w:t xml:space="preserve">Teaches participants </w:t>
            </w:r>
            <w:r w:rsidRPr="00C50012">
              <w:t>workplace skills, including problem-solving to cope with job stress and how to successfully interact with colleagues and supervisors</w:t>
            </w:r>
            <w:r>
              <w:t>.</w:t>
            </w:r>
          </w:p>
        </w:tc>
        <w:tc>
          <w:tcPr>
            <w:tcW w:w="4252" w:type="dxa"/>
          </w:tcPr>
          <w:p w:rsidR="00813F45" w:rsidRDefault="00813F45" w:rsidP="00AD4B92">
            <w:pPr>
              <w:pStyle w:val="Tabletext"/>
            </w:pPr>
            <w:r>
              <w:t>The combined model showed no significant differences in the rate of competitive employment attained when compared with an IPS only model, but the combined cohort demonstrate</w:t>
            </w:r>
            <w:r w:rsidR="00450960">
              <w:t>d</w:t>
            </w:r>
            <w:r>
              <w:t xml:space="preserve"> longer job retention. </w:t>
            </w:r>
          </w:p>
          <w:p w:rsidR="00813F45" w:rsidRDefault="00813F45" w:rsidP="00AD4B92">
            <w:pPr>
              <w:pStyle w:val="Tabletext"/>
            </w:pPr>
            <w:r>
              <w:t xml:space="preserve">A qualitative benefit of the combined model was greater job satisfaction. </w:t>
            </w:r>
          </w:p>
        </w:tc>
      </w:tr>
      <w:tr w:rsidR="00813F45" w:rsidTr="00AF7CB8">
        <w:tc>
          <w:tcPr>
            <w:tcW w:w="9634" w:type="dxa"/>
            <w:gridSpan w:val="3"/>
            <w:shd w:val="clear" w:color="auto" w:fill="0091DA"/>
          </w:tcPr>
          <w:p w:rsidR="00813F45" w:rsidRPr="00224297" w:rsidRDefault="00813F45" w:rsidP="00AD4B92">
            <w:pPr>
              <w:pStyle w:val="Tableheadingcentred"/>
            </w:pPr>
            <w:r w:rsidRPr="00224297">
              <w:t>Cognitive Skills Training</w:t>
            </w:r>
          </w:p>
        </w:tc>
      </w:tr>
      <w:tr w:rsidR="00813F45" w:rsidTr="00AF7CB8">
        <w:tc>
          <w:tcPr>
            <w:tcW w:w="2092" w:type="dxa"/>
          </w:tcPr>
          <w:p w:rsidR="00813F45" w:rsidRDefault="00813F45" w:rsidP="00AD4B92">
            <w:pPr>
              <w:pStyle w:val="Tabletext"/>
            </w:pPr>
            <w:r w:rsidRPr="00CD78BA">
              <w:t>Neurocognitive Enhancement Therapy (NET)</w:t>
            </w:r>
          </w:p>
          <w:p w:rsidR="00813F45" w:rsidRDefault="00813F45" w:rsidP="00AD4B92">
            <w:pPr>
              <w:pStyle w:val="Tabletext"/>
            </w:pPr>
            <w:r>
              <w:t>(Greig et al. 2007)</w:t>
            </w:r>
          </w:p>
        </w:tc>
        <w:tc>
          <w:tcPr>
            <w:tcW w:w="3290" w:type="dxa"/>
          </w:tcPr>
          <w:p w:rsidR="00813F45" w:rsidRDefault="00813F45" w:rsidP="00AD4B92">
            <w:pPr>
              <w:pStyle w:val="Tabletext"/>
            </w:pPr>
            <w:r>
              <w:t xml:space="preserve">Is </w:t>
            </w:r>
            <w:r w:rsidRPr="006658B6">
              <w:t>focused on providing a multi</w:t>
            </w:r>
            <w:r w:rsidR="00450960">
              <w:noBreakHyphen/>
            </w:r>
            <w:r w:rsidRPr="006658B6">
              <w:t>faceted cognitive remediation program to improve cognition in participants</w:t>
            </w:r>
            <w:r>
              <w:t>.</w:t>
            </w:r>
          </w:p>
        </w:tc>
        <w:tc>
          <w:tcPr>
            <w:tcW w:w="4252" w:type="dxa"/>
          </w:tcPr>
          <w:p w:rsidR="00813F45" w:rsidRDefault="00813F45" w:rsidP="00AD4B92">
            <w:pPr>
              <w:pStyle w:val="Tabletext"/>
            </w:pPr>
            <w:r>
              <w:t>The addition of NET to the IPS model demonstrated that</w:t>
            </w:r>
            <w:r w:rsidR="00450960">
              <w:t>,</w:t>
            </w:r>
            <w:r>
              <w:t xml:space="preserve"> after a year of combined supports</w:t>
            </w:r>
            <w:r w:rsidR="00450960">
              <w:t>,</w:t>
            </w:r>
            <w:r>
              <w:t xml:space="preserve"> participants had improved executive functioning and working memory. </w:t>
            </w:r>
          </w:p>
        </w:tc>
      </w:tr>
      <w:tr w:rsidR="00813F45" w:rsidTr="00AF7CB8">
        <w:tc>
          <w:tcPr>
            <w:tcW w:w="2092" w:type="dxa"/>
          </w:tcPr>
          <w:p w:rsidR="00813F45" w:rsidRDefault="00813F45" w:rsidP="00AD4B92">
            <w:pPr>
              <w:pStyle w:val="Tabletext"/>
            </w:pPr>
            <w:r w:rsidRPr="0002493F">
              <w:t>Thinking Skills for Work (TSFW)</w:t>
            </w:r>
          </w:p>
          <w:p w:rsidR="00813F45" w:rsidRDefault="00813F45" w:rsidP="00AD4B92">
            <w:pPr>
              <w:pStyle w:val="Tabletext"/>
            </w:pPr>
            <w:r>
              <w:t>(McGurk et al. 2005)</w:t>
            </w:r>
          </w:p>
        </w:tc>
        <w:tc>
          <w:tcPr>
            <w:tcW w:w="3290" w:type="dxa"/>
          </w:tcPr>
          <w:p w:rsidR="00813F45" w:rsidRDefault="00813F45" w:rsidP="00AD4B92">
            <w:pPr>
              <w:pStyle w:val="Tabletext"/>
            </w:pPr>
            <w:r>
              <w:t>Participants undertake a</w:t>
            </w:r>
            <w:r w:rsidRPr="006658B6">
              <w:t xml:space="preserve"> </w:t>
            </w:r>
            <w:r w:rsidR="00F75E40">
              <w:t>computer-</w:t>
            </w:r>
            <w:r w:rsidRPr="006658B6">
              <w:t>based cognitive assessment that covers attention, memory, executive functioni</w:t>
            </w:r>
            <w:r>
              <w:t xml:space="preserve">ng and other cognitive domains, which results in </w:t>
            </w:r>
            <w:r w:rsidRPr="006658B6">
              <w:t>tailored, cognitive remediation support based on their cognitive strengths and challenges</w:t>
            </w:r>
            <w:r w:rsidR="00450960">
              <w:t>.</w:t>
            </w:r>
          </w:p>
        </w:tc>
        <w:tc>
          <w:tcPr>
            <w:tcW w:w="4252" w:type="dxa"/>
          </w:tcPr>
          <w:p w:rsidR="00813F45" w:rsidRDefault="00813F45" w:rsidP="00AD4B92">
            <w:pPr>
              <w:pStyle w:val="Tabletext"/>
            </w:pPr>
            <w:r>
              <w:t xml:space="preserve">Those accessing combined TSFW and </w:t>
            </w:r>
            <w:r w:rsidR="00450960">
              <w:t xml:space="preserve">the </w:t>
            </w:r>
            <w:r>
              <w:t>supported employment model demonstrated stronger competitive employment rates, of 69.6 per cent compared to 4.8 per cent for those only accessing supported employment</w:t>
            </w:r>
            <w:r w:rsidR="00450960">
              <w:t>.</w:t>
            </w:r>
            <w:r>
              <w:t xml:space="preserve"> </w:t>
            </w:r>
            <w:r w:rsidR="00450960">
              <w:t>I</w:t>
            </w:r>
            <w:r>
              <w:t>n addition</w:t>
            </w:r>
            <w:r w:rsidR="00450960">
              <w:t>,</w:t>
            </w:r>
            <w:r>
              <w:t xml:space="preserve"> they also experienced higher earnings.</w:t>
            </w:r>
          </w:p>
        </w:tc>
      </w:tr>
      <w:tr w:rsidR="00813F45" w:rsidTr="00AF7CB8">
        <w:tc>
          <w:tcPr>
            <w:tcW w:w="2092" w:type="dxa"/>
          </w:tcPr>
          <w:p w:rsidR="00813F45" w:rsidRDefault="00813F45" w:rsidP="00AD4B92">
            <w:pPr>
              <w:pStyle w:val="Tabletext"/>
            </w:pPr>
            <w:r>
              <w:t>Errorless learning</w:t>
            </w:r>
          </w:p>
          <w:p w:rsidR="00813F45" w:rsidRDefault="00813F45" w:rsidP="00AD4B92">
            <w:pPr>
              <w:pStyle w:val="Tabletext"/>
            </w:pPr>
            <w:r>
              <w:t>(Kern et al. 2002)</w:t>
            </w:r>
          </w:p>
        </w:tc>
        <w:tc>
          <w:tcPr>
            <w:tcW w:w="3290" w:type="dxa"/>
          </w:tcPr>
          <w:p w:rsidR="00813F45" w:rsidRDefault="00813F45" w:rsidP="00AD4B92">
            <w:pPr>
              <w:pStyle w:val="Tabletext"/>
            </w:pPr>
            <w:r>
              <w:t>Inv</w:t>
            </w:r>
            <w:r w:rsidRPr="00ED3001">
              <w:t>olves repetitively practising tasks whil</w:t>
            </w:r>
            <w:r w:rsidR="00BA3B14">
              <w:t>e</w:t>
            </w:r>
            <w:r w:rsidRPr="00ED3001">
              <w:t xml:space="preserve"> eliminating mistakes, to enhance learning</w:t>
            </w:r>
            <w:r>
              <w:t>.</w:t>
            </w:r>
          </w:p>
        </w:tc>
        <w:tc>
          <w:tcPr>
            <w:tcW w:w="4252" w:type="dxa"/>
          </w:tcPr>
          <w:p w:rsidR="00813F45" w:rsidRDefault="00813F45" w:rsidP="00F75E40">
            <w:pPr>
              <w:pStyle w:val="Tabletext"/>
            </w:pPr>
            <w:r>
              <w:t xml:space="preserve">The combined model showed participants remained in employment for 32.8 weeks, whereas those accessing only the IPS model experienced </w:t>
            </w:r>
            <w:r w:rsidR="00F75E40">
              <w:t xml:space="preserve">an employment </w:t>
            </w:r>
            <w:r>
              <w:t>duration of 25.6 weeks.</w:t>
            </w:r>
          </w:p>
        </w:tc>
      </w:tr>
      <w:tr w:rsidR="00813F45" w:rsidTr="00AF7CB8">
        <w:tc>
          <w:tcPr>
            <w:tcW w:w="2092" w:type="dxa"/>
          </w:tcPr>
          <w:p w:rsidR="00813F45" w:rsidRDefault="00813F45" w:rsidP="00AD4B92">
            <w:pPr>
              <w:pStyle w:val="Tabletext"/>
            </w:pPr>
            <w:r w:rsidRPr="00DB3E73">
              <w:t>Cognitive Behavioural Therapy (CBT)</w:t>
            </w:r>
          </w:p>
          <w:p w:rsidR="00813F45" w:rsidRDefault="00813F45" w:rsidP="00AD4B92">
            <w:pPr>
              <w:pStyle w:val="Tabletext"/>
            </w:pPr>
            <w:r>
              <w:t xml:space="preserve">(Boycott et al. 2016; </w:t>
            </w:r>
            <w:proofErr w:type="spellStart"/>
            <w:r>
              <w:t>Reme</w:t>
            </w:r>
            <w:proofErr w:type="spellEnd"/>
            <w:r>
              <w:t xml:space="preserve"> et al. 2005)</w:t>
            </w:r>
          </w:p>
        </w:tc>
        <w:tc>
          <w:tcPr>
            <w:tcW w:w="3290" w:type="dxa"/>
          </w:tcPr>
          <w:p w:rsidR="00813F45" w:rsidRDefault="00813F45" w:rsidP="00AD4B92">
            <w:pPr>
              <w:pStyle w:val="Tabletext"/>
            </w:pPr>
            <w:r>
              <w:t xml:space="preserve">Involves </w:t>
            </w:r>
            <w:r w:rsidRPr="00ED3001">
              <w:t>problem-solving skills</w:t>
            </w:r>
            <w:r>
              <w:t>, interpersonal skills</w:t>
            </w:r>
            <w:r w:rsidRPr="00ED3001">
              <w:t>, and cognitive rehabilitation aimed at improving attention, language, mem</w:t>
            </w:r>
            <w:r>
              <w:t>ory, and executive functioning.</w:t>
            </w:r>
          </w:p>
        </w:tc>
        <w:tc>
          <w:tcPr>
            <w:tcW w:w="4252" w:type="dxa"/>
          </w:tcPr>
          <w:p w:rsidR="00813F45" w:rsidRDefault="00813F45" w:rsidP="00AD4B92">
            <w:pPr>
              <w:pStyle w:val="Tabletext"/>
            </w:pPr>
            <w:r>
              <w:t xml:space="preserve">44.2 per cent of participants accessing a combined CBT and IPS model maintained competitive employment at 18 months, compared to 37.2 per cent of those only accessing the IPS model. </w:t>
            </w:r>
          </w:p>
          <w:p w:rsidR="00813F45" w:rsidRDefault="00813F45" w:rsidP="00DF2E97">
            <w:pPr>
              <w:pStyle w:val="Tabletext"/>
            </w:pPr>
            <w:r>
              <w:t xml:space="preserve">Participants accessing the combined model also experienced reduced depression and anxiety </w:t>
            </w:r>
            <w:r w:rsidR="00DF2E97">
              <w:t>symptoms</w:t>
            </w:r>
            <w:r>
              <w:t xml:space="preserve">, and improved health-related quality of life. </w:t>
            </w:r>
          </w:p>
        </w:tc>
      </w:tr>
      <w:tr w:rsidR="00813F45" w:rsidTr="00AF7CB8">
        <w:tc>
          <w:tcPr>
            <w:tcW w:w="9634" w:type="dxa"/>
            <w:gridSpan w:val="3"/>
            <w:shd w:val="clear" w:color="auto" w:fill="0091DA"/>
          </w:tcPr>
          <w:p w:rsidR="00813F45" w:rsidRPr="00224297" w:rsidRDefault="00813F45" w:rsidP="00AD4B92">
            <w:pPr>
              <w:pStyle w:val="Tableheadingcentred"/>
            </w:pPr>
            <w:r w:rsidRPr="00224297">
              <w:t>Peer Group Interaction</w:t>
            </w:r>
          </w:p>
        </w:tc>
      </w:tr>
      <w:tr w:rsidR="00813F45" w:rsidTr="00AF7CB8">
        <w:tc>
          <w:tcPr>
            <w:tcW w:w="2092" w:type="dxa"/>
          </w:tcPr>
          <w:p w:rsidR="00813F45" w:rsidRDefault="00813F45" w:rsidP="00AD4B92">
            <w:pPr>
              <w:pStyle w:val="Tabletext"/>
            </w:pPr>
            <w:r>
              <w:t>Peer Mentors</w:t>
            </w:r>
          </w:p>
          <w:p w:rsidR="00813F45" w:rsidRDefault="00813F45" w:rsidP="00AD4B92">
            <w:pPr>
              <w:pStyle w:val="Tabletext"/>
            </w:pPr>
            <w:r>
              <w:t>(Cohen et al. 2020; Ellison et al. 2014)</w:t>
            </w:r>
          </w:p>
        </w:tc>
        <w:tc>
          <w:tcPr>
            <w:tcW w:w="3290" w:type="dxa"/>
          </w:tcPr>
          <w:p w:rsidR="00813F45" w:rsidRDefault="00813F45" w:rsidP="00450960">
            <w:pPr>
              <w:pStyle w:val="Tabletext"/>
            </w:pPr>
            <w:r>
              <w:t xml:space="preserve">Involves pairing of participants with a peer mentor who </w:t>
            </w:r>
            <w:r w:rsidRPr="00413A9E">
              <w:t xml:space="preserve">is someone of similar age </w:t>
            </w:r>
            <w:r w:rsidR="00450960">
              <w:t xml:space="preserve">and who </w:t>
            </w:r>
            <w:r>
              <w:t xml:space="preserve">has </w:t>
            </w:r>
            <w:r w:rsidRPr="00413A9E">
              <w:t xml:space="preserve">overcome obstacles to </w:t>
            </w:r>
            <w:r>
              <w:t>achieve their own career goals.</w:t>
            </w:r>
          </w:p>
        </w:tc>
        <w:tc>
          <w:tcPr>
            <w:tcW w:w="4252" w:type="dxa"/>
          </w:tcPr>
          <w:p w:rsidR="00813F45" w:rsidRDefault="00813F45" w:rsidP="00AD4B92">
            <w:pPr>
              <w:pStyle w:val="Tabletext"/>
            </w:pPr>
            <w:r>
              <w:t xml:space="preserve">The incorporation of peer mentors into the IPS model provides qualitative benefits through enabling </w:t>
            </w:r>
            <w:r w:rsidRPr="00837973">
              <w:t xml:space="preserve">participants </w:t>
            </w:r>
            <w:r>
              <w:t xml:space="preserve">to </w:t>
            </w:r>
            <w:r w:rsidRPr="00837973">
              <w:t xml:space="preserve">feel supported, safe, understood and </w:t>
            </w:r>
            <w:r>
              <w:t>provide</w:t>
            </w:r>
            <w:r w:rsidR="00450960">
              <w:t>s</w:t>
            </w:r>
            <w:r>
              <w:t xml:space="preserve"> a </w:t>
            </w:r>
            <w:r w:rsidRPr="00837973">
              <w:t>positive influence to enable encouragement towards education, employment and their mental health treatment</w:t>
            </w:r>
            <w:r>
              <w:t xml:space="preserve">. </w:t>
            </w:r>
          </w:p>
        </w:tc>
      </w:tr>
      <w:tr w:rsidR="00813F45" w:rsidTr="00450960">
        <w:trPr>
          <w:cantSplit/>
        </w:trPr>
        <w:tc>
          <w:tcPr>
            <w:tcW w:w="2092" w:type="dxa"/>
          </w:tcPr>
          <w:p w:rsidR="00813F45" w:rsidRDefault="00813F45" w:rsidP="00AD4B92">
            <w:pPr>
              <w:pStyle w:val="Tabletext"/>
            </w:pPr>
            <w:r>
              <w:lastRenderedPageBreak/>
              <w:t>Group programs</w:t>
            </w:r>
          </w:p>
          <w:p w:rsidR="00813F45" w:rsidRDefault="00813F45" w:rsidP="00AD4B92">
            <w:pPr>
              <w:pStyle w:val="Tabletext"/>
            </w:pPr>
            <w:r>
              <w:t>(Corrigan 1995; Ellison et al. 2014)</w:t>
            </w:r>
          </w:p>
        </w:tc>
        <w:tc>
          <w:tcPr>
            <w:tcW w:w="3290" w:type="dxa"/>
          </w:tcPr>
          <w:p w:rsidR="00813F45" w:rsidRDefault="00813F45" w:rsidP="00AD4B92">
            <w:pPr>
              <w:pStyle w:val="Tabletext"/>
            </w:pPr>
            <w:r>
              <w:t>Can encompass a variety of aspects in a group setting</w:t>
            </w:r>
            <w:r w:rsidR="000C27CE">
              <w:t>,</w:t>
            </w:r>
            <w:r>
              <w:t xml:space="preserve"> including </w:t>
            </w:r>
            <w:r w:rsidRPr="00FB2A31">
              <w:t>learning, interpersonal skills, information sharing and m</w:t>
            </w:r>
            <w:r>
              <w:t>otivational based communication to improve job readiness.</w:t>
            </w:r>
          </w:p>
        </w:tc>
        <w:tc>
          <w:tcPr>
            <w:tcW w:w="4252" w:type="dxa"/>
          </w:tcPr>
          <w:p w:rsidR="00813F45" w:rsidRDefault="00813F45" w:rsidP="00AD4B92">
            <w:pPr>
              <w:pStyle w:val="Tabletext"/>
            </w:pPr>
            <w:r>
              <w:t>Enabling communication and collaboration within participant peer groups has shown to enhance interpersonal skills, information sharing and improved job-readiness through soft skills, such as searching for employment and completing job interviews.</w:t>
            </w:r>
          </w:p>
        </w:tc>
      </w:tr>
      <w:tr w:rsidR="00813F45" w:rsidRPr="007603C6" w:rsidTr="00AF7CB8">
        <w:tc>
          <w:tcPr>
            <w:tcW w:w="9634" w:type="dxa"/>
            <w:gridSpan w:val="3"/>
            <w:shd w:val="clear" w:color="auto" w:fill="0091DA" w:themeFill="accent1"/>
          </w:tcPr>
          <w:p w:rsidR="00813F45" w:rsidRPr="007603C6" w:rsidRDefault="00813F45" w:rsidP="00AD4B92">
            <w:pPr>
              <w:pStyle w:val="Tableheadingcentred"/>
            </w:pPr>
            <w:r w:rsidRPr="007603C6">
              <w:t>Education</w:t>
            </w:r>
          </w:p>
        </w:tc>
      </w:tr>
      <w:tr w:rsidR="00813F45" w:rsidTr="00AF7CB8">
        <w:tc>
          <w:tcPr>
            <w:tcW w:w="2092" w:type="dxa"/>
          </w:tcPr>
          <w:p w:rsidR="00813F45" w:rsidRDefault="00813F45" w:rsidP="00AD4B92">
            <w:pPr>
              <w:pStyle w:val="Tabletext"/>
            </w:pPr>
            <w:r>
              <w:t>Supported Education</w:t>
            </w:r>
          </w:p>
          <w:p w:rsidR="00813F45" w:rsidRDefault="00813F45" w:rsidP="00AD4B92">
            <w:pPr>
              <w:pStyle w:val="Tabletext"/>
            </w:pPr>
            <w:r>
              <w:t xml:space="preserve">(Becker et al. n.d.; Cohen et al. 2020; Ellison et al. 2014; Rapp &amp; </w:t>
            </w:r>
            <w:proofErr w:type="spellStart"/>
            <w:r>
              <w:t>Goscha</w:t>
            </w:r>
            <w:proofErr w:type="spellEnd"/>
            <w:r>
              <w:t xml:space="preserve"> 2011; Waghorn et al. 2007)</w:t>
            </w:r>
          </w:p>
        </w:tc>
        <w:tc>
          <w:tcPr>
            <w:tcW w:w="3290" w:type="dxa"/>
          </w:tcPr>
          <w:p w:rsidR="00813F45" w:rsidRDefault="00813F45" w:rsidP="00AD4B92">
            <w:pPr>
              <w:pStyle w:val="Tabletext"/>
            </w:pPr>
            <w:r>
              <w:t>Underpinned by the same principles as IPS with a focus on supporting people into education.</w:t>
            </w:r>
          </w:p>
        </w:tc>
        <w:tc>
          <w:tcPr>
            <w:tcW w:w="4252" w:type="dxa"/>
          </w:tcPr>
          <w:p w:rsidR="00813F45" w:rsidRDefault="00813F45" w:rsidP="00DF2E97">
            <w:pPr>
              <w:pStyle w:val="Tabletext"/>
            </w:pPr>
            <w:r>
              <w:t xml:space="preserve">15 of </w:t>
            </w:r>
            <w:r w:rsidRPr="006A444D">
              <w:t xml:space="preserve">22 participants </w:t>
            </w:r>
            <w:r>
              <w:t>(68 per</w:t>
            </w:r>
            <w:r w:rsidR="00BA3B14">
              <w:t xml:space="preserve"> </w:t>
            </w:r>
            <w:r>
              <w:t xml:space="preserve">cent) in </w:t>
            </w:r>
            <w:r w:rsidR="00DF2E97">
              <w:t xml:space="preserve">a </w:t>
            </w:r>
            <w:r>
              <w:t>combined employment and education</w:t>
            </w:r>
            <w:r w:rsidR="00DF2E97">
              <w:t xml:space="preserve"> program</w:t>
            </w:r>
            <w:r>
              <w:t xml:space="preserve"> en</w:t>
            </w:r>
            <w:r w:rsidR="000C27CE">
              <w:t xml:space="preserve">rolled into education over a </w:t>
            </w:r>
            <w:proofErr w:type="gramStart"/>
            <w:r w:rsidR="000C27CE">
              <w:t>12 </w:t>
            </w:r>
            <w:r>
              <w:t>month</w:t>
            </w:r>
            <w:proofErr w:type="gramEnd"/>
            <w:r>
              <w:t xml:space="preserve"> period, with </w:t>
            </w:r>
            <w:r w:rsidR="000C27CE">
              <w:t>six</w:t>
            </w:r>
            <w:r w:rsidR="000C27CE" w:rsidRPr="006A444D">
              <w:t xml:space="preserve"> </w:t>
            </w:r>
            <w:r w:rsidRPr="006A444D">
              <w:t>completing their education</w:t>
            </w:r>
            <w:r>
              <w:t>.</w:t>
            </w:r>
          </w:p>
        </w:tc>
      </w:tr>
    </w:tbl>
    <w:p w:rsidR="00813F45" w:rsidRDefault="00813F45" w:rsidP="00AD4B92">
      <w:pPr>
        <w:pStyle w:val="source"/>
      </w:pPr>
      <w:r>
        <w:t>Source: KPMG</w:t>
      </w:r>
    </w:p>
    <w:p w:rsidR="00813F45" w:rsidRDefault="00813F45" w:rsidP="00813F45">
      <w:pPr>
        <w:pStyle w:val="BodyText"/>
      </w:pPr>
      <w:r>
        <w:t>The evidence to support the effectiveness of these a</w:t>
      </w:r>
      <w:r w:rsidR="00330B93">
        <w:t>daptations is somewhat limited</w:t>
      </w:r>
      <w:r w:rsidR="000C27CE">
        <w:t>,</w:t>
      </w:r>
      <w:r w:rsidR="00330B93">
        <w:t xml:space="preserve"> and there is a lack of clarity from </w:t>
      </w:r>
      <w:r>
        <w:t xml:space="preserve">the available evidence as to whether these </w:t>
      </w:r>
      <w:r w:rsidR="00450960">
        <w:t>adaptations</w:t>
      </w:r>
      <w:r>
        <w:t xml:space="preserve"> are suitable for all cohorts of participants, </w:t>
      </w:r>
      <w:proofErr w:type="gramStart"/>
      <w:r>
        <w:t>in particular for</w:t>
      </w:r>
      <w:proofErr w:type="gramEnd"/>
      <w:r>
        <w:t xml:space="preserve"> the IPS Trial</w:t>
      </w:r>
      <w:r w:rsidR="000C27CE">
        <w:t xml:space="preserve"> and</w:t>
      </w:r>
      <w:r>
        <w:t xml:space="preserve"> young people with mild to moderate mental illness. </w:t>
      </w:r>
      <w:r w:rsidR="00330B93">
        <w:t xml:space="preserve">The model adjustments that have shown the most success to date include supported education, cognitive </w:t>
      </w:r>
      <w:r w:rsidR="00BC34A9">
        <w:t>adaptations</w:t>
      </w:r>
      <w:r w:rsidR="00330B93">
        <w:t xml:space="preserve"> and integrated supported employment. </w:t>
      </w:r>
    </w:p>
    <w:p w:rsidR="00813F45" w:rsidRDefault="00C97CA4" w:rsidP="00813F45">
      <w:pPr>
        <w:pStyle w:val="BodyText"/>
      </w:pPr>
      <w:r>
        <w:t>T</w:t>
      </w:r>
      <w:r w:rsidR="00943378">
        <w:t xml:space="preserve">he literature review cannot make specific recommendations </w:t>
      </w:r>
      <w:r>
        <w:t xml:space="preserve">for the IPS Trial </w:t>
      </w:r>
      <w:r w:rsidR="00943378">
        <w:t>given the limited research available</w:t>
      </w:r>
      <w:r w:rsidR="00BC34A9">
        <w:t xml:space="preserve"> (small numbers of studies with small numbers of participants)</w:t>
      </w:r>
      <w:r>
        <w:t>. When considering which adaptations could be introduced into the IPS Trial</w:t>
      </w:r>
      <w:r w:rsidR="000C27CE">
        <w:t>,</w:t>
      </w:r>
      <w:r>
        <w:t xml:space="preserve"> </w:t>
      </w:r>
      <w:r w:rsidR="00813F45">
        <w:t xml:space="preserve">those adaptations that </w:t>
      </w:r>
      <w:r w:rsidR="007633F5">
        <w:t xml:space="preserve">address a need in the Trial cohort, such as </w:t>
      </w:r>
      <w:r w:rsidR="00813F45">
        <w:t>workplace skills and interpersonal skills</w:t>
      </w:r>
      <w:r w:rsidR="007633F5">
        <w:t>,</w:t>
      </w:r>
      <w:r w:rsidR="00813F45">
        <w:t xml:space="preserve"> </w:t>
      </w:r>
      <w:r>
        <w:t>may</w:t>
      </w:r>
      <w:r w:rsidR="00813F45">
        <w:t xml:space="preserve"> be a valuable addition to the Trial given that many young people in the Trial have limited previous work experience. </w:t>
      </w:r>
    </w:p>
    <w:p w:rsidR="00370A0B" w:rsidRDefault="00370A0B" w:rsidP="00370A0B">
      <w:pPr>
        <w:pStyle w:val="BodyText"/>
      </w:pPr>
      <w:r>
        <w:t>The use of a specific supported education model and education specialists, which has shown some success to date (particularly in combination with other adaptations)</w:t>
      </w:r>
      <w:r w:rsidR="000C27CE">
        <w:t>,</w:t>
      </w:r>
      <w:r>
        <w:t xml:space="preserve"> </w:t>
      </w:r>
      <w:r w:rsidR="00C97CA4">
        <w:t>may</w:t>
      </w:r>
      <w:r>
        <w:t xml:space="preserve"> be beneficial </w:t>
      </w:r>
      <w:r w:rsidR="000C27CE">
        <w:t xml:space="preserve">to </w:t>
      </w:r>
      <w:r>
        <w:t>implement within the education focus of the IPS Trial.</w:t>
      </w:r>
    </w:p>
    <w:p w:rsidR="00923F69" w:rsidRDefault="00923F69" w:rsidP="005A7907">
      <w:pPr>
        <w:pStyle w:val="HeadingLevel2NoNumber"/>
      </w:pPr>
      <w:r>
        <w:t>What are the considerations in the transferability and scalability of the IPS model?</w:t>
      </w:r>
    </w:p>
    <w:p w:rsidR="000C28B8" w:rsidRDefault="00943378" w:rsidP="000C28B8">
      <w:pPr>
        <w:pStyle w:val="BodyText"/>
      </w:pPr>
      <w:r>
        <w:t xml:space="preserve">The literature review was not able to identify </w:t>
      </w:r>
      <w:proofErr w:type="gramStart"/>
      <w:r>
        <w:t xml:space="preserve">particular </w:t>
      </w:r>
      <w:r w:rsidRPr="00DE66D5">
        <w:t>considerations</w:t>
      </w:r>
      <w:proofErr w:type="gramEnd"/>
      <w:r w:rsidRPr="00DE66D5">
        <w:t xml:space="preserve"> in the transferability and scalability of the IPS model</w:t>
      </w:r>
      <w:r>
        <w:t xml:space="preserve"> with limited evidence available on the</w:t>
      </w:r>
      <w:r w:rsidRPr="00DE66D5">
        <w:t xml:space="preserve"> differences in outcomes for different cohort groups or those in different locations</w:t>
      </w:r>
      <w:r>
        <w:t xml:space="preserve">. </w:t>
      </w:r>
      <w:r w:rsidR="00B119E5">
        <w:t xml:space="preserve">However, for some cohort groups, </w:t>
      </w:r>
      <w:proofErr w:type="gramStart"/>
      <w:r w:rsidR="00B119E5">
        <w:t>particular adaptations</w:t>
      </w:r>
      <w:proofErr w:type="gramEnd"/>
      <w:r w:rsidR="00B119E5">
        <w:t xml:space="preserve"> were found </w:t>
      </w:r>
      <w:r w:rsidR="007A0825">
        <w:t xml:space="preserve">to </w:t>
      </w:r>
      <w:r w:rsidR="00B119E5">
        <w:t xml:space="preserve">be effective </w:t>
      </w:r>
      <w:r w:rsidR="007A0825">
        <w:t xml:space="preserve">in </w:t>
      </w:r>
      <w:r w:rsidR="00B119E5">
        <w:t>improving outcomes of participants</w:t>
      </w:r>
      <w:r w:rsidR="000C27CE">
        <w:t>,</w:t>
      </w:r>
      <w:r w:rsidR="00B119E5">
        <w:t xml:space="preserve"> </w:t>
      </w:r>
      <w:r w:rsidR="000C27CE">
        <w:t>f</w:t>
      </w:r>
      <w:r w:rsidR="003C4E2C">
        <w:t>or example, the use of technology to break down access barriers and provide additional forms of assistance</w:t>
      </w:r>
      <w:r w:rsidR="00BC34A9">
        <w:t xml:space="preserve"> and the use of peer mentors, skills training and supported education models. </w:t>
      </w:r>
    </w:p>
    <w:p w:rsidR="007A0825" w:rsidRPr="003C4E2C" w:rsidRDefault="007A0825" w:rsidP="007A0825">
      <w:pPr>
        <w:pStyle w:val="BodyText"/>
      </w:pPr>
      <w:r>
        <w:t xml:space="preserve">There is limited evidence to suggest that the age of a participant impacts on the likelihood of achieving employment, with </w:t>
      </w:r>
      <w:r w:rsidR="000C27CE">
        <w:t xml:space="preserve">only </w:t>
      </w:r>
      <w:r>
        <w:t>one study suggesting that young people had better job prospects than older participants (</w:t>
      </w:r>
      <w:r w:rsidRPr="0049162F">
        <w:t>Ferguson et al. 2011</w:t>
      </w:r>
      <w:r>
        <w:t xml:space="preserve">). Young people experiencing homelessness (or at risk of) often have high rates of unemployment and face significant barriers to education and employment. </w:t>
      </w:r>
      <w:r>
        <w:rPr>
          <w:rFonts w:asciiTheme="majorHAnsi" w:eastAsiaTheme="majorEastAsia" w:hAnsiTheme="majorHAnsi" w:cstheme="majorBidi"/>
        </w:rPr>
        <w:t xml:space="preserve">The IPS model has been found to be successful for young people experiencing homelessness </w:t>
      </w:r>
      <w:r>
        <w:t>(</w:t>
      </w:r>
      <w:r w:rsidRPr="3A1AB910">
        <w:rPr>
          <w:rFonts w:asciiTheme="majorHAnsi" w:eastAsiaTheme="majorEastAsia" w:hAnsiTheme="majorHAnsi" w:cstheme="majorBidi"/>
        </w:rPr>
        <w:t>Ferguson et al. 2011</w:t>
      </w:r>
      <w:r>
        <w:rPr>
          <w:rFonts w:asciiTheme="majorHAnsi" w:eastAsiaTheme="majorEastAsia" w:hAnsiTheme="majorHAnsi" w:cstheme="majorBidi"/>
        </w:rPr>
        <w:t>).</w:t>
      </w:r>
    </w:p>
    <w:p w:rsidR="007634C5" w:rsidRDefault="007A0825" w:rsidP="006176A1">
      <w:pPr>
        <w:pStyle w:val="BodyText"/>
      </w:pPr>
      <w:r>
        <w:t xml:space="preserve">Remoteness was found not to impact on the effectiveness of IPS, however, the research is limited to the United States which has a different population distribution to Australia. </w:t>
      </w:r>
      <w:r w:rsidR="00630989">
        <w:t>It is unknown how</w:t>
      </w:r>
      <w:r>
        <w:t xml:space="preserve"> applicable to Australia </w:t>
      </w:r>
      <w:r w:rsidR="00630989">
        <w:t>these finding</w:t>
      </w:r>
      <w:r w:rsidR="00BC34A9">
        <w:t>s</w:t>
      </w:r>
      <w:r w:rsidR="00630989">
        <w:t xml:space="preserve"> may be</w:t>
      </w:r>
      <w:r w:rsidR="003C4E2C">
        <w:t xml:space="preserve">. </w:t>
      </w:r>
    </w:p>
    <w:p w:rsidR="00F909D7" w:rsidRPr="00BA4108" w:rsidRDefault="00F909D7" w:rsidP="006176A1">
      <w:pPr>
        <w:pStyle w:val="BodyText"/>
        <w:sectPr w:rsidR="00F909D7" w:rsidRPr="00BA4108" w:rsidSect="005469A3">
          <w:pgSz w:w="11906" w:h="16838"/>
          <w:pgMar w:top="1418" w:right="1418" w:bottom="1418" w:left="1418" w:header="709" w:footer="454" w:gutter="0"/>
          <w:pgNumType w:fmt="lowerRoman"/>
          <w:cols w:space="708"/>
          <w:docGrid w:linePitch="360"/>
        </w:sectPr>
      </w:pPr>
    </w:p>
    <w:p w:rsidR="009633A2" w:rsidRPr="00926C88" w:rsidRDefault="007634C5" w:rsidP="00437799">
      <w:pPr>
        <w:pStyle w:val="HeadingLevel3NoNumber"/>
      </w:pPr>
      <w:r w:rsidRPr="00926C88">
        <w:lastRenderedPageBreak/>
        <w:t>Contents</w:t>
      </w:r>
    </w:p>
    <w:p w:rsidR="00846012" w:rsidRDefault="00AD4B92">
      <w:pPr>
        <w:pStyle w:val="TOC1"/>
        <w:rPr>
          <w:rFonts w:asciiTheme="minorHAnsi" w:eastAsiaTheme="minorEastAsia" w:hAnsiTheme="minorHAnsi"/>
          <w:sz w:val="22"/>
          <w:lang w:eastAsia="en-AU"/>
        </w:rPr>
      </w:pPr>
      <w:r>
        <w:rPr>
          <w:rFonts w:asciiTheme="minorHAnsi" w:hAnsiTheme="minorHAnsi"/>
        </w:rPr>
        <w:fldChar w:fldCharType="begin"/>
      </w:r>
      <w:r>
        <w:rPr>
          <w:rFonts w:asciiTheme="minorHAnsi" w:hAnsiTheme="minorHAnsi"/>
        </w:rPr>
        <w:instrText xml:space="preserve"> TOC \o "1-1" \h \z \t "Heading 2,2" </w:instrText>
      </w:r>
      <w:r>
        <w:rPr>
          <w:rFonts w:asciiTheme="minorHAnsi" w:hAnsiTheme="minorHAnsi"/>
        </w:rPr>
        <w:fldChar w:fldCharType="separate"/>
      </w:r>
      <w:hyperlink w:anchor="_Toc46398176" w:history="1">
        <w:r w:rsidR="00846012" w:rsidRPr="000144BC">
          <w:rPr>
            <w:rStyle w:val="Hyperlink"/>
          </w:rPr>
          <w:t>Main Messages</w:t>
        </w:r>
        <w:r w:rsidR="00846012">
          <w:rPr>
            <w:webHidden/>
          </w:rPr>
          <w:tab/>
        </w:r>
        <w:r w:rsidR="00846012">
          <w:rPr>
            <w:webHidden/>
          </w:rPr>
          <w:fldChar w:fldCharType="begin"/>
        </w:r>
        <w:r w:rsidR="00846012">
          <w:rPr>
            <w:webHidden/>
          </w:rPr>
          <w:instrText xml:space="preserve"> PAGEREF _Toc46398176 \h </w:instrText>
        </w:r>
        <w:r w:rsidR="00846012">
          <w:rPr>
            <w:webHidden/>
          </w:rPr>
        </w:r>
        <w:r w:rsidR="00846012">
          <w:rPr>
            <w:webHidden/>
          </w:rPr>
          <w:fldChar w:fldCharType="separate"/>
        </w:r>
        <w:r w:rsidR="00846012">
          <w:rPr>
            <w:webHidden/>
          </w:rPr>
          <w:t>ii</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77" w:history="1">
        <w:r w:rsidR="00846012" w:rsidRPr="000144BC">
          <w:rPr>
            <w:rStyle w:val="Hyperlink"/>
          </w:rPr>
          <w:t>Executive summary</w:t>
        </w:r>
        <w:r w:rsidR="00846012">
          <w:rPr>
            <w:webHidden/>
          </w:rPr>
          <w:tab/>
        </w:r>
        <w:r w:rsidR="00846012">
          <w:rPr>
            <w:webHidden/>
          </w:rPr>
          <w:fldChar w:fldCharType="begin"/>
        </w:r>
        <w:r w:rsidR="00846012">
          <w:rPr>
            <w:webHidden/>
          </w:rPr>
          <w:instrText xml:space="preserve"> PAGEREF _Toc46398177 \h </w:instrText>
        </w:r>
        <w:r w:rsidR="00846012">
          <w:rPr>
            <w:webHidden/>
          </w:rPr>
        </w:r>
        <w:r w:rsidR="00846012">
          <w:rPr>
            <w:webHidden/>
          </w:rPr>
          <w:fldChar w:fldCharType="separate"/>
        </w:r>
        <w:r w:rsidR="00846012">
          <w:rPr>
            <w:webHidden/>
          </w:rPr>
          <w:t>iii</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78" w:history="1">
        <w:r w:rsidR="00846012" w:rsidRPr="000144BC">
          <w:rPr>
            <w:rStyle w:val="Hyperlink"/>
          </w:rPr>
          <w:t>Glossary of terms</w:t>
        </w:r>
        <w:r w:rsidR="00846012">
          <w:rPr>
            <w:webHidden/>
          </w:rPr>
          <w:tab/>
        </w:r>
        <w:r w:rsidR="00846012">
          <w:rPr>
            <w:webHidden/>
          </w:rPr>
          <w:fldChar w:fldCharType="begin"/>
        </w:r>
        <w:r w:rsidR="00846012">
          <w:rPr>
            <w:webHidden/>
          </w:rPr>
          <w:instrText xml:space="preserve"> PAGEREF _Toc46398178 \h </w:instrText>
        </w:r>
        <w:r w:rsidR="00846012">
          <w:rPr>
            <w:webHidden/>
          </w:rPr>
        </w:r>
        <w:r w:rsidR="00846012">
          <w:rPr>
            <w:webHidden/>
          </w:rPr>
          <w:fldChar w:fldCharType="separate"/>
        </w:r>
        <w:r w:rsidR="00846012">
          <w:rPr>
            <w:webHidden/>
          </w:rPr>
          <w:t>1</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79" w:history="1">
        <w:r w:rsidR="00846012" w:rsidRPr="000144BC">
          <w:rPr>
            <w:rStyle w:val="Hyperlink"/>
          </w:rPr>
          <w:t>1</w:t>
        </w:r>
        <w:r w:rsidR="00846012">
          <w:rPr>
            <w:rFonts w:asciiTheme="minorHAnsi" w:eastAsiaTheme="minorEastAsia" w:hAnsiTheme="minorHAnsi"/>
            <w:sz w:val="22"/>
            <w:lang w:eastAsia="en-AU"/>
          </w:rPr>
          <w:tab/>
        </w:r>
        <w:r w:rsidR="00846012" w:rsidRPr="000144BC">
          <w:rPr>
            <w:rStyle w:val="Hyperlink"/>
          </w:rPr>
          <w:t>Introduction</w:t>
        </w:r>
        <w:r w:rsidR="00846012">
          <w:rPr>
            <w:webHidden/>
          </w:rPr>
          <w:tab/>
        </w:r>
        <w:r w:rsidR="00846012">
          <w:rPr>
            <w:webHidden/>
          </w:rPr>
          <w:fldChar w:fldCharType="begin"/>
        </w:r>
        <w:r w:rsidR="00846012">
          <w:rPr>
            <w:webHidden/>
          </w:rPr>
          <w:instrText xml:space="preserve"> PAGEREF _Toc46398179 \h </w:instrText>
        </w:r>
        <w:r w:rsidR="00846012">
          <w:rPr>
            <w:webHidden/>
          </w:rPr>
        </w:r>
        <w:r w:rsidR="00846012">
          <w:rPr>
            <w:webHidden/>
          </w:rPr>
          <w:fldChar w:fldCharType="separate"/>
        </w:r>
        <w:r w:rsidR="00846012">
          <w:rPr>
            <w:webHidden/>
          </w:rPr>
          <w:t>2</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0" w:history="1">
        <w:r w:rsidR="00846012" w:rsidRPr="000144BC">
          <w:rPr>
            <w:rStyle w:val="Hyperlink"/>
          </w:rPr>
          <w:t>1.1</w:t>
        </w:r>
        <w:r w:rsidR="00846012">
          <w:rPr>
            <w:rFonts w:asciiTheme="minorHAnsi" w:eastAsiaTheme="minorEastAsia" w:hAnsiTheme="minorHAnsi"/>
            <w:sz w:val="22"/>
            <w:lang w:eastAsia="en-AU"/>
          </w:rPr>
          <w:tab/>
        </w:r>
        <w:r w:rsidR="00846012" w:rsidRPr="000144BC">
          <w:rPr>
            <w:rStyle w:val="Hyperlink"/>
          </w:rPr>
          <w:t>Purpose</w:t>
        </w:r>
        <w:r w:rsidR="00846012">
          <w:rPr>
            <w:webHidden/>
          </w:rPr>
          <w:tab/>
        </w:r>
        <w:r w:rsidR="00846012">
          <w:rPr>
            <w:webHidden/>
          </w:rPr>
          <w:fldChar w:fldCharType="begin"/>
        </w:r>
        <w:r w:rsidR="00846012">
          <w:rPr>
            <w:webHidden/>
          </w:rPr>
          <w:instrText xml:space="preserve"> PAGEREF _Toc46398180 \h </w:instrText>
        </w:r>
        <w:r w:rsidR="00846012">
          <w:rPr>
            <w:webHidden/>
          </w:rPr>
        </w:r>
        <w:r w:rsidR="00846012">
          <w:rPr>
            <w:webHidden/>
          </w:rPr>
          <w:fldChar w:fldCharType="separate"/>
        </w:r>
        <w:r w:rsidR="00846012">
          <w:rPr>
            <w:webHidden/>
          </w:rPr>
          <w:t>2</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1" w:history="1">
        <w:r w:rsidR="00846012" w:rsidRPr="000144BC">
          <w:rPr>
            <w:rStyle w:val="Hyperlink"/>
          </w:rPr>
          <w:t>1.2</w:t>
        </w:r>
        <w:r w:rsidR="00846012">
          <w:rPr>
            <w:rFonts w:asciiTheme="minorHAnsi" w:eastAsiaTheme="minorEastAsia" w:hAnsiTheme="minorHAnsi"/>
            <w:sz w:val="22"/>
            <w:lang w:eastAsia="en-AU"/>
          </w:rPr>
          <w:tab/>
        </w:r>
        <w:r w:rsidR="00846012" w:rsidRPr="000144BC">
          <w:rPr>
            <w:rStyle w:val="Hyperlink"/>
          </w:rPr>
          <w:t>The IPS model</w:t>
        </w:r>
        <w:r w:rsidR="00846012">
          <w:rPr>
            <w:webHidden/>
          </w:rPr>
          <w:tab/>
        </w:r>
        <w:r w:rsidR="00846012">
          <w:rPr>
            <w:webHidden/>
          </w:rPr>
          <w:fldChar w:fldCharType="begin"/>
        </w:r>
        <w:r w:rsidR="00846012">
          <w:rPr>
            <w:webHidden/>
          </w:rPr>
          <w:instrText xml:space="preserve"> PAGEREF _Toc46398181 \h </w:instrText>
        </w:r>
        <w:r w:rsidR="00846012">
          <w:rPr>
            <w:webHidden/>
          </w:rPr>
        </w:r>
        <w:r w:rsidR="00846012">
          <w:rPr>
            <w:webHidden/>
          </w:rPr>
          <w:fldChar w:fldCharType="separate"/>
        </w:r>
        <w:r w:rsidR="00846012">
          <w:rPr>
            <w:webHidden/>
          </w:rPr>
          <w:t>2</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2" w:history="1">
        <w:r w:rsidR="00846012" w:rsidRPr="000144BC">
          <w:rPr>
            <w:rStyle w:val="Hyperlink"/>
          </w:rPr>
          <w:t>1.3</w:t>
        </w:r>
        <w:r w:rsidR="00846012">
          <w:rPr>
            <w:rFonts w:asciiTheme="minorHAnsi" w:eastAsiaTheme="minorEastAsia" w:hAnsiTheme="minorHAnsi"/>
            <w:sz w:val="22"/>
            <w:lang w:eastAsia="en-AU"/>
          </w:rPr>
          <w:tab/>
        </w:r>
        <w:r w:rsidR="00846012" w:rsidRPr="000144BC">
          <w:rPr>
            <w:rStyle w:val="Hyperlink"/>
          </w:rPr>
          <w:t>Overview of the IPS Trial</w:t>
        </w:r>
        <w:r w:rsidR="00846012">
          <w:rPr>
            <w:webHidden/>
          </w:rPr>
          <w:tab/>
        </w:r>
        <w:r w:rsidR="00846012">
          <w:rPr>
            <w:webHidden/>
          </w:rPr>
          <w:fldChar w:fldCharType="begin"/>
        </w:r>
        <w:r w:rsidR="00846012">
          <w:rPr>
            <w:webHidden/>
          </w:rPr>
          <w:instrText xml:space="preserve"> PAGEREF _Toc46398182 \h </w:instrText>
        </w:r>
        <w:r w:rsidR="00846012">
          <w:rPr>
            <w:webHidden/>
          </w:rPr>
        </w:r>
        <w:r w:rsidR="00846012">
          <w:rPr>
            <w:webHidden/>
          </w:rPr>
          <w:fldChar w:fldCharType="separate"/>
        </w:r>
        <w:r w:rsidR="00846012">
          <w:rPr>
            <w:webHidden/>
          </w:rPr>
          <w:t>4</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83" w:history="1">
        <w:r w:rsidR="00846012" w:rsidRPr="000144BC">
          <w:rPr>
            <w:rStyle w:val="Hyperlink"/>
          </w:rPr>
          <w:t>2</w:t>
        </w:r>
        <w:r w:rsidR="00846012">
          <w:rPr>
            <w:rFonts w:asciiTheme="minorHAnsi" w:eastAsiaTheme="minorEastAsia" w:hAnsiTheme="minorHAnsi"/>
            <w:sz w:val="22"/>
            <w:lang w:eastAsia="en-AU"/>
          </w:rPr>
          <w:tab/>
        </w:r>
        <w:r w:rsidR="00846012" w:rsidRPr="000144BC">
          <w:rPr>
            <w:rStyle w:val="Hyperlink"/>
          </w:rPr>
          <w:t>Method</w:t>
        </w:r>
        <w:r w:rsidR="00846012">
          <w:rPr>
            <w:webHidden/>
          </w:rPr>
          <w:tab/>
        </w:r>
        <w:r w:rsidR="00846012">
          <w:rPr>
            <w:webHidden/>
          </w:rPr>
          <w:fldChar w:fldCharType="begin"/>
        </w:r>
        <w:r w:rsidR="00846012">
          <w:rPr>
            <w:webHidden/>
          </w:rPr>
          <w:instrText xml:space="preserve"> PAGEREF _Toc46398183 \h </w:instrText>
        </w:r>
        <w:r w:rsidR="00846012">
          <w:rPr>
            <w:webHidden/>
          </w:rPr>
        </w:r>
        <w:r w:rsidR="00846012">
          <w:rPr>
            <w:webHidden/>
          </w:rPr>
          <w:fldChar w:fldCharType="separate"/>
        </w:r>
        <w:r w:rsidR="00846012">
          <w:rPr>
            <w:webHidden/>
          </w:rPr>
          <w:t>5</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4" w:history="1">
        <w:r w:rsidR="00846012" w:rsidRPr="000144BC">
          <w:rPr>
            <w:rStyle w:val="Hyperlink"/>
          </w:rPr>
          <w:t>2.1</w:t>
        </w:r>
        <w:r w:rsidR="00846012">
          <w:rPr>
            <w:rFonts w:asciiTheme="minorHAnsi" w:eastAsiaTheme="minorEastAsia" w:hAnsiTheme="minorHAnsi"/>
            <w:sz w:val="22"/>
            <w:lang w:eastAsia="en-AU"/>
          </w:rPr>
          <w:tab/>
        </w:r>
        <w:r w:rsidR="00846012" w:rsidRPr="000144BC">
          <w:rPr>
            <w:rStyle w:val="Hyperlink"/>
          </w:rPr>
          <w:t>Scope of research</w:t>
        </w:r>
        <w:r w:rsidR="00846012">
          <w:rPr>
            <w:webHidden/>
          </w:rPr>
          <w:tab/>
        </w:r>
        <w:r w:rsidR="00846012">
          <w:rPr>
            <w:webHidden/>
          </w:rPr>
          <w:fldChar w:fldCharType="begin"/>
        </w:r>
        <w:r w:rsidR="00846012">
          <w:rPr>
            <w:webHidden/>
          </w:rPr>
          <w:instrText xml:space="preserve"> PAGEREF _Toc46398184 \h </w:instrText>
        </w:r>
        <w:r w:rsidR="00846012">
          <w:rPr>
            <w:webHidden/>
          </w:rPr>
        </w:r>
        <w:r w:rsidR="00846012">
          <w:rPr>
            <w:webHidden/>
          </w:rPr>
          <w:fldChar w:fldCharType="separate"/>
        </w:r>
        <w:r w:rsidR="00846012">
          <w:rPr>
            <w:webHidden/>
          </w:rPr>
          <w:t>5</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5" w:history="1">
        <w:r w:rsidR="00846012" w:rsidRPr="000144BC">
          <w:rPr>
            <w:rStyle w:val="Hyperlink"/>
          </w:rPr>
          <w:t>2.2</w:t>
        </w:r>
        <w:r w:rsidR="00846012">
          <w:rPr>
            <w:rFonts w:asciiTheme="minorHAnsi" w:eastAsiaTheme="minorEastAsia" w:hAnsiTheme="minorHAnsi"/>
            <w:sz w:val="22"/>
            <w:lang w:eastAsia="en-AU"/>
          </w:rPr>
          <w:tab/>
        </w:r>
        <w:r w:rsidR="00846012" w:rsidRPr="000144BC">
          <w:rPr>
            <w:rStyle w:val="Hyperlink"/>
          </w:rPr>
          <w:t>Research methods</w:t>
        </w:r>
        <w:r w:rsidR="00846012">
          <w:rPr>
            <w:webHidden/>
          </w:rPr>
          <w:tab/>
        </w:r>
        <w:r w:rsidR="00846012">
          <w:rPr>
            <w:webHidden/>
          </w:rPr>
          <w:fldChar w:fldCharType="begin"/>
        </w:r>
        <w:r w:rsidR="00846012">
          <w:rPr>
            <w:webHidden/>
          </w:rPr>
          <w:instrText xml:space="preserve"> PAGEREF _Toc46398185 \h </w:instrText>
        </w:r>
        <w:r w:rsidR="00846012">
          <w:rPr>
            <w:webHidden/>
          </w:rPr>
        </w:r>
        <w:r w:rsidR="00846012">
          <w:rPr>
            <w:webHidden/>
          </w:rPr>
          <w:fldChar w:fldCharType="separate"/>
        </w:r>
        <w:r w:rsidR="00846012">
          <w:rPr>
            <w:webHidden/>
          </w:rPr>
          <w:t>5</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6" w:history="1">
        <w:r w:rsidR="00846012" w:rsidRPr="000144BC">
          <w:rPr>
            <w:rStyle w:val="Hyperlink"/>
          </w:rPr>
          <w:t>2.3</w:t>
        </w:r>
        <w:r w:rsidR="00846012">
          <w:rPr>
            <w:rFonts w:asciiTheme="minorHAnsi" w:eastAsiaTheme="minorEastAsia" w:hAnsiTheme="minorHAnsi"/>
            <w:sz w:val="22"/>
            <w:lang w:eastAsia="en-AU"/>
          </w:rPr>
          <w:tab/>
        </w:r>
        <w:r w:rsidR="00846012" w:rsidRPr="000144BC">
          <w:rPr>
            <w:rStyle w:val="Hyperlink"/>
          </w:rPr>
          <w:t>Limitations and challenges</w:t>
        </w:r>
        <w:r w:rsidR="00846012">
          <w:rPr>
            <w:webHidden/>
          </w:rPr>
          <w:tab/>
        </w:r>
        <w:r w:rsidR="00846012">
          <w:rPr>
            <w:webHidden/>
          </w:rPr>
          <w:fldChar w:fldCharType="begin"/>
        </w:r>
        <w:r w:rsidR="00846012">
          <w:rPr>
            <w:webHidden/>
          </w:rPr>
          <w:instrText xml:space="preserve"> PAGEREF _Toc46398186 \h </w:instrText>
        </w:r>
        <w:r w:rsidR="00846012">
          <w:rPr>
            <w:webHidden/>
          </w:rPr>
        </w:r>
        <w:r w:rsidR="00846012">
          <w:rPr>
            <w:webHidden/>
          </w:rPr>
          <w:fldChar w:fldCharType="separate"/>
        </w:r>
        <w:r w:rsidR="00846012">
          <w:rPr>
            <w:webHidden/>
          </w:rPr>
          <w:t>5</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87" w:history="1">
        <w:r w:rsidR="00846012" w:rsidRPr="000144BC">
          <w:rPr>
            <w:rStyle w:val="Hyperlink"/>
          </w:rPr>
          <w:t>3</w:t>
        </w:r>
        <w:r w:rsidR="00846012">
          <w:rPr>
            <w:rFonts w:asciiTheme="minorHAnsi" w:eastAsiaTheme="minorEastAsia" w:hAnsiTheme="minorHAnsi"/>
            <w:sz w:val="22"/>
            <w:lang w:eastAsia="en-AU"/>
          </w:rPr>
          <w:tab/>
        </w:r>
        <w:r w:rsidR="00846012" w:rsidRPr="000144BC">
          <w:rPr>
            <w:rStyle w:val="Hyperlink"/>
          </w:rPr>
          <w:t>Key findings</w:t>
        </w:r>
        <w:r w:rsidR="00846012">
          <w:rPr>
            <w:webHidden/>
          </w:rPr>
          <w:tab/>
        </w:r>
        <w:r w:rsidR="00846012">
          <w:rPr>
            <w:webHidden/>
          </w:rPr>
          <w:fldChar w:fldCharType="begin"/>
        </w:r>
        <w:r w:rsidR="00846012">
          <w:rPr>
            <w:webHidden/>
          </w:rPr>
          <w:instrText xml:space="preserve"> PAGEREF _Toc46398187 \h </w:instrText>
        </w:r>
        <w:r w:rsidR="00846012">
          <w:rPr>
            <w:webHidden/>
          </w:rPr>
        </w:r>
        <w:r w:rsidR="00846012">
          <w:rPr>
            <w:webHidden/>
          </w:rPr>
          <w:fldChar w:fldCharType="separate"/>
        </w:r>
        <w:r w:rsidR="00846012">
          <w:rPr>
            <w:webHidden/>
          </w:rPr>
          <w:t>6</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8" w:history="1">
        <w:r w:rsidR="00846012" w:rsidRPr="000144BC">
          <w:rPr>
            <w:rStyle w:val="Hyperlink"/>
          </w:rPr>
          <w:t>3.1</w:t>
        </w:r>
        <w:r w:rsidR="00846012">
          <w:rPr>
            <w:rFonts w:asciiTheme="minorHAnsi" w:eastAsiaTheme="minorEastAsia" w:hAnsiTheme="minorHAnsi"/>
            <w:sz w:val="22"/>
            <w:lang w:eastAsia="en-AU"/>
          </w:rPr>
          <w:tab/>
        </w:r>
        <w:r w:rsidR="00846012" w:rsidRPr="000144BC">
          <w:rPr>
            <w:rStyle w:val="Hyperlink"/>
          </w:rPr>
          <w:t>The evolution of the IPS model</w:t>
        </w:r>
        <w:r w:rsidR="00846012">
          <w:rPr>
            <w:webHidden/>
          </w:rPr>
          <w:tab/>
        </w:r>
        <w:r w:rsidR="00846012">
          <w:rPr>
            <w:webHidden/>
          </w:rPr>
          <w:fldChar w:fldCharType="begin"/>
        </w:r>
        <w:r w:rsidR="00846012">
          <w:rPr>
            <w:webHidden/>
          </w:rPr>
          <w:instrText xml:space="preserve"> PAGEREF _Toc46398188 \h </w:instrText>
        </w:r>
        <w:r w:rsidR="00846012">
          <w:rPr>
            <w:webHidden/>
          </w:rPr>
        </w:r>
        <w:r w:rsidR="00846012">
          <w:rPr>
            <w:webHidden/>
          </w:rPr>
          <w:fldChar w:fldCharType="separate"/>
        </w:r>
        <w:r w:rsidR="00846012">
          <w:rPr>
            <w:webHidden/>
          </w:rPr>
          <w:t>6</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89" w:history="1">
        <w:r w:rsidR="00846012" w:rsidRPr="000144BC">
          <w:rPr>
            <w:rStyle w:val="Hyperlink"/>
          </w:rPr>
          <w:t>3.2</w:t>
        </w:r>
        <w:r w:rsidR="00846012">
          <w:rPr>
            <w:rFonts w:asciiTheme="minorHAnsi" w:eastAsiaTheme="minorEastAsia" w:hAnsiTheme="minorHAnsi"/>
            <w:sz w:val="22"/>
            <w:lang w:eastAsia="en-AU"/>
          </w:rPr>
          <w:tab/>
        </w:r>
        <w:r w:rsidR="00846012" w:rsidRPr="000144BC">
          <w:rPr>
            <w:rStyle w:val="Hyperlink"/>
          </w:rPr>
          <w:t>Factors that influence success in realising outcomes</w:t>
        </w:r>
        <w:r w:rsidR="00846012">
          <w:rPr>
            <w:webHidden/>
          </w:rPr>
          <w:tab/>
        </w:r>
        <w:r w:rsidR="00846012">
          <w:rPr>
            <w:webHidden/>
          </w:rPr>
          <w:fldChar w:fldCharType="begin"/>
        </w:r>
        <w:r w:rsidR="00846012">
          <w:rPr>
            <w:webHidden/>
          </w:rPr>
          <w:instrText xml:space="preserve"> PAGEREF _Toc46398189 \h </w:instrText>
        </w:r>
        <w:r w:rsidR="00846012">
          <w:rPr>
            <w:webHidden/>
          </w:rPr>
        </w:r>
        <w:r w:rsidR="00846012">
          <w:rPr>
            <w:webHidden/>
          </w:rPr>
          <w:fldChar w:fldCharType="separate"/>
        </w:r>
        <w:r w:rsidR="00846012">
          <w:rPr>
            <w:webHidden/>
          </w:rPr>
          <w:t>14</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90" w:history="1">
        <w:r w:rsidR="00846012" w:rsidRPr="000144BC">
          <w:rPr>
            <w:rStyle w:val="Hyperlink"/>
          </w:rPr>
          <w:t>4</w:t>
        </w:r>
        <w:r w:rsidR="00846012">
          <w:rPr>
            <w:rFonts w:asciiTheme="minorHAnsi" w:eastAsiaTheme="minorEastAsia" w:hAnsiTheme="minorHAnsi"/>
            <w:sz w:val="22"/>
            <w:lang w:eastAsia="en-AU"/>
          </w:rPr>
          <w:tab/>
        </w:r>
        <w:r w:rsidR="00846012" w:rsidRPr="000144BC">
          <w:rPr>
            <w:rStyle w:val="Hyperlink"/>
          </w:rPr>
          <w:t>Conclusion and other considerations</w:t>
        </w:r>
        <w:r w:rsidR="00846012">
          <w:rPr>
            <w:webHidden/>
          </w:rPr>
          <w:tab/>
        </w:r>
        <w:r w:rsidR="00846012">
          <w:rPr>
            <w:webHidden/>
          </w:rPr>
          <w:fldChar w:fldCharType="begin"/>
        </w:r>
        <w:r w:rsidR="00846012">
          <w:rPr>
            <w:webHidden/>
          </w:rPr>
          <w:instrText xml:space="preserve"> PAGEREF _Toc46398190 \h </w:instrText>
        </w:r>
        <w:r w:rsidR="00846012">
          <w:rPr>
            <w:webHidden/>
          </w:rPr>
        </w:r>
        <w:r w:rsidR="00846012">
          <w:rPr>
            <w:webHidden/>
          </w:rPr>
          <w:fldChar w:fldCharType="separate"/>
        </w:r>
        <w:r w:rsidR="00846012">
          <w:rPr>
            <w:webHidden/>
          </w:rPr>
          <w:t>18</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91" w:history="1">
        <w:r w:rsidR="00846012" w:rsidRPr="000144BC">
          <w:rPr>
            <w:rStyle w:val="Hyperlink"/>
          </w:rPr>
          <w:t>4.1</w:t>
        </w:r>
        <w:r w:rsidR="00846012">
          <w:rPr>
            <w:rFonts w:asciiTheme="minorHAnsi" w:eastAsiaTheme="minorEastAsia" w:hAnsiTheme="minorHAnsi"/>
            <w:sz w:val="22"/>
            <w:lang w:eastAsia="en-AU"/>
          </w:rPr>
          <w:tab/>
        </w:r>
        <w:r w:rsidR="00846012" w:rsidRPr="000144BC">
          <w:rPr>
            <w:rStyle w:val="Hyperlink"/>
          </w:rPr>
          <w:t>How can the IPS model be strengthened into the future?</w:t>
        </w:r>
        <w:r w:rsidR="00846012">
          <w:rPr>
            <w:webHidden/>
          </w:rPr>
          <w:tab/>
        </w:r>
        <w:r w:rsidR="00846012">
          <w:rPr>
            <w:webHidden/>
          </w:rPr>
          <w:fldChar w:fldCharType="begin"/>
        </w:r>
        <w:r w:rsidR="00846012">
          <w:rPr>
            <w:webHidden/>
          </w:rPr>
          <w:instrText xml:space="preserve"> PAGEREF _Toc46398191 \h </w:instrText>
        </w:r>
        <w:r w:rsidR="00846012">
          <w:rPr>
            <w:webHidden/>
          </w:rPr>
        </w:r>
        <w:r w:rsidR="00846012">
          <w:rPr>
            <w:webHidden/>
          </w:rPr>
          <w:fldChar w:fldCharType="separate"/>
        </w:r>
        <w:r w:rsidR="00846012">
          <w:rPr>
            <w:webHidden/>
          </w:rPr>
          <w:t>18</w:t>
        </w:r>
        <w:r w:rsidR="00846012">
          <w:rPr>
            <w:webHidden/>
          </w:rPr>
          <w:fldChar w:fldCharType="end"/>
        </w:r>
      </w:hyperlink>
    </w:p>
    <w:p w:rsidR="00846012" w:rsidRDefault="00A71380">
      <w:pPr>
        <w:pStyle w:val="TOC2"/>
        <w:tabs>
          <w:tab w:val="left" w:pos="1276"/>
        </w:tabs>
        <w:rPr>
          <w:rFonts w:asciiTheme="minorHAnsi" w:eastAsiaTheme="minorEastAsia" w:hAnsiTheme="minorHAnsi"/>
          <w:sz w:val="22"/>
          <w:lang w:eastAsia="en-AU"/>
        </w:rPr>
      </w:pPr>
      <w:hyperlink w:anchor="_Toc46398192" w:history="1">
        <w:r w:rsidR="00846012" w:rsidRPr="000144BC">
          <w:rPr>
            <w:rStyle w:val="Hyperlink"/>
          </w:rPr>
          <w:t>4.2</w:t>
        </w:r>
        <w:r w:rsidR="00846012">
          <w:rPr>
            <w:rFonts w:asciiTheme="minorHAnsi" w:eastAsiaTheme="minorEastAsia" w:hAnsiTheme="minorHAnsi"/>
            <w:sz w:val="22"/>
            <w:lang w:eastAsia="en-AU"/>
          </w:rPr>
          <w:tab/>
        </w:r>
        <w:r w:rsidR="00846012" w:rsidRPr="000144BC">
          <w:rPr>
            <w:rStyle w:val="Hyperlink"/>
          </w:rPr>
          <w:t>Conclusion</w:t>
        </w:r>
        <w:r w:rsidR="00846012">
          <w:rPr>
            <w:webHidden/>
          </w:rPr>
          <w:tab/>
        </w:r>
        <w:r w:rsidR="00846012">
          <w:rPr>
            <w:webHidden/>
          </w:rPr>
          <w:fldChar w:fldCharType="begin"/>
        </w:r>
        <w:r w:rsidR="00846012">
          <w:rPr>
            <w:webHidden/>
          </w:rPr>
          <w:instrText xml:space="preserve"> PAGEREF _Toc46398192 \h </w:instrText>
        </w:r>
        <w:r w:rsidR="00846012">
          <w:rPr>
            <w:webHidden/>
          </w:rPr>
        </w:r>
        <w:r w:rsidR="00846012">
          <w:rPr>
            <w:webHidden/>
          </w:rPr>
          <w:fldChar w:fldCharType="separate"/>
        </w:r>
        <w:r w:rsidR="00846012">
          <w:rPr>
            <w:webHidden/>
          </w:rPr>
          <w:t>21</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93" w:history="1">
        <w:r w:rsidR="00846012" w:rsidRPr="000144BC">
          <w:rPr>
            <w:rStyle w:val="Hyperlink"/>
          </w:rPr>
          <w:t>Appendix A : Reference list</w:t>
        </w:r>
        <w:r w:rsidR="00846012">
          <w:rPr>
            <w:webHidden/>
          </w:rPr>
          <w:tab/>
        </w:r>
        <w:r w:rsidR="00846012">
          <w:rPr>
            <w:webHidden/>
          </w:rPr>
          <w:fldChar w:fldCharType="begin"/>
        </w:r>
        <w:r w:rsidR="00846012">
          <w:rPr>
            <w:webHidden/>
          </w:rPr>
          <w:instrText xml:space="preserve"> PAGEREF _Toc46398193 \h </w:instrText>
        </w:r>
        <w:r w:rsidR="00846012">
          <w:rPr>
            <w:webHidden/>
          </w:rPr>
        </w:r>
        <w:r w:rsidR="00846012">
          <w:rPr>
            <w:webHidden/>
          </w:rPr>
          <w:fldChar w:fldCharType="separate"/>
        </w:r>
        <w:r w:rsidR="00846012">
          <w:rPr>
            <w:webHidden/>
          </w:rPr>
          <w:t>22</w:t>
        </w:r>
        <w:r w:rsidR="00846012">
          <w:rPr>
            <w:webHidden/>
          </w:rPr>
          <w:fldChar w:fldCharType="end"/>
        </w:r>
      </w:hyperlink>
    </w:p>
    <w:p w:rsidR="00846012" w:rsidRDefault="00A71380">
      <w:pPr>
        <w:pStyle w:val="TOC1"/>
        <w:rPr>
          <w:rFonts w:asciiTheme="minorHAnsi" w:eastAsiaTheme="minorEastAsia" w:hAnsiTheme="minorHAnsi"/>
          <w:sz w:val="22"/>
          <w:lang w:eastAsia="en-AU"/>
        </w:rPr>
      </w:pPr>
      <w:hyperlink w:anchor="_Toc46398194" w:history="1">
        <w:r w:rsidR="00846012" w:rsidRPr="000144BC">
          <w:rPr>
            <w:rStyle w:val="Hyperlink"/>
          </w:rPr>
          <w:t>Appendix B : Search terms</w:t>
        </w:r>
        <w:r w:rsidR="00846012">
          <w:rPr>
            <w:webHidden/>
          </w:rPr>
          <w:tab/>
        </w:r>
        <w:r w:rsidR="00846012">
          <w:rPr>
            <w:webHidden/>
          </w:rPr>
          <w:fldChar w:fldCharType="begin"/>
        </w:r>
        <w:r w:rsidR="00846012">
          <w:rPr>
            <w:webHidden/>
          </w:rPr>
          <w:instrText xml:space="preserve"> PAGEREF _Toc46398194 \h </w:instrText>
        </w:r>
        <w:r w:rsidR="00846012">
          <w:rPr>
            <w:webHidden/>
          </w:rPr>
        </w:r>
        <w:r w:rsidR="00846012">
          <w:rPr>
            <w:webHidden/>
          </w:rPr>
          <w:fldChar w:fldCharType="separate"/>
        </w:r>
        <w:r w:rsidR="00846012">
          <w:rPr>
            <w:webHidden/>
          </w:rPr>
          <w:t>25</w:t>
        </w:r>
        <w:r w:rsidR="00846012">
          <w:rPr>
            <w:webHidden/>
          </w:rPr>
          <w:fldChar w:fldCharType="end"/>
        </w:r>
      </w:hyperlink>
    </w:p>
    <w:p w:rsidR="007634C5" w:rsidRDefault="00AD4B92" w:rsidP="00AD4B92">
      <w:pPr>
        <w:pStyle w:val="TOC1"/>
      </w:pPr>
      <w:r>
        <w:fldChar w:fldCharType="end"/>
      </w:r>
    </w:p>
    <w:p w:rsidR="009633A2" w:rsidRDefault="009633A2" w:rsidP="006176A1">
      <w:pPr>
        <w:pStyle w:val="BodyText"/>
      </w:pPr>
    </w:p>
    <w:p w:rsidR="009633A2" w:rsidRDefault="009633A2" w:rsidP="006176A1">
      <w:pPr>
        <w:pStyle w:val="BodyText"/>
        <w:sectPr w:rsidR="009633A2" w:rsidSect="005469A3">
          <w:headerReference w:type="even" r:id="rId17"/>
          <w:headerReference w:type="default" r:id="rId18"/>
          <w:footerReference w:type="default" r:id="rId19"/>
          <w:headerReference w:type="first" r:id="rId20"/>
          <w:pgSz w:w="11906" w:h="16838"/>
          <w:pgMar w:top="1418" w:right="1418" w:bottom="1418" w:left="1871" w:header="709" w:footer="454" w:gutter="0"/>
          <w:pgNumType w:fmt="lowerRoman"/>
          <w:cols w:space="708"/>
          <w:docGrid w:linePitch="360"/>
        </w:sectPr>
      </w:pPr>
    </w:p>
    <w:p w:rsidR="009633A2" w:rsidRPr="00437799" w:rsidRDefault="00A62E81" w:rsidP="00437799">
      <w:pPr>
        <w:pStyle w:val="HeadingLevel1NoNumber"/>
      </w:pPr>
      <w:bookmarkStart w:id="6" w:name="_Toc40285035"/>
      <w:bookmarkStart w:id="7" w:name="_Toc41553028"/>
      <w:bookmarkStart w:id="8" w:name="_Toc46398178"/>
      <w:r>
        <w:lastRenderedPageBreak/>
        <w:t>Glossary of terms</w:t>
      </w:r>
      <w:bookmarkEnd w:id="6"/>
      <w:bookmarkEnd w:id="7"/>
      <w:bookmarkEnd w:id="8"/>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6371"/>
      </w:tblGrid>
      <w:tr w:rsidR="00A62E81" w:rsidTr="007816F2">
        <w:tc>
          <w:tcPr>
            <w:tcW w:w="2689" w:type="dxa"/>
            <w:shd w:val="clear" w:color="auto" w:fill="005EB8" w:themeFill="background2"/>
          </w:tcPr>
          <w:p w:rsidR="00A62E81" w:rsidRPr="00A62E81" w:rsidRDefault="00A62E81" w:rsidP="00A62E81">
            <w:pPr>
              <w:pStyle w:val="BodyText"/>
              <w:rPr>
                <w:b/>
                <w:color w:val="FFFFFF" w:themeColor="background1"/>
                <w:sz w:val="22"/>
              </w:rPr>
            </w:pPr>
            <w:r w:rsidRPr="00A62E81">
              <w:rPr>
                <w:b/>
                <w:color w:val="FFFFFF" w:themeColor="background1"/>
                <w:sz w:val="22"/>
              </w:rPr>
              <w:t>Key Term</w:t>
            </w:r>
          </w:p>
        </w:tc>
        <w:tc>
          <w:tcPr>
            <w:tcW w:w="6371" w:type="dxa"/>
            <w:shd w:val="clear" w:color="auto" w:fill="005EB8"/>
          </w:tcPr>
          <w:p w:rsidR="00A62E81" w:rsidRPr="00A62E81" w:rsidRDefault="00A62E81" w:rsidP="00A62E81">
            <w:pPr>
              <w:pStyle w:val="BodyText"/>
              <w:rPr>
                <w:b/>
                <w:color w:val="FFFFFF" w:themeColor="background1"/>
                <w:sz w:val="22"/>
              </w:rPr>
            </w:pPr>
            <w:r w:rsidRPr="00A62E81">
              <w:rPr>
                <w:b/>
                <w:color w:val="FFFFFF" w:themeColor="background1"/>
                <w:sz w:val="22"/>
              </w:rPr>
              <w:t>Definition</w:t>
            </w:r>
          </w:p>
        </w:tc>
      </w:tr>
      <w:tr w:rsidR="00B30D68" w:rsidTr="00B30D68">
        <w:tc>
          <w:tcPr>
            <w:tcW w:w="2689" w:type="dxa"/>
          </w:tcPr>
          <w:p w:rsidR="00B30D68" w:rsidRDefault="00B30D68" w:rsidP="00A62E81">
            <w:pPr>
              <w:pStyle w:val="BodyText"/>
            </w:pPr>
            <w:r>
              <w:t>CBT</w:t>
            </w:r>
          </w:p>
        </w:tc>
        <w:tc>
          <w:tcPr>
            <w:tcW w:w="6371" w:type="dxa"/>
          </w:tcPr>
          <w:p w:rsidR="00B30D68" w:rsidRDefault="00B30D68" w:rsidP="00A62E81">
            <w:pPr>
              <w:pStyle w:val="BodyText"/>
            </w:pPr>
            <w:r w:rsidRPr="00DB3E73">
              <w:t>Cognitive Behavioural Therapy</w:t>
            </w:r>
          </w:p>
        </w:tc>
      </w:tr>
      <w:tr w:rsidR="00B30D68" w:rsidTr="00B30D68">
        <w:tc>
          <w:tcPr>
            <w:tcW w:w="2689" w:type="dxa"/>
          </w:tcPr>
          <w:p w:rsidR="00B30D68" w:rsidRDefault="00B30D68" w:rsidP="00A62E81">
            <w:pPr>
              <w:pStyle w:val="BodyText"/>
            </w:pPr>
            <w:r w:rsidRPr="00B30D68">
              <w:t>Competitive employment</w:t>
            </w:r>
          </w:p>
        </w:tc>
        <w:tc>
          <w:tcPr>
            <w:tcW w:w="6371" w:type="dxa"/>
          </w:tcPr>
          <w:p w:rsidR="00B30D68" w:rsidRDefault="00B30D68" w:rsidP="00A62E81">
            <w:pPr>
              <w:pStyle w:val="BodyText"/>
            </w:pPr>
            <w:r w:rsidRPr="00B30D68">
              <w:t>Gaining employment that pays at least minimum wage and the wage that others receive performing the same work, based in community settings alongside others without disabilities, and not reserved for people with disabilities.</w:t>
            </w:r>
          </w:p>
        </w:tc>
      </w:tr>
      <w:tr w:rsidR="00B30D68" w:rsidTr="00B30D68">
        <w:tc>
          <w:tcPr>
            <w:tcW w:w="2689" w:type="dxa"/>
          </w:tcPr>
          <w:p w:rsidR="00B30D68" w:rsidRDefault="00B30D68" w:rsidP="00A62E81">
            <w:pPr>
              <w:pStyle w:val="BodyText"/>
            </w:pPr>
            <w:r>
              <w:t>DCP</w:t>
            </w:r>
          </w:p>
        </w:tc>
        <w:tc>
          <w:tcPr>
            <w:tcW w:w="6371" w:type="dxa"/>
          </w:tcPr>
          <w:p w:rsidR="00B30D68" w:rsidRDefault="00B30D68" w:rsidP="00A62E81">
            <w:pPr>
              <w:pStyle w:val="BodyText"/>
            </w:pPr>
            <w:r w:rsidRPr="34C5B487">
              <w:rPr>
                <w:rFonts w:asciiTheme="majorHAnsi" w:eastAsiaTheme="majorEastAsia" w:hAnsiTheme="majorHAnsi" w:cstheme="majorBidi"/>
              </w:rPr>
              <w:t>Dartmouth Career Profile</w:t>
            </w:r>
          </w:p>
        </w:tc>
      </w:tr>
      <w:tr w:rsidR="00B30D68" w:rsidTr="00B30D68">
        <w:tc>
          <w:tcPr>
            <w:tcW w:w="2689" w:type="dxa"/>
          </w:tcPr>
          <w:p w:rsidR="00B30D68" w:rsidRDefault="00B30D68" w:rsidP="00A62E81">
            <w:pPr>
              <w:pStyle w:val="BodyText"/>
            </w:pPr>
            <w:r>
              <w:t>DES</w:t>
            </w:r>
          </w:p>
        </w:tc>
        <w:tc>
          <w:tcPr>
            <w:tcW w:w="6371" w:type="dxa"/>
          </w:tcPr>
          <w:p w:rsidR="00B30D68" w:rsidRDefault="00B30D68" w:rsidP="00A62E81">
            <w:pPr>
              <w:pStyle w:val="BodyText"/>
            </w:pPr>
            <w:r>
              <w:t>Disability Employment Services</w:t>
            </w:r>
          </w:p>
        </w:tc>
      </w:tr>
      <w:tr w:rsidR="00B30D68" w:rsidTr="00B30D68">
        <w:tc>
          <w:tcPr>
            <w:tcW w:w="2689" w:type="dxa"/>
          </w:tcPr>
          <w:p w:rsidR="00B30D68" w:rsidRDefault="00B30D68" w:rsidP="00A62E81">
            <w:pPr>
              <w:pStyle w:val="BodyText"/>
            </w:pPr>
            <w:r>
              <w:t>IPS</w:t>
            </w:r>
          </w:p>
        </w:tc>
        <w:tc>
          <w:tcPr>
            <w:tcW w:w="6371" w:type="dxa"/>
          </w:tcPr>
          <w:p w:rsidR="00B30D68" w:rsidRDefault="00B30D68" w:rsidP="00A62E81">
            <w:pPr>
              <w:pStyle w:val="BodyText"/>
            </w:pPr>
            <w:r>
              <w:t>Individual Placement and Support</w:t>
            </w:r>
          </w:p>
        </w:tc>
      </w:tr>
      <w:tr w:rsidR="00B30D68" w:rsidTr="00B30D68">
        <w:tc>
          <w:tcPr>
            <w:tcW w:w="2689" w:type="dxa"/>
          </w:tcPr>
          <w:p w:rsidR="00B30D68" w:rsidRDefault="00B30D68" w:rsidP="004B054B">
            <w:pPr>
              <w:pStyle w:val="BodyText"/>
            </w:pPr>
            <w:r>
              <w:t>ISE</w:t>
            </w:r>
          </w:p>
        </w:tc>
        <w:tc>
          <w:tcPr>
            <w:tcW w:w="6371" w:type="dxa"/>
          </w:tcPr>
          <w:p w:rsidR="00B30D68" w:rsidRDefault="00B30D68" w:rsidP="00A62E81">
            <w:pPr>
              <w:pStyle w:val="BodyText"/>
            </w:pPr>
            <w:r>
              <w:t>Integrated Social Employment</w:t>
            </w:r>
          </w:p>
        </w:tc>
      </w:tr>
      <w:tr w:rsidR="00B30D68" w:rsidTr="00B30D68">
        <w:tc>
          <w:tcPr>
            <w:tcW w:w="2689" w:type="dxa"/>
          </w:tcPr>
          <w:p w:rsidR="00B30D68" w:rsidRDefault="00B30D68" w:rsidP="00A62E81">
            <w:pPr>
              <w:pStyle w:val="BodyText"/>
            </w:pPr>
            <w:r>
              <w:t>NET</w:t>
            </w:r>
          </w:p>
        </w:tc>
        <w:tc>
          <w:tcPr>
            <w:tcW w:w="6371" w:type="dxa"/>
          </w:tcPr>
          <w:p w:rsidR="00B30D68" w:rsidRDefault="00B30D68" w:rsidP="00A62E81">
            <w:pPr>
              <w:pStyle w:val="BodyText"/>
            </w:pPr>
            <w:r w:rsidRPr="00CD78BA">
              <w:t>Neurocognitive Enhancement Therapy</w:t>
            </w:r>
          </w:p>
        </w:tc>
      </w:tr>
      <w:tr w:rsidR="00B30D68" w:rsidTr="00B30D68">
        <w:tc>
          <w:tcPr>
            <w:tcW w:w="2689" w:type="dxa"/>
          </w:tcPr>
          <w:p w:rsidR="00B30D68" w:rsidRDefault="00B30D68" w:rsidP="00A62E81">
            <w:pPr>
              <w:pStyle w:val="BodyText"/>
            </w:pPr>
            <w:r>
              <w:t>RCT</w:t>
            </w:r>
          </w:p>
        </w:tc>
        <w:tc>
          <w:tcPr>
            <w:tcW w:w="6371" w:type="dxa"/>
          </w:tcPr>
          <w:p w:rsidR="00B30D68" w:rsidRDefault="00B30D68" w:rsidP="00A62E81">
            <w:pPr>
              <w:pStyle w:val="BodyText"/>
            </w:pPr>
            <w:r>
              <w:t>Randomised Controlled Trial</w:t>
            </w:r>
          </w:p>
        </w:tc>
      </w:tr>
      <w:tr w:rsidR="00B30D68" w:rsidTr="00B30D68">
        <w:tc>
          <w:tcPr>
            <w:tcW w:w="2689" w:type="dxa"/>
          </w:tcPr>
          <w:p w:rsidR="00B30D68" w:rsidRDefault="00B30D68" w:rsidP="00A62E81">
            <w:pPr>
              <w:pStyle w:val="BodyText"/>
            </w:pPr>
            <w:proofErr w:type="spellStart"/>
            <w:r>
              <w:t>SEd</w:t>
            </w:r>
            <w:proofErr w:type="spellEnd"/>
          </w:p>
        </w:tc>
        <w:tc>
          <w:tcPr>
            <w:tcW w:w="6371" w:type="dxa"/>
          </w:tcPr>
          <w:p w:rsidR="00B30D68" w:rsidRDefault="00B30D68" w:rsidP="00A62E81">
            <w:pPr>
              <w:pStyle w:val="BodyText"/>
            </w:pPr>
            <w:r>
              <w:t>Supported Education</w:t>
            </w:r>
          </w:p>
        </w:tc>
      </w:tr>
      <w:tr w:rsidR="00B30D68" w:rsidTr="00B30D68">
        <w:tc>
          <w:tcPr>
            <w:tcW w:w="2689" w:type="dxa"/>
          </w:tcPr>
          <w:p w:rsidR="00B30D68" w:rsidRDefault="00B30D68" w:rsidP="00A62E81">
            <w:pPr>
              <w:pStyle w:val="BodyText"/>
            </w:pPr>
            <w:r>
              <w:t>The Department; DSS</w:t>
            </w:r>
          </w:p>
        </w:tc>
        <w:tc>
          <w:tcPr>
            <w:tcW w:w="6371" w:type="dxa"/>
          </w:tcPr>
          <w:p w:rsidR="00B30D68" w:rsidRDefault="00B30D68" w:rsidP="004B054B">
            <w:pPr>
              <w:pStyle w:val="BodyText"/>
              <w:tabs>
                <w:tab w:val="left" w:pos="1047"/>
              </w:tabs>
            </w:pPr>
            <w:r w:rsidRPr="004B054B">
              <w:t>Department of Social Services</w:t>
            </w:r>
          </w:p>
        </w:tc>
      </w:tr>
      <w:tr w:rsidR="00B30D68" w:rsidTr="00B30D68">
        <w:tc>
          <w:tcPr>
            <w:tcW w:w="2689" w:type="dxa"/>
          </w:tcPr>
          <w:p w:rsidR="00B30D68" w:rsidRDefault="00B30D68" w:rsidP="00A62E81">
            <w:pPr>
              <w:pStyle w:val="BodyText"/>
            </w:pPr>
            <w:r>
              <w:t>The Trial</w:t>
            </w:r>
          </w:p>
        </w:tc>
        <w:tc>
          <w:tcPr>
            <w:tcW w:w="6371" w:type="dxa"/>
          </w:tcPr>
          <w:p w:rsidR="00B30D68" w:rsidRDefault="00B30D68" w:rsidP="004B054B">
            <w:pPr>
              <w:pStyle w:val="BodyText"/>
            </w:pPr>
            <w:r w:rsidRPr="00AD700B">
              <w:t>Individual Placement and Support Trial</w:t>
            </w:r>
          </w:p>
        </w:tc>
      </w:tr>
      <w:tr w:rsidR="00B30D68" w:rsidTr="00B30D68">
        <w:tc>
          <w:tcPr>
            <w:tcW w:w="2689" w:type="dxa"/>
          </w:tcPr>
          <w:p w:rsidR="00B30D68" w:rsidRDefault="00B30D68" w:rsidP="00A62E81">
            <w:pPr>
              <w:pStyle w:val="BodyText"/>
            </w:pPr>
            <w:r>
              <w:t>TSFW</w:t>
            </w:r>
          </w:p>
        </w:tc>
        <w:tc>
          <w:tcPr>
            <w:tcW w:w="6371" w:type="dxa"/>
          </w:tcPr>
          <w:p w:rsidR="00B30D68" w:rsidRDefault="00B30D68" w:rsidP="00A62E81">
            <w:pPr>
              <w:pStyle w:val="BodyText"/>
            </w:pPr>
            <w:r w:rsidRPr="0002493F">
              <w:t>Thinking Skills for Work</w:t>
            </w:r>
          </w:p>
        </w:tc>
      </w:tr>
      <w:tr w:rsidR="00B30D68" w:rsidTr="00B30D68">
        <w:tc>
          <w:tcPr>
            <w:tcW w:w="2689" w:type="dxa"/>
          </w:tcPr>
          <w:p w:rsidR="00B30D68" w:rsidRDefault="00B30D68" w:rsidP="00A62E81">
            <w:pPr>
              <w:pStyle w:val="BodyText"/>
            </w:pPr>
            <w:r w:rsidRPr="00B30D68">
              <w:t>Vocational education</w:t>
            </w:r>
          </w:p>
        </w:tc>
        <w:tc>
          <w:tcPr>
            <w:tcW w:w="6371" w:type="dxa"/>
          </w:tcPr>
          <w:p w:rsidR="00B30D68" w:rsidRDefault="00B30D68" w:rsidP="00A62E81">
            <w:pPr>
              <w:pStyle w:val="BodyText"/>
            </w:pPr>
            <w:r w:rsidRPr="00B30D68">
              <w:t>Tertiary education and/or training which provides accredited training in job related and technical skills</w:t>
            </w:r>
            <w:r>
              <w:t>.</w:t>
            </w:r>
          </w:p>
        </w:tc>
      </w:tr>
      <w:tr w:rsidR="00B30D68" w:rsidTr="00B30D68">
        <w:tc>
          <w:tcPr>
            <w:tcW w:w="2689" w:type="dxa"/>
          </w:tcPr>
          <w:p w:rsidR="00B30D68" w:rsidRDefault="00B30D68" w:rsidP="00A62E81">
            <w:pPr>
              <w:pStyle w:val="BodyText"/>
            </w:pPr>
            <w:r>
              <w:t>WFT</w:t>
            </w:r>
          </w:p>
        </w:tc>
        <w:tc>
          <w:tcPr>
            <w:tcW w:w="6371" w:type="dxa"/>
          </w:tcPr>
          <w:p w:rsidR="00B30D68" w:rsidRDefault="00B30D68" w:rsidP="00A62E81">
            <w:pPr>
              <w:pStyle w:val="BodyText"/>
            </w:pPr>
            <w:r w:rsidRPr="0026270E">
              <w:t>Workplace Fundamentals Training</w:t>
            </w:r>
          </w:p>
        </w:tc>
      </w:tr>
    </w:tbl>
    <w:p w:rsidR="00723D3C" w:rsidRDefault="00723D3C" w:rsidP="000322D8">
      <w:pPr>
        <w:spacing w:before="0" w:after="160" w:line="259" w:lineRule="auto"/>
      </w:pPr>
    </w:p>
    <w:p w:rsidR="00A62E81" w:rsidRDefault="00A62E81" w:rsidP="006176A1">
      <w:pPr>
        <w:pStyle w:val="BodyText"/>
        <w:sectPr w:rsidR="00A62E81" w:rsidSect="0000339D">
          <w:headerReference w:type="even" r:id="rId21"/>
          <w:headerReference w:type="default" r:id="rId22"/>
          <w:footerReference w:type="default" r:id="rId23"/>
          <w:headerReference w:type="first" r:id="rId24"/>
          <w:pgSz w:w="11906" w:h="16838"/>
          <w:pgMar w:top="1134" w:right="1418" w:bottom="1418" w:left="1418" w:header="709" w:footer="454" w:gutter="0"/>
          <w:pgNumType w:start="1"/>
          <w:cols w:space="708"/>
          <w:docGrid w:linePitch="360"/>
        </w:sectPr>
      </w:pPr>
      <w:bookmarkStart w:id="9" w:name="_GoBack"/>
      <w:bookmarkEnd w:id="9"/>
    </w:p>
    <w:p w:rsidR="00723D3C" w:rsidRDefault="00A62E81" w:rsidP="00437799">
      <w:pPr>
        <w:pStyle w:val="Heading1"/>
        <w:numPr>
          <w:ilvl w:val="0"/>
          <w:numId w:val="38"/>
        </w:numPr>
      </w:pPr>
      <w:bookmarkStart w:id="10" w:name="_Toc40285036"/>
      <w:bookmarkStart w:id="11" w:name="_Toc41553029"/>
      <w:bookmarkStart w:id="12" w:name="_Toc46398179"/>
      <w:r>
        <w:lastRenderedPageBreak/>
        <w:t>Introduction</w:t>
      </w:r>
      <w:bookmarkEnd w:id="10"/>
      <w:bookmarkEnd w:id="11"/>
      <w:bookmarkEnd w:id="12"/>
    </w:p>
    <w:p w:rsidR="00A62E81" w:rsidRDefault="00A62E81" w:rsidP="005A7907">
      <w:pPr>
        <w:pStyle w:val="Heading2"/>
      </w:pPr>
      <w:bookmarkStart w:id="13" w:name="_Toc41553030"/>
      <w:bookmarkStart w:id="14" w:name="_Toc46398180"/>
      <w:r w:rsidRPr="005A7907">
        <w:t>Purpose</w:t>
      </w:r>
      <w:bookmarkEnd w:id="13"/>
      <w:bookmarkEnd w:id="14"/>
    </w:p>
    <w:p w:rsidR="00AD700B" w:rsidRDefault="00AD700B" w:rsidP="003C2DD9">
      <w:pPr>
        <w:pStyle w:val="BodyText"/>
      </w:pPr>
      <w:r w:rsidRPr="00AD700B">
        <w:t xml:space="preserve">KPMG has been engaged by the Department of Social Services (the Department or DSS) to </w:t>
      </w:r>
      <w:r>
        <w:t xml:space="preserve">undertake further </w:t>
      </w:r>
      <w:r w:rsidRPr="00AD700B">
        <w:t>evalua</w:t>
      </w:r>
      <w:r>
        <w:t>tion of</w:t>
      </w:r>
      <w:r w:rsidRPr="00AD700B">
        <w:t xml:space="preserve"> the Individual Placement and Support (IPS) Trial (or the Trial). The Trial is based on the IPS model, which integrates employment and vocational support with clinical mental health and non-vocational support to assist individuals with mental illness to obtain vocational education or employment outcomes. </w:t>
      </w:r>
    </w:p>
    <w:p w:rsidR="00AD700B" w:rsidRDefault="00AD700B" w:rsidP="003C2DD9">
      <w:pPr>
        <w:pStyle w:val="BodyText"/>
      </w:pPr>
      <w:r>
        <w:t xml:space="preserve">The purpose of this document </w:t>
      </w:r>
      <w:r w:rsidR="000C27CE">
        <w:t xml:space="preserve">is </w:t>
      </w:r>
      <w:r>
        <w:t xml:space="preserve">to provide a literature review </w:t>
      </w:r>
      <w:r w:rsidR="000C27CE">
        <w:t xml:space="preserve">that sets out </w:t>
      </w:r>
      <w:r>
        <w:t>insights into how the IPS model can be strengthened. This document includes:</w:t>
      </w:r>
    </w:p>
    <w:p w:rsidR="00AD700B" w:rsidRDefault="00AD700B" w:rsidP="002527FE">
      <w:pPr>
        <w:pStyle w:val="ListBullet"/>
        <w:numPr>
          <w:ilvl w:val="0"/>
          <w:numId w:val="34"/>
        </w:numPr>
      </w:pPr>
      <w:r>
        <w:t>an overview of the IPS model</w:t>
      </w:r>
      <w:r w:rsidR="00AF41A5">
        <w:t xml:space="preserve"> and IPS Trial</w:t>
      </w:r>
      <w:r>
        <w:t>;</w:t>
      </w:r>
    </w:p>
    <w:p w:rsidR="00AD700B" w:rsidRDefault="00AD700B" w:rsidP="002527FE">
      <w:pPr>
        <w:pStyle w:val="ListBullet"/>
        <w:numPr>
          <w:ilvl w:val="0"/>
          <w:numId w:val="34"/>
        </w:numPr>
      </w:pPr>
      <w:r>
        <w:t>methods used; and</w:t>
      </w:r>
    </w:p>
    <w:p w:rsidR="003C2DD9" w:rsidRDefault="00AD700B" w:rsidP="002527FE">
      <w:pPr>
        <w:pStyle w:val="ListBullet"/>
        <w:numPr>
          <w:ilvl w:val="0"/>
          <w:numId w:val="34"/>
        </w:numPr>
      </w:pPr>
      <w:r>
        <w:t>key findings with respect to the key research questions.</w:t>
      </w:r>
    </w:p>
    <w:p w:rsidR="003C2DD9" w:rsidRDefault="005108F4" w:rsidP="005A7907">
      <w:pPr>
        <w:pStyle w:val="Heading2"/>
      </w:pPr>
      <w:bookmarkStart w:id="15" w:name="_Toc41553031"/>
      <w:bookmarkStart w:id="16" w:name="_Toc46398181"/>
      <w:r>
        <w:t xml:space="preserve">The </w:t>
      </w:r>
      <w:r w:rsidR="003C2DD9">
        <w:t>IPS model</w:t>
      </w:r>
      <w:bookmarkEnd w:id="15"/>
      <w:bookmarkEnd w:id="16"/>
    </w:p>
    <w:p w:rsidR="001E7DA5" w:rsidRDefault="004A2EB4" w:rsidP="00A62E81">
      <w:pPr>
        <w:pStyle w:val="BodyText"/>
      </w:pPr>
      <w:r>
        <w:t>T</w:t>
      </w:r>
      <w:r w:rsidRPr="004A2EB4">
        <w:t>he IPS model was developed in the United States</w:t>
      </w:r>
      <w:r>
        <w:t xml:space="preserve"> in the early 1990s</w:t>
      </w:r>
      <w:r w:rsidRPr="004A2EB4">
        <w:t xml:space="preserve">, as a form of supported employment that contrasts with traditional vocational programs. </w:t>
      </w:r>
      <w:r w:rsidR="00621ED3">
        <w:t>In t</w:t>
      </w:r>
      <w:r w:rsidRPr="004A2EB4">
        <w:t xml:space="preserve">he </w:t>
      </w:r>
      <w:r>
        <w:t xml:space="preserve">IPS </w:t>
      </w:r>
      <w:r w:rsidR="00621ED3">
        <w:t>model</w:t>
      </w:r>
      <w:r w:rsidR="004C5759">
        <w:t>,</w:t>
      </w:r>
      <w:r w:rsidR="00621ED3">
        <w:t xml:space="preserve"> </w:t>
      </w:r>
      <w:r w:rsidRPr="004A2EB4">
        <w:t xml:space="preserve">participants undertake rapid employment searches to gain paid </w:t>
      </w:r>
      <w:r w:rsidR="00621ED3">
        <w:t xml:space="preserve">employment in a normal setting with ongoing </w:t>
      </w:r>
      <w:r w:rsidRPr="004A2EB4">
        <w:t xml:space="preserve">support provided by </w:t>
      </w:r>
      <w:r w:rsidR="000C27CE">
        <w:t>v</w:t>
      </w:r>
      <w:r w:rsidRPr="004A2EB4">
        <w:t xml:space="preserve">ocational </w:t>
      </w:r>
      <w:r w:rsidR="000C27CE">
        <w:t>s</w:t>
      </w:r>
      <w:r w:rsidRPr="004A2EB4">
        <w:t>pecialists and mental health specialists (Bond et al 2012). This creates a point of difference from other employment programs, which generally cease to offer support following the attainment of employment.</w:t>
      </w:r>
    </w:p>
    <w:p w:rsidR="006A78B4" w:rsidRDefault="006A78B4" w:rsidP="006A78B4">
      <w:pPr>
        <w:pStyle w:val="BodyText"/>
      </w:pPr>
      <w:r w:rsidRPr="00FE02EE">
        <w:t xml:space="preserve">The IPS model </w:t>
      </w:r>
      <w:r>
        <w:t>centres</w:t>
      </w:r>
      <w:r w:rsidRPr="00FE02EE">
        <w:t xml:space="preserve"> on eight </w:t>
      </w:r>
      <w:r>
        <w:t>c</w:t>
      </w:r>
      <w:r w:rsidRPr="00FE02EE">
        <w:t>ore Practice Principles that underpin the delivery of support to participants</w:t>
      </w:r>
      <w:r>
        <w:t xml:space="preserve"> by </w:t>
      </w:r>
      <w:r w:rsidR="001632EB">
        <w:t>v</w:t>
      </w:r>
      <w:r>
        <w:t xml:space="preserve">ocational </w:t>
      </w:r>
      <w:r w:rsidR="001632EB">
        <w:t>s</w:t>
      </w:r>
      <w:r>
        <w:t>pecialists</w:t>
      </w:r>
      <w:r w:rsidRPr="00FE02EE">
        <w:t>, as outlined</w:t>
      </w:r>
      <w:r>
        <w:t xml:space="preserve"> overleaf. </w:t>
      </w:r>
    </w:p>
    <w:p w:rsidR="004C5759" w:rsidRDefault="004C5759">
      <w:pPr>
        <w:spacing w:before="0" w:after="160" w:line="259" w:lineRule="auto"/>
        <w:rPr>
          <w:i/>
          <w:iCs/>
          <w:color w:val="00338D" w:themeColor="text2"/>
          <w:sz w:val="18"/>
          <w:szCs w:val="18"/>
        </w:rPr>
      </w:pPr>
      <w:bookmarkStart w:id="17" w:name="_Toc516335103"/>
      <w:bookmarkStart w:id="18" w:name="_Toc521574111"/>
      <w:bookmarkStart w:id="19" w:name="_Toc6911879"/>
      <w:bookmarkStart w:id="20" w:name="_Toc12024072"/>
      <w:r>
        <w:br w:type="page"/>
      </w:r>
    </w:p>
    <w:p w:rsidR="006A78B4" w:rsidRDefault="006A78B4" w:rsidP="006A78B4">
      <w:pPr>
        <w:pStyle w:val="Caption"/>
      </w:pPr>
      <w:r>
        <w:lastRenderedPageBreak/>
        <w:t xml:space="preserve">Figure </w:t>
      </w:r>
      <w:r>
        <w:fldChar w:fldCharType="begin"/>
      </w:r>
      <w:r>
        <w:instrText>SEQ Figure \* ARABIC</w:instrText>
      </w:r>
      <w:r>
        <w:fldChar w:fldCharType="separate"/>
      </w:r>
      <w:r w:rsidR="00F47063">
        <w:rPr>
          <w:noProof/>
        </w:rPr>
        <w:t>1</w:t>
      </w:r>
      <w:r>
        <w:fldChar w:fldCharType="end"/>
      </w:r>
      <w:r>
        <w:t xml:space="preserve">: IPS model </w:t>
      </w:r>
      <w:r w:rsidR="00AF41A5">
        <w:t>c</w:t>
      </w:r>
      <w:r>
        <w:t>ore Practice Principles</w:t>
      </w:r>
      <w:bookmarkEnd w:id="17"/>
      <w:bookmarkEnd w:id="18"/>
      <w:bookmarkEnd w:id="19"/>
      <w:bookmarkEnd w:id="20"/>
    </w:p>
    <w:tbl>
      <w:tblPr>
        <w:tblStyle w:val="TableGridLight"/>
        <w:tblW w:w="9781" w:type="dxa"/>
        <w:tblBorders>
          <w:top w:val="single" w:sz="12" w:space="0" w:color="0091DA" w:themeColor="accent1"/>
          <w:left w:val="none" w:sz="0" w:space="0" w:color="auto"/>
          <w:bottom w:val="single" w:sz="12" w:space="0" w:color="0091DA" w:themeColor="accent1"/>
          <w:right w:val="none" w:sz="0" w:space="0" w:color="auto"/>
          <w:insideH w:val="single" w:sz="12" w:space="0" w:color="0091DA" w:themeColor="accent1"/>
          <w:insideV w:val="dashed" w:sz="18" w:space="0" w:color="BFBFBF" w:themeColor="background1" w:themeShade="BF"/>
        </w:tblBorders>
        <w:shd w:val="clear" w:color="auto" w:fill="F2F2F2" w:themeFill="background1" w:themeFillShade="F2"/>
        <w:tblLook w:val="04A0" w:firstRow="1" w:lastRow="0" w:firstColumn="1" w:lastColumn="0" w:noHBand="0" w:noVBand="1"/>
        <w:tblCaption w:val="IPS model Core Practice Principles"/>
        <w:tblDescription w:val="contains the core IPS model practice principles"/>
      </w:tblPr>
      <w:tblGrid>
        <w:gridCol w:w="9781"/>
      </w:tblGrid>
      <w:tr w:rsidR="006A78B4" w:rsidRPr="00311D3A" w:rsidTr="00AF41A5">
        <w:trPr>
          <w:tblHeader/>
        </w:trPr>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Focus on competitive employment</w:t>
            </w:r>
          </w:p>
          <w:p w:rsidR="006A78B4" w:rsidRPr="00311D3A" w:rsidRDefault="006A78B4" w:rsidP="00511877">
            <w:pPr>
              <w:spacing w:before="40" w:after="40"/>
              <w:jc w:val="both"/>
              <w:rPr>
                <w:szCs w:val="20"/>
              </w:rPr>
            </w:pPr>
            <w:r w:rsidRPr="00311D3A">
              <w:rPr>
                <w:szCs w:val="20"/>
              </w:rPr>
              <w:t xml:space="preserve">Vocational </w:t>
            </w:r>
            <w:r w:rsidR="000C27CE">
              <w:rPr>
                <w:szCs w:val="20"/>
              </w:rPr>
              <w:t>s</w:t>
            </w:r>
            <w:r w:rsidRPr="00311D3A">
              <w:rPr>
                <w:szCs w:val="20"/>
              </w:rPr>
              <w:t xml:space="preserve">pecialists help participants obtain competitive jobs. Competitive employment is defined as gaining employment that: pays at least </w:t>
            </w:r>
            <w:r>
              <w:rPr>
                <w:szCs w:val="20"/>
              </w:rPr>
              <w:t xml:space="preserve">the </w:t>
            </w:r>
            <w:r w:rsidRPr="00311D3A">
              <w:rPr>
                <w:szCs w:val="20"/>
              </w:rPr>
              <w:t>minimum wage and the same wage that others receive for performing the same work; is based in community settings alongside others without disabilities; and is not reserved for people with disabilities.</w:t>
            </w:r>
          </w:p>
        </w:tc>
      </w:tr>
      <w:tr w:rsidR="006A78B4" w:rsidRPr="00311D3A" w:rsidTr="00AF41A5">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Eligibility based on participants’ choices</w:t>
            </w:r>
          </w:p>
          <w:p w:rsidR="006A78B4" w:rsidRPr="00311D3A" w:rsidRDefault="006A78B4" w:rsidP="00511877">
            <w:pPr>
              <w:spacing w:before="40" w:after="40"/>
              <w:jc w:val="both"/>
              <w:rPr>
                <w:szCs w:val="20"/>
              </w:rPr>
            </w:pPr>
            <w:r w:rsidRPr="00311D3A">
              <w:rPr>
                <w:szCs w:val="20"/>
              </w:rPr>
              <w:t>The core philosophy of the IPS model is that all people with mental illness can work at competitive jobs in the community without prior training, and that no one should be excluded from this opportunity. Every person with mental illness who wants to work is eligible for IPS supported employment, regardless of characteristics such as psychiatric diagnosis, symptoms, work history, substance abuse and cognitive impairment.</w:t>
            </w:r>
          </w:p>
        </w:tc>
      </w:tr>
      <w:tr w:rsidR="006A78B4" w:rsidRPr="00311D3A" w:rsidTr="00AF41A5">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Integration of rehabilitation and mental health services</w:t>
            </w:r>
          </w:p>
          <w:p w:rsidR="006A78B4" w:rsidRPr="00311D3A" w:rsidRDefault="006A78B4" w:rsidP="00511877">
            <w:pPr>
              <w:spacing w:before="40" w:after="40"/>
              <w:jc w:val="both"/>
              <w:rPr>
                <w:szCs w:val="20"/>
              </w:rPr>
            </w:pPr>
            <w:r w:rsidRPr="00311D3A">
              <w:rPr>
                <w:szCs w:val="20"/>
              </w:rPr>
              <w:t xml:space="preserve">The IPS model is closely integrated with mental health treatment. Vocational </w:t>
            </w:r>
            <w:r w:rsidR="000C27CE">
              <w:rPr>
                <w:szCs w:val="20"/>
              </w:rPr>
              <w:t>s</w:t>
            </w:r>
            <w:r w:rsidRPr="00311D3A">
              <w:rPr>
                <w:szCs w:val="20"/>
              </w:rPr>
              <w:t>pecialists are members of multi</w:t>
            </w:r>
            <w:r w:rsidR="000C27CE">
              <w:rPr>
                <w:szCs w:val="20"/>
              </w:rPr>
              <w:noBreakHyphen/>
            </w:r>
            <w:r w:rsidRPr="00311D3A">
              <w:rPr>
                <w:szCs w:val="20"/>
              </w:rPr>
              <w:t>disciplinary teams that meet regularly to review participant progress. Discussions include clinical and rehabilitation information that is relevant to work, such as medication side effects, persistent symptoms, cognitive difficulties, or other rehabilitation needs. They share information and develop ideas to help participants improve their functional recovery.</w:t>
            </w:r>
          </w:p>
        </w:tc>
      </w:tr>
      <w:tr w:rsidR="006A78B4" w:rsidRPr="00311D3A" w:rsidTr="00AF41A5">
        <w:tc>
          <w:tcPr>
            <w:tcW w:w="9781" w:type="dxa"/>
            <w:shd w:val="clear" w:color="auto" w:fill="F2F2F2" w:themeFill="background1" w:themeFillShade="F2"/>
          </w:tcPr>
          <w:p w:rsidR="006A78B4" w:rsidRPr="006A78B4" w:rsidRDefault="006A78B4" w:rsidP="00511877">
            <w:pPr>
              <w:keepNext/>
              <w:spacing w:before="40" w:after="40"/>
              <w:rPr>
                <w:b/>
                <w:color w:val="00338D" w:themeColor="text2"/>
                <w:szCs w:val="20"/>
              </w:rPr>
            </w:pPr>
            <w:r w:rsidRPr="006A78B4">
              <w:rPr>
                <w:b/>
                <w:color w:val="00338D" w:themeColor="text2"/>
                <w:szCs w:val="20"/>
              </w:rPr>
              <w:t>Attention to participants’ preferences</w:t>
            </w:r>
          </w:p>
          <w:p w:rsidR="006A78B4" w:rsidRPr="00311D3A" w:rsidRDefault="006A78B4" w:rsidP="00511877">
            <w:pPr>
              <w:spacing w:before="40" w:after="40"/>
              <w:jc w:val="both"/>
              <w:rPr>
                <w:szCs w:val="20"/>
              </w:rPr>
            </w:pPr>
            <w:r w:rsidRPr="00311D3A">
              <w:rPr>
                <w:szCs w:val="20"/>
              </w:rPr>
              <w:t xml:space="preserve">Services are based on participants’ preferences and choices, rather than providers’ judgments about what employment they would be suitable for. Participant preferences help determine the type of job that is sought, the nature of support provided by the </w:t>
            </w:r>
            <w:r w:rsidR="000C27CE">
              <w:rPr>
                <w:szCs w:val="20"/>
              </w:rPr>
              <w:t>v</w:t>
            </w:r>
            <w:r w:rsidRPr="00311D3A">
              <w:rPr>
                <w:szCs w:val="20"/>
              </w:rPr>
              <w:t xml:space="preserve">ocational </w:t>
            </w:r>
            <w:r w:rsidR="000C27CE">
              <w:rPr>
                <w:szCs w:val="20"/>
              </w:rPr>
              <w:t>s</w:t>
            </w:r>
            <w:r w:rsidRPr="00311D3A">
              <w:rPr>
                <w:szCs w:val="20"/>
              </w:rPr>
              <w:t xml:space="preserve">pecialist and team, and whether to disclose details of a participant’s mental illness to </w:t>
            </w:r>
            <w:r>
              <w:rPr>
                <w:szCs w:val="20"/>
              </w:rPr>
              <w:t xml:space="preserve">an </w:t>
            </w:r>
            <w:r w:rsidRPr="00311D3A">
              <w:rPr>
                <w:szCs w:val="20"/>
              </w:rPr>
              <w:t>employer.</w:t>
            </w:r>
          </w:p>
        </w:tc>
      </w:tr>
      <w:tr w:rsidR="006A78B4" w:rsidRPr="00311D3A" w:rsidTr="00AF41A5">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Personalised benefits counselling</w:t>
            </w:r>
          </w:p>
          <w:p w:rsidR="006A78B4" w:rsidRPr="00311D3A" w:rsidRDefault="006A78B4" w:rsidP="00511877">
            <w:pPr>
              <w:spacing w:before="40" w:after="40"/>
              <w:jc w:val="both"/>
              <w:rPr>
                <w:szCs w:val="20"/>
              </w:rPr>
            </w:pPr>
            <w:r w:rsidRPr="00311D3A">
              <w:rPr>
                <w:szCs w:val="20"/>
              </w:rPr>
              <w:t xml:space="preserve">Vocational </w:t>
            </w:r>
            <w:r w:rsidR="000C27CE">
              <w:rPr>
                <w:szCs w:val="20"/>
              </w:rPr>
              <w:t>s</w:t>
            </w:r>
            <w:r w:rsidRPr="00311D3A">
              <w:rPr>
                <w:szCs w:val="20"/>
              </w:rPr>
              <w:t>pecialists help participants to access ongoing guidance regarding income support. Fear of losing income support is a major reason that participants may not want to seek employment, which means that it is vital that participants obtain accurate information to inform and guide the</w:t>
            </w:r>
            <w:r w:rsidR="000C27CE">
              <w:rPr>
                <w:szCs w:val="20"/>
              </w:rPr>
              <w:t>ir</w:t>
            </w:r>
            <w:r w:rsidRPr="00311D3A">
              <w:rPr>
                <w:szCs w:val="20"/>
              </w:rPr>
              <w:t xml:space="preserve"> plan for starting work and, over time, for making decisions about changes in wages and work hours.</w:t>
            </w:r>
          </w:p>
        </w:tc>
      </w:tr>
      <w:tr w:rsidR="006A78B4" w:rsidRPr="00311D3A" w:rsidTr="00AF41A5">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Rapid job search</w:t>
            </w:r>
          </w:p>
          <w:p w:rsidR="006A78B4" w:rsidRPr="00311D3A" w:rsidRDefault="006A78B4" w:rsidP="00511877">
            <w:pPr>
              <w:spacing w:before="40" w:after="40"/>
              <w:jc w:val="both"/>
              <w:rPr>
                <w:szCs w:val="20"/>
              </w:rPr>
            </w:pPr>
            <w:r w:rsidRPr="00311D3A">
              <w:rPr>
                <w:szCs w:val="20"/>
              </w:rPr>
              <w:t xml:space="preserve">Vocational </w:t>
            </w:r>
            <w:r w:rsidR="000C27CE">
              <w:rPr>
                <w:szCs w:val="20"/>
              </w:rPr>
              <w:t>s</w:t>
            </w:r>
            <w:r w:rsidRPr="00311D3A">
              <w:rPr>
                <w:szCs w:val="20"/>
              </w:rPr>
              <w:t>pecialists help participants seek jobs directly, rather than providing extensive pre</w:t>
            </w:r>
            <w:r>
              <w:rPr>
                <w:szCs w:val="20"/>
              </w:rPr>
              <w:noBreakHyphen/>
            </w:r>
            <w:r w:rsidRPr="00311D3A">
              <w:rPr>
                <w:szCs w:val="20"/>
              </w:rPr>
              <w:t>employment assessment and training, or intermediate work experiences. Beginning the</w:t>
            </w:r>
            <w:r w:rsidR="004C5759">
              <w:rPr>
                <w:szCs w:val="20"/>
              </w:rPr>
              <w:t xml:space="preserve"> job search process early (i.e. </w:t>
            </w:r>
            <w:r w:rsidRPr="00311D3A">
              <w:rPr>
                <w:szCs w:val="20"/>
              </w:rPr>
              <w:t xml:space="preserve">within 30 days) demonstrates to participants that their desire to work is taken </w:t>
            </w:r>
            <w:proofErr w:type="gramStart"/>
            <w:r w:rsidRPr="00311D3A">
              <w:rPr>
                <w:szCs w:val="20"/>
              </w:rPr>
              <w:t>seriously, and</w:t>
            </w:r>
            <w:proofErr w:type="gramEnd"/>
            <w:r w:rsidRPr="00311D3A">
              <w:rPr>
                <w:szCs w:val="20"/>
              </w:rPr>
              <w:t xml:space="preserve"> conveys optimism that there are multiple opportunities available in the community for </w:t>
            </w:r>
            <w:r>
              <w:rPr>
                <w:szCs w:val="20"/>
              </w:rPr>
              <w:t>participants</w:t>
            </w:r>
            <w:r w:rsidRPr="00311D3A">
              <w:rPr>
                <w:szCs w:val="20"/>
              </w:rPr>
              <w:t xml:space="preserve"> to achieve their goals.</w:t>
            </w:r>
          </w:p>
        </w:tc>
      </w:tr>
      <w:tr w:rsidR="006A78B4" w:rsidRPr="00311D3A" w:rsidTr="00AF41A5">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Systematic job development</w:t>
            </w:r>
          </w:p>
          <w:p w:rsidR="006A78B4" w:rsidRPr="00311D3A" w:rsidRDefault="006A78B4" w:rsidP="00511877">
            <w:pPr>
              <w:spacing w:before="40" w:after="40"/>
              <w:jc w:val="both"/>
              <w:rPr>
                <w:szCs w:val="20"/>
              </w:rPr>
            </w:pPr>
            <w:r w:rsidRPr="00311D3A">
              <w:rPr>
                <w:szCs w:val="20"/>
              </w:rPr>
              <w:t xml:space="preserve">Vocational </w:t>
            </w:r>
            <w:r w:rsidR="000C27CE">
              <w:rPr>
                <w:szCs w:val="20"/>
              </w:rPr>
              <w:t>s</w:t>
            </w:r>
            <w:r w:rsidRPr="00311D3A">
              <w:rPr>
                <w:szCs w:val="20"/>
              </w:rPr>
              <w:t xml:space="preserve">pecialists develop relationships with employers, based upon participants’ work preferences, by meeting face-to-face with employers over multiple visits. Vocational </w:t>
            </w:r>
            <w:r w:rsidR="000C27CE">
              <w:rPr>
                <w:szCs w:val="20"/>
              </w:rPr>
              <w:t>s</w:t>
            </w:r>
            <w:r w:rsidRPr="00311D3A">
              <w:rPr>
                <w:szCs w:val="20"/>
              </w:rPr>
              <w:t>pecialists learn about the work environment and the employers’ work needs in order to find out about jobs that they may not be aware of at employment sites. They gather information about the nature of job opportunities and assess whether they may be a good job fit.</w:t>
            </w:r>
          </w:p>
        </w:tc>
      </w:tr>
      <w:tr w:rsidR="006A78B4" w:rsidRPr="00311D3A" w:rsidTr="00AF41A5">
        <w:tc>
          <w:tcPr>
            <w:tcW w:w="9781" w:type="dxa"/>
            <w:shd w:val="clear" w:color="auto" w:fill="F2F2F2" w:themeFill="background1" w:themeFillShade="F2"/>
          </w:tcPr>
          <w:p w:rsidR="006A78B4" w:rsidRPr="006A78B4" w:rsidRDefault="006A78B4" w:rsidP="00511877">
            <w:pPr>
              <w:spacing w:before="40" w:after="40"/>
              <w:rPr>
                <w:b/>
                <w:color w:val="00338D" w:themeColor="text2"/>
                <w:szCs w:val="20"/>
              </w:rPr>
            </w:pPr>
            <w:r w:rsidRPr="006A78B4">
              <w:rPr>
                <w:b/>
                <w:color w:val="00338D" w:themeColor="text2"/>
                <w:szCs w:val="20"/>
              </w:rPr>
              <w:t>Time-unlimited and individualised support</w:t>
            </w:r>
          </w:p>
          <w:p w:rsidR="006A78B4" w:rsidRPr="00311D3A" w:rsidRDefault="006A78B4" w:rsidP="004C5759">
            <w:pPr>
              <w:spacing w:before="40" w:after="40"/>
              <w:jc w:val="both"/>
              <w:rPr>
                <w:szCs w:val="20"/>
              </w:rPr>
            </w:pPr>
            <w:r w:rsidRPr="00311D3A">
              <w:rPr>
                <w:szCs w:val="20"/>
              </w:rPr>
              <w:t xml:space="preserve">Support provided to participants is individualised and continued for as long as the participant wants and needs it. Vocational </w:t>
            </w:r>
            <w:r w:rsidR="000C27CE">
              <w:rPr>
                <w:szCs w:val="20"/>
              </w:rPr>
              <w:t>s</w:t>
            </w:r>
            <w:r w:rsidRPr="00311D3A">
              <w:rPr>
                <w:szCs w:val="20"/>
              </w:rPr>
              <w:t xml:space="preserve">pecialists and other members of the treatment team provide employment support, </w:t>
            </w:r>
            <w:proofErr w:type="gramStart"/>
            <w:r w:rsidRPr="00311D3A">
              <w:rPr>
                <w:szCs w:val="20"/>
              </w:rPr>
              <w:t>and also</w:t>
            </w:r>
            <w:proofErr w:type="gramEnd"/>
            <w:r w:rsidRPr="00311D3A">
              <w:rPr>
                <w:szCs w:val="20"/>
              </w:rPr>
              <w:t xml:space="preserve"> seek natural supports for the participant (e.g. family member, co-worker) that would be available over time. The goal is to help the participant become as independent as possible in employment, while providing support and assistance as needed. Once a participant has worked steadily (e.g. one year),</w:t>
            </w:r>
            <w:r w:rsidRPr="00311D3A" w:rsidDel="004C5759">
              <w:rPr>
                <w:szCs w:val="20"/>
              </w:rPr>
              <w:t xml:space="preserve"> </w:t>
            </w:r>
            <w:r w:rsidRPr="00311D3A">
              <w:rPr>
                <w:szCs w:val="20"/>
              </w:rPr>
              <w:t>transitioning from IPS</w:t>
            </w:r>
            <w:r w:rsidR="004C5759">
              <w:rPr>
                <w:szCs w:val="20"/>
              </w:rPr>
              <w:t xml:space="preserve"> is discussed</w:t>
            </w:r>
            <w:r w:rsidRPr="00311D3A">
              <w:rPr>
                <w:szCs w:val="20"/>
              </w:rPr>
              <w:t>.</w:t>
            </w:r>
          </w:p>
        </w:tc>
      </w:tr>
    </w:tbl>
    <w:p w:rsidR="006A78B4" w:rsidRDefault="006A78B4" w:rsidP="006A78B4">
      <w:pPr>
        <w:pStyle w:val="source"/>
      </w:pPr>
      <w:r>
        <w:t xml:space="preserve">Source: Adapted from </w:t>
      </w:r>
      <w:r w:rsidRPr="006271FF">
        <w:t>Dartmouth Ps</w:t>
      </w:r>
      <w:r>
        <w:t>ychiatric Research Centre, 2011</w:t>
      </w:r>
    </w:p>
    <w:p w:rsidR="006A78B4" w:rsidRDefault="006A78B4" w:rsidP="00A62E81">
      <w:pPr>
        <w:pStyle w:val="BodyText"/>
      </w:pPr>
    </w:p>
    <w:p w:rsidR="00AF41A5" w:rsidRDefault="00AF41A5" w:rsidP="005A7907">
      <w:pPr>
        <w:pStyle w:val="Heading2"/>
      </w:pPr>
      <w:bookmarkStart w:id="21" w:name="_Toc41046163"/>
      <w:bookmarkStart w:id="22" w:name="_Toc41553032"/>
      <w:bookmarkStart w:id="23" w:name="_Toc46398182"/>
      <w:r>
        <w:lastRenderedPageBreak/>
        <w:t>Overview of the IPS Trial</w:t>
      </w:r>
      <w:bookmarkEnd w:id="21"/>
      <w:bookmarkEnd w:id="22"/>
      <w:bookmarkEnd w:id="23"/>
    </w:p>
    <w:p w:rsidR="00AF41A5" w:rsidRPr="001B109B" w:rsidRDefault="00084786" w:rsidP="00AF41A5">
      <w:pPr>
        <w:pStyle w:val="BodyText"/>
      </w:pPr>
      <w:r>
        <w:t>T</w:t>
      </w:r>
      <w:r w:rsidR="00AF41A5" w:rsidRPr="001B109B">
        <w:t xml:space="preserve">he 2015-16 Federal Budget </w:t>
      </w:r>
      <w:r>
        <w:t>allocated f</w:t>
      </w:r>
      <w:r w:rsidRPr="001B109B">
        <w:t xml:space="preserve">unding for </w:t>
      </w:r>
      <w:r w:rsidR="009135CF">
        <w:t>IPS to be trialled</w:t>
      </w:r>
      <w:r w:rsidRPr="001B109B">
        <w:t xml:space="preserve"> </w:t>
      </w:r>
      <w:r w:rsidR="00AF41A5" w:rsidRPr="001B109B">
        <w:t xml:space="preserve">to support young people experiencing mild to moderate mental health disorders. </w:t>
      </w:r>
      <w:r>
        <w:t xml:space="preserve">The </w:t>
      </w:r>
      <w:r w:rsidR="00AF41A5" w:rsidRPr="001B109B">
        <w:t xml:space="preserve">IPS Trial </w:t>
      </w:r>
      <w:r>
        <w:t>commenced in 2016 in</w:t>
      </w:r>
      <w:r w:rsidR="000C27CE">
        <w:t xml:space="preserve"> 14 </w:t>
      </w:r>
      <w:r w:rsidR="00AF41A5" w:rsidRPr="001B109B">
        <w:t>headspace sites across Australia</w:t>
      </w:r>
      <w:r w:rsidR="004C5759">
        <w:t xml:space="preserve">. </w:t>
      </w:r>
      <w:r>
        <w:t xml:space="preserve">The Trial was extended in 2019 </w:t>
      </w:r>
      <w:r w:rsidR="00AF41A5" w:rsidRPr="001B109B">
        <w:t>to current and additional sites to June 2021</w:t>
      </w:r>
      <w:r>
        <w:t>. There are now 24 headspace sites delivering IPS as part of the Trial</w:t>
      </w:r>
      <w:r w:rsidR="00AF41A5" w:rsidRPr="001B109B">
        <w:t xml:space="preserve"> (</w:t>
      </w:r>
      <w:r w:rsidR="00AF41A5" w:rsidRPr="001B109B">
        <w:fldChar w:fldCharType="begin"/>
      </w:r>
      <w:r w:rsidR="00AF41A5" w:rsidRPr="001B109B">
        <w:instrText xml:space="preserve"> REF _Ref40884081 \h </w:instrText>
      </w:r>
      <w:r w:rsidR="00AF41A5">
        <w:instrText xml:space="preserve"> \* MERGEFORMAT </w:instrText>
      </w:r>
      <w:r w:rsidR="00AF41A5" w:rsidRPr="001B109B">
        <w:fldChar w:fldCharType="separate"/>
      </w:r>
      <w:r w:rsidR="004C5759">
        <w:t>Figure 2</w:t>
      </w:r>
      <w:r w:rsidR="00AF41A5" w:rsidRPr="001B109B">
        <w:fldChar w:fldCharType="end"/>
      </w:r>
      <w:r w:rsidR="00AF41A5" w:rsidRPr="001B109B">
        <w:t xml:space="preserve">). </w:t>
      </w:r>
    </w:p>
    <w:p w:rsidR="00AF41A5" w:rsidRDefault="00AF41A5" w:rsidP="00AF41A5">
      <w:pPr>
        <w:pStyle w:val="Caption"/>
        <w:keepNext/>
      </w:pPr>
      <w:bookmarkStart w:id="24" w:name="_Ref40884081"/>
      <w:r>
        <w:t xml:space="preserve">Figure </w:t>
      </w:r>
      <w:r>
        <w:fldChar w:fldCharType="begin"/>
      </w:r>
      <w:r>
        <w:instrText>SEQ Figure \* ARABIC</w:instrText>
      </w:r>
      <w:r>
        <w:fldChar w:fldCharType="separate"/>
      </w:r>
      <w:r w:rsidR="00794C69">
        <w:rPr>
          <w:noProof/>
        </w:rPr>
        <w:t>2</w:t>
      </w:r>
      <w:r>
        <w:fldChar w:fldCharType="end"/>
      </w:r>
      <w:bookmarkEnd w:id="24"/>
      <w:r>
        <w:t>: headspace IPS Trial Sites</w:t>
      </w:r>
    </w:p>
    <w:p w:rsidR="00AF41A5" w:rsidRPr="00F26293" w:rsidRDefault="001E0779" w:rsidP="00AF41A5">
      <w:pPr>
        <w:pStyle w:val="BodyText"/>
        <w:rPr>
          <w:sz w:val="22"/>
        </w:rPr>
      </w:pPr>
      <w:r>
        <w:rPr>
          <w:noProof/>
          <w:sz w:val="22"/>
          <w:lang w:eastAsia="en-AU"/>
        </w:rPr>
        <w:drawing>
          <wp:inline distT="0" distB="0" distL="0" distR="0" wp14:anchorId="380DF3A4" wp14:editId="0AEDE760">
            <wp:extent cx="6037889" cy="443397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41743" cy="4436808"/>
                    </a:xfrm>
                    <a:prstGeom prst="rect">
                      <a:avLst/>
                    </a:prstGeom>
                    <a:noFill/>
                  </pic:spPr>
                </pic:pic>
              </a:graphicData>
            </a:graphic>
          </wp:inline>
        </w:drawing>
      </w:r>
    </w:p>
    <w:p w:rsidR="003C2DD9" w:rsidRDefault="00AF41A5" w:rsidP="00AD4B92">
      <w:pPr>
        <w:pStyle w:val="source"/>
      </w:pPr>
      <w:r>
        <w:t>Source: KPMG</w:t>
      </w:r>
    </w:p>
    <w:p w:rsidR="00AD4B92" w:rsidRDefault="00AD4B92" w:rsidP="00AD4B92">
      <w:pPr>
        <w:pStyle w:val="BodyText"/>
      </w:pPr>
    </w:p>
    <w:p w:rsidR="00A62E81" w:rsidRDefault="003C2DD9" w:rsidP="005A7907">
      <w:pPr>
        <w:pStyle w:val="Heading1"/>
      </w:pPr>
      <w:bookmarkStart w:id="25" w:name="_Toc40285037"/>
      <w:bookmarkStart w:id="26" w:name="_Toc41553033"/>
      <w:bookmarkStart w:id="27" w:name="_Toc46398183"/>
      <w:r>
        <w:lastRenderedPageBreak/>
        <w:t>Method</w:t>
      </w:r>
      <w:bookmarkEnd w:id="25"/>
      <w:bookmarkEnd w:id="26"/>
      <w:bookmarkEnd w:id="27"/>
    </w:p>
    <w:p w:rsidR="003B341A" w:rsidRPr="003B341A" w:rsidRDefault="00C64921" w:rsidP="003B341A">
      <w:pPr>
        <w:pStyle w:val="BodyText"/>
      </w:pPr>
      <w:r>
        <w:t>This section presents the methods used to obtain research to respond to the scope of questions.</w:t>
      </w:r>
    </w:p>
    <w:p w:rsidR="003C2DD9" w:rsidRDefault="002244C0" w:rsidP="005A7907">
      <w:pPr>
        <w:pStyle w:val="Heading2"/>
      </w:pPr>
      <w:bookmarkStart w:id="28" w:name="_Toc41553034"/>
      <w:bookmarkStart w:id="29" w:name="_Toc46398184"/>
      <w:r>
        <w:t>Scope of research</w:t>
      </w:r>
      <w:bookmarkEnd w:id="28"/>
      <w:bookmarkEnd w:id="29"/>
    </w:p>
    <w:p w:rsidR="00C64921" w:rsidRPr="00C64921" w:rsidRDefault="00C64921" w:rsidP="50F3C67F">
      <w:pPr>
        <w:pStyle w:val="BodyText"/>
      </w:pPr>
      <w:r>
        <w:t>The scope of the research was limited to two core research questions</w:t>
      </w:r>
      <w:r w:rsidR="43CBBDBD">
        <w:t xml:space="preserve"> and </w:t>
      </w:r>
      <w:r w:rsidR="7A5012CB">
        <w:t>two</w:t>
      </w:r>
      <w:r w:rsidR="5C56A560">
        <w:t xml:space="preserve"> sub-</w:t>
      </w:r>
      <w:r w:rsidR="63264028">
        <w:t>questions</w:t>
      </w:r>
      <w:r w:rsidR="5C56A560">
        <w:t>:</w:t>
      </w:r>
    </w:p>
    <w:p w:rsidR="00C64921" w:rsidRPr="002A0974" w:rsidRDefault="1D6600E5" w:rsidP="00C64921">
      <w:pPr>
        <w:pStyle w:val="BodyText"/>
        <w:numPr>
          <w:ilvl w:val="0"/>
          <w:numId w:val="26"/>
        </w:numPr>
      </w:pPr>
      <w:r>
        <w:t>How could the effectiveness of the IPS model be improved?</w:t>
      </w:r>
    </w:p>
    <w:p w:rsidR="002A0974" w:rsidRPr="002A0974" w:rsidRDefault="79B34391" w:rsidP="2640DE94">
      <w:pPr>
        <w:pStyle w:val="BodyText"/>
        <w:numPr>
          <w:ilvl w:val="0"/>
          <w:numId w:val="30"/>
        </w:numPr>
        <w:rPr>
          <w:rFonts w:asciiTheme="minorHAnsi" w:eastAsiaTheme="minorEastAsia" w:hAnsiTheme="minorHAnsi"/>
        </w:rPr>
      </w:pPr>
      <w:r>
        <w:t xml:space="preserve">What adjustments have been made to the IPS model? </w:t>
      </w:r>
    </w:p>
    <w:p w:rsidR="2640DE94" w:rsidRDefault="79B34391" w:rsidP="2640DE94">
      <w:pPr>
        <w:pStyle w:val="BodyText"/>
        <w:numPr>
          <w:ilvl w:val="0"/>
          <w:numId w:val="30"/>
        </w:numPr>
        <w:rPr>
          <w:rFonts w:asciiTheme="minorHAnsi" w:eastAsiaTheme="minorEastAsia" w:hAnsiTheme="minorHAnsi"/>
        </w:rPr>
      </w:pPr>
      <w:r>
        <w:t>Do adjustments to the IPS model result in improved outcomes?</w:t>
      </w:r>
    </w:p>
    <w:p w:rsidR="1D6600E5" w:rsidRDefault="1D6600E5" w:rsidP="45C2CBDF">
      <w:pPr>
        <w:pStyle w:val="BodyText"/>
        <w:numPr>
          <w:ilvl w:val="0"/>
          <w:numId w:val="26"/>
        </w:numPr>
      </w:pPr>
      <w:r>
        <w:t>What are the considerations in the transferability and scalability of the IPS model?</w:t>
      </w:r>
    </w:p>
    <w:p w:rsidR="002A0974" w:rsidRPr="002A0974" w:rsidRDefault="1D6600E5" w:rsidP="4EBF25EE">
      <w:pPr>
        <w:pStyle w:val="BodyText"/>
        <w:numPr>
          <w:ilvl w:val="0"/>
          <w:numId w:val="31"/>
        </w:numPr>
        <w:rPr>
          <w:rFonts w:asciiTheme="minorHAnsi" w:eastAsiaTheme="minorEastAsia" w:hAnsiTheme="minorHAnsi"/>
          <w:szCs w:val="20"/>
        </w:rPr>
      </w:pPr>
      <w:r>
        <w:t xml:space="preserve">Are there any differences in outcomes for different cohort groups or those in different locations? </w:t>
      </w:r>
    </w:p>
    <w:p w:rsidR="1D6600E5" w:rsidRDefault="1D6600E5" w:rsidP="4EBF25EE">
      <w:pPr>
        <w:pStyle w:val="BodyText"/>
        <w:numPr>
          <w:ilvl w:val="0"/>
          <w:numId w:val="31"/>
        </w:numPr>
        <w:rPr>
          <w:rFonts w:asciiTheme="minorHAnsi" w:eastAsiaTheme="minorEastAsia" w:hAnsiTheme="minorHAnsi"/>
          <w:szCs w:val="20"/>
        </w:rPr>
      </w:pPr>
      <w:r>
        <w:t>Are there any considerations or adjustments to the model required for different cohort groups or different locations?</w:t>
      </w:r>
    </w:p>
    <w:p w:rsidR="50F3C67F" w:rsidRDefault="002A0974" w:rsidP="50F3C67F">
      <w:pPr>
        <w:pStyle w:val="BodyText"/>
      </w:pPr>
      <w:r>
        <w:t xml:space="preserve">The research did not consider the general evidence base around the use of the IPS model and its implementation, which was included in the literature review undertaken as part of the first evaluation of the IPS Trial. </w:t>
      </w:r>
    </w:p>
    <w:p w:rsidR="002244C0" w:rsidRDefault="002244C0" w:rsidP="005A7907">
      <w:pPr>
        <w:pStyle w:val="Heading2"/>
      </w:pPr>
      <w:bookmarkStart w:id="30" w:name="_Toc41553035"/>
      <w:bookmarkStart w:id="31" w:name="_Toc46398185"/>
      <w:r>
        <w:t>Research methods</w:t>
      </w:r>
      <w:bookmarkEnd w:id="30"/>
      <w:bookmarkEnd w:id="31"/>
    </w:p>
    <w:p w:rsidR="0E6E000B" w:rsidRDefault="0E6E000B" w:rsidP="5261EFD8">
      <w:pPr>
        <w:pStyle w:val="BodyText"/>
      </w:pPr>
      <w:r>
        <w:t xml:space="preserve">The </w:t>
      </w:r>
      <w:r w:rsidR="002F479F">
        <w:t>l</w:t>
      </w:r>
      <w:r>
        <w:t xml:space="preserve">iterature </w:t>
      </w:r>
      <w:r w:rsidR="002F479F">
        <w:t>r</w:t>
      </w:r>
      <w:r>
        <w:t xml:space="preserve">eview is based on findings from desktop-based research, using literature from Australia, New Zealand, Canada, the United States and the United Kingdom. </w:t>
      </w:r>
    </w:p>
    <w:p w:rsidR="007D084B" w:rsidRDefault="007D084B" w:rsidP="5261EFD8">
      <w:pPr>
        <w:pStyle w:val="BodyText"/>
      </w:pPr>
      <w:r>
        <w:t xml:space="preserve">A full list of search terms is contained in </w:t>
      </w:r>
      <w:r w:rsidR="00DD0AE9">
        <w:fldChar w:fldCharType="begin"/>
      </w:r>
      <w:r w:rsidR="00DD0AE9">
        <w:instrText xml:space="preserve"> REF _Ref46394809 \w \h </w:instrText>
      </w:r>
      <w:r w:rsidR="00DD0AE9">
        <w:fldChar w:fldCharType="separate"/>
      </w:r>
      <w:r w:rsidR="00DD0AE9">
        <w:t>Appendix B</w:t>
      </w:r>
      <w:r w:rsidR="00DD0AE9">
        <w:fldChar w:fldCharType="end"/>
      </w:r>
      <w:r>
        <w:t>.</w:t>
      </w:r>
    </w:p>
    <w:p w:rsidR="6E810A11" w:rsidRDefault="00743812" w:rsidP="00225205">
      <w:pPr>
        <w:pStyle w:val="BodyText"/>
        <w:rPr>
          <w:i/>
        </w:rPr>
      </w:pPr>
      <w:r>
        <w:t>The</w:t>
      </w:r>
      <w:r w:rsidR="03C0D057">
        <w:t xml:space="preserve"> following databases </w:t>
      </w:r>
      <w:r>
        <w:t>were used</w:t>
      </w:r>
      <w:r w:rsidR="03C0D057">
        <w:t xml:space="preserve"> to search for the literature</w:t>
      </w:r>
      <w:r w:rsidR="00DD0AE9">
        <w:t>:</w:t>
      </w:r>
      <w:r w:rsidR="03C0D057">
        <w:t xml:space="preserve"> </w:t>
      </w:r>
      <w:r w:rsidR="03C0D057" w:rsidRPr="773CC64C">
        <w:rPr>
          <w:i/>
        </w:rPr>
        <w:t xml:space="preserve">Google, </w:t>
      </w:r>
      <w:r w:rsidR="03C0D057" w:rsidRPr="773CC64C">
        <w:rPr>
          <w:i/>
          <w:iCs/>
        </w:rPr>
        <w:t>Goo</w:t>
      </w:r>
      <w:r w:rsidR="3BCBDDE3" w:rsidRPr="773CC64C">
        <w:rPr>
          <w:i/>
          <w:iCs/>
        </w:rPr>
        <w:t xml:space="preserve">gle Scholar, </w:t>
      </w:r>
      <w:proofErr w:type="spellStart"/>
      <w:r w:rsidR="3BCBDDE3" w:rsidRPr="773CC64C">
        <w:rPr>
          <w:i/>
          <w:iCs/>
        </w:rPr>
        <w:t>psychArticles</w:t>
      </w:r>
      <w:proofErr w:type="spellEnd"/>
      <w:r w:rsidR="3BCBDDE3" w:rsidRPr="773CC64C">
        <w:rPr>
          <w:i/>
          <w:iCs/>
        </w:rPr>
        <w:t>, Wiley Online and Sage Journals.</w:t>
      </w:r>
    </w:p>
    <w:p w:rsidR="3BCBDDE3" w:rsidRDefault="00CE501C" w:rsidP="773CC64C">
      <w:pPr>
        <w:pStyle w:val="BodyText"/>
        <w:rPr>
          <w:i/>
          <w:iCs/>
        </w:rPr>
      </w:pPr>
      <w:r>
        <w:t>A</w:t>
      </w:r>
      <w:r w:rsidR="3BCBDDE3" w:rsidRPr="773CC64C">
        <w:t xml:space="preserve">rticles were also sourced through a review of sources within the literature </w:t>
      </w:r>
      <w:r w:rsidR="00743812">
        <w:t>examined.</w:t>
      </w:r>
    </w:p>
    <w:p w:rsidR="002244C0" w:rsidRDefault="002244C0" w:rsidP="005A7907">
      <w:pPr>
        <w:pStyle w:val="Heading2"/>
      </w:pPr>
      <w:bookmarkStart w:id="32" w:name="_Toc41553036"/>
      <w:bookmarkStart w:id="33" w:name="_Toc46398186"/>
      <w:r>
        <w:t>Limitations and challenges</w:t>
      </w:r>
      <w:bookmarkEnd w:id="32"/>
      <w:bookmarkEnd w:id="33"/>
    </w:p>
    <w:p w:rsidR="000F26BF" w:rsidRDefault="00BE0A3F" w:rsidP="000F26BF">
      <w:pPr>
        <w:pStyle w:val="BodyText"/>
      </w:pPr>
      <w:r>
        <w:t xml:space="preserve">While there is </w:t>
      </w:r>
      <w:r w:rsidR="007C6F28">
        <w:t>a breadth of</w:t>
      </w:r>
      <w:r>
        <w:t xml:space="preserve"> research dedicated to the core IPS model, there is limited research and </w:t>
      </w:r>
      <w:r w:rsidR="007C6F28">
        <w:t>evidence</w:t>
      </w:r>
      <w:r>
        <w:t xml:space="preserve"> on expansions to the model</w:t>
      </w:r>
      <w:r w:rsidR="00DD0AE9">
        <w:t xml:space="preserve">, </w:t>
      </w:r>
      <w:r>
        <w:t>and what this means for participants. Th</w:t>
      </w:r>
      <w:r w:rsidR="00C63496">
        <w:t>e limitations and challenges are provided</w:t>
      </w:r>
      <w:r>
        <w:t xml:space="preserve"> below:</w:t>
      </w:r>
    </w:p>
    <w:p w:rsidR="00BE0A3F" w:rsidRDefault="00BE0A3F" w:rsidP="00BE0A3F">
      <w:pPr>
        <w:pStyle w:val="BodyText"/>
        <w:numPr>
          <w:ilvl w:val="0"/>
          <w:numId w:val="27"/>
        </w:numPr>
      </w:pPr>
      <w:r>
        <w:t xml:space="preserve">Limited research containing </w:t>
      </w:r>
      <w:r w:rsidR="002734DF">
        <w:t>new</w:t>
      </w:r>
      <w:r>
        <w:t xml:space="preserve"> information was available, </w:t>
      </w:r>
      <w:r w:rsidR="002734DF">
        <w:t>with research often being</w:t>
      </w:r>
      <w:r>
        <w:t xml:space="preserve"> over five years old. In these instances</w:t>
      </w:r>
      <w:r w:rsidR="00DD0AE9">
        <w:t>,</w:t>
      </w:r>
      <w:r>
        <w:t xml:space="preserve"> older articles were included as they were often referenced within more recent research or proved to be the most up-to-date research available on the topic. </w:t>
      </w:r>
    </w:p>
    <w:p w:rsidR="00BE0A3F" w:rsidRDefault="00BE0A3F" w:rsidP="00BE0A3F">
      <w:pPr>
        <w:pStyle w:val="BodyText"/>
        <w:numPr>
          <w:ilvl w:val="0"/>
          <w:numId w:val="27"/>
        </w:numPr>
      </w:pPr>
      <w:r>
        <w:t xml:space="preserve">Many articles, while mentioning methods, did not go into detail of limitations and future improvements pertaining to data collection, therefore this research does not assess </w:t>
      </w:r>
      <w:r w:rsidR="007C6F28">
        <w:t>how data</w:t>
      </w:r>
      <w:r>
        <w:t xml:space="preserve"> quality </w:t>
      </w:r>
      <w:r w:rsidR="007C6F28">
        <w:t>can be strengthened</w:t>
      </w:r>
      <w:r>
        <w:t>.</w:t>
      </w:r>
    </w:p>
    <w:p w:rsidR="00BE0A3F" w:rsidRDefault="00BE0A3F" w:rsidP="00BE0A3F">
      <w:pPr>
        <w:pStyle w:val="BodyText"/>
        <w:numPr>
          <w:ilvl w:val="0"/>
          <w:numId w:val="27"/>
        </w:numPr>
      </w:pPr>
      <w:r>
        <w:t xml:space="preserve">Limited research within in-scope topic areas resulted in findings not having a strong evidence base, and </w:t>
      </w:r>
      <w:r w:rsidR="007C6F28">
        <w:t>therefore specific recommendations were unable to be formed</w:t>
      </w:r>
      <w:r>
        <w:t>.</w:t>
      </w:r>
    </w:p>
    <w:p w:rsidR="00BE0A3F" w:rsidRDefault="00BE0A3F" w:rsidP="00BE0A3F">
      <w:pPr>
        <w:pStyle w:val="BodyText"/>
        <w:numPr>
          <w:ilvl w:val="0"/>
          <w:numId w:val="27"/>
        </w:numPr>
      </w:pPr>
      <w:r>
        <w:t>Due to the limited nature of IPS trials within Australia, international literature has been heavily leveraged to draw conclusions, therefore in some instances</w:t>
      </w:r>
      <w:r w:rsidR="00DD0AE9">
        <w:t>,</w:t>
      </w:r>
      <w:r>
        <w:t xml:space="preserve"> there are additional considerations to implement</w:t>
      </w:r>
      <w:r w:rsidR="00F570B7">
        <w:t>ation</w:t>
      </w:r>
      <w:r>
        <w:t xml:space="preserve"> in the domestic context. </w:t>
      </w:r>
    </w:p>
    <w:p w:rsidR="003C2DD9" w:rsidRDefault="002244C0" w:rsidP="005A7907">
      <w:pPr>
        <w:pStyle w:val="Heading1"/>
      </w:pPr>
      <w:bookmarkStart w:id="34" w:name="_Toc41553037"/>
      <w:bookmarkStart w:id="35" w:name="_Toc46398187"/>
      <w:r>
        <w:lastRenderedPageBreak/>
        <w:t>Key findings</w:t>
      </w:r>
      <w:bookmarkEnd w:id="34"/>
      <w:bookmarkEnd w:id="35"/>
    </w:p>
    <w:p w:rsidR="001D6302" w:rsidRPr="001D6302" w:rsidRDefault="001D6302" w:rsidP="001D6302">
      <w:pPr>
        <w:pStyle w:val="BodyText"/>
      </w:pPr>
      <w:r>
        <w:t>This section provides an overview of t</w:t>
      </w:r>
      <w:r w:rsidR="00BA45A1">
        <w:t>he key findings in relation to the r</w:t>
      </w:r>
      <w:r>
        <w:t>esearch questions.</w:t>
      </w:r>
    </w:p>
    <w:p w:rsidR="003C2DD9" w:rsidRDefault="003C2DD9" w:rsidP="005A7907">
      <w:pPr>
        <w:pStyle w:val="Heading2"/>
      </w:pPr>
      <w:bookmarkStart w:id="36" w:name="_Toc41553038"/>
      <w:bookmarkStart w:id="37" w:name="_Toc46398188"/>
      <w:r>
        <w:t xml:space="preserve">The evolution of the </w:t>
      </w:r>
      <w:bookmarkEnd w:id="36"/>
      <w:r w:rsidR="0039776C">
        <w:t>IPS model</w:t>
      </w:r>
      <w:bookmarkEnd w:id="37"/>
    </w:p>
    <w:p w:rsidR="00CF2112" w:rsidRDefault="00041CA8" w:rsidP="00CF2112">
      <w:pPr>
        <w:pStyle w:val="BodyText"/>
      </w:pPr>
      <w:r>
        <w:t>T</w:t>
      </w:r>
      <w:r w:rsidR="00CF2112" w:rsidRPr="00CF2112">
        <w:t xml:space="preserve">here have been several vocational rehabilitation </w:t>
      </w:r>
      <w:r>
        <w:t>models</w:t>
      </w:r>
      <w:r w:rsidR="00CF2112" w:rsidRPr="00CF2112" w:rsidDel="00EF7C08">
        <w:t xml:space="preserve"> </w:t>
      </w:r>
      <w:r w:rsidR="00EF7C08">
        <w:t>developed</w:t>
      </w:r>
      <w:r w:rsidR="00EF7C08" w:rsidRPr="00CF2112">
        <w:t xml:space="preserve"> </w:t>
      </w:r>
      <w:r>
        <w:t>to support</w:t>
      </w:r>
      <w:r w:rsidR="00CF2112" w:rsidRPr="00CF2112">
        <w:t xml:space="preserve"> people with mental illness to achieve employment</w:t>
      </w:r>
      <w:r>
        <w:t xml:space="preserve"> (Waghorn et al 2007)</w:t>
      </w:r>
      <w:r w:rsidR="00CF2112" w:rsidRPr="00CF2112">
        <w:t xml:space="preserve">. </w:t>
      </w:r>
      <w:r>
        <w:t>Research shows th</w:t>
      </w:r>
      <w:r w:rsidR="00CF2112" w:rsidRPr="00CF2112">
        <w:t>e IPS model</w:t>
      </w:r>
      <w:r>
        <w:t xml:space="preserve"> </w:t>
      </w:r>
      <w:r w:rsidR="00CF2112" w:rsidRPr="00CF2112">
        <w:t>is the strongest</w:t>
      </w:r>
      <w:r w:rsidR="004C5759">
        <w:t xml:space="preserve"> </w:t>
      </w:r>
      <w:r w:rsidR="00CF2112" w:rsidRPr="00CF2112">
        <w:t>evidence</w:t>
      </w:r>
      <w:r w:rsidR="004C5759">
        <w:t>-</w:t>
      </w:r>
      <w:r w:rsidR="00CF2112" w:rsidRPr="00CF2112">
        <w:t>based model</w:t>
      </w:r>
      <w:r>
        <w:t xml:space="preserve"> available</w:t>
      </w:r>
      <w:r w:rsidR="00CF2112" w:rsidRPr="00CF2112">
        <w:t xml:space="preserve">, </w:t>
      </w:r>
      <w:r>
        <w:t xml:space="preserve">using and adopting </w:t>
      </w:r>
      <w:r w:rsidR="00CF2112" w:rsidRPr="00CF2112">
        <w:t>a range of methods to support people with mental illness (Drake et al. 1996). Despite its success</w:t>
      </w:r>
      <w:r w:rsidR="00DF4BF6">
        <w:t>,</w:t>
      </w:r>
      <w:r w:rsidR="00CF2112" w:rsidRPr="00CF2112">
        <w:t xml:space="preserve"> Boycott et al. (2012) suggeste</w:t>
      </w:r>
      <w:r>
        <w:t>d</w:t>
      </w:r>
      <w:r w:rsidR="00CF2112" w:rsidRPr="00CF2112">
        <w:t xml:space="preserve"> that the next step in the development of the IPS model is to </w:t>
      </w:r>
      <w:r>
        <w:t>incorporate it</w:t>
      </w:r>
      <w:r w:rsidR="00CF2112" w:rsidRPr="00CF2112">
        <w:t xml:space="preserve"> </w:t>
      </w:r>
      <w:r>
        <w:t>“…</w:t>
      </w:r>
      <w:r w:rsidR="00CF2112" w:rsidRPr="00CF2112">
        <w:t xml:space="preserve">with other interventions which may increase employment rates and improve job tenure". Therefore, this section discusses other expansions and improvements that have been made </w:t>
      </w:r>
      <w:r>
        <w:t>within</w:t>
      </w:r>
      <w:r w:rsidRPr="00CF2112">
        <w:t xml:space="preserve"> </w:t>
      </w:r>
      <w:r w:rsidR="00CF2112" w:rsidRPr="00CF2112">
        <w:t>IPS programs for this purpose.</w:t>
      </w:r>
    </w:p>
    <w:p w:rsidR="003C2DD9" w:rsidRPr="00D90E30" w:rsidRDefault="00CF2112" w:rsidP="00437799">
      <w:pPr>
        <w:pStyle w:val="Heading3"/>
      </w:pPr>
      <w:r w:rsidRPr="00D90E30">
        <w:t xml:space="preserve">Integrating other services to enhance the </w:t>
      </w:r>
      <w:r w:rsidR="0039776C">
        <w:t>IPS</w:t>
      </w:r>
      <w:r w:rsidRPr="00D90E30">
        <w:t xml:space="preserve"> model</w:t>
      </w:r>
    </w:p>
    <w:p w:rsidR="001E0779" w:rsidRPr="001E0779" w:rsidRDefault="00837973" w:rsidP="005A331E">
      <w:pPr>
        <w:pStyle w:val="BodyText"/>
      </w:pPr>
      <w:r>
        <w:t xml:space="preserve">Research has demonstrated that there are </w:t>
      </w:r>
      <w:proofErr w:type="gramStart"/>
      <w:r>
        <w:t>a number of</w:t>
      </w:r>
      <w:proofErr w:type="gramEnd"/>
      <w:r>
        <w:t xml:space="preserve"> service additions that can be provided to improve employability through job readiness. This is demonstrated through the delivery of practical skills training and interaction</w:t>
      </w:r>
      <w:r w:rsidR="00DE6CF2">
        <w:t>s</w:t>
      </w:r>
      <w:r>
        <w:t xml:space="preserve"> with the peer group. Th</w:t>
      </w:r>
      <w:r w:rsidR="0045666E">
        <w:t xml:space="preserve">is section provides insight into additional </w:t>
      </w:r>
      <w:r w:rsidR="00DE6CF2">
        <w:t>supports</w:t>
      </w:r>
      <w:r w:rsidR="0045666E">
        <w:t xml:space="preserve"> that have been added to IPS models or other supported employment programs. </w:t>
      </w:r>
    </w:p>
    <w:p w:rsidR="002E7E50" w:rsidRDefault="00CF2112" w:rsidP="00BA7C62">
      <w:pPr>
        <w:pStyle w:val="Heading4"/>
        <w:numPr>
          <w:ilvl w:val="0"/>
          <w:numId w:val="0"/>
        </w:numPr>
        <w:ind w:left="992" w:hanging="992"/>
      </w:pPr>
      <w:r>
        <w:t>Practical skills trai</w:t>
      </w:r>
      <w:r w:rsidRPr="005A7907">
        <w:rPr>
          <w:color w:val="0091DA"/>
        </w:rPr>
        <w:t xml:space="preserve">ning </w:t>
      </w:r>
    </w:p>
    <w:p w:rsidR="00156111" w:rsidRPr="002E7E50" w:rsidRDefault="002E7E50" w:rsidP="00156111">
      <w:pPr>
        <w:pStyle w:val="BodyText"/>
      </w:pPr>
      <w:r w:rsidRPr="00CB3A27">
        <w:t>Some critics of the IPS model have argued that participants may lack the skills needed to perform on the job and, as a result, require additional skills training</w:t>
      </w:r>
      <w:r>
        <w:t xml:space="preserve"> (</w:t>
      </w:r>
      <w:proofErr w:type="spellStart"/>
      <w:r>
        <w:t>Marcias</w:t>
      </w:r>
      <w:proofErr w:type="spellEnd"/>
      <w:r>
        <w:t xml:space="preserve"> et al. 2008; Roberts &amp; Pratt 2007; Rogers et al. 2006)</w:t>
      </w:r>
      <w:r w:rsidRPr="00221D34">
        <w:t xml:space="preserve">. </w:t>
      </w:r>
      <w:r w:rsidR="00EF7C08">
        <w:t>One</w:t>
      </w:r>
      <w:r w:rsidR="00156111" w:rsidRPr="00221D34">
        <w:t xml:space="preserve"> s</w:t>
      </w:r>
      <w:r w:rsidR="004C5759">
        <w:t>tudy suggests that almost three-</w:t>
      </w:r>
      <w:r w:rsidR="00156111" w:rsidRPr="00221D34">
        <w:t>quarters of participants using the IPS model require additional services</w:t>
      </w:r>
      <w:r w:rsidR="00DD0AE9">
        <w:t>,</w:t>
      </w:r>
      <w:r w:rsidR="00156111" w:rsidRPr="00221D34">
        <w:t xml:space="preserve"> such as cognitive, psychosocial skills, and illness management training (Loveland et al. 2007).</w:t>
      </w:r>
      <w:r w:rsidR="00680A6E">
        <w:t xml:space="preserve"> Engaging with additional interventions has shown an increase </w:t>
      </w:r>
      <w:r w:rsidR="006C4CD8">
        <w:t xml:space="preserve">in employment attainment, </w:t>
      </w:r>
      <w:r w:rsidR="00680A6E">
        <w:t>with a mean rate of competitive employment attainment of 52.1 per cent</w:t>
      </w:r>
      <w:r w:rsidR="006C4CD8">
        <w:t xml:space="preserve"> for IPS alone</w:t>
      </w:r>
      <w:r w:rsidR="00680A6E">
        <w:t>, whil</w:t>
      </w:r>
      <w:r w:rsidR="00BA3B14">
        <w:t>e</w:t>
      </w:r>
      <w:r w:rsidR="00680A6E">
        <w:t xml:space="preserve"> enhanced </w:t>
      </w:r>
      <w:r w:rsidR="006C4CD8">
        <w:t xml:space="preserve">IPS models have shown </w:t>
      </w:r>
      <w:r w:rsidR="00B172F3">
        <w:t xml:space="preserve">up to </w:t>
      </w:r>
      <w:r w:rsidR="00680A6E">
        <w:t>76.2 per cent success (Boycott et al. 2012).</w:t>
      </w:r>
      <w:r w:rsidR="00156111" w:rsidRPr="00221D34">
        <w:t xml:space="preserve"> </w:t>
      </w:r>
    </w:p>
    <w:p w:rsidR="008F0491" w:rsidRPr="005A7907" w:rsidRDefault="008F0491" w:rsidP="005A7907">
      <w:pPr>
        <w:pStyle w:val="Heading5"/>
      </w:pPr>
      <w:r w:rsidRPr="005A7907">
        <w:t>Skills training</w:t>
      </w:r>
    </w:p>
    <w:p w:rsidR="008F0491" w:rsidRPr="0026270E" w:rsidRDefault="00833182" w:rsidP="008F0491">
      <w:pPr>
        <w:pStyle w:val="BodyText"/>
      </w:pPr>
      <w:r>
        <w:t>T</w:t>
      </w:r>
      <w:r w:rsidR="008F0491" w:rsidRPr="008F0491">
        <w:t>he Integrated Supported Employment (ISE) model</w:t>
      </w:r>
      <w:r>
        <w:t xml:space="preserve"> teaches</w:t>
      </w:r>
      <w:r w:rsidR="008F0491" w:rsidRPr="008F0491">
        <w:t xml:space="preserve"> participants social skills to retain a job, such as developing good working relationships and </w:t>
      </w:r>
      <w:r w:rsidR="002405C4">
        <w:t>how to manage difficult situations in the workplace (Tsang 2003). A comparison of four</w:t>
      </w:r>
      <w:r w:rsidR="004031D9">
        <w:t xml:space="preserve"> Randomised Controlled Trials</w:t>
      </w:r>
      <w:r w:rsidR="002405C4">
        <w:t xml:space="preserve"> </w:t>
      </w:r>
      <w:r w:rsidR="004031D9">
        <w:t>(</w:t>
      </w:r>
      <w:r w:rsidR="002405C4">
        <w:t>RCT</w:t>
      </w:r>
      <w:r w:rsidR="004031D9">
        <w:t>)</w:t>
      </w:r>
      <w:r w:rsidR="002405C4">
        <w:t xml:space="preserve"> evaluating the effectiveness of the </w:t>
      </w:r>
      <w:r w:rsidR="0026270E" w:rsidRPr="0026270E">
        <w:t>IPS model in conjunction with</w:t>
      </w:r>
      <w:r w:rsidR="0026270E">
        <w:t xml:space="preserve"> ISE </w:t>
      </w:r>
      <w:r w:rsidR="002405C4">
        <w:t xml:space="preserve">with </w:t>
      </w:r>
      <w:r w:rsidR="0026270E">
        <w:t xml:space="preserve">only </w:t>
      </w:r>
      <w:r w:rsidR="002405C4">
        <w:t xml:space="preserve">the IPS model showed that 60 per cent who received the combined model </w:t>
      </w:r>
      <w:r w:rsidR="002405C4" w:rsidRPr="0026270E">
        <w:t xml:space="preserve">attained competitive employment, compared to 30 per cent accessing only </w:t>
      </w:r>
      <w:r w:rsidR="004C5759">
        <w:t xml:space="preserve">the </w:t>
      </w:r>
      <w:r w:rsidR="002405C4" w:rsidRPr="0026270E">
        <w:t xml:space="preserve">IPS model. </w:t>
      </w:r>
    </w:p>
    <w:p w:rsidR="008F0491" w:rsidRDefault="008F0491" w:rsidP="008F0491">
      <w:pPr>
        <w:pStyle w:val="BodyText"/>
      </w:pPr>
      <w:r w:rsidRPr="0026270E">
        <w:t>The Workplace Fundamentals Training (WFT) model teaches workplace skills</w:t>
      </w:r>
      <w:r w:rsidR="002405C4" w:rsidRPr="0026270E">
        <w:t xml:space="preserve">, </w:t>
      </w:r>
      <w:r w:rsidR="0026270E" w:rsidRPr="0026270E">
        <w:t>including</w:t>
      </w:r>
      <w:r w:rsidRPr="0026270E">
        <w:t xml:space="preserve"> problem-solving to cope with job stress and how to successfully interact with colleagues and supervisors (Wallace et al. 1999).</w:t>
      </w:r>
      <w:r w:rsidR="002405C4" w:rsidRPr="0026270E">
        <w:t xml:space="preserve"> </w:t>
      </w:r>
      <w:proofErr w:type="gramStart"/>
      <w:r w:rsidR="002405C4" w:rsidRPr="0026270E">
        <w:t>A</w:t>
      </w:r>
      <w:proofErr w:type="gramEnd"/>
      <w:r w:rsidR="002405C4" w:rsidRPr="0026270E">
        <w:t xml:space="preserve"> RCT compared </w:t>
      </w:r>
      <w:r w:rsidR="0026270E">
        <w:t xml:space="preserve">the </w:t>
      </w:r>
      <w:r w:rsidR="0026270E" w:rsidRPr="0026270E">
        <w:t xml:space="preserve">IPS model in conjunction with WFT </w:t>
      </w:r>
      <w:r w:rsidR="002405C4" w:rsidRPr="0026270E">
        <w:t xml:space="preserve">and a lone IPS model and found no significant differences in the rate of competitive employment. However, the group accessing the </w:t>
      </w:r>
      <w:r w:rsidR="0026270E" w:rsidRPr="0026270E">
        <w:t>IPS model in conjunction with WFT</w:t>
      </w:r>
      <w:r w:rsidR="002405C4" w:rsidRPr="0026270E">
        <w:t xml:space="preserve"> </w:t>
      </w:r>
      <w:r w:rsidR="0026270E" w:rsidRPr="0026270E">
        <w:t>report</w:t>
      </w:r>
      <w:r w:rsidR="00DC73D3">
        <w:t>ed</w:t>
      </w:r>
      <w:r w:rsidR="0026270E" w:rsidRPr="0026270E">
        <w:t xml:space="preserve"> higher levels of job satisfaction than those accessing </w:t>
      </w:r>
      <w:r w:rsidR="004C5759" w:rsidRPr="0026270E">
        <w:t xml:space="preserve">only </w:t>
      </w:r>
      <w:r w:rsidR="0026270E" w:rsidRPr="0026270E">
        <w:t>the IPS model</w:t>
      </w:r>
      <w:r w:rsidR="0026270E" w:rsidRPr="0026270E">
        <w:rPr>
          <w:rStyle w:val="FootnoteReference"/>
        </w:rPr>
        <w:t xml:space="preserve"> </w:t>
      </w:r>
      <w:r w:rsidR="0026270E" w:rsidRPr="0026270E">
        <w:t>(Wallace &amp; Tauber 2004). Wallace and Tauber (2004) also</w:t>
      </w:r>
      <w:r w:rsidRPr="0026270E">
        <w:t xml:space="preserve"> found that participants who received </w:t>
      </w:r>
      <w:r w:rsidR="0026270E" w:rsidRPr="0026270E">
        <w:t>support from the</w:t>
      </w:r>
      <w:r w:rsidRPr="0026270E">
        <w:t xml:space="preserve"> IPS model in conjunction with WFT had longer job retention than participants </w:t>
      </w:r>
      <w:r w:rsidR="0026270E" w:rsidRPr="0026270E">
        <w:t xml:space="preserve">accessing </w:t>
      </w:r>
      <w:r w:rsidR="004C5759" w:rsidRPr="0026270E">
        <w:t xml:space="preserve">only </w:t>
      </w:r>
      <w:r w:rsidRPr="0026270E">
        <w:t>the IPS model</w:t>
      </w:r>
      <w:r w:rsidR="0026270E" w:rsidRPr="0026270E">
        <w:t>.</w:t>
      </w:r>
    </w:p>
    <w:p w:rsidR="00CD78BA" w:rsidRDefault="00CD78BA" w:rsidP="005A7907">
      <w:pPr>
        <w:pStyle w:val="Heading5"/>
      </w:pPr>
      <w:r>
        <w:t xml:space="preserve">Cognitive </w:t>
      </w:r>
      <w:r w:rsidR="00A6356E">
        <w:t>skills training</w:t>
      </w:r>
    </w:p>
    <w:p w:rsidR="00A6356E" w:rsidRPr="00A6356E" w:rsidRDefault="00CD78BA" w:rsidP="00CD78BA">
      <w:pPr>
        <w:pStyle w:val="BodyText"/>
      </w:pPr>
      <w:r>
        <w:t xml:space="preserve">Cognitive skills training has proven to assist people with illness-related challenges to overcome them, and improve their attention, memory and executive functions impacting their vocational outcomes and rate of competitive employment (McGurk &amp; </w:t>
      </w:r>
      <w:proofErr w:type="spellStart"/>
      <w:r>
        <w:t>Mueser</w:t>
      </w:r>
      <w:proofErr w:type="spellEnd"/>
      <w:r>
        <w:t xml:space="preserve"> 2004).</w:t>
      </w:r>
    </w:p>
    <w:p w:rsidR="003C5A8D" w:rsidRDefault="00CD78BA" w:rsidP="005A331E">
      <w:pPr>
        <w:pStyle w:val="BodyText"/>
      </w:pPr>
      <w:r w:rsidRPr="00CD78BA">
        <w:lastRenderedPageBreak/>
        <w:t>Neurocognitive Enhancement Therapy (NET)</w:t>
      </w:r>
      <w:r>
        <w:t xml:space="preserve"> is a specific aspect of </w:t>
      </w:r>
      <w:r w:rsidRPr="00CB3A27">
        <w:t>cognitive skills training</w:t>
      </w:r>
      <w:r w:rsidR="00837973">
        <w:t xml:space="preserve"> focused on providing a </w:t>
      </w:r>
      <w:r w:rsidR="00837973" w:rsidRPr="00CB3A27">
        <w:t>multi</w:t>
      </w:r>
      <w:r w:rsidR="00450960">
        <w:noBreakHyphen/>
      </w:r>
      <w:r w:rsidR="00837973" w:rsidRPr="00CB3A27">
        <w:t xml:space="preserve">faceted cognitive remediation program </w:t>
      </w:r>
      <w:r w:rsidR="00837973">
        <w:t xml:space="preserve">to </w:t>
      </w:r>
      <w:r w:rsidR="00837973" w:rsidRPr="00CB3A27">
        <w:t>improve cognition in participants</w:t>
      </w:r>
      <w:r w:rsidR="00837973">
        <w:t xml:space="preserve"> (Greig et al. 2007). This model </w:t>
      </w:r>
      <w:r w:rsidR="003C5A8D">
        <w:t>provides:</w:t>
      </w:r>
    </w:p>
    <w:p w:rsidR="00CD78BA" w:rsidRPr="005A331E" w:rsidRDefault="00CD78BA" w:rsidP="00DD0AE9">
      <w:pPr>
        <w:pStyle w:val="ListBullet"/>
      </w:pPr>
      <w:r w:rsidRPr="005A331E">
        <w:t>computer-based cognitive training that targets attention, language, memory and executive functioning</w:t>
      </w:r>
      <w:r w:rsidR="004C5759">
        <w:t>;</w:t>
      </w:r>
    </w:p>
    <w:p w:rsidR="00CD78BA" w:rsidRPr="005A331E" w:rsidRDefault="00CD78BA" w:rsidP="00DD0AE9">
      <w:pPr>
        <w:pStyle w:val="ListBullet"/>
      </w:pPr>
      <w:r w:rsidRPr="005A331E">
        <w:t>a social information processing group, where participants prepare and give presentations to other group members, with the group providing and receiving feedback</w:t>
      </w:r>
      <w:r w:rsidR="004A36EA" w:rsidRPr="008526CA">
        <w:t>;</w:t>
      </w:r>
      <w:r w:rsidRPr="005A331E">
        <w:t xml:space="preserve"> and</w:t>
      </w:r>
    </w:p>
    <w:p w:rsidR="00CD78BA" w:rsidRPr="005A331E" w:rsidRDefault="00CD78BA" w:rsidP="00DD0AE9">
      <w:pPr>
        <w:pStyle w:val="ListBullet"/>
      </w:pPr>
      <w:r w:rsidRPr="005A331E">
        <w:t>a work feedback group where employment specialists provide participants with specific feedback based on observation of, and interview</w:t>
      </w:r>
      <w:r w:rsidR="004A36EA" w:rsidRPr="005A331E">
        <w:t>s</w:t>
      </w:r>
      <w:r w:rsidRPr="005A331E">
        <w:t xml:space="preserve"> with, participants</w:t>
      </w:r>
      <w:r w:rsidR="003C5A8D" w:rsidRPr="005A331E">
        <w:t xml:space="preserve"> (Bell et al. 2001; as referenced by Greig et al. 2007)</w:t>
      </w:r>
      <w:r w:rsidRPr="005A331E">
        <w:t xml:space="preserve">. </w:t>
      </w:r>
    </w:p>
    <w:p w:rsidR="00CD78BA" w:rsidRPr="0002493F" w:rsidRDefault="00CD78BA" w:rsidP="0002493F">
      <w:pPr>
        <w:pStyle w:val="BodyText"/>
      </w:pPr>
      <w:r>
        <w:t xml:space="preserve">A study comparing the effects of NET with a </w:t>
      </w:r>
      <w:r w:rsidR="003C5A8D">
        <w:t>vocational program</w:t>
      </w:r>
      <w:r>
        <w:t xml:space="preserve"> </w:t>
      </w:r>
      <w:proofErr w:type="gramStart"/>
      <w:r>
        <w:t>similar to</w:t>
      </w:r>
      <w:proofErr w:type="gramEnd"/>
      <w:r>
        <w:t xml:space="preserve"> IPS found </w:t>
      </w:r>
      <w:r w:rsidR="004C5759">
        <w:t xml:space="preserve">that, </w:t>
      </w:r>
      <w:r>
        <w:t xml:space="preserve">after </w:t>
      </w:r>
      <w:r w:rsidRPr="0002493F">
        <w:t>a year of receiving combined supports</w:t>
      </w:r>
      <w:r w:rsidR="004C5759">
        <w:t>,</w:t>
      </w:r>
      <w:r w:rsidRPr="0002493F">
        <w:t xml:space="preserve"> </w:t>
      </w:r>
      <w:r w:rsidR="00DC73D3">
        <w:t xml:space="preserve">participants </w:t>
      </w:r>
      <w:r w:rsidRPr="0002493F">
        <w:t xml:space="preserve">had improved their executive function and working memory </w:t>
      </w:r>
      <w:r w:rsidR="00DC73D3">
        <w:t>compared to</w:t>
      </w:r>
      <w:r w:rsidR="00DC73D3" w:rsidRPr="0002493F">
        <w:t xml:space="preserve"> </w:t>
      </w:r>
      <w:r w:rsidRPr="0002493F">
        <w:t>those who only accessed supported employment</w:t>
      </w:r>
      <w:r w:rsidR="00A6356E" w:rsidRPr="0002493F">
        <w:t xml:space="preserve"> (Greig et al. 2007)</w:t>
      </w:r>
      <w:r w:rsidRPr="0002493F">
        <w:t>.</w:t>
      </w:r>
    </w:p>
    <w:p w:rsidR="00CD78BA" w:rsidRDefault="00A6356E" w:rsidP="0002493F">
      <w:pPr>
        <w:pStyle w:val="BodyText"/>
      </w:pPr>
      <w:r w:rsidRPr="0002493F">
        <w:t xml:space="preserve">The Thinking Skills for Work (TSFW) program, when paired with </w:t>
      </w:r>
      <w:r w:rsidR="003C5A8D">
        <w:t>supported employment</w:t>
      </w:r>
      <w:r w:rsidRPr="0002493F">
        <w:t>, includes a cognitive specialist working with the</w:t>
      </w:r>
      <w:r w:rsidRPr="0002493F" w:rsidDel="003C5A8D">
        <w:t xml:space="preserve"> </w:t>
      </w:r>
      <w:r w:rsidRPr="0002493F">
        <w:t xml:space="preserve">employment specialist on the </w:t>
      </w:r>
      <w:r w:rsidR="003C5A8D">
        <w:t>service delivery</w:t>
      </w:r>
      <w:r w:rsidR="003C5A8D" w:rsidRPr="0002493F">
        <w:t xml:space="preserve"> </w:t>
      </w:r>
      <w:r w:rsidRPr="0002493F">
        <w:t>team. Within the model</w:t>
      </w:r>
      <w:r w:rsidR="004C5759">
        <w:t>,</w:t>
      </w:r>
      <w:r w:rsidRPr="0002493F">
        <w:t xml:space="preserve"> the participant completes a computer</w:t>
      </w:r>
      <w:r w:rsidR="004C5759">
        <w:t>-</w:t>
      </w:r>
      <w:r w:rsidRPr="0002493F">
        <w:t xml:space="preserve">based cognitive assessment that covers attention, memory, executive functioning and other cognitive domains. </w:t>
      </w:r>
      <w:r w:rsidR="004C5759">
        <w:t>Thereafter</w:t>
      </w:r>
      <w:r w:rsidRPr="0002493F">
        <w:t>, the cognitive specialist provides the participant with tailored, cognitive remediation support based on their cognitive strengths and challenges. A study comparing the</w:t>
      </w:r>
      <w:r w:rsidRPr="0002493F" w:rsidDel="003C5A8D">
        <w:t xml:space="preserve"> </w:t>
      </w:r>
      <w:r w:rsidR="003C5A8D">
        <w:t xml:space="preserve">supported employment </w:t>
      </w:r>
      <w:r w:rsidRPr="0002493F">
        <w:t>and TSFW combined model to an IPS only model found that those accessing services from the combined model had stronger competitive employment rates and greater earnings (McGurk et al. 2005)</w:t>
      </w:r>
      <w:r w:rsidR="004C5759">
        <w:t>,</w:t>
      </w:r>
      <w:r w:rsidR="003C5A8D">
        <w:t xml:space="preserve"> </w:t>
      </w:r>
      <w:r w:rsidR="004C5759">
        <w:t>w</w:t>
      </w:r>
      <w:r w:rsidR="003C5A8D">
        <w:t xml:space="preserve">ith </w:t>
      </w:r>
      <w:r w:rsidR="00E2021A">
        <w:t>69.6 per cent of</w:t>
      </w:r>
      <w:r w:rsidR="003C5A8D">
        <w:t xml:space="preserve"> those accessing the combined TSFW program and supported employment </w:t>
      </w:r>
      <w:r w:rsidR="00E2021A">
        <w:t>achieving</w:t>
      </w:r>
      <w:r w:rsidR="003C5A8D">
        <w:t xml:space="preserve"> an employment outcome over a one year period when compared to 4.8 per cent for those only accessing supported employment </w:t>
      </w:r>
      <w:r w:rsidR="003C5A8D" w:rsidRPr="0002493F">
        <w:t>(McGurk et al. 2005)</w:t>
      </w:r>
      <w:r w:rsidR="003C5A8D">
        <w:t xml:space="preserve">. </w:t>
      </w:r>
    </w:p>
    <w:p w:rsidR="0002493F" w:rsidRDefault="0002493F" w:rsidP="0002493F">
      <w:pPr>
        <w:pStyle w:val="BodyText"/>
      </w:pPr>
      <w:r>
        <w:t xml:space="preserve">Errorless learning involves </w:t>
      </w:r>
      <w:r w:rsidRPr="0002493F">
        <w:t>repetitively practising tasks whil</w:t>
      </w:r>
      <w:r w:rsidR="00BA3B14">
        <w:t>e</w:t>
      </w:r>
      <w:r w:rsidRPr="0002493F">
        <w:t xml:space="preserve"> eliminating mistakes, to enhance learning</w:t>
      </w:r>
      <w:r w:rsidR="001D7855">
        <w:t xml:space="preserve">. It is </w:t>
      </w:r>
      <w:r>
        <w:t xml:space="preserve">commonly used for people with </w:t>
      </w:r>
      <w:r w:rsidRPr="00CB3A27">
        <w:t>learning disabilities, dementia, and schizophrenia</w:t>
      </w:r>
      <w:r>
        <w:t xml:space="preserve"> (Jones &amp; </w:t>
      </w:r>
      <w:proofErr w:type="spellStart"/>
      <w:r>
        <w:t>Eayrs</w:t>
      </w:r>
      <w:proofErr w:type="spellEnd"/>
      <w:r>
        <w:t xml:space="preserve"> 1992; Clare et al. 2000; Kern et al. 2002). Kern et al. (2002) identified that those accessing a combined errorless learning and IPS model remained in competitive employment for a greater duration than those accessing only IPS services</w:t>
      </w:r>
      <w:r w:rsidR="004C5759">
        <w:t>,</w:t>
      </w:r>
      <w:r>
        <w:t xml:space="preserve"> </w:t>
      </w:r>
      <w:r w:rsidR="004C5759">
        <w:t>w</w:t>
      </w:r>
      <w:r>
        <w:t>ith those accessing the combined model remaining</w:t>
      </w:r>
      <w:r w:rsidR="001D7855">
        <w:t xml:space="preserve"> in employment</w:t>
      </w:r>
      <w:r>
        <w:t xml:space="preserve"> for 32.8 weeks, compared to 25.6 weeks for IPS model </w:t>
      </w:r>
      <w:r w:rsidR="00C70C3B">
        <w:t xml:space="preserve">only </w:t>
      </w:r>
      <w:r>
        <w:t xml:space="preserve">participants. </w:t>
      </w:r>
    </w:p>
    <w:p w:rsidR="0002493F" w:rsidRDefault="00DB3E73" w:rsidP="0002493F">
      <w:pPr>
        <w:pStyle w:val="BodyText"/>
      </w:pPr>
      <w:r>
        <w:t xml:space="preserve">Recently, </w:t>
      </w:r>
      <w:r w:rsidRPr="00DB3E73">
        <w:t>Cognitive Behavioural Therapy (CBT)</w:t>
      </w:r>
      <w:r>
        <w:t xml:space="preserve"> was tri</w:t>
      </w:r>
      <w:r w:rsidR="00D62544">
        <w:t>a</w:t>
      </w:r>
      <w:r>
        <w:t>l</w:t>
      </w:r>
      <w:r w:rsidR="000761A2">
        <w:t>l</w:t>
      </w:r>
      <w:r>
        <w:t xml:space="preserve">ed with the IPS model to assist people with mental illness to cope with </w:t>
      </w:r>
      <w:r w:rsidRPr="00DB3E73">
        <w:t>employment-related stressors.</w:t>
      </w:r>
      <w:r>
        <w:t xml:space="preserve"> </w:t>
      </w:r>
      <w:proofErr w:type="gramStart"/>
      <w:r>
        <w:t>Similar to</w:t>
      </w:r>
      <w:proofErr w:type="gramEnd"/>
      <w:r>
        <w:t xml:space="preserve"> the other programs</w:t>
      </w:r>
      <w:r w:rsidR="004C5759">
        <w:t>,</w:t>
      </w:r>
      <w:r>
        <w:t xml:space="preserve"> it uses </w:t>
      </w:r>
      <w:r w:rsidRPr="00DB3E73">
        <w:t>problem-solving skills and cognitive rehabilitation aimed at improving attention, language, me</w:t>
      </w:r>
      <w:r>
        <w:t>mory, and executive functioning</w:t>
      </w:r>
      <w:r w:rsidR="004C5759">
        <w:t>,</w:t>
      </w:r>
      <w:r>
        <w:t xml:space="preserve"> and differs to include improving interpersonal skills. A comparison of the IPS model and the combined CBT IPS model found both methods improved competitive employment rates, however those accessing the combined model </w:t>
      </w:r>
      <w:r w:rsidR="00B623E8">
        <w:t xml:space="preserve">were more successful in maintaining a greater employment duration (Boycott et al. 2016). Another RCT with 1,193 participants compared a combined model with an IPS model as the </w:t>
      </w:r>
      <w:proofErr w:type="gramStart"/>
      <w:r w:rsidR="00B623E8">
        <w:t>control, and</w:t>
      </w:r>
      <w:proofErr w:type="gramEnd"/>
      <w:r w:rsidR="00B623E8">
        <w:t xml:space="preserve"> found a statistically significant difference with </w:t>
      </w:r>
      <w:r w:rsidR="00B623E8" w:rsidRPr="00B623E8">
        <w:t>44.2 per cent</w:t>
      </w:r>
      <w:r w:rsidR="00B623E8">
        <w:t xml:space="preserve"> of the</w:t>
      </w:r>
      <w:r w:rsidR="00B623E8" w:rsidRPr="00B623E8">
        <w:t xml:space="preserve"> treatment group maintain</w:t>
      </w:r>
      <w:r w:rsidR="00D62544">
        <w:t>ing</w:t>
      </w:r>
      <w:r w:rsidR="00B623E8" w:rsidRPr="00B623E8">
        <w:t xml:space="preserve"> competitive employment at 18 months compared to</w:t>
      </w:r>
      <w:r w:rsidR="00B623E8">
        <w:t xml:space="preserve"> </w:t>
      </w:r>
      <w:r w:rsidR="00B623E8" w:rsidRPr="00B623E8">
        <w:t>37.2 per cent</w:t>
      </w:r>
      <w:r w:rsidR="00B623E8">
        <w:t xml:space="preserve"> of</w:t>
      </w:r>
      <w:r w:rsidR="00B623E8" w:rsidRPr="00B623E8">
        <w:t xml:space="preserve"> the control group</w:t>
      </w:r>
      <w:r w:rsidR="00B623E8">
        <w:t xml:space="preserve"> (</w:t>
      </w:r>
      <w:proofErr w:type="spellStart"/>
      <w:r w:rsidR="00B623E8">
        <w:t>Reme</w:t>
      </w:r>
      <w:proofErr w:type="spellEnd"/>
      <w:r w:rsidR="00B623E8">
        <w:t xml:space="preserve"> et al. 2015).</w:t>
      </w:r>
      <w:r w:rsidR="0071392E">
        <w:t xml:space="preserve"> </w:t>
      </w:r>
      <w:proofErr w:type="spellStart"/>
      <w:r w:rsidR="0071392E">
        <w:t>Reme</w:t>
      </w:r>
      <w:proofErr w:type="spellEnd"/>
      <w:r w:rsidR="0071392E">
        <w:t xml:space="preserve"> et al. (2015) also identified that there were additional differences in non-vocational outcomes for the treatment group, </w:t>
      </w:r>
      <w:r w:rsidR="004C5759">
        <w:t>whereby they</w:t>
      </w:r>
      <w:r w:rsidR="0071392E">
        <w:t xml:space="preserve"> experienc</w:t>
      </w:r>
      <w:r w:rsidR="004C5759">
        <w:t>ed</w:t>
      </w:r>
      <w:r w:rsidR="0071392E">
        <w:t xml:space="preserve"> </w:t>
      </w:r>
      <w:r w:rsidR="0071392E" w:rsidRPr="00CB3A27">
        <w:t>reduced depression and anxiety symptoms and an increase in health-related quality of life</w:t>
      </w:r>
      <w:r w:rsidR="0071392E">
        <w:t>.</w:t>
      </w:r>
    </w:p>
    <w:p w:rsidR="0071392E" w:rsidRDefault="004A36EA" w:rsidP="004A36EA">
      <w:pPr>
        <w:pStyle w:val="BodyText"/>
      </w:pPr>
      <w:r>
        <w:t xml:space="preserve">Through incorporating cognitive skills training into the IPS model, as described, there are benefits for </w:t>
      </w:r>
      <w:r w:rsidR="00C70C3B">
        <w:t>those that</w:t>
      </w:r>
      <w:r>
        <w:t xml:space="preserve"> </w:t>
      </w:r>
      <w:r w:rsidR="00C70C3B">
        <w:t>assist</w:t>
      </w:r>
      <w:r>
        <w:t xml:space="preserve"> to develop participants</w:t>
      </w:r>
      <w:r w:rsidR="004C5759">
        <w:t>’</w:t>
      </w:r>
      <w:r>
        <w:t xml:space="preserve"> core interpersonal </w:t>
      </w:r>
      <w:r w:rsidR="0071392E" w:rsidDel="004A36EA">
        <w:t>skills</w:t>
      </w:r>
      <w:r w:rsidR="0071392E">
        <w:t xml:space="preserve"> (Rose &amp; </w:t>
      </w:r>
      <w:proofErr w:type="spellStart"/>
      <w:r w:rsidR="0071392E">
        <w:t>Perz</w:t>
      </w:r>
      <w:proofErr w:type="spellEnd"/>
      <w:r w:rsidR="0071392E">
        <w:t xml:space="preserve"> 2005). When combined with the IPS model</w:t>
      </w:r>
      <w:r w:rsidR="004C5759">
        <w:t>,</w:t>
      </w:r>
      <w:r w:rsidR="0071392E">
        <w:t xml:space="preserve"> the training </w:t>
      </w:r>
      <w:r w:rsidR="00C70C3B">
        <w:t>provides</w:t>
      </w:r>
      <w:r w:rsidR="0071392E">
        <w:t xml:space="preserve"> </w:t>
      </w:r>
      <w:r w:rsidR="00C70C3B">
        <w:t>individuals</w:t>
      </w:r>
      <w:r w:rsidR="0071392E">
        <w:t xml:space="preserve"> the skills to better overcome </w:t>
      </w:r>
      <w:r w:rsidR="00D62544">
        <w:t xml:space="preserve">the </w:t>
      </w:r>
      <w:r w:rsidR="0071392E">
        <w:t>employment barriers facing people with mental illness.</w:t>
      </w:r>
      <w:r w:rsidR="008F0491">
        <w:t xml:space="preserve"> In these studies</w:t>
      </w:r>
      <w:r w:rsidR="00D62544">
        <w:t>,</w:t>
      </w:r>
      <w:r w:rsidR="008F0491">
        <w:t xml:space="preserve"> cognitive training was used in addition to </w:t>
      </w:r>
      <w:r w:rsidR="00D62544">
        <w:t xml:space="preserve">the </w:t>
      </w:r>
      <w:r w:rsidR="008F0491" w:rsidRPr="0071392E">
        <w:t>therapeutic mental illness treatment provided to participants</w:t>
      </w:r>
      <w:r w:rsidR="008F0491">
        <w:t xml:space="preserve"> as </w:t>
      </w:r>
      <w:r w:rsidR="008F0491" w:rsidRPr="0071392E">
        <w:t>part of the baseline principles underpinning IPS.</w:t>
      </w:r>
      <w:r w:rsidR="008F0491">
        <w:t xml:space="preserve"> Therefore, it is important to note that </w:t>
      </w:r>
      <w:r w:rsidR="008F0491" w:rsidRPr="0071392E">
        <w:t>some IPS model participants may receive some type of cognitive behavioural therapy or therapeutic social support as part of their treatment strategy.</w:t>
      </w:r>
      <w:r w:rsidR="008F0491">
        <w:t xml:space="preserve"> As a result</w:t>
      </w:r>
      <w:r w:rsidR="004C5759">
        <w:t>,</w:t>
      </w:r>
      <w:r w:rsidR="008F0491">
        <w:t xml:space="preserve"> </w:t>
      </w:r>
      <w:r w:rsidR="008F0491" w:rsidRPr="0071392E">
        <w:t xml:space="preserve">it is difficult to determine the extent </w:t>
      </w:r>
      <w:r w:rsidR="008F0491">
        <w:t>that</w:t>
      </w:r>
      <w:r w:rsidR="008F0491" w:rsidRPr="0071392E">
        <w:t xml:space="preserve"> outcomes can be attributed to IPS, therapeutic treatment, or both treatments.</w:t>
      </w:r>
    </w:p>
    <w:p w:rsidR="0026270E" w:rsidRPr="005A7907" w:rsidRDefault="00D62544" w:rsidP="00BA7C62">
      <w:pPr>
        <w:pStyle w:val="Heading4"/>
        <w:numPr>
          <w:ilvl w:val="0"/>
          <w:numId w:val="0"/>
        </w:numPr>
        <w:ind w:left="992" w:hanging="992"/>
      </w:pPr>
      <w:r w:rsidRPr="005A7907">
        <w:lastRenderedPageBreak/>
        <w:t>I</w:t>
      </w:r>
      <w:r w:rsidR="0026270E" w:rsidRPr="005A7907">
        <w:t>ncorporating peer group interaction</w:t>
      </w:r>
    </w:p>
    <w:p w:rsidR="0026270E" w:rsidRPr="00860299" w:rsidRDefault="00D1481C" w:rsidP="005A7907">
      <w:pPr>
        <w:pStyle w:val="Heading5"/>
      </w:pPr>
      <w:r>
        <w:t>The role of peer mentors</w:t>
      </w:r>
    </w:p>
    <w:p w:rsidR="0026270E" w:rsidRDefault="00D1481C" w:rsidP="0026270E">
      <w:pPr>
        <w:pStyle w:val="BodyText"/>
      </w:pPr>
      <w:r>
        <w:t>Many</w:t>
      </w:r>
      <w:r w:rsidR="0026270E">
        <w:t xml:space="preserve"> programs</w:t>
      </w:r>
      <w:r w:rsidR="004C5759">
        <w:t xml:space="preserve"> that</w:t>
      </w:r>
      <w:r w:rsidR="0026270E">
        <w:t xml:space="preserve"> cater to young people have seen the benefits of peer mentors</w:t>
      </w:r>
      <w:r w:rsidR="00FF4EF8">
        <w:t xml:space="preserve"> as follow-along supports</w:t>
      </w:r>
      <w:r w:rsidR="0026270E">
        <w:t xml:space="preserve">, particularly within programs where participants have high instances of poor mental health and/or intellectual </w:t>
      </w:r>
      <w:r w:rsidR="0026270E" w:rsidDel="00D1481C">
        <w:t>disabilities.</w:t>
      </w:r>
      <w:r>
        <w:t xml:space="preserve"> One</w:t>
      </w:r>
      <w:r w:rsidR="0026270E">
        <w:t xml:space="preserve"> definition of a peer mentor, for the purposes of the IPS model, is someone of similar age to participants who have “overcome obstacles to achieve their own career goals, and how they continue to move forward in their own recovery” (IPS Learning Community 2016). </w:t>
      </w:r>
    </w:p>
    <w:p w:rsidR="0026270E" w:rsidRDefault="0026270E" w:rsidP="0026270E">
      <w:pPr>
        <w:pStyle w:val="BodyText"/>
      </w:pPr>
      <w:r>
        <w:t xml:space="preserve">Commonly, peer mentors see success through their ability to influence young people and present their own achievements as examples, especially when paired with a lived experience with </w:t>
      </w:r>
      <w:r w:rsidR="00B37E6E">
        <w:t>Ellison et al. (2014) stating "p</w:t>
      </w:r>
      <w:r>
        <w:t>eers exert strong influence in this age group, including influence in academic achievement and career development"</w:t>
      </w:r>
      <w:r w:rsidR="004C5759">
        <w:t xml:space="preserve">. </w:t>
      </w:r>
    </w:p>
    <w:p w:rsidR="0026270E" w:rsidRDefault="0026270E" w:rsidP="0026270E">
      <w:pPr>
        <w:pStyle w:val="BodyText"/>
      </w:pPr>
      <w:r>
        <w:t>These peer mentors act as role models for participants demonstrating first</w:t>
      </w:r>
      <w:r w:rsidR="004C5759">
        <w:t>-</w:t>
      </w:r>
      <w:r>
        <w:t xml:space="preserve">hand how to maintain employment, particularly for those first-time employed (Ellison et al. 2014). Many young people who have accessed IPS have social impairments as a result of their diagnosis, and the use of peer mentors has seen them take on a role that means participants feel supported, safe, understood and positively influenced to enable encouragement towards education, employment and their mental health treatment (Ellison et al. 2014). In addition, the incorporation of peer mentors assists those with serious mental health conditions to form strong relationships with an individual who understands what they are going through. These relationships often prove to have a positive effect and often see the young person model their personal work habits on the peer mentor (Ellison et al. 2014). </w:t>
      </w:r>
    </w:p>
    <w:p w:rsidR="0026270E" w:rsidRDefault="0026270E" w:rsidP="0026270E">
      <w:pPr>
        <w:pStyle w:val="BodyText"/>
      </w:pPr>
      <w:r>
        <w:t>E</w:t>
      </w:r>
      <w:r w:rsidR="008C1306">
        <w:t xml:space="preserve">llison et al. (2014) identified, in an open trial feasibility study, </w:t>
      </w:r>
      <w:r>
        <w:t>that</w:t>
      </w:r>
      <w:r w:rsidR="008C1306">
        <w:t xml:space="preserve"> </w:t>
      </w:r>
      <w:r w:rsidR="00FF4EF8">
        <w:t>young people utilised their peer mentors at a reasonable rate, with peer mentors providing support</w:t>
      </w:r>
      <w:r w:rsidR="0039776C">
        <w:t>,</w:t>
      </w:r>
      <w:r w:rsidR="00FF4EF8">
        <w:t xml:space="preserve"> on</w:t>
      </w:r>
      <w:r w:rsidDel="00FF4EF8">
        <w:t xml:space="preserve"> </w:t>
      </w:r>
      <w:r>
        <w:t>average</w:t>
      </w:r>
      <w:r w:rsidR="0039776C">
        <w:t>,</w:t>
      </w:r>
      <w:r>
        <w:t xml:space="preserve"> once per month for approximately 38 minutes, with 30 of 35 young people </w:t>
      </w:r>
      <w:r w:rsidR="00FF4EF8">
        <w:t>choosing to access</w:t>
      </w:r>
      <w:r>
        <w:t xml:space="preserve"> peer support. </w:t>
      </w:r>
    </w:p>
    <w:p w:rsidR="0026270E" w:rsidRDefault="0026270E" w:rsidP="0026270E">
      <w:pPr>
        <w:pStyle w:val="BodyText"/>
      </w:pPr>
      <w:r>
        <w:t xml:space="preserve">While peer mentors are shown to have a positive impact on young people as a follow-along support, it </w:t>
      </w:r>
      <w:r w:rsidR="00B37E6E">
        <w:t>can be</w:t>
      </w:r>
      <w:r>
        <w:t xml:space="preserve"> highly challenging to implement, particularly for young people (Cohen et al. 2020). </w:t>
      </w:r>
      <w:r w:rsidR="004C5759">
        <w:t>C</w:t>
      </w:r>
      <w:r>
        <w:t>ommon challenges includ</w:t>
      </w:r>
      <w:r w:rsidR="004C5759">
        <w:t>e</w:t>
      </w:r>
      <w:r>
        <w:t>:</w:t>
      </w:r>
    </w:p>
    <w:p w:rsidR="0026270E" w:rsidRDefault="000E7512" w:rsidP="0039776C">
      <w:pPr>
        <w:pStyle w:val="ListBullet"/>
      </w:pPr>
      <w:r>
        <w:t>t</w:t>
      </w:r>
      <w:r w:rsidR="0026270E">
        <w:t>he need for lived experience being difficult to find</w:t>
      </w:r>
      <w:r w:rsidR="004C5759">
        <w:t>;</w:t>
      </w:r>
    </w:p>
    <w:p w:rsidR="0026270E" w:rsidRDefault="000E7512" w:rsidP="0039776C">
      <w:pPr>
        <w:pStyle w:val="ListBullet"/>
      </w:pPr>
      <w:r>
        <w:t>h</w:t>
      </w:r>
      <w:r w:rsidR="0026270E">
        <w:t>igh turnover in the role</w:t>
      </w:r>
      <w:r w:rsidR="004C5759">
        <w:t>;</w:t>
      </w:r>
    </w:p>
    <w:p w:rsidR="0026270E" w:rsidRDefault="000E7512" w:rsidP="0039776C">
      <w:pPr>
        <w:pStyle w:val="ListBullet"/>
      </w:pPr>
      <w:r>
        <w:t>r</w:t>
      </w:r>
      <w:r w:rsidR="0026270E">
        <w:t>eoccurrence of mental health symptoms</w:t>
      </w:r>
      <w:r w:rsidR="004C5759">
        <w:t>;</w:t>
      </w:r>
    </w:p>
    <w:p w:rsidR="0026270E" w:rsidRDefault="000E7512" w:rsidP="0039776C">
      <w:pPr>
        <w:pStyle w:val="ListBullet"/>
      </w:pPr>
      <w:r>
        <w:t>c</w:t>
      </w:r>
      <w:r w:rsidR="0026270E">
        <w:t>ompeting commitments making role management difficult</w:t>
      </w:r>
      <w:r w:rsidR="004C5759">
        <w:t>;</w:t>
      </w:r>
    </w:p>
    <w:p w:rsidR="0026270E" w:rsidRDefault="000E7512" w:rsidP="0039776C">
      <w:pPr>
        <w:pStyle w:val="ListBullet"/>
      </w:pPr>
      <w:r>
        <w:t>d</w:t>
      </w:r>
      <w:r w:rsidR="0026270E">
        <w:t>ifficulty in integrating with</w:t>
      </w:r>
      <w:r w:rsidR="004C5759">
        <w:t xml:space="preserve"> the</w:t>
      </w:r>
      <w:r w:rsidR="0026270E">
        <w:t xml:space="preserve"> IPS team due to lack of clarity in </w:t>
      </w:r>
      <w:r w:rsidR="004C5759">
        <w:t xml:space="preserve">the </w:t>
      </w:r>
      <w:r w:rsidR="0026270E">
        <w:t xml:space="preserve">role and team </w:t>
      </w:r>
      <w:r w:rsidR="004C5759">
        <w:t xml:space="preserve">in which </w:t>
      </w:r>
      <w:r w:rsidR="0026270E">
        <w:t>they belong</w:t>
      </w:r>
      <w:r w:rsidR="004C5759">
        <w:t>;</w:t>
      </w:r>
    </w:p>
    <w:p w:rsidR="0026270E" w:rsidRDefault="000E7512" w:rsidP="0039776C">
      <w:pPr>
        <w:pStyle w:val="ListBullet"/>
      </w:pPr>
      <w:r>
        <w:t>b</w:t>
      </w:r>
      <w:r w:rsidR="0026270E">
        <w:t>oundary violations such as fighting or romantic involvement with participants; and</w:t>
      </w:r>
    </w:p>
    <w:p w:rsidR="0026270E" w:rsidRDefault="000E7512" w:rsidP="0039776C">
      <w:pPr>
        <w:pStyle w:val="ListBullet"/>
      </w:pPr>
      <w:r>
        <w:t>i</w:t>
      </w:r>
      <w:r w:rsidR="0026270E">
        <w:t>nability to travel to meet participants</w:t>
      </w:r>
      <w:r w:rsidR="004C5759">
        <w:t>,</w:t>
      </w:r>
      <w:r w:rsidR="0026270E">
        <w:t xml:space="preserve"> limiting connection for those who did not frequent the agency (Ellison et al. 2014). </w:t>
      </w:r>
    </w:p>
    <w:p w:rsidR="0026270E" w:rsidRDefault="00B13088" w:rsidP="005A7907">
      <w:pPr>
        <w:pStyle w:val="Heading5"/>
      </w:pPr>
      <w:r>
        <w:t>G</w:t>
      </w:r>
      <w:r w:rsidR="0026270E">
        <w:t xml:space="preserve">roup </w:t>
      </w:r>
      <w:r w:rsidR="00FB2A31">
        <w:t>programs</w:t>
      </w:r>
    </w:p>
    <w:p w:rsidR="00F47063" w:rsidRDefault="0026270E" w:rsidP="0026270E">
      <w:pPr>
        <w:pStyle w:val="BodyText"/>
      </w:pPr>
      <w:r>
        <w:t>Participants within IPS programs commonly reported</w:t>
      </w:r>
      <w:r w:rsidR="004C5759">
        <w:t xml:space="preserve"> that</w:t>
      </w:r>
      <w:r>
        <w:t xml:space="preserve"> interactions with their peers engaged with IPS assisted</w:t>
      </w:r>
      <w:r w:rsidR="00591B50">
        <w:t xml:space="preserve"> them</w:t>
      </w:r>
      <w:r>
        <w:t xml:space="preserve"> to maintain their motivation and offered positive encouragement (Corrigan 1995). </w:t>
      </w:r>
      <w:r w:rsidR="006B5CA7">
        <w:t>As a result</w:t>
      </w:r>
      <w:r>
        <w:t xml:space="preserve">, a group-based program incorporating learning, emphasising interpersonal skills, information sharing and motivational based communication can be used to encourage this interaction while also increasing their skills </w:t>
      </w:r>
      <w:r w:rsidR="006B5CA7">
        <w:t xml:space="preserve">within IPS </w:t>
      </w:r>
      <w:r w:rsidR="00F47063">
        <w:t>(</w:t>
      </w:r>
      <w:r w:rsidR="00F47063">
        <w:fldChar w:fldCharType="begin"/>
      </w:r>
      <w:r w:rsidR="00F47063">
        <w:instrText xml:space="preserve"> REF _Ref41511002 \h </w:instrText>
      </w:r>
      <w:r w:rsidR="00F47063">
        <w:fldChar w:fldCharType="separate"/>
      </w:r>
      <w:r w:rsidR="00F47063">
        <w:t xml:space="preserve">Figure </w:t>
      </w:r>
      <w:r w:rsidR="00F47063">
        <w:rPr>
          <w:noProof/>
        </w:rPr>
        <w:t>3</w:t>
      </w:r>
      <w:r w:rsidR="00F47063">
        <w:fldChar w:fldCharType="end"/>
      </w:r>
      <w:r w:rsidR="00F47063">
        <w:t>).</w:t>
      </w:r>
    </w:p>
    <w:p w:rsidR="00F47063" w:rsidRDefault="001C6CEA" w:rsidP="00F47063">
      <w:pPr>
        <w:pStyle w:val="Caption"/>
        <w:keepNext/>
      </w:pPr>
      <w:bookmarkStart w:id="38" w:name="_Ref41511002"/>
      <w:r>
        <w:rPr>
          <w:noProof/>
          <w:lang w:eastAsia="en-AU"/>
        </w:rPr>
        <w:lastRenderedPageBreak/>
        <w:drawing>
          <wp:anchor distT="0" distB="0" distL="114300" distR="114300" simplePos="0" relativeHeight="251658245" behindDoc="0" locked="0" layoutInCell="1" allowOverlap="1" wp14:anchorId="6BF2749E" wp14:editId="7D6E60CA">
            <wp:simplePos x="0" y="0"/>
            <wp:positionH relativeFrom="margin">
              <wp:posOffset>436245</wp:posOffset>
            </wp:positionH>
            <wp:positionV relativeFrom="margin">
              <wp:posOffset>178699</wp:posOffset>
            </wp:positionV>
            <wp:extent cx="4886325" cy="236888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6325" cy="2368882"/>
                    </a:xfrm>
                    <a:prstGeom prst="rect">
                      <a:avLst/>
                    </a:prstGeom>
                    <a:noFill/>
                  </pic:spPr>
                </pic:pic>
              </a:graphicData>
            </a:graphic>
          </wp:anchor>
        </w:drawing>
      </w:r>
      <w:r w:rsidR="00F47063">
        <w:t xml:space="preserve">Figure </w:t>
      </w:r>
      <w:r w:rsidR="00F47063">
        <w:fldChar w:fldCharType="begin"/>
      </w:r>
      <w:r w:rsidR="00F47063">
        <w:instrText>SEQ Figure \* ARABIC</w:instrText>
      </w:r>
      <w:r w:rsidR="00F47063">
        <w:fldChar w:fldCharType="separate"/>
      </w:r>
      <w:r w:rsidR="00F47063">
        <w:rPr>
          <w:noProof/>
        </w:rPr>
        <w:t>3</w:t>
      </w:r>
      <w:r w:rsidR="00F47063">
        <w:fldChar w:fldCharType="end"/>
      </w:r>
      <w:bookmarkEnd w:id="38"/>
      <w:r w:rsidR="00F47063">
        <w:t>: Seven elements encouraged by group activities</w:t>
      </w:r>
    </w:p>
    <w:p w:rsidR="00F47063" w:rsidRDefault="00F47063" w:rsidP="0026270E">
      <w:pPr>
        <w:pStyle w:val="BodyText"/>
      </w:pPr>
    </w:p>
    <w:p w:rsidR="0026270E" w:rsidRDefault="00F47063" w:rsidP="00F47063">
      <w:pPr>
        <w:pStyle w:val="Caption"/>
      </w:pPr>
      <w:r>
        <w:t>Source:</w:t>
      </w:r>
      <w:r w:rsidR="0026270E">
        <w:t xml:space="preserve"> </w:t>
      </w:r>
      <w:r>
        <w:t>Corrigan 1995</w:t>
      </w:r>
      <w:r w:rsidR="0026270E">
        <w:t xml:space="preserve"> </w:t>
      </w:r>
    </w:p>
    <w:p w:rsidR="0026270E" w:rsidRDefault="004A36EA" w:rsidP="0026270E">
      <w:pPr>
        <w:pStyle w:val="BodyText"/>
      </w:pPr>
      <w:r>
        <w:t xml:space="preserve">Furthermore, the incorporation of peer group activities has seen participants become proactive in prioritising their job search activities and </w:t>
      </w:r>
      <w:r w:rsidR="0039776C">
        <w:t xml:space="preserve">has </w:t>
      </w:r>
      <w:r>
        <w:t>seen them begin</w:t>
      </w:r>
      <w:r w:rsidR="0026270E">
        <w:t xml:space="preserve"> self-directed job searching</w:t>
      </w:r>
      <w:r>
        <w:t>, independent of their employment specialists</w:t>
      </w:r>
      <w:r w:rsidR="0026270E">
        <w:t xml:space="preserve"> (Corrigan 1995).</w:t>
      </w:r>
    </w:p>
    <w:p w:rsidR="0026270E" w:rsidRDefault="0026270E" w:rsidP="0002493F">
      <w:pPr>
        <w:pStyle w:val="BodyText"/>
      </w:pPr>
      <w:r>
        <w:t xml:space="preserve">For many </w:t>
      </w:r>
      <w:proofErr w:type="gramStart"/>
      <w:r w:rsidR="00EC2A06">
        <w:t>youth</w:t>
      </w:r>
      <w:r>
        <w:t>-</w:t>
      </w:r>
      <w:r w:rsidR="00EC2A06">
        <w:t>focused</w:t>
      </w:r>
      <w:proofErr w:type="gramEnd"/>
      <w:r w:rsidR="00EC2A06">
        <w:t xml:space="preserve"> </w:t>
      </w:r>
      <w:r>
        <w:t>IPS models</w:t>
      </w:r>
      <w:r w:rsidR="00EC2A06">
        <w:t>,</w:t>
      </w:r>
      <w:r>
        <w:t xml:space="preserve"> a greater emphasis is required for career development as career path exploration was identified as an area of need for young people. </w:t>
      </w:r>
      <w:r w:rsidR="009609B4">
        <w:t xml:space="preserve">This is </w:t>
      </w:r>
      <w:r>
        <w:t xml:space="preserve">particularly evident for young people with disability and with a history within the </w:t>
      </w:r>
      <w:r w:rsidR="004C5759">
        <w:t>o</w:t>
      </w:r>
      <w:r>
        <w:t>ut-of-</w:t>
      </w:r>
      <w:r w:rsidR="004C5759">
        <w:t>h</w:t>
      </w:r>
      <w:r>
        <w:t>ome</w:t>
      </w:r>
      <w:r w:rsidR="004C5759">
        <w:t>-c</w:t>
      </w:r>
      <w:r>
        <w:t xml:space="preserve">are system, as they often experience limited exposure to possible career avenues. </w:t>
      </w:r>
      <w:r w:rsidR="009609B4">
        <w:t>T</w:t>
      </w:r>
      <w:r>
        <w:t xml:space="preserve">he inclusion of group activities was found </w:t>
      </w:r>
      <w:r w:rsidR="004C5759">
        <w:t xml:space="preserve">to be </w:t>
      </w:r>
      <w:r>
        <w:t xml:space="preserve">successful </w:t>
      </w:r>
      <w:r w:rsidR="004C5759">
        <w:t>in</w:t>
      </w:r>
      <w:r>
        <w:t xml:space="preserve"> support</w:t>
      </w:r>
      <w:r w:rsidR="004C5759">
        <w:t>ing</w:t>
      </w:r>
      <w:r>
        <w:t xml:space="preserve"> young people to identify a career of interest (Ellison et al. 201</w:t>
      </w:r>
      <w:r w:rsidR="00B8725E">
        <w:t>4</w:t>
      </w:r>
      <w:r>
        <w:t>).</w:t>
      </w:r>
    </w:p>
    <w:p w:rsidR="00604CB8" w:rsidRPr="00E40EF3" w:rsidRDefault="00E3497D" w:rsidP="00812486">
      <w:pPr>
        <w:pStyle w:val="Heading4"/>
        <w:numPr>
          <w:ilvl w:val="0"/>
          <w:numId w:val="0"/>
        </w:numPr>
        <w:ind w:left="992" w:hanging="992"/>
      </w:pPr>
      <w:r>
        <w:t>E</w:t>
      </w:r>
      <w:r w:rsidR="00C5198F" w:rsidRPr="00E40EF3">
        <w:t xml:space="preserve">ducation within the </w:t>
      </w:r>
      <w:r w:rsidR="0039776C">
        <w:t>IPS model</w:t>
      </w:r>
    </w:p>
    <w:p w:rsidR="00604CB8" w:rsidRDefault="0024251B" w:rsidP="00604CB8">
      <w:pPr>
        <w:pStyle w:val="BodyText"/>
      </w:pPr>
      <w:r w:rsidRPr="0024251B">
        <w:t xml:space="preserve">Overwhelmingly, the focus of the IPS </w:t>
      </w:r>
      <w:r w:rsidR="004F397B">
        <w:t xml:space="preserve">model </w:t>
      </w:r>
      <w:r w:rsidRPr="0024251B">
        <w:t xml:space="preserve">and other supported employment programs has been on vocational attainment and, as a result, </w:t>
      </w:r>
      <w:r>
        <w:t>l</w:t>
      </w:r>
      <w:r w:rsidRPr="0024251B">
        <w:t>ittle research has assessed educational outcomes</w:t>
      </w:r>
      <w:r w:rsidR="00F45186">
        <w:t xml:space="preserve"> </w:t>
      </w:r>
      <w:r w:rsidR="004F397B">
        <w:t>through IPS</w:t>
      </w:r>
      <w:r w:rsidRPr="0024251B">
        <w:t>.</w:t>
      </w:r>
      <w:r>
        <w:t xml:space="preserve"> </w:t>
      </w:r>
      <w:r w:rsidR="007722D8">
        <w:t>W</w:t>
      </w:r>
      <w:r>
        <w:t>hile further research is still required into the new models of education support</w:t>
      </w:r>
      <w:r w:rsidR="007722D8">
        <w:t>, it is evident that young people with mental illness entering the post-secondary education system face additional barriers to enter</w:t>
      </w:r>
      <w:r w:rsidR="002E7E50">
        <w:t>ing and remaining in education. C</w:t>
      </w:r>
      <w:r w:rsidR="002E7E50" w:rsidRPr="00CB3A27">
        <w:t xml:space="preserve">ommon </w:t>
      </w:r>
      <w:r w:rsidR="004A36EA">
        <w:t xml:space="preserve">methods to overcome </w:t>
      </w:r>
      <w:r w:rsidR="002E7E50" w:rsidRPr="00CB3A27">
        <w:t>barriers to education include tutoring, job placement and development, peer support groups, transportation, special class instruction, registration assistance and note taker assistance</w:t>
      </w:r>
      <w:r w:rsidR="002E7E50">
        <w:t xml:space="preserve"> (Rapp &amp; </w:t>
      </w:r>
      <w:proofErr w:type="spellStart"/>
      <w:r w:rsidR="002E7E50">
        <w:t>Goscha</w:t>
      </w:r>
      <w:proofErr w:type="spellEnd"/>
      <w:r w:rsidR="002E7E50">
        <w:t xml:space="preserve"> 2011)</w:t>
      </w:r>
      <w:r w:rsidR="00812486">
        <w:t>.</w:t>
      </w:r>
    </w:p>
    <w:p w:rsidR="004E3833" w:rsidRDefault="004E3833" w:rsidP="00604CB8">
      <w:pPr>
        <w:pStyle w:val="BodyText"/>
      </w:pPr>
      <w:r>
        <w:t xml:space="preserve">Supported </w:t>
      </w:r>
      <w:r w:rsidRPr="004E3833">
        <w:t xml:space="preserve">education aims to deliver individualised, practical support and instruction to achieve education goals (Rapp &amp; </w:t>
      </w:r>
      <w:proofErr w:type="spellStart"/>
      <w:r w:rsidRPr="004E3833">
        <w:t>Goscha</w:t>
      </w:r>
      <w:proofErr w:type="spellEnd"/>
      <w:r w:rsidRPr="004E3833">
        <w:t xml:space="preserve"> 2011).</w:t>
      </w:r>
      <w:r>
        <w:t xml:space="preserve"> This section details the supported education model, and what it means </w:t>
      </w:r>
      <w:r w:rsidR="004A36EA">
        <w:t xml:space="preserve">in </w:t>
      </w:r>
      <w:r>
        <w:t xml:space="preserve">the Australian setting. </w:t>
      </w:r>
    </w:p>
    <w:p w:rsidR="00C5198F" w:rsidRDefault="00C5198F" w:rsidP="005A7907">
      <w:pPr>
        <w:pStyle w:val="Heading5"/>
      </w:pPr>
      <w:r w:rsidDel="00FB03AE">
        <w:t xml:space="preserve">The </w:t>
      </w:r>
      <w:r>
        <w:t xml:space="preserve">Australian education system </w:t>
      </w:r>
    </w:p>
    <w:p w:rsidR="00A216CD" w:rsidRDefault="00AD7FE7" w:rsidP="00A216CD">
      <w:pPr>
        <w:pStyle w:val="BodyText"/>
      </w:pPr>
      <w:r>
        <w:t>For school-aged students</w:t>
      </w:r>
      <w:r w:rsidR="003055CB">
        <w:t>,</w:t>
      </w:r>
      <w:r>
        <w:t xml:space="preserve"> there are a number of government frameworks in Australia, such as the Australian Student Wellbeing Framework,</w:t>
      </w:r>
      <w:r w:rsidR="00F45186">
        <w:t xml:space="preserve"> for</w:t>
      </w:r>
      <w:r>
        <w:t xml:space="preserve"> schools </w:t>
      </w:r>
      <w:r w:rsidR="00F45186">
        <w:t>to assist</w:t>
      </w:r>
      <w:r>
        <w:t xml:space="preserve"> students identify, support and educate on mental health and wellbeing through </w:t>
      </w:r>
      <w:proofErr w:type="gramStart"/>
      <w:r>
        <w:t>school based</w:t>
      </w:r>
      <w:proofErr w:type="gramEnd"/>
      <w:r>
        <w:t xml:space="preserve"> psychology services</w:t>
      </w:r>
      <w:r w:rsidR="00A216CD">
        <w:t xml:space="preserve"> (Australian Psychological Society 2020)</w:t>
      </w:r>
      <w:r>
        <w:t xml:space="preserve">. </w:t>
      </w:r>
      <w:r w:rsidR="00A216CD">
        <w:t>However, it has been identified that</w:t>
      </w:r>
      <w:r w:rsidR="0039776C">
        <w:t>,</w:t>
      </w:r>
      <w:r w:rsidR="00A216CD">
        <w:t xml:space="preserve"> while it should be the role of the school to encourage vocational</w:t>
      </w:r>
      <w:r w:rsidR="00311B9C">
        <w:t xml:space="preserve"> and educational</w:t>
      </w:r>
      <w:r w:rsidR="00A216CD">
        <w:t xml:space="preserve"> exploration</w:t>
      </w:r>
      <w:r w:rsidR="00BE6733">
        <w:t>,</w:t>
      </w:r>
      <w:r w:rsidR="00A216CD">
        <w:t xml:space="preserve"> </w:t>
      </w:r>
      <w:r w:rsidR="004F397B">
        <w:t>given</w:t>
      </w:r>
      <w:r w:rsidR="00A216CD">
        <w:t xml:space="preserve"> the narrow role of school psychologists and counsellors</w:t>
      </w:r>
      <w:r w:rsidR="003055CB">
        <w:t>,</w:t>
      </w:r>
      <w:r w:rsidR="00A216CD">
        <w:t xml:space="preserve"> this is limited in practicality (Australian Psychologists and Counsellors in Schools n.d.). </w:t>
      </w:r>
    </w:p>
    <w:p w:rsidR="00C5198F" w:rsidRDefault="00C5198F" w:rsidP="00C5198F">
      <w:pPr>
        <w:pStyle w:val="BodyText"/>
      </w:pPr>
      <w:r>
        <w:t xml:space="preserve">It is important to recognise the role educational attainment plays in predicting labour force participation and successful employment for those with mental illness in the community. However, it is </w:t>
      </w:r>
      <w:r w:rsidR="00F45F87">
        <w:t xml:space="preserve">generally </w:t>
      </w:r>
      <w:r>
        <w:t>not the fun</w:t>
      </w:r>
      <w:r w:rsidR="00F45F87">
        <w:t xml:space="preserve">damental focus of the IPS model, and within </w:t>
      </w:r>
      <w:r>
        <w:t>the Australian policy setting</w:t>
      </w:r>
      <w:r w:rsidR="003055CB">
        <w:t>,</w:t>
      </w:r>
      <w:r w:rsidR="00F45F87">
        <w:t xml:space="preserve"> it is usually seen as </w:t>
      </w:r>
      <w:r>
        <w:t>the role of the State Education Departments to provide this support through specifically funded programs (Waghorn et al. 2007).</w:t>
      </w:r>
    </w:p>
    <w:p w:rsidR="00C5198F" w:rsidRDefault="00C5198F" w:rsidP="005A7907">
      <w:pPr>
        <w:pStyle w:val="Heading5"/>
      </w:pPr>
      <w:r>
        <w:lastRenderedPageBreak/>
        <w:t>The Supported Education (</w:t>
      </w:r>
      <w:proofErr w:type="spellStart"/>
      <w:r>
        <w:t>SEd</w:t>
      </w:r>
      <w:proofErr w:type="spellEnd"/>
      <w:r>
        <w:t>) Model</w:t>
      </w:r>
    </w:p>
    <w:p w:rsidR="002E7E50" w:rsidRDefault="002C391E" w:rsidP="00860299">
      <w:pPr>
        <w:pStyle w:val="BodyText"/>
      </w:pPr>
      <w:r>
        <w:t>Despite th</w:t>
      </w:r>
      <w:r w:rsidR="00C5198F">
        <w:t xml:space="preserve">e limitations in </w:t>
      </w:r>
      <w:r w:rsidR="00C11E62">
        <w:t xml:space="preserve">research into supporting </w:t>
      </w:r>
      <w:r w:rsidR="00C5198F">
        <w:t>education</w:t>
      </w:r>
      <w:r w:rsidR="006339BE">
        <w:t>al achievement</w:t>
      </w:r>
      <w:r>
        <w:t>, some re</w:t>
      </w:r>
      <w:r w:rsidR="00C5198F">
        <w:t>search has</w:t>
      </w:r>
      <w:r>
        <w:t xml:space="preserve"> suggested implementing an adapted </w:t>
      </w:r>
      <w:r w:rsidR="00BA45D4">
        <w:t xml:space="preserve">IPS </w:t>
      </w:r>
      <w:r>
        <w:t>model known as Supported Education (</w:t>
      </w:r>
      <w:proofErr w:type="spellStart"/>
      <w:r>
        <w:t>SEd</w:t>
      </w:r>
      <w:proofErr w:type="spellEnd"/>
      <w:r>
        <w:t>)</w:t>
      </w:r>
      <w:r w:rsidR="00BA45D4">
        <w:t>, which uses the IPS model to provide supported education based on participants’ preference</w:t>
      </w:r>
      <w:r w:rsidR="0039776C">
        <w:t>s</w:t>
      </w:r>
      <w:r w:rsidR="00C11E62">
        <w:t>. This is</w:t>
      </w:r>
      <w:r w:rsidR="00C5198F">
        <w:t xml:space="preserve"> designed</w:t>
      </w:r>
      <w:r>
        <w:t xml:space="preserve"> to encourage </w:t>
      </w:r>
      <w:r w:rsidR="001610F4">
        <w:t xml:space="preserve">social inclusion, community integration and participation in mainstream education and is underpinned by the same values and principles as the IPS model. </w:t>
      </w:r>
    </w:p>
    <w:p w:rsidR="00860299" w:rsidRDefault="00860299" w:rsidP="00860299">
      <w:pPr>
        <w:pStyle w:val="BodyText"/>
      </w:pPr>
      <w:r>
        <w:t xml:space="preserve">The </w:t>
      </w:r>
      <w:proofErr w:type="spellStart"/>
      <w:r>
        <w:t>SEd</w:t>
      </w:r>
      <w:proofErr w:type="spellEnd"/>
      <w:r>
        <w:t xml:space="preserve"> model is focussed on young people who have dropped out of study or are at risk of dropping out </w:t>
      </w:r>
      <w:r w:rsidR="00C5198F">
        <w:t>to help in</w:t>
      </w:r>
      <w:r>
        <w:t xml:space="preserve">: </w:t>
      </w:r>
    </w:p>
    <w:p w:rsidR="001610F4" w:rsidRDefault="00860299" w:rsidP="005A7907">
      <w:pPr>
        <w:pStyle w:val="Quote1"/>
      </w:pPr>
      <w:r>
        <w:t>"</w:t>
      </w:r>
      <w:r w:rsidR="00C11E62">
        <w:t>…</w:t>
      </w:r>
      <w:r>
        <w:t>clarifying educational goals; finding academic programs consistent with these goals; navigating the application process; securing appropriate financial support and using educational supports and accommodations to help assure success in meeting academic requirements." (Becker et. al. n.d.)</w:t>
      </w:r>
    </w:p>
    <w:p w:rsidR="00C5198F" w:rsidRDefault="001610F4" w:rsidP="00A216CD">
      <w:pPr>
        <w:pStyle w:val="BodyText"/>
      </w:pPr>
      <w:r>
        <w:t xml:space="preserve">A combined supported employment and </w:t>
      </w:r>
      <w:proofErr w:type="spellStart"/>
      <w:r>
        <w:t>SEd</w:t>
      </w:r>
      <w:proofErr w:type="spellEnd"/>
      <w:r>
        <w:t xml:space="preserve"> model has been applied for young adults in the United States, particularly for those </w:t>
      </w:r>
      <w:r w:rsidRPr="001610F4">
        <w:t>experiencing first episode psychosis (</w:t>
      </w:r>
      <w:proofErr w:type="spellStart"/>
      <w:r w:rsidRPr="001610F4">
        <w:t>Manthey</w:t>
      </w:r>
      <w:proofErr w:type="spellEnd"/>
      <w:r w:rsidRPr="001610F4">
        <w:t xml:space="preserve">, Holter, Rapp, Davis, &amp; Carlson, 2012; </w:t>
      </w:r>
      <w:proofErr w:type="spellStart"/>
      <w:r w:rsidRPr="001610F4">
        <w:t>Ennals</w:t>
      </w:r>
      <w:proofErr w:type="spellEnd"/>
      <w:r w:rsidRPr="001610F4">
        <w:t xml:space="preserve"> et al., 2014; </w:t>
      </w:r>
      <w:proofErr w:type="spellStart"/>
      <w:r w:rsidRPr="001610F4">
        <w:t>Nuechterlein</w:t>
      </w:r>
      <w:proofErr w:type="spellEnd"/>
      <w:r w:rsidRPr="001610F4">
        <w:t xml:space="preserve"> et al., 2008; as referenced by Becker et al. n.d.)</w:t>
      </w:r>
      <w:r>
        <w:t>. The combined model allows the participant to remain career focused, while promoting the idea that education and employment can be valued equally</w:t>
      </w:r>
      <w:r w:rsidR="00C11E62">
        <w:t>,</w:t>
      </w:r>
      <w:r>
        <w:t xml:space="preserve"> </w:t>
      </w:r>
      <w:r w:rsidR="00C11E62">
        <w:t>allowing</w:t>
      </w:r>
      <w:r>
        <w:t xml:space="preserve"> young people </w:t>
      </w:r>
      <w:r w:rsidR="00C11E62">
        <w:t xml:space="preserve">to use </w:t>
      </w:r>
      <w:r>
        <w:t xml:space="preserve">their career aspirations to guide their vocational choices (Ellison et al. 2014). </w:t>
      </w:r>
      <w:r w:rsidR="00C5198F">
        <w:t xml:space="preserve">Waghorn et al. (2007) goes on to state that a </w:t>
      </w:r>
      <w:proofErr w:type="spellStart"/>
      <w:r w:rsidR="00C5198F">
        <w:t>SEd</w:t>
      </w:r>
      <w:proofErr w:type="spellEnd"/>
      <w:r w:rsidR="00C5198F">
        <w:t xml:space="preserve"> program also </w:t>
      </w:r>
      <w:proofErr w:type="gramStart"/>
      <w:r w:rsidR="00C5198F">
        <w:t>has t</w:t>
      </w:r>
      <w:r w:rsidR="00C5198F" w:rsidRPr="00DA3B8D">
        <w:t>he ability to</w:t>
      </w:r>
      <w:proofErr w:type="gramEnd"/>
      <w:r w:rsidR="00C5198F" w:rsidRPr="00DA3B8D">
        <w:t xml:space="preserve"> </w:t>
      </w:r>
      <w:r w:rsidR="00C5198F" w:rsidRPr="00F45186">
        <w:t>encourage re-entry into secondary and vocational education that has been disrupted as a r</w:t>
      </w:r>
      <w:r w:rsidR="00C5198F">
        <w:t xml:space="preserve">esult of psychosis. </w:t>
      </w:r>
    </w:p>
    <w:p w:rsidR="009C5EB8" w:rsidRDefault="009C5EB8" w:rsidP="00A216CD">
      <w:pPr>
        <w:pStyle w:val="BodyText"/>
      </w:pPr>
      <w:r>
        <w:t xml:space="preserve">It is most common for </w:t>
      </w:r>
      <w:proofErr w:type="spellStart"/>
      <w:r>
        <w:t>SEd</w:t>
      </w:r>
      <w:proofErr w:type="spellEnd"/>
      <w:r>
        <w:t xml:space="preserve"> models to be delivered using self-contained classrooms and onsite </w:t>
      </w:r>
      <w:r w:rsidRPr="008113DD">
        <w:t xml:space="preserve">program support (Rapp &amp; </w:t>
      </w:r>
      <w:proofErr w:type="spellStart"/>
      <w:r w:rsidRPr="008113DD">
        <w:t>Goscha</w:t>
      </w:r>
      <w:proofErr w:type="spellEnd"/>
      <w:r w:rsidRPr="008113DD">
        <w:t xml:space="preserve"> 2011). The self-</w:t>
      </w:r>
      <w:r>
        <w:t xml:space="preserve">contained classrooms allow participants to attend separate classes from the mainstream but </w:t>
      </w:r>
      <w:r w:rsidR="003055CB">
        <w:t xml:space="preserve">to </w:t>
      </w:r>
      <w:r>
        <w:t>use resources and complete activities delivered by the educational institution</w:t>
      </w:r>
      <w:r w:rsidR="003055CB">
        <w:t>,</w:t>
      </w:r>
      <w:r>
        <w:t xml:space="preserve"> </w:t>
      </w:r>
      <w:r w:rsidR="003055CB">
        <w:t>w</w:t>
      </w:r>
      <w:r>
        <w:t>hile onsite support</w:t>
      </w:r>
      <w:r w:rsidR="00BA45D4">
        <w:t xml:space="preserve"> allows participants to remain in normal classrooms and </w:t>
      </w:r>
      <w:r w:rsidR="0055285B">
        <w:t>receive individualised additional assistance</w:t>
      </w:r>
      <w:r w:rsidR="00BA45D4">
        <w:t xml:space="preserve">, </w:t>
      </w:r>
      <w:r w:rsidR="0055285B">
        <w:t>rather than be separated as per self-contained classrooms</w:t>
      </w:r>
      <w:r>
        <w:t xml:space="preserve">. </w:t>
      </w:r>
      <w:r w:rsidR="008113DD">
        <w:t>However</w:t>
      </w:r>
      <w:r w:rsidR="003055CB">
        <w:t>,</w:t>
      </w:r>
      <w:r w:rsidR="008113DD">
        <w:t xml:space="preserve"> Rapp and Gosha (2011) highlight that the model can also be delivered through a range of settings, including local community centres, other mental health settings, colleges and universities. </w:t>
      </w:r>
    </w:p>
    <w:p w:rsidR="00793E51" w:rsidRDefault="009C5EB8" w:rsidP="00A216CD">
      <w:pPr>
        <w:pStyle w:val="BodyText"/>
      </w:pPr>
      <w:r>
        <w:t xml:space="preserve">A study on </w:t>
      </w:r>
      <w:r w:rsidR="00BA45D4">
        <w:t xml:space="preserve">a combined </w:t>
      </w:r>
      <w:r>
        <w:t xml:space="preserve">supported employment and </w:t>
      </w:r>
      <w:proofErr w:type="spellStart"/>
      <w:r>
        <w:t>SEd</w:t>
      </w:r>
      <w:proofErr w:type="spellEnd"/>
      <w:r>
        <w:t xml:space="preserve"> IPS </w:t>
      </w:r>
      <w:r w:rsidR="00BA45D4">
        <w:t xml:space="preserve">model </w:t>
      </w:r>
      <w:r>
        <w:t xml:space="preserve">found that it was feasible to combine them, demonstrating a 20 per cent </w:t>
      </w:r>
      <w:r w:rsidR="00FF4EF8">
        <w:t>program</w:t>
      </w:r>
      <w:r w:rsidR="00BA45D4">
        <w:t xml:space="preserve"> </w:t>
      </w:r>
      <w:r>
        <w:t>drop-out rate, which was favourable with</w:t>
      </w:r>
      <w:r w:rsidR="00FF4EF8">
        <w:t>in studies of</w:t>
      </w:r>
      <w:r>
        <w:t xml:space="preserve"> similar populations</w:t>
      </w:r>
      <w:r w:rsidR="008113DD">
        <w:t xml:space="preserve"> (Ellison et al. 201</w:t>
      </w:r>
      <w:r w:rsidR="00833525">
        <w:t>4</w:t>
      </w:r>
      <w:r w:rsidR="008113DD">
        <w:t>)</w:t>
      </w:r>
      <w:r>
        <w:t xml:space="preserve">. </w:t>
      </w:r>
      <w:r w:rsidR="0055285B">
        <w:t>This study also found that</w:t>
      </w:r>
      <w:r w:rsidR="003055CB">
        <w:t>,</w:t>
      </w:r>
      <w:r w:rsidR="0055285B">
        <w:t xml:space="preserve"> of 22 participants enrolled in the program</w:t>
      </w:r>
      <w:r w:rsidR="003055CB">
        <w:t>,</w:t>
      </w:r>
      <w:r w:rsidR="0055285B">
        <w:t xml:space="preserve"> 15 enrolled into education, with those 15 having 18 education program </w:t>
      </w:r>
      <w:r w:rsidR="00324A49">
        <w:t xml:space="preserve">commencements </w:t>
      </w:r>
      <w:r w:rsidR="0055285B">
        <w:t xml:space="preserve">over a </w:t>
      </w:r>
      <w:proofErr w:type="gramStart"/>
      <w:r w:rsidR="0055285B">
        <w:t>12 month</w:t>
      </w:r>
      <w:proofErr w:type="gramEnd"/>
      <w:r w:rsidR="0055285B">
        <w:t xml:space="preserve"> period and </w:t>
      </w:r>
      <w:r w:rsidR="003055CB">
        <w:t>six</w:t>
      </w:r>
      <w:r w:rsidR="0055285B">
        <w:t xml:space="preserve"> completing their education. </w:t>
      </w:r>
      <w:r>
        <w:t xml:space="preserve">For those who left education </w:t>
      </w:r>
      <w:r w:rsidR="0055285B">
        <w:t>while in the program</w:t>
      </w:r>
      <w:r w:rsidR="003055CB">
        <w:t>,</w:t>
      </w:r>
      <w:r>
        <w:t xml:space="preserve"> it was not due to disinterest or dissatisfaction with the services, but instead commonly due to incarceration, psychiatric hospitalisations and </w:t>
      </w:r>
      <w:r w:rsidR="008526CA">
        <w:t>leave of absences</w:t>
      </w:r>
      <w:r>
        <w:t>.</w:t>
      </w:r>
    </w:p>
    <w:p w:rsidR="009C5EB8" w:rsidRDefault="009C5EB8" w:rsidP="00A216CD">
      <w:pPr>
        <w:pStyle w:val="BodyText"/>
      </w:pPr>
      <w:r>
        <w:t>Meanwhile, an adapted IPS model in the United States chose not to i</w:t>
      </w:r>
      <w:r w:rsidR="008113DD">
        <w:t>mplement</w:t>
      </w:r>
      <w:r>
        <w:t xml:space="preserve"> a </w:t>
      </w:r>
      <w:proofErr w:type="spellStart"/>
      <w:r>
        <w:t>SEd</w:t>
      </w:r>
      <w:proofErr w:type="spellEnd"/>
      <w:r>
        <w:t xml:space="preserve"> model for those under </w:t>
      </w:r>
      <w:r w:rsidR="003055CB">
        <w:t xml:space="preserve">the age of </w:t>
      </w:r>
      <w:r>
        <w:t>18, as</w:t>
      </w:r>
      <w:r w:rsidR="008113DD">
        <w:t xml:space="preserve"> school structures and collaboration with school clinical support staff made it too complex (Cohen et al. 2020). Cohen et al. (2020) also identified</w:t>
      </w:r>
      <w:r>
        <w:t xml:space="preserve"> that these students had the ability to access other support services </w:t>
      </w:r>
      <w:r w:rsidR="008113DD">
        <w:t xml:space="preserve">to enable them to remain in education, mitigating the need for additional </w:t>
      </w:r>
      <w:proofErr w:type="spellStart"/>
      <w:r w:rsidR="008113DD">
        <w:t>SEd</w:t>
      </w:r>
      <w:proofErr w:type="spellEnd"/>
      <w:r w:rsidR="008113DD">
        <w:t xml:space="preserve"> supports. </w:t>
      </w:r>
    </w:p>
    <w:p w:rsidR="00951AC5" w:rsidRDefault="009C5EB8" w:rsidP="00A216CD">
      <w:pPr>
        <w:pStyle w:val="BodyText"/>
      </w:pPr>
      <w:r>
        <w:t xml:space="preserve">In deciding to include </w:t>
      </w:r>
      <w:proofErr w:type="spellStart"/>
      <w:r>
        <w:t>SEd</w:t>
      </w:r>
      <w:proofErr w:type="spellEnd"/>
      <w:r>
        <w:t xml:space="preserve"> within the IPS model</w:t>
      </w:r>
      <w:r w:rsidR="003055CB">
        <w:t>,</w:t>
      </w:r>
      <w:r>
        <w:t xml:space="preserve"> </w:t>
      </w:r>
      <w:r w:rsidR="00C5198F">
        <w:t>it is important to recognise that</w:t>
      </w:r>
      <w:r w:rsidR="00324A49">
        <w:t>,</w:t>
      </w:r>
      <w:r w:rsidR="00C5198F">
        <w:t xml:space="preserve"> while sometimes delivered together, the </w:t>
      </w:r>
      <w:proofErr w:type="spellStart"/>
      <w:r w:rsidR="00C5198F">
        <w:t>SEd</w:t>
      </w:r>
      <w:proofErr w:type="spellEnd"/>
      <w:r w:rsidR="00C5198F">
        <w:t xml:space="preserve"> model requires different skills of their education specialists, when compared to employment </w:t>
      </w:r>
      <w:r w:rsidR="00C5198F" w:rsidRPr="008113DD">
        <w:t>specialists</w:t>
      </w:r>
      <w:r w:rsidR="00EC25BB" w:rsidRPr="008113DD">
        <w:t xml:space="preserve"> (</w:t>
      </w:r>
      <w:r w:rsidR="00833525">
        <w:t>Ellison et al. 2014</w:t>
      </w:r>
      <w:r w:rsidR="00EC25BB" w:rsidRPr="008113DD">
        <w:t>)</w:t>
      </w:r>
      <w:r w:rsidR="00C5198F" w:rsidRPr="008113DD">
        <w:t>. While bo</w:t>
      </w:r>
      <w:r w:rsidR="00C5198F">
        <w:t xml:space="preserve">th </w:t>
      </w:r>
      <w:r w:rsidR="00EC25BB">
        <w:t xml:space="preserve">education and employment specialists aim for </w:t>
      </w:r>
      <w:r w:rsidR="00C5198F">
        <w:t xml:space="preserve">meaningful and satisfying employment as the end goal, they play different roles in </w:t>
      </w:r>
      <w:r w:rsidR="00324A49">
        <w:t>its achievement</w:t>
      </w:r>
      <w:r w:rsidR="00C5198F">
        <w:t xml:space="preserve">. </w:t>
      </w:r>
    </w:p>
    <w:p w:rsidR="000133C4" w:rsidRDefault="007B5C87" w:rsidP="00437799">
      <w:pPr>
        <w:pStyle w:val="Heading3"/>
      </w:pPr>
      <w:r>
        <w:lastRenderedPageBreak/>
        <w:t>Considerations for implementing IPS within Disability Employment Services</w:t>
      </w:r>
    </w:p>
    <w:p w:rsidR="007B5C87" w:rsidRDefault="004C0C21" w:rsidP="003055CB">
      <w:pPr>
        <w:pStyle w:val="bodytextkeepwithnext"/>
        <w:rPr>
          <w:lang w:val="en-US"/>
        </w:rPr>
      </w:pPr>
      <w:r>
        <w:t>The Productivity Commission Draft Report into Mental Health explored further roll out of IPS including consideration into Disabi</w:t>
      </w:r>
      <w:r w:rsidR="00AC1C5E">
        <w:t>lity Employment Services (DES).</w:t>
      </w:r>
    </w:p>
    <w:p w:rsidR="00CE3507" w:rsidRDefault="00AC1C5E" w:rsidP="007B5C87">
      <w:pPr>
        <w:pStyle w:val="BodyText"/>
        <w:rPr>
          <w:lang w:val="en-US"/>
        </w:rPr>
      </w:pPr>
      <w:r>
        <w:rPr>
          <w:lang w:val="en-US"/>
        </w:rPr>
        <w:t>Within Australia</w:t>
      </w:r>
      <w:r w:rsidR="00BA3B14">
        <w:rPr>
          <w:lang w:val="en-US"/>
        </w:rPr>
        <w:t>,</w:t>
      </w:r>
      <w:r>
        <w:rPr>
          <w:lang w:val="en-US"/>
        </w:rPr>
        <w:t xml:space="preserve"> there are 53 employment specialists working in DES providers (Waghorn et al 2019). In order to </w:t>
      </w:r>
      <w:r w:rsidR="001A534F">
        <w:rPr>
          <w:lang w:val="en-US"/>
        </w:rPr>
        <w:t xml:space="preserve">fulfil integrated mental health requirements of IPS, partnerships have been developed with community mental health services. </w:t>
      </w:r>
      <w:r w:rsidR="00CE3507">
        <w:rPr>
          <w:lang w:val="en-US"/>
        </w:rPr>
        <w:t xml:space="preserve">In these programs, no special concessions are made for IPS </w:t>
      </w:r>
      <w:r w:rsidR="001F4BEB">
        <w:rPr>
          <w:lang w:val="en-US"/>
        </w:rPr>
        <w:t xml:space="preserve">participants </w:t>
      </w:r>
      <w:r w:rsidR="00CE3507">
        <w:rPr>
          <w:lang w:val="en-US"/>
        </w:rPr>
        <w:t>within DES</w:t>
      </w:r>
      <w:r w:rsidR="00324A49">
        <w:rPr>
          <w:lang w:val="en-US"/>
        </w:rPr>
        <w:t>,</w:t>
      </w:r>
      <w:r w:rsidR="00CE3507">
        <w:rPr>
          <w:lang w:val="en-US"/>
        </w:rPr>
        <w:t xml:space="preserve"> with DES providers free to adopt any model of vocational rehabilitation they choose (Waghorn et al. 2019). </w:t>
      </w:r>
      <w:r w:rsidR="008B4E2B">
        <w:rPr>
          <w:lang w:val="en-US"/>
        </w:rPr>
        <w:t>A typical issue in implementing IPS within the DES context is the restricted caseload requirements within IPS, with many DES-implemented IPS services having higher than typical IPS caseloads</w:t>
      </w:r>
      <w:r w:rsidR="00E752E3">
        <w:rPr>
          <w:lang w:val="en-US"/>
        </w:rPr>
        <w:t>, with over 40 clients per employment specialist</w:t>
      </w:r>
      <w:r w:rsidR="008B4E2B">
        <w:rPr>
          <w:lang w:val="en-US"/>
        </w:rPr>
        <w:t xml:space="preserve"> (</w:t>
      </w:r>
      <w:proofErr w:type="spellStart"/>
      <w:r w:rsidR="008B4E2B">
        <w:rPr>
          <w:lang w:val="en-US"/>
        </w:rPr>
        <w:t>Waghor</w:t>
      </w:r>
      <w:proofErr w:type="spellEnd"/>
      <w:r w:rsidR="008B4E2B">
        <w:rPr>
          <w:lang w:val="en-US"/>
        </w:rPr>
        <w:t xml:space="preserve">, &amp; Hielscher 2015). </w:t>
      </w:r>
    </w:p>
    <w:p w:rsidR="004C0C21" w:rsidRPr="007B5C87" w:rsidRDefault="001A534F" w:rsidP="007B5C87">
      <w:pPr>
        <w:pStyle w:val="BodyText"/>
        <w:rPr>
          <w:lang w:val="en-US"/>
        </w:rPr>
      </w:pPr>
      <w:r>
        <w:rPr>
          <w:lang w:val="en-US"/>
        </w:rPr>
        <w:t xml:space="preserve">This section provides </w:t>
      </w:r>
      <w:r w:rsidR="00150EBA">
        <w:rPr>
          <w:lang w:val="en-US"/>
        </w:rPr>
        <w:t xml:space="preserve">further </w:t>
      </w:r>
      <w:r>
        <w:rPr>
          <w:lang w:val="en-US"/>
        </w:rPr>
        <w:t xml:space="preserve">considerations </w:t>
      </w:r>
      <w:r w:rsidR="00150EBA">
        <w:rPr>
          <w:lang w:val="en-US"/>
        </w:rPr>
        <w:t>in</w:t>
      </w:r>
      <w:r>
        <w:rPr>
          <w:lang w:val="en-US"/>
        </w:rPr>
        <w:t xml:space="preserve"> implementing IPS within the current DES system.</w:t>
      </w:r>
    </w:p>
    <w:p w:rsidR="00E7207E" w:rsidRDefault="00EC0D71" w:rsidP="00812486">
      <w:pPr>
        <w:pStyle w:val="Heading4"/>
        <w:numPr>
          <w:ilvl w:val="0"/>
          <w:numId w:val="0"/>
        </w:numPr>
        <w:ind w:left="992" w:hanging="992"/>
      </w:pPr>
      <w:r>
        <w:t>Access to</w:t>
      </w:r>
      <w:r w:rsidR="00E7207E">
        <w:t xml:space="preserve"> mental health services</w:t>
      </w:r>
    </w:p>
    <w:p w:rsidR="00EC0D71" w:rsidRDefault="00EC0D71" w:rsidP="00E7207E">
      <w:pPr>
        <w:pStyle w:val="BodyText"/>
      </w:pPr>
      <w:r>
        <w:t xml:space="preserve">For IPS to be implemented within DES, access to mental health services is needed. </w:t>
      </w:r>
      <w:r w:rsidR="00B10907">
        <w:t xml:space="preserve">As stated above, where this has been implemented in Australia, relationships have been established with community mental health services. However, this presents some challenges in considering </w:t>
      </w:r>
      <w:r w:rsidR="00156693">
        <w:t xml:space="preserve">a </w:t>
      </w:r>
      <w:r w:rsidR="00B10907">
        <w:t>broader roll out of IPS within DES.</w:t>
      </w:r>
    </w:p>
    <w:p w:rsidR="00EA6A4C" w:rsidRDefault="00EA6A4C" w:rsidP="00E7207E">
      <w:pPr>
        <w:pStyle w:val="BodyText"/>
      </w:pPr>
      <w:r>
        <w:t>Research has shown that some public mental health services are not willing to use their own funding to promote and deliver vocational rehabilitation services, as it is not considered an aspect of their core business (</w:t>
      </w:r>
      <w:r w:rsidRPr="00EA6A4C">
        <w:t>Waghorn and Hielscher 2014)</w:t>
      </w:r>
      <w:r>
        <w:t xml:space="preserve">. Therefore, funding arrangements </w:t>
      </w:r>
      <w:r w:rsidR="004633D1">
        <w:t xml:space="preserve">may </w:t>
      </w:r>
      <w:r>
        <w:t>prove to be a consistent barrier to model implementation within Australia</w:t>
      </w:r>
      <w:r w:rsidR="004633D1">
        <w:t xml:space="preserve"> in this context</w:t>
      </w:r>
      <w:r>
        <w:t xml:space="preserve">. </w:t>
      </w:r>
    </w:p>
    <w:p w:rsidR="00E7207E" w:rsidRDefault="00E7207E" w:rsidP="00E7207E">
      <w:pPr>
        <w:pStyle w:val="BodyText"/>
      </w:pPr>
      <w:r>
        <w:t>Literature highlights that</w:t>
      </w:r>
      <w:r w:rsidR="00BE1331">
        <w:t>,</w:t>
      </w:r>
      <w:r>
        <w:t xml:space="preserve"> in comparison to the United States</w:t>
      </w:r>
      <w:r w:rsidR="00F47535">
        <w:t xml:space="preserve"> where IPS originated</w:t>
      </w:r>
      <w:r w:rsidR="00BE1331">
        <w:t xml:space="preserve">, Australia has </w:t>
      </w:r>
      <w:r>
        <w:t xml:space="preserve">limited integration between vocational services and </w:t>
      </w:r>
      <w:r w:rsidR="3C59CFAF">
        <w:t>publicly</w:t>
      </w:r>
      <w:r>
        <w:t xml:space="preserve"> funded mental health services (Waghorn et al. 2007). </w:t>
      </w:r>
      <w:r w:rsidR="00F47535">
        <w:t>Developing</w:t>
      </w:r>
      <w:r w:rsidR="00C5198F">
        <w:t xml:space="preserve"> an integrated service delivery model </w:t>
      </w:r>
      <w:r w:rsidR="00F47535">
        <w:t xml:space="preserve">within the </w:t>
      </w:r>
      <w:r w:rsidR="00C5198F">
        <w:t>Australia</w:t>
      </w:r>
      <w:r w:rsidR="00F47535">
        <w:t>n vocational sector</w:t>
      </w:r>
      <w:r w:rsidR="00C5198F">
        <w:t xml:space="preserve"> </w:t>
      </w:r>
      <w:r w:rsidR="004633D1">
        <w:t>may</w:t>
      </w:r>
      <w:r w:rsidR="00C5198F">
        <w:t xml:space="preserve"> not only</w:t>
      </w:r>
      <w:r w:rsidR="00BE1331">
        <w:t xml:space="preserve"> be</w:t>
      </w:r>
      <w:r w:rsidR="00C5198F">
        <w:t xml:space="preserve"> complex but </w:t>
      </w:r>
      <w:r w:rsidR="00324A49">
        <w:t xml:space="preserve">may </w:t>
      </w:r>
      <w:r w:rsidR="004633D1">
        <w:t xml:space="preserve">also </w:t>
      </w:r>
      <w:r w:rsidR="00C5198F">
        <w:t>face structural barriers</w:t>
      </w:r>
      <w:r w:rsidR="004469CB">
        <w:t>,</w:t>
      </w:r>
      <w:r w:rsidR="00C5198F">
        <w:t xml:space="preserve"> as it will require inter-</w:t>
      </w:r>
      <w:r w:rsidR="00BA3B14">
        <w:t>g</w:t>
      </w:r>
      <w:r w:rsidR="00C5198F">
        <w:t>overnment collaboration (Bond et al. 2001; as referenced by Waghorn et al. 2007). This</w:t>
      </w:r>
      <w:r w:rsidR="00F47535">
        <w:t xml:space="preserve"> is due to a division in funding between state/territory governments and the Commonwealth Government (refer </w:t>
      </w:r>
      <w:r w:rsidR="00BE1331">
        <w:fldChar w:fldCharType="begin"/>
      </w:r>
      <w:r w:rsidR="00BE1331">
        <w:instrText xml:space="preserve"> REF _Ref41242416 \h </w:instrText>
      </w:r>
      <w:r w:rsidR="00BE1331">
        <w:fldChar w:fldCharType="separate"/>
      </w:r>
      <w:r w:rsidR="00BE1331">
        <w:t xml:space="preserve">Table </w:t>
      </w:r>
      <w:r w:rsidR="00BE1331">
        <w:rPr>
          <w:noProof/>
        </w:rPr>
        <w:t>1</w:t>
      </w:r>
      <w:r w:rsidR="00BE1331">
        <w:fldChar w:fldCharType="end"/>
      </w:r>
      <w:r w:rsidR="00BE1331">
        <w:t>)</w:t>
      </w:r>
      <w:r w:rsidR="00532EC5">
        <w:t>, resulting in questions regarding ‘who pays’?</w:t>
      </w:r>
    </w:p>
    <w:p w:rsidR="00C5198F" w:rsidRDefault="00C5198F" w:rsidP="00C5198F">
      <w:pPr>
        <w:pStyle w:val="Caption"/>
        <w:keepNext/>
      </w:pPr>
      <w:bookmarkStart w:id="39" w:name="_Ref41242416"/>
      <w:r>
        <w:t xml:space="preserve">Table </w:t>
      </w:r>
      <w:r w:rsidR="005108F4">
        <w:rPr>
          <w:noProof/>
        </w:rPr>
        <w:fldChar w:fldCharType="begin"/>
      </w:r>
      <w:r w:rsidR="005108F4">
        <w:rPr>
          <w:noProof/>
        </w:rPr>
        <w:instrText xml:space="preserve"> SEQ Table \* ARABIC </w:instrText>
      </w:r>
      <w:r w:rsidR="005108F4">
        <w:rPr>
          <w:noProof/>
        </w:rPr>
        <w:fldChar w:fldCharType="separate"/>
      </w:r>
      <w:r w:rsidR="00CE15EF">
        <w:rPr>
          <w:noProof/>
        </w:rPr>
        <w:t>2</w:t>
      </w:r>
      <w:r w:rsidR="005108F4">
        <w:rPr>
          <w:noProof/>
        </w:rPr>
        <w:fldChar w:fldCharType="end"/>
      </w:r>
      <w:bookmarkEnd w:id="39"/>
      <w:r>
        <w:t xml:space="preserve">: Service interactions to deliver IPS </w:t>
      </w:r>
      <w:r w:rsidR="00324A49">
        <w:sym w:font="Symbol" w:char="F02D"/>
      </w:r>
      <w:r w:rsidR="00324A49">
        <w:t xml:space="preserve"> </w:t>
      </w:r>
      <w:r>
        <w:t>Service funding source</w:t>
      </w:r>
    </w:p>
    <w:tbl>
      <w:tblPr>
        <w:tblStyle w:val="ListTable3-Accent1"/>
        <w:tblW w:w="8926" w:type="dxa"/>
        <w:tblLook w:val="04A0" w:firstRow="1" w:lastRow="0" w:firstColumn="1" w:lastColumn="0" w:noHBand="0" w:noVBand="1"/>
      </w:tblPr>
      <w:tblGrid>
        <w:gridCol w:w="3681"/>
        <w:gridCol w:w="3020"/>
        <w:gridCol w:w="2225"/>
      </w:tblGrid>
      <w:tr w:rsidR="00C5198F" w:rsidRPr="00CF0B09" w:rsidTr="00F475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1" w:type="dxa"/>
          </w:tcPr>
          <w:p w:rsidR="00C5198F" w:rsidRPr="00CF0B09" w:rsidRDefault="00C5198F" w:rsidP="00CF0B09">
            <w:pPr>
              <w:pStyle w:val="Tableheading"/>
              <w:rPr>
                <w:b/>
              </w:rPr>
            </w:pPr>
            <w:r w:rsidRPr="00CF0B09">
              <w:rPr>
                <w:b/>
              </w:rPr>
              <w:t xml:space="preserve">Services required for </w:t>
            </w:r>
            <w:proofErr w:type="gramStart"/>
            <w:r w:rsidRPr="00CF0B09">
              <w:rPr>
                <w:b/>
              </w:rPr>
              <w:t>a</w:t>
            </w:r>
            <w:proofErr w:type="gramEnd"/>
            <w:r w:rsidRPr="00CF0B09">
              <w:rPr>
                <w:b/>
              </w:rPr>
              <w:t xml:space="preserve"> IPS model</w:t>
            </w:r>
          </w:p>
        </w:tc>
        <w:tc>
          <w:tcPr>
            <w:tcW w:w="3020" w:type="dxa"/>
          </w:tcPr>
          <w:p w:rsidR="00C5198F" w:rsidRPr="00CF0B09" w:rsidRDefault="00C5198F" w:rsidP="00324A49">
            <w:pPr>
              <w:pStyle w:val="Tableheading"/>
              <w:jc w:val="center"/>
              <w:cnfStyle w:val="100000000000" w:firstRow="1" w:lastRow="0" w:firstColumn="0" w:lastColumn="0" w:oddVBand="0" w:evenVBand="0" w:oddHBand="0" w:evenHBand="0" w:firstRowFirstColumn="0" w:firstRowLastColumn="0" w:lastRowFirstColumn="0" w:lastRowLastColumn="0"/>
              <w:rPr>
                <w:b/>
              </w:rPr>
            </w:pPr>
            <w:r w:rsidRPr="00CF0B09">
              <w:rPr>
                <w:b/>
              </w:rPr>
              <w:t>State Funded</w:t>
            </w:r>
          </w:p>
        </w:tc>
        <w:tc>
          <w:tcPr>
            <w:tcW w:w="2225" w:type="dxa"/>
          </w:tcPr>
          <w:p w:rsidR="00C5198F" w:rsidRPr="00CF0B09" w:rsidRDefault="00C5198F" w:rsidP="00324A49">
            <w:pPr>
              <w:pStyle w:val="Tableheading"/>
              <w:jc w:val="center"/>
              <w:cnfStyle w:val="100000000000" w:firstRow="1" w:lastRow="0" w:firstColumn="0" w:lastColumn="0" w:oddVBand="0" w:evenVBand="0" w:oddHBand="0" w:evenHBand="0" w:firstRowFirstColumn="0" w:firstRowLastColumn="0" w:lastRowFirstColumn="0" w:lastRowLastColumn="0"/>
              <w:rPr>
                <w:b/>
              </w:rPr>
            </w:pPr>
            <w:r w:rsidRPr="00CF0B09">
              <w:rPr>
                <w:b/>
              </w:rPr>
              <w:t>Federal Funded</w:t>
            </w:r>
          </w:p>
        </w:tc>
      </w:tr>
      <w:tr w:rsidR="00C5198F" w:rsidTr="00F47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Health</w:t>
            </w:r>
          </w:p>
        </w:tc>
        <w:tc>
          <w:tcPr>
            <w:tcW w:w="3020"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r>
              <w:t>X</w:t>
            </w:r>
          </w:p>
        </w:tc>
        <w:tc>
          <w:tcPr>
            <w:tcW w:w="2225"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p>
        </w:tc>
      </w:tr>
      <w:tr w:rsidR="00C5198F" w:rsidTr="00F47535">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Employment</w:t>
            </w:r>
          </w:p>
        </w:tc>
        <w:tc>
          <w:tcPr>
            <w:tcW w:w="3020" w:type="dxa"/>
          </w:tcPr>
          <w:p w:rsidR="00C5198F" w:rsidRDefault="00C5198F" w:rsidP="00F47535">
            <w:pPr>
              <w:pStyle w:val="Tabletext"/>
              <w:jc w:val="center"/>
              <w:cnfStyle w:val="000000000000" w:firstRow="0" w:lastRow="0" w:firstColumn="0" w:lastColumn="0" w:oddVBand="0" w:evenVBand="0" w:oddHBand="0" w:evenHBand="0" w:firstRowFirstColumn="0" w:firstRowLastColumn="0" w:lastRowFirstColumn="0" w:lastRowLastColumn="0"/>
            </w:pPr>
          </w:p>
        </w:tc>
        <w:tc>
          <w:tcPr>
            <w:tcW w:w="2225" w:type="dxa"/>
          </w:tcPr>
          <w:p w:rsidR="00C5198F" w:rsidRDefault="00C5198F" w:rsidP="00F47535">
            <w:pPr>
              <w:pStyle w:val="Tabletext"/>
              <w:jc w:val="center"/>
              <w:cnfStyle w:val="000000000000" w:firstRow="0" w:lastRow="0" w:firstColumn="0" w:lastColumn="0" w:oddVBand="0" w:evenVBand="0" w:oddHBand="0" w:evenHBand="0" w:firstRowFirstColumn="0" w:firstRowLastColumn="0" w:lastRowFirstColumn="0" w:lastRowLastColumn="0"/>
            </w:pPr>
            <w:r>
              <w:t>X</w:t>
            </w:r>
          </w:p>
        </w:tc>
      </w:tr>
      <w:tr w:rsidR="00C5198F" w:rsidTr="00F47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Education</w:t>
            </w:r>
          </w:p>
        </w:tc>
        <w:tc>
          <w:tcPr>
            <w:tcW w:w="3020"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r>
              <w:t>X</w:t>
            </w:r>
          </w:p>
        </w:tc>
        <w:tc>
          <w:tcPr>
            <w:tcW w:w="2225"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r>
              <w:t>X</w:t>
            </w:r>
          </w:p>
        </w:tc>
      </w:tr>
      <w:tr w:rsidR="00C5198F" w:rsidTr="00F47535">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 xml:space="preserve">Vocational </w:t>
            </w:r>
            <w:r w:rsidR="009F4CB6">
              <w:t>tr</w:t>
            </w:r>
            <w:r>
              <w:t>aining</w:t>
            </w:r>
          </w:p>
        </w:tc>
        <w:tc>
          <w:tcPr>
            <w:tcW w:w="3020" w:type="dxa"/>
          </w:tcPr>
          <w:p w:rsidR="00C5198F" w:rsidRDefault="00C5198F" w:rsidP="00F47535">
            <w:pPr>
              <w:pStyle w:val="Tabletext"/>
              <w:jc w:val="center"/>
              <w:cnfStyle w:val="000000000000" w:firstRow="0" w:lastRow="0" w:firstColumn="0" w:lastColumn="0" w:oddVBand="0" w:evenVBand="0" w:oddHBand="0" w:evenHBand="0" w:firstRowFirstColumn="0" w:firstRowLastColumn="0" w:lastRowFirstColumn="0" w:lastRowLastColumn="0"/>
            </w:pPr>
            <w:r>
              <w:t>X</w:t>
            </w:r>
          </w:p>
        </w:tc>
        <w:tc>
          <w:tcPr>
            <w:tcW w:w="2225" w:type="dxa"/>
          </w:tcPr>
          <w:p w:rsidR="00C5198F" w:rsidRDefault="009F4CB6" w:rsidP="009F4CB6">
            <w:pPr>
              <w:pStyle w:val="Tabletext"/>
              <w:jc w:val="center"/>
              <w:cnfStyle w:val="000000000000" w:firstRow="0" w:lastRow="0" w:firstColumn="0" w:lastColumn="0" w:oddVBand="0" w:evenVBand="0" w:oddHBand="0" w:evenHBand="0" w:firstRowFirstColumn="0" w:firstRowLastColumn="0" w:lastRowFirstColumn="0" w:lastRowLastColumn="0"/>
            </w:pPr>
            <w:r>
              <w:t>X</w:t>
            </w:r>
          </w:p>
        </w:tc>
      </w:tr>
      <w:tr w:rsidR="00C5198F" w:rsidTr="00F47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Housing</w:t>
            </w:r>
          </w:p>
        </w:tc>
        <w:tc>
          <w:tcPr>
            <w:tcW w:w="3020"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r>
              <w:t>X</w:t>
            </w:r>
          </w:p>
        </w:tc>
        <w:tc>
          <w:tcPr>
            <w:tcW w:w="2225"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p>
        </w:tc>
      </w:tr>
      <w:tr w:rsidR="00C5198F" w:rsidTr="00F47535">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Disability</w:t>
            </w:r>
          </w:p>
        </w:tc>
        <w:tc>
          <w:tcPr>
            <w:tcW w:w="3020" w:type="dxa"/>
          </w:tcPr>
          <w:p w:rsidR="00C5198F" w:rsidRDefault="009F4CB6" w:rsidP="009F4CB6">
            <w:pPr>
              <w:pStyle w:val="Tabletext"/>
              <w:jc w:val="center"/>
              <w:cnfStyle w:val="000000000000" w:firstRow="0" w:lastRow="0" w:firstColumn="0" w:lastColumn="0" w:oddVBand="0" w:evenVBand="0" w:oddHBand="0" w:evenHBand="0" w:firstRowFirstColumn="0" w:firstRowLastColumn="0" w:lastRowFirstColumn="0" w:lastRowLastColumn="0"/>
            </w:pPr>
            <w:r>
              <w:t>X</w:t>
            </w:r>
          </w:p>
        </w:tc>
        <w:tc>
          <w:tcPr>
            <w:tcW w:w="2225" w:type="dxa"/>
          </w:tcPr>
          <w:p w:rsidR="00C5198F" w:rsidRDefault="00C5198F" w:rsidP="00F47535">
            <w:pPr>
              <w:pStyle w:val="Tabletext"/>
              <w:jc w:val="center"/>
              <w:cnfStyle w:val="000000000000" w:firstRow="0" w:lastRow="0" w:firstColumn="0" w:lastColumn="0" w:oddVBand="0" w:evenVBand="0" w:oddHBand="0" w:evenHBand="0" w:firstRowFirstColumn="0" w:firstRowLastColumn="0" w:lastRowFirstColumn="0" w:lastRowLastColumn="0"/>
            </w:pPr>
            <w:r>
              <w:t>X</w:t>
            </w:r>
          </w:p>
        </w:tc>
      </w:tr>
      <w:tr w:rsidR="00C5198F" w:rsidTr="00F47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C5198F" w:rsidRDefault="00C5198F" w:rsidP="00226CBC">
            <w:pPr>
              <w:pStyle w:val="Tabletext"/>
            </w:pPr>
            <w:r>
              <w:t xml:space="preserve">Income </w:t>
            </w:r>
            <w:r w:rsidR="009F4CB6">
              <w:t>s</w:t>
            </w:r>
            <w:r>
              <w:t xml:space="preserve">upport and </w:t>
            </w:r>
            <w:r w:rsidR="009F4CB6">
              <w:t>p</w:t>
            </w:r>
            <w:r>
              <w:t>ayments</w:t>
            </w:r>
          </w:p>
        </w:tc>
        <w:tc>
          <w:tcPr>
            <w:tcW w:w="3020"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p>
        </w:tc>
        <w:tc>
          <w:tcPr>
            <w:tcW w:w="2225" w:type="dxa"/>
          </w:tcPr>
          <w:p w:rsidR="00C5198F" w:rsidRDefault="00C5198F" w:rsidP="00F47535">
            <w:pPr>
              <w:pStyle w:val="Tabletext"/>
              <w:jc w:val="center"/>
              <w:cnfStyle w:val="000000100000" w:firstRow="0" w:lastRow="0" w:firstColumn="0" w:lastColumn="0" w:oddVBand="0" w:evenVBand="0" w:oddHBand="1" w:evenHBand="0" w:firstRowFirstColumn="0" w:firstRowLastColumn="0" w:lastRowFirstColumn="0" w:lastRowLastColumn="0"/>
            </w:pPr>
            <w:r>
              <w:t>X</w:t>
            </w:r>
          </w:p>
        </w:tc>
      </w:tr>
    </w:tbl>
    <w:p w:rsidR="00C5198F" w:rsidRDefault="00C5198F" w:rsidP="00BA3B14">
      <w:pPr>
        <w:pStyle w:val="source"/>
      </w:pPr>
      <w:r>
        <w:t>S</w:t>
      </w:r>
      <w:r w:rsidR="00F47535">
        <w:t>ource</w:t>
      </w:r>
      <w:r>
        <w:t xml:space="preserve">: </w:t>
      </w:r>
      <w:r w:rsidR="00F47535">
        <w:t xml:space="preserve">Adapted from Waghorn et al. </w:t>
      </w:r>
      <w:r>
        <w:t>2007</w:t>
      </w:r>
      <w:r w:rsidR="00F47535">
        <w:t xml:space="preserve"> to reflect</w:t>
      </w:r>
      <w:r>
        <w:t xml:space="preserve"> current funding arrangements </w:t>
      </w:r>
    </w:p>
    <w:p w:rsidR="00A00C72" w:rsidRDefault="00A00C72" w:rsidP="00CF0B09">
      <w:pPr>
        <w:pStyle w:val="BodyText"/>
        <w:keepLines/>
      </w:pPr>
      <w:r>
        <w:lastRenderedPageBreak/>
        <w:t xml:space="preserve">In comparison, a New Zealand study demonstrated that while there are positive aspects to a central government system, it continues to present challenges in service delivery. The New Zealand government has a </w:t>
      </w:r>
      <w:proofErr w:type="gramStart"/>
      <w:r>
        <w:t>straight forward</w:t>
      </w:r>
      <w:proofErr w:type="gramEnd"/>
      <w:r>
        <w:t xml:space="preserve"> administrative system with the Ministry of Health and Ministry of Social Development being responsible for policy development and funding of vocational rehabilitation programs. The study found a key enabler of the IPS </w:t>
      </w:r>
      <w:r w:rsidR="00BA3B14">
        <w:t>m</w:t>
      </w:r>
      <w:r>
        <w:t>odel</w:t>
      </w:r>
      <w:r w:rsidR="00BA3B14">
        <w:t>’</w:t>
      </w:r>
      <w:r>
        <w:t>s success derived from key government agencies interrelated with employment and mental health providing formal recognition of the program and the support of local health and employment services leadership (Priest &amp; Lockett 20</w:t>
      </w:r>
      <w:r w:rsidR="00B8725E">
        <w:t>19</w:t>
      </w:r>
      <w:r>
        <w:t>). However</w:t>
      </w:r>
      <w:r w:rsidR="00BA3B14">
        <w:t>,</w:t>
      </w:r>
      <w:r>
        <w:t xml:space="preserve"> Priest and Lockett (20</w:t>
      </w:r>
      <w:r w:rsidR="00B8725E">
        <w:t>19</w:t>
      </w:r>
      <w:r>
        <w:t>) highlight that</w:t>
      </w:r>
      <w:r w:rsidR="00BA3B14">
        <w:t>,</w:t>
      </w:r>
      <w:r>
        <w:t xml:space="preserve"> despite the centralised system</w:t>
      </w:r>
      <w:r w:rsidR="00BA3B14">
        <w:t>,</w:t>
      </w:r>
      <w:r>
        <w:t xml:space="preserve"> there were still barriers to optimal service delivery due to a lack of integrated policy, contracting and funding arrangements. </w:t>
      </w:r>
    </w:p>
    <w:p w:rsidR="00532EC5" w:rsidRDefault="00A00C72" w:rsidP="00C5198F">
      <w:pPr>
        <w:pStyle w:val="BodyText"/>
      </w:pPr>
      <w:r>
        <w:t xml:space="preserve">As </w:t>
      </w:r>
      <w:r w:rsidR="004633D1">
        <w:t>stated</w:t>
      </w:r>
      <w:r>
        <w:t xml:space="preserve"> previously, </w:t>
      </w:r>
      <w:r w:rsidR="00532EC5">
        <w:t>successful partnerships can be challenging requiring effective leadership to maintain</w:t>
      </w:r>
      <w:r w:rsidR="00324A49">
        <w:t xml:space="preserve"> them</w:t>
      </w:r>
      <w:r w:rsidR="00532EC5">
        <w:t xml:space="preserve">, although there have been examples showing it can be done (Waghorn et al. 2019). For example, </w:t>
      </w:r>
      <w:r w:rsidR="00461DEB">
        <w:t>a</w:t>
      </w:r>
      <w:r w:rsidR="00532EC5">
        <w:t xml:space="preserve"> trial funded by the Queensland government </w:t>
      </w:r>
      <w:r w:rsidR="00461DEB">
        <w:t xml:space="preserve">demonstrated that a partnership between DES and an adult mental health service was more effective than DES providers acting alone (Waghorn et al. 2014). </w:t>
      </w:r>
    </w:p>
    <w:p w:rsidR="0003244F" w:rsidRDefault="0003244F" w:rsidP="00C5198F">
      <w:pPr>
        <w:pStyle w:val="BodyText"/>
      </w:pPr>
      <w:r>
        <w:t xml:space="preserve">Despite some successes, research has shown that there </w:t>
      </w:r>
      <w:r w:rsidR="00BA3B14">
        <w:t xml:space="preserve">are </w:t>
      </w:r>
      <w:r>
        <w:t xml:space="preserve">ongoing challenges in making </w:t>
      </w:r>
      <w:r w:rsidR="00A00C72">
        <w:t xml:space="preserve">successful </w:t>
      </w:r>
      <w:r>
        <w:t>partnerships</w:t>
      </w:r>
      <w:r w:rsidR="00A00C72">
        <w:t xml:space="preserve"> continue to</w:t>
      </w:r>
      <w:r>
        <w:t xml:space="preserve"> work within the Australian service delivery context (Waghorn et al. 2019). </w:t>
      </w:r>
      <w:r w:rsidR="00D02675">
        <w:t>For example, one IPS program established within a DES provider was initial</w:t>
      </w:r>
      <w:r w:rsidR="00BA3B14">
        <w:t>ly successful, with at least 50 </w:t>
      </w:r>
      <w:r w:rsidR="00D02675">
        <w:t>per</w:t>
      </w:r>
      <w:r w:rsidR="00BA3B14">
        <w:t xml:space="preserve"> </w:t>
      </w:r>
      <w:r w:rsidR="00D02675">
        <w:t>cent of participants obtaining employment, however due to structural and leadership changes within the service and the mental health service, the program declined rapidly as evidenced by a significant decline in fidelity scores (Waghorn et al 2019)</w:t>
      </w:r>
      <w:r w:rsidR="004C5759">
        <w:t xml:space="preserve">. </w:t>
      </w:r>
    </w:p>
    <w:p w:rsidR="00C5198F" w:rsidRPr="00E7207E" w:rsidRDefault="00C5198F" w:rsidP="00C5198F">
      <w:pPr>
        <w:pStyle w:val="BodyText"/>
      </w:pPr>
      <w:r>
        <w:t>A</w:t>
      </w:r>
      <w:r w:rsidR="00BE1331">
        <w:t>nother</w:t>
      </w:r>
      <w:r>
        <w:t xml:space="preserve"> </w:t>
      </w:r>
      <w:r w:rsidR="00BE1331">
        <w:t xml:space="preserve">consideration when </w:t>
      </w:r>
      <w:r>
        <w:t xml:space="preserve">integrating </w:t>
      </w:r>
      <w:r w:rsidR="00BA3B14">
        <w:t>g</w:t>
      </w:r>
      <w:r>
        <w:t>overnment funded services is determining where responsibilities between the agencies begin and end</w:t>
      </w:r>
      <w:r w:rsidR="004C5759">
        <w:t xml:space="preserve">. </w:t>
      </w:r>
      <w:r>
        <w:t xml:space="preserve">In instances where </w:t>
      </w:r>
      <w:r w:rsidR="006C092F">
        <w:t>successful</w:t>
      </w:r>
      <w:r>
        <w:t xml:space="preserve"> integration occurred</w:t>
      </w:r>
      <w:r w:rsidR="00BA3B14">
        <w:t>,</w:t>
      </w:r>
      <w:r>
        <w:t xml:space="preserve"> it was most successful when there were levels of high fidelity from the beginning an</w:t>
      </w:r>
      <w:r w:rsidR="00BA3B14">
        <w:t>d co</w:t>
      </w:r>
      <w:r w:rsidR="00BA3B14">
        <w:noBreakHyphen/>
      </w:r>
      <w:r>
        <w:t>locati</w:t>
      </w:r>
      <w:r w:rsidR="006C092F">
        <w:t>on of</w:t>
      </w:r>
      <w:r>
        <w:t xml:space="preserve"> a full</w:t>
      </w:r>
      <w:r w:rsidR="00BE1331">
        <w:t>-</w:t>
      </w:r>
      <w:r>
        <w:t>time employment specialist with the relevant treatment team (Waghorn et al. 2007)</w:t>
      </w:r>
      <w:r w:rsidR="00BA3B14">
        <w:t>,</w:t>
      </w:r>
      <w:r>
        <w:t xml:space="preserve"> </w:t>
      </w:r>
      <w:r w:rsidR="00BA3B14">
        <w:t>w</w:t>
      </w:r>
      <w:r>
        <w:t>hil</w:t>
      </w:r>
      <w:r w:rsidR="00BA3B14">
        <w:t>e</w:t>
      </w:r>
      <w:r>
        <w:t xml:space="preserve"> the less successful agencies saw more difficulties when using non-orthodox co-location and part-time employment specialists (Waghorn et al. 2007). </w:t>
      </w:r>
    </w:p>
    <w:p w:rsidR="00AD7FE7" w:rsidRDefault="00C5198F" w:rsidP="00860299">
      <w:pPr>
        <w:pStyle w:val="BodyText"/>
      </w:pPr>
      <w:r>
        <w:t>In order to successfully deliver an integrated service model within government agencies</w:t>
      </w:r>
      <w:r w:rsidR="00BA3B14">
        <w:t>,</w:t>
      </w:r>
      <w:r>
        <w:t xml:space="preserve"> it is important to recognise that </w:t>
      </w:r>
      <w:r w:rsidR="001735C8">
        <w:t>other reforms or enablers</w:t>
      </w:r>
      <w:r>
        <w:t xml:space="preserve"> </w:t>
      </w:r>
      <w:r w:rsidR="000B47AE">
        <w:t>may</w:t>
      </w:r>
      <w:r>
        <w:t xml:space="preserve"> be required to understand and facilitate interactions between agencies, while maintaining fidelity and IPS </w:t>
      </w:r>
      <w:r w:rsidR="00BE1331">
        <w:t xml:space="preserve">model </w:t>
      </w:r>
      <w:r>
        <w:t xml:space="preserve">standards. </w:t>
      </w:r>
    </w:p>
    <w:p w:rsidR="00112679" w:rsidRDefault="00C51E50" w:rsidP="002D74F2">
      <w:pPr>
        <w:pStyle w:val="Heading4"/>
        <w:numPr>
          <w:ilvl w:val="0"/>
          <w:numId w:val="0"/>
        </w:numPr>
      </w:pPr>
      <w:r>
        <w:t>Use</w:t>
      </w:r>
      <w:r w:rsidR="00112679">
        <w:t xml:space="preserve"> of results</w:t>
      </w:r>
      <w:r w:rsidR="00324A49">
        <w:t>-</w:t>
      </w:r>
      <w:r w:rsidR="00112679">
        <w:t>based funding arrangements within supported employment models</w:t>
      </w:r>
    </w:p>
    <w:p w:rsidR="00860299" w:rsidRDefault="00112679" w:rsidP="00860299">
      <w:pPr>
        <w:pStyle w:val="BodyText"/>
      </w:pPr>
      <w:r>
        <w:t>Results</w:t>
      </w:r>
      <w:r w:rsidR="00BD1EF6">
        <w:t>-</w:t>
      </w:r>
      <w:r>
        <w:t>based funding</w:t>
      </w:r>
      <w:r w:rsidR="00957061">
        <w:t xml:space="preserve"> </w:t>
      </w:r>
      <w:r w:rsidR="002E6781">
        <w:t>mechanisms</w:t>
      </w:r>
      <w:r w:rsidR="00957061">
        <w:t xml:space="preserve"> provide </w:t>
      </w:r>
      <w:r>
        <w:t>compensa</w:t>
      </w:r>
      <w:r w:rsidR="00957061">
        <w:t>tion</w:t>
      </w:r>
      <w:r>
        <w:t xml:space="preserve"> for measured outcomes of service. However, </w:t>
      </w:r>
      <w:r w:rsidR="002E6781">
        <w:t>these</w:t>
      </w:r>
      <w:r w:rsidR="00957061">
        <w:t xml:space="preserve"> arrangements </w:t>
      </w:r>
      <w:r w:rsidR="007B5938">
        <w:t>can at times</w:t>
      </w:r>
      <w:r w:rsidR="00324A49">
        <w:t>,</w:t>
      </w:r>
      <w:r w:rsidR="007B5938">
        <w:t xml:space="preserve"> </w:t>
      </w:r>
      <w:r w:rsidR="00957061">
        <w:t>fail</w:t>
      </w:r>
      <w:r>
        <w:t xml:space="preserve"> to consider the quality of services, </w:t>
      </w:r>
      <w:r w:rsidR="007B5938">
        <w:t xml:space="preserve">may </w:t>
      </w:r>
      <w:r w:rsidR="002E6781">
        <w:t xml:space="preserve">provide </w:t>
      </w:r>
      <w:r>
        <w:t xml:space="preserve">limited opportunities for quality control and </w:t>
      </w:r>
      <w:r w:rsidR="007B5938">
        <w:t>may have little</w:t>
      </w:r>
      <w:r w:rsidR="000B47AE">
        <w:t xml:space="preserve"> or</w:t>
      </w:r>
      <w:r w:rsidR="000168D0">
        <w:t xml:space="preserve"> </w:t>
      </w:r>
      <w:r>
        <w:t xml:space="preserve">no incentive for participants </w:t>
      </w:r>
      <w:r w:rsidR="00F54036">
        <w:t xml:space="preserve">to </w:t>
      </w:r>
      <w:r>
        <w:t>leave the program (Corden &amp; Thornton 2003)</w:t>
      </w:r>
      <w:r w:rsidR="004C5759">
        <w:t xml:space="preserve">. </w:t>
      </w:r>
    </w:p>
    <w:p w:rsidR="00A931DF" w:rsidRDefault="00084F59" w:rsidP="00860299">
      <w:pPr>
        <w:pStyle w:val="BodyText"/>
      </w:pPr>
      <w:r>
        <w:t>A</w:t>
      </w:r>
      <w:r w:rsidR="00112679">
        <w:t xml:space="preserve"> key issue underlying this </w:t>
      </w:r>
      <w:r w:rsidR="00C51E50">
        <w:t xml:space="preserve">arrangement </w:t>
      </w:r>
      <w:r w:rsidR="00112679">
        <w:t>is the potential for the adverse selection of clients, also known as creaming, by selecting clients who are easier to assist achieve outcomes. This means that clients seen as more difficult in achieving outcomes will be neglected at the risk th</w:t>
      </w:r>
      <w:r w:rsidR="000B47AE">
        <w:t>at payment will not be received (Corden &amp; Thornton 2003)</w:t>
      </w:r>
      <w:r w:rsidR="00CF0B09">
        <w:t xml:space="preserve">. </w:t>
      </w:r>
      <w:r w:rsidR="00C51E50">
        <w:t xml:space="preserve">This </w:t>
      </w:r>
      <w:proofErr w:type="gramStart"/>
      <w:r w:rsidR="00C51E50">
        <w:t>is in contrast to</w:t>
      </w:r>
      <w:proofErr w:type="gramEnd"/>
      <w:r w:rsidR="00C51E50">
        <w:t xml:space="preserve"> the IPS core Practice Principle regarding eligibility based on participant choice.</w:t>
      </w:r>
    </w:p>
    <w:p w:rsidR="00112679" w:rsidRDefault="00112679" w:rsidP="00860299">
      <w:pPr>
        <w:pStyle w:val="BodyText"/>
      </w:pPr>
      <w:r>
        <w:t xml:space="preserve">This </w:t>
      </w:r>
      <w:r w:rsidR="00084F59">
        <w:t xml:space="preserve">can </w:t>
      </w:r>
      <w:r w:rsidR="00AB538D">
        <w:t>also</w:t>
      </w:r>
      <w:r w:rsidR="00084F59">
        <w:t xml:space="preserve"> lead</w:t>
      </w:r>
      <w:r>
        <w:t xml:space="preserve"> to quality of service </w:t>
      </w:r>
      <w:r w:rsidR="00084F59">
        <w:t>issues</w:t>
      </w:r>
      <w:r>
        <w:t xml:space="preserve"> and competition between non-profits and business providers</w:t>
      </w:r>
      <w:r w:rsidR="00AB538D">
        <w:t>,</w:t>
      </w:r>
      <w:r>
        <w:t xml:space="preserve"> resulting in minimised market choice (Corden &amp; Thornton 2003). </w:t>
      </w:r>
      <w:r w:rsidR="00A931DF">
        <w:t>In order to manage these risks within a supported employment model</w:t>
      </w:r>
      <w:r w:rsidR="00BD1EF6">
        <w:t>,</w:t>
      </w:r>
      <w:r w:rsidR="00A931DF">
        <w:t xml:space="preserve"> Corden &amp; Thornton (2003) suggest six methods:</w:t>
      </w:r>
    </w:p>
    <w:p w:rsidR="00A931DF" w:rsidRDefault="00A931DF" w:rsidP="00DF1E27">
      <w:pPr>
        <w:pStyle w:val="BodyText"/>
        <w:numPr>
          <w:ilvl w:val="0"/>
          <w:numId w:val="11"/>
        </w:numPr>
      </w:pPr>
      <w:r>
        <w:t>ensuring overall economic viability in the program</w:t>
      </w:r>
      <w:r w:rsidR="00AB538D">
        <w:t>;</w:t>
      </w:r>
    </w:p>
    <w:p w:rsidR="00A931DF" w:rsidRDefault="00A931DF" w:rsidP="00DF1E27">
      <w:pPr>
        <w:pStyle w:val="BodyText"/>
        <w:numPr>
          <w:ilvl w:val="0"/>
          <w:numId w:val="11"/>
        </w:numPr>
      </w:pPr>
      <w:r>
        <w:t>setting different benchmarks for clients with greater needs</w:t>
      </w:r>
      <w:r w:rsidR="00AB538D">
        <w:t>;</w:t>
      </w:r>
    </w:p>
    <w:p w:rsidR="00A931DF" w:rsidRDefault="00A931DF" w:rsidP="00DF1E27">
      <w:pPr>
        <w:pStyle w:val="BodyText"/>
        <w:numPr>
          <w:ilvl w:val="0"/>
          <w:numId w:val="11"/>
        </w:numPr>
      </w:pPr>
      <w:r>
        <w:t>providing higher compensation for providing services to client groups or individuals with greater needs, for example in a tiered structure</w:t>
      </w:r>
      <w:r w:rsidR="00AB538D">
        <w:t>;</w:t>
      </w:r>
    </w:p>
    <w:p w:rsidR="00A931DF" w:rsidRDefault="00A931DF" w:rsidP="00DF1E27">
      <w:pPr>
        <w:pStyle w:val="BodyText"/>
        <w:numPr>
          <w:ilvl w:val="0"/>
          <w:numId w:val="11"/>
        </w:numPr>
      </w:pPr>
      <w:r>
        <w:t xml:space="preserve">providing additional fee-for-service funding to meet </w:t>
      </w:r>
      <w:r w:rsidR="00EC35EA">
        <w:t xml:space="preserve">the </w:t>
      </w:r>
      <w:r>
        <w:t>needs of individuals, for example in blended models</w:t>
      </w:r>
      <w:r w:rsidR="00AB538D">
        <w:t>;</w:t>
      </w:r>
    </w:p>
    <w:p w:rsidR="00A931DF" w:rsidRDefault="009351AF" w:rsidP="00BD1EF6">
      <w:pPr>
        <w:pStyle w:val="BodyText"/>
        <w:keepNext/>
        <w:numPr>
          <w:ilvl w:val="0"/>
          <w:numId w:val="11"/>
        </w:numPr>
      </w:pPr>
      <w:r>
        <w:lastRenderedPageBreak/>
        <w:t xml:space="preserve">requiring </w:t>
      </w:r>
      <w:r w:rsidR="00A931DF">
        <w:t>quotas of people with greater needs among outcomes; and</w:t>
      </w:r>
    </w:p>
    <w:p w:rsidR="003C2DD9" w:rsidRDefault="00A931DF" w:rsidP="00DF1E27">
      <w:pPr>
        <w:pStyle w:val="BodyText"/>
        <w:numPr>
          <w:ilvl w:val="0"/>
          <w:numId w:val="11"/>
        </w:numPr>
      </w:pPr>
      <w:r>
        <w:t>external control and management of referral of clients to providers.</w:t>
      </w:r>
    </w:p>
    <w:p w:rsidR="008322AD" w:rsidRDefault="008322AD" w:rsidP="008322AD">
      <w:pPr>
        <w:pStyle w:val="BodyText"/>
      </w:pPr>
      <w:r w:rsidRPr="008322AD">
        <w:t>DES</w:t>
      </w:r>
      <w:r>
        <w:t xml:space="preserve"> providers are currently paid through a mix of volume and outcomes-based payments. Consideration is to be given </w:t>
      </w:r>
      <w:r w:rsidR="00AB538D">
        <w:t>to</w:t>
      </w:r>
      <w:r>
        <w:t xml:space="preserve"> whether this model is </w:t>
      </w:r>
      <w:proofErr w:type="gramStart"/>
      <w:r>
        <w:t>sufficient</w:t>
      </w:r>
      <w:proofErr w:type="gramEnd"/>
      <w:r>
        <w:t xml:space="preserve"> to fund the IPS model within DES providers. One assessment found that it was financially viable to adop</w:t>
      </w:r>
      <w:r w:rsidR="00CF0B09">
        <w:t>t the IPS model within the 2010</w:t>
      </w:r>
      <w:r w:rsidR="00CF0B09">
        <w:noBreakHyphen/>
      </w:r>
      <w:r>
        <w:t>2018 DES funding model (</w:t>
      </w:r>
      <w:proofErr w:type="spellStart"/>
      <w:r w:rsidRPr="008322AD">
        <w:t>Parletta</w:t>
      </w:r>
      <w:proofErr w:type="spellEnd"/>
      <w:r w:rsidRPr="008322AD">
        <w:t xml:space="preserve"> and Waghorn 2016</w:t>
      </w:r>
      <w:r>
        <w:t xml:space="preserve">). </w:t>
      </w:r>
    </w:p>
    <w:p w:rsidR="00CF2112" w:rsidRDefault="00BA3E04" w:rsidP="002D74F2">
      <w:pPr>
        <w:pStyle w:val="Heading4"/>
        <w:numPr>
          <w:ilvl w:val="0"/>
          <w:numId w:val="0"/>
        </w:numPr>
        <w:ind w:left="992" w:hanging="992"/>
      </w:pPr>
      <w:r>
        <w:t>Mutual obligations</w:t>
      </w:r>
      <w:r w:rsidR="00BB36D7">
        <w:t xml:space="preserve"> and IPS</w:t>
      </w:r>
    </w:p>
    <w:p w:rsidR="00F37439" w:rsidRDefault="00F06098" w:rsidP="00BA3E04">
      <w:pPr>
        <w:pStyle w:val="BodyText"/>
      </w:pPr>
      <w:r>
        <w:t>Mutual obligations for people receiving government payments requires them to comply with a series of requirements, such as searching and applying for jobs. The</w:t>
      </w:r>
      <w:r w:rsidR="00F37439">
        <w:t xml:space="preserve"> IPS </w:t>
      </w:r>
      <w:r>
        <w:t>model</w:t>
      </w:r>
      <w:r w:rsidR="7579B768">
        <w:t xml:space="preserve"> </w:t>
      </w:r>
      <w:r>
        <w:t>is</w:t>
      </w:r>
      <w:r w:rsidR="7579B768">
        <w:t xml:space="preserve"> </w:t>
      </w:r>
      <w:r w:rsidR="00F54036">
        <w:t xml:space="preserve">potentially </w:t>
      </w:r>
      <w:r>
        <w:t xml:space="preserve">not in alignment </w:t>
      </w:r>
      <w:r w:rsidR="00BD1EF6">
        <w:t xml:space="preserve">with </w:t>
      </w:r>
      <w:r w:rsidR="00F37439">
        <w:t xml:space="preserve">the </w:t>
      </w:r>
      <w:r>
        <w:t xml:space="preserve">concept </w:t>
      </w:r>
      <w:r w:rsidR="00F37439">
        <w:t xml:space="preserve">of mutual obligations </w:t>
      </w:r>
      <w:r w:rsidR="3B4704A9">
        <w:t>due to two core Practice Principles of the model</w:t>
      </w:r>
      <w:r w:rsidR="00F37439">
        <w:t xml:space="preserve"> being eligibility based on participants’ choices and attention to participants</w:t>
      </w:r>
      <w:r w:rsidR="00BD1EF6">
        <w:t>’</w:t>
      </w:r>
      <w:r w:rsidR="00F37439">
        <w:t xml:space="preserve"> preferences. </w:t>
      </w:r>
      <w:r w:rsidR="001758BB">
        <w:t>Given this</w:t>
      </w:r>
      <w:r w:rsidR="0007492C">
        <w:t>,</w:t>
      </w:r>
      <w:r w:rsidR="001758BB">
        <w:t xml:space="preserve"> </w:t>
      </w:r>
      <w:r w:rsidR="453D4677">
        <w:t>limited</w:t>
      </w:r>
      <w:r w:rsidR="001758BB">
        <w:t xml:space="preserve"> research </w:t>
      </w:r>
      <w:r w:rsidR="00EC35EA">
        <w:t xml:space="preserve">has been </w:t>
      </w:r>
      <w:r w:rsidR="001758BB">
        <w:t xml:space="preserve">conducted on the impacts of introducing mutual obligation requirements </w:t>
      </w:r>
      <w:r w:rsidR="453D4677">
        <w:t>as an element of the IPS model</w:t>
      </w:r>
      <w:r w:rsidR="001758BB">
        <w:t xml:space="preserve">. </w:t>
      </w:r>
    </w:p>
    <w:p w:rsidR="00F37439" w:rsidRDefault="00C21BC5" w:rsidP="00BA3E04">
      <w:pPr>
        <w:pStyle w:val="BodyText"/>
      </w:pPr>
      <w:r>
        <w:t>These</w:t>
      </w:r>
      <w:r w:rsidR="00F37439">
        <w:t xml:space="preserve"> </w:t>
      </w:r>
      <w:r w:rsidR="00F54036">
        <w:t xml:space="preserve">potential </w:t>
      </w:r>
      <w:r>
        <w:t>conflicts</w:t>
      </w:r>
      <w:r w:rsidR="00F37439">
        <w:t xml:space="preserve"> between the IPS model and the DES model</w:t>
      </w:r>
      <w:r>
        <w:t xml:space="preserve"> means that with</w:t>
      </w:r>
      <w:r w:rsidR="00F37439">
        <w:t xml:space="preserve"> the current obligations with</w:t>
      </w:r>
      <w:r w:rsidR="00C51E50">
        <w:t>in</w:t>
      </w:r>
      <w:r w:rsidR="00F37439">
        <w:t xml:space="preserve"> DES</w:t>
      </w:r>
      <w:r>
        <w:t>,</w:t>
      </w:r>
      <w:r w:rsidR="00F37439">
        <w:t xml:space="preserve"> service providers </w:t>
      </w:r>
      <w:r>
        <w:t>need</w:t>
      </w:r>
      <w:r w:rsidR="00F37439">
        <w:t xml:space="preserve"> to compromise elements of choice </w:t>
      </w:r>
      <w:r>
        <w:t>inherent in IPS</w:t>
      </w:r>
      <w:r w:rsidR="00F37439">
        <w:t xml:space="preserve"> to ensure their clients continue to fulfil DES and other government obligations, in order to continue to receive government supports</w:t>
      </w:r>
      <w:r w:rsidR="001758BB">
        <w:t xml:space="preserve"> (Waghorn et al 2014)</w:t>
      </w:r>
      <w:r w:rsidR="00F37439">
        <w:t>.</w:t>
      </w:r>
    </w:p>
    <w:p w:rsidR="00B91B65" w:rsidRDefault="00994966" w:rsidP="00BA3E04">
      <w:pPr>
        <w:pStyle w:val="BodyText"/>
      </w:pPr>
      <w:r>
        <w:t>More broadly, p</w:t>
      </w:r>
      <w:r w:rsidR="00B91B65">
        <w:t xml:space="preserve">rograms across Australia have continued to encounter difficulties in ensuring mutual obligations are fulfilled for people with mental illness. </w:t>
      </w:r>
      <w:r>
        <w:t>Evidence demonstrates</w:t>
      </w:r>
      <w:r w:rsidR="00B91B65">
        <w:t xml:space="preserve"> that</w:t>
      </w:r>
      <w:r w:rsidR="00EC35EA">
        <w:t>,</w:t>
      </w:r>
      <w:r w:rsidR="00B91B65">
        <w:t xml:space="preserve"> in programs such as Newstart Allowance</w:t>
      </w:r>
      <w:r>
        <w:t xml:space="preserve"> (now </w:t>
      </w:r>
      <w:proofErr w:type="spellStart"/>
      <w:r>
        <w:t>JobSeeker</w:t>
      </w:r>
      <w:proofErr w:type="spellEnd"/>
      <w:r>
        <w:t>)</w:t>
      </w:r>
      <w:r w:rsidR="00B91B65">
        <w:t xml:space="preserve"> and Youth Allowance</w:t>
      </w:r>
      <w:r w:rsidR="00BD1EF6">
        <w:t>,</w:t>
      </w:r>
      <w:r w:rsidR="00B91B65">
        <w:t xml:space="preserve"> the plans developed to assist young people find employment are not adequately tailored </w:t>
      </w:r>
      <w:r>
        <w:t xml:space="preserve">and </w:t>
      </w:r>
      <w:r w:rsidR="00EC35EA">
        <w:t xml:space="preserve">are </w:t>
      </w:r>
      <w:r w:rsidR="00B91B65">
        <w:t>developed only to fulfil an administrative function</w:t>
      </w:r>
      <w:r w:rsidR="00B64C73">
        <w:t xml:space="preserve"> (Productivity </w:t>
      </w:r>
      <w:proofErr w:type="spellStart"/>
      <w:r w:rsidR="00B64C73">
        <w:t>Comission</w:t>
      </w:r>
      <w:proofErr w:type="spellEnd"/>
      <w:r w:rsidR="00B64C73">
        <w:t xml:space="preserve"> 2019)</w:t>
      </w:r>
      <w:r w:rsidR="00B91B65">
        <w:t>. Whil</w:t>
      </w:r>
      <w:r w:rsidR="00BA3B14">
        <w:t>e</w:t>
      </w:r>
      <w:r w:rsidR="00B91B65">
        <w:t xml:space="preserve"> people with mental illness can request a ‘temporary incapacity’ exception, approximately </w:t>
      </w:r>
      <w:r>
        <w:t xml:space="preserve">only </w:t>
      </w:r>
      <w:r w:rsidR="00B91B65">
        <w:t>17 per cent of those with</w:t>
      </w:r>
      <w:r w:rsidR="00B91B65" w:rsidRPr="00B91B65">
        <w:t xml:space="preserve"> psychological or psychiatric condition</w:t>
      </w:r>
      <w:r w:rsidR="00B91B65">
        <w:t xml:space="preserve">s </w:t>
      </w:r>
      <w:r w:rsidR="00EC35EA">
        <w:t xml:space="preserve">who are </w:t>
      </w:r>
      <w:r w:rsidR="00B91B65">
        <w:t xml:space="preserve">on Newstart receive the exemption (Productivity Commission 2019). </w:t>
      </w:r>
    </w:p>
    <w:p w:rsidR="00B91B65" w:rsidRDefault="00B91B65" w:rsidP="00BA3E04">
      <w:pPr>
        <w:pStyle w:val="BodyText"/>
      </w:pPr>
      <w:r>
        <w:t>The current policy environment recognise</w:t>
      </w:r>
      <w:r w:rsidR="00BD1EF6">
        <w:t>s</w:t>
      </w:r>
      <w:r>
        <w:t xml:space="preserve"> a job seeker’s illness or disability when setting mutual obligation requirements, however it remains unclear </w:t>
      </w:r>
      <w:r w:rsidR="005920AC">
        <w:t>if the setting is appropriate for people with mental illness (Productivity Commission 2019)</w:t>
      </w:r>
      <w:r>
        <w:t xml:space="preserve">. </w:t>
      </w:r>
      <w:r w:rsidR="00772795">
        <w:t>Mental illness is</w:t>
      </w:r>
      <w:r w:rsidR="00772795" w:rsidDel="00BD1EF6">
        <w:t xml:space="preserve"> </w:t>
      </w:r>
      <w:r w:rsidR="00772795">
        <w:t>complex and often ambiguous in both meaning and significance, as well as</w:t>
      </w:r>
      <w:r w:rsidR="00EC35EA">
        <w:t xml:space="preserve"> the</w:t>
      </w:r>
      <w:r w:rsidR="00772795">
        <w:t xml:space="preserve"> impact it has on an individual</w:t>
      </w:r>
      <w:r w:rsidR="00F61C04">
        <w:t xml:space="preserve"> (Productivity Commission 2019)</w:t>
      </w:r>
      <w:r w:rsidR="00772795">
        <w:t xml:space="preserve">. Therefore, it is often difficult to identify someone who is experiencing mental illness and comprehend </w:t>
      </w:r>
      <w:r w:rsidR="00EC35EA">
        <w:t xml:space="preserve">its </w:t>
      </w:r>
      <w:r w:rsidR="00772795">
        <w:t xml:space="preserve">impact from a clinical perspective, particularly as </w:t>
      </w:r>
      <w:r w:rsidR="00EC35EA">
        <w:t xml:space="preserve">the individual’s </w:t>
      </w:r>
      <w:r w:rsidR="00772795">
        <w:t>condition may fluctuate over time. This is commonly identified for people with severe depression who may struggle to attend job interviews or even communicate with their job active provider, and therefore fail to comply with their obligations and potentially stop receiving payments (Productivity Commission 2019).</w:t>
      </w:r>
    </w:p>
    <w:p w:rsidR="00772795" w:rsidRDefault="00772795" w:rsidP="00BA3E04">
      <w:pPr>
        <w:pStyle w:val="BodyText"/>
      </w:pPr>
      <w:r>
        <w:t xml:space="preserve">A </w:t>
      </w:r>
      <w:r w:rsidR="003D625A">
        <w:t>s</w:t>
      </w:r>
      <w:r>
        <w:t xml:space="preserve">ubmission </w:t>
      </w:r>
      <w:r w:rsidR="0007492C">
        <w:t xml:space="preserve">from the </w:t>
      </w:r>
      <w:r w:rsidR="0007492C" w:rsidRPr="00F83E20">
        <w:t>Ment</w:t>
      </w:r>
      <w:r w:rsidR="0007492C">
        <w:t xml:space="preserve">al Health Council of Australia </w:t>
      </w:r>
      <w:r w:rsidR="0007492C" w:rsidRPr="00F83E20">
        <w:t>and the National Mental Health Consumer and Carer Forum</w:t>
      </w:r>
      <w:r w:rsidR="0007492C">
        <w:t xml:space="preserve"> </w:t>
      </w:r>
      <w:r>
        <w:t xml:space="preserve">to the Interim Report by the Reference Group on Welfare Reform </w:t>
      </w:r>
      <w:r w:rsidR="00F54036">
        <w:t xml:space="preserve">contends </w:t>
      </w:r>
      <w:r>
        <w:t>that current mutual obligation processes contain increased barriers for those with mental illness, and therefore when they are unable to comply</w:t>
      </w:r>
      <w:r w:rsidR="00BD1EF6">
        <w:t>,</w:t>
      </w:r>
      <w:r>
        <w:t xml:space="preserve"> their symptoms can worsen and create other negative impacts</w:t>
      </w:r>
      <w:r w:rsidR="00BD1EF6">
        <w:t>,</w:t>
      </w:r>
      <w:r>
        <w:t xml:space="preserve"> further exasperating their barrier to employment. This report provided </w:t>
      </w:r>
      <w:proofErr w:type="gramStart"/>
      <w:r>
        <w:t>a number of</w:t>
      </w:r>
      <w:proofErr w:type="gramEnd"/>
      <w:r>
        <w:t xml:space="preserve"> recommendations regarding how mutual obligations should be delivered for people with mental illness if required</w:t>
      </w:r>
      <w:r w:rsidR="00BD1EF6">
        <w:t>,</w:t>
      </w:r>
      <w:r>
        <w:t xml:space="preserve"> includ</w:t>
      </w:r>
      <w:r w:rsidR="00BD1EF6">
        <w:t>ing</w:t>
      </w:r>
      <w:r>
        <w:t>:</w:t>
      </w:r>
    </w:p>
    <w:p w:rsidR="00772795" w:rsidRDefault="003D625A" w:rsidP="00DF1E27">
      <w:pPr>
        <w:pStyle w:val="BodyText"/>
        <w:numPr>
          <w:ilvl w:val="0"/>
          <w:numId w:val="12"/>
        </w:numPr>
      </w:pPr>
      <w:r>
        <w:t>e</w:t>
      </w:r>
      <w:r w:rsidR="00772795">
        <w:t>nsuring mutual obligations and requirements are tailored, meaningful and flexible to account for changing circumstances</w:t>
      </w:r>
      <w:r>
        <w:t>;</w:t>
      </w:r>
    </w:p>
    <w:p w:rsidR="00772795" w:rsidRDefault="003D625A" w:rsidP="00DF1E27">
      <w:pPr>
        <w:pStyle w:val="BodyText"/>
        <w:numPr>
          <w:ilvl w:val="0"/>
          <w:numId w:val="12"/>
        </w:numPr>
      </w:pPr>
      <w:r>
        <w:t>m</w:t>
      </w:r>
      <w:r w:rsidR="00772795">
        <w:t>aking the exemption process straightforward and allowing people to remain exempt for as long as determined by a treating professional or designated practitioner</w:t>
      </w:r>
      <w:r>
        <w:t>;</w:t>
      </w:r>
    </w:p>
    <w:p w:rsidR="00772795" w:rsidRDefault="003D625A" w:rsidP="00DF1E27">
      <w:pPr>
        <w:pStyle w:val="BodyText"/>
        <w:numPr>
          <w:ilvl w:val="0"/>
          <w:numId w:val="12"/>
        </w:numPr>
      </w:pPr>
      <w:r>
        <w:t>i</w:t>
      </w:r>
      <w:r w:rsidR="00772795">
        <w:t>ncreased choice and control to enable client preference in their mutual obligation activities;</w:t>
      </w:r>
      <w:r>
        <w:t xml:space="preserve"> and</w:t>
      </w:r>
    </w:p>
    <w:p w:rsidR="00772795" w:rsidRDefault="003D625A" w:rsidP="00DF1E27">
      <w:pPr>
        <w:pStyle w:val="BodyText"/>
        <w:numPr>
          <w:ilvl w:val="0"/>
          <w:numId w:val="12"/>
        </w:numPr>
      </w:pPr>
      <w:r>
        <w:t>n</w:t>
      </w:r>
      <w:r w:rsidR="00772795">
        <w:t>o punitive sanctions for non-compliance.</w:t>
      </w:r>
    </w:p>
    <w:p w:rsidR="00190CA5" w:rsidRDefault="004031D9" w:rsidP="00EC35EA">
      <w:pPr>
        <w:pStyle w:val="BodyText"/>
        <w:keepLines/>
      </w:pPr>
      <w:r>
        <w:lastRenderedPageBreak/>
        <w:t>For</w:t>
      </w:r>
      <w:r w:rsidR="00CF6244">
        <w:t xml:space="preserve"> participants</w:t>
      </w:r>
      <w:r w:rsidR="002C36B2">
        <w:t xml:space="preserve"> with mental illness and</w:t>
      </w:r>
      <w:r w:rsidR="00CF6244">
        <w:t xml:space="preserve"> government obligation requirements </w:t>
      </w:r>
      <w:r>
        <w:t>tied to their</w:t>
      </w:r>
      <w:r w:rsidR="00CF6244">
        <w:t xml:space="preserve"> income support payments</w:t>
      </w:r>
      <w:r>
        <w:t xml:space="preserve">, they may have difficulty fulfilling their obligations. </w:t>
      </w:r>
      <w:r w:rsidR="002C36B2">
        <w:t xml:space="preserve">The Productivity Commission in its recommendation to further roll out the IPS model (Recommendation 14.3) </w:t>
      </w:r>
      <w:r w:rsidR="00CF6244">
        <w:t xml:space="preserve">suggested that </w:t>
      </w:r>
      <w:r w:rsidR="002C36B2">
        <w:t>participation in IPS should</w:t>
      </w:r>
      <w:r w:rsidR="00CF6244">
        <w:t xml:space="preserve"> fulfil obligations </w:t>
      </w:r>
      <w:r w:rsidR="002C36B2">
        <w:t>for participants on income support</w:t>
      </w:r>
      <w:r w:rsidR="00CF6244">
        <w:t xml:space="preserve">. </w:t>
      </w:r>
    </w:p>
    <w:p w:rsidR="282FE1DD" w:rsidRDefault="3A41466A" w:rsidP="005A7907">
      <w:pPr>
        <w:pStyle w:val="Heading2"/>
      </w:pPr>
      <w:bookmarkStart w:id="40" w:name="_Toc41553039"/>
      <w:bookmarkStart w:id="41" w:name="_Toc46398189"/>
      <w:r>
        <w:t>Factors that influence success in realising outcomes</w:t>
      </w:r>
      <w:bookmarkEnd w:id="40"/>
      <w:bookmarkEnd w:id="41"/>
    </w:p>
    <w:p w:rsidR="0024040C" w:rsidRDefault="3091A9A4" w:rsidP="7B35F1E9">
      <w:pPr>
        <w:pStyle w:val="BodyText"/>
        <w:spacing w:before="240"/>
      </w:pPr>
      <w:r>
        <w:t>R</w:t>
      </w:r>
      <w:r w:rsidR="4494C16B">
        <w:t xml:space="preserve">esearch has continued to </w:t>
      </w:r>
      <w:r w:rsidR="0DD7411F">
        <w:t>reflect</w:t>
      </w:r>
      <w:r w:rsidR="61218749">
        <w:t xml:space="preserve"> the success of the</w:t>
      </w:r>
      <w:r w:rsidR="4494C16B">
        <w:t xml:space="preserve"> im</w:t>
      </w:r>
      <w:r w:rsidR="7AADDFE6">
        <w:t>plementation of the IPS model</w:t>
      </w:r>
      <w:r w:rsidR="74E61F94">
        <w:t xml:space="preserve"> and its effectiveness in helping young adults with mental illness attain competitive employment (</w:t>
      </w:r>
      <w:r w:rsidR="23BEFA59">
        <w:t>Bond et al. 2016)</w:t>
      </w:r>
      <w:r w:rsidR="0024040C">
        <w:t xml:space="preserve"> as well as its </w:t>
      </w:r>
      <w:r w:rsidR="001A0AA8">
        <w:t>applicability</w:t>
      </w:r>
      <w:r w:rsidR="0024040C">
        <w:t xml:space="preserve"> to other cohort groups (Bond et al. 2019). </w:t>
      </w:r>
      <w:r w:rsidR="001A0AA8">
        <w:t xml:space="preserve">Limited research has been conducted to determine whether there are </w:t>
      </w:r>
      <w:proofErr w:type="gramStart"/>
      <w:r w:rsidR="001A0AA8">
        <w:t>particular contextual</w:t>
      </w:r>
      <w:proofErr w:type="gramEnd"/>
      <w:r w:rsidR="001A0AA8">
        <w:t xml:space="preserve"> factors that may influence the effectiveness of implementing IPS beyond implementation success (such as those in the Practice Principles and the strength of relationships between employment support and clinical suppor</w:t>
      </w:r>
      <w:r w:rsidR="00F567B5">
        <w:t>ts). This section summarises some key factors and any evidence related to outcomes achieved in IPS programs</w:t>
      </w:r>
      <w:r w:rsidR="00667196">
        <w:t xml:space="preserve">, as well as any adaptations that have </w:t>
      </w:r>
      <w:r w:rsidR="00EC35EA">
        <w:t xml:space="preserve">been </w:t>
      </w:r>
      <w:r w:rsidR="00667196">
        <w:t>implemented</w:t>
      </w:r>
      <w:r w:rsidR="00F567B5">
        <w:t>.</w:t>
      </w:r>
    </w:p>
    <w:p w:rsidR="003C2DD9" w:rsidRDefault="003C2DD9" w:rsidP="00437799">
      <w:pPr>
        <w:pStyle w:val="Heading3"/>
      </w:pPr>
      <w:r w:rsidRPr="003C2DD9">
        <w:t>Participant</w:t>
      </w:r>
      <w:r>
        <w:t xml:space="preserve"> characteristics</w:t>
      </w:r>
    </w:p>
    <w:p w:rsidR="603B527C" w:rsidRDefault="7FB7BCC2" w:rsidP="4015CD15">
      <w:pPr>
        <w:pStyle w:val="BodyText"/>
      </w:pPr>
      <w:r>
        <w:t xml:space="preserve">This section explores </w:t>
      </w:r>
      <w:r w:rsidR="1A0CAB8B">
        <w:t xml:space="preserve">the impact of </w:t>
      </w:r>
      <w:r w:rsidR="64E6E71D">
        <w:t>certain</w:t>
      </w:r>
      <w:r>
        <w:t xml:space="preserve"> characteristics </w:t>
      </w:r>
      <w:r w:rsidR="1E9A398F">
        <w:t>of IPS participants</w:t>
      </w:r>
      <w:r>
        <w:t xml:space="preserve"> </w:t>
      </w:r>
      <w:r w:rsidR="1A0CAB8B">
        <w:t xml:space="preserve">on the </w:t>
      </w:r>
      <w:r>
        <w:t>outcome</w:t>
      </w:r>
      <w:r w:rsidR="00210C39">
        <w:t>s</w:t>
      </w:r>
      <w:r w:rsidR="63CCDAE0">
        <w:t xml:space="preserve"> </w:t>
      </w:r>
      <w:r w:rsidR="00210C39">
        <w:t>achieved</w:t>
      </w:r>
      <w:r>
        <w:t xml:space="preserve"> and </w:t>
      </w:r>
      <w:r w:rsidR="7D1BA28B">
        <w:t>examines</w:t>
      </w:r>
      <w:r>
        <w:t xml:space="preserve"> research that has been </w:t>
      </w:r>
      <w:r w:rsidR="00BD1EF6">
        <w:t xml:space="preserve">undertaken </w:t>
      </w:r>
      <w:r>
        <w:t xml:space="preserve">around possible </w:t>
      </w:r>
      <w:r w:rsidR="14CD758F">
        <w:t>adaptations</w:t>
      </w:r>
      <w:r>
        <w:t xml:space="preserve"> to the model</w:t>
      </w:r>
      <w:r w:rsidR="501E3D22">
        <w:t xml:space="preserve"> that</w:t>
      </w:r>
      <w:r>
        <w:t xml:space="preserve"> may i</w:t>
      </w:r>
      <w:r w:rsidR="5E9C1B85">
        <w:t>mprove delivery of services</w:t>
      </w:r>
      <w:r w:rsidR="00210C39">
        <w:t xml:space="preserve"> and employment rates</w:t>
      </w:r>
      <w:r w:rsidR="5E9C1B85">
        <w:t>.</w:t>
      </w:r>
      <w:r w:rsidR="268694FE">
        <w:t xml:space="preserve"> </w:t>
      </w:r>
    </w:p>
    <w:p w:rsidR="00E94AB8" w:rsidRPr="00E94AB8" w:rsidRDefault="00E94AB8" w:rsidP="00B70E82">
      <w:pPr>
        <w:pStyle w:val="Heading4"/>
        <w:numPr>
          <w:ilvl w:val="0"/>
          <w:numId w:val="0"/>
        </w:numPr>
        <w:ind w:left="992" w:hanging="992"/>
      </w:pPr>
      <w:r w:rsidRPr="00E94AB8">
        <w:t>Age</w:t>
      </w:r>
    </w:p>
    <w:p w:rsidR="1E5B3D7E" w:rsidRDefault="1E5B3D7E" w:rsidP="0654A476">
      <w:pPr>
        <w:jc w:val="both"/>
        <w:rPr>
          <w:rFonts w:asciiTheme="majorHAnsi" w:eastAsiaTheme="majorEastAsia" w:hAnsiTheme="majorHAnsi" w:cstheme="majorBidi"/>
        </w:rPr>
      </w:pPr>
      <w:r w:rsidRPr="3A1AB910">
        <w:rPr>
          <w:rFonts w:asciiTheme="majorHAnsi" w:eastAsiaTheme="majorEastAsia" w:hAnsiTheme="majorHAnsi" w:cstheme="majorBidi"/>
        </w:rPr>
        <w:t xml:space="preserve">There </w:t>
      </w:r>
      <w:r w:rsidR="60B9D58E" w:rsidRPr="282FE1DD">
        <w:rPr>
          <w:rFonts w:asciiTheme="majorHAnsi" w:eastAsiaTheme="majorEastAsia" w:hAnsiTheme="majorHAnsi" w:cstheme="majorBidi"/>
        </w:rPr>
        <w:t>is</w:t>
      </w:r>
      <w:r w:rsidRPr="3A1AB910">
        <w:rPr>
          <w:rFonts w:asciiTheme="majorHAnsi" w:eastAsiaTheme="majorEastAsia" w:hAnsiTheme="majorHAnsi" w:cstheme="majorBidi"/>
        </w:rPr>
        <w:t xml:space="preserve"> limited published literature relat</w:t>
      </w:r>
      <w:r w:rsidR="00EC35EA">
        <w:rPr>
          <w:rFonts w:asciiTheme="majorHAnsi" w:eastAsiaTheme="majorEastAsia" w:hAnsiTheme="majorHAnsi" w:cstheme="majorBidi"/>
        </w:rPr>
        <w:t>ing</w:t>
      </w:r>
      <w:r w:rsidRPr="3A1AB910">
        <w:rPr>
          <w:rFonts w:asciiTheme="majorHAnsi" w:eastAsiaTheme="majorEastAsia" w:hAnsiTheme="majorHAnsi" w:cstheme="majorBidi"/>
        </w:rPr>
        <w:t xml:space="preserve"> to how a participant’s age may impact the success of the IPS model</w:t>
      </w:r>
      <w:r w:rsidR="00EE680F">
        <w:rPr>
          <w:rFonts w:asciiTheme="majorHAnsi" w:eastAsiaTheme="majorEastAsia" w:hAnsiTheme="majorHAnsi" w:cstheme="majorBidi"/>
        </w:rPr>
        <w:t>, with studies generally focused on an age group in isolation rather than comparing outcomes across age groups.</w:t>
      </w:r>
      <w:r w:rsidRPr="3A1AB910">
        <w:rPr>
          <w:rFonts w:asciiTheme="majorHAnsi" w:eastAsiaTheme="majorEastAsia" w:hAnsiTheme="majorHAnsi" w:cstheme="majorBidi"/>
        </w:rPr>
        <w:t xml:space="preserve"> One study however, suggested that older participants may face greater employment obstacles in comparison to younger participants. The study explored an adaptation of the IPS model for homeless young people and found that younger participants had access to a greater range of job opportunities than their older peers. This was because younger participants were eligible for ‘youth-specific’ employment, such</w:t>
      </w:r>
      <w:r w:rsidR="00BD1EF6">
        <w:rPr>
          <w:rFonts w:asciiTheme="majorHAnsi" w:eastAsiaTheme="majorEastAsia" w:hAnsiTheme="majorHAnsi" w:cstheme="majorBidi"/>
        </w:rPr>
        <w:t xml:space="preserve"> as</w:t>
      </w:r>
      <w:r w:rsidRPr="3A1AB910">
        <w:rPr>
          <w:rFonts w:asciiTheme="majorHAnsi" w:eastAsiaTheme="majorEastAsia" w:hAnsiTheme="majorHAnsi" w:cstheme="majorBidi"/>
        </w:rPr>
        <w:t xml:space="preserve"> federal-stimulus-funded youth programs (e.g</w:t>
      </w:r>
      <w:r w:rsidR="00BD1EF6">
        <w:rPr>
          <w:rFonts w:asciiTheme="majorHAnsi" w:eastAsiaTheme="majorEastAsia" w:hAnsiTheme="majorHAnsi" w:cstheme="majorBidi"/>
        </w:rPr>
        <w:t>.</w:t>
      </w:r>
      <w:r w:rsidRPr="3A1AB910">
        <w:rPr>
          <w:rFonts w:asciiTheme="majorHAnsi" w:eastAsiaTheme="majorEastAsia" w:hAnsiTheme="majorHAnsi" w:cstheme="majorBidi"/>
        </w:rPr>
        <w:t xml:space="preserve"> local youth summer internships), as well as temporary and seasonal positions often filled by younger people (e.g</w:t>
      </w:r>
      <w:r w:rsidR="00BD1EF6">
        <w:rPr>
          <w:rFonts w:asciiTheme="majorHAnsi" w:eastAsiaTheme="majorEastAsia" w:hAnsiTheme="majorHAnsi" w:cstheme="majorBidi"/>
        </w:rPr>
        <w:t>.</w:t>
      </w:r>
      <w:r w:rsidRPr="3A1AB910">
        <w:rPr>
          <w:rFonts w:asciiTheme="majorHAnsi" w:eastAsiaTheme="majorEastAsia" w:hAnsiTheme="majorHAnsi" w:cstheme="majorBidi"/>
        </w:rPr>
        <w:t xml:space="preserve"> Christmas casuals) (Ferguson et al. 2011). </w:t>
      </w:r>
    </w:p>
    <w:p w:rsidR="09041505" w:rsidRDefault="09041505" w:rsidP="00B70E82">
      <w:pPr>
        <w:pStyle w:val="Heading4"/>
        <w:numPr>
          <w:ilvl w:val="0"/>
          <w:numId w:val="0"/>
        </w:numPr>
        <w:ind w:left="992" w:hanging="992"/>
      </w:pPr>
      <w:r>
        <w:t>Cultur</w:t>
      </w:r>
      <w:r w:rsidR="00504E6D">
        <w:t>al background</w:t>
      </w:r>
    </w:p>
    <w:p w:rsidR="4EDDD2B4" w:rsidRDefault="2E8BD6B1" w:rsidP="00EC35EA">
      <w:pPr>
        <w:pStyle w:val="BodyText"/>
      </w:pPr>
      <w:r w:rsidRPr="34C5B487">
        <w:t>There is scarce</w:t>
      </w:r>
      <w:r w:rsidR="01ACCE2C" w:rsidRPr="029376EE">
        <w:t xml:space="preserve"> </w:t>
      </w:r>
      <w:r w:rsidR="6E2567D3" w:rsidRPr="34C5B487">
        <w:t xml:space="preserve">evidence </w:t>
      </w:r>
      <w:r w:rsidR="2550F11A" w:rsidRPr="2666E94C">
        <w:t>and literature on</w:t>
      </w:r>
      <w:r w:rsidR="0CDBD3E3" w:rsidRPr="34C5B487">
        <w:t xml:space="preserve"> </w:t>
      </w:r>
      <w:r w:rsidR="01ACCE2C" w:rsidRPr="029376EE">
        <w:t xml:space="preserve">how cultural </w:t>
      </w:r>
      <w:r w:rsidR="51DB740B" w:rsidRPr="34C5B487">
        <w:t>and ethnic</w:t>
      </w:r>
      <w:r w:rsidR="1A07DBA2" w:rsidRPr="34C5B487">
        <w:t xml:space="preserve"> </w:t>
      </w:r>
      <w:r w:rsidR="01ACCE2C" w:rsidRPr="029376EE">
        <w:t xml:space="preserve">factors may </w:t>
      </w:r>
      <w:r w:rsidR="1FB6B0C5" w:rsidRPr="34C5B487">
        <w:t>impact</w:t>
      </w:r>
      <w:r w:rsidR="01ACCE2C" w:rsidRPr="029376EE">
        <w:t xml:space="preserve"> the delivery of</w:t>
      </w:r>
      <w:r w:rsidR="6CB6E468" w:rsidRPr="029376EE">
        <w:t xml:space="preserve"> the</w:t>
      </w:r>
      <w:r w:rsidR="01ACCE2C" w:rsidRPr="029376EE">
        <w:t xml:space="preserve"> IPS model. </w:t>
      </w:r>
      <w:r w:rsidR="00504E6D">
        <w:t>A</w:t>
      </w:r>
      <w:r w:rsidR="01ACCE2C" w:rsidRPr="029376EE">
        <w:t xml:space="preserve"> </w:t>
      </w:r>
      <w:r w:rsidR="1C57EA81" w:rsidRPr="2666E94C">
        <w:t xml:space="preserve">recent </w:t>
      </w:r>
      <w:r w:rsidR="01ACCE2C" w:rsidRPr="2666E94C">
        <w:t>study</w:t>
      </w:r>
      <w:r w:rsidR="56F18292" w:rsidRPr="34C5B487">
        <w:t xml:space="preserve"> </w:t>
      </w:r>
      <w:r w:rsidR="01ACCE2C" w:rsidRPr="029376EE">
        <w:t xml:space="preserve">in New Zealand observed </w:t>
      </w:r>
      <w:r w:rsidR="00EC35EA" w:rsidRPr="34C5B487">
        <w:t>and reported the outcomes</w:t>
      </w:r>
      <w:r w:rsidR="00EC35EA" w:rsidRPr="029376EE">
        <w:t xml:space="preserve"> </w:t>
      </w:r>
      <w:r w:rsidR="00EC35EA">
        <w:t xml:space="preserve">of </w:t>
      </w:r>
      <w:r w:rsidR="01ACCE2C" w:rsidRPr="029376EE">
        <w:t xml:space="preserve">how </w:t>
      </w:r>
      <w:r w:rsidR="1F718625" w:rsidRPr="4694148F">
        <w:t>I</w:t>
      </w:r>
      <w:r w:rsidR="01ACCE2C" w:rsidRPr="4694148F">
        <w:t>ndigenous</w:t>
      </w:r>
      <w:r w:rsidR="01ACCE2C" w:rsidRPr="029376EE">
        <w:t xml:space="preserve"> Maori </w:t>
      </w:r>
      <w:r w:rsidR="1402BA05" w:rsidRPr="029376EE">
        <w:t>participants</w:t>
      </w:r>
      <w:r w:rsidR="11A3125A" w:rsidRPr="029376EE">
        <w:t xml:space="preserve"> </w:t>
      </w:r>
      <w:r w:rsidR="583516A0" w:rsidRPr="34C5B487">
        <w:t xml:space="preserve">responded to the delivery of the model </w:t>
      </w:r>
      <w:r w:rsidR="11A3125A" w:rsidRPr="029376EE">
        <w:t>(</w:t>
      </w:r>
      <w:r w:rsidR="3288C312" w:rsidRPr="029376EE">
        <w:t>Priest &amp; Lockett, 2019)</w:t>
      </w:r>
      <w:r w:rsidR="004C5759">
        <w:t xml:space="preserve">. </w:t>
      </w:r>
      <w:r w:rsidR="178A70F9" w:rsidRPr="34C5B487">
        <w:t>The study noted</w:t>
      </w:r>
      <w:r w:rsidR="178A70F9" w:rsidRPr="2666E94C">
        <w:t xml:space="preserve"> </w:t>
      </w:r>
      <w:r w:rsidR="4022F5B2" w:rsidRPr="2666E94C">
        <w:t>the</w:t>
      </w:r>
      <w:r w:rsidR="178A70F9" w:rsidRPr="34C5B487">
        <w:t xml:space="preserve"> </w:t>
      </w:r>
      <w:r w:rsidR="00B70E82">
        <w:t>existing barriers for I</w:t>
      </w:r>
      <w:r w:rsidR="77BE17C6" w:rsidRPr="34C5B487">
        <w:t xml:space="preserve">ndigenous and non-native individuals in the workforce </w:t>
      </w:r>
      <w:r w:rsidR="79CD417A" w:rsidRPr="34C5B487">
        <w:t>irrespective</w:t>
      </w:r>
      <w:r w:rsidR="701808D3" w:rsidRPr="34C5B487">
        <w:t xml:space="preserve"> </w:t>
      </w:r>
      <w:r w:rsidR="77BE17C6" w:rsidRPr="34C5B487">
        <w:t xml:space="preserve">of </w:t>
      </w:r>
      <w:r w:rsidR="1812ED9F" w:rsidRPr="34C5B487">
        <w:t xml:space="preserve">an </w:t>
      </w:r>
      <w:r w:rsidR="3F0C8D62" w:rsidRPr="34C5B487">
        <w:t>individual's</w:t>
      </w:r>
      <w:r w:rsidR="1812ED9F" w:rsidRPr="34C5B487">
        <w:t xml:space="preserve"> </w:t>
      </w:r>
      <w:r w:rsidR="77BE17C6" w:rsidRPr="34C5B487">
        <w:t>mental health status,</w:t>
      </w:r>
      <w:r w:rsidR="178A70F9" w:rsidRPr="34C5B487">
        <w:t xml:space="preserve"> such as subconscious </w:t>
      </w:r>
      <w:r w:rsidR="5AD5CEB6" w:rsidRPr="34C5B487">
        <w:t>cultural</w:t>
      </w:r>
      <w:r w:rsidR="0931245A" w:rsidRPr="34C5B487">
        <w:t xml:space="preserve"> </w:t>
      </w:r>
      <w:r w:rsidR="178A70F9" w:rsidRPr="34C5B487">
        <w:t xml:space="preserve">bias and institutional </w:t>
      </w:r>
      <w:r w:rsidR="00B451F3" w:rsidRPr="34C5B487">
        <w:t xml:space="preserve">racism </w:t>
      </w:r>
      <w:r w:rsidR="178A70F9" w:rsidRPr="34C5B487">
        <w:t>(Harris et al. 2006, 2012</w:t>
      </w:r>
      <w:r w:rsidR="62481A79" w:rsidRPr="34C5B487">
        <w:t xml:space="preserve">, as referenced by Priest &amp; Lockett et al. 2019). </w:t>
      </w:r>
      <w:r w:rsidR="758E88CD" w:rsidRPr="34C5B487">
        <w:t xml:space="preserve">The study also </w:t>
      </w:r>
      <w:r w:rsidR="149D0713" w:rsidRPr="2666E94C">
        <w:t>acknowledged research</w:t>
      </w:r>
      <w:r w:rsidR="758E88CD" w:rsidRPr="34C5B487">
        <w:t xml:space="preserve"> that </w:t>
      </w:r>
      <w:r w:rsidR="2B76EA18" w:rsidRPr="2666E94C">
        <w:t xml:space="preserve">reflected </w:t>
      </w:r>
      <w:r w:rsidR="00EC35EA">
        <w:t xml:space="preserve">that </w:t>
      </w:r>
      <w:r w:rsidR="758E88CD" w:rsidRPr="34C5B487">
        <w:t xml:space="preserve">Indigenous Maori people </w:t>
      </w:r>
      <w:r w:rsidR="28FC9F45" w:rsidRPr="2666E94C">
        <w:t>are</w:t>
      </w:r>
      <w:r w:rsidR="758E88CD" w:rsidRPr="34C5B487">
        <w:t xml:space="preserve"> more likely to experience higher rates of mental illness, lower levels</w:t>
      </w:r>
      <w:r w:rsidR="1C06EC4C" w:rsidRPr="34C5B487">
        <w:t xml:space="preserve"> </w:t>
      </w:r>
      <w:r w:rsidR="2E1EEC93" w:rsidRPr="34C5B487">
        <w:t xml:space="preserve">of educational attainment and be more likely </w:t>
      </w:r>
      <w:r w:rsidR="3AE37DF0" w:rsidRPr="2666E94C">
        <w:t>t</w:t>
      </w:r>
      <w:r w:rsidR="2E1EEC93" w:rsidRPr="2666E94C">
        <w:t>o</w:t>
      </w:r>
      <w:r w:rsidR="2E1EEC93" w:rsidRPr="34C5B487">
        <w:t xml:space="preserve"> have a history of criminal activity (</w:t>
      </w:r>
      <w:proofErr w:type="spellStart"/>
      <w:r w:rsidR="2E1EEC93" w:rsidRPr="34C5B487">
        <w:t>Lones</w:t>
      </w:r>
      <w:proofErr w:type="spellEnd"/>
      <w:r w:rsidR="2E1EEC93" w:rsidRPr="34C5B487">
        <w:t xml:space="preserve"> et al, 2017, as referenced by</w:t>
      </w:r>
      <w:r w:rsidR="1C8931C8" w:rsidRPr="34C5B487">
        <w:t xml:space="preserve"> Priest &amp; Lockett 2019). </w:t>
      </w:r>
      <w:r w:rsidR="130A3D48" w:rsidRPr="34C5B487">
        <w:t xml:space="preserve">There were limitations to the study, as the number of </w:t>
      </w:r>
      <w:r w:rsidR="5E332DC1" w:rsidRPr="2666E94C">
        <w:t xml:space="preserve">the </w:t>
      </w:r>
      <w:r w:rsidR="130A3D48" w:rsidRPr="34C5B487">
        <w:t>Indigenous Maor</w:t>
      </w:r>
      <w:r w:rsidR="33E5A564" w:rsidRPr="34C5B487">
        <w:t>i cohort</w:t>
      </w:r>
      <w:r w:rsidR="130A3D48" w:rsidRPr="34C5B487">
        <w:t xml:space="preserve"> was small. </w:t>
      </w:r>
      <w:r w:rsidR="6E1FE22B" w:rsidRPr="34C5B487">
        <w:t>Despite this</w:t>
      </w:r>
      <w:r w:rsidR="698BD583" w:rsidRPr="34C5B487">
        <w:t>, t</w:t>
      </w:r>
      <w:r w:rsidR="130A3D48" w:rsidRPr="34C5B487">
        <w:t xml:space="preserve">he </w:t>
      </w:r>
      <w:r w:rsidR="2DC36207" w:rsidRPr="34C5B487">
        <w:t>study</w:t>
      </w:r>
      <w:r w:rsidR="1FD59CD5" w:rsidRPr="34C5B487" w:rsidDel="00BD1EF6">
        <w:t xml:space="preserve"> </w:t>
      </w:r>
      <w:r w:rsidR="1FD59CD5" w:rsidRPr="34C5B487">
        <w:t>manage</w:t>
      </w:r>
      <w:r w:rsidR="00BD1EF6">
        <w:t>d</w:t>
      </w:r>
      <w:r w:rsidR="1FD59CD5" w:rsidRPr="34C5B487">
        <w:t xml:space="preserve"> to </w:t>
      </w:r>
      <w:r w:rsidR="130A3D48" w:rsidRPr="34C5B487">
        <w:t xml:space="preserve">demonstrate that </w:t>
      </w:r>
      <w:r w:rsidR="2B7D1B5B" w:rsidRPr="34C5B487">
        <w:t xml:space="preserve">the implementation of the IPS model still managed to produce </w:t>
      </w:r>
      <w:r w:rsidR="3908EC39" w:rsidRPr="34C5B487">
        <w:t>successful</w:t>
      </w:r>
      <w:r w:rsidR="2B7D1B5B" w:rsidRPr="34C5B487">
        <w:t xml:space="preserve"> outcomes for those </w:t>
      </w:r>
      <w:r w:rsidR="00EC35EA">
        <w:t>I</w:t>
      </w:r>
      <w:r w:rsidR="1A546A90" w:rsidRPr="34C5B487">
        <w:t>ndigenous</w:t>
      </w:r>
      <w:r w:rsidR="2B7D1B5B" w:rsidRPr="34C5B487">
        <w:t xml:space="preserve"> participants</w:t>
      </w:r>
      <w:r w:rsidR="135FEF68" w:rsidRPr="34C5B487">
        <w:t xml:space="preserve"> but that further research into how </w:t>
      </w:r>
      <w:r w:rsidR="7FDB6F01" w:rsidRPr="2666E94C">
        <w:t>a cultur</w:t>
      </w:r>
      <w:r w:rsidR="0AD00688" w:rsidRPr="2666E94C">
        <w:t>al</w:t>
      </w:r>
      <w:r w:rsidR="7FDB6F01" w:rsidRPr="2666E94C">
        <w:t xml:space="preserve"> aspect could be incorporated into the model to improve the delivery</w:t>
      </w:r>
      <w:r w:rsidR="57C49E19" w:rsidRPr="2666E94C">
        <w:t xml:space="preserve"> of IPS services</w:t>
      </w:r>
      <w:r w:rsidR="7FDB6F01" w:rsidRPr="2666E94C">
        <w:t xml:space="preserve"> is important (Priest &amp; Lockett 2019). </w:t>
      </w:r>
    </w:p>
    <w:p w:rsidR="00E94AB8" w:rsidRPr="00E94AB8" w:rsidRDefault="00E94AB8" w:rsidP="00B70E82">
      <w:pPr>
        <w:pStyle w:val="Heading4"/>
        <w:numPr>
          <w:ilvl w:val="0"/>
          <w:numId w:val="0"/>
        </w:numPr>
        <w:ind w:left="992" w:hanging="992"/>
      </w:pPr>
      <w:r w:rsidRPr="00E94AB8">
        <w:lastRenderedPageBreak/>
        <w:t xml:space="preserve">Mental </w:t>
      </w:r>
      <w:r w:rsidR="006A00E4">
        <w:t>h</w:t>
      </w:r>
      <w:r w:rsidR="006A00E4" w:rsidRPr="00E94AB8">
        <w:t xml:space="preserve">ealth </w:t>
      </w:r>
      <w:r w:rsidRPr="00E94AB8">
        <w:t>Status</w:t>
      </w:r>
    </w:p>
    <w:p w:rsidR="0CF8C774" w:rsidRDefault="0CF8C774" w:rsidP="00EC35EA">
      <w:pPr>
        <w:keepLines/>
        <w:jc w:val="both"/>
        <w:rPr>
          <w:rFonts w:asciiTheme="majorHAnsi" w:eastAsiaTheme="majorEastAsia" w:hAnsiTheme="majorHAnsi" w:cstheme="majorBidi"/>
          <w:szCs w:val="20"/>
        </w:rPr>
      </w:pPr>
      <w:r w:rsidRPr="4E73AD31">
        <w:rPr>
          <w:rFonts w:asciiTheme="majorHAnsi" w:eastAsiaTheme="majorEastAsia" w:hAnsiTheme="majorHAnsi" w:cstheme="majorBidi"/>
          <w:szCs w:val="20"/>
        </w:rPr>
        <w:t xml:space="preserve">The literature showed that young people experiencing serious mental health conditions transitioning from school to further education or employment often face multiple barriers as their condition can affect academic, social and cognitive functioning (Breslau et al. 2008, as referenced by Ellison et al. 2014). Due to these barriers, this </w:t>
      </w:r>
      <w:proofErr w:type="gramStart"/>
      <w:r w:rsidRPr="4E73AD31">
        <w:rPr>
          <w:rFonts w:asciiTheme="majorHAnsi" w:eastAsiaTheme="majorEastAsia" w:hAnsiTheme="majorHAnsi" w:cstheme="majorBidi"/>
          <w:szCs w:val="20"/>
        </w:rPr>
        <w:t>particular cohort</w:t>
      </w:r>
      <w:proofErr w:type="gramEnd"/>
      <w:r w:rsidRPr="4E73AD31">
        <w:rPr>
          <w:rFonts w:asciiTheme="majorHAnsi" w:eastAsiaTheme="majorEastAsia" w:hAnsiTheme="majorHAnsi" w:cstheme="majorBidi"/>
          <w:szCs w:val="20"/>
        </w:rPr>
        <w:t xml:space="preserve"> are a key target group for IPS. However, as many of these young people qualify for disability payments, due to the severity of their illness, there is a disincentive for them to remain engaged in the program and employment (Breslau et al. 2008; Reid et al. 2004 Souma et al. 2006, as referenced by Ellison et al. 2014). </w:t>
      </w:r>
    </w:p>
    <w:p w:rsidR="3146805C" w:rsidRDefault="0CF8C774" w:rsidP="23E19E3C">
      <w:pPr>
        <w:jc w:val="both"/>
        <w:rPr>
          <w:rFonts w:asciiTheme="majorHAnsi" w:eastAsiaTheme="majorEastAsia" w:hAnsiTheme="majorHAnsi" w:cstheme="majorBidi"/>
        </w:rPr>
      </w:pPr>
      <w:r w:rsidRPr="1B30FDAF">
        <w:rPr>
          <w:rFonts w:asciiTheme="majorHAnsi" w:eastAsiaTheme="majorEastAsia" w:hAnsiTheme="majorHAnsi" w:cstheme="majorBidi"/>
        </w:rPr>
        <w:t>A trial conducted in the U</w:t>
      </w:r>
      <w:r w:rsidR="00BD1EF6" w:rsidRPr="1B30FDAF">
        <w:rPr>
          <w:rFonts w:asciiTheme="majorHAnsi" w:eastAsiaTheme="majorEastAsia" w:hAnsiTheme="majorHAnsi" w:cstheme="majorBidi"/>
        </w:rPr>
        <w:t xml:space="preserve">nited </w:t>
      </w:r>
      <w:r w:rsidRPr="1B30FDAF">
        <w:rPr>
          <w:rFonts w:asciiTheme="majorHAnsi" w:eastAsiaTheme="majorEastAsia" w:hAnsiTheme="majorHAnsi" w:cstheme="majorBidi"/>
        </w:rPr>
        <w:t>S</w:t>
      </w:r>
      <w:r w:rsidR="00BD1EF6" w:rsidRPr="1B30FDAF">
        <w:rPr>
          <w:rFonts w:asciiTheme="majorHAnsi" w:eastAsiaTheme="majorEastAsia" w:hAnsiTheme="majorHAnsi" w:cstheme="majorBidi"/>
        </w:rPr>
        <w:t>tates</w:t>
      </w:r>
      <w:r w:rsidRPr="1B30FDAF">
        <w:rPr>
          <w:rFonts w:asciiTheme="majorHAnsi" w:eastAsiaTheme="majorEastAsia" w:hAnsiTheme="majorHAnsi" w:cstheme="majorBidi"/>
        </w:rPr>
        <w:t xml:space="preserve"> examined how </w:t>
      </w:r>
      <w:r w:rsidR="00450960">
        <w:rPr>
          <w:rFonts w:asciiTheme="majorHAnsi" w:eastAsiaTheme="majorEastAsia" w:hAnsiTheme="majorHAnsi" w:cstheme="majorBidi"/>
        </w:rPr>
        <w:t>adaptations</w:t>
      </w:r>
      <w:r w:rsidRPr="1B30FDAF">
        <w:rPr>
          <w:rFonts w:asciiTheme="majorHAnsi" w:eastAsiaTheme="majorEastAsia" w:hAnsiTheme="majorHAnsi" w:cstheme="majorBidi"/>
        </w:rPr>
        <w:t xml:space="preserve"> to the IPS model would impact the effectiveness of education, engagement, retention and competitive employment outcomes for young people with serious mental illness. The trial mirrored the key principles of the IPS model with the addition of a greater focus on career development, a supported education element and the inclusion of a peer mentor for each participant. The adaptations were guided by existing research that indicated young people with serious mental health conditions</w:t>
      </w:r>
      <w:r w:rsidR="00BD1EF6" w:rsidRPr="1B30FDAF">
        <w:rPr>
          <w:rFonts w:asciiTheme="majorHAnsi" w:eastAsiaTheme="majorEastAsia" w:hAnsiTheme="majorHAnsi" w:cstheme="majorBidi"/>
        </w:rPr>
        <w:t>,</w:t>
      </w:r>
      <w:r w:rsidRPr="1B30FDAF">
        <w:rPr>
          <w:rFonts w:asciiTheme="majorHAnsi" w:eastAsiaTheme="majorEastAsia" w:hAnsiTheme="majorHAnsi" w:cstheme="majorBidi"/>
        </w:rPr>
        <w:t xml:space="preserve"> on average</w:t>
      </w:r>
      <w:r w:rsidR="00BD1EF6" w:rsidRPr="1B30FDAF">
        <w:rPr>
          <w:rFonts w:asciiTheme="majorHAnsi" w:eastAsiaTheme="majorEastAsia" w:hAnsiTheme="majorHAnsi" w:cstheme="majorBidi"/>
        </w:rPr>
        <w:t>,</w:t>
      </w:r>
      <w:r w:rsidRPr="1B30FDAF">
        <w:rPr>
          <w:rFonts w:asciiTheme="majorHAnsi" w:eastAsiaTheme="majorEastAsia" w:hAnsiTheme="majorHAnsi" w:cstheme="majorBidi"/>
        </w:rPr>
        <w:t xml:space="preserve"> have lower levels of educational attainment (Wagner et al. 2006, as refe</w:t>
      </w:r>
      <w:r w:rsidR="00BD1EF6" w:rsidRPr="1B30FDAF">
        <w:rPr>
          <w:rFonts w:asciiTheme="majorHAnsi" w:eastAsiaTheme="majorEastAsia" w:hAnsiTheme="majorHAnsi" w:cstheme="majorBidi"/>
        </w:rPr>
        <w:t xml:space="preserve">renced by Ellison et al. 2014) </w:t>
      </w:r>
      <w:r w:rsidRPr="1B30FDAF">
        <w:rPr>
          <w:rFonts w:asciiTheme="majorHAnsi" w:eastAsiaTheme="majorEastAsia" w:hAnsiTheme="majorHAnsi" w:cstheme="majorBidi"/>
        </w:rPr>
        <w:t>and often lacked exposure to adults in their lives with steady careers (</w:t>
      </w:r>
      <w:proofErr w:type="spellStart"/>
      <w:r w:rsidRPr="1B30FDAF">
        <w:rPr>
          <w:rFonts w:asciiTheme="majorHAnsi" w:eastAsiaTheme="majorEastAsia" w:hAnsiTheme="majorHAnsi" w:cstheme="majorBidi"/>
        </w:rPr>
        <w:t>Vorhies</w:t>
      </w:r>
      <w:proofErr w:type="spellEnd"/>
      <w:r w:rsidRPr="1B30FDAF">
        <w:rPr>
          <w:rFonts w:asciiTheme="majorHAnsi" w:eastAsiaTheme="majorEastAsia" w:hAnsiTheme="majorHAnsi" w:cstheme="majorBidi"/>
        </w:rPr>
        <w:t xml:space="preserve"> et al. 2012, as referenced by Ellison et al. 2014). Young people are also largely responsive to peer mentors and are positively influenced to achieve academic attainment and career development (Harris 2010; Sargent &amp; </w:t>
      </w:r>
      <w:proofErr w:type="spellStart"/>
      <w:r w:rsidRPr="1B30FDAF">
        <w:rPr>
          <w:rFonts w:asciiTheme="majorHAnsi" w:eastAsiaTheme="majorEastAsia" w:hAnsiTheme="majorHAnsi" w:cstheme="majorBidi"/>
        </w:rPr>
        <w:t>Domberger</w:t>
      </w:r>
      <w:proofErr w:type="spellEnd"/>
      <w:r w:rsidRPr="1B30FDAF">
        <w:rPr>
          <w:rFonts w:asciiTheme="majorHAnsi" w:eastAsiaTheme="majorEastAsia" w:hAnsiTheme="majorHAnsi" w:cstheme="majorBidi"/>
        </w:rPr>
        <w:t xml:space="preserve"> 2007, as referenced by Ellison et al. 2014). After 12 months</w:t>
      </w:r>
      <w:r w:rsidR="00BD1EF6" w:rsidRPr="1B30FDAF">
        <w:rPr>
          <w:rFonts w:asciiTheme="majorHAnsi" w:eastAsiaTheme="majorEastAsia" w:hAnsiTheme="majorHAnsi" w:cstheme="majorBidi"/>
        </w:rPr>
        <w:t>,</w:t>
      </w:r>
      <w:r w:rsidRPr="1B30FDAF">
        <w:rPr>
          <w:rFonts w:asciiTheme="majorHAnsi" w:eastAsiaTheme="majorEastAsia" w:hAnsiTheme="majorHAnsi" w:cstheme="majorBidi"/>
        </w:rPr>
        <w:t xml:space="preserve"> the trial found that 49 per cent of the participants had started in an education program or gained competitive employment and the retention rate was 80 per cent (Ellison et al. 2014).</w:t>
      </w:r>
    </w:p>
    <w:p w:rsidR="00E94AB8" w:rsidRPr="00E94AB8" w:rsidRDefault="00E94AB8" w:rsidP="00B70E82">
      <w:pPr>
        <w:pStyle w:val="Heading4"/>
        <w:numPr>
          <w:ilvl w:val="0"/>
          <w:numId w:val="0"/>
        </w:numPr>
        <w:ind w:left="992" w:hanging="992"/>
      </w:pPr>
      <w:r w:rsidRPr="3146805C">
        <w:t>Welfare recipients</w:t>
      </w:r>
    </w:p>
    <w:p w:rsidR="00E94AB8" w:rsidRPr="00E94AB8" w:rsidRDefault="6EA4EF91" w:rsidP="0654A476">
      <w:pPr>
        <w:jc w:val="both"/>
        <w:rPr>
          <w:rFonts w:asciiTheme="majorHAnsi" w:eastAsiaTheme="majorEastAsia" w:hAnsiTheme="majorHAnsi" w:cstheme="majorBidi"/>
        </w:rPr>
      </w:pPr>
      <w:r w:rsidRPr="3A1AB910">
        <w:rPr>
          <w:rFonts w:asciiTheme="majorHAnsi" w:eastAsiaTheme="majorEastAsia" w:hAnsiTheme="majorHAnsi" w:cstheme="majorBidi"/>
        </w:rPr>
        <w:t xml:space="preserve">Research shows that the effectiveness of the IPS model can differ based on country location and </w:t>
      </w:r>
      <w:r w:rsidR="002D091E">
        <w:rPr>
          <w:rFonts w:asciiTheme="majorHAnsi" w:eastAsiaTheme="majorEastAsia" w:hAnsiTheme="majorHAnsi" w:cstheme="majorBidi"/>
        </w:rPr>
        <w:t xml:space="preserve">the </w:t>
      </w:r>
      <w:r w:rsidRPr="3A1AB910">
        <w:rPr>
          <w:rFonts w:asciiTheme="majorHAnsi" w:eastAsiaTheme="majorEastAsia" w:hAnsiTheme="majorHAnsi" w:cstheme="majorBidi"/>
        </w:rPr>
        <w:t xml:space="preserve">policies that are in place to support those living with mental illness or disability. Outside of the </w:t>
      </w:r>
      <w:r w:rsidR="00BD1EF6" w:rsidRPr="1FE934EA">
        <w:rPr>
          <w:rFonts w:asciiTheme="majorHAnsi" w:eastAsiaTheme="majorEastAsia" w:hAnsiTheme="majorHAnsi" w:cstheme="majorBidi"/>
        </w:rPr>
        <w:t>United Stat</w:t>
      </w:r>
      <w:r w:rsidR="11270F82" w:rsidRPr="1FE934EA">
        <w:rPr>
          <w:rFonts w:asciiTheme="majorHAnsi" w:eastAsiaTheme="majorEastAsia" w:hAnsiTheme="majorHAnsi" w:cstheme="majorBidi"/>
        </w:rPr>
        <w:t>es</w:t>
      </w:r>
      <w:r w:rsidRPr="3A1AB910">
        <w:rPr>
          <w:rFonts w:asciiTheme="majorHAnsi" w:eastAsiaTheme="majorEastAsia" w:hAnsiTheme="majorHAnsi" w:cstheme="majorBidi"/>
        </w:rPr>
        <w:t>, in places like Europe</w:t>
      </w:r>
      <w:r w:rsidR="002D091E">
        <w:rPr>
          <w:rFonts w:asciiTheme="majorHAnsi" w:eastAsiaTheme="majorEastAsia" w:hAnsiTheme="majorHAnsi" w:cstheme="majorBidi"/>
        </w:rPr>
        <w:t xml:space="preserve"> and Australia</w:t>
      </w:r>
      <w:r w:rsidRPr="3A1AB910">
        <w:rPr>
          <w:rFonts w:asciiTheme="majorHAnsi" w:eastAsiaTheme="majorEastAsia" w:hAnsiTheme="majorHAnsi" w:cstheme="majorBidi"/>
        </w:rPr>
        <w:t>, disability payments and support may be more readily accessible. A concept known as the ‘benefit trap’ explains that ease of access to monetary assistance can encourage people experiencing serious mental illness to remain unemployed and not engage with supported employment programs (Burns et al. 2007). A study carried out in Sweden tested this proposition and discovered that of the eight key principles of the IPS model</w:t>
      </w:r>
      <w:r w:rsidR="00BD1EF6">
        <w:rPr>
          <w:rFonts w:asciiTheme="majorHAnsi" w:eastAsiaTheme="majorEastAsia" w:hAnsiTheme="majorHAnsi" w:cstheme="majorBidi"/>
        </w:rPr>
        <w:t>,</w:t>
      </w:r>
      <w:r w:rsidRPr="3A1AB910">
        <w:rPr>
          <w:rFonts w:asciiTheme="majorHAnsi" w:eastAsiaTheme="majorEastAsia" w:hAnsiTheme="majorHAnsi" w:cstheme="majorBidi"/>
        </w:rPr>
        <w:t xml:space="preserve"> four principles were challenged by, or in contrast to, the Swedish welfare system (</w:t>
      </w:r>
      <w:proofErr w:type="spellStart"/>
      <w:r w:rsidRPr="3A1AB910">
        <w:rPr>
          <w:rFonts w:asciiTheme="majorHAnsi" w:eastAsiaTheme="majorEastAsia" w:hAnsiTheme="majorHAnsi" w:cstheme="majorBidi"/>
        </w:rPr>
        <w:t>Bejerhom</w:t>
      </w:r>
      <w:proofErr w:type="spellEnd"/>
      <w:r w:rsidRPr="3A1AB910">
        <w:rPr>
          <w:rFonts w:asciiTheme="majorHAnsi" w:eastAsiaTheme="majorEastAsia" w:hAnsiTheme="majorHAnsi" w:cstheme="majorBidi"/>
        </w:rPr>
        <w:t xml:space="preserve"> et al. 2011). As part of the implementation process</w:t>
      </w:r>
      <w:r w:rsidR="001A1685">
        <w:rPr>
          <w:rFonts w:asciiTheme="majorHAnsi" w:eastAsiaTheme="majorEastAsia" w:hAnsiTheme="majorHAnsi" w:cstheme="majorBidi"/>
        </w:rPr>
        <w:t>,</w:t>
      </w:r>
      <w:r w:rsidRPr="3A1AB910">
        <w:rPr>
          <w:rFonts w:asciiTheme="majorHAnsi" w:eastAsiaTheme="majorEastAsia" w:hAnsiTheme="majorHAnsi" w:cstheme="majorBidi"/>
        </w:rPr>
        <w:t xml:space="preserve"> it is important to consider how local labour and disability policies can influence those with mental illness and potentially discourage them from participating in the workforce.</w:t>
      </w:r>
    </w:p>
    <w:p w:rsidR="00E94AB8" w:rsidRPr="00E94AB8" w:rsidRDefault="00E94AB8" w:rsidP="00B70E82">
      <w:pPr>
        <w:pStyle w:val="Heading4"/>
        <w:numPr>
          <w:ilvl w:val="0"/>
          <w:numId w:val="0"/>
        </w:numPr>
        <w:ind w:left="992" w:hanging="992"/>
      </w:pPr>
      <w:r w:rsidRPr="00E94AB8">
        <w:t>Homelessness or at risk of homelessness</w:t>
      </w:r>
    </w:p>
    <w:p w:rsidR="00E94AB8" w:rsidRPr="00E94AB8" w:rsidRDefault="00E94AB8" w:rsidP="23E19E3C">
      <w:pPr>
        <w:jc w:val="both"/>
        <w:rPr>
          <w:rFonts w:asciiTheme="majorHAnsi" w:eastAsiaTheme="majorEastAsia" w:hAnsiTheme="majorHAnsi" w:cstheme="majorBidi"/>
        </w:rPr>
      </w:pPr>
      <w:r w:rsidRPr="3A1AB910">
        <w:rPr>
          <w:rFonts w:asciiTheme="majorHAnsi" w:eastAsiaTheme="majorEastAsia" w:hAnsiTheme="majorHAnsi" w:cstheme="majorBidi"/>
        </w:rPr>
        <w:t xml:space="preserve">Previous research </w:t>
      </w:r>
      <w:r w:rsidR="7104AF06" w:rsidRPr="3A1AB910">
        <w:rPr>
          <w:rFonts w:asciiTheme="majorHAnsi" w:eastAsiaTheme="majorEastAsia" w:hAnsiTheme="majorHAnsi" w:cstheme="majorBidi"/>
        </w:rPr>
        <w:t>indicated</w:t>
      </w:r>
      <w:r w:rsidRPr="3A1AB910">
        <w:rPr>
          <w:rFonts w:asciiTheme="majorHAnsi" w:eastAsiaTheme="majorEastAsia" w:hAnsiTheme="majorHAnsi" w:cstheme="majorBidi"/>
        </w:rPr>
        <w:t xml:space="preserve"> high rates of unemployment among homeless young people (Ferguson &amp; </w:t>
      </w:r>
      <w:proofErr w:type="spellStart"/>
      <w:r w:rsidRPr="3A1AB910">
        <w:rPr>
          <w:rFonts w:asciiTheme="majorHAnsi" w:eastAsiaTheme="majorEastAsia" w:hAnsiTheme="majorHAnsi" w:cstheme="majorBidi"/>
        </w:rPr>
        <w:t>Xie</w:t>
      </w:r>
      <w:proofErr w:type="spellEnd"/>
      <w:r w:rsidRPr="3A1AB910">
        <w:rPr>
          <w:rFonts w:asciiTheme="majorHAnsi" w:eastAsiaTheme="majorEastAsia" w:hAnsiTheme="majorHAnsi" w:cstheme="majorBidi"/>
        </w:rPr>
        <w:t xml:space="preserve"> 2008; </w:t>
      </w:r>
      <w:proofErr w:type="spellStart"/>
      <w:r w:rsidRPr="3A1AB910">
        <w:rPr>
          <w:rFonts w:asciiTheme="majorHAnsi" w:eastAsiaTheme="majorEastAsia" w:hAnsiTheme="majorHAnsi" w:cstheme="majorBidi"/>
        </w:rPr>
        <w:t>Whitebeck</w:t>
      </w:r>
      <w:proofErr w:type="spellEnd"/>
      <w:r w:rsidRPr="3A1AB910">
        <w:rPr>
          <w:rFonts w:asciiTheme="majorHAnsi" w:eastAsiaTheme="majorEastAsia" w:hAnsiTheme="majorHAnsi" w:cstheme="majorBidi"/>
        </w:rPr>
        <w:t>, 2009, as referenced by Ferguson et al. 2011). Low levels of education combined with mental illness can create significant challenges in their transition into adulthood, further education and employment (</w:t>
      </w:r>
      <w:proofErr w:type="spellStart"/>
      <w:r w:rsidRPr="3A1AB910">
        <w:rPr>
          <w:rFonts w:asciiTheme="majorHAnsi" w:eastAsiaTheme="majorEastAsia" w:hAnsiTheme="majorHAnsi" w:cstheme="majorBidi"/>
        </w:rPr>
        <w:t>Cauce</w:t>
      </w:r>
      <w:proofErr w:type="spellEnd"/>
      <w:r w:rsidRPr="3A1AB910">
        <w:rPr>
          <w:rFonts w:asciiTheme="majorHAnsi" w:eastAsiaTheme="majorEastAsia" w:hAnsiTheme="majorHAnsi" w:cstheme="majorBidi"/>
        </w:rPr>
        <w:t xml:space="preserve"> et al. 2000; </w:t>
      </w:r>
      <w:proofErr w:type="spellStart"/>
      <w:r w:rsidRPr="3A1AB910">
        <w:rPr>
          <w:rFonts w:asciiTheme="majorHAnsi" w:eastAsiaTheme="majorEastAsia" w:hAnsiTheme="majorHAnsi" w:cstheme="majorBidi"/>
        </w:rPr>
        <w:t>Whitebeck</w:t>
      </w:r>
      <w:proofErr w:type="spellEnd"/>
      <w:r w:rsidRPr="3A1AB910">
        <w:rPr>
          <w:rFonts w:asciiTheme="majorHAnsi" w:eastAsiaTheme="majorEastAsia" w:hAnsiTheme="majorHAnsi" w:cstheme="majorBidi"/>
        </w:rPr>
        <w:t xml:space="preserve"> 2009, as referenced by Ferguson et al. 2011). Homeless young people are also significantly more likely to experience drug addiction and alcohol dependency compared to their housed peers (</w:t>
      </w:r>
      <w:proofErr w:type="spellStart"/>
      <w:r w:rsidRPr="3A1AB910">
        <w:rPr>
          <w:rFonts w:asciiTheme="majorHAnsi" w:eastAsiaTheme="majorEastAsia" w:hAnsiTheme="majorHAnsi" w:cstheme="majorBidi"/>
        </w:rPr>
        <w:t>Slesnick</w:t>
      </w:r>
      <w:proofErr w:type="spellEnd"/>
      <w:r w:rsidRPr="3A1AB910">
        <w:rPr>
          <w:rFonts w:asciiTheme="majorHAnsi" w:eastAsiaTheme="majorEastAsia" w:hAnsiTheme="majorHAnsi" w:cstheme="majorBidi"/>
        </w:rPr>
        <w:t xml:space="preserve"> et al. 2000, referenced by Ferguson 2013). Homeless young people also face the</w:t>
      </w:r>
      <w:r w:rsidRPr="3A1AB910" w:rsidDel="001A1685">
        <w:rPr>
          <w:rFonts w:asciiTheme="majorHAnsi" w:eastAsiaTheme="majorEastAsia" w:hAnsiTheme="majorHAnsi" w:cstheme="majorBidi"/>
        </w:rPr>
        <w:t xml:space="preserve"> </w:t>
      </w:r>
      <w:r w:rsidR="001A1685">
        <w:rPr>
          <w:rFonts w:asciiTheme="majorHAnsi" w:eastAsiaTheme="majorEastAsia" w:hAnsiTheme="majorHAnsi" w:cstheme="majorBidi"/>
        </w:rPr>
        <w:t>inherent</w:t>
      </w:r>
      <w:r w:rsidR="001A1685" w:rsidRPr="3A1AB910">
        <w:rPr>
          <w:rFonts w:asciiTheme="majorHAnsi" w:eastAsiaTheme="majorEastAsia" w:hAnsiTheme="majorHAnsi" w:cstheme="majorBidi"/>
        </w:rPr>
        <w:t xml:space="preserve"> </w:t>
      </w:r>
      <w:r w:rsidRPr="3A1AB910">
        <w:rPr>
          <w:rFonts w:asciiTheme="majorHAnsi" w:eastAsiaTheme="majorEastAsia" w:hAnsiTheme="majorHAnsi" w:cstheme="majorBidi"/>
        </w:rPr>
        <w:t>obstacles that ar</w:t>
      </w:r>
      <w:r w:rsidR="00C73DAD">
        <w:rPr>
          <w:rFonts w:asciiTheme="majorHAnsi" w:eastAsiaTheme="majorEastAsia" w:hAnsiTheme="majorHAnsi" w:cstheme="majorBidi"/>
        </w:rPr>
        <w:t xml:space="preserve">ise from living on the streets, </w:t>
      </w:r>
      <w:r w:rsidRPr="3A1AB910">
        <w:rPr>
          <w:rFonts w:asciiTheme="majorHAnsi" w:eastAsiaTheme="majorEastAsia" w:hAnsiTheme="majorHAnsi" w:cstheme="majorBidi"/>
        </w:rPr>
        <w:t>such as poor hygiene, involvement in criminal activity and food insecurity (Ferguson 2013)) and lack resources which can lead to social estrangement and exclusion from the labour force (</w:t>
      </w:r>
      <w:proofErr w:type="spellStart"/>
      <w:r w:rsidRPr="3A1AB910">
        <w:rPr>
          <w:rFonts w:asciiTheme="majorHAnsi" w:eastAsiaTheme="majorEastAsia" w:hAnsiTheme="majorHAnsi" w:cstheme="majorBidi"/>
        </w:rPr>
        <w:t>Cauce</w:t>
      </w:r>
      <w:proofErr w:type="spellEnd"/>
      <w:r w:rsidRPr="3A1AB910">
        <w:rPr>
          <w:rFonts w:asciiTheme="majorHAnsi" w:eastAsiaTheme="majorEastAsia" w:hAnsiTheme="majorHAnsi" w:cstheme="majorBidi"/>
        </w:rPr>
        <w:t xml:space="preserve"> et al. 2000; </w:t>
      </w:r>
      <w:proofErr w:type="spellStart"/>
      <w:r w:rsidRPr="3A1AB910">
        <w:rPr>
          <w:rFonts w:asciiTheme="majorHAnsi" w:eastAsiaTheme="majorEastAsia" w:hAnsiTheme="majorHAnsi" w:cstheme="majorBidi"/>
        </w:rPr>
        <w:t>Dachner</w:t>
      </w:r>
      <w:proofErr w:type="spellEnd"/>
      <w:r w:rsidRPr="3A1AB910">
        <w:rPr>
          <w:rFonts w:asciiTheme="majorHAnsi" w:eastAsiaTheme="majorEastAsia" w:hAnsiTheme="majorHAnsi" w:cstheme="majorBidi"/>
        </w:rPr>
        <w:t xml:space="preserve"> &amp; </w:t>
      </w:r>
      <w:proofErr w:type="spellStart"/>
      <w:r w:rsidRPr="3A1AB910">
        <w:rPr>
          <w:rFonts w:asciiTheme="majorHAnsi" w:eastAsiaTheme="majorEastAsia" w:hAnsiTheme="majorHAnsi" w:cstheme="majorBidi"/>
        </w:rPr>
        <w:t>Tarasuk</w:t>
      </w:r>
      <w:proofErr w:type="spellEnd"/>
      <w:r w:rsidRPr="3A1AB910">
        <w:rPr>
          <w:rFonts w:asciiTheme="majorHAnsi" w:eastAsiaTheme="majorEastAsia" w:hAnsiTheme="majorHAnsi" w:cstheme="majorBidi"/>
        </w:rPr>
        <w:t xml:space="preserve"> 2002; </w:t>
      </w:r>
      <w:proofErr w:type="spellStart"/>
      <w:r w:rsidRPr="3A1AB910">
        <w:rPr>
          <w:rFonts w:asciiTheme="majorHAnsi" w:eastAsiaTheme="majorEastAsia" w:hAnsiTheme="majorHAnsi" w:cstheme="majorBidi"/>
        </w:rPr>
        <w:t>Gaetz</w:t>
      </w:r>
      <w:proofErr w:type="spellEnd"/>
      <w:r w:rsidRPr="3A1AB910">
        <w:rPr>
          <w:rFonts w:asciiTheme="majorHAnsi" w:eastAsiaTheme="majorEastAsia" w:hAnsiTheme="majorHAnsi" w:cstheme="majorBidi"/>
        </w:rPr>
        <w:t xml:space="preserve"> &amp; O’Grady 2002, as referenced by Ferguson 2013). </w:t>
      </w:r>
    </w:p>
    <w:p w:rsidR="00E94AB8" w:rsidRPr="00E94AB8" w:rsidRDefault="00E94AB8" w:rsidP="3146805C">
      <w:pPr>
        <w:jc w:val="both"/>
        <w:rPr>
          <w:rFonts w:asciiTheme="majorHAnsi" w:eastAsiaTheme="majorEastAsia" w:hAnsiTheme="majorHAnsi" w:cstheme="majorBidi"/>
        </w:rPr>
      </w:pPr>
      <w:r w:rsidRPr="3A1AB910">
        <w:rPr>
          <w:rFonts w:asciiTheme="majorHAnsi" w:eastAsiaTheme="majorEastAsia" w:hAnsiTheme="majorHAnsi" w:cstheme="majorBidi"/>
        </w:rPr>
        <w:t xml:space="preserve">Most vocational programs for homeless young people rarely have a mental health component (Ferguson 2007; Lenz-Rashid 2006, as referenced by Ferguson et al. 2011). A 2011 </w:t>
      </w:r>
      <w:r w:rsidR="002F479F">
        <w:rPr>
          <w:rFonts w:asciiTheme="majorHAnsi" w:eastAsiaTheme="majorEastAsia" w:hAnsiTheme="majorHAnsi" w:cstheme="majorBidi"/>
        </w:rPr>
        <w:t>United States</w:t>
      </w:r>
      <w:r w:rsidR="002F479F" w:rsidRPr="3A1AB910">
        <w:rPr>
          <w:rFonts w:asciiTheme="majorHAnsi" w:eastAsiaTheme="majorEastAsia" w:hAnsiTheme="majorHAnsi" w:cstheme="majorBidi"/>
        </w:rPr>
        <w:t xml:space="preserve"> </w:t>
      </w:r>
      <w:r w:rsidRPr="3A1AB910">
        <w:rPr>
          <w:rFonts w:asciiTheme="majorHAnsi" w:eastAsiaTheme="majorEastAsia" w:hAnsiTheme="majorHAnsi" w:cstheme="majorBidi"/>
        </w:rPr>
        <w:t>study partnered with support agencies</w:t>
      </w:r>
      <w:r w:rsidR="7104AF06" w:rsidRPr="3A1AB910">
        <w:rPr>
          <w:rFonts w:asciiTheme="majorHAnsi" w:eastAsiaTheme="majorEastAsia" w:hAnsiTheme="majorHAnsi" w:cstheme="majorBidi"/>
        </w:rPr>
        <w:t xml:space="preserve"> for homeless young people</w:t>
      </w:r>
      <w:r w:rsidRPr="3A1AB910">
        <w:rPr>
          <w:rFonts w:asciiTheme="majorHAnsi" w:eastAsiaTheme="majorEastAsia" w:hAnsiTheme="majorHAnsi" w:cstheme="majorBidi"/>
        </w:rPr>
        <w:t xml:space="preserve"> to examine how augmenting the IPS model with additional supports could improve the effectiveness of the IPS model for this cohort. The IPS model was implemented in agencies that provided additional services that participants could access, such as emergency accommodation, long-term shelters and assisted living apartments. The mental health component of the model was adapted to treat specific mental </w:t>
      </w:r>
      <w:r w:rsidR="7104AF06" w:rsidRPr="3A1AB910">
        <w:rPr>
          <w:rFonts w:asciiTheme="majorHAnsi" w:eastAsiaTheme="majorEastAsia" w:hAnsiTheme="majorHAnsi" w:cstheme="majorBidi"/>
        </w:rPr>
        <w:t>illnesses</w:t>
      </w:r>
      <w:r w:rsidRPr="3A1AB910">
        <w:rPr>
          <w:rFonts w:asciiTheme="majorHAnsi" w:eastAsiaTheme="majorEastAsia" w:hAnsiTheme="majorHAnsi" w:cstheme="majorBidi"/>
        </w:rPr>
        <w:t xml:space="preserve"> that </w:t>
      </w:r>
      <w:r w:rsidR="7104AF06" w:rsidRPr="3A1AB910">
        <w:rPr>
          <w:rFonts w:asciiTheme="majorHAnsi" w:eastAsiaTheme="majorEastAsia" w:hAnsiTheme="majorHAnsi" w:cstheme="majorBidi"/>
        </w:rPr>
        <w:t xml:space="preserve">were </w:t>
      </w:r>
      <w:r w:rsidRPr="3A1AB910">
        <w:rPr>
          <w:rFonts w:asciiTheme="majorHAnsi" w:eastAsiaTheme="majorEastAsia" w:hAnsiTheme="majorHAnsi" w:cstheme="majorBidi"/>
        </w:rPr>
        <w:t>more common among homeless young people (</w:t>
      </w:r>
      <w:r w:rsidR="7104AF06" w:rsidRPr="3A1AB910">
        <w:rPr>
          <w:rFonts w:asciiTheme="majorHAnsi" w:eastAsiaTheme="majorEastAsia" w:hAnsiTheme="majorHAnsi" w:cstheme="majorBidi"/>
        </w:rPr>
        <w:t xml:space="preserve">e.g. </w:t>
      </w:r>
      <w:r w:rsidRPr="3A1AB910">
        <w:rPr>
          <w:rFonts w:asciiTheme="majorHAnsi" w:eastAsiaTheme="majorEastAsia" w:hAnsiTheme="majorHAnsi" w:cstheme="majorBidi"/>
        </w:rPr>
        <w:t>depression, substance abuse, post-traumatic stress disorder) (</w:t>
      </w:r>
      <w:proofErr w:type="spellStart"/>
      <w:r w:rsidRPr="3A1AB910">
        <w:rPr>
          <w:rFonts w:asciiTheme="majorHAnsi" w:eastAsiaTheme="majorEastAsia" w:hAnsiTheme="majorHAnsi" w:cstheme="majorBidi"/>
        </w:rPr>
        <w:t>Cauce</w:t>
      </w:r>
      <w:proofErr w:type="spellEnd"/>
      <w:r w:rsidRPr="3A1AB910">
        <w:rPr>
          <w:rFonts w:asciiTheme="majorHAnsi" w:eastAsiaTheme="majorEastAsia" w:hAnsiTheme="majorHAnsi" w:cstheme="majorBidi"/>
        </w:rPr>
        <w:t xml:space="preserve"> et al. 2000; Whitbeck 2009, as referenced by Ferguson et al. 2011). The effectiveness of the refined IPS </w:t>
      </w:r>
      <w:r w:rsidRPr="3A1AB910">
        <w:rPr>
          <w:rFonts w:asciiTheme="majorHAnsi" w:eastAsiaTheme="majorEastAsia" w:hAnsiTheme="majorHAnsi" w:cstheme="majorBidi"/>
        </w:rPr>
        <w:lastRenderedPageBreak/>
        <w:t xml:space="preserve">model was compared against a group receiving traditional vocational training as a control condition. The results of the study found </w:t>
      </w:r>
      <w:r w:rsidR="001A1685">
        <w:rPr>
          <w:rFonts w:asciiTheme="majorHAnsi" w:eastAsiaTheme="majorEastAsia" w:hAnsiTheme="majorHAnsi" w:cstheme="majorBidi"/>
        </w:rPr>
        <w:t xml:space="preserve">that </w:t>
      </w:r>
      <w:r w:rsidRPr="3A1AB910">
        <w:rPr>
          <w:rFonts w:asciiTheme="majorHAnsi" w:eastAsiaTheme="majorEastAsia" w:hAnsiTheme="majorHAnsi" w:cstheme="majorBidi"/>
        </w:rPr>
        <w:t xml:space="preserve">85 per cent of the </w:t>
      </w:r>
      <w:r w:rsidR="7104AF06" w:rsidRPr="3A1AB910">
        <w:rPr>
          <w:rFonts w:asciiTheme="majorHAnsi" w:eastAsiaTheme="majorEastAsia" w:hAnsiTheme="majorHAnsi" w:cstheme="majorBidi"/>
        </w:rPr>
        <w:t>young people participating in the IPS trial</w:t>
      </w:r>
      <w:r w:rsidRPr="3A1AB910">
        <w:rPr>
          <w:rFonts w:asciiTheme="majorHAnsi" w:eastAsiaTheme="majorEastAsia" w:hAnsiTheme="majorHAnsi" w:cstheme="majorBidi"/>
        </w:rPr>
        <w:t xml:space="preserve"> were working in competitive employment at some point throughout the duration of the study compared to 37.5 per cent of the control group. The study also found that those in the control group were more likely to be living on the streets through the duration of the study, however participants in the IPS trial became aware of the importance of stable housing in attaining their employment goals and were more likely to remain off the streets (Ferguson et al. 2011). </w:t>
      </w:r>
    </w:p>
    <w:p w:rsidR="003C2DD9" w:rsidRDefault="003C2DD9" w:rsidP="00437799">
      <w:pPr>
        <w:pStyle w:val="Heading3"/>
      </w:pPr>
      <w:r w:rsidRPr="003C2DD9">
        <w:t>The impact of remoteness in</w:t>
      </w:r>
      <w:r>
        <w:t xml:space="preserve"> achieving employment outcomes</w:t>
      </w:r>
    </w:p>
    <w:p w:rsidR="04703179" w:rsidRDefault="04703179" w:rsidP="4694148F">
      <w:pPr>
        <w:jc w:val="both"/>
        <w:rPr>
          <w:rFonts w:eastAsiaTheme="minorEastAsia"/>
        </w:rPr>
      </w:pPr>
      <w:r w:rsidRPr="34C5B487">
        <w:rPr>
          <w:rFonts w:eastAsiaTheme="minorEastAsia"/>
        </w:rPr>
        <w:t xml:space="preserve">There have been several anecdotal claims made that jobs may be harder to obtain in rural communities, </w:t>
      </w:r>
      <w:r w:rsidR="009C5703">
        <w:rPr>
          <w:rFonts w:eastAsiaTheme="minorEastAsia"/>
        </w:rPr>
        <w:t xml:space="preserve">and </w:t>
      </w:r>
      <w:r w:rsidRPr="34C5B487">
        <w:rPr>
          <w:rFonts w:eastAsiaTheme="minorEastAsia"/>
        </w:rPr>
        <w:t xml:space="preserve">therefore location may impact the successful implementation of the IPS model (Fraser 1987, as referenced by Haslett et al. 2011). Other claims have been made that transportation to and from places of employment may be difficult or unsafe and that there are stigma-related challenges given the close-knit culture of rural communities (Carlson 2009, as referenced by Haslett et al. 2011). However, there is sparse published research to support any of these statements. </w:t>
      </w:r>
    </w:p>
    <w:p w:rsidR="4694148F" w:rsidRDefault="04703179" w:rsidP="5753EB53">
      <w:pPr>
        <w:jc w:val="both"/>
        <w:rPr>
          <w:rFonts w:eastAsiaTheme="minorEastAsia"/>
        </w:rPr>
      </w:pPr>
      <w:r w:rsidRPr="34C5B487">
        <w:rPr>
          <w:rFonts w:eastAsiaTheme="minorEastAsia"/>
        </w:rPr>
        <w:t xml:space="preserve">Haslett et al. (2011) completed research in the </w:t>
      </w:r>
      <w:r w:rsidR="00EA58B0" w:rsidRPr="1FE934EA">
        <w:rPr>
          <w:rFonts w:asciiTheme="majorHAnsi" w:eastAsiaTheme="majorEastAsia" w:hAnsiTheme="majorHAnsi" w:cstheme="majorBidi"/>
        </w:rPr>
        <w:t>United Stat</w:t>
      </w:r>
      <w:r w:rsidR="46DF49A7" w:rsidRPr="1FE934EA">
        <w:rPr>
          <w:rFonts w:asciiTheme="majorHAnsi" w:eastAsiaTheme="majorEastAsia" w:hAnsiTheme="majorHAnsi" w:cstheme="majorBidi"/>
        </w:rPr>
        <w:t>es</w:t>
      </w:r>
      <w:r w:rsidRPr="1B30FDAF" w:rsidDel="00EA58B0">
        <w:rPr>
          <w:rFonts w:asciiTheme="majorHAnsi" w:eastAsiaTheme="majorEastAsia" w:hAnsiTheme="majorHAnsi" w:cstheme="majorBidi"/>
        </w:rPr>
        <w:t xml:space="preserve"> </w:t>
      </w:r>
      <w:r w:rsidRPr="34C5B487">
        <w:rPr>
          <w:rFonts w:eastAsiaTheme="minorEastAsia"/>
        </w:rPr>
        <w:t>examining the difference in competitive employment rates of IPS program participants across metropolitan, micropolitan</w:t>
      </w:r>
      <w:r w:rsidR="002A31D9">
        <w:rPr>
          <w:rStyle w:val="FootnoteReference"/>
          <w:rFonts w:eastAsiaTheme="minorEastAsia"/>
        </w:rPr>
        <w:footnoteReference w:id="2"/>
      </w:r>
      <w:r w:rsidRPr="34C5B487">
        <w:rPr>
          <w:rFonts w:eastAsiaTheme="minorEastAsia"/>
        </w:rPr>
        <w:t xml:space="preserve"> and small-town communities, using IPS agency data in these locations. The mean competitive employment rate of IPS participants in each of the regions was 43 per cent in metropolitan communities, 49 per cent in micropolitan communities and 40 per cent in small town communities. These results suggest that location does not impact the effectiveness of the IPS model on competitive employment outcomes. However, it is suggested by the researchers that each IPS support agency be guided by the location and community in which they operate (Haslett et al. 2011).</w:t>
      </w:r>
    </w:p>
    <w:p w:rsidR="003C2DD9" w:rsidRDefault="002374AF" w:rsidP="00437799">
      <w:pPr>
        <w:pStyle w:val="Heading3"/>
      </w:pPr>
      <w:r>
        <w:t>Use</w:t>
      </w:r>
      <w:r w:rsidR="003C2DD9">
        <w:t xml:space="preserve"> of </w:t>
      </w:r>
      <w:r w:rsidR="00650DCF">
        <w:t xml:space="preserve">technology to expand service </w:t>
      </w:r>
      <w:r w:rsidR="003C2DD9" w:rsidRPr="003C2DD9">
        <w:t>delivery</w:t>
      </w:r>
    </w:p>
    <w:p w:rsidR="00B53A74" w:rsidRPr="00B53A74" w:rsidRDefault="00B53A74" w:rsidP="00BA3E04">
      <w:pPr>
        <w:pStyle w:val="BodyText"/>
        <w:rPr>
          <w:b/>
        </w:rPr>
      </w:pPr>
      <w:bookmarkStart w:id="42" w:name="_Toc40285039"/>
      <w:r w:rsidRPr="00B53A74">
        <w:t xml:space="preserve">Lord et al. (2014) highlights that several IPS programs are trialling technology-based tools for enhanced service delivery. This section considers the research around the technology-based options that are available to expand the IPS </w:t>
      </w:r>
      <w:r w:rsidR="00EA58B0">
        <w:t>m</w:t>
      </w:r>
      <w:r>
        <w:t>odel</w:t>
      </w:r>
      <w:r w:rsidRPr="00B53A74">
        <w:t xml:space="preserve"> and improve client outcomes.</w:t>
      </w:r>
    </w:p>
    <w:p w:rsidR="00B53A74" w:rsidRPr="00B53A74" w:rsidRDefault="00B53A74" w:rsidP="00636403">
      <w:pPr>
        <w:pStyle w:val="Heading4"/>
        <w:numPr>
          <w:ilvl w:val="0"/>
          <w:numId w:val="0"/>
        </w:numPr>
        <w:ind w:left="992" w:hanging="992"/>
      </w:pPr>
      <w:r w:rsidRPr="00B53A74">
        <w:t xml:space="preserve">Increasing </w:t>
      </w:r>
      <w:r w:rsidR="009C5703">
        <w:t>p</w:t>
      </w:r>
      <w:r w:rsidR="009C5703" w:rsidRPr="00B53A74">
        <w:t>articipation</w:t>
      </w:r>
    </w:p>
    <w:p w:rsidR="14CE4DC6" w:rsidRDefault="14CE4DC6" w:rsidP="002F479F">
      <w:pPr>
        <w:pStyle w:val="BodyText"/>
        <w:rPr>
          <w:szCs w:val="20"/>
        </w:rPr>
      </w:pPr>
      <w:r w:rsidRPr="34C5B487">
        <w:t>Despite the success of the IPS model and its ability in improving the rates of competitive employment among individuals with psychiatric disabilities, there is still a large number of individuals living in the community with mental illness who want to work but are unaware of the services available (Tschopp et al. 2007, referenced by Lord et al. 2014). Advancements in technology and ease of use could potentially mean that young people experience less barriers to active participation and therefore are more likely to engage (Lord et al. 2014).</w:t>
      </w:r>
    </w:p>
    <w:p w:rsidR="00B53A74" w:rsidRPr="00B53A74" w:rsidRDefault="7DF89F64" w:rsidP="00636403">
      <w:pPr>
        <w:pStyle w:val="Heading4"/>
        <w:numPr>
          <w:ilvl w:val="0"/>
          <w:numId w:val="0"/>
        </w:numPr>
        <w:ind w:left="992" w:hanging="992"/>
      </w:pPr>
      <w:r>
        <w:t>Job</w:t>
      </w:r>
      <w:r w:rsidR="00B53A74" w:rsidRPr="00B53A74">
        <w:t xml:space="preserve"> </w:t>
      </w:r>
      <w:r w:rsidR="009C5703">
        <w:t>p</w:t>
      </w:r>
      <w:r w:rsidR="009C5703" w:rsidRPr="00B53A74">
        <w:t xml:space="preserve">lanning </w:t>
      </w:r>
      <w:r w:rsidR="009C5703">
        <w:t>and</w:t>
      </w:r>
      <w:r w:rsidR="00B53A74" w:rsidRPr="00B53A74">
        <w:t xml:space="preserve"> </w:t>
      </w:r>
      <w:r w:rsidR="009C5703">
        <w:t>e</w:t>
      </w:r>
      <w:r w:rsidR="009C5703" w:rsidRPr="00B53A74">
        <w:t xml:space="preserve">mployment </w:t>
      </w:r>
      <w:r w:rsidR="009C5703">
        <w:t>s</w:t>
      </w:r>
      <w:r w:rsidR="009C5703" w:rsidRPr="00B53A74">
        <w:t>upport</w:t>
      </w:r>
    </w:p>
    <w:p w:rsidR="00B53A74" w:rsidRPr="00B53A74" w:rsidRDefault="00B53A74" w:rsidP="0060D407">
      <w:pPr>
        <w:jc w:val="both"/>
        <w:rPr>
          <w:rFonts w:ascii="Univers 45 Light" w:hAnsi="Univers 45 Light"/>
          <w:b/>
        </w:rPr>
      </w:pPr>
      <w:r w:rsidRPr="34C5B487">
        <w:rPr>
          <w:rFonts w:asciiTheme="majorHAnsi" w:eastAsiaTheme="majorEastAsia" w:hAnsiTheme="majorHAnsi" w:cstheme="majorBidi"/>
        </w:rPr>
        <w:t>A key component for IPS for young people is the need for additional support in getting employment</w:t>
      </w:r>
      <w:r w:rsidR="49553797" w:rsidRPr="34C5B487">
        <w:rPr>
          <w:rFonts w:asciiTheme="majorHAnsi" w:eastAsiaTheme="majorEastAsia" w:hAnsiTheme="majorHAnsi" w:cstheme="majorBidi"/>
        </w:rPr>
        <w:t>-</w:t>
      </w:r>
      <w:r w:rsidRPr="34C5B487">
        <w:rPr>
          <w:rFonts w:asciiTheme="majorHAnsi" w:eastAsiaTheme="majorEastAsia" w:hAnsiTheme="majorHAnsi" w:cstheme="majorBidi"/>
        </w:rPr>
        <w:t xml:space="preserve"> ready and continual support once employed when compared to mature adults. Technologies can be leveraged to provide this support</w:t>
      </w:r>
      <w:r w:rsidR="49553797" w:rsidRPr="34C5B487">
        <w:rPr>
          <w:rFonts w:asciiTheme="majorHAnsi" w:eastAsiaTheme="majorEastAsia" w:hAnsiTheme="majorHAnsi" w:cstheme="majorBidi"/>
        </w:rPr>
        <w:t xml:space="preserve">. For </w:t>
      </w:r>
      <w:r w:rsidRPr="34C5B487">
        <w:rPr>
          <w:rFonts w:asciiTheme="majorHAnsi" w:eastAsiaTheme="majorEastAsia" w:hAnsiTheme="majorHAnsi" w:cstheme="majorBidi"/>
        </w:rPr>
        <w:t>example</w:t>
      </w:r>
      <w:r w:rsidR="49553797" w:rsidRPr="34C5B487">
        <w:rPr>
          <w:rFonts w:asciiTheme="majorHAnsi" w:eastAsiaTheme="majorEastAsia" w:hAnsiTheme="majorHAnsi" w:cstheme="majorBidi"/>
        </w:rPr>
        <w:t>,</w:t>
      </w:r>
      <w:r w:rsidRPr="34C5B487">
        <w:rPr>
          <w:rFonts w:asciiTheme="majorHAnsi" w:eastAsiaTheme="majorEastAsia" w:hAnsiTheme="majorHAnsi" w:cstheme="majorBidi"/>
        </w:rPr>
        <w:t xml:space="preserve"> </w:t>
      </w:r>
      <w:r w:rsidR="00EA58B0" w:rsidRPr="1FE934EA">
        <w:rPr>
          <w:rFonts w:asciiTheme="majorHAnsi" w:eastAsiaTheme="majorEastAsia" w:hAnsiTheme="majorHAnsi" w:cstheme="majorBidi"/>
        </w:rPr>
        <w:t>t</w:t>
      </w:r>
      <w:r w:rsidRPr="1FE934EA">
        <w:rPr>
          <w:rFonts w:asciiTheme="majorHAnsi" w:eastAsiaTheme="majorEastAsia" w:hAnsiTheme="majorHAnsi" w:cstheme="majorBidi"/>
        </w:rPr>
        <w:t>he</w:t>
      </w:r>
      <w:r w:rsidRPr="34C5B487">
        <w:rPr>
          <w:rFonts w:asciiTheme="majorHAnsi" w:eastAsiaTheme="majorEastAsia" w:hAnsiTheme="majorHAnsi" w:cstheme="majorBidi"/>
        </w:rPr>
        <w:t xml:space="preserve"> Dartmouth Career Profile (DCP) (Swanson &amp; Becker 2013, referenced by Lord et al. 2014) is web</w:t>
      </w:r>
      <w:r w:rsidR="49553797" w:rsidRPr="34C5B487">
        <w:rPr>
          <w:rFonts w:asciiTheme="majorHAnsi" w:eastAsiaTheme="majorEastAsia" w:hAnsiTheme="majorHAnsi" w:cstheme="majorBidi"/>
        </w:rPr>
        <w:t>-</w:t>
      </w:r>
      <w:r w:rsidRPr="34C5B487">
        <w:rPr>
          <w:rFonts w:asciiTheme="majorHAnsi" w:eastAsiaTheme="majorEastAsia" w:hAnsiTheme="majorHAnsi" w:cstheme="majorBidi"/>
        </w:rPr>
        <w:t xml:space="preserve">based technology that assesses </w:t>
      </w:r>
      <w:r w:rsidR="49553797" w:rsidRPr="1FE934EA">
        <w:rPr>
          <w:rFonts w:asciiTheme="majorHAnsi" w:eastAsiaTheme="majorEastAsia" w:hAnsiTheme="majorHAnsi" w:cstheme="majorBidi"/>
        </w:rPr>
        <w:t>participants</w:t>
      </w:r>
      <w:r w:rsidR="00EA58B0" w:rsidRPr="1FE934EA">
        <w:rPr>
          <w:rFonts w:asciiTheme="majorHAnsi" w:eastAsiaTheme="majorEastAsia" w:hAnsiTheme="majorHAnsi" w:cstheme="majorBidi"/>
        </w:rPr>
        <w:t>’</w:t>
      </w:r>
      <w:r w:rsidRPr="34C5B487">
        <w:rPr>
          <w:rFonts w:asciiTheme="majorHAnsi" w:eastAsiaTheme="majorEastAsia" w:hAnsiTheme="majorHAnsi" w:cstheme="majorBidi"/>
        </w:rPr>
        <w:t xml:space="preserve"> job interests, strengths</w:t>
      </w:r>
      <w:r w:rsidR="49553797" w:rsidRPr="34C5B487">
        <w:rPr>
          <w:rFonts w:asciiTheme="majorHAnsi" w:eastAsiaTheme="majorEastAsia" w:hAnsiTheme="majorHAnsi" w:cstheme="majorBidi"/>
        </w:rPr>
        <w:t>,</w:t>
      </w:r>
      <w:r w:rsidRPr="34C5B487">
        <w:rPr>
          <w:rFonts w:asciiTheme="majorHAnsi" w:eastAsiaTheme="majorEastAsia" w:hAnsiTheme="majorHAnsi" w:cstheme="majorBidi"/>
        </w:rPr>
        <w:t xml:space="preserve"> concerns and any prior experience. The DCP </w:t>
      </w:r>
      <w:r w:rsidR="49553797" w:rsidRPr="34C5B487">
        <w:rPr>
          <w:rFonts w:asciiTheme="majorHAnsi" w:eastAsiaTheme="majorEastAsia" w:hAnsiTheme="majorHAnsi" w:cstheme="majorBidi"/>
        </w:rPr>
        <w:t>created an individual job plan for each participant</w:t>
      </w:r>
      <w:r w:rsidRPr="34C5B487">
        <w:rPr>
          <w:rFonts w:asciiTheme="majorHAnsi" w:eastAsiaTheme="majorEastAsia" w:hAnsiTheme="majorHAnsi" w:cstheme="majorBidi"/>
        </w:rPr>
        <w:t xml:space="preserve"> that is fed back to both the participant and </w:t>
      </w:r>
      <w:r w:rsidR="00E43CFE">
        <w:rPr>
          <w:rFonts w:asciiTheme="majorHAnsi" w:eastAsiaTheme="majorEastAsia" w:hAnsiTheme="majorHAnsi" w:cstheme="majorBidi"/>
        </w:rPr>
        <w:t>employment</w:t>
      </w:r>
      <w:r w:rsidR="00E43CFE" w:rsidRPr="34C5B487">
        <w:rPr>
          <w:rFonts w:asciiTheme="majorHAnsi" w:eastAsiaTheme="majorEastAsia" w:hAnsiTheme="majorHAnsi" w:cstheme="majorBidi"/>
        </w:rPr>
        <w:t xml:space="preserve"> </w:t>
      </w:r>
      <w:r w:rsidRPr="34C5B487">
        <w:rPr>
          <w:rFonts w:asciiTheme="majorHAnsi" w:eastAsiaTheme="majorEastAsia" w:hAnsiTheme="majorHAnsi" w:cstheme="majorBidi"/>
        </w:rPr>
        <w:t xml:space="preserve">specialist. Leveraging </w:t>
      </w:r>
      <w:r w:rsidR="00E43CFE">
        <w:rPr>
          <w:rFonts w:asciiTheme="majorHAnsi" w:eastAsiaTheme="majorEastAsia" w:hAnsiTheme="majorHAnsi" w:cstheme="majorBidi"/>
        </w:rPr>
        <w:t>w</w:t>
      </w:r>
      <w:r w:rsidR="00E43CFE" w:rsidRPr="34C5B487">
        <w:rPr>
          <w:rFonts w:asciiTheme="majorHAnsi" w:eastAsiaTheme="majorEastAsia" w:hAnsiTheme="majorHAnsi" w:cstheme="majorBidi"/>
        </w:rPr>
        <w:t xml:space="preserve">eb </w:t>
      </w:r>
      <w:r w:rsidRPr="34C5B487">
        <w:rPr>
          <w:rFonts w:asciiTheme="majorHAnsi" w:eastAsiaTheme="majorEastAsia" w:hAnsiTheme="majorHAnsi" w:cstheme="majorBidi"/>
        </w:rPr>
        <w:t xml:space="preserve">and </w:t>
      </w:r>
      <w:r w:rsidR="00E43CFE">
        <w:rPr>
          <w:rFonts w:asciiTheme="majorHAnsi" w:eastAsiaTheme="majorEastAsia" w:hAnsiTheme="majorHAnsi" w:cstheme="majorBidi"/>
        </w:rPr>
        <w:t>m</w:t>
      </w:r>
      <w:r w:rsidR="00E43CFE" w:rsidRPr="34C5B487">
        <w:rPr>
          <w:rFonts w:asciiTheme="majorHAnsi" w:eastAsiaTheme="majorEastAsia" w:hAnsiTheme="majorHAnsi" w:cstheme="majorBidi"/>
        </w:rPr>
        <w:t>obile</w:t>
      </w:r>
      <w:r w:rsidRPr="34C5B487">
        <w:rPr>
          <w:rFonts w:asciiTheme="majorHAnsi" w:eastAsiaTheme="majorEastAsia" w:hAnsiTheme="majorHAnsi" w:cstheme="majorBidi"/>
        </w:rPr>
        <w:t xml:space="preserve"> technologies to create participant career profiles offers a delivery format that improves the job matching process, enhances communication between </w:t>
      </w:r>
      <w:r w:rsidR="00E43CFE">
        <w:rPr>
          <w:rFonts w:asciiTheme="majorHAnsi" w:eastAsiaTheme="majorEastAsia" w:hAnsiTheme="majorHAnsi" w:cstheme="majorBidi"/>
        </w:rPr>
        <w:t>employment</w:t>
      </w:r>
      <w:r w:rsidR="00E43CFE" w:rsidRPr="34C5B487">
        <w:rPr>
          <w:rFonts w:asciiTheme="majorHAnsi" w:eastAsiaTheme="majorEastAsia" w:hAnsiTheme="majorHAnsi" w:cstheme="majorBidi"/>
        </w:rPr>
        <w:t xml:space="preserve"> </w:t>
      </w:r>
      <w:r w:rsidRPr="34C5B487">
        <w:rPr>
          <w:rFonts w:asciiTheme="majorHAnsi" w:eastAsiaTheme="majorEastAsia" w:hAnsiTheme="majorHAnsi" w:cstheme="majorBidi"/>
        </w:rPr>
        <w:t xml:space="preserve">specialists and the participant </w:t>
      </w:r>
      <w:proofErr w:type="gramStart"/>
      <w:r w:rsidRPr="34C5B487">
        <w:rPr>
          <w:rFonts w:asciiTheme="majorHAnsi" w:eastAsiaTheme="majorEastAsia" w:hAnsiTheme="majorHAnsi" w:cstheme="majorBidi"/>
        </w:rPr>
        <w:t>and also</w:t>
      </w:r>
      <w:proofErr w:type="gramEnd"/>
      <w:r w:rsidRPr="34C5B487">
        <w:rPr>
          <w:rFonts w:asciiTheme="majorHAnsi" w:eastAsiaTheme="majorEastAsia" w:hAnsiTheme="majorHAnsi" w:cstheme="majorBidi"/>
        </w:rPr>
        <w:t xml:space="preserve"> means information can be quickly updated and accessed (Lord et al. 2014). The job matching process is an important component to the success of the IPS model, as research reflects participants who gain </w:t>
      </w:r>
      <w:r w:rsidRPr="34C5B487">
        <w:rPr>
          <w:rFonts w:asciiTheme="majorHAnsi" w:eastAsiaTheme="majorEastAsia" w:hAnsiTheme="majorHAnsi" w:cstheme="majorBidi"/>
        </w:rPr>
        <w:lastRenderedPageBreak/>
        <w:t xml:space="preserve">employment in an area of interest are likely to remain employed for a longer period of time (Henry 2004; </w:t>
      </w:r>
      <w:proofErr w:type="spellStart"/>
      <w:r w:rsidRPr="34C5B487">
        <w:rPr>
          <w:rFonts w:asciiTheme="majorHAnsi" w:eastAsiaTheme="majorEastAsia" w:hAnsiTheme="majorHAnsi" w:cstheme="majorBidi"/>
        </w:rPr>
        <w:t>Kukla</w:t>
      </w:r>
      <w:proofErr w:type="spellEnd"/>
      <w:r w:rsidRPr="34C5B487">
        <w:rPr>
          <w:rFonts w:asciiTheme="majorHAnsi" w:eastAsiaTheme="majorEastAsia" w:hAnsiTheme="majorHAnsi" w:cstheme="majorBidi"/>
        </w:rPr>
        <w:t xml:space="preserve"> &amp; Bond 2012, referenced by Lord et al. 2014).</w:t>
      </w:r>
    </w:p>
    <w:p w:rsidR="00B53A74" w:rsidRPr="00B53A74" w:rsidRDefault="00B53A74" w:rsidP="0060D407">
      <w:pPr>
        <w:jc w:val="both"/>
        <w:rPr>
          <w:rFonts w:ascii="Univers 45 Light" w:eastAsiaTheme="minorEastAsia" w:hAnsi="Univers 45 Light"/>
        </w:rPr>
      </w:pPr>
      <w:r w:rsidRPr="4E73AD31">
        <w:rPr>
          <w:rFonts w:asciiTheme="majorHAnsi" w:eastAsiaTheme="majorEastAsia" w:hAnsiTheme="majorHAnsi" w:cstheme="majorBidi"/>
        </w:rPr>
        <w:t>Virtual reality job interview training for IPS participants is also another technology</w:t>
      </w:r>
      <w:r w:rsidR="034F67E0" w:rsidRPr="3CDEF5A1">
        <w:rPr>
          <w:rFonts w:ascii="Univers 45 Light" w:eastAsiaTheme="minorEastAsia" w:hAnsi="Univers 45 Light"/>
        </w:rPr>
        <w:t>-</w:t>
      </w:r>
      <w:r w:rsidRPr="3CDEF5A1">
        <w:rPr>
          <w:rFonts w:ascii="Univers 45 Light" w:eastAsiaTheme="minorEastAsia" w:hAnsi="Univers 45 Light"/>
        </w:rPr>
        <w:t>based example that has been trialled to enhance the IPS model (Lord et al 2014). A team funded by the National Institute of Mental Health developed a simulation to allow participants to experience a ‘real-life’ interview and practice their skills. Participants received encouragement throughout the process and were provided written feedback at the end. The results from the trial showed that those who participated were more likely to gain employment than those who did not</w:t>
      </w:r>
      <w:r w:rsidR="002F479F">
        <w:rPr>
          <w:rFonts w:ascii="Univers 45 Light" w:eastAsiaTheme="minorEastAsia" w:hAnsi="Univers 45 Light"/>
        </w:rPr>
        <w:t xml:space="preserve"> participate</w:t>
      </w:r>
      <w:r w:rsidRPr="3CDEF5A1">
        <w:rPr>
          <w:rFonts w:ascii="Univers 45 Light" w:eastAsiaTheme="minorEastAsia" w:hAnsi="Univers 45 Light"/>
        </w:rPr>
        <w:t xml:space="preserve"> (Smith et al. 2018).</w:t>
      </w:r>
    </w:p>
    <w:p w:rsidR="3F097B2F" w:rsidRDefault="49553797" w:rsidP="0060D407">
      <w:pPr>
        <w:jc w:val="both"/>
        <w:rPr>
          <w:rFonts w:asciiTheme="majorHAnsi" w:eastAsiaTheme="majorEastAsia" w:hAnsiTheme="majorHAnsi" w:cstheme="majorBidi"/>
        </w:rPr>
      </w:pPr>
      <w:r w:rsidRPr="34C5B487">
        <w:rPr>
          <w:rFonts w:asciiTheme="majorHAnsi" w:eastAsiaTheme="majorEastAsia" w:hAnsiTheme="majorHAnsi" w:cstheme="majorBidi"/>
        </w:rPr>
        <w:t xml:space="preserve">On-going, “follow-up” communication and support for IPS participants once they gained employment is also key to the success of the program and contributes to fidelity (Bond &amp; </w:t>
      </w:r>
      <w:proofErr w:type="spellStart"/>
      <w:r w:rsidRPr="34C5B487">
        <w:rPr>
          <w:rFonts w:asciiTheme="majorHAnsi" w:eastAsiaTheme="majorEastAsia" w:hAnsiTheme="majorHAnsi" w:cstheme="majorBidi"/>
        </w:rPr>
        <w:t>Kukla</w:t>
      </w:r>
      <w:proofErr w:type="spellEnd"/>
      <w:r w:rsidRPr="34C5B487">
        <w:rPr>
          <w:rFonts w:asciiTheme="majorHAnsi" w:eastAsiaTheme="majorEastAsia" w:hAnsiTheme="majorHAnsi" w:cstheme="majorBidi"/>
        </w:rPr>
        <w:t xml:space="preserve"> 2011, referenced by Lord et al. 2014). Technologies such as mobile </w:t>
      </w:r>
      <w:r w:rsidR="002F479F">
        <w:rPr>
          <w:rFonts w:asciiTheme="majorHAnsi" w:eastAsiaTheme="majorEastAsia" w:hAnsiTheme="majorHAnsi" w:cstheme="majorBidi"/>
        </w:rPr>
        <w:t xml:space="preserve">phone </w:t>
      </w:r>
      <w:r w:rsidRPr="34C5B487">
        <w:rPr>
          <w:rFonts w:asciiTheme="majorHAnsi" w:eastAsiaTheme="majorEastAsia" w:hAnsiTheme="majorHAnsi" w:cstheme="majorBidi"/>
        </w:rPr>
        <w:t xml:space="preserve">applications can offer ‘real-time’ communication between </w:t>
      </w:r>
      <w:r w:rsidR="004112BF">
        <w:rPr>
          <w:rFonts w:asciiTheme="majorHAnsi" w:eastAsiaTheme="majorEastAsia" w:hAnsiTheme="majorHAnsi" w:cstheme="majorBidi"/>
        </w:rPr>
        <w:t>employment</w:t>
      </w:r>
      <w:r w:rsidR="004112BF" w:rsidRPr="34C5B487">
        <w:rPr>
          <w:rFonts w:asciiTheme="majorHAnsi" w:eastAsiaTheme="majorEastAsia" w:hAnsiTheme="majorHAnsi" w:cstheme="majorBidi"/>
        </w:rPr>
        <w:t xml:space="preserve"> </w:t>
      </w:r>
      <w:r w:rsidR="00EA58B0">
        <w:rPr>
          <w:rFonts w:asciiTheme="majorHAnsi" w:eastAsiaTheme="majorEastAsia" w:hAnsiTheme="majorHAnsi" w:cstheme="majorBidi"/>
        </w:rPr>
        <w:t>specialists and/</w:t>
      </w:r>
      <w:r w:rsidRPr="34C5B487">
        <w:rPr>
          <w:rFonts w:asciiTheme="majorHAnsi" w:eastAsiaTheme="majorEastAsia" w:hAnsiTheme="majorHAnsi" w:cstheme="majorBidi"/>
        </w:rPr>
        <w:t xml:space="preserve">or support teams and participants. These applications can also assist in tracking progress and allow </w:t>
      </w:r>
      <w:r w:rsidR="004112BF">
        <w:rPr>
          <w:rFonts w:asciiTheme="majorHAnsi" w:eastAsiaTheme="majorEastAsia" w:hAnsiTheme="majorHAnsi" w:cstheme="majorBidi"/>
        </w:rPr>
        <w:t>employment</w:t>
      </w:r>
      <w:r w:rsidR="004112BF" w:rsidRPr="34C5B487">
        <w:rPr>
          <w:rFonts w:asciiTheme="majorHAnsi" w:eastAsiaTheme="majorEastAsia" w:hAnsiTheme="majorHAnsi" w:cstheme="majorBidi"/>
        </w:rPr>
        <w:t xml:space="preserve"> </w:t>
      </w:r>
      <w:r w:rsidRPr="34C5B487">
        <w:rPr>
          <w:rFonts w:asciiTheme="majorHAnsi" w:eastAsiaTheme="majorEastAsia" w:hAnsiTheme="majorHAnsi" w:cstheme="majorBidi"/>
        </w:rPr>
        <w:t>specialists to provide encouragement to participants. These</w:t>
      </w:r>
      <w:r w:rsidRPr="34C5B487" w:rsidDel="00EA58B0">
        <w:rPr>
          <w:rFonts w:asciiTheme="majorHAnsi" w:eastAsiaTheme="majorEastAsia" w:hAnsiTheme="majorHAnsi" w:cstheme="majorBidi"/>
        </w:rPr>
        <w:t xml:space="preserve"> </w:t>
      </w:r>
      <w:r w:rsidR="00EA58B0">
        <w:rPr>
          <w:rFonts w:asciiTheme="majorHAnsi" w:eastAsiaTheme="majorEastAsia" w:hAnsiTheme="majorHAnsi" w:cstheme="majorBidi"/>
        </w:rPr>
        <w:t>types</w:t>
      </w:r>
      <w:r w:rsidR="00EA58B0" w:rsidRPr="34C5B487">
        <w:rPr>
          <w:rFonts w:asciiTheme="majorHAnsi" w:eastAsiaTheme="majorEastAsia" w:hAnsiTheme="majorHAnsi" w:cstheme="majorBidi"/>
        </w:rPr>
        <w:t xml:space="preserve"> </w:t>
      </w:r>
      <w:r w:rsidRPr="34C5B487">
        <w:rPr>
          <w:rFonts w:asciiTheme="majorHAnsi" w:eastAsiaTheme="majorEastAsia" w:hAnsiTheme="majorHAnsi" w:cstheme="majorBidi"/>
        </w:rPr>
        <w:t>of applications can provide easily accessible training modules and resources to assist with job progression (Lord et al. 2014).</w:t>
      </w:r>
    </w:p>
    <w:p w:rsidR="00EA58B0" w:rsidRDefault="00EA58B0" w:rsidP="0060D407">
      <w:pPr>
        <w:jc w:val="both"/>
        <w:rPr>
          <w:rFonts w:asciiTheme="majorHAnsi" w:eastAsiaTheme="majorEastAsia" w:hAnsiTheme="majorHAnsi" w:cstheme="majorBidi"/>
          <w:szCs w:val="20"/>
        </w:rPr>
      </w:pPr>
    </w:p>
    <w:p w:rsidR="003C2DD9" w:rsidRDefault="003C2DD9" w:rsidP="00437799">
      <w:pPr>
        <w:pStyle w:val="Heading1"/>
      </w:pPr>
      <w:bookmarkStart w:id="43" w:name="_Toc41553040"/>
      <w:bookmarkStart w:id="44" w:name="_Toc46398190"/>
      <w:r>
        <w:lastRenderedPageBreak/>
        <w:t>Conclusion and other considerations</w:t>
      </w:r>
      <w:bookmarkEnd w:id="42"/>
      <w:bookmarkEnd w:id="43"/>
      <w:bookmarkEnd w:id="44"/>
    </w:p>
    <w:p w:rsidR="000118BE" w:rsidRDefault="000118BE" w:rsidP="000118BE">
      <w:pPr>
        <w:pStyle w:val="BodyText"/>
      </w:pPr>
      <w:r w:rsidRPr="000118BE">
        <w:t>The IPS model is an evidence-based model of supported employment, which evidence has demonstrated out</w:t>
      </w:r>
      <w:r w:rsidR="00EA58B0">
        <w:t>-</w:t>
      </w:r>
      <w:r w:rsidRPr="000118BE">
        <w:t xml:space="preserve">performs alternative programs or control conditions on outcomes relating to competitive employment </w:t>
      </w:r>
      <w:r>
        <w:t>(</w:t>
      </w:r>
      <w:proofErr w:type="spellStart"/>
      <w:r>
        <w:t>Killackey</w:t>
      </w:r>
      <w:proofErr w:type="spellEnd"/>
      <w:r>
        <w:t>, 2014)</w:t>
      </w:r>
      <w:r w:rsidRPr="000118BE">
        <w:t xml:space="preserve">. The IPS model is based on eight </w:t>
      </w:r>
      <w:r w:rsidR="0027473F">
        <w:t>P</w:t>
      </w:r>
      <w:r w:rsidRPr="000118BE">
        <w:t xml:space="preserve">ractice </w:t>
      </w:r>
      <w:r w:rsidR="0027473F">
        <w:t>P</w:t>
      </w:r>
      <w:r w:rsidRPr="000118BE">
        <w:t xml:space="preserve">rinciples, and implementation of the IPS model </w:t>
      </w:r>
      <w:r w:rsidR="0027473F">
        <w:t>requires</w:t>
      </w:r>
      <w:r w:rsidRPr="000118BE">
        <w:t xml:space="preserve"> high fidelity to the model in order to be effective.</w:t>
      </w:r>
      <w:r w:rsidR="0027473F">
        <w:t xml:space="preserve"> The question then becomes, how can the IPS model be strengthened</w:t>
      </w:r>
      <w:r w:rsidR="00B87890">
        <w:t xml:space="preserve"> to improve its effectiveness, particularly for young people in Australia experiencing mental illness</w:t>
      </w:r>
      <w:r w:rsidR="00C90E9D">
        <w:t>?</w:t>
      </w:r>
    </w:p>
    <w:p w:rsidR="003C2DD9" w:rsidRDefault="003C2DD9" w:rsidP="005A7907">
      <w:pPr>
        <w:pStyle w:val="Heading2"/>
      </w:pPr>
      <w:bookmarkStart w:id="45" w:name="_Toc41553041"/>
      <w:bookmarkStart w:id="46" w:name="_Toc46398191"/>
      <w:r>
        <w:t>How can the</w:t>
      </w:r>
      <w:r w:rsidR="007603C6">
        <w:t xml:space="preserve"> IPS</w:t>
      </w:r>
      <w:r>
        <w:t xml:space="preserve"> model be </w:t>
      </w:r>
      <w:r w:rsidR="007603C6">
        <w:t>strengthened</w:t>
      </w:r>
      <w:r>
        <w:t xml:space="preserve"> into the future?</w:t>
      </w:r>
      <w:bookmarkEnd w:id="45"/>
      <w:bookmarkEnd w:id="46"/>
    </w:p>
    <w:p w:rsidR="003C2DD9" w:rsidRDefault="00C8273A" w:rsidP="003C2DD9">
      <w:pPr>
        <w:pStyle w:val="BodyText"/>
      </w:pPr>
      <w:r>
        <w:t xml:space="preserve">The literature review </w:t>
      </w:r>
      <w:r w:rsidR="007603C6">
        <w:t xml:space="preserve">identified </w:t>
      </w:r>
      <w:proofErr w:type="gramStart"/>
      <w:r w:rsidR="007603C6">
        <w:t>a numbe</w:t>
      </w:r>
      <w:r w:rsidR="00C50012">
        <w:t>r of</w:t>
      </w:r>
      <w:proofErr w:type="gramEnd"/>
      <w:r w:rsidR="00C50012">
        <w:t xml:space="preserve"> </w:t>
      </w:r>
      <w:r w:rsidR="00450960">
        <w:t>adaptations</w:t>
      </w:r>
      <w:bookmarkStart w:id="47" w:name="start"/>
      <w:bookmarkEnd w:id="47"/>
      <w:r w:rsidR="00C50012">
        <w:t xml:space="preserve"> to the IPS model. They are summarised in the table below.</w:t>
      </w:r>
    </w:p>
    <w:p w:rsidR="00224297" w:rsidRDefault="00224297" w:rsidP="00224297">
      <w:pPr>
        <w:pStyle w:val="Caption"/>
        <w:keepNext/>
      </w:pPr>
      <w:r>
        <w:t xml:space="preserve">Table </w:t>
      </w:r>
      <w:r w:rsidR="00C44D69">
        <w:rPr>
          <w:noProof/>
        </w:rPr>
        <w:fldChar w:fldCharType="begin"/>
      </w:r>
      <w:r w:rsidR="00C44D69">
        <w:rPr>
          <w:noProof/>
        </w:rPr>
        <w:instrText xml:space="preserve"> SEQ Table \* ARABIC </w:instrText>
      </w:r>
      <w:r w:rsidR="00C44D69">
        <w:rPr>
          <w:noProof/>
        </w:rPr>
        <w:fldChar w:fldCharType="separate"/>
      </w:r>
      <w:r w:rsidR="00CE15EF">
        <w:rPr>
          <w:noProof/>
        </w:rPr>
        <w:t>3</w:t>
      </w:r>
      <w:r w:rsidR="00C44D69">
        <w:rPr>
          <w:noProof/>
        </w:rPr>
        <w:fldChar w:fldCharType="end"/>
      </w:r>
      <w:r>
        <w:t>: IPS Model Additions and Outcomes</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2"/>
        <w:gridCol w:w="3290"/>
        <w:gridCol w:w="4252"/>
      </w:tblGrid>
      <w:tr w:rsidR="00E23FFE" w:rsidRPr="00AD4B92" w:rsidTr="00312643">
        <w:trPr>
          <w:tblHeader/>
        </w:trPr>
        <w:tc>
          <w:tcPr>
            <w:tcW w:w="2092" w:type="dxa"/>
            <w:shd w:val="clear" w:color="auto" w:fill="005EB8" w:themeFill="background2"/>
          </w:tcPr>
          <w:p w:rsidR="00E23FFE" w:rsidRPr="00AD4B92" w:rsidRDefault="00E23FFE" w:rsidP="00312643">
            <w:pPr>
              <w:pStyle w:val="Tableheading"/>
            </w:pPr>
            <w:r w:rsidRPr="00AD4B92">
              <w:t>Model Addition</w:t>
            </w:r>
          </w:p>
        </w:tc>
        <w:tc>
          <w:tcPr>
            <w:tcW w:w="3290" w:type="dxa"/>
            <w:shd w:val="clear" w:color="auto" w:fill="005EB8" w:themeFill="background2"/>
          </w:tcPr>
          <w:p w:rsidR="00E23FFE" w:rsidRPr="00AD4B92" w:rsidRDefault="00E23FFE" w:rsidP="00312643">
            <w:pPr>
              <w:pStyle w:val="Tableheading"/>
            </w:pPr>
            <w:r w:rsidRPr="00AD4B92">
              <w:t xml:space="preserve">Description </w:t>
            </w:r>
          </w:p>
        </w:tc>
        <w:tc>
          <w:tcPr>
            <w:tcW w:w="4252" w:type="dxa"/>
            <w:shd w:val="clear" w:color="auto" w:fill="005EB8" w:themeFill="background2"/>
          </w:tcPr>
          <w:p w:rsidR="00E23FFE" w:rsidRPr="00AD4B92" w:rsidRDefault="00E23FFE" w:rsidP="00312643">
            <w:pPr>
              <w:pStyle w:val="Tableheading"/>
            </w:pPr>
            <w:r w:rsidRPr="00AD4B92">
              <w:t>Outcomes Summary</w:t>
            </w:r>
          </w:p>
        </w:tc>
      </w:tr>
      <w:tr w:rsidR="00E23FFE" w:rsidTr="00312643">
        <w:tc>
          <w:tcPr>
            <w:tcW w:w="9634" w:type="dxa"/>
            <w:gridSpan w:val="3"/>
            <w:shd w:val="clear" w:color="auto" w:fill="0091DA"/>
          </w:tcPr>
          <w:p w:rsidR="00E23FFE" w:rsidRPr="00224297" w:rsidRDefault="00E23FFE" w:rsidP="00312643">
            <w:pPr>
              <w:pStyle w:val="Tableheadingcentred"/>
            </w:pPr>
            <w:r w:rsidRPr="00224297">
              <w:t>Skills Training</w:t>
            </w:r>
          </w:p>
        </w:tc>
      </w:tr>
      <w:tr w:rsidR="00E23FFE" w:rsidTr="00312643">
        <w:tc>
          <w:tcPr>
            <w:tcW w:w="2092" w:type="dxa"/>
          </w:tcPr>
          <w:p w:rsidR="00E23FFE" w:rsidRDefault="00E23FFE" w:rsidP="00312643">
            <w:pPr>
              <w:pStyle w:val="Tabletext"/>
            </w:pPr>
            <w:r w:rsidRPr="00837973">
              <w:t>Integrated Supported Employment (ISE)</w:t>
            </w:r>
          </w:p>
          <w:p w:rsidR="00E23FFE" w:rsidRDefault="00E23FFE" w:rsidP="00312643">
            <w:pPr>
              <w:pStyle w:val="Tabletext"/>
            </w:pPr>
            <w:r>
              <w:t>(Tsang 2003)</w:t>
            </w:r>
          </w:p>
        </w:tc>
        <w:tc>
          <w:tcPr>
            <w:tcW w:w="3290" w:type="dxa"/>
          </w:tcPr>
          <w:p w:rsidR="00E23FFE" w:rsidRDefault="00E23FFE" w:rsidP="00312643">
            <w:pPr>
              <w:pStyle w:val="Tabletext"/>
            </w:pPr>
            <w:r>
              <w:t>T</w:t>
            </w:r>
            <w:r w:rsidRPr="00C50012">
              <w:t>eaches participants social skills to retain a job, such as developing good working relationships, and how to manage difficult situations in the workplace</w:t>
            </w:r>
            <w:r>
              <w:t>.</w:t>
            </w:r>
          </w:p>
        </w:tc>
        <w:tc>
          <w:tcPr>
            <w:tcW w:w="4252" w:type="dxa"/>
          </w:tcPr>
          <w:p w:rsidR="00E23FFE" w:rsidRDefault="00E23FFE" w:rsidP="00312643">
            <w:pPr>
              <w:pStyle w:val="Tabletext"/>
            </w:pPr>
            <w:r>
              <w:t xml:space="preserve">60 per cent who accessed the IPS model enhanced with ISE gained competitive employment, compared to an IPS model only with the control group achieving a 30 per cent employment rate. </w:t>
            </w:r>
          </w:p>
        </w:tc>
      </w:tr>
      <w:tr w:rsidR="00E23FFE" w:rsidTr="00312643">
        <w:tc>
          <w:tcPr>
            <w:tcW w:w="2092" w:type="dxa"/>
          </w:tcPr>
          <w:p w:rsidR="00E23FFE" w:rsidRDefault="00E23FFE" w:rsidP="00312643">
            <w:pPr>
              <w:pStyle w:val="Tabletext"/>
            </w:pPr>
            <w:r w:rsidRPr="0026270E">
              <w:t>Workplace Fundamentals Training (WFT)</w:t>
            </w:r>
          </w:p>
          <w:p w:rsidR="00E23FFE" w:rsidRDefault="00E23FFE" w:rsidP="00312643">
            <w:pPr>
              <w:pStyle w:val="Tabletext"/>
            </w:pPr>
            <w:r>
              <w:t>(Wallace &amp; Tauber 2004)</w:t>
            </w:r>
          </w:p>
        </w:tc>
        <w:tc>
          <w:tcPr>
            <w:tcW w:w="3290" w:type="dxa"/>
          </w:tcPr>
          <w:p w:rsidR="00E23FFE" w:rsidRDefault="00E23FFE" w:rsidP="00312643">
            <w:pPr>
              <w:pStyle w:val="Tabletext"/>
            </w:pPr>
            <w:r>
              <w:t xml:space="preserve">Teaches participants </w:t>
            </w:r>
            <w:r w:rsidRPr="00C50012">
              <w:t>workplace skills, including problem-solving to cope with job stress and how to successfully interact with colleagues and supervisors</w:t>
            </w:r>
            <w:r>
              <w:t>.</w:t>
            </w:r>
          </w:p>
        </w:tc>
        <w:tc>
          <w:tcPr>
            <w:tcW w:w="4252" w:type="dxa"/>
          </w:tcPr>
          <w:p w:rsidR="00E23FFE" w:rsidRDefault="00E23FFE" w:rsidP="00312643">
            <w:pPr>
              <w:pStyle w:val="Tabletext"/>
            </w:pPr>
            <w:r>
              <w:t xml:space="preserve">The combined model showed no significant differences in the rate of competitive employment attained when compared with an IPS only model, but the combined cohort demonstrated longer job retention. </w:t>
            </w:r>
          </w:p>
          <w:p w:rsidR="00E23FFE" w:rsidRDefault="00E23FFE" w:rsidP="00312643">
            <w:pPr>
              <w:pStyle w:val="Tabletext"/>
            </w:pPr>
            <w:r>
              <w:t xml:space="preserve">A qualitative benefit of the combined model was greater job satisfaction. </w:t>
            </w:r>
          </w:p>
        </w:tc>
      </w:tr>
      <w:tr w:rsidR="00E23FFE" w:rsidTr="00312643">
        <w:tc>
          <w:tcPr>
            <w:tcW w:w="9634" w:type="dxa"/>
            <w:gridSpan w:val="3"/>
            <w:shd w:val="clear" w:color="auto" w:fill="0091DA"/>
          </w:tcPr>
          <w:p w:rsidR="00E23FFE" w:rsidRPr="00224297" w:rsidRDefault="00E23FFE" w:rsidP="00312643">
            <w:pPr>
              <w:pStyle w:val="Tableheadingcentred"/>
            </w:pPr>
            <w:r w:rsidRPr="00224297">
              <w:t>Cognitive Skills Training</w:t>
            </w:r>
          </w:p>
        </w:tc>
      </w:tr>
      <w:tr w:rsidR="00E23FFE" w:rsidTr="00312643">
        <w:tc>
          <w:tcPr>
            <w:tcW w:w="2092" w:type="dxa"/>
          </w:tcPr>
          <w:p w:rsidR="00E23FFE" w:rsidRDefault="00E23FFE" w:rsidP="00312643">
            <w:pPr>
              <w:pStyle w:val="Tabletext"/>
            </w:pPr>
            <w:r w:rsidRPr="00CD78BA">
              <w:t>Neurocognitive Enhancement Therapy (NET)</w:t>
            </w:r>
          </w:p>
          <w:p w:rsidR="00E23FFE" w:rsidRDefault="00E23FFE" w:rsidP="00312643">
            <w:pPr>
              <w:pStyle w:val="Tabletext"/>
            </w:pPr>
            <w:r>
              <w:t>(Greig et al. 2007)</w:t>
            </w:r>
          </w:p>
        </w:tc>
        <w:tc>
          <w:tcPr>
            <w:tcW w:w="3290" w:type="dxa"/>
          </w:tcPr>
          <w:p w:rsidR="00E23FFE" w:rsidRDefault="00E23FFE" w:rsidP="00312643">
            <w:pPr>
              <w:pStyle w:val="Tabletext"/>
            </w:pPr>
            <w:r>
              <w:t xml:space="preserve">Is </w:t>
            </w:r>
            <w:r w:rsidRPr="006658B6">
              <w:t>focused on providing a multi</w:t>
            </w:r>
            <w:r>
              <w:noBreakHyphen/>
            </w:r>
            <w:r w:rsidRPr="006658B6">
              <w:t>faceted cognitive remediation program to improve cognition in participants</w:t>
            </w:r>
            <w:r>
              <w:t>.</w:t>
            </w:r>
          </w:p>
        </w:tc>
        <w:tc>
          <w:tcPr>
            <w:tcW w:w="4252" w:type="dxa"/>
          </w:tcPr>
          <w:p w:rsidR="00E23FFE" w:rsidRDefault="00E23FFE" w:rsidP="00312643">
            <w:pPr>
              <w:pStyle w:val="Tabletext"/>
            </w:pPr>
            <w:r>
              <w:t xml:space="preserve">The addition of NET to the IPS model demonstrated that, after a year of combined supports, participants had improved executive functioning and working memory. </w:t>
            </w:r>
          </w:p>
        </w:tc>
      </w:tr>
      <w:tr w:rsidR="00E23FFE" w:rsidTr="00312643">
        <w:tc>
          <w:tcPr>
            <w:tcW w:w="2092" w:type="dxa"/>
          </w:tcPr>
          <w:p w:rsidR="00E23FFE" w:rsidRDefault="00E23FFE" w:rsidP="00312643">
            <w:pPr>
              <w:pStyle w:val="Tabletext"/>
            </w:pPr>
            <w:r w:rsidRPr="0002493F">
              <w:t>Thinking Skills for Work (TSFW)</w:t>
            </w:r>
          </w:p>
          <w:p w:rsidR="00E23FFE" w:rsidRDefault="00E23FFE" w:rsidP="00312643">
            <w:pPr>
              <w:pStyle w:val="Tabletext"/>
            </w:pPr>
            <w:r>
              <w:t>(McGurk et al. 2005)</w:t>
            </w:r>
          </w:p>
        </w:tc>
        <w:tc>
          <w:tcPr>
            <w:tcW w:w="3290" w:type="dxa"/>
          </w:tcPr>
          <w:p w:rsidR="00E23FFE" w:rsidRDefault="00E23FFE" w:rsidP="00312643">
            <w:pPr>
              <w:pStyle w:val="Tabletext"/>
            </w:pPr>
            <w:r>
              <w:t>Participants undertake a</w:t>
            </w:r>
            <w:r w:rsidRPr="006658B6">
              <w:t xml:space="preserve"> </w:t>
            </w:r>
            <w:r>
              <w:t>computer-</w:t>
            </w:r>
            <w:r w:rsidRPr="006658B6">
              <w:t>based cognitive assessment that covers attention, memory, executive functioni</w:t>
            </w:r>
            <w:r>
              <w:t xml:space="preserve">ng </w:t>
            </w:r>
            <w:r>
              <w:lastRenderedPageBreak/>
              <w:t xml:space="preserve">and other cognitive domains, which results in </w:t>
            </w:r>
            <w:r w:rsidRPr="006658B6">
              <w:t>tailored, cognitive remediation support based on their cognitive strengths and challenges</w:t>
            </w:r>
            <w:r>
              <w:t>.</w:t>
            </w:r>
          </w:p>
        </w:tc>
        <w:tc>
          <w:tcPr>
            <w:tcW w:w="4252" w:type="dxa"/>
          </w:tcPr>
          <w:p w:rsidR="00E23FFE" w:rsidRDefault="00E23FFE" w:rsidP="00312643">
            <w:pPr>
              <w:pStyle w:val="Tabletext"/>
            </w:pPr>
            <w:r>
              <w:lastRenderedPageBreak/>
              <w:t xml:space="preserve">Those accessing combined TSFW and the supported employment model demonstrated stronger competitive employment rates, of 69.6 per cent compared to 4.8 per cent for </w:t>
            </w:r>
            <w:r>
              <w:lastRenderedPageBreak/>
              <w:t>those only accessing supported employment. In addition, they also experienced higher earnings.</w:t>
            </w:r>
          </w:p>
        </w:tc>
      </w:tr>
      <w:tr w:rsidR="00E23FFE" w:rsidTr="00312643">
        <w:tc>
          <w:tcPr>
            <w:tcW w:w="2092" w:type="dxa"/>
          </w:tcPr>
          <w:p w:rsidR="00E23FFE" w:rsidRDefault="00E23FFE" w:rsidP="00312643">
            <w:pPr>
              <w:pStyle w:val="Tabletext"/>
            </w:pPr>
            <w:r>
              <w:lastRenderedPageBreak/>
              <w:t>Errorless learning</w:t>
            </w:r>
          </w:p>
          <w:p w:rsidR="00E23FFE" w:rsidRDefault="00E23FFE" w:rsidP="00312643">
            <w:pPr>
              <w:pStyle w:val="Tabletext"/>
            </w:pPr>
            <w:r>
              <w:t>(Kern et al. 2002)</w:t>
            </w:r>
          </w:p>
        </w:tc>
        <w:tc>
          <w:tcPr>
            <w:tcW w:w="3290" w:type="dxa"/>
          </w:tcPr>
          <w:p w:rsidR="00E23FFE" w:rsidRDefault="00E23FFE" w:rsidP="00312643">
            <w:pPr>
              <w:pStyle w:val="Tabletext"/>
            </w:pPr>
            <w:r>
              <w:t>Inv</w:t>
            </w:r>
            <w:r w:rsidRPr="00ED3001">
              <w:t>olves repetitively practising tasks whil</w:t>
            </w:r>
            <w:r>
              <w:t>e</w:t>
            </w:r>
            <w:r w:rsidRPr="00ED3001">
              <w:t xml:space="preserve"> eliminating mistakes, to enhance learning</w:t>
            </w:r>
            <w:r>
              <w:t>.</w:t>
            </w:r>
          </w:p>
        </w:tc>
        <w:tc>
          <w:tcPr>
            <w:tcW w:w="4252" w:type="dxa"/>
          </w:tcPr>
          <w:p w:rsidR="00E23FFE" w:rsidRDefault="00E23FFE" w:rsidP="00312643">
            <w:pPr>
              <w:pStyle w:val="Tabletext"/>
            </w:pPr>
            <w:r>
              <w:t>The combined model showed participants remained in employment for 32.8 weeks, whereas those accessing only the IPS model experienced an employment duration of 25.6 weeks.</w:t>
            </w:r>
          </w:p>
        </w:tc>
      </w:tr>
      <w:tr w:rsidR="00E23FFE" w:rsidTr="00312643">
        <w:tc>
          <w:tcPr>
            <w:tcW w:w="2092" w:type="dxa"/>
          </w:tcPr>
          <w:p w:rsidR="00E23FFE" w:rsidRDefault="00E23FFE" w:rsidP="00312643">
            <w:pPr>
              <w:pStyle w:val="Tabletext"/>
            </w:pPr>
            <w:r w:rsidRPr="00DB3E73">
              <w:t>Cognitive Behavioural Therapy (CBT)</w:t>
            </w:r>
          </w:p>
          <w:p w:rsidR="00E23FFE" w:rsidRDefault="00E23FFE" w:rsidP="00312643">
            <w:pPr>
              <w:pStyle w:val="Tabletext"/>
            </w:pPr>
            <w:r>
              <w:t xml:space="preserve">(Boycott et al. 2016; </w:t>
            </w:r>
            <w:proofErr w:type="spellStart"/>
            <w:r>
              <w:t>Reme</w:t>
            </w:r>
            <w:proofErr w:type="spellEnd"/>
            <w:r>
              <w:t xml:space="preserve"> et al. 2005)</w:t>
            </w:r>
          </w:p>
        </w:tc>
        <w:tc>
          <w:tcPr>
            <w:tcW w:w="3290" w:type="dxa"/>
          </w:tcPr>
          <w:p w:rsidR="00E23FFE" w:rsidRDefault="00E23FFE" w:rsidP="00312643">
            <w:pPr>
              <w:pStyle w:val="Tabletext"/>
            </w:pPr>
            <w:r>
              <w:t xml:space="preserve">Involves </w:t>
            </w:r>
            <w:r w:rsidRPr="00ED3001">
              <w:t>problem-solving skills</w:t>
            </w:r>
            <w:r>
              <w:t>, interpersonal skills</w:t>
            </w:r>
            <w:r w:rsidRPr="00ED3001">
              <w:t>, and cognitive rehabilitation aimed at improving attention, language, mem</w:t>
            </w:r>
            <w:r>
              <w:t>ory, and executive functioning.</w:t>
            </w:r>
          </w:p>
        </w:tc>
        <w:tc>
          <w:tcPr>
            <w:tcW w:w="4252" w:type="dxa"/>
          </w:tcPr>
          <w:p w:rsidR="00E23FFE" w:rsidRDefault="00E23FFE" w:rsidP="00312643">
            <w:pPr>
              <w:pStyle w:val="Tabletext"/>
            </w:pPr>
            <w:r>
              <w:t xml:space="preserve">44.2 per cent of participants accessing a combined CBT and IPS model maintained competitive employment at 18 months, compared to 37.2 per cent of those only accessing the IPS model. </w:t>
            </w:r>
          </w:p>
          <w:p w:rsidR="00E23FFE" w:rsidRDefault="00E23FFE" w:rsidP="00312643">
            <w:pPr>
              <w:pStyle w:val="Tabletext"/>
            </w:pPr>
            <w:r>
              <w:t xml:space="preserve">Participants accessing the combined model also experienced reduced depression and anxiety symptoms, and improved health-related quality of life. </w:t>
            </w:r>
          </w:p>
        </w:tc>
      </w:tr>
      <w:tr w:rsidR="00E23FFE" w:rsidTr="00312643">
        <w:tc>
          <w:tcPr>
            <w:tcW w:w="9634" w:type="dxa"/>
            <w:gridSpan w:val="3"/>
            <w:shd w:val="clear" w:color="auto" w:fill="0091DA"/>
          </w:tcPr>
          <w:p w:rsidR="00E23FFE" w:rsidRPr="00224297" w:rsidRDefault="00E23FFE" w:rsidP="00312643">
            <w:pPr>
              <w:pStyle w:val="Tableheadingcentred"/>
            </w:pPr>
            <w:r w:rsidRPr="00224297">
              <w:t>Peer Group Interaction</w:t>
            </w:r>
          </w:p>
        </w:tc>
      </w:tr>
      <w:tr w:rsidR="00E23FFE" w:rsidTr="00312643">
        <w:tc>
          <w:tcPr>
            <w:tcW w:w="2092" w:type="dxa"/>
          </w:tcPr>
          <w:p w:rsidR="00E23FFE" w:rsidRDefault="00E23FFE" w:rsidP="00312643">
            <w:pPr>
              <w:pStyle w:val="Tabletext"/>
            </w:pPr>
            <w:r>
              <w:t>Peer Mentors</w:t>
            </w:r>
          </w:p>
          <w:p w:rsidR="00E23FFE" w:rsidRDefault="00E23FFE" w:rsidP="00312643">
            <w:pPr>
              <w:pStyle w:val="Tabletext"/>
            </w:pPr>
            <w:r>
              <w:t>(Cohen et al. 2020; Ellison et al. 2014)</w:t>
            </w:r>
          </w:p>
        </w:tc>
        <w:tc>
          <w:tcPr>
            <w:tcW w:w="3290" w:type="dxa"/>
          </w:tcPr>
          <w:p w:rsidR="00E23FFE" w:rsidRDefault="00E23FFE" w:rsidP="00312643">
            <w:pPr>
              <w:pStyle w:val="Tabletext"/>
            </w:pPr>
            <w:r>
              <w:t xml:space="preserve">Involves pairing of participants with a peer mentor who </w:t>
            </w:r>
            <w:r w:rsidRPr="00413A9E">
              <w:t xml:space="preserve">is someone of similar age </w:t>
            </w:r>
            <w:r>
              <w:t xml:space="preserve">and who has </w:t>
            </w:r>
            <w:r w:rsidRPr="00413A9E">
              <w:t xml:space="preserve">overcome obstacles to </w:t>
            </w:r>
            <w:r>
              <w:t>achieve their own career goals.</w:t>
            </w:r>
          </w:p>
        </w:tc>
        <w:tc>
          <w:tcPr>
            <w:tcW w:w="4252" w:type="dxa"/>
          </w:tcPr>
          <w:p w:rsidR="00E23FFE" w:rsidRDefault="00E23FFE" w:rsidP="00312643">
            <w:pPr>
              <w:pStyle w:val="Tabletext"/>
            </w:pPr>
            <w:r>
              <w:t xml:space="preserve">The incorporation of peer mentors into the IPS model provides qualitative benefits through enabling </w:t>
            </w:r>
            <w:r w:rsidRPr="00837973">
              <w:t xml:space="preserve">participants </w:t>
            </w:r>
            <w:r>
              <w:t xml:space="preserve">to </w:t>
            </w:r>
            <w:r w:rsidRPr="00837973">
              <w:t xml:space="preserve">feel supported, safe, understood and </w:t>
            </w:r>
            <w:r>
              <w:t xml:space="preserve">provides a </w:t>
            </w:r>
            <w:r w:rsidRPr="00837973">
              <w:t>positive influence to enable encouragement towards education, employment and their mental health treatment</w:t>
            </w:r>
            <w:r>
              <w:t xml:space="preserve">. </w:t>
            </w:r>
          </w:p>
        </w:tc>
      </w:tr>
      <w:tr w:rsidR="00E23FFE" w:rsidTr="00312643">
        <w:trPr>
          <w:cantSplit/>
        </w:trPr>
        <w:tc>
          <w:tcPr>
            <w:tcW w:w="2092" w:type="dxa"/>
          </w:tcPr>
          <w:p w:rsidR="00E23FFE" w:rsidRDefault="00E23FFE" w:rsidP="00312643">
            <w:pPr>
              <w:pStyle w:val="Tabletext"/>
            </w:pPr>
            <w:r>
              <w:t>Group programs</w:t>
            </w:r>
          </w:p>
          <w:p w:rsidR="00E23FFE" w:rsidRDefault="00E23FFE" w:rsidP="00312643">
            <w:pPr>
              <w:pStyle w:val="Tabletext"/>
            </w:pPr>
            <w:r>
              <w:t>(Corrigan 1995; Ellison et al. 2014)</w:t>
            </w:r>
          </w:p>
        </w:tc>
        <w:tc>
          <w:tcPr>
            <w:tcW w:w="3290" w:type="dxa"/>
          </w:tcPr>
          <w:p w:rsidR="00E23FFE" w:rsidRDefault="00E23FFE" w:rsidP="00312643">
            <w:pPr>
              <w:pStyle w:val="Tabletext"/>
            </w:pPr>
            <w:r>
              <w:t xml:space="preserve">Can encompass a variety of aspects in a group setting, including </w:t>
            </w:r>
            <w:r w:rsidRPr="00FB2A31">
              <w:t>learning, interpersonal skills, information sharing and m</w:t>
            </w:r>
            <w:r>
              <w:t>otivational based communication to improve job readiness.</w:t>
            </w:r>
          </w:p>
        </w:tc>
        <w:tc>
          <w:tcPr>
            <w:tcW w:w="4252" w:type="dxa"/>
          </w:tcPr>
          <w:p w:rsidR="00E23FFE" w:rsidRDefault="00E23FFE" w:rsidP="00312643">
            <w:pPr>
              <w:pStyle w:val="Tabletext"/>
            </w:pPr>
            <w:r>
              <w:t>Enabling communication and collaboration within participant peer groups has shown to enhance interpersonal skills, information sharing and improved job-readiness through soft skills, such as searching for employment and completing job interviews.</w:t>
            </w:r>
          </w:p>
        </w:tc>
      </w:tr>
      <w:tr w:rsidR="00E23FFE" w:rsidRPr="007603C6" w:rsidTr="00312643">
        <w:tc>
          <w:tcPr>
            <w:tcW w:w="9634" w:type="dxa"/>
            <w:gridSpan w:val="3"/>
            <w:shd w:val="clear" w:color="auto" w:fill="0091DA" w:themeFill="accent1"/>
          </w:tcPr>
          <w:p w:rsidR="00E23FFE" w:rsidRPr="007603C6" w:rsidRDefault="00E23FFE" w:rsidP="00312643">
            <w:pPr>
              <w:pStyle w:val="Tableheadingcentred"/>
            </w:pPr>
            <w:r w:rsidRPr="007603C6">
              <w:t>Education</w:t>
            </w:r>
          </w:p>
        </w:tc>
      </w:tr>
      <w:tr w:rsidR="00E23FFE" w:rsidTr="00312643">
        <w:tc>
          <w:tcPr>
            <w:tcW w:w="2092" w:type="dxa"/>
          </w:tcPr>
          <w:p w:rsidR="00E23FFE" w:rsidRDefault="00E23FFE" w:rsidP="00312643">
            <w:pPr>
              <w:pStyle w:val="Tabletext"/>
            </w:pPr>
            <w:r>
              <w:t>Supported Education</w:t>
            </w:r>
          </w:p>
          <w:p w:rsidR="00E23FFE" w:rsidRDefault="00E23FFE" w:rsidP="00312643">
            <w:pPr>
              <w:pStyle w:val="Tabletext"/>
            </w:pPr>
            <w:r>
              <w:t xml:space="preserve">(Becker et al. n.d.; Cohen et al. 2020; Ellison et al. 2014; Rapp &amp; </w:t>
            </w:r>
            <w:proofErr w:type="spellStart"/>
            <w:r>
              <w:t>Goscha</w:t>
            </w:r>
            <w:proofErr w:type="spellEnd"/>
            <w:r>
              <w:t xml:space="preserve"> 2011; Waghorn et al. 2007)</w:t>
            </w:r>
          </w:p>
        </w:tc>
        <w:tc>
          <w:tcPr>
            <w:tcW w:w="3290" w:type="dxa"/>
          </w:tcPr>
          <w:p w:rsidR="00E23FFE" w:rsidRDefault="00E23FFE" w:rsidP="00312643">
            <w:pPr>
              <w:pStyle w:val="Tabletext"/>
            </w:pPr>
            <w:r>
              <w:t>Underpinned by the same principles as IPS with a focus on supporting people into education.</w:t>
            </w:r>
          </w:p>
        </w:tc>
        <w:tc>
          <w:tcPr>
            <w:tcW w:w="4252" w:type="dxa"/>
          </w:tcPr>
          <w:p w:rsidR="00E23FFE" w:rsidRDefault="00E23FFE" w:rsidP="00312643">
            <w:pPr>
              <w:pStyle w:val="Tabletext"/>
            </w:pPr>
            <w:r>
              <w:t xml:space="preserve">15 of </w:t>
            </w:r>
            <w:r w:rsidRPr="006A444D">
              <w:t xml:space="preserve">22 participants </w:t>
            </w:r>
            <w:r>
              <w:t xml:space="preserve">(68 per cent) in a combined employment and education program enrolled into education over a </w:t>
            </w:r>
            <w:proofErr w:type="gramStart"/>
            <w:r>
              <w:t>12 month</w:t>
            </w:r>
            <w:proofErr w:type="gramEnd"/>
            <w:r>
              <w:t xml:space="preserve"> period, with six</w:t>
            </w:r>
            <w:r w:rsidRPr="006A444D">
              <w:t xml:space="preserve"> completing their education</w:t>
            </w:r>
            <w:r>
              <w:t>.</w:t>
            </w:r>
          </w:p>
        </w:tc>
      </w:tr>
    </w:tbl>
    <w:p w:rsidR="00B60415" w:rsidRDefault="00224297" w:rsidP="00EA58B0">
      <w:pPr>
        <w:pStyle w:val="source"/>
      </w:pPr>
      <w:r>
        <w:t>Source: KPMG</w:t>
      </w:r>
    </w:p>
    <w:p w:rsidR="002F479F" w:rsidRDefault="002F479F">
      <w:pPr>
        <w:spacing w:before="0" w:after="160" w:line="259" w:lineRule="auto"/>
        <w:rPr>
          <w:rFonts w:ascii="Univers 45 Light" w:hAnsi="Univers 45 Light"/>
        </w:rPr>
      </w:pPr>
      <w:r>
        <w:br w:type="page"/>
      </w:r>
    </w:p>
    <w:p w:rsidR="00ED2528" w:rsidRDefault="00014EF9" w:rsidP="00014EF9">
      <w:pPr>
        <w:pStyle w:val="BodyText"/>
      </w:pPr>
      <w:r>
        <w:lastRenderedPageBreak/>
        <w:t xml:space="preserve">The evidence to support the effectiveness of these adaptations is somewhat limited, with them </w:t>
      </w:r>
      <w:r w:rsidR="001D31BE">
        <w:t xml:space="preserve">all </w:t>
      </w:r>
      <w:r>
        <w:t xml:space="preserve">showing a variety of </w:t>
      </w:r>
      <w:r w:rsidR="001D31BE">
        <w:t>positive outcomes</w:t>
      </w:r>
      <w:r>
        <w:t xml:space="preserve"> compared to IPS programs alo</w:t>
      </w:r>
      <w:r w:rsidR="00ED2528">
        <w:t>ne</w:t>
      </w:r>
      <w:r w:rsidR="00B76A71">
        <w:t>, however in general, the number of studies is small, undertaken with a small number of participants</w:t>
      </w:r>
      <w:r w:rsidR="00ED2528">
        <w:t xml:space="preserve">. It is also unclear from the available evidence whether these </w:t>
      </w:r>
      <w:r w:rsidR="00450960">
        <w:t>adaptations</w:t>
      </w:r>
      <w:r w:rsidR="00ED2528">
        <w:t xml:space="preserve"> are suitable for all cohorts of participants, </w:t>
      </w:r>
      <w:proofErr w:type="gramStart"/>
      <w:r w:rsidR="00ED2528">
        <w:t>in particular for</w:t>
      </w:r>
      <w:proofErr w:type="gramEnd"/>
      <w:r w:rsidR="00ED2528">
        <w:t xml:space="preserve"> the IPS Trial</w:t>
      </w:r>
      <w:r w:rsidR="002F479F">
        <w:t xml:space="preserve"> and</w:t>
      </w:r>
      <w:r w:rsidR="00ED2528">
        <w:t xml:space="preserve"> young people with mild to moderate mental illness. </w:t>
      </w:r>
    </w:p>
    <w:p w:rsidR="00014EF9" w:rsidRDefault="00ED2528" w:rsidP="00BE4D47">
      <w:pPr>
        <w:pStyle w:val="BodyText"/>
        <w:keepNext/>
      </w:pPr>
      <w:r>
        <w:t xml:space="preserve">Those </w:t>
      </w:r>
      <w:r w:rsidR="00B76A71">
        <w:t xml:space="preserve">adaptations </w:t>
      </w:r>
      <w:r>
        <w:t xml:space="preserve">that show the most promise </w:t>
      </w:r>
      <w:r w:rsidR="004629A1">
        <w:t>include:</w:t>
      </w:r>
    </w:p>
    <w:p w:rsidR="004629A1" w:rsidRDefault="004629A1" w:rsidP="00DF1E27">
      <w:pPr>
        <w:pStyle w:val="BodyText"/>
        <w:numPr>
          <w:ilvl w:val="0"/>
          <w:numId w:val="19"/>
        </w:numPr>
      </w:pPr>
      <w:r>
        <w:t>supported education;</w:t>
      </w:r>
    </w:p>
    <w:p w:rsidR="004629A1" w:rsidRDefault="004629A1" w:rsidP="00DF1E27">
      <w:pPr>
        <w:pStyle w:val="BodyText"/>
        <w:numPr>
          <w:ilvl w:val="0"/>
          <w:numId w:val="19"/>
        </w:numPr>
      </w:pPr>
      <w:r>
        <w:t>cognitive adaptations, particular</w:t>
      </w:r>
      <w:r w:rsidR="00EA58B0">
        <w:t>ly</w:t>
      </w:r>
      <w:r>
        <w:t xml:space="preserve"> TSFW; and</w:t>
      </w:r>
    </w:p>
    <w:p w:rsidR="004629A1" w:rsidRDefault="004629A1" w:rsidP="00DF1E27">
      <w:pPr>
        <w:pStyle w:val="BodyText"/>
        <w:numPr>
          <w:ilvl w:val="0"/>
          <w:numId w:val="19"/>
        </w:numPr>
      </w:pPr>
      <w:r>
        <w:t xml:space="preserve">integrated supported employment. </w:t>
      </w:r>
    </w:p>
    <w:p w:rsidR="004629A1" w:rsidRDefault="004629A1" w:rsidP="004629A1">
      <w:pPr>
        <w:pStyle w:val="BodyText"/>
      </w:pPr>
      <w:r>
        <w:t>In considering the cohort of young people in the IPS Trial, it is likely that tho</w:t>
      </w:r>
      <w:r w:rsidR="00322828">
        <w:t xml:space="preserve">se adaptations that teach workplace skills and interpersonal skills </w:t>
      </w:r>
      <w:r w:rsidR="00126838">
        <w:t>may</w:t>
      </w:r>
      <w:r w:rsidR="00322828">
        <w:t xml:space="preserve"> be a valuable addition to the Trial given that many young people in the Trial have limited previous work experience. </w:t>
      </w:r>
    </w:p>
    <w:p w:rsidR="0049162F" w:rsidRDefault="00126838" w:rsidP="0049162F">
      <w:pPr>
        <w:jc w:val="both"/>
        <w:rPr>
          <w:rFonts w:asciiTheme="majorHAnsi" w:eastAsiaTheme="majorEastAsia" w:hAnsiTheme="majorHAnsi" w:cstheme="majorBidi"/>
          <w:szCs w:val="20"/>
        </w:rPr>
      </w:pPr>
      <w:r>
        <w:t>One t</w:t>
      </w:r>
      <w:r w:rsidR="0049162F">
        <w:t>rial in the United States demonstrated successful results</w:t>
      </w:r>
      <w:r w:rsidR="0049162F" w:rsidRPr="0049162F">
        <w:rPr>
          <w:rFonts w:asciiTheme="majorHAnsi" w:eastAsiaTheme="majorEastAsia" w:hAnsiTheme="majorHAnsi" w:cstheme="majorBidi"/>
          <w:szCs w:val="20"/>
        </w:rPr>
        <w:t xml:space="preserve"> </w:t>
      </w:r>
      <w:r w:rsidR="0049162F">
        <w:rPr>
          <w:rFonts w:asciiTheme="majorHAnsi" w:eastAsiaTheme="majorEastAsia" w:hAnsiTheme="majorHAnsi" w:cstheme="majorBidi"/>
          <w:szCs w:val="20"/>
        </w:rPr>
        <w:t xml:space="preserve">with the addition of </w:t>
      </w:r>
      <w:proofErr w:type="gramStart"/>
      <w:r w:rsidR="0049162F">
        <w:rPr>
          <w:rFonts w:asciiTheme="majorHAnsi" w:eastAsiaTheme="majorEastAsia" w:hAnsiTheme="majorHAnsi" w:cstheme="majorBidi"/>
          <w:szCs w:val="20"/>
        </w:rPr>
        <w:t>a number of</w:t>
      </w:r>
      <w:proofErr w:type="gramEnd"/>
      <w:r w:rsidR="0049162F">
        <w:rPr>
          <w:rFonts w:asciiTheme="majorHAnsi" w:eastAsiaTheme="majorEastAsia" w:hAnsiTheme="majorHAnsi" w:cstheme="majorBidi"/>
          <w:szCs w:val="20"/>
        </w:rPr>
        <w:t xml:space="preserve"> extra supports</w:t>
      </w:r>
      <w:r w:rsidR="00EA58B0">
        <w:rPr>
          <w:rFonts w:asciiTheme="majorHAnsi" w:eastAsiaTheme="majorEastAsia" w:hAnsiTheme="majorHAnsi" w:cstheme="majorBidi"/>
          <w:szCs w:val="20"/>
        </w:rPr>
        <w:t>,</w:t>
      </w:r>
      <w:r w:rsidR="0049162F">
        <w:rPr>
          <w:rFonts w:asciiTheme="majorHAnsi" w:eastAsiaTheme="majorEastAsia" w:hAnsiTheme="majorHAnsi" w:cstheme="majorBidi"/>
          <w:szCs w:val="20"/>
        </w:rPr>
        <w:t xml:space="preserve"> including </w:t>
      </w:r>
      <w:r w:rsidR="0049162F" w:rsidRPr="4E73AD31">
        <w:rPr>
          <w:rFonts w:asciiTheme="majorHAnsi" w:eastAsiaTheme="majorEastAsia" w:hAnsiTheme="majorHAnsi" w:cstheme="majorBidi"/>
          <w:szCs w:val="20"/>
        </w:rPr>
        <w:t>a greater focus on career development, a supported education element and the inclusion of a peer mentor for each participant</w:t>
      </w:r>
      <w:r w:rsidR="0049162F">
        <w:rPr>
          <w:rFonts w:asciiTheme="majorHAnsi" w:eastAsiaTheme="majorEastAsia" w:hAnsiTheme="majorHAnsi" w:cstheme="majorBidi"/>
          <w:szCs w:val="20"/>
        </w:rPr>
        <w:t xml:space="preserve">. </w:t>
      </w:r>
      <w:r w:rsidR="0049162F" w:rsidRPr="4E73AD31">
        <w:rPr>
          <w:rFonts w:asciiTheme="majorHAnsi" w:eastAsiaTheme="majorEastAsia" w:hAnsiTheme="majorHAnsi" w:cstheme="majorBidi"/>
          <w:szCs w:val="20"/>
        </w:rPr>
        <w:t>After 12 months</w:t>
      </w:r>
      <w:r w:rsidR="00EA58B0">
        <w:rPr>
          <w:rFonts w:asciiTheme="majorHAnsi" w:eastAsiaTheme="majorEastAsia" w:hAnsiTheme="majorHAnsi" w:cstheme="majorBidi"/>
          <w:szCs w:val="20"/>
        </w:rPr>
        <w:t>,</w:t>
      </w:r>
      <w:r w:rsidR="0049162F" w:rsidRPr="4E73AD31">
        <w:rPr>
          <w:rFonts w:asciiTheme="majorHAnsi" w:eastAsiaTheme="majorEastAsia" w:hAnsiTheme="majorHAnsi" w:cstheme="majorBidi"/>
          <w:szCs w:val="20"/>
        </w:rPr>
        <w:t xml:space="preserve"> the trial found that 49 per cent of the participants had started in an education program or gained competitive employment</w:t>
      </w:r>
      <w:r w:rsidR="00B17CE6">
        <w:rPr>
          <w:rFonts w:asciiTheme="majorHAnsi" w:eastAsiaTheme="majorEastAsia" w:hAnsiTheme="majorHAnsi" w:cstheme="majorBidi"/>
          <w:szCs w:val="20"/>
        </w:rPr>
        <w:t>,</w:t>
      </w:r>
      <w:r w:rsidR="0049162F" w:rsidRPr="4E73AD31">
        <w:rPr>
          <w:rFonts w:asciiTheme="majorHAnsi" w:eastAsiaTheme="majorEastAsia" w:hAnsiTheme="majorHAnsi" w:cstheme="majorBidi"/>
          <w:szCs w:val="20"/>
        </w:rPr>
        <w:t xml:space="preserve"> and the retention rate was 80 per cent (Ellison et al. 2014).</w:t>
      </w:r>
      <w:r w:rsidR="0049162F">
        <w:rPr>
          <w:rFonts w:asciiTheme="majorHAnsi" w:eastAsiaTheme="majorEastAsia" w:hAnsiTheme="majorHAnsi" w:cstheme="majorBidi"/>
          <w:szCs w:val="20"/>
        </w:rPr>
        <w:t xml:space="preserve"> This </w:t>
      </w:r>
      <w:r>
        <w:rPr>
          <w:rFonts w:asciiTheme="majorHAnsi" w:eastAsiaTheme="majorEastAsia" w:hAnsiTheme="majorHAnsi" w:cstheme="majorBidi"/>
          <w:szCs w:val="20"/>
        </w:rPr>
        <w:t>suggests</w:t>
      </w:r>
      <w:r w:rsidR="0049162F">
        <w:rPr>
          <w:rFonts w:asciiTheme="majorHAnsi" w:eastAsiaTheme="majorEastAsia" w:hAnsiTheme="majorHAnsi" w:cstheme="majorBidi"/>
          <w:szCs w:val="20"/>
        </w:rPr>
        <w:t xml:space="preserve"> that a combination of additions that are most relevant to the target population could also be </w:t>
      </w:r>
      <w:r w:rsidR="00814990">
        <w:rPr>
          <w:rFonts w:asciiTheme="majorHAnsi" w:eastAsiaTheme="majorEastAsia" w:hAnsiTheme="majorHAnsi" w:cstheme="majorBidi"/>
          <w:szCs w:val="20"/>
        </w:rPr>
        <w:t>explored</w:t>
      </w:r>
      <w:r w:rsidR="0049162F">
        <w:rPr>
          <w:rFonts w:asciiTheme="majorHAnsi" w:eastAsiaTheme="majorEastAsia" w:hAnsiTheme="majorHAnsi" w:cstheme="majorBidi"/>
          <w:szCs w:val="20"/>
        </w:rPr>
        <w:t>.</w:t>
      </w:r>
    </w:p>
    <w:p w:rsidR="00715D73" w:rsidRDefault="00715D73" w:rsidP="004629A1">
      <w:pPr>
        <w:pStyle w:val="BodyText"/>
      </w:pPr>
      <w:r>
        <w:t xml:space="preserve">The </w:t>
      </w:r>
      <w:r w:rsidR="00E508E5">
        <w:t>continued inclusion of education within the IPS Trial should also be considered</w:t>
      </w:r>
      <w:r w:rsidR="00B76A71">
        <w:t xml:space="preserve"> </w:t>
      </w:r>
      <w:proofErr w:type="gramStart"/>
      <w:r w:rsidR="00B76A71">
        <w:t>in light of</w:t>
      </w:r>
      <w:proofErr w:type="gramEnd"/>
      <w:r w:rsidR="00B76A71">
        <w:t xml:space="preserve"> the roles of government in Australia</w:t>
      </w:r>
      <w:r w:rsidR="00E508E5">
        <w:t>. If</w:t>
      </w:r>
      <w:r w:rsidR="00DF2E65">
        <w:t xml:space="preserve"> it is to be included then the use </w:t>
      </w:r>
      <w:r w:rsidR="00A974C4">
        <w:t xml:space="preserve">of </w:t>
      </w:r>
      <w:r w:rsidR="00DF2E65">
        <w:t>the supported education model</w:t>
      </w:r>
      <w:r w:rsidR="00E409CB">
        <w:t xml:space="preserve"> </w:t>
      </w:r>
      <w:r w:rsidR="00814990">
        <w:t>may be beneficial</w:t>
      </w:r>
      <w:r w:rsidR="00DF2E65">
        <w:t>, with support provided by an education specialist rather than an employment specialist. Further</w:t>
      </w:r>
      <w:r w:rsidR="00A974C4">
        <w:t>more</w:t>
      </w:r>
      <w:r w:rsidR="00DF2E65">
        <w:t xml:space="preserve">, whether supported education through the IPS Trial is the appropriate support for young people of compulsory school age (for which state and territory governments have responsibility) </w:t>
      </w:r>
      <w:r w:rsidR="00E409CB">
        <w:t xml:space="preserve">should be reflected upon. </w:t>
      </w:r>
    </w:p>
    <w:p w:rsidR="0024040C" w:rsidRDefault="00F567B5" w:rsidP="004629A1">
      <w:pPr>
        <w:pStyle w:val="BodyText"/>
      </w:pPr>
      <w:r>
        <w:t xml:space="preserve">The use of technology to support IPS service delivery has </w:t>
      </w:r>
      <w:r w:rsidR="00CD0B6C">
        <w:t xml:space="preserve">also </w:t>
      </w:r>
      <w:r>
        <w:t>been explored. The research has shown that the use of technology could break down barriers to active participation for young p</w:t>
      </w:r>
      <w:r w:rsidR="00CD0B6C">
        <w:t xml:space="preserve">eople in IPS as well as the provision of follow-along supports post-employment (Lord et al 2014). In addition, technology can be used to support the development of career profiles and job matching </w:t>
      </w:r>
      <w:r w:rsidR="00D53A66">
        <w:t xml:space="preserve">and the provision of virtual reality interview training. </w:t>
      </w:r>
      <w:r w:rsidR="005609F9">
        <w:t xml:space="preserve">How technology can be leveraged within the IPS Trial to increase participation is worth considering. </w:t>
      </w:r>
    </w:p>
    <w:p w:rsidR="00F567B5" w:rsidRDefault="00F567B5" w:rsidP="004629A1">
      <w:pPr>
        <w:pStyle w:val="BodyText"/>
      </w:pPr>
      <w:r>
        <w:t xml:space="preserve">Limited research has been conducted to determine whether there are </w:t>
      </w:r>
      <w:proofErr w:type="gramStart"/>
      <w:r>
        <w:t>particular contextual</w:t>
      </w:r>
      <w:proofErr w:type="gramEnd"/>
      <w:r>
        <w:t xml:space="preserve"> factors that may influence the effectiveness of </w:t>
      </w:r>
      <w:r w:rsidR="0049162F">
        <w:t>outcomes</w:t>
      </w:r>
      <w:r>
        <w:t xml:space="preserve"> beyond implementation </w:t>
      </w:r>
      <w:r w:rsidR="007D4179">
        <w:t>enablers</w:t>
      </w:r>
      <w:r>
        <w:t xml:space="preserve"> (such as those in the Practice Principles and the strength of relationships between employment support</w:t>
      </w:r>
      <w:r w:rsidR="0031440F">
        <w:t>s</w:t>
      </w:r>
      <w:r>
        <w:t xml:space="preserve"> and clinical supports).</w:t>
      </w:r>
      <w:r w:rsidR="0049162F">
        <w:t xml:space="preserve"> </w:t>
      </w:r>
      <w:r w:rsidR="007D4179">
        <w:t>For example, t</w:t>
      </w:r>
      <w:r w:rsidR="0049162F">
        <w:t xml:space="preserve">here is limited evidence to suggest that the age of a participant impacts on the likelihood of achieving employment, with </w:t>
      </w:r>
      <w:r w:rsidR="00EF1479">
        <w:t xml:space="preserve">just </w:t>
      </w:r>
      <w:r w:rsidR="0049162F">
        <w:t xml:space="preserve">one study suggesting </w:t>
      </w:r>
      <w:r w:rsidR="0031440F">
        <w:t xml:space="preserve">that </w:t>
      </w:r>
      <w:r w:rsidR="0049162F">
        <w:t>young people had better job prospects than older participants (</w:t>
      </w:r>
      <w:r w:rsidR="0049162F" w:rsidRPr="0049162F">
        <w:t>Ferguson et al. 2011</w:t>
      </w:r>
      <w:r w:rsidR="0049162F">
        <w:t xml:space="preserve">). </w:t>
      </w:r>
    </w:p>
    <w:p w:rsidR="0049162F" w:rsidRDefault="0049162F" w:rsidP="004629A1">
      <w:pPr>
        <w:pStyle w:val="BodyText"/>
        <w:rPr>
          <w:rFonts w:asciiTheme="majorHAnsi" w:eastAsiaTheme="majorEastAsia" w:hAnsiTheme="majorHAnsi" w:cstheme="majorBidi"/>
        </w:rPr>
      </w:pPr>
      <w:r>
        <w:t xml:space="preserve">Young people experiencing homelessness (or at risk of) often have high rates of </w:t>
      </w:r>
      <w:r w:rsidR="00501346">
        <w:t>un</w:t>
      </w:r>
      <w:r>
        <w:t>employment and face significant barriers to education and employment</w:t>
      </w:r>
      <w:r w:rsidR="00501346">
        <w:t>.</w:t>
      </w:r>
      <w:r>
        <w:t xml:space="preserve"> </w:t>
      </w:r>
      <w:r>
        <w:rPr>
          <w:rFonts w:asciiTheme="majorHAnsi" w:eastAsiaTheme="majorEastAsia" w:hAnsiTheme="majorHAnsi" w:cstheme="majorBidi"/>
        </w:rPr>
        <w:t>The IPS model has been found to be successful for young peopl</w:t>
      </w:r>
      <w:r w:rsidR="00501346">
        <w:rPr>
          <w:rFonts w:asciiTheme="majorHAnsi" w:eastAsiaTheme="majorEastAsia" w:hAnsiTheme="majorHAnsi" w:cstheme="majorBidi"/>
        </w:rPr>
        <w:t xml:space="preserve">e experiencing homelessness </w:t>
      </w:r>
      <w:r w:rsidR="00501346">
        <w:t>(</w:t>
      </w:r>
      <w:r w:rsidR="00501346" w:rsidRPr="3A1AB910">
        <w:rPr>
          <w:rFonts w:asciiTheme="majorHAnsi" w:eastAsiaTheme="majorEastAsia" w:hAnsiTheme="majorHAnsi" w:cstheme="majorBidi"/>
        </w:rPr>
        <w:t>Ferguson et al. 2011</w:t>
      </w:r>
      <w:r w:rsidR="00501346">
        <w:rPr>
          <w:rFonts w:asciiTheme="majorHAnsi" w:eastAsiaTheme="majorEastAsia" w:hAnsiTheme="majorHAnsi" w:cstheme="majorBidi"/>
        </w:rPr>
        <w:t>).</w:t>
      </w:r>
    </w:p>
    <w:p w:rsidR="007D4179" w:rsidRDefault="007D4179" w:rsidP="004629A1">
      <w:pPr>
        <w:pStyle w:val="BodyText"/>
      </w:pPr>
      <w:r>
        <w:t xml:space="preserve">Remoteness was also found not to impact on the effectiveness of IPS, however, the research is limited to the United States which has a different population distribution to Australia. How applicable </w:t>
      </w:r>
      <w:r w:rsidR="00EB6FC6">
        <w:t xml:space="preserve">these findings are </w:t>
      </w:r>
      <w:r>
        <w:t xml:space="preserve">to Australia is </w:t>
      </w:r>
      <w:proofErr w:type="gramStart"/>
      <w:r>
        <w:t>unknown.</w:t>
      </w:r>
      <w:proofErr w:type="gramEnd"/>
      <w:r>
        <w:t xml:space="preserve"> </w:t>
      </w:r>
    </w:p>
    <w:p w:rsidR="00B17CE6" w:rsidRDefault="00B17CE6">
      <w:pPr>
        <w:spacing w:before="0" w:after="160" w:line="259" w:lineRule="auto"/>
        <w:rPr>
          <w:rFonts w:ascii="Univers 45 Light" w:eastAsiaTheme="majorEastAsia" w:hAnsi="Univers 45 Light" w:cstheme="majorBidi"/>
          <w:b/>
          <w:color w:val="00338D" w:themeColor="text2"/>
          <w:sz w:val="40"/>
          <w:szCs w:val="26"/>
        </w:rPr>
      </w:pPr>
      <w:r>
        <w:br w:type="page"/>
      </w:r>
    </w:p>
    <w:p w:rsidR="006952BA" w:rsidRDefault="006952BA" w:rsidP="005A7907">
      <w:pPr>
        <w:pStyle w:val="Heading2"/>
      </w:pPr>
      <w:bookmarkStart w:id="48" w:name="_Toc46398192"/>
      <w:r>
        <w:lastRenderedPageBreak/>
        <w:t>Conclusion</w:t>
      </w:r>
      <w:bookmarkEnd w:id="48"/>
    </w:p>
    <w:p w:rsidR="008C2221" w:rsidRDefault="00B65ED2" w:rsidP="004629A1">
      <w:pPr>
        <w:pStyle w:val="BodyText"/>
      </w:pPr>
      <w:r>
        <w:t xml:space="preserve">The literature review has identified a number of additions that could be considered to augment the IPS model within the IPS Trial, although limited research </w:t>
      </w:r>
      <w:r w:rsidR="00D56B34">
        <w:t>into these adapt</w:t>
      </w:r>
      <w:r w:rsidR="00B17CE6">
        <w:t>at</w:t>
      </w:r>
      <w:r w:rsidR="00D56B34">
        <w:t>ions</w:t>
      </w:r>
      <w:r>
        <w:t xml:space="preserve"> </w:t>
      </w:r>
      <w:r w:rsidR="00B65A92">
        <w:t>(</w:t>
      </w:r>
      <w:r w:rsidR="0031440F">
        <w:t xml:space="preserve">a </w:t>
      </w:r>
      <w:r w:rsidR="00B65A92">
        <w:t>small number of studies with small numbers of participants)</w:t>
      </w:r>
      <w:r>
        <w:t xml:space="preserve"> means that definitive recommendations on what those additions should be</w:t>
      </w:r>
      <w:r w:rsidR="00490305">
        <w:t xml:space="preserve"> cannot be provided. H</w:t>
      </w:r>
      <w:r w:rsidR="008C2221">
        <w:t>owever</w:t>
      </w:r>
      <w:r w:rsidR="00EB4443">
        <w:t>,</w:t>
      </w:r>
      <w:r w:rsidR="008C2221">
        <w:t xml:space="preserve"> </w:t>
      </w:r>
      <w:proofErr w:type="gramStart"/>
      <w:r w:rsidR="008C2221">
        <w:t>a number of</w:t>
      </w:r>
      <w:proofErr w:type="gramEnd"/>
      <w:r w:rsidR="008C2221">
        <w:t xml:space="preserve"> more successful adaptations were identified and discussed above. It is suggested that any adaptations used to complement the current IPS Trial be focused on filling the gaps most likely in the IPS Trial cohort, for example, those that address work-place skills and interpersonal relationships. </w:t>
      </w:r>
    </w:p>
    <w:p w:rsidR="0049162F" w:rsidRDefault="00D56B34" w:rsidP="004629A1">
      <w:pPr>
        <w:pStyle w:val="BodyText"/>
      </w:pPr>
      <w:r>
        <w:t xml:space="preserve">The use of a specific supported education model and education specialists </w:t>
      </w:r>
      <w:r w:rsidR="00C97CA4">
        <w:t>may</w:t>
      </w:r>
      <w:r>
        <w:t xml:space="preserve"> be </w:t>
      </w:r>
      <w:r w:rsidR="00EB4443">
        <w:t>helpful</w:t>
      </w:r>
      <w:r>
        <w:t xml:space="preserve"> in continuing the education focus of the IPS Trial</w:t>
      </w:r>
      <w:r w:rsidR="00C97CA4">
        <w:t>.</w:t>
      </w:r>
      <w:r w:rsidR="00620E16">
        <w:t xml:space="preserve"> </w:t>
      </w:r>
      <w:r w:rsidR="0031440F">
        <w:t>S</w:t>
      </w:r>
      <w:r w:rsidR="00620E16">
        <w:t xml:space="preserve">ome early success </w:t>
      </w:r>
      <w:r w:rsidR="0031440F">
        <w:t xml:space="preserve">has been shown </w:t>
      </w:r>
      <w:r w:rsidR="00620E16">
        <w:t>in supporting young people to access education, particularly when used in combination with other supports</w:t>
      </w:r>
      <w:r>
        <w:t xml:space="preserve">. </w:t>
      </w:r>
    </w:p>
    <w:p w:rsidR="00DE66D5" w:rsidRDefault="00DE66D5" w:rsidP="004629A1">
      <w:pPr>
        <w:pStyle w:val="BodyText"/>
      </w:pPr>
      <w:r>
        <w:t xml:space="preserve">The literature review was not able to identify </w:t>
      </w:r>
      <w:proofErr w:type="gramStart"/>
      <w:r>
        <w:t xml:space="preserve">particular </w:t>
      </w:r>
      <w:r w:rsidRPr="00DE66D5">
        <w:t>considerations</w:t>
      </w:r>
      <w:proofErr w:type="gramEnd"/>
      <w:r w:rsidRPr="00DE66D5">
        <w:t xml:space="preserve"> in the transferability and scalability of the IPS model</w:t>
      </w:r>
      <w:r w:rsidR="00B17CE6">
        <w:t>,</w:t>
      </w:r>
      <w:r>
        <w:t xml:space="preserve"> with limited evidence available on the</w:t>
      </w:r>
      <w:r w:rsidRPr="00DE66D5">
        <w:t xml:space="preserve"> differences in outcomes for different cohort groups or those in different locations</w:t>
      </w:r>
      <w:r>
        <w:t xml:space="preserve">. </w:t>
      </w:r>
      <w:r w:rsidR="00B119E5">
        <w:t xml:space="preserve">However, for some cohort groups, </w:t>
      </w:r>
      <w:proofErr w:type="gramStart"/>
      <w:r w:rsidR="00B119E5">
        <w:t>particular adaptations</w:t>
      </w:r>
      <w:proofErr w:type="gramEnd"/>
      <w:r w:rsidR="00B119E5">
        <w:t xml:space="preserve"> were found be effective</w:t>
      </w:r>
      <w:r w:rsidR="00B17CE6">
        <w:t xml:space="preserve"> in</w:t>
      </w:r>
      <w:r w:rsidR="00B119E5">
        <w:t xml:space="preserve"> improving outcomes of participants.</w:t>
      </w:r>
    </w:p>
    <w:p w:rsidR="0049162F" w:rsidRDefault="0049162F" w:rsidP="004629A1">
      <w:pPr>
        <w:pStyle w:val="BodyText"/>
      </w:pPr>
    </w:p>
    <w:p w:rsidR="00D53A66" w:rsidRDefault="00D53A66" w:rsidP="004629A1">
      <w:pPr>
        <w:pStyle w:val="BodyText"/>
      </w:pPr>
    </w:p>
    <w:p w:rsidR="00D53A66" w:rsidRPr="003C2DD9" w:rsidRDefault="00D53A66" w:rsidP="004629A1">
      <w:pPr>
        <w:pStyle w:val="BodyText"/>
        <w:sectPr w:rsidR="00D53A66" w:rsidRPr="003C2DD9" w:rsidSect="00E56919">
          <w:type w:val="continuous"/>
          <w:pgSz w:w="11906" w:h="16838"/>
          <w:pgMar w:top="1134" w:right="1418" w:bottom="1418" w:left="1418" w:header="709" w:footer="454" w:gutter="0"/>
          <w:cols w:space="708"/>
          <w:docGrid w:linePitch="360"/>
        </w:sectPr>
      </w:pPr>
    </w:p>
    <w:p w:rsidR="00723D3C" w:rsidRDefault="000118BE" w:rsidP="00AD4B92">
      <w:pPr>
        <w:pStyle w:val="Appendixheading"/>
      </w:pPr>
      <w:bookmarkStart w:id="49" w:name="_Toc41553042"/>
      <w:bookmarkStart w:id="50" w:name="_Toc46398193"/>
      <w:r>
        <w:lastRenderedPageBreak/>
        <w:t>: Reference list</w:t>
      </w:r>
      <w:bookmarkEnd w:id="49"/>
      <w:bookmarkEnd w:id="50"/>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Australian Psychological Society. n.d., </w:t>
      </w:r>
      <w:r w:rsidRPr="00B344F4">
        <w:rPr>
          <w:rFonts w:asciiTheme="majorHAnsi" w:hAnsiTheme="majorHAnsi" w:cs="Calibri"/>
          <w:i/>
          <w:iCs/>
          <w:sz w:val="20"/>
          <w:szCs w:val="20"/>
        </w:rPr>
        <w:t>Psychologists in schools</w:t>
      </w:r>
      <w:r w:rsidRPr="00B344F4">
        <w:rPr>
          <w:rFonts w:asciiTheme="majorHAnsi" w:hAnsiTheme="majorHAnsi" w:cs="Calibri"/>
          <w:sz w:val="20"/>
          <w:szCs w:val="20"/>
        </w:rPr>
        <w:t xml:space="preserve">, </w:t>
      </w:r>
      <w:hyperlink r:id="rId27" w:history="1">
        <w:r w:rsidRPr="00B344F4">
          <w:rPr>
            <w:rStyle w:val="Hyperlink"/>
            <w:rFonts w:asciiTheme="majorHAnsi" w:hAnsiTheme="majorHAnsi" w:cs="Calibri"/>
            <w:sz w:val="20"/>
            <w:szCs w:val="20"/>
          </w:rPr>
          <w:t>https://www.psychology.org.au/for-the-public/about-psychology/What-does-a-psychologist-do/Psychologists-in-schools</w:t>
        </w:r>
      </w:hyperlink>
      <w:r w:rsidR="0031440F">
        <w:rPr>
          <w:rFonts w:asciiTheme="majorHAnsi" w:hAnsiTheme="majorHAnsi" w:cs="Calibri"/>
          <w:sz w:val="20"/>
          <w:szCs w:val="20"/>
        </w:rPr>
        <w:t xml:space="preserve"> (accessed 21 </w:t>
      </w:r>
      <w:r w:rsidRPr="00B344F4">
        <w:rPr>
          <w:rFonts w:asciiTheme="majorHAnsi" w:hAnsiTheme="majorHAnsi" w:cs="Calibri"/>
          <w:sz w:val="20"/>
          <w:szCs w:val="20"/>
        </w:rPr>
        <w:t>May 2020).</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Australian Psychologists and Counsellors in Schools (APACS). n.d.,</w:t>
      </w:r>
      <w:r w:rsidRPr="00B344F4">
        <w:rPr>
          <w:rFonts w:asciiTheme="majorHAnsi" w:hAnsiTheme="majorHAnsi" w:cs="Calibri"/>
          <w:i/>
          <w:iCs/>
          <w:sz w:val="20"/>
          <w:szCs w:val="20"/>
        </w:rPr>
        <w:t xml:space="preserve"> Submission 419 - Australian Psychologists and Counsellors in Schools (APACS) - Mental Health - Public inquiry</w:t>
      </w:r>
      <w:r w:rsidRPr="00B344F4">
        <w:rPr>
          <w:rFonts w:asciiTheme="majorHAnsi" w:hAnsiTheme="majorHAnsi" w:cs="Calibri"/>
          <w:sz w:val="20"/>
          <w:szCs w:val="20"/>
        </w:rPr>
        <w:t xml:space="preserve">, </w:t>
      </w:r>
      <w:hyperlink r:id="rId28" w:history="1">
        <w:r w:rsidRPr="00B344F4">
          <w:rPr>
            <w:rStyle w:val="Hyperlink"/>
            <w:rFonts w:asciiTheme="majorHAnsi" w:hAnsiTheme="majorHAnsi" w:cs="Calibri"/>
            <w:sz w:val="20"/>
            <w:szCs w:val="20"/>
          </w:rPr>
          <w:t>https://www.pc.gov.au/__data/assets/pdf_file/0015/241080/sub419-mental-health.pdf</w:t>
        </w:r>
      </w:hyperlink>
      <w:r w:rsidR="00B17CE6">
        <w:rPr>
          <w:rFonts w:asciiTheme="majorHAnsi" w:hAnsiTheme="majorHAnsi" w:cs="Calibri"/>
          <w:sz w:val="20"/>
          <w:szCs w:val="20"/>
        </w:rPr>
        <w:t xml:space="preserve"> (accessed 21 </w:t>
      </w:r>
      <w:r w:rsidRPr="00B344F4">
        <w:rPr>
          <w:rFonts w:asciiTheme="majorHAnsi" w:hAnsiTheme="majorHAnsi" w:cs="Calibri"/>
          <w:sz w:val="20"/>
          <w:szCs w:val="20"/>
        </w:rPr>
        <w:t>May 2020).</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Becker, D.R., Drake, R.</w:t>
      </w:r>
      <w:r w:rsidRPr="00B344F4">
        <w:rPr>
          <w:rFonts w:asciiTheme="majorHAnsi" w:hAnsiTheme="majorHAnsi" w:cs="Calibri"/>
          <w:sz w:val="20"/>
          <w:szCs w:val="20"/>
        </w:rPr>
        <w:t>E.,</w:t>
      </w:r>
      <w:r>
        <w:rPr>
          <w:rFonts w:asciiTheme="majorHAnsi" w:hAnsiTheme="majorHAnsi" w:cs="Calibri"/>
          <w:sz w:val="20"/>
          <w:szCs w:val="20"/>
        </w:rPr>
        <w:t xml:space="preserve"> </w:t>
      </w:r>
      <w:proofErr w:type="spellStart"/>
      <w:r>
        <w:rPr>
          <w:rFonts w:asciiTheme="majorHAnsi" w:hAnsiTheme="majorHAnsi" w:cs="Calibri"/>
          <w:sz w:val="20"/>
          <w:szCs w:val="20"/>
        </w:rPr>
        <w:t>Farabaugh</w:t>
      </w:r>
      <w:proofErr w:type="spellEnd"/>
      <w:r>
        <w:rPr>
          <w:rFonts w:asciiTheme="majorHAnsi" w:hAnsiTheme="majorHAnsi" w:cs="Calibri"/>
          <w:sz w:val="20"/>
          <w:szCs w:val="20"/>
        </w:rPr>
        <w:t>, A., &amp; Bond, G. 1996,</w:t>
      </w:r>
      <w:r w:rsidRPr="00B344F4">
        <w:rPr>
          <w:rFonts w:asciiTheme="majorHAnsi" w:hAnsiTheme="majorHAnsi" w:cs="Calibri"/>
          <w:sz w:val="20"/>
          <w:szCs w:val="20"/>
        </w:rPr>
        <w:t xml:space="preserve"> 'Job preferences of clients with severe psychiatric disorders participating in supported employment programs', </w:t>
      </w:r>
      <w:r w:rsidRPr="00B344F4">
        <w:rPr>
          <w:rFonts w:asciiTheme="majorHAnsi" w:hAnsiTheme="majorHAnsi" w:cs="Calibri"/>
          <w:i/>
          <w:iCs/>
          <w:sz w:val="20"/>
          <w:szCs w:val="20"/>
        </w:rPr>
        <w:t>Psychiatric Services</w:t>
      </w:r>
      <w:r w:rsidR="00B17CE6">
        <w:rPr>
          <w:rFonts w:asciiTheme="majorHAnsi" w:hAnsiTheme="majorHAnsi" w:cs="Calibri"/>
          <w:sz w:val="20"/>
          <w:szCs w:val="20"/>
        </w:rPr>
        <w:t>, vol.</w:t>
      </w:r>
      <w:r w:rsidR="0031440F" w:rsidRPr="0031440F">
        <w:rPr>
          <w:rFonts w:asciiTheme="majorHAnsi" w:hAnsiTheme="majorHAnsi" w:cs="Calibri"/>
          <w:sz w:val="20"/>
          <w:szCs w:val="20"/>
        </w:rPr>
        <w:t xml:space="preserve"> </w:t>
      </w:r>
      <w:r w:rsidR="0031440F">
        <w:rPr>
          <w:rFonts w:asciiTheme="majorHAnsi" w:hAnsiTheme="majorHAnsi" w:cs="Calibri"/>
          <w:sz w:val="20"/>
          <w:szCs w:val="20"/>
        </w:rPr>
        <w:t> </w:t>
      </w:r>
      <w:r w:rsidR="00B17CE6">
        <w:rPr>
          <w:rFonts w:asciiTheme="majorHAnsi" w:hAnsiTheme="majorHAnsi" w:cs="Calibri"/>
          <w:sz w:val="20"/>
          <w:szCs w:val="20"/>
        </w:rPr>
        <w:t>47, pp. </w:t>
      </w:r>
      <w:r w:rsidRPr="00B344F4">
        <w:rPr>
          <w:rFonts w:asciiTheme="majorHAnsi" w:hAnsiTheme="majorHAnsi" w:cs="Calibri"/>
          <w:sz w:val="20"/>
          <w:szCs w:val="20"/>
        </w:rPr>
        <w:t>1223–1226.</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Becker, D.R., Swanson, S.J., Drake, R.E. &amp; Bond G.</w:t>
      </w:r>
      <w:r w:rsidRPr="00B344F4">
        <w:rPr>
          <w:rFonts w:asciiTheme="majorHAnsi" w:hAnsiTheme="majorHAnsi" w:cs="Calibri"/>
          <w:sz w:val="20"/>
          <w:szCs w:val="20"/>
        </w:rPr>
        <w:t xml:space="preserve">R. n.d., 'Issue Brief: </w:t>
      </w:r>
      <w:r w:rsidRPr="00B344F4">
        <w:rPr>
          <w:rFonts w:asciiTheme="majorHAnsi" w:hAnsiTheme="majorHAnsi" w:cs="Calibri"/>
          <w:i/>
          <w:iCs/>
          <w:sz w:val="20"/>
          <w:szCs w:val="20"/>
        </w:rPr>
        <w:t>Supported Education for Persons Experiencing a First Episode of Psychosis</w:t>
      </w:r>
      <w:r w:rsidRPr="00B344F4">
        <w:rPr>
          <w:rFonts w:asciiTheme="majorHAnsi" w:hAnsiTheme="majorHAnsi" w:cs="Calibri"/>
          <w:sz w:val="20"/>
          <w:szCs w:val="20"/>
        </w:rPr>
        <w:t xml:space="preserve">', Dartmouth Psychiatric Research </w:t>
      </w:r>
      <w:proofErr w:type="spellStart"/>
      <w:r w:rsidRPr="00B344F4">
        <w:rPr>
          <w:rFonts w:asciiTheme="majorHAnsi" w:hAnsiTheme="majorHAnsi" w:cs="Calibri"/>
          <w:sz w:val="20"/>
          <w:szCs w:val="20"/>
        </w:rPr>
        <w:t>Center</w:t>
      </w:r>
      <w:proofErr w:type="spellEnd"/>
      <w:r w:rsidRPr="00B344F4">
        <w:rPr>
          <w:rFonts w:asciiTheme="majorHAnsi" w:hAnsiTheme="majorHAnsi" w:cs="Calibri"/>
          <w:sz w:val="20"/>
          <w:szCs w:val="20"/>
        </w:rPr>
        <w:t>.</w:t>
      </w:r>
    </w:p>
    <w:p w:rsidR="00B344F4" w:rsidRPr="00B344F4" w:rsidRDefault="00B344F4" w:rsidP="00B344F4">
      <w:pPr>
        <w:spacing w:beforeLines="60" w:before="144" w:afterLines="60" w:after="144"/>
        <w:jc w:val="both"/>
        <w:rPr>
          <w:rFonts w:asciiTheme="majorHAnsi" w:eastAsiaTheme="majorEastAsia" w:hAnsiTheme="majorHAnsi" w:cstheme="majorBidi"/>
        </w:rPr>
      </w:pPr>
      <w:proofErr w:type="spellStart"/>
      <w:r w:rsidRPr="00B344F4">
        <w:rPr>
          <w:rFonts w:asciiTheme="majorHAnsi" w:eastAsiaTheme="majorEastAsia" w:hAnsiTheme="majorHAnsi" w:cstheme="majorBidi"/>
        </w:rPr>
        <w:t>Bejerholm</w:t>
      </w:r>
      <w:proofErr w:type="spellEnd"/>
      <w:r w:rsidRPr="00B344F4">
        <w:rPr>
          <w:rFonts w:asciiTheme="majorHAnsi" w:eastAsiaTheme="majorEastAsia" w:hAnsiTheme="majorHAnsi" w:cstheme="majorBidi"/>
        </w:rPr>
        <w:t xml:space="preserve">, U. </w:t>
      </w:r>
      <w:proofErr w:type="spellStart"/>
      <w:r w:rsidRPr="00B344F4">
        <w:rPr>
          <w:rFonts w:asciiTheme="majorHAnsi" w:eastAsiaTheme="majorEastAsia" w:hAnsiTheme="majorHAnsi" w:cstheme="majorBidi"/>
        </w:rPr>
        <w:t>Hofgren</w:t>
      </w:r>
      <w:proofErr w:type="spellEnd"/>
      <w:r w:rsidRPr="00B344F4">
        <w:rPr>
          <w:rFonts w:asciiTheme="majorHAnsi" w:eastAsiaTheme="majorEastAsia" w:hAnsiTheme="majorHAnsi" w:cstheme="majorBidi"/>
        </w:rPr>
        <w:t xml:space="preserve">, C. &amp; Larsson, L. 2011, ‘Individual placement and support illustrated in the Swedish welfare system: A case study’ </w:t>
      </w:r>
      <w:r w:rsidRPr="00B344F4">
        <w:rPr>
          <w:rFonts w:asciiTheme="majorHAnsi" w:eastAsiaTheme="majorEastAsia" w:hAnsiTheme="majorHAnsi" w:cstheme="majorBidi"/>
          <w:i/>
          <w:iCs/>
        </w:rPr>
        <w:t>Journal</w:t>
      </w:r>
      <w:r w:rsidRPr="00B344F4">
        <w:rPr>
          <w:rFonts w:asciiTheme="majorHAnsi" w:eastAsiaTheme="majorEastAsia" w:hAnsiTheme="majorHAnsi" w:cstheme="majorBidi"/>
          <w:i/>
        </w:rPr>
        <w:t xml:space="preserve"> of Vocational Rehabilitatio</w:t>
      </w:r>
      <w:r w:rsidRPr="00B344F4">
        <w:rPr>
          <w:rFonts w:asciiTheme="majorHAnsi" w:eastAsiaTheme="majorEastAsia" w:hAnsiTheme="majorHAnsi" w:cstheme="majorBidi"/>
        </w:rPr>
        <w:t xml:space="preserve">n, </w:t>
      </w:r>
      <w:r>
        <w:rPr>
          <w:rFonts w:asciiTheme="majorHAnsi" w:eastAsiaTheme="majorEastAsia" w:hAnsiTheme="majorHAnsi" w:cstheme="majorBidi"/>
        </w:rPr>
        <w:t>v</w:t>
      </w:r>
      <w:r w:rsidRPr="00B344F4">
        <w:rPr>
          <w:rFonts w:asciiTheme="majorHAnsi" w:eastAsiaTheme="majorEastAsia" w:hAnsiTheme="majorHAnsi" w:cstheme="majorBidi"/>
        </w:rPr>
        <w:t>ol. 35, no.1, pp</w:t>
      </w:r>
      <w:r>
        <w:rPr>
          <w:rFonts w:asciiTheme="majorHAnsi" w:eastAsiaTheme="majorEastAsia" w:hAnsiTheme="majorHAnsi" w:cstheme="majorBidi"/>
        </w:rPr>
        <w:t>.</w:t>
      </w:r>
      <w:r w:rsidRPr="00B344F4">
        <w:rPr>
          <w:rFonts w:asciiTheme="majorHAnsi" w:eastAsiaTheme="majorEastAsia" w:hAnsiTheme="majorHAnsi" w:cstheme="majorBidi"/>
        </w:rPr>
        <w:t xml:space="preserve"> 59-72.</w:t>
      </w:r>
    </w:p>
    <w:p w:rsidR="00B344F4" w:rsidRPr="00B344F4" w:rsidRDefault="00B344F4" w:rsidP="00B344F4">
      <w:pPr>
        <w:pStyle w:val="BodyText"/>
        <w:spacing w:beforeLines="60" w:before="144" w:afterLines="60" w:after="144"/>
        <w:rPr>
          <w:rFonts w:asciiTheme="majorHAnsi" w:hAnsiTheme="majorHAnsi"/>
          <w:szCs w:val="20"/>
        </w:rPr>
      </w:pPr>
      <w:r w:rsidRPr="00B344F4">
        <w:rPr>
          <w:rFonts w:asciiTheme="majorHAnsi" w:hAnsiTheme="majorHAnsi"/>
          <w:szCs w:val="20"/>
        </w:rPr>
        <w:t xml:space="preserve">Bond, G.R. Drake R.E. &amp; Campbell, K, 2016, ‘Effectiveness of individual placement and support supported employment for young adults’, </w:t>
      </w:r>
      <w:r w:rsidRPr="00B344F4">
        <w:rPr>
          <w:rFonts w:asciiTheme="majorHAnsi" w:hAnsiTheme="majorHAnsi"/>
          <w:i/>
          <w:iCs/>
          <w:szCs w:val="20"/>
        </w:rPr>
        <w:t xml:space="preserve">Early Intervention in Psychiatry, </w:t>
      </w:r>
      <w:r>
        <w:rPr>
          <w:rFonts w:asciiTheme="majorHAnsi" w:hAnsiTheme="majorHAnsi"/>
          <w:szCs w:val="20"/>
        </w:rPr>
        <w:t>v</w:t>
      </w:r>
      <w:r w:rsidRPr="00B344F4">
        <w:rPr>
          <w:rFonts w:asciiTheme="majorHAnsi" w:hAnsiTheme="majorHAnsi"/>
          <w:szCs w:val="20"/>
        </w:rPr>
        <w:t>ol. 10, pp</w:t>
      </w:r>
      <w:r>
        <w:rPr>
          <w:rFonts w:asciiTheme="majorHAnsi" w:hAnsiTheme="majorHAnsi"/>
          <w:szCs w:val="20"/>
        </w:rPr>
        <w:t>.</w:t>
      </w:r>
      <w:r w:rsidRPr="00B344F4">
        <w:rPr>
          <w:rFonts w:asciiTheme="majorHAnsi" w:hAnsiTheme="majorHAnsi"/>
          <w:szCs w:val="20"/>
        </w:rPr>
        <w:t xml:space="preserve"> 300-307.</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Bond, G.</w:t>
      </w:r>
      <w:r w:rsidRPr="00B344F4">
        <w:rPr>
          <w:rFonts w:asciiTheme="majorHAnsi" w:hAnsiTheme="majorHAnsi" w:cs="Calibri"/>
          <w:sz w:val="20"/>
          <w:szCs w:val="20"/>
        </w:rPr>
        <w:t xml:space="preserve">R., Drake, R.E. &amp; Luciano, A. 2014, 'Employment and educational outcomes in early intervention programmes for early psychosis: a systematic review', </w:t>
      </w:r>
      <w:r w:rsidRPr="00B344F4">
        <w:rPr>
          <w:rFonts w:asciiTheme="majorHAnsi" w:hAnsiTheme="majorHAnsi" w:cs="Calibri"/>
          <w:i/>
          <w:iCs/>
          <w:sz w:val="20"/>
          <w:szCs w:val="20"/>
        </w:rPr>
        <w:t>The British Journal of Psychiatry</w:t>
      </w:r>
      <w:r w:rsidRPr="00B344F4">
        <w:rPr>
          <w:rFonts w:asciiTheme="majorHAnsi" w:hAnsiTheme="majorHAnsi" w:cs="Calibri"/>
          <w:sz w:val="20"/>
          <w:szCs w:val="20"/>
        </w:rPr>
        <w:t>, vol. 205, no. 5, pp. 145-150.</w:t>
      </w:r>
    </w:p>
    <w:p w:rsidR="00072144" w:rsidRDefault="00072144" w:rsidP="00072144">
      <w:pPr>
        <w:pStyle w:val="BodyText"/>
      </w:pPr>
      <w:r>
        <w:t xml:space="preserve">Bond, G.R., Drake R.E. &amp; Pogue, J.A., 2019, ‘Expanding Individual Placement and Support to Populations </w:t>
      </w:r>
      <w:proofErr w:type="gramStart"/>
      <w:r>
        <w:t>With</w:t>
      </w:r>
      <w:proofErr w:type="gramEnd"/>
      <w:r>
        <w:t xml:space="preserve"> Conditions and Disorders Other Than Serious Mental Illness’, </w:t>
      </w:r>
      <w:r w:rsidRPr="0024040C">
        <w:rPr>
          <w:i/>
        </w:rPr>
        <w:t>Psychiatric Services</w:t>
      </w:r>
      <w:r>
        <w:t xml:space="preserve">, vol. 70, no. </w:t>
      </w:r>
      <w:r w:rsidRPr="0024040C">
        <w:t xml:space="preserve">6, </w:t>
      </w:r>
      <w:r>
        <w:t>pp. 488-98.</w:t>
      </w:r>
    </w:p>
    <w:p w:rsidR="00C46B2B" w:rsidRPr="00072144" w:rsidRDefault="00C46B2B" w:rsidP="00072144">
      <w:pPr>
        <w:pStyle w:val="BodyText"/>
      </w:pPr>
      <w:r w:rsidRPr="00B344F4">
        <w:rPr>
          <w:rFonts w:asciiTheme="majorHAnsi" w:hAnsiTheme="majorHAnsi" w:cs="Calibri"/>
          <w:szCs w:val="20"/>
        </w:rPr>
        <w:t xml:space="preserve">Boycott, N., Schneider, J., &amp; </w:t>
      </w:r>
      <w:proofErr w:type="spellStart"/>
      <w:r w:rsidRPr="00B344F4">
        <w:rPr>
          <w:rFonts w:asciiTheme="majorHAnsi" w:hAnsiTheme="majorHAnsi" w:cs="Calibri"/>
          <w:szCs w:val="20"/>
        </w:rPr>
        <w:t>McMurran</w:t>
      </w:r>
      <w:proofErr w:type="spellEnd"/>
      <w:r w:rsidRPr="00B344F4">
        <w:rPr>
          <w:rFonts w:asciiTheme="majorHAnsi" w:hAnsiTheme="majorHAnsi" w:cs="Calibri"/>
          <w:szCs w:val="20"/>
        </w:rPr>
        <w:t>, M.</w:t>
      </w:r>
      <w:r>
        <w:rPr>
          <w:rFonts w:asciiTheme="majorHAnsi" w:hAnsiTheme="majorHAnsi" w:cs="Calibri"/>
          <w:szCs w:val="20"/>
        </w:rPr>
        <w:t xml:space="preserve"> 2012, ‘</w:t>
      </w:r>
      <w:r w:rsidRPr="00C46B2B">
        <w:rPr>
          <w:rFonts w:asciiTheme="majorHAnsi" w:hAnsiTheme="majorHAnsi" w:cs="Calibri"/>
          <w:szCs w:val="20"/>
        </w:rPr>
        <w:t xml:space="preserve">Additional Interventions to Enhance the Effectiveness of Individual </w:t>
      </w:r>
      <w:r>
        <w:rPr>
          <w:rFonts w:asciiTheme="majorHAnsi" w:hAnsiTheme="majorHAnsi" w:cs="Calibri"/>
          <w:szCs w:val="20"/>
        </w:rPr>
        <w:t>P</w:t>
      </w:r>
      <w:r w:rsidRPr="00C46B2B">
        <w:rPr>
          <w:rFonts w:asciiTheme="majorHAnsi" w:hAnsiTheme="majorHAnsi" w:cs="Calibri"/>
          <w:szCs w:val="20"/>
        </w:rPr>
        <w:t>lacemen</w:t>
      </w:r>
      <w:r>
        <w:rPr>
          <w:rFonts w:asciiTheme="majorHAnsi" w:hAnsiTheme="majorHAnsi" w:cs="Calibri"/>
          <w:szCs w:val="20"/>
        </w:rPr>
        <w:t xml:space="preserve">t and Support: A Rapid Evidence Assessment’, </w:t>
      </w:r>
      <w:r>
        <w:rPr>
          <w:rFonts w:asciiTheme="majorHAnsi" w:hAnsiTheme="majorHAnsi" w:cs="Calibri"/>
          <w:i/>
          <w:szCs w:val="20"/>
        </w:rPr>
        <w:t>Rehabilitation Research and Practice</w:t>
      </w:r>
      <w:r>
        <w:rPr>
          <w:rFonts w:asciiTheme="majorHAnsi" w:hAnsiTheme="majorHAnsi" w:cs="Calibri"/>
          <w:szCs w:val="20"/>
        </w:rPr>
        <w:t>, vol. 2012, pp. 1-8.</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Boycott, N., Schneider, J., &amp; </w:t>
      </w:r>
      <w:proofErr w:type="spellStart"/>
      <w:r w:rsidRPr="00B344F4">
        <w:rPr>
          <w:rFonts w:asciiTheme="majorHAnsi" w:hAnsiTheme="majorHAnsi" w:cs="Calibri"/>
          <w:sz w:val="20"/>
          <w:szCs w:val="20"/>
        </w:rPr>
        <w:t>McMurran</w:t>
      </w:r>
      <w:proofErr w:type="spellEnd"/>
      <w:r w:rsidRPr="00B344F4">
        <w:rPr>
          <w:rFonts w:asciiTheme="majorHAnsi" w:hAnsiTheme="majorHAnsi" w:cs="Calibri"/>
          <w:sz w:val="20"/>
          <w:szCs w:val="20"/>
        </w:rPr>
        <w:t xml:space="preserve">, M. 2016, 'Evaluation of a cognitive-behavioural intervention augmenting individual placement and support', </w:t>
      </w:r>
      <w:r w:rsidRPr="00B344F4">
        <w:rPr>
          <w:rFonts w:asciiTheme="majorHAnsi" w:hAnsiTheme="majorHAnsi" w:cs="Calibri"/>
          <w:i/>
          <w:iCs/>
          <w:sz w:val="20"/>
          <w:szCs w:val="20"/>
        </w:rPr>
        <w:t>Mental Health and Social Inclusion</w:t>
      </w:r>
      <w:r w:rsidR="00B17CE6">
        <w:rPr>
          <w:rFonts w:asciiTheme="majorHAnsi" w:hAnsiTheme="majorHAnsi" w:cs="Calibri"/>
          <w:sz w:val="20"/>
          <w:szCs w:val="20"/>
        </w:rPr>
        <w:t>, vol. 20, no. 2, pp. </w:t>
      </w:r>
      <w:r w:rsidRPr="00B344F4">
        <w:rPr>
          <w:rFonts w:asciiTheme="majorHAnsi" w:hAnsiTheme="majorHAnsi" w:cs="Calibri"/>
          <w:sz w:val="20"/>
          <w:szCs w:val="20"/>
        </w:rPr>
        <w:t>119-125.</w:t>
      </w:r>
    </w:p>
    <w:p w:rsidR="00B344F4" w:rsidRPr="00B344F4" w:rsidRDefault="00B344F4" w:rsidP="00B344F4">
      <w:pPr>
        <w:spacing w:beforeLines="60" w:before="144" w:afterLines="60" w:after="144"/>
        <w:jc w:val="both"/>
        <w:rPr>
          <w:rFonts w:asciiTheme="majorHAnsi" w:eastAsiaTheme="majorEastAsia" w:hAnsiTheme="majorHAnsi" w:cstheme="majorBidi"/>
        </w:rPr>
      </w:pPr>
      <w:r w:rsidRPr="00B344F4">
        <w:rPr>
          <w:rFonts w:asciiTheme="majorHAnsi" w:eastAsiaTheme="majorEastAsia" w:hAnsiTheme="majorHAnsi" w:cstheme="majorBidi"/>
        </w:rPr>
        <w:t xml:space="preserve">Burns, T. Catty, J. Becker, T. Drake, R. </w:t>
      </w:r>
      <w:proofErr w:type="spellStart"/>
      <w:r w:rsidRPr="00B344F4">
        <w:rPr>
          <w:rFonts w:asciiTheme="majorHAnsi" w:eastAsiaTheme="majorEastAsia" w:hAnsiTheme="majorHAnsi" w:cstheme="majorBidi"/>
        </w:rPr>
        <w:t>Fioritti</w:t>
      </w:r>
      <w:proofErr w:type="spellEnd"/>
      <w:r w:rsidRPr="00B344F4">
        <w:rPr>
          <w:rFonts w:asciiTheme="majorHAnsi" w:eastAsiaTheme="majorEastAsia" w:hAnsiTheme="majorHAnsi" w:cstheme="majorBidi"/>
        </w:rPr>
        <w:t xml:space="preserve">, A. Knapp, M. Lauber, C. </w:t>
      </w:r>
      <w:proofErr w:type="spellStart"/>
      <w:r w:rsidRPr="00B344F4">
        <w:rPr>
          <w:rFonts w:asciiTheme="majorHAnsi" w:eastAsiaTheme="majorEastAsia" w:hAnsiTheme="majorHAnsi" w:cstheme="majorBidi"/>
        </w:rPr>
        <w:t>Rossler</w:t>
      </w:r>
      <w:proofErr w:type="spellEnd"/>
      <w:r w:rsidRPr="00B344F4">
        <w:rPr>
          <w:rFonts w:asciiTheme="majorHAnsi" w:eastAsiaTheme="majorEastAsia" w:hAnsiTheme="majorHAnsi" w:cstheme="majorBidi"/>
        </w:rPr>
        <w:t xml:space="preserve">, W. </w:t>
      </w:r>
      <w:proofErr w:type="spellStart"/>
      <w:r w:rsidRPr="00B344F4">
        <w:rPr>
          <w:rFonts w:asciiTheme="majorHAnsi" w:eastAsiaTheme="majorEastAsia" w:hAnsiTheme="majorHAnsi" w:cstheme="majorBidi"/>
        </w:rPr>
        <w:t>Tomov</w:t>
      </w:r>
      <w:proofErr w:type="spellEnd"/>
      <w:r w:rsidRPr="00B344F4">
        <w:rPr>
          <w:rFonts w:asciiTheme="majorHAnsi" w:eastAsiaTheme="majorEastAsia" w:hAnsiTheme="majorHAnsi" w:cstheme="majorBidi"/>
        </w:rPr>
        <w:t xml:space="preserve">, T. van </w:t>
      </w:r>
      <w:proofErr w:type="spellStart"/>
      <w:r w:rsidRPr="00B344F4">
        <w:rPr>
          <w:rFonts w:asciiTheme="majorHAnsi" w:eastAsiaTheme="majorEastAsia" w:hAnsiTheme="majorHAnsi" w:cstheme="majorBidi"/>
        </w:rPr>
        <w:t>Busschbach</w:t>
      </w:r>
      <w:proofErr w:type="spellEnd"/>
      <w:r w:rsidRPr="00B344F4">
        <w:rPr>
          <w:rFonts w:asciiTheme="majorHAnsi" w:eastAsiaTheme="majorEastAsia" w:hAnsiTheme="majorHAnsi" w:cstheme="majorBidi"/>
        </w:rPr>
        <w:t xml:space="preserve">, J, White, S. &amp; Wiersma, D. 2007, ‘The effectiveness of supported employment for people with severe mental illness: a randomised controlled trial’ </w:t>
      </w:r>
      <w:r w:rsidRPr="00B344F4">
        <w:rPr>
          <w:rFonts w:asciiTheme="majorHAnsi" w:eastAsiaTheme="majorEastAsia" w:hAnsiTheme="majorHAnsi" w:cstheme="majorBidi"/>
          <w:i/>
        </w:rPr>
        <w:t>The Lancet</w:t>
      </w:r>
      <w:r w:rsidRPr="00B344F4">
        <w:rPr>
          <w:rFonts w:asciiTheme="majorHAnsi" w:eastAsiaTheme="majorEastAsia" w:hAnsiTheme="majorHAnsi" w:cstheme="majorBidi"/>
        </w:rPr>
        <w:t xml:space="preserve">, </w:t>
      </w:r>
      <w:r>
        <w:rPr>
          <w:rFonts w:asciiTheme="majorHAnsi" w:eastAsiaTheme="majorEastAsia" w:hAnsiTheme="majorHAnsi" w:cstheme="majorBidi"/>
        </w:rPr>
        <w:t>v</w:t>
      </w:r>
      <w:r w:rsidR="0031440F">
        <w:rPr>
          <w:rFonts w:asciiTheme="majorHAnsi" w:eastAsiaTheme="majorEastAsia" w:hAnsiTheme="majorHAnsi" w:cstheme="majorBidi"/>
        </w:rPr>
        <w:t xml:space="preserve">ol. 370, no. 9593, </w:t>
      </w:r>
      <w:r w:rsidRPr="00B344F4">
        <w:rPr>
          <w:rFonts w:asciiTheme="majorHAnsi" w:eastAsiaTheme="majorEastAsia" w:hAnsiTheme="majorHAnsi" w:cstheme="majorBidi"/>
        </w:rPr>
        <w:t>pp</w:t>
      </w:r>
      <w:r>
        <w:rPr>
          <w:rFonts w:asciiTheme="majorHAnsi" w:eastAsiaTheme="majorEastAsia" w:hAnsiTheme="majorHAnsi" w:cstheme="majorBidi"/>
        </w:rPr>
        <w:t>.</w:t>
      </w:r>
      <w:r w:rsidR="00B17CE6">
        <w:rPr>
          <w:rFonts w:asciiTheme="majorHAnsi" w:eastAsiaTheme="majorEastAsia" w:hAnsiTheme="majorHAnsi" w:cstheme="majorBidi"/>
        </w:rPr>
        <w:t xml:space="preserve"> 1146</w:t>
      </w:r>
      <w:r w:rsidR="00B17CE6">
        <w:rPr>
          <w:rFonts w:asciiTheme="majorHAnsi" w:eastAsiaTheme="majorEastAsia" w:hAnsiTheme="majorHAnsi" w:cstheme="majorBidi"/>
        </w:rPr>
        <w:noBreakHyphen/>
      </w:r>
      <w:r w:rsidRPr="00B344F4">
        <w:rPr>
          <w:rFonts w:asciiTheme="majorHAnsi" w:eastAsiaTheme="majorEastAsia" w:hAnsiTheme="majorHAnsi" w:cstheme="majorBidi"/>
        </w:rPr>
        <w:t>1152.</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 xml:space="preserve">Clare, L., Wilson, B.A., Carter, G., Breen, K., </w:t>
      </w:r>
      <w:proofErr w:type="spellStart"/>
      <w:r>
        <w:rPr>
          <w:rFonts w:asciiTheme="majorHAnsi" w:hAnsiTheme="majorHAnsi" w:cs="Calibri"/>
          <w:sz w:val="20"/>
          <w:szCs w:val="20"/>
        </w:rPr>
        <w:t>Gosses</w:t>
      </w:r>
      <w:proofErr w:type="spellEnd"/>
      <w:r>
        <w:rPr>
          <w:rFonts w:asciiTheme="majorHAnsi" w:hAnsiTheme="majorHAnsi" w:cs="Calibri"/>
          <w:sz w:val="20"/>
          <w:szCs w:val="20"/>
        </w:rPr>
        <w:t>, A., &amp; Hodges, J.</w:t>
      </w:r>
      <w:r w:rsidRPr="00B344F4">
        <w:rPr>
          <w:rFonts w:asciiTheme="majorHAnsi" w:hAnsiTheme="majorHAnsi" w:cs="Calibri"/>
          <w:sz w:val="20"/>
          <w:szCs w:val="20"/>
        </w:rPr>
        <w:t xml:space="preserve">R. 2000, 'Intervening with everyday memory problems in dementia of Alzheimer type: an errorless learning approach', </w:t>
      </w:r>
      <w:r w:rsidRPr="00B344F4">
        <w:rPr>
          <w:rFonts w:asciiTheme="majorHAnsi" w:hAnsiTheme="majorHAnsi" w:cs="Calibri"/>
          <w:i/>
          <w:iCs/>
          <w:sz w:val="20"/>
          <w:szCs w:val="20"/>
        </w:rPr>
        <w:t>Journal of Clinical and Experimental Neuropsychology</w:t>
      </w:r>
      <w:r w:rsidRPr="00B344F4">
        <w:rPr>
          <w:rFonts w:asciiTheme="majorHAnsi" w:hAnsiTheme="majorHAnsi" w:cs="Calibri"/>
          <w:sz w:val="20"/>
          <w:szCs w:val="20"/>
        </w:rPr>
        <w:t>, vol. 22, no. 1, pp. 132-146.</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 xml:space="preserve">Cohen, D.A., </w:t>
      </w:r>
      <w:proofErr w:type="spellStart"/>
      <w:r>
        <w:rPr>
          <w:rFonts w:asciiTheme="majorHAnsi" w:hAnsiTheme="majorHAnsi" w:cs="Calibri"/>
          <w:sz w:val="20"/>
          <w:szCs w:val="20"/>
        </w:rPr>
        <w:t>Klodnick</w:t>
      </w:r>
      <w:proofErr w:type="spellEnd"/>
      <w:r>
        <w:rPr>
          <w:rFonts w:asciiTheme="majorHAnsi" w:hAnsiTheme="majorHAnsi" w:cs="Calibri"/>
          <w:sz w:val="20"/>
          <w:szCs w:val="20"/>
        </w:rPr>
        <w:t>, V.V., Stevens, L., Fagan, M.</w:t>
      </w:r>
      <w:r w:rsidRPr="00B344F4">
        <w:rPr>
          <w:rFonts w:asciiTheme="majorHAnsi" w:hAnsiTheme="majorHAnsi" w:cs="Calibri"/>
          <w:sz w:val="20"/>
          <w:szCs w:val="20"/>
        </w:rPr>
        <w:t>A. &amp; Spencer, E. 2020, 'Implementing Adapted Individual Placement and Support (IPS) Supported Employment for Transition</w:t>
      </w:r>
      <w:r w:rsidRPr="00B344F4">
        <w:rPr>
          <w:rFonts w:asciiTheme="majorHAnsi" w:hAnsiTheme="majorHAnsi" w:cs="Tahoma"/>
          <w:sz w:val="20"/>
          <w:szCs w:val="20"/>
        </w:rPr>
        <w:noBreakHyphen/>
      </w:r>
      <w:r w:rsidRPr="00B344F4">
        <w:rPr>
          <w:rFonts w:asciiTheme="majorHAnsi" w:hAnsiTheme="majorHAnsi" w:cs="Calibri"/>
          <w:sz w:val="20"/>
          <w:szCs w:val="20"/>
        </w:rPr>
        <w:t xml:space="preserve">Age Youth in Texas', </w:t>
      </w:r>
      <w:r w:rsidRPr="00B344F4">
        <w:rPr>
          <w:rFonts w:asciiTheme="majorHAnsi" w:hAnsiTheme="majorHAnsi" w:cs="Calibri"/>
          <w:i/>
          <w:iCs/>
          <w:sz w:val="20"/>
          <w:szCs w:val="20"/>
        </w:rPr>
        <w:t>Community Mental Health Journal</w:t>
      </w:r>
      <w:r w:rsidRPr="00B344F4">
        <w:rPr>
          <w:rFonts w:asciiTheme="majorHAnsi" w:hAnsiTheme="majorHAnsi" w:cs="Calibri"/>
          <w:sz w:val="20"/>
          <w:szCs w:val="20"/>
        </w:rPr>
        <w:t xml:space="preserve">, vol. 56, pp. 513-523. </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Corden, A. and Thornton, P. 2003, </w:t>
      </w:r>
      <w:r w:rsidRPr="00B344F4">
        <w:rPr>
          <w:rFonts w:asciiTheme="majorHAnsi" w:hAnsiTheme="majorHAnsi" w:cs="Calibri"/>
          <w:i/>
          <w:iCs/>
          <w:sz w:val="20"/>
          <w:szCs w:val="20"/>
        </w:rPr>
        <w:t>Results-based funded supported employment: avoiding</w:t>
      </w:r>
      <w:r>
        <w:rPr>
          <w:rFonts w:asciiTheme="majorHAnsi" w:hAnsiTheme="majorHAnsi" w:cs="Calibri"/>
          <w:sz w:val="20"/>
          <w:szCs w:val="20"/>
        </w:rPr>
        <w:t xml:space="preserve"> </w:t>
      </w:r>
      <w:r w:rsidRPr="00B344F4">
        <w:rPr>
          <w:rFonts w:asciiTheme="majorHAnsi" w:hAnsiTheme="majorHAnsi" w:cs="Calibri"/>
          <w:i/>
          <w:iCs/>
          <w:sz w:val="20"/>
          <w:szCs w:val="20"/>
        </w:rPr>
        <w:t xml:space="preserve">disincentives to serving people with greatest need. Research Report, </w:t>
      </w:r>
      <w:r w:rsidRPr="00B344F4">
        <w:rPr>
          <w:rFonts w:asciiTheme="majorHAnsi" w:hAnsiTheme="majorHAnsi" w:cs="Calibri"/>
          <w:sz w:val="20"/>
          <w:szCs w:val="20"/>
        </w:rPr>
        <w:t>Sheffield,</w:t>
      </w:r>
      <w:r w:rsidRPr="00B344F4">
        <w:rPr>
          <w:rFonts w:asciiTheme="majorHAnsi" w:hAnsiTheme="majorHAnsi" w:cs="Calibri"/>
          <w:i/>
          <w:iCs/>
          <w:sz w:val="20"/>
          <w:szCs w:val="20"/>
        </w:rPr>
        <w:t xml:space="preserve"> </w:t>
      </w:r>
      <w:r w:rsidRPr="00B344F4">
        <w:rPr>
          <w:rFonts w:asciiTheme="majorHAnsi" w:hAnsiTheme="majorHAnsi" w:cs="Calibri"/>
          <w:sz w:val="20"/>
          <w:szCs w:val="20"/>
        </w:rPr>
        <w:t xml:space="preserve">Department for Work and Pensions. </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Corrigan, P.</w:t>
      </w:r>
      <w:r w:rsidRPr="00B344F4">
        <w:rPr>
          <w:rFonts w:asciiTheme="majorHAnsi" w:hAnsiTheme="majorHAnsi" w:cs="Calibri"/>
          <w:sz w:val="20"/>
          <w:szCs w:val="20"/>
        </w:rPr>
        <w:t xml:space="preserve">W. 1995, 'Correlates of Participation and Completion in a Job Club for Clients with Psychiatric Disability', </w:t>
      </w:r>
      <w:r w:rsidRPr="00B344F4">
        <w:rPr>
          <w:rFonts w:asciiTheme="majorHAnsi" w:hAnsiTheme="majorHAnsi" w:cs="Calibri"/>
          <w:i/>
          <w:iCs/>
          <w:sz w:val="20"/>
          <w:szCs w:val="20"/>
        </w:rPr>
        <w:t>Rehabilitation Counselling Bulletin</w:t>
      </w:r>
      <w:r w:rsidRPr="00B344F4">
        <w:rPr>
          <w:rFonts w:asciiTheme="majorHAnsi" w:hAnsiTheme="majorHAnsi" w:cs="Calibri"/>
          <w:sz w:val="20"/>
          <w:szCs w:val="20"/>
        </w:rPr>
        <w:t>, vol. 39, no. 1, pp. 42-53.</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lastRenderedPageBreak/>
        <w:t>Danley, K.S. &amp; Anthony, W.</w:t>
      </w:r>
      <w:r w:rsidRPr="00B344F4">
        <w:rPr>
          <w:rFonts w:asciiTheme="majorHAnsi" w:hAnsiTheme="majorHAnsi" w:cs="Calibri"/>
          <w:sz w:val="20"/>
          <w:szCs w:val="20"/>
        </w:rPr>
        <w:t xml:space="preserve">A. 1987, 'The Choose-Get-Keep Model', </w:t>
      </w:r>
      <w:r w:rsidRPr="00B344F4">
        <w:rPr>
          <w:rFonts w:asciiTheme="majorHAnsi" w:hAnsiTheme="majorHAnsi" w:cs="Calibri"/>
          <w:i/>
          <w:iCs/>
          <w:sz w:val="20"/>
          <w:szCs w:val="20"/>
        </w:rPr>
        <w:t>American Rehabilitation</w:t>
      </w:r>
      <w:r w:rsidR="00B17CE6">
        <w:rPr>
          <w:rFonts w:asciiTheme="majorHAnsi" w:hAnsiTheme="majorHAnsi" w:cs="Calibri"/>
          <w:sz w:val="20"/>
          <w:szCs w:val="20"/>
        </w:rPr>
        <w:t>, vol. 13, no. </w:t>
      </w:r>
      <w:r w:rsidRPr="00B344F4">
        <w:rPr>
          <w:rFonts w:asciiTheme="majorHAnsi" w:hAnsiTheme="majorHAnsi" w:cs="Calibri"/>
          <w:sz w:val="20"/>
          <w:szCs w:val="20"/>
        </w:rPr>
        <w:t>4.</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Drake, R., Bond, G. &amp; Becker, D. 2012, </w:t>
      </w:r>
      <w:r w:rsidRPr="00B344F4">
        <w:rPr>
          <w:rFonts w:asciiTheme="majorHAnsi" w:hAnsiTheme="majorHAnsi" w:cs="Calibri"/>
          <w:i/>
          <w:iCs/>
          <w:sz w:val="20"/>
          <w:szCs w:val="20"/>
        </w:rPr>
        <w:t xml:space="preserve">Individual Placement and Support </w:t>
      </w:r>
      <w:proofErr w:type="gramStart"/>
      <w:r w:rsidRPr="00B344F4">
        <w:rPr>
          <w:rFonts w:asciiTheme="majorHAnsi" w:hAnsiTheme="majorHAnsi" w:cs="Calibri"/>
          <w:i/>
          <w:iCs/>
          <w:sz w:val="20"/>
          <w:szCs w:val="20"/>
        </w:rPr>
        <w:t>An</w:t>
      </w:r>
      <w:proofErr w:type="gramEnd"/>
      <w:r w:rsidRPr="00B344F4">
        <w:rPr>
          <w:rFonts w:asciiTheme="majorHAnsi" w:hAnsiTheme="majorHAnsi" w:cs="Calibri"/>
          <w:i/>
          <w:iCs/>
          <w:sz w:val="20"/>
          <w:szCs w:val="20"/>
        </w:rPr>
        <w:t xml:space="preserve"> Evidence-Based Approach to Supported Employment (Evidence-Based Practice),</w:t>
      </w:r>
      <w:r w:rsidRPr="00B344F4">
        <w:rPr>
          <w:rFonts w:asciiTheme="majorHAnsi" w:hAnsiTheme="majorHAnsi" w:cs="Calibri"/>
          <w:sz w:val="20"/>
          <w:szCs w:val="20"/>
        </w:rPr>
        <w:t xml:space="preserve"> New York, Oxford: Oxford University Press.</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 xml:space="preserve">Drake, R., </w:t>
      </w:r>
      <w:proofErr w:type="spellStart"/>
      <w:r>
        <w:rPr>
          <w:rFonts w:asciiTheme="majorHAnsi" w:hAnsiTheme="majorHAnsi" w:cs="Calibri"/>
          <w:sz w:val="20"/>
          <w:szCs w:val="20"/>
        </w:rPr>
        <w:t>McHugo</w:t>
      </w:r>
      <w:proofErr w:type="spellEnd"/>
      <w:r>
        <w:rPr>
          <w:rFonts w:asciiTheme="majorHAnsi" w:hAnsiTheme="majorHAnsi" w:cs="Calibri"/>
          <w:sz w:val="20"/>
          <w:szCs w:val="20"/>
        </w:rPr>
        <w:t>, G.J., Becker, D., Anthony, W.</w:t>
      </w:r>
      <w:r w:rsidRPr="00B344F4">
        <w:rPr>
          <w:rFonts w:asciiTheme="majorHAnsi" w:hAnsiTheme="majorHAnsi" w:cs="Calibri"/>
          <w:sz w:val="20"/>
          <w:szCs w:val="20"/>
        </w:rPr>
        <w:t xml:space="preserve">A. &amp; Clark, R. 1996, 'The New Hampshire study of supported employment for people with severe mental illness', </w:t>
      </w:r>
      <w:r w:rsidRPr="00B344F4">
        <w:rPr>
          <w:rFonts w:asciiTheme="majorHAnsi" w:hAnsiTheme="majorHAnsi" w:cs="Calibri"/>
          <w:i/>
          <w:iCs/>
          <w:sz w:val="20"/>
          <w:szCs w:val="20"/>
        </w:rPr>
        <w:t>Journal of consulting and clinical psychology</w:t>
      </w:r>
      <w:r w:rsidRPr="00B344F4">
        <w:rPr>
          <w:rFonts w:asciiTheme="majorHAnsi" w:hAnsiTheme="majorHAnsi" w:cs="Calibri"/>
          <w:sz w:val="20"/>
          <w:szCs w:val="20"/>
        </w:rPr>
        <w:t>, vol. 64, no. 2, p. 391.</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 xml:space="preserve">Ellison, M.L., </w:t>
      </w:r>
      <w:proofErr w:type="spellStart"/>
      <w:r>
        <w:rPr>
          <w:rFonts w:asciiTheme="majorHAnsi" w:hAnsiTheme="majorHAnsi" w:cs="Calibri"/>
          <w:sz w:val="20"/>
          <w:szCs w:val="20"/>
        </w:rPr>
        <w:t>Klodnock</w:t>
      </w:r>
      <w:proofErr w:type="spellEnd"/>
      <w:r>
        <w:rPr>
          <w:rFonts w:asciiTheme="majorHAnsi" w:hAnsiTheme="majorHAnsi" w:cs="Calibri"/>
          <w:sz w:val="20"/>
          <w:szCs w:val="20"/>
        </w:rPr>
        <w:t xml:space="preserve">, V.V., Bond, G.R. </w:t>
      </w:r>
      <w:proofErr w:type="spellStart"/>
      <w:r>
        <w:rPr>
          <w:rFonts w:asciiTheme="majorHAnsi" w:hAnsiTheme="majorHAnsi" w:cs="Calibri"/>
          <w:sz w:val="20"/>
          <w:szCs w:val="20"/>
        </w:rPr>
        <w:t>Krzos</w:t>
      </w:r>
      <w:proofErr w:type="spellEnd"/>
      <w:r>
        <w:rPr>
          <w:rFonts w:asciiTheme="majorHAnsi" w:hAnsiTheme="majorHAnsi" w:cs="Calibri"/>
          <w:sz w:val="20"/>
          <w:szCs w:val="20"/>
        </w:rPr>
        <w:t xml:space="preserve">, I.M., Kaiser, S.M., Fagan, M.A. &amp; </w:t>
      </w:r>
      <w:proofErr w:type="spellStart"/>
      <w:proofErr w:type="gramStart"/>
      <w:r>
        <w:rPr>
          <w:rFonts w:asciiTheme="majorHAnsi" w:hAnsiTheme="majorHAnsi" w:cs="Calibri"/>
          <w:sz w:val="20"/>
          <w:szCs w:val="20"/>
        </w:rPr>
        <w:t>David,</w:t>
      </w:r>
      <w:r w:rsidRPr="00B344F4">
        <w:rPr>
          <w:rFonts w:asciiTheme="majorHAnsi" w:hAnsiTheme="majorHAnsi" w:cs="Calibri"/>
          <w:sz w:val="20"/>
          <w:szCs w:val="20"/>
        </w:rPr>
        <w:t>M</w:t>
      </w:r>
      <w:proofErr w:type="spellEnd"/>
      <w:r w:rsidRPr="00B344F4">
        <w:rPr>
          <w:rFonts w:asciiTheme="majorHAnsi" w:hAnsiTheme="majorHAnsi" w:cs="Calibri"/>
          <w:sz w:val="20"/>
          <w:szCs w:val="20"/>
        </w:rPr>
        <w:t>.</w:t>
      </w:r>
      <w:proofErr w:type="gramEnd"/>
      <w:r w:rsidRPr="00B344F4">
        <w:rPr>
          <w:rFonts w:asciiTheme="majorHAnsi" w:hAnsiTheme="majorHAnsi" w:cs="Calibri"/>
          <w:sz w:val="20"/>
          <w:szCs w:val="20"/>
        </w:rPr>
        <w:t xml:space="preserve"> 2014, 'Adapting Supported Employment for Emerging Adults with Serious Mental Health Conditions', </w:t>
      </w:r>
      <w:r w:rsidRPr="00B344F4">
        <w:rPr>
          <w:rFonts w:asciiTheme="majorHAnsi" w:hAnsiTheme="majorHAnsi" w:cs="Calibri"/>
          <w:i/>
          <w:iCs/>
          <w:sz w:val="20"/>
          <w:szCs w:val="20"/>
        </w:rPr>
        <w:t>The Journal of Behavioural Health Sciences &amp; Research</w:t>
      </w:r>
      <w:r w:rsidRPr="00B344F4">
        <w:rPr>
          <w:rFonts w:asciiTheme="majorHAnsi" w:hAnsiTheme="majorHAnsi" w:cs="Calibri"/>
          <w:sz w:val="20"/>
          <w:szCs w:val="20"/>
        </w:rPr>
        <w:t>, vol. 42, no. 2, pp. 1-16.</w:t>
      </w:r>
    </w:p>
    <w:p w:rsidR="00B344F4" w:rsidRPr="00B344F4" w:rsidRDefault="00B344F4" w:rsidP="00B344F4">
      <w:pPr>
        <w:pStyle w:val="BodyText"/>
        <w:spacing w:beforeLines="60" w:before="144" w:afterLines="60" w:after="144"/>
      </w:pPr>
      <w:r w:rsidRPr="00B344F4">
        <w:t>Ferguson K.M</w:t>
      </w:r>
      <w:r>
        <w:t>.</w:t>
      </w:r>
      <w:r w:rsidRPr="00B344F4">
        <w:t xml:space="preserve">, </w:t>
      </w:r>
      <w:proofErr w:type="spellStart"/>
      <w:r w:rsidRPr="00B344F4">
        <w:t>Xie</w:t>
      </w:r>
      <w:proofErr w:type="spellEnd"/>
      <w:r w:rsidRPr="00B344F4">
        <w:t xml:space="preserve"> B</w:t>
      </w:r>
      <w:r>
        <w:t>. &amp;</w:t>
      </w:r>
      <w:r w:rsidRPr="00B344F4">
        <w:t xml:space="preserve"> Glynn S</w:t>
      </w:r>
      <w:r>
        <w:t>.</w:t>
      </w:r>
      <w:r w:rsidRPr="00B344F4">
        <w:t>, 2011, ‘Adapting the Individual Placement and Support Model with Homeless Young Adul</w:t>
      </w:r>
      <w:r>
        <w:t xml:space="preserve">ts’, </w:t>
      </w:r>
      <w:r w:rsidRPr="00B344F4">
        <w:rPr>
          <w:i/>
        </w:rPr>
        <w:t>Child &amp; Youth Care Forum</w:t>
      </w:r>
      <w:r>
        <w:t>, v</w:t>
      </w:r>
      <w:r w:rsidRPr="00B344F4">
        <w:t>ol. 41, pp</w:t>
      </w:r>
      <w:r>
        <w:t>.</w:t>
      </w:r>
      <w:r w:rsidRPr="00B344F4">
        <w:t xml:space="preserve"> 277-294.</w:t>
      </w:r>
    </w:p>
    <w:p w:rsidR="00B344F4" w:rsidRPr="00B344F4" w:rsidRDefault="00B344F4" w:rsidP="00B344F4">
      <w:pPr>
        <w:pStyle w:val="BodyText"/>
        <w:spacing w:beforeLines="60" w:before="144" w:afterLines="60" w:after="144"/>
      </w:pPr>
      <w:r w:rsidRPr="00B344F4">
        <w:t xml:space="preserve">Ferguson, K.M. 2013, ‘Using the Social Enterprise Intervention (SEI) and Individual Placement and Support (IPS) Models to Improve Employment and Clinical Outcomes of Homeless Youth </w:t>
      </w:r>
      <w:proofErr w:type="gramStart"/>
      <w:r w:rsidRPr="00B344F4">
        <w:t>With</w:t>
      </w:r>
      <w:proofErr w:type="gramEnd"/>
      <w:r w:rsidRPr="00B344F4">
        <w:t xml:space="preserve"> Mental Illness’, </w:t>
      </w:r>
      <w:r w:rsidRPr="00B344F4">
        <w:rPr>
          <w:i/>
        </w:rPr>
        <w:t>Social work in Mental Health</w:t>
      </w:r>
      <w:r>
        <w:t>, v</w:t>
      </w:r>
      <w:r w:rsidRPr="00B344F4">
        <w:t>ol. 11 no. 5, pp</w:t>
      </w:r>
      <w:r>
        <w:t>.</w:t>
      </w:r>
      <w:r w:rsidRPr="00B344F4">
        <w:t xml:space="preserve"> 473-495.</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Gre</w:t>
      </w:r>
      <w:r>
        <w:rPr>
          <w:rFonts w:asciiTheme="majorHAnsi" w:hAnsiTheme="majorHAnsi" w:cs="Calibri"/>
          <w:sz w:val="20"/>
          <w:szCs w:val="20"/>
        </w:rPr>
        <w:t xml:space="preserve">ig, T.C., Zito, W., Wexler, B.E., </w:t>
      </w:r>
      <w:proofErr w:type="spellStart"/>
      <w:r>
        <w:rPr>
          <w:rFonts w:asciiTheme="majorHAnsi" w:hAnsiTheme="majorHAnsi" w:cs="Calibri"/>
          <w:sz w:val="20"/>
          <w:szCs w:val="20"/>
        </w:rPr>
        <w:t>Fiszdon</w:t>
      </w:r>
      <w:proofErr w:type="spellEnd"/>
      <w:r>
        <w:rPr>
          <w:rFonts w:asciiTheme="majorHAnsi" w:hAnsiTheme="majorHAnsi" w:cs="Calibri"/>
          <w:sz w:val="20"/>
          <w:szCs w:val="20"/>
        </w:rPr>
        <w:t>, J., &amp; Bell, M.</w:t>
      </w:r>
      <w:r w:rsidRPr="00B344F4">
        <w:rPr>
          <w:rFonts w:asciiTheme="majorHAnsi" w:hAnsiTheme="majorHAnsi" w:cs="Calibri"/>
          <w:sz w:val="20"/>
          <w:szCs w:val="20"/>
        </w:rPr>
        <w:t xml:space="preserve">D. 2007, 'Improved cognitive function in schizophrenia after one year of cognitive training and vocational services', </w:t>
      </w:r>
      <w:r w:rsidRPr="00B344F4">
        <w:rPr>
          <w:rFonts w:asciiTheme="majorHAnsi" w:hAnsiTheme="majorHAnsi" w:cs="Calibri"/>
          <w:i/>
          <w:iCs/>
          <w:sz w:val="20"/>
          <w:szCs w:val="20"/>
        </w:rPr>
        <w:t>Schizophrenia research</w:t>
      </w:r>
      <w:r w:rsidR="00B17CE6">
        <w:rPr>
          <w:rFonts w:asciiTheme="majorHAnsi" w:hAnsiTheme="majorHAnsi" w:cs="Calibri"/>
          <w:sz w:val="20"/>
          <w:szCs w:val="20"/>
        </w:rPr>
        <w:t>, vol. </w:t>
      </w:r>
      <w:r w:rsidRPr="00B344F4">
        <w:rPr>
          <w:rFonts w:asciiTheme="majorHAnsi" w:hAnsiTheme="majorHAnsi" w:cs="Calibri"/>
          <w:sz w:val="20"/>
          <w:szCs w:val="20"/>
        </w:rPr>
        <w:t>96, no. 1, pp. 156-161.</w:t>
      </w:r>
    </w:p>
    <w:p w:rsidR="00B344F4" w:rsidRPr="00B344F4" w:rsidRDefault="00B344F4" w:rsidP="00B344F4">
      <w:pPr>
        <w:pStyle w:val="BodyText"/>
        <w:spacing w:beforeLines="60" w:before="144" w:afterLines="60" w:after="144"/>
      </w:pPr>
      <w:r w:rsidRPr="00B344F4">
        <w:t>Haslett, W.R</w:t>
      </w:r>
      <w:r>
        <w:t>.</w:t>
      </w:r>
      <w:r w:rsidRPr="00B344F4">
        <w:t>, Drake R.E</w:t>
      </w:r>
      <w:r>
        <w:t>.</w:t>
      </w:r>
      <w:r w:rsidRPr="00B344F4">
        <w:t>, Bond G.R., Becker D.R</w:t>
      </w:r>
      <w:r>
        <w:t>. &amp;</w:t>
      </w:r>
      <w:r w:rsidRPr="00B344F4">
        <w:t xml:space="preserve"> </w:t>
      </w:r>
      <w:proofErr w:type="spellStart"/>
      <w:r w:rsidRPr="00B344F4">
        <w:t>McHugo</w:t>
      </w:r>
      <w:proofErr w:type="spellEnd"/>
      <w:r w:rsidRPr="00B344F4">
        <w:t xml:space="preserve"> G.J 2011, ‘Individual Placement and Support: Does Rurality Matter?’, </w:t>
      </w:r>
      <w:r w:rsidRPr="00B344F4">
        <w:rPr>
          <w:i/>
        </w:rPr>
        <w:t>American Journal of Psychiatric Rehabilitation</w:t>
      </w:r>
      <w:r>
        <w:t>, v</w:t>
      </w:r>
      <w:r w:rsidRPr="00B344F4">
        <w:t>ol. 14, no. 3, pp</w:t>
      </w:r>
      <w:r>
        <w:t>.</w:t>
      </w:r>
      <w:r w:rsidR="00B17CE6">
        <w:t> 237</w:t>
      </w:r>
      <w:r w:rsidR="00B17CE6">
        <w:noBreakHyphen/>
      </w:r>
      <w:r w:rsidRPr="00B344F4">
        <w:t>244</w:t>
      </w:r>
      <w:r w:rsidR="004C5759">
        <w:t xml:space="preserve">. </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 xml:space="preserve">Jones, R.S., &amp; </w:t>
      </w:r>
      <w:proofErr w:type="spellStart"/>
      <w:r>
        <w:rPr>
          <w:rFonts w:asciiTheme="majorHAnsi" w:hAnsiTheme="majorHAnsi" w:cs="Calibri"/>
          <w:sz w:val="20"/>
          <w:szCs w:val="20"/>
        </w:rPr>
        <w:t>Eayrs</w:t>
      </w:r>
      <w:proofErr w:type="spellEnd"/>
      <w:r>
        <w:rPr>
          <w:rFonts w:asciiTheme="majorHAnsi" w:hAnsiTheme="majorHAnsi" w:cs="Calibri"/>
          <w:sz w:val="20"/>
          <w:szCs w:val="20"/>
        </w:rPr>
        <w:t>, C.</w:t>
      </w:r>
      <w:r w:rsidRPr="00B344F4">
        <w:rPr>
          <w:rFonts w:asciiTheme="majorHAnsi" w:hAnsiTheme="majorHAnsi" w:cs="Calibri"/>
          <w:sz w:val="20"/>
          <w:szCs w:val="20"/>
        </w:rPr>
        <w:t>B. 1992, 'The use of errorless learning procedures in teaching people with a learning disability: A critical review',</w:t>
      </w:r>
      <w:r w:rsidRPr="00B344F4">
        <w:rPr>
          <w:rFonts w:asciiTheme="majorHAnsi" w:hAnsiTheme="majorHAnsi" w:cs="Calibri"/>
          <w:i/>
          <w:iCs/>
          <w:sz w:val="20"/>
          <w:szCs w:val="20"/>
        </w:rPr>
        <w:t xml:space="preserve"> Journal of Applied Research in Intellectual Disabilities</w:t>
      </w:r>
      <w:r w:rsidR="00B17CE6">
        <w:rPr>
          <w:rFonts w:asciiTheme="majorHAnsi" w:hAnsiTheme="majorHAnsi" w:cs="Calibri"/>
          <w:sz w:val="20"/>
          <w:szCs w:val="20"/>
        </w:rPr>
        <w:t>, vol. 5, no. </w:t>
      </w:r>
      <w:r w:rsidRPr="00B344F4">
        <w:rPr>
          <w:rFonts w:asciiTheme="majorHAnsi" w:hAnsiTheme="majorHAnsi" w:cs="Calibri"/>
          <w:sz w:val="20"/>
          <w:szCs w:val="20"/>
        </w:rPr>
        <w:t>2, pp. 204-212.</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Kern, R., Liberman, R., </w:t>
      </w:r>
      <w:proofErr w:type="spellStart"/>
      <w:r w:rsidRPr="00B344F4">
        <w:rPr>
          <w:rFonts w:asciiTheme="majorHAnsi" w:hAnsiTheme="majorHAnsi" w:cs="Calibri"/>
          <w:sz w:val="20"/>
          <w:szCs w:val="20"/>
        </w:rPr>
        <w:t>Kopelow</w:t>
      </w:r>
      <w:r>
        <w:rPr>
          <w:rFonts w:asciiTheme="majorHAnsi" w:hAnsiTheme="majorHAnsi" w:cs="Calibri"/>
          <w:sz w:val="20"/>
          <w:szCs w:val="20"/>
        </w:rPr>
        <w:t>icz</w:t>
      </w:r>
      <w:proofErr w:type="spellEnd"/>
      <w:r>
        <w:rPr>
          <w:rFonts w:asciiTheme="majorHAnsi" w:hAnsiTheme="majorHAnsi" w:cs="Calibri"/>
          <w:sz w:val="20"/>
          <w:szCs w:val="20"/>
        </w:rPr>
        <w:t xml:space="preserve">, A., </w:t>
      </w:r>
      <w:proofErr w:type="spellStart"/>
      <w:r>
        <w:rPr>
          <w:rFonts w:asciiTheme="majorHAnsi" w:hAnsiTheme="majorHAnsi" w:cs="Calibri"/>
          <w:sz w:val="20"/>
          <w:szCs w:val="20"/>
        </w:rPr>
        <w:t>Mintz</w:t>
      </w:r>
      <w:proofErr w:type="spellEnd"/>
      <w:r>
        <w:rPr>
          <w:rFonts w:asciiTheme="majorHAnsi" w:hAnsiTheme="majorHAnsi" w:cs="Calibri"/>
          <w:sz w:val="20"/>
          <w:szCs w:val="20"/>
        </w:rPr>
        <w:t>, J., &amp; Green, M.</w:t>
      </w:r>
      <w:r w:rsidRPr="00B344F4">
        <w:rPr>
          <w:rFonts w:asciiTheme="majorHAnsi" w:hAnsiTheme="majorHAnsi" w:cs="Calibri"/>
          <w:sz w:val="20"/>
          <w:szCs w:val="20"/>
        </w:rPr>
        <w:t xml:space="preserve">F. 2002, 'Applications of errorless learning for improving work performance in persons with schizophrenia', </w:t>
      </w:r>
      <w:r w:rsidRPr="00B344F4">
        <w:rPr>
          <w:rFonts w:asciiTheme="majorHAnsi" w:hAnsiTheme="majorHAnsi" w:cs="Calibri"/>
          <w:i/>
          <w:iCs/>
          <w:sz w:val="20"/>
          <w:szCs w:val="20"/>
        </w:rPr>
        <w:t>American Journal of Psychiatry</w:t>
      </w:r>
      <w:r w:rsidRPr="00B344F4">
        <w:rPr>
          <w:rFonts w:asciiTheme="majorHAnsi" w:hAnsiTheme="majorHAnsi" w:cs="Calibri"/>
          <w:sz w:val="20"/>
          <w:szCs w:val="20"/>
        </w:rPr>
        <w:t>, vol. 159, no. 11, pp. 1921-1926.</w:t>
      </w:r>
    </w:p>
    <w:p w:rsidR="00B344F4" w:rsidRPr="00B344F4" w:rsidRDefault="00B344F4" w:rsidP="00B344F4">
      <w:pPr>
        <w:pStyle w:val="BodyText"/>
        <w:spacing w:beforeLines="60" w:before="144" w:afterLines="60" w:after="144"/>
      </w:pPr>
      <w:proofErr w:type="spellStart"/>
      <w:r w:rsidRPr="00B344F4">
        <w:t>Killackey</w:t>
      </w:r>
      <w:proofErr w:type="spellEnd"/>
      <w:r w:rsidRPr="00B344F4">
        <w:t xml:space="preserve"> E. 2014, ‘</w:t>
      </w:r>
      <w:r w:rsidRPr="00B344F4">
        <w:rPr>
          <w:i/>
        </w:rPr>
        <w:t>Welfare to work: a different approach for people with mental illness</w:t>
      </w:r>
      <w:r w:rsidRPr="00B344F4">
        <w:t>’</w:t>
      </w:r>
      <w:r>
        <w:t xml:space="preserve">, </w:t>
      </w:r>
      <w:r w:rsidRPr="00B344F4">
        <w:t xml:space="preserve">http://theconversation.com/welfare-to-work-a-different-approach-for-people-with-mental-illness-22293 </w:t>
      </w:r>
      <w:r>
        <w:t xml:space="preserve">(accessed </w:t>
      </w:r>
      <w:r w:rsidR="00FF62F0">
        <w:t>28</w:t>
      </w:r>
      <w:r>
        <w:t xml:space="preserve"> May 2020)</w:t>
      </w:r>
      <w:r w:rsidRPr="00B344F4">
        <w:t xml:space="preserve"> </w:t>
      </w:r>
    </w:p>
    <w:p w:rsidR="00B344F4" w:rsidRPr="00B344F4" w:rsidRDefault="00B344F4" w:rsidP="00B344F4">
      <w:pPr>
        <w:pStyle w:val="BodyText"/>
        <w:spacing w:beforeLines="60" w:before="144" w:afterLines="60" w:after="144"/>
      </w:pPr>
      <w:r w:rsidRPr="00B344F4">
        <w:t xml:space="preserve">Lord, S.E., McGurk, S.R., Nicholson, J. Carpenter-Song, E.A., </w:t>
      </w:r>
      <w:proofErr w:type="spellStart"/>
      <w:r w:rsidRPr="00B344F4">
        <w:t>Taushcer</w:t>
      </w:r>
      <w:proofErr w:type="spellEnd"/>
      <w:r w:rsidRPr="00B344F4">
        <w:t>, J.S., Becker, D.</w:t>
      </w:r>
      <w:r>
        <w:t xml:space="preserve">R., Swanson, S.J., Drake, R.E. &amp; </w:t>
      </w:r>
      <w:r w:rsidRPr="00B344F4">
        <w:t>Bond, G.R. 2014, ‘The Potential of Technology for Enhancing Individual Placement and Support Supported Employment’</w:t>
      </w:r>
      <w:r>
        <w:t>,</w:t>
      </w:r>
      <w:r w:rsidRPr="00B344F4">
        <w:t xml:space="preserve"> </w:t>
      </w:r>
      <w:r w:rsidRPr="00B344F4">
        <w:rPr>
          <w:i/>
          <w:iCs/>
        </w:rPr>
        <w:t>Psychiatric Rehabilitation Journal</w:t>
      </w:r>
      <w:r>
        <w:t>,  Vol. 37, no. 2, pp. 99</w:t>
      </w:r>
      <w:r w:rsidRPr="00B344F4">
        <w:t xml:space="preserve">-106. </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Loveland, D., Driscoll, H., &amp; Boyle, M. 2007, 'Enhancing supported employment services for individuals with a serious mental illness: A review of the literature',</w:t>
      </w:r>
      <w:r w:rsidRPr="00B344F4">
        <w:rPr>
          <w:rFonts w:asciiTheme="majorHAnsi" w:hAnsiTheme="majorHAnsi" w:cs="Calibri"/>
          <w:i/>
          <w:iCs/>
          <w:sz w:val="20"/>
          <w:szCs w:val="20"/>
        </w:rPr>
        <w:t xml:space="preserve"> Journal of Vocational Rehabilitation</w:t>
      </w:r>
      <w:r w:rsidRPr="00B344F4">
        <w:rPr>
          <w:rFonts w:asciiTheme="majorHAnsi" w:hAnsiTheme="majorHAnsi" w:cs="Calibri"/>
          <w:sz w:val="20"/>
          <w:szCs w:val="20"/>
        </w:rPr>
        <w:t>, vol. 27, no. 3, pp. 177-189.</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Macias, C., Jones, D., Hargreaves, W., Wang, Q., </w:t>
      </w:r>
      <w:proofErr w:type="spellStart"/>
      <w:r w:rsidRPr="00B344F4">
        <w:rPr>
          <w:rFonts w:asciiTheme="majorHAnsi" w:hAnsiTheme="majorHAnsi" w:cs="Calibri"/>
          <w:sz w:val="20"/>
          <w:szCs w:val="20"/>
        </w:rPr>
        <w:t>Rodican</w:t>
      </w:r>
      <w:proofErr w:type="spellEnd"/>
      <w:r w:rsidRPr="00B344F4">
        <w:rPr>
          <w:rFonts w:asciiTheme="majorHAnsi" w:hAnsiTheme="majorHAnsi" w:cs="Calibri"/>
          <w:sz w:val="20"/>
          <w:szCs w:val="20"/>
        </w:rPr>
        <w:t xml:space="preserve">, C., </w:t>
      </w:r>
      <w:proofErr w:type="spellStart"/>
      <w:r w:rsidRPr="00B344F4">
        <w:rPr>
          <w:rFonts w:asciiTheme="majorHAnsi" w:hAnsiTheme="majorHAnsi" w:cs="Calibri"/>
          <w:sz w:val="20"/>
          <w:szCs w:val="20"/>
        </w:rPr>
        <w:t>Barreira</w:t>
      </w:r>
      <w:proofErr w:type="spellEnd"/>
      <w:r w:rsidRPr="00B344F4">
        <w:rPr>
          <w:rFonts w:asciiTheme="majorHAnsi" w:hAnsiTheme="majorHAnsi" w:cs="Calibri"/>
          <w:sz w:val="20"/>
          <w:szCs w:val="20"/>
        </w:rPr>
        <w:t xml:space="preserve">, P. &amp; Gold, P. 2008, 'When programs benefit some people more than others: Tests of differential service effectiveness', </w:t>
      </w:r>
      <w:r w:rsidRPr="00B344F4">
        <w:rPr>
          <w:rFonts w:asciiTheme="majorHAnsi" w:hAnsiTheme="majorHAnsi" w:cs="Calibri"/>
          <w:i/>
          <w:iCs/>
          <w:sz w:val="20"/>
          <w:szCs w:val="20"/>
        </w:rPr>
        <w:t>Administration and Policy in Mental Health and Mental Health Services Research</w:t>
      </w:r>
      <w:r w:rsidR="00B17CE6">
        <w:rPr>
          <w:rFonts w:asciiTheme="majorHAnsi" w:hAnsiTheme="majorHAnsi" w:cs="Calibri"/>
          <w:sz w:val="20"/>
          <w:szCs w:val="20"/>
        </w:rPr>
        <w:t>, vol. 35, no. 4, pp. </w:t>
      </w:r>
      <w:r w:rsidRPr="00B344F4">
        <w:rPr>
          <w:rFonts w:asciiTheme="majorHAnsi" w:hAnsiTheme="majorHAnsi" w:cs="Calibri"/>
          <w:sz w:val="20"/>
          <w:szCs w:val="20"/>
        </w:rPr>
        <w:t>283-294.</w:t>
      </w:r>
    </w:p>
    <w:p w:rsidR="00B344F4" w:rsidRPr="00B344F4" w:rsidRDefault="00B344F4" w:rsidP="00B344F4">
      <w:pPr>
        <w:pStyle w:val="BodyText"/>
        <w:spacing w:beforeLines="60" w:before="144" w:afterLines="60" w:after="144"/>
      </w:pPr>
      <w:r w:rsidRPr="00B344F4">
        <w:t>Marsha L.</w:t>
      </w:r>
      <w:r w:rsidR="00B8725E">
        <w:t>,</w:t>
      </w:r>
      <w:r w:rsidRPr="00B344F4">
        <w:t xml:space="preserve"> Ellison </w:t>
      </w:r>
      <w:r w:rsidR="00B8725E">
        <w:t>M.L.</w:t>
      </w:r>
      <w:r w:rsidRPr="00B344F4">
        <w:t xml:space="preserve">, </w:t>
      </w:r>
      <w:proofErr w:type="spellStart"/>
      <w:r w:rsidRPr="00B344F4">
        <w:t>Klodnick</w:t>
      </w:r>
      <w:proofErr w:type="spellEnd"/>
      <w:r w:rsidRPr="00B344F4">
        <w:t xml:space="preserve"> </w:t>
      </w:r>
      <w:r w:rsidR="00B8725E">
        <w:t xml:space="preserve">V. </w:t>
      </w:r>
      <w:proofErr w:type="gramStart"/>
      <w:r w:rsidR="00B8725E">
        <w:t xml:space="preserve">V. </w:t>
      </w:r>
      <w:r w:rsidRPr="00B344F4">
        <w:t>,</w:t>
      </w:r>
      <w:proofErr w:type="gramEnd"/>
      <w:r w:rsidRPr="00B344F4">
        <w:t xml:space="preserve"> Gary R. Bond PhD, </w:t>
      </w:r>
      <w:proofErr w:type="spellStart"/>
      <w:r w:rsidRPr="00B344F4">
        <w:t>Krzos</w:t>
      </w:r>
      <w:proofErr w:type="spellEnd"/>
      <w:r w:rsidRPr="00B344F4">
        <w:t xml:space="preserve"> </w:t>
      </w:r>
      <w:r w:rsidR="00B8725E">
        <w:t>I.</w:t>
      </w:r>
      <w:r w:rsidRPr="00B344F4">
        <w:t>M</w:t>
      </w:r>
      <w:r w:rsidR="00B8725E">
        <w:t>.</w:t>
      </w:r>
      <w:r w:rsidRPr="00B344F4">
        <w:t xml:space="preserve">, Kaiser </w:t>
      </w:r>
      <w:r w:rsidR="00B8725E">
        <w:t>S.M.</w:t>
      </w:r>
      <w:r w:rsidRPr="00B344F4">
        <w:t xml:space="preserve">, Fagan </w:t>
      </w:r>
      <w:r w:rsidR="00B8725E">
        <w:t>M.A.</w:t>
      </w:r>
      <w:r w:rsidRPr="00B344F4">
        <w:t xml:space="preserve"> &amp; Davis </w:t>
      </w:r>
      <w:r w:rsidR="00B8725E">
        <w:t>M.</w:t>
      </w:r>
      <w:r w:rsidRPr="00B344F4">
        <w:t xml:space="preserve"> 2014, ‘Adapting Supporting Employment for Emerging Adults with Serious Mental Health Conditions’, </w:t>
      </w:r>
      <w:r w:rsidRPr="00B344F4">
        <w:rPr>
          <w:i/>
        </w:rPr>
        <w:t>The Journal of Behavioural Health Services &amp; Research</w:t>
      </w:r>
      <w:r w:rsidRPr="00B344F4">
        <w:t xml:space="preserve">, </w:t>
      </w:r>
      <w:r>
        <w:t>v</w:t>
      </w:r>
      <w:r w:rsidRPr="00B344F4">
        <w:t>ol. 42, no. 2, pp</w:t>
      </w:r>
      <w:r>
        <w:t>.</w:t>
      </w:r>
      <w:r w:rsidRPr="00B344F4">
        <w:t xml:space="preserve"> 206-222.</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McGurk, S.</w:t>
      </w:r>
      <w:r w:rsidRPr="00B344F4">
        <w:rPr>
          <w:rFonts w:asciiTheme="majorHAnsi" w:hAnsiTheme="majorHAnsi" w:cs="Calibri"/>
          <w:sz w:val="20"/>
          <w:szCs w:val="20"/>
        </w:rPr>
        <w:t xml:space="preserve">R., &amp; </w:t>
      </w:r>
      <w:proofErr w:type="spellStart"/>
      <w:r>
        <w:rPr>
          <w:rFonts w:asciiTheme="majorHAnsi" w:hAnsiTheme="majorHAnsi" w:cs="Calibri"/>
          <w:sz w:val="20"/>
          <w:szCs w:val="20"/>
        </w:rPr>
        <w:t>Mueser</w:t>
      </w:r>
      <w:proofErr w:type="spellEnd"/>
      <w:r>
        <w:rPr>
          <w:rFonts w:asciiTheme="majorHAnsi" w:hAnsiTheme="majorHAnsi" w:cs="Calibri"/>
          <w:sz w:val="20"/>
          <w:szCs w:val="20"/>
        </w:rPr>
        <w:t>, K.</w:t>
      </w:r>
      <w:r w:rsidRPr="00B344F4">
        <w:rPr>
          <w:rFonts w:asciiTheme="majorHAnsi" w:hAnsiTheme="majorHAnsi" w:cs="Calibri"/>
          <w:sz w:val="20"/>
          <w:szCs w:val="20"/>
        </w:rPr>
        <w:t xml:space="preserve">T. 2004, 'Cognitive functioning, symptoms, and work in supported employment: a review and heuristic model'. </w:t>
      </w:r>
      <w:r w:rsidRPr="00B344F4">
        <w:rPr>
          <w:rFonts w:asciiTheme="majorHAnsi" w:hAnsiTheme="majorHAnsi" w:cs="Calibri"/>
          <w:i/>
          <w:iCs/>
          <w:sz w:val="20"/>
          <w:szCs w:val="20"/>
        </w:rPr>
        <w:t>Schizophrenia research</w:t>
      </w:r>
      <w:r w:rsidRPr="00B344F4">
        <w:rPr>
          <w:rFonts w:asciiTheme="majorHAnsi" w:hAnsiTheme="majorHAnsi" w:cs="Calibri"/>
          <w:sz w:val="20"/>
          <w:szCs w:val="20"/>
        </w:rPr>
        <w:t>, vol. 70, no. 2, pp. 147-173.</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lastRenderedPageBreak/>
        <w:t xml:space="preserve">McGurk, S.R., </w:t>
      </w:r>
      <w:proofErr w:type="spellStart"/>
      <w:r>
        <w:rPr>
          <w:rFonts w:asciiTheme="majorHAnsi" w:hAnsiTheme="majorHAnsi" w:cs="Calibri"/>
          <w:sz w:val="20"/>
          <w:szCs w:val="20"/>
        </w:rPr>
        <w:t>Mueser</w:t>
      </w:r>
      <w:proofErr w:type="spellEnd"/>
      <w:r>
        <w:rPr>
          <w:rFonts w:asciiTheme="majorHAnsi" w:hAnsiTheme="majorHAnsi" w:cs="Calibri"/>
          <w:sz w:val="20"/>
          <w:szCs w:val="20"/>
        </w:rPr>
        <w:t>, K.</w:t>
      </w:r>
      <w:r w:rsidRPr="00B344F4">
        <w:rPr>
          <w:rFonts w:asciiTheme="majorHAnsi" w:hAnsiTheme="majorHAnsi" w:cs="Calibri"/>
          <w:sz w:val="20"/>
          <w:szCs w:val="20"/>
        </w:rPr>
        <w:t xml:space="preserve">T. &amp; </w:t>
      </w:r>
      <w:proofErr w:type="spellStart"/>
      <w:r w:rsidRPr="00B344F4">
        <w:rPr>
          <w:rFonts w:asciiTheme="majorHAnsi" w:hAnsiTheme="majorHAnsi" w:cs="Calibri"/>
          <w:sz w:val="20"/>
          <w:szCs w:val="20"/>
        </w:rPr>
        <w:t>Pascaris</w:t>
      </w:r>
      <w:proofErr w:type="spellEnd"/>
      <w:r w:rsidRPr="00B344F4">
        <w:rPr>
          <w:rFonts w:asciiTheme="majorHAnsi" w:hAnsiTheme="majorHAnsi" w:cs="Calibri"/>
          <w:sz w:val="20"/>
          <w:szCs w:val="20"/>
        </w:rPr>
        <w:t xml:space="preserve">, A. 2005, 'Cognitive training and supported employment for persons with severe mental illness: one-year results from a randomized controlled trial'. </w:t>
      </w:r>
      <w:r w:rsidRPr="00B344F4">
        <w:rPr>
          <w:rFonts w:asciiTheme="majorHAnsi" w:hAnsiTheme="majorHAnsi" w:cs="Calibri"/>
          <w:i/>
          <w:iCs/>
          <w:sz w:val="20"/>
          <w:szCs w:val="20"/>
        </w:rPr>
        <w:t>Schizophrenia bulletin</w:t>
      </w:r>
      <w:r w:rsidRPr="00B344F4">
        <w:rPr>
          <w:rFonts w:asciiTheme="majorHAnsi" w:hAnsiTheme="majorHAnsi" w:cs="Calibri"/>
          <w:sz w:val="20"/>
          <w:szCs w:val="20"/>
        </w:rPr>
        <w:t>, vol. 31, no. 4, pp. 898-909.</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Mental Health Council of Australia &amp; National Mental Health Consumer and Carer Forum. 2014, </w:t>
      </w:r>
      <w:r w:rsidRPr="00B344F4">
        <w:rPr>
          <w:rFonts w:asciiTheme="majorHAnsi" w:hAnsiTheme="majorHAnsi" w:cs="Calibri"/>
          <w:i/>
          <w:iCs/>
          <w:sz w:val="20"/>
          <w:szCs w:val="20"/>
        </w:rPr>
        <w:t>Making the Welfare System Work for Mental Health Consumers &amp; Carers: Submission to the Interim Report by the Reference Group on Welfare Reform</w:t>
      </w:r>
      <w:r w:rsidRPr="00B344F4">
        <w:rPr>
          <w:rFonts w:asciiTheme="majorHAnsi" w:hAnsiTheme="majorHAnsi" w:cs="Calibri"/>
          <w:sz w:val="20"/>
          <w:szCs w:val="20"/>
        </w:rPr>
        <w:t xml:space="preserve">, </w:t>
      </w:r>
      <w:hyperlink r:id="rId29" w:history="1">
        <w:r w:rsidRPr="00B344F4">
          <w:rPr>
            <w:rStyle w:val="Hyperlink"/>
            <w:rFonts w:asciiTheme="majorHAnsi" w:hAnsiTheme="majorHAnsi" w:cs="Calibri"/>
            <w:sz w:val="20"/>
            <w:szCs w:val="20"/>
          </w:rPr>
          <w:t>https://mhaustralia.org/sites/default/files/docs/mhca_-_submissions_-_adjacent_systems_-_mcclure_review_of_the_welfare_system_-_mhca_august_2014.pdf</w:t>
        </w:r>
      </w:hyperlink>
      <w:r w:rsidRPr="00B344F4">
        <w:rPr>
          <w:rFonts w:asciiTheme="majorHAnsi" w:hAnsiTheme="majorHAnsi" w:cs="Calibri"/>
          <w:sz w:val="20"/>
          <w:szCs w:val="20"/>
        </w:rPr>
        <w:t xml:space="preserve"> (accessed 26 May 2020).</w:t>
      </w:r>
    </w:p>
    <w:p w:rsidR="00B344F4" w:rsidRPr="00B344F4" w:rsidRDefault="00B344F4" w:rsidP="00B344F4">
      <w:pPr>
        <w:pStyle w:val="BodyText"/>
        <w:spacing w:beforeLines="60" w:before="144" w:afterLines="60" w:after="144"/>
        <w:rPr>
          <w:rFonts w:asciiTheme="majorHAnsi" w:hAnsiTheme="majorHAnsi"/>
          <w:szCs w:val="20"/>
        </w:rPr>
      </w:pPr>
      <w:r w:rsidRPr="00B344F4">
        <w:t xml:space="preserve">Priest, B &amp; Lockett, H, 2019 ‘Working at the Interface Between Science and Culture: The Enablers and Barriers to </w:t>
      </w:r>
      <w:proofErr w:type="spellStart"/>
      <w:r w:rsidRPr="00B344F4">
        <w:t>Indivudal</w:t>
      </w:r>
      <w:proofErr w:type="spellEnd"/>
      <w:r w:rsidRPr="00B344F4">
        <w:t xml:space="preserve"> Placement and Support Implementation in Aotearoa/New Zealand’, </w:t>
      </w:r>
      <w:r w:rsidRPr="00B344F4">
        <w:rPr>
          <w:i/>
          <w:iCs/>
        </w:rPr>
        <w:t>Psychiatri</w:t>
      </w:r>
      <w:r w:rsidRPr="00B344F4">
        <w:rPr>
          <w:rFonts w:asciiTheme="majorHAnsi" w:hAnsiTheme="majorHAnsi"/>
          <w:i/>
          <w:iCs/>
          <w:szCs w:val="20"/>
        </w:rPr>
        <w:t xml:space="preserve">c Rehabilitation Journal, </w:t>
      </w:r>
      <w:r>
        <w:rPr>
          <w:rFonts w:asciiTheme="majorHAnsi" w:hAnsiTheme="majorHAnsi"/>
          <w:szCs w:val="20"/>
        </w:rPr>
        <w:t>v</w:t>
      </w:r>
      <w:r w:rsidRPr="00B344F4">
        <w:rPr>
          <w:rFonts w:asciiTheme="majorHAnsi" w:hAnsiTheme="majorHAnsi"/>
          <w:szCs w:val="20"/>
        </w:rPr>
        <w:t>ol. 43, no. 1, pp</w:t>
      </w:r>
      <w:r>
        <w:rPr>
          <w:rFonts w:asciiTheme="majorHAnsi" w:hAnsiTheme="majorHAnsi"/>
          <w:szCs w:val="20"/>
        </w:rPr>
        <w:t>.</w:t>
      </w:r>
      <w:r w:rsidRPr="00B344F4">
        <w:rPr>
          <w:rFonts w:asciiTheme="majorHAnsi" w:hAnsiTheme="majorHAnsi"/>
          <w:szCs w:val="20"/>
        </w:rPr>
        <w:t xml:space="preserve"> 40-52.</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 xml:space="preserve">Rapp, C.A., &amp; </w:t>
      </w:r>
      <w:proofErr w:type="spellStart"/>
      <w:r>
        <w:rPr>
          <w:rFonts w:asciiTheme="majorHAnsi" w:hAnsiTheme="majorHAnsi" w:cs="Calibri"/>
          <w:sz w:val="20"/>
          <w:szCs w:val="20"/>
        </w:rPr>
        <w:t>Goscha</w:t>
      </w:r>
      <w:proofErr w:type="spellEnd"/>
      <w:r>
        <w:rPr>
          <w:rFonts w:asciiTheme="majorHAnsi" w:hAnsiTheme="majorHAnsi" w:cs="Calibri"/>
          <w:sz w:val="20"/>
          <w:szCs w:val="20"/>
        </w:rPr>
        <w:t>, R.</w:t>
      </w:r>
      <w:r w:rsidRPr="00B344F4">
        <w:rPr>
          <w:rFonts w:asciiTheme="majorHAnsi" w:hAnsiTheme="majorHAnsi" w:cs="Calibri"/>
          <w:sz w:val="20"/>
          <w:szCs w:val="20"/>
        </w:rPr>
        <w:t xml:space="preserve">J. 2011, </w:t>
      </w:r>
      <w:r w:rsidRPr="00B344F4">
        <w:rPr>
          <w:rFonts w:asciiTheme="majorHAnsi" w:hAnsiTheme="majorHAnsi" w:cs="Calibri"/>
          <w:i/>
          <w:iCs/>
          <w:sz w:val="20"/>
          <w:szCs w:val="20"/>
        </w:rPr>
        <w:t>The strengths model: A recovery-oriented approach to mental health services</w:t>
      </w:r>
      <w:r w:rsidRPr="00B344F4">
        <w:rPr>
          <w:rFonts w:asciiTheme="majorHAnsi" w:hAnsiTheme="majorHAnsi" w:cs="Calibri"/>
          <w:sz w:val="20"/>
          <w:szCs w:val="20"/>
        </w:rPr>
        <w:t>, Oxford University Press.</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proofErr w:type="spellStart"/>
      <w:r>
        <w:rPr>
          <w:rFonts w:asciiTheme="majorHAnsi" w:hAnsiTheme="majorHAnsi" w:cs="Calibri"/>
          <w:sz w:val="20"/>
          <w:szCs w:val="20"/>
        </w:rPr>
        <w:t>Reme</w:t>
      </w:r>
      <w:proofErr w:type="spellEnd"/>
      <w:r>
        <w:rPr>
          <w:rFonts w:asciiTheme="majorHAnsi" w:hAnsiTheme="majorHAnsi" w:cs="Calibri"/>
          <w:sz w:val="20"/>
          <w:szCs w:val="20"/>
        </w:rPr>
        <w:t xml:space="preserve">, S.E., </w:t>
      </w:r>
      <w:proofErr w:type="spellStart"/>
      <w:r>
        <w:rPr>
          <w:rFonts w:asciiTheme="majorHAnsi" w:hAnsiTheme="majorHAnsi" w:cs="Calibri"/>
          <w:sz w:val="20"/>
          <w:szCs w:val="20"/>
        </w:rPr>
        <w:t>Grasdal</w:t>
      </w:r>
      <w:proofErr w:type="spellEnd"/>
      <w:r>
        <w:rPr>
          <w:rFonts w:asciiTheme="majorHAnsi" w:hAnsiTheme="majorHAnsi" w:cs="Calibri"/>
          <w:sz w:val="20"/>
          <w:szCs w:val="20"/>
        </w:rPr>
        <w:t xml:space="preserve">, A.L., </w:t>
      </w:r>
      <w:proofErr w:type="spellStart"/>
      <w:r>
        <w:rPr>
          <w:rFonts w:asciiTheme="majorHAnsi" w:hAnsiTheme="majorHAnsi" w:cs="Calibri"/>
          <w:sz w:val="20"/>
          <w:szCs w:val="20"/>
        </w:rPr>
        <w:t>Løvvik</w:t>
      </w:r>
      <w:proofErr w:type="spellEnd"/>
      <w:r>
        <w:rPr>
          <w:rFonts w:asciiTheme="majorHAnsi" w:hAnsiTheme="majorHAnsi" w:cs="Calibri"/>
          <w:sz w:val="20"/>
          <w:szCs w:val="20"/>
        </w:rPr>
        <w:t>, C., Lie, S.</w:t>
      </w:r>
      <w:r w:rsidRPr="00B344F4">
        <w:rPr>
          <w:rFonts w:asciiTheme="majorHAnsi" w:hAnsiTheme="majorHAnsi" w:cs="Calibri"/>
          <w:sz w:val="20"/>
          <w:szCs w:val="20"/>
        </w:rPr>
        <w:t xml:space="preserve">A. &amp; </w:t>
      </w:r>
      <w:proofErr w:type="spellStart"/>
      <w:r w:rsidRPr="00B344F4">
        <w:rPr>
          <w:rFonts w:asciiTheme="majorHAnsi" w:hAnsiTheme="majorHAnsi" w:cs="Calibri"/>
          <w:sz w:val="20"/>
          <w:szCs w:val="20"/>
        </w:rPr>
        <w:t>Øverland</w:t>
      </w:r>
      <w:proofErr w:type="spellEnd"/>
      <w:r w:rsidRPr="00B344F4">
        <w:rPr>
          <w:rFonts w:asciiTheme="majorHAnsi" w:hAnsiTheme="majorHAnsi" w:cs="Calibri"/>
          <w:sz w:val="20"/>
          <w:szCs w:val="20"/>
        </w:rPr>
        <w:t xml:space="preserve">, S. 2015, 'Work-focused cognitive–behavioural therapy and individual job support to increase work participation in common mental disorders: a randomised controlled multicentre trial'. </w:t>
      </w:r>
      <w:proofErr w:type="spellStart"/>
      <w:r w:rsidRPr="00B344F4">
        <w:rPr>
          <w:rFonts w:asciiTheme="majorHAnsi" w:hAnsiTheme="majorHAnsi" w:cs="Calibri"/>
          <w:i/>
          <w:iCs/>
          <w:sz w:val="20"/>
          <w:szCs w:val="20"/>
        </w:rPr>
        <w:t>Occup</w:t>
      </w:r>
      <w:proofErr w:type="spellEnd"/>
      <w:r w:rsidRPr="00B344F4">
        <w:rPr>
          <w:rFonts w:asciiTheme="majorHAnsi" w:hAnsiTheme="majorHAnsi" w:cs="Calibri"/>
          <w:i/>
          <w:iCs/>
          <w:sz w:val="20"/>
          <w:szCs w:val="20"/>
        </w:rPr>
        <w:t xml:space="preserve"> Environ Med</w:t>
      </w:r>
      <w:r w:rsidRPr="00B344F4">
        <w:rPr>
          <w:rFonts w:asciiTheme="majorHAnsi" w:hAnsiTheme="majorHAnsi" w:cs="Calibri"/>
          <w:sz w:val="20"/>
          <w:szCs w:val="20"/>
        </w:rPr>
        <w:t>, vol. 72, no. 10, pp. 745-752.</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Roberts, M.M., &amp; Pratt, C.</w:t>
      </w:r>
      <w:r w:rsidRPr="00B344F4">
        <w:rPr>
          <w:rFonts w:asciiTheme="majorHAnsi" w:hAnsiTheme="majorHAnsi" w:cs="Calibri"/>
          <w:sz w:val="20"/>
          <w:szCs w:val="20"/>
        </w:rPr>
        <w:t xml:space="preserve">W. 2007, 'Putative evidence of employment readiness' </w:t>
      </w:r>
      <w:r w:rsidRPr="00B344F4">
        <w:rPr>
          <w:rFonts w:asciiTheme="majorHAnsi" w:hAnsiTheme="majorHAnsi" w:cs="Calibri"/>
          <w:i/>
          <w:iCs/>
          <w:sz w:val="20"/>
          <w:szCs w:val="20"/>
        </w:rPr>
        <w:t>Psychiatric rehabilitation journal</w:t>
      </w:r>
      <w:r w:rsidRPr="00B344F4">
        <w:rPr>
          <w:rFonts w:asciiTheme="majorHAnsi" w:hAnsiTheme="majorHAnsi" w:cs="Calibri"/>
          <w:sz w:val="20"/>
          <w:szCs w:val="20"/>
        </w:rPr>
        <w:t>, vol. 30, no. 3, p. 175.</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Rog</w:t>
      </w:r>
      <w:r>
        <w:rPr>
          <w:rFonts w:asciiTheme="majorHAnsi" w:hAnsiTheme="majorHAnsi" w:cs="Calibri"/>
          <w:sz w:val="20"/>
          <w:szCs w:val="20"/>
        </w:rPr>
        <w:t xml:space="preserve">ers, E.S., Anthony, W.A., </w:t>
      </w:r>
      <w:proofErr w:type="spellStart"/>
      <w:r>
        <w:rPr>
          <w:rFonts w:asciiTheme="majorHAnsi" w:hAnsiTheme="majorHAnsi" w:cs="Calibri"/>
          <w:sz w:val="20"/>
          <w:szCs w:val="20"/>
        </w:rPr>
        <w:t>Lyass</w:t>
      </w:r>
      <w:proofErr w:type="spellEnd"/>
      <w:r>
        <w:rPr>
          <w:rFonts w:asciiTheme="majorHAnsi" w:hAnsiTheme="majorHAnsi" w:cs="Calibri"/>
          <w:sz w:val="20"/>
          <w:szCs w:val="20"/>
        </w:rPr>
        <w:t xml:space="preserve">, A., &amp; </w:t>
      </w:r>
      <w:proofErr w:type="spellStart"/>
      <w:r>
        <w:rPr>
          <w:rFonts w:asciiTheme="majorHAnsi" w:hAnsiTheme="majorHAnsi" w:cs="Calibri"/>
          <w:sz w:val="20"/>
          <w:szCs w:val="20"/>
        </w:rPr>
        <w:t>Penk</w:t>
      </w:r>
      <w:proofErr w:type="spellEnd"/>
      <w:r>
        <w:rPr>
          <w:rFonts w:asciiTheme="majorHAnsi" w:hAnsiTheme="majorHAnsi" w:cs="Calibri"/>
          <w:sz w:val="20"/>
          <w:szCs w:val="20"/>
        </w:rPr>
        <w:t>, W.</w:t>
      </w:r>
      <w:r w:rsidRPr="00B344F4">
        <w:rPr>
          <w:rFonts w:asciiTheme="majorHAnsi" w:hAnsiTheme="majorHAnsi" w:cs="Calibri"/>
          <w:sz w:val="20"/>
          <w:szCs w:val="20"/>
        </w:rPr>
        <w:t xml:space="preserve">E. 2006, 'A randomized clinical trial of vocational rehabilitation for people with psychiatric disabilities', </w:t>
      </w:r>
      <w:r w:rsidRPr="00B344F4">
        <w:rPr>
          <w:rFonts w:asciiTheme="majorHAnsi" w:hAnsiTheme="majorHAnsi" w:cs="Calibri"/>
          <w:i/>
          <w:iCs/>
          <w:sz w:val="20"/>
          <w:szCs w:val="20"/>
        </w:rPr>
        <w:t>Rehabilitation Counselling Bulletin</w:t>
      </w:r>
      <w:r w:rsidRPr="00B344F4">
        <w:rPr>
          <w:rFonts w:asciiTheme="majorHAnsi" w:hAnsiTheme="majorHAnsi" w:cs="Calibri"/>
          <w:sz w:val="20"/>
          <w:szCs w:val="20"/>
        </w:rPr>
        <w:t>, vol. 49, no. 3, pp. 143-156.</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Rose, V., &amp; </w:t>
      </w:r>
      <w:proofErr w:type="spellStart"/>
      <w:r w:rsidRPr="00B344F4">
        <w:rPr>
          <w:rFonts w:asciiTheme="majorHAnsi" w:hAnsiTheme="majorHAnsi" w:cs="Calibri"/>
          <w:sz w:val="20"/>
          <w:szCs w:val="20"/>
        </w:rPr>
        <w:t>Perz</w:t>
      </w:r>
      <w:proofErr w:type="spellEnd"/>
      <w:r w:rsidRPr="00B344F4">
        <w:rPr>
          <w:rFonts w:asciiTheme="majorHAnsi" w:hAnsiTheme="majorHAnsi" w:cs="Calibri"/>
          <w:sz w:val="20"/>
          <w:szCs w:val="20"/>
        </w:rPr>
        <w:t xml:space="preserve">, J. 2005, 'Is CBT useful in vocational rehabilitation for people with a psychiatric disability?', </w:t>
      </w:r>
      <w:r w:rsidRPr="00B344F4">
        <w:rPr>
          <w:rFonts w:asciiTheme="majorHAnsi" w:hAnsiTheme="majorHAnsi" w:cs="Calibri"/>
          <w:i/>
          <w:iCs/>
          <w:sz w:val="20"/>
          <w:szCs w:val="20"/>
        </w:rPr>
        <w:t>Psychiatric Rehabilitation Journal</w:t>
      </w:r>
      <w:r w:rsidRPr="00B344F4">
        <w:rPr>
          <w:rFonts w:asciiTheme="majorHAnsi" w:hAnsiTheme="majorHAnsi" w:cs="Calibri"/>
          <w:sz w:val="20"/>
          <w:szCs w:val="20"/>
        </w:rPr>
        <w:t>, vol. 29, no.1, p. 56.</w:t>
      </w:r>
    </w:p>
    <w:p w:rsidR="00B344F4" w:rsidRPr="00B344F4" w:rsidRDefault="00B344F4" w:rsidP="00B344F4">
      <w:pPr>
        <w:pStyle w:val="BodyText"/>
        <w:spacing w:beforeLines="60" w:before="144" w:afterLines="60" w:after="144"/>
      </w:pPr>
      <w:r w:rsidRPr="00B344F4">
        <w:t xml:space="preserve">Smith,  M.J., Smith, J.D., Fleming, M.F., Jordan, N, </w:t>
      </w:r>
      <w:proofErr w:type="spellStart"/>
      <w:r w:rsidRPr="00B344F4">
        <w:t>Oulvey</w:t>
      </w:r>
      <w:proofErr w:type="spellEnd"/>
      <w:r w:rsidRPr="00B344F4">
        <w:t xml:space="preserve">, E.A., Bell, M.D., </w:t>
      </w:r>
      <w:proofErr w:type="spellStart"/>
      <w:r w:rsidRPr="00B344F4">
        <w:t>Mueser</w:t>
      </w:r>
      <w:proofErr w:type="spellEnd"/>
      <w:r w:rsidRPr="00B344F4">
        <w:t xml:space="preserve">, K.T., McGurk, S.R., Spencer, E., </w:t>
      </w:r>
      <w:proofErr w:type="spellStart"/>
      <w:r w:rsidRPr="00B344F4">
        <w:t>Mailey</w:t>
      </w:r>
      <w:proofErr w:type="spellEnd"/>
      <w:r>
        <w:t xml:space="preserve"> K. &amp;</w:t>
      </w:r>
      <w:r w:rsidRPr="00B344F4">
        <w:t xml:space="preserve"> </w:t>
      </w:r>
      <w:proofErr w:type="spellStart"/>
      <w:r w:rsidRPr="00B344F4">
        <w:t>Razzano</w:t>
      </w:r>
      <w:proofErr w:type="spellEnd"/>
      <w:r w:rsidRPr="00B344F4">
        <w:t>, L</w:t>
      </w:r>
      <w:r>
        <w:t>.</w:t>
      </w:r>
      <w:r w:rsidRPr="00B344F4">
        <w:t xml:space="preserve"> 2019, ‘Enhancing Individual Placement Support (IPS) – Supported Employment: A Type 1 Hybrid Design Randomized Controlled Trial to Evaluate Virtual Reality Job Interview Training among Adults with Severe Mental Illness’, </w:t>
      </w:r>
      <w:r w:rsidRPr="00B344F4">
        <w:rPr>
          <w:i/>
        </w:rPr>
        <w:t>Contemporary Clinical Trials,</w:t>
      </w:r>
      <w:r>
        <w:t xml:space="preserve"> v</w:t>
      </w:r>
      <w:r w:rsidRPr="00B344F4">
        <w:t>ol. 77, pp</w:t>
      </w:r>
      <w:r>
        <w:t>.</w:t>
      </w:r>
      <w:r w:rsidRPr="00B344F4">
        <w:t xml:space="preserve"> 86-97.</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Pr>
          <w:rFonts w:asciiTheme="majorHAnsi" w:hAnsiTheme="majorHAnsi" w:cs="Calibri"/>
          <w:sz w:val="20"/>
          <w:szCs w:val="20"/>
        </w:rPr>
        <w:t>Tsang, H.</w:t>
      </w:r>
      <w:r w:rsidRPr="00B344F4">
        <w:rPr>
          <w:rFonts w:asciiTheme="majorHAnsi" w:hAnsiTheme="majorHAnsi" w:cs="Calibri"/>
          <w:sz w:val="20"/>
          <w:szCs w:val="20"/>
        </w:rPr>
        <w:t xml:space="preserve">W. 2003, 'Augmenting vocational outcomes of supported employment with social skills training', </w:t>
      </w:r>
      <w:r w:rsidRPr="00B344F4">
        <w:rPr>
          <w:rFonts w:asciiTheme="majorHAnsi" w:hAnsiTheme="majorHAnsi" w:cs="Calibri"/>
          <w:i/>
          <w:iCs/>
          <w:sz w:val="20"/>
          <w:szCs w:val="20"/>
        </w:rPr>
        <w:t>Journal of Rehabilitation</w:t>
      </w:r>
      <w:r w:rsidRPr="00B344F4">
        <w:rPr>
          <w:rFonts w:asciiTheme="majorHAnsi" w:hAnsiTheme="majorHAnsi" w:cs="Calibri"/>
          <w:sz w:val="20"/>
          <w:szCs w:val="20"/>
        </w:rPr>
        <w:t>, vol. 69, no. 3, p. 25.</w:t>
      </w:r>
    </w:p>
    <w:p w:rsidR="608E903F" w:rsidRPr="00B344F4" w:rsidRDefault="145E62AD" w:rsidP="00B344F4">
      <w:pPr>
        <w:pStyle w:val="BodyText"/>
        <w:spacing w:beforeLines="60" w:before="144" w:afterLines="60" w:after="144"/>
        <w:rPr>
          <w:rFonts w:asciiTheme="majorHAnsi" w:hAnsiTheme="majorHAnsi"/>
          <w:szCs w:val="20"/>
        </w:rPr>
      </w:pPr>
      <w:r w:rsidRPr="00B344F4">
        <w:rPr>
          <w:rFonts w:asciiTheme="majorHAnsi" w:hAnsiTheme="majorHAnsi"/>
          <w:szCs w:val="20"/>
        </w:rPr>
        <w:t>Waghorn, G., &amp; Hielscher, E. (2015). The availability of evidence-based practices in supported employment for Australians with severe and persistent mental illness. Australian Occupational Therapy Journal, 62,141–144.</w:t>
      </w:r>
      <w:r w:rsidR="3AB40A8A" w:rsidRPr="00B344F4">
        <w:rPr>
          <w:rFonts w:asciiTheme="majorHAnsi" w:hAnsiTheme="majorHAnsi"/>
          <w:szCs w:val="20"/>
        </w:rPr>
        <w:t xml:space="preserve"> </w:t>
      </w:r>
    </w:p>
    <w:p w:rsidR="00B344F4" w:rsidRPr="00B344F4" w:rsidRDefault="00B344F4" w:rsidP="00B344F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Waghorn, G., </w:t>
      </w:r>
      <w:proofErr w:type="spellStart"/>
      <w:r w:rsidRPr="00B344F4">
        <w:rPr>
          <w:rFonts w:asciiTheme="majorHAnsi" w:hAnsiTheme="majorHAnsi" w:cs="Calibri"/>
          <w:sz w:val="20"/>
          <w:szCs w:val="20"/>
        </w:rPr>
        <w:t>Collister</w:t>
      </w:r>
      <w:proofErr w:type="spellEnd"/>
      <w:r w:rsidRPr="00B344F4">
        <w:rPr>
          <w:rFonts w:asciiTheme="majorHAnsi" w:hAnsiTheme="majorHAnsi" w:cs="Calibri"/>
          <w:sz w:val="20"/>
          <w:szCs w:val="20"/>
        </w:rPr>
        <w:t xml:space="preserve">, L., </w:t>
      </w:r>
      <w:proofErr w:type="spellStart"/>
      <w:r w:rsidRPr="00B344F4">
        <w:rPr>
          <w:rFonts w:asciiTheme="majorHAnsi" w:hAnsiTheme="majorHAnsi" w:cs="Calibri"/>
          <w:sz w:val="20"/>
          <w:szCs w:val="20"/>
        </w:rPr>
        <w:t>Killackey</w:t>
      </w:r>
      <w:proofErr w:type="spellEnd"/>
      <w:r w:rsidRPr="00B344F4">
        <w:rPr>
          <w:rFonts w:asciiTheme="majorHAnsi" w:hAnsiTheme="majorHAnsi" w:cs="Calibri"/>
          <w:sz w:val="20"/>
          <w:szCs w:val="20"/>
        </w:rPr>
        <w:t xml:space="preserve">, E., &amp; </w:t>
      </w:r>
      <w:proofErr w:type="spellStart"/>
      <w:r w:rsidRPr="00B344F4">
        <w:rPr>
          <w:rFonts w:asciiTheme="majorHAnsi" w:hAnsiTheme="majorHAnsi" w:cs="Calibri"/>
          <w:sz w:val="20"/>
          <w:szCs w:val="20"/>
        </w:rPr>
        <w:t>Sherring</w:t>
      </w:r>
      <w:proofErr w:type="spellEnd"/>
      <w:r w:rsidRPr="00B344F4">
        <w:rPr>
          <w:rFonts w:asciiTheme="majorHAnsi" w:hAnsiTheme="majorHAnsi" w:cs="Calibri"/>
          <w:sz w:val="20"/>
          <w:szCs w:val="20"/>
        </w:rPr>
        <w:t xml:space="preserve">, J. 2007, 'Challenges to implementing evidence-based supported employment in Australia', </w:t>
      </w:r>
      <w:r w:rsidRPr="00B344F4">
        <w:rPr>
          <w:rFonts w:asciiTheme="majorHAnsi" w:hAnsiTheme="majorHAnsi" w:cs="Calibri"/>
          <w:i/>
          <w:iCs/>
          <w:sz w:val="20"/>
          <w:szCs w:val="20"/>
        </w:rPr>
        <w:t>Journal of Vocational Rehabilitation</w:t>
      </w:r>
      <w:r w:rsidR="00B17CE6">
        <w:rPr>
          <w:rFonts w:asciiTheme="majorHAnsi" w:hAnsiTheme="majorHAnsi" w:cs="Calibri"/>
          <w:sz w:val="20"/>
          <w:szCs w:val="20"/>
        </w:rPr>
        <w:t>, vol. 27 no. 1, pp. 29</w:t>
      </w:r>
      <w:r w:rsidR="00B17CE6">
        <w:rPr>
          <w:rFonts w:asciiTheme="majorHAnsi" w:hAnsiTheme="majorHAnsi" w:cs="Calibri"/>
          <w:sz w:val="20"/>
          <w:szCs w:val="20"/>
        </w:rPr>
        <w:noBreakHyphen/>
      </w:r>
      <w:r w:rsidRPr="00B344F4">
        <w:rPr>
          <w:rFonts w:asciiTheme="majorHAnsi" w:hAnsiTheme="majorHAnsi" w:cs="Calibri"/>
          <w:sz w:val="20"/>
          <w:szCs w:val="20"/>
        </w:rPr>
        <w:t>37.</w:t>
      </w:r>
    </w:p>
    <w:p w:rsidR="5FD55156" w:rsidRDefault="00B344F4" w:rsidP="00072144">
      <w:pPr>
        <w:pStyle w:val="NormalWeb"/>
        <w:spacing w:beforeLines="60" w:before="144" w:beforeAutospacing="0" w:afterLines="60" w:after="144" w:afterAutospacing="0"/>
        <w:rPr>
          <w:rFonts w:asciiTheme="majorHAnsi" w:hAnsiTheme="majorHAnsi" w:cs="Calibri"/>
          <w:sz w:val="20"/>
          <w:szCs w:val="20"/>
        </w:rPr>
      </w:pPr>
      <w:r w:rsidRPr="00B344F4">
        <w:rPr>
          <w:rFonts w:asciiTheme="majorHAnsi" w:hAnsiTheme="majorHAnsi" w:cs="Calibri"/>
          <w:sz w:val="20"/>
          <w:szCs w:val="20"/>
        </w:rPr>
        <w:t xml:space="preserve">Waghorn, G., </w:t>
      </w:r>
      <w:proofErr w:type="spellStart"/>
      <w:r w:rsidRPr="00B344F4">
        <w:rPr>
          <w:rFonts w:asciiTheme="majorHAnsi" w:hAnsiTheme="majorHAnsi" w:cs="Calibri"/>
          <w:sz w:val="20"/>
          <w:szCs w:val="20"/>
        </w:rPr>
        <w:t>Killackey</w:t>
      </w:r>
      <w:proofErr w:type="spellEnd"/>
      <w:r w:rsidRPr="00B344F4">
        <w:rPr>
          <w:rFonts w:asciiTheme="majorHAnsi" w:hAnsiTheme="majorHAnsi" w:cs="Calibri"/>
          <w:sz w:val="20"/>
          <w:szCs w:val="20"/>
        </w:rPr>
        <w:t xml:space="preserve">, E., Dickson, P., Brock, L. &amp; Skate, C. 2019, 'Evidence-Based Supported Employment for People </w:t>
      </w:r>
      <w:proofErr w:type="gramStart"/>
      <w:r w:rsidRPr="00B344F4">
        <w:rPr>
          <w:rFonts w:asciiTheme="majorHAnsi" w:hAnsiTheme="majorHAnsi" w:cs="Calibri"/>
          <w:sz w:val="20"/>
          <w:szCs w:val="20"/>
        </w:rPr>
        <w:t>With</w:t>
      </w:r>
      <w:proofErr w:type="gramEnd"/>
      <w:r w:rsidRPr="00B344F4">
        <w:rPr>
          <w:rFonts w:asciiTheme="majorHAnsi" w:hAnsiTheme="majorHAnsi" w:cs="Calibri"/>
          <w:sz w:val="20"/>
          <w:szCs w:val="20"/>
        </w:rPr>
        <w:t xml:space="preserve"> Psychiatric Disabilities in Australia: Progress in the Past 15 Years', </w:t>
      </w:r>
      <w:r w:rsidRPr="00B344F4">
        <w:rPr>
          <w:rFonts w:asciiTheme="majorHAnsi" w:hAnsiTheme="majorHAnsi" w:cs="Calibri"/>
          <w:i/>
          <w:iCs/>
          <w:sz w:val="20"/>
          <w:szCs w:val="20"/>
        </w:rPr>
        <w:t>Psychiatric Rehabilitation Journal</w:t>
      </w:r>
      <w:r w:rsidRPr="00B344F4">
        <w:rPr>
          <w:rFonts w:asciiTheme="majorHAnsi" w:hAnsiTheme="majorHAnsi" w:cs="Calibri"/>
          <w:sz w:val="20"/>
          <w:szCs w:val="20"/>
        </w:rPr>
        <w:t xml:space="preserve">, vol. 43, no. 1, pp. 32-39. </w:t>
      </w:r>
    </w:p>
    <w:p w:rsidR="00CF0B09" w:rsidRPr="00072144" w:rsidRDefault="00CF0B09" w:rsidP="00072144">
      <w:pPr>
        <w:pStyle w:val="NormalWeb"/>
        <w:spacing w:beforeLines="60" w:before="144" w:beforeAutospacing="0" w:afterLines="60" w:after="144" w:afterAutospacing="0"/>
        <w:rPr>
          <w:rFonts w:asciiTheme="majorHAnsi" w:hAnsiTheme="majorHAnsi" w:cs="Calibri"/>
          <w:sz w:val="20"/>
          <w:szCs w:val="20"/>
        </w:rPr>
      </w:pPr>
    </w:p>
    <w:p w:rsidR="3B57A2E4" w:rsidRDefault="00DB7A17" w:rsidP="00DB7A17">
      <w:pPr>
        <w:pStyle w:val="Appendixheading"/>
      </w:pPr>
      <w:bookmarkStart w:id="51" w:name="_Ref46394809"/>
      <w:bookmarkStart w:id="52" w:name="_Toc46398194"/>
      <w:r>
        <w:lastRenderedPageBreak/>
        <w:t>: Search terms</w:t>
      </w:r>
      <w:bookmarkEnd w:id="51"/>
      <w:bookmarkEnd w:id="52"/>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0"/>
        <w:gridCol w:w="4530"/>
      </w:tblGrid>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Age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ideal age</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young people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young people ideal age</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age cohort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young people target age</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ideal age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age appropriateness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age appropriateness for young people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age cohort</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recommended age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age of "individual placement and support" participants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age of people in "individual placement and support"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ideal ag</w:t>
            </w:r>
            <w:r>
              <w:rPr>
                <w:rFonts w:asciiTheme="majorHAnsi" w:hAnsiTheme="majorHAnsi"/>
                <w:szCs w:val="20"/>
              </w:rPr>
              <w:t>e</w:t>
            </w:r>
          </w:p>
        </w:tc>
        <w:tc>
          <w:tcPr>
            <w:tcW w:w="4530" w:type="dxa"/>
          </w:tcPr>
          <w:p w:rsidR="007D084B" w:rsidRPr="001A6BDD" w:rsidRDefault="007D084B" w:rsidP="00040183">
            <w:pPr>
              <w:pStyle w:val="BodyText"/>
              <w:jc w:val="left"/>
              <w:rPr>
                <w:rFonts w:asciiTheme="majorHAnsi" w:hAnsiTheme="majorHAnsi"/>
                <w:szCs w:val="20"/>
              </w:rPr>
            </w:pP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Indigenous Populations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Indigenous</w:t>
            </w:r>
          </w:p>
        </w:tc>
        <w:tc>
          <w:tcPr>
            <w:tcW w:w="4530" w:type="dxa"/>
          </w:tcPr>
          <w:p w:rsidR="007D084B" w:rsidRPr="001A6BDD" w:rsidRDefault="007D084B" w:rsidP="00040183">
            <w:pPr>
              <w:pStyle w:val="BodyText"/>
              <w:jc w:val="left"/>
              <w:rPr>
                <w:rFonts w:asciiTheme="majorHAnsi" w:hAnsiTheme="majorHAnsi"/>
                <w:szCs w:val="20"/>
              </w:rPr>
            </w:pP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Location</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ideal location</w:t>
            </w:r>
          </w:p>
        </w:tc>
        <w:tc>
          <w:tcPr>
            <w:tcW w:w="4530" w:type="dxa"/>
          </w:tcPr>
          <w:p w:rsidR="007D084B" w:rsidRPr="001A6BDD" w:rsidRDefault="007D084B" w:rsidP="00040183">
            <w:pPr>
              <w:pStyle w:val="BodyText"/>
              <w:rPr>
                <w:rFonts w:asciiTheme="majorHAnsi" w:hAnsiTheme="majorHAnsi"/>
                <w:szCs w:val="20"/>
              </w:rPr>
            </w:pPr>
            <w:r w:rsidRPr="001A6BDD">
              <w:rPr>
                <w:rFonts w:asciiTheme="majorHAnsi" w:hAnsiTheme="majorHAnsi"/>
                <w:szCs w:val="20"/>
              </w:rPr>
              <w:t>"individual placement and support" locations with limited employment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rural</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town</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support" employment model effectiveness based on remoteness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support employment model effectiveness based on remoteness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support model effectiveness based on remoteness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IPS model and location variables</w:t>
            </w: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Outcomes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Improved outcomes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Improved outcomes and IPS model</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improved outcomes and IPS model</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improving outcomes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IPS cohort groups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IPS model cohort groups</w:t>
            </w: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Technology</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use of technology</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use of technology</w:t>
            </w: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lastRenderedPageBreak/>
              <w:t>Obligations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model why are there no mutual obligations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scale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compulsory</w:t>
            </w:r>
          </w:p>
        </w:tc>
        <w:tc>
          <w:tcPr>
            <w:tcW w:w="4530" w:type="dxa"/>
          </w:tcPr>
          <w:p w:rsidR="007D084B" w:rsidRPr="001A6BDD" w:rsidRDefault="0039776C" w:rsidP="00040183">
            <w:pPr>
              <w:pStyle w:val="BodyText"/>
              <w:jc w:val="left"/>
              <w:rPr>
                <w:rFonts w:asciiTheme="majorHAnsi" w:hAnsiTheme="majorHAnsi"/>
                <w:szCs w:val="20"/>
              </w:rPr>
            </w:pPr>
            <w:r>
              <w:rPr>
                <w:rFonts w:asciiTheme="majorHAnsi" w:hAnsiTheme="majorHAnsi"/>
                <w:szCs w:val="20"/>
              </w:rPr>
              <w:t>I</w:t>
            </w:r>
            <w:r w:rsidR="007D084B" w:rsidRPr="001A6BDD">
              <w:rPr>
                <w:rFonts w:asciiTheme="majorHAnsi" w:hAnsiTheme="majorHAnsi"/>
                <w:szCs w:val="20"/>
              </w:rPr>
              <w:t xml:space="preserve">ndividual Placement and Support </w:t>
            </w:r>
            <w:r>
              <w:rPr>
                <w:rFonts w:asciiTheme="majorHAnsi" w:hAnsiTheme="majorHAnsi"/>
                <w:szCs w:val="20"/>
              </w:rPr>
              <w:t>M</w:t>
            </w:r>
            <w:r w:rsidR="007D084B" w:rsidRPr="001A6BDD">
              <w:rPr>
                <w:rFonts w:asciiTheme="majorHAnsi" w:hAnsiTheme="majorHAnsi"/>
                <w:szCs w:val="20"/>
              </w:rPr>
              <w:t>odel with mutual obligations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job search obligations mental health</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Mental health and mutual obligations for job seekers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mutual obligations for job seekers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mutual obligations for people with mental illness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mutual obligations impact on people with poor mental health</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issues with resolving mental illness</w:t>
            </w: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Peer Mentoring</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peer mentoring in IPS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peer mentor individual placement support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peer mentoring in IPS model</w:t>
            </w:r>
          </w:p>
        </w:tc>
        <w:tc>
          <w:tcPr>
            <w:tcW w:w="4530" w:type="dxa"/>
          </w:tcPr>
          <w:p w:rsidR="007D084B" w:rsidRPr="001A6BDD" w:rsidRDefault="007D084B" w:rsidP="00040183">
            <w:pPr>
              <w:pStyle w:val="BodyText"/>
              <w:jc w:val="left"/>
              <w:rPr>
                <w:rFonts w:asciiTheme="majorHAnsi" w:hAnsiTheme="majorHAnsi"/>
                <w:szCs w:val="20"/>
              </w:rPr>
            </w:pP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Education</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for education</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of supported employment but education</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"education for young adults</w:t>
            </w:r>
          </w:p>
        </w:tc>
        <w:tc>
          <w:tcPr>
            <w:tcW w:w="4530" w:type="dxa"/>
          </w:tcPr>
          <w:p w:rsidR="007D084B" w:rsidRPr="001A6BDD" w:rsidRDefault="007D084B" w:rsidP="00040183">
            <w:pPr>
              <w:pStyle w:val="BodyText"/>
              <w:rPr>
                <w:rFonts w:asciiTheme="majorHAnsi" w:hAnsiTheme="majorHAnsi"/>
                <w:szCs w:val="20"/>
              </w:rPr>
            </w:pP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Employment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working life</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peer employment model</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tiered support for IPS employment model</w:t>
            </w:r>
          </w:p>
        </w:tc>
        <w:tc>
          <w:tcPr>
            <w:tcW w:w="4530" w:type="dxa"/>
          </w:tcPr>
          <w:p w:rsidR="007D084B" w:rsidRPr="001A6BDD" w:rsidRDefault="007D084B" w:rsidP="00040183">
            <w:pPr>
              <w:pStyle w:val="BodyText"/>
              <w:rPr>
                <w:rFonts w:asciiTheme="majorHAnsi" w:hAnsiTheme="majorHAnsi"/>
                <w:szCs w:val="20"/>
              </w:rPr>
            </w:pP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Young Person Centred</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for youth</w:t>
            </w:r>
          </w:p>
        </w:tc>
        <w:tc>
          <w:tcPr>
            <w:tcW w:w="4530" w:type="dxa"/>
          </w:tcPr>
          <w:p w:rsidR="007D084B" w:rsidRPr="001A6BDD" w:rsidRDefault="007D084B" w:rsidP="00040183">
            <w:pPr>
              <w:pStyle w:val="BodyText"/>
              <w:rPr>
                <w:rFonts w:asciiTheme="majorHAnsi" w:hAnsiTheme="majorHAnsi"/>
                <w:szCs w:val="20"/>
              </w:rPr>
            </w:pPr>
            <w:r w:rsidRPr="001A6BDD">
              <w:rPr>
                <w:rFonts w:asciiTheme="majorHAnsi" w:hAnsiTheme="majorHAnsi"/>
                <w:szCs w:val="20"/>
              </w:rPr>
              <w:t>"individual placement and support" young people start age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young people</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how young is too young to start "individual placement and support"?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average age young people age "individual placement and support"</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average age young people enter "individual placement and support"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 xml:space="preserve">individual placement "employment for 12 to </w:t>
            </w:r>
            <w:proofErr w:type="gramStart"/>
            <w:r w:rsidRPr="001A6BDD">
              <w:rPr>
                <w:rFonts w:asciiTheme="majorHAnsi" w:hAnsiTheme="majorHAnsi"/>
                <w:szCs w:val="20"/>
              </w:rPr>
              <w:t>25 year</w:t>
            </w:r>
            <w:proofErr w:type="gramEnd"/>
            <w:r w:rsidRPr="001A6BDD">
              <w:rPr>
                <w:rFonts w:asciiTheme="majorHAnsi" w:hAnsiTheme="majorHAnsi"/>
                <w:szCs w:val="20"/>
              </w:rPr>
              <w:t xml:space="preserve"> </w:t>
            </w:r>
            <w:proofErr w:type="spellStart"/>
            <w:r w:rsidRPr="001A6BDD">
              <w:rPr>
                <w:rFonts w:asciiTheme="majorHAnsi" w:hAnsiTheme="majorHAnsi"/>
                <w:szCs w:val="20"/>
              </w:rPr>
              <w:t>olds</w:t>
            </w:r>
            <w:proofErr w:type="spellEnd"/>
            <w:r w:rsidRPr="001A6BDD">
              <w:rPr>
                <w:rFonts w:asciiTheme="majorHAnsi" w:hAnsiTheme="majorHAnsi"/>
                <w:szCs w:val="20"/>
              </w:rPr>
              <w:t>"</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"employment for teenagers"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w:t>
            </w:r>
            <w:r>
              <w:rPr>
                <w:rFonts w:asciiTheme="majorHAnsi" w:hAnsiTheme="majorHAnsi"/>
                <w:szCs w:val="20"/>
              </w:rPr>
              <w:t>d</w:t>
            </w:r>
            <w:r w:rsidRPr="001A6BDD">
              <w:rPr>
                <w:rFonts w:asciiTheme="majorHAnsi" w:hAnsiTheme="majorHAnsi"/>
                <w:szCs w:val="20"/>
              </w:rPr>
              <w:t>ual placement "employment for young adults"</w:t>
            </w:r>
          </w:p>
        </w:tc>
        <w:tc>
          <w:tcPr>
            <w:tcW w:w="4530" w:type="dxa"/>
          </w:tcPr>
          <w:p w:rsidR="007D084B" w:rsidRPr="001A6BDD" w:rsidRDefault="007D084B" w:rsidP="00040183">
            <w:pPr>
              <w:pStyle w:val="BodyText"/>
              <w:jc w:val="left"/>
              <w:rPr>
                <w:rFonts w:asciiTheme="majorHAnsi" w:hAnsiTheme="majorHAnsi"/>
                <w:szCs w:val="20"/>
              </w:rPr>
            </w:pPr>
          </w:p>
        </w:tc>
      </w:tr>
      <w:tr w:rsidR="007D084B" w:rsidRPr="001A6BDD" w:rsidTr="00040183">
        <w:tc>
          <w:tcPr>
            <w:tcW w:w="9060" w:type="dxa"/>
            <w:gridSpan w:val="2"/>
            <w:shd w:val="clear" w:color="auto" w:fill="005EB8"/>
            <w:vAlign w:val="center"/>
          </w:tcPr>
          <w:p w:rsidR="007D084B" w:rsidRPr="001A6BDD" w:rsidRDefault="007D084B" w:rsidP="007D084B">
            <w:pPr>
              <w:pStyle w:val="BodyText"/>
              <w:keepNext/>
              <w:jc w:val="center"/>
              <w:rPr>
                <w:rFonts w:asciiTheme="majorHAnsi" w:hAnsiTheme="majorHAnsi"/>
                <w:szCs w:val="20"/>
              </w:rPr>
            </w:pPr>
            <w:r w:rsidRPr="00F95D15">
              <w:rPr>
                <w:rFonts w:asciiTheme="majorHAnsi" w:hAnsiTheme="majorHAnsi"/>
                <w:b/>
                <w:color w:val="FFFFFF" w:themeColor="background1"/>
                <w:szCs w:val="20"/>
              </w:rPr>
              <w:lastRenderedPageBreak/>
              <w:t>Government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independent placement support and government service provision</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intensive service support and government service provision</w:t>
            </w:r>
          </w:p>
        </w:tc>
      </w:tr>
      <w:tr w:rsidR="007D084B" w:rsidRPr="001A6BDD" w:rsidTr="00040183">
        <w:tc>
          <w:tcPr>
            <w:tcW w:w="9060" w:type="dxa"/>
            <w:gridSpan w:val="2"/>
            <w:shd w:val="clear" w:color="auto" w:fill="005EB8"/>
            <w:vAlign w:val="center"/>
          </w:tcPr>
          <w:p w:rsidR="007D084B" w:rsidRPr="001A6BDD" w:rsidRDefault="007D084B" w:rsidP="00CF0B09">
            <w:pPr>
              <w:pStyle w:val="Tableheadingcentred"/>
            </w:pPr>
            <w:r w:rsidRPr="00F95D15">
              <w:t>Future Expansions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of supported employment</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of supported employment and expanding for the future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model of supported employment and expanding service size</w:t>
            </w:r>
          </w:p>
        </w:tc>
        <w:tc>
          <w:tcPr>
            <w:tcW w:w="4530" w:type="dxa"/>
          </w:tcPr>
          <w:p w:rsidR="007D084B" w:rsidRPr="001A6BDD" w:rsidRDefault="007D084B" w:rsidP="00040183">
            <w:pPr>
              <w:pStyle w:val="BodyText"/>
              <w:jc w:val="left"/>
              <w:rPr>
                <w:rFonts w:asciiTheme="majorHAnsi" w:eastAsiaTheme="minorEastAsia" w:hAnsiTheme="majorHAnsi"/>
                <w:szCs w:val="20"/>
              </w:rPr>
            </w:pPr>
            <w:r w:rsidRPr="001A6BDD">
              <w:rPr>
                <w:rFonts w:asciiTheme="majorHAnsi" w:hAnsiTheme="majorHAnsi"/>
                <w:szCs w:val="20"/>
              </w:rPr>
              <w:t>Individual placement and support</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and support adjustments</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individual placement support model cohort groups</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IPS and adaptive model</w:t>
            </w:r>
          </w:p>
        </w:tc>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IPS model and ability to increase</w:t>
            </w:r>
          </w:p>
        </w:tc>
      </w:tr>
      <w:tr w:rsidR="007D084B" w:rsidRPr="001A6BDD" w:rsidTr="00040183">
        <w:tc>
          <w:tcPr>
            <w:tcW w:w="4530" w:type="dxa"/>
          </w:tcPr>
          <w:p w:rsidR="007D084B" w:rsidRPr="001A6BDD" w:rsidRDefault="007D084B" w:rsidP="00040183">
            <w:pPr>
              <w:pStyle w:val="BodyText"/>
              <w:jc w:val="left"/>
              <w:rPr>
                <w:rFonts w:asciiTheme="majorHAnsi" w:hAnsiTheme="majorHAnsi"/>
                <w:szCs w:val="20"/>
              </w:rPr>
            </w:pPr>
            <w:r w:rsidRPr="001A6BDD">
              <w:rPr>
                <w:rFonts w:asciiTheme="majorHAnsi" w:hAnsiTheme="majorHAnsi"/>
                <w:szCs w:val="20"/>
              </w:rPr>
              <w:t>IPS model and ability to scale</w:t>
            </w:r>
          </w:p>
        </w:tc>
        <w:tc>
          <w:tcPr>
            <w:tcW w:w="4530" w:type="dxa"/>
          </w:tcPr>
          <w:p w:rsidR="007D084B" w:rsidRPr="001A6BDD" w:rsidRDefault="007D084B" w:rsidP="00040183">
            <w:pPr>
              <w:pStyle w:val="BodyText"/>
              <w:jc w:val="left"/>
              <w:rPr>
                <w:rFonts w:asciiTheme="majorHAnsi" w:hAnsiTheme="majorHAnsi"/>
                <w:szCs w:val="20"/>
              </w:rPr>
            </w:pPr>
          </w:p>
        </w:tc>
      </w:tr>
    </w:tbl>
    <w:p w:rsidR="007D084B" w:rsidRPr="007D084B" w:rsidRDefault="007D084B" w:rsidP="007D084B"/>
    <w:p w:rsidR="00DB7A17" w:rsidRPr="00DB7A17" w:rsidRDefault="00DB7A17" w:rsidP="00DB7A17">
      <w:pPr>
        <w:sectPr w:rsidR="00DB7A17" w:rsidRPr="00DB7A17" w:rsidSect="00B41AC3">
          <w:pgSz w:w="11906" w:h="16838"/>
          <w:pgMar w:top="1134" w:right="1418" w:bottom="1418" w:left="1418" w:header="709" w:footer="510" w:gutter="0"/>
          <w:cols w:space="708"/>
          <w:docGrid w:linePitch="360"/>
        </w:sectPr>
      </w:pPr>
    </w:p>
    <w:p w:rsidR="00CC7A82" w:rsidRPr="00E50010" w:rsidRDefault="00CC7A82" w:rsidP="00CC7A82">
      <w:pPr>
        <w:pStyle w:val="Contactus"/>
        <w:rPr>
          <w:rFonts w:ascii="KPMG Extralight" w:hAnsi="KPMG Extralight"/>
          <w:b w:val="0"/>
          <w:color w:val="00338D" w:themeColor="text2"/>
          <w:sz w:val="144"/>
        </w:rPr>
      </w:pPr>
      <w:r w:rsidRPr="00E50010">
        <w:rPr>
          <w:rFonts w:ascii="KPMG Extralight" w:hAnsi="KPMG Extralight"/>
          <w:b w:val="0"/>
          <w:color w:val="00338D" w:themeColor="text2"/>
          <w:sz w:val="144"/>
        </w:rPr>
        <w:lastRenderedPageBreak/>
        <w:t>Contact us</w:t>
      </w: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b/>
          <w:bCs/>
          <w:color w:val="000000"/>
          <w:kern w:val="24"/>
          <w:sz w:val="22"/>
          <w:szCs w:val="24"/>
          <w:lang w:val="en-US" w:eastAsia="en-AU"/>
        </w:rPr>
        <w:t>Ben Wallace</w:t>
      </w: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color w:val="000000"/>
          <w:kern w:val="24"/>
          <w:sz w:val="22"/>
          <w:szCs w:val="24"/>
          <w:lang w:val="en-US" w:eastAsia="en-AU"/>
        </w:rPr>
        <w:t>Project Partner</w:t>
      </w:r>
    </w:p>
    <w:p w:rsidR="003C2DD9" w:rsidRPr="003C2DD9" w:rsidRDefault="00A71380" w:rsidP="003C2DD9">
      <w:pPr>
        <w:kinsoku w:val="0"/>
        <w:overflowPunct w:val="0"/>
        <w:spacing w:before="0" w:after="0"/>
        <w:textAlignment w:val="baseline"/>
        <w:rPr>
          <w:rFonts w:ascii="Times New Roman" w:eastAsia="Times New Roman" w:hAnsi="Times New Roman" w:cs="Times New Roman"/>
          <w:sz w:val="22"/>
          <w:szCs w:val="24"/>
          <w:lang w:eastAsia="en-AU"/>
        </w:rPr>
      </w:pPr>
      <w:hyperlink r:id="rId30" w:history="1">
        <w:r w:rsidR="003C2DD9" w:rsidRPr="003C2DD9">
          <w:rPr>
            <w:rFonts w:ascii="Univers 45 Light" w:eastAsia="+mn-ea" w:hAnsi="Univers 45 Light" w:cs="+mn-cs"/>
            <w:color w:val="000000"/>
            <w:kern w:val="24"/>
            <w:sz w:val="22"/>
            <w:szCs w:val="24"/>
            <w:u w:val="single"/>
            <w:lang w:val="en-US" w:eastAsia="en-AU"/>
          </w:rPr>
          <w:t>bwallace@kpmg.com.au</w:t>
        </w:r>
      </w:hyperlink>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color w:val="000000"/>
          <w:kern w:val="24"/>
          <w:sz w:val="22"/>
          <w:szCs w:val="24"/>
          <w:lang w:val="en-US" w:eastAsia="en-AU"/>
        </w:rPr>
        <w:t>Mob: 0438 657 609</w:t>
      </w: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color w:val="000000"/>
          <w:kern w:val="24"/>
          <w:sz w:val="22"/>
          <w:szCs w:val="24"/>
          <w:lang w:val="en-US" w:eastAsia="en-AU"/>
        </w:rPr>
        <w:t>Tel: 08 8236 3432</w:t>
      </w:r>
    </w:p>
    <w:p w:rsidR="00CC7A82" w:rsidRPr="003C2DD9" w:rsidRDefault="00CC7A82" w:rsidP="00CC7A82">
      <w:pPr>
        <w:rPr>
          <w:sz w:val="18"/>
        </w:rPr>
      </w:pP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b/>
          <w:bCs/>
          <w:color w:val="000000"/>
          <w:kern w:val="24"/>
          <w:sz w:val="22"/>
          <w:szCs w:val="24"/>
          <w:lang w:eastAsia="en-AU"/>
        </w:rPr>
        <w:t>Kim Hawthorne</w:t>
      </w:r>
      <w:r w:rsidRPr="003C2DD9">
        <w:rPr>
          <w:rFonts w:ascii="Univers 45 Light" w:eastAsia="+mn-ea" w:hAnsi="Univers 45 Light" w:cs="Arial"/>
          <w:b/>
          <w:bCs/>
          <w:color w:val="000000"/>
          <w:kern w:val="24"/>
          <w:sz w:val="22"/>
          <w:szCs w:val="24"/>
          <w:lang w:eastAsia="en-AU"/>
        </w:rPr>
        <w:br/>
      </w:r>
      <w:r w:rsidRPr="003C2DD9">
        <w:rPr>
          <w:rFonts w:ascii="Univers 45 Light" w:eastAsia="+mn-ea" w:hAnsi="Univers 45 Light" w:cs="Arial"/>
          <w:color w:val="000000"/>
          <w:kern w:val="24"/>
          <w:sz w:val="22"/>
          <w:szCs w:val="24"/>
          <w:lang w:eastAsia="en-AU"/>
        </w:rPr>
        <w:t>Project Manager and statistical lead</w:t>
      </w:r>
    </w:p>
    <w:p w:rsidR="003C2DD9" w:rsidRPr="003C2DD9" w:rsidRDefault="00A71380" w:rsidP="003C2DD9">
      <w:pPr>
        <w:kinsoku w:val="0"/>
        <w:overflowPunct w:val="0"/>
        <w:spacing w:before="0" w:after="0"/>
        <w:textAlignment w:val="baseline"/>
        <w:rPr>
          <w:rFonts w:ascii="Times New Roman" w:eastAsia="Times New Roman" w:hAnsi="Times New Roman" w:cs="Times New Roman"/>
          <w:sz w:val="22"/>
          <w:szCs w:val="24"/>
          <w:lang w:eastAsia="en-AU"/>
        </w:rPr>
      </w:pPr>
      <w:hyperlink r:id="rId31" w:history="1">
        <w:r w:rsidR="003C2DD9" w:rsidRPr="003C2DD9">
          <w:rPr>
            <w:rFonts w:ascii="Univers 45 Light" w:eastAsia="+mn-ea" w:hAnsi="Univers 45 Light" w:cs="Arial"/>
            <w:color w:val="000000"/>
            <w:kern w:val="24"/>
            <w:sz w:val="22"/>
            <w:szCs w:val="24"/>
            <w:u w:val="single"/>
            <w:lang w:eastAsia="en-AU"/>
          </w:rPr>
          <w:t>khawthorne@kpmg.com.au</w:t>
        </w:r>
      </w:hyperlink>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eastAsia="en-AU"/>
        </w:rPr>
        <w:t>Mob: 0422 072 108</w:t>
      </w: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val="en-US" w:eastAsia="en-AU"/>
        </w:rPr>
        <w:t>Tel: 08 9263 7224</w:t>
      </w:r>
    </w:p>
    <w:p w:rsidR="00CC7A82" w:rsidRPr="003C2DD9" w:rsidRDefault="00CC7A82" w:rsidP="003C2DD9">
      <w:pPr>
        <w:pStyle w:val="BodyTextSingleSpacing"/>
        <w:rPr>
          <w:sz w:val="18"/>
        </w:rPr>
      </w:pP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b/>
          <w:bCs/>
          <w:color w:val="000000"/>
          <w:kern w:val="24"/>
          <w:sz w:val="22"/>
          <w:szCs w:val="24"/>
          <w:lang w:eastAsia="en-AU"/>
        </w:rPr>
        <w:t>Stephanie Carter</w:t>
      </w:r>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eastAsia="en-AU"/>
        </w:rPr>
        <w:t>Project Manager and report lead</w:t>
      </w:r>
    </w:p>
    <w:p w:rsidR="003C2DD9" w:rsidRPr="003C2DD9" w:rsidRDefault="00A71380" w:rsidP="003C2DD9">
      <w:pPr>
        <w:kinsoku w:val="0"/>
        <w:overflowPunct w:val="0"/>
        <w:spacing w:before="0" w:after="0"/>
        <w:textAlignment w:val="baseline"/>
        <w:rPr>
          <w:rFonts w:ascii="Times New Roman" w:eastAsia="Times New Roman" w:hAnsi="Times New Roman" w:cs="Times New Roman"/>
          <w:sz w:val="22"/>
          <w:szCs w:val="24"/>
          <w:lang w:eastAsia="en-AU"/>
        </w:rPr>
      </w:pPr>
      <w:hyperlink r:id="rId32" w:history="1">
        <w:r w:rsidR="003C2DD9" w:rsidRPr="003C2DD9">
          <w:rPr>
            <w:rFonts w:ascii="Univers 45 Light" w:eastAsia="+mn-ea" w:hAnsi="Univers 45 Light" w:cs="Arial"/>
            <w:color w:val="000000"/>
            <w:kern w:val="24"/>
            <w:sz w:val="22"/>
            <w:szCs w:val="24"/>
            <w:u w:val="single"/>
            <w:lang w:eastAsia="en-AU"/>
          </w:rPr>
          <w:t>scarter3@kpmg.com.au</w:t>
        </w:r>
      </w:hyperlink>
    </w:p>
    <w:p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val="en-US" w:eastAsia="en-AU"/>
        </w:rPr>
        <w:t>Tel: 08 8236 3443</w:t>
      </w:r>
    </w:p>
    <w:p w:rsidR="003C2DD9" w:rsidRDefault="003C2DD9" w:rsidP="003C2DD9">
      <w:pPr>
        <w:pStyle w:val="BodyTextSingleSpacing"/>
      </w:pPr>
    </w:p>
    <w:sectPr w:rsidR="003C2DD9" w:rsidSect="0048062E">
      <w:headerReference w:type="even" r:id="rId33"/>
      <w:headerReference w:type="default" r:id="rId34"/>
      <w:footerReference w:type="default" r:id="rId35"/>
      <w:headerReference w:type="first" r:id="rId36"/>
      <w:pgSz w:w="11906" w:h="16838"/>
      <w:pgMar w:top="2835" w:right="1418" w:bottom="3402"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380" w:rsidRDefault="00A71380" w:rsidP="004A3F32">
      <w:pPr>
        <w:spacing w:after="0"/>
      </w:pPr>
      <w:r>
        <w:separator/>
      </w:r>
    </w:p>
  </w:endnote>
  <w:endnote w:type="continuationSeparator" w:id="0">
    <w:p w:rsidR="00A71380" w:rsidRDefault="00A71380" w:rsidP="004A3F32">
      <w:pPr>
        <w:spacing w:after="0"/>
      </w:pPr>
      <w:r>
        <w:continuationSeparator/>
      </w:r>
    </w:p>
  </w:endnote>
  <w:endnote w:type="continuationNotice" w:id="1">
    <w:p w:rsidR="00A71380" w:rsidRDefault="00A713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auto"/>
    <w:pitch w:val="variable"/>
    <w:sig w:usb0="8000002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KPMG Extralight">
    <w:altName w:val="Calibri"/>
    <w:panose1 w:val="020B030303020204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KPMG Light">
    <w:panose1 w:val="020B040303020204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Footer"/>
    </w:pPr>
    <w:r>
      <w:fldChar w:fldCharType="begin"/>
    </w:r>
    <w:r>
      <w:instrText xml:space="preserve">filename </w:instrText>
    </w:r>
    <w:r>
      <w:fldChar w:fldCharType="separate"/>
    </w:r>
    <w:r>
      <w:rPr>
        <w:noProof/>
      </w:rPr>
      <w:t>Document2</w:t>
    </w:r>
    <w:r>
      <w:fldChar w:fldCharType="end"/>
    </w:r>
    <w:r>
      <w:tab/>
    </w:r>
    <w:r>
      <w:rPr>
        <w:rStyle w:val="PageNumber"/>
      </w:rPr>
      <w:fldChar w:fldCharType="begin"/>
    </w:r>
    <w:r>
      <w:rPr>
        <w:rStyle w:val="PageNumber"/>
      </w:rPr>
      <w:instrText>page \* arabic</w:instrText>
    </w:r>
    <w:r>
      <w:rPr>
        <w:rStyle w:val="PageNumber"/>
      </w:rPr>
      <w:fldChar w:fldCharType="separate"/>
    </w:r>
    <w:r w:rsidR="005D74C4">
      <w:rPr>
        <w:rStyle w:val="PageNumber"/>
        <w:noProof/>
      </w:rPr>
      <w:t>1</w:t>
    </w:r>
    <w:r>
      <w:rPr>
        <w:rStyle w:val="PageNumber"/>
      </w:rPr>
      <w:fldChar w:fldCharType="end"/>
    </w:r>
  </w:p>
  <w:p w:rsidR="00312643" w:rsidRDefault="00312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441507"/>
      <w:docPartObj>
        <w:docPartGallery w:val="Page Numbers (Bottom of Page)"/>
        <w:docPartUnique/>
      </w:docPartObj>
    </w:sdtPr>
    <w:sdtEndPr/>
    <w:sdtContent>
      <w:p w:rsidR="00312643" w:rsidRDefault="00312643" w:rsidP="005469A3">
        <w:pPr>
          <w:pStyle w:val="Footer"/>
          <w:jc w:val="center"/>
          <w:rPr>
            <w:noProof/>
            <w:sz w:val="16"/>
            <w:szCs w:val="16"/>
          </w:rPr>
        </w:pPr>
        <w:proofErr w:type="gramStart"/>
        <w:r w:rsidRPr="00361CEC">
          <w:rPr>
            <w:sz w:val="16"/>
            <w:szCs w:val="16"/>
          </w:rPr>
          <w:t>KPMG  |</w:t>
        </w:r>
        <w:proofErr w:type="gramEnd"/>
        <w:r w:rsidRPr="00361CEC">
          <w:rPr>
            <w:sz w:val="16"/>
            <w:szCs w:val="16"/>
          </w:rPr>
          <w:t xml:space="preserve">  </w:t>
        </w:r>
        <w:r w:rsidRPr="00361CEC">
          <w:rPr>
            <w:sz w:val="16"/>
            <w:szCs w:val="16"/>
          </w:rPr>
          <w:fldChar w:fldCharType="begin"/>
        </w:r>
        <w:r w:rsidRPr="00361CEC">
          <w:rPr>
            <w:sz w:val="16"/>
            <w:szCs w:val="16"/>
          </w:rPr>
          <w:instrText xml:space="preserve"> PAGE   \* MERGEFORMAT </w:instrText>
        </w:r>
        <w:r w:rsidRPr="00361CEC">
          <w:rPr>
            <w:sz w:val="16"/>
            <w:szCs w:val="16"/>
          </w:rPr>
          <w:fldChar w:fldCharType="separate"/>
        </w:r>
        <w:r w:rsidR="005D74C4">
          <w:rPr>
            <w:noProof/>
            <w:sz w:val="16"/>
            <w:szCs w:val="16"/>
          </w:rPr>
          <w:t>v</w:t>
        </w:r>
        <w:r w:rsidRPr="00361CEC">
          <w:rPr>
            <w:noProof/>
            <w:sz w:val="16"/>
            <w:szCs w:val="16"/>
          </w:rPr>
          <w:fldChar w:fldCharType="end"/>
        </w:r>
      </w:p>
    </w:sdtContent>
  </w:sdt>
  <w:p w:rsidR="00312643" w:rsidRPr="00361CEC" w:rsidRDefault="00D75B78" w:rsidP="00D75B78">
    <w:pPr>
      <w:pStyle w:val="Footer"/>
      <w:jc w:val="center"/>
      <w:rPr>
        <w:sz w:val="16"/>
        <w:szCs w:val="16"/>
      </w:rPr>
    </w:pPr>
    <w:r w:rsidRPr="00D75B78">
      <w:rPr>
        <w:sz w:val="16"/>
        <w:szCs w:val="16"/>
      </w:rPr>
      <w:t>©2020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Legislation</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33712939"/>
      <w:docPartObj>
        <w:docPartGallery w:val="Page Numbers (Bottom of Page)"/>
        <w:docPartUnique/>
      </w:docPartObj>
    </w:sdtPr>
    <w:sdtEndPr/>
    <w:sdtContent>
      <w:p w:rsidR="00312643" w:rsidRPr="005469A3" w:rsidRDefault="00312643" w:rsidP="005469A3">
        <w:pPr>
          <w:pStyle w:val="Footer"/>
          <w:jc w:val="center"/>
          <w:rPr>
            <w:rStyle w:val="White"/>
            <w:noProof/>
            <w:color w:val="595959" w:themeColor="text1" w:themeTint="A6"/>
            <w:sz w:val="16"/>
            <w:szCs w:val="16"/>
          </w:rPr>
        </w:pPr>
        <w:proofErr w:type="gramStart"/>
        <w:r w:rsidRPr="00361CEC">
          <w:rPr>
            <w:sz w:val="16"/>
            <w:szCs w:val="16"/>
          </w:rPr>
          <w:t>KPMG  |</w:t>
        </w:r>
        <w:proofErr w:type="gramEnd"/>
        <w:r w:rsidRPr="00361CEC">
          <w:rPr>
            <w:sz w:val="16"/>
            <w:szCs w:val="16"/>
          </w:rPr>
          <w:t xml:space="preserve">  </w:t>
        </w:r>
        <w:r w:rsidRPr="00361CEC">
          <w:rPr>
            <w:sz w:val="16"/>
            <w:szCs w:val="16"/>
          </w:rPr>
          <w:fldChar w:fldCharType="begin"/>
        </w:r>
        <w:r w:rsidRPr="00361CEC">
          <w:rPr>
            <w:sz w:val="16"/>
            <w:szCs w:val="16"/>
          </w:rPr>
          <w:instrText xml:space="preserve"> PAGE   \* MERGEFORMAT </w:instrText>
        </w:r>
        <w:r w:rsidRPr="00361CEC">
          <w:rPr>
            <w:sz w:val="16"/>
            <w:szCs w:val="16"/>
          </w:rPr>
          <w:fldChar w:fldCharType="separate"/>
        </w:r>
        <w:r w:rsidR="005D74C4">
          <w:rPr>
            <w:noProof/>
            <w:sz w:val="16"/>
            <w:szCs w:val="16"/>
          </w:rPr>
          <w:t>vi</w:t>
        </w:r>
        <w:r w:rsidRPr="00361CEC">
          <w:rPr>
            <w:noProof/>
            <w:sz w:val="16"/>
            <w:szCs w:val="16"/>
          </w:rPr>
          <w:fldChar w:fldCharType="end"/>
        </w:r>
      </w:p>
    </w:sdtContent>
  </w:sdt>
  <w:p w:rsidR="00312643" w:rsidRPr="00707B9B" w:rsidRDefault="00D75B78" w:rsidP="00707B9B">
    <w:pPr>
      <w:pStyle w:val="Footer"/>
      <w:jc w:val="center"/>
    </w:pPr>
    <w:r w:rsidRPr="00D75B78">
      <w:rPr>
        <w:rStyle w:val="White"/>
        <w:color w:val="808080" w:themeColor="background1" w:themeShade="80"/>
        <w:sz w:val="16"/>
        <w:szCs w:val="16"/>
      </w:rPr>
      <w:t>©2020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Legislation</w:t>
    </w:r>
    <w:r w:rsidR="00312643" w:rsidRPr="00707B9B">
      <w:rPr>
        <w:rStyle w:val="White"/>
        <w:color w:val="808080" w:themeColor="background1" w:themeShade="80"/>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5711952"/>
      <w:docPartObj>
        <w:docPartGallery w:val="Page Numbers (Bottom of Page)"/>
        <w:docPartUnique/>
      </w:docPartObj>
    </w:sdtPr>
    <w:sdtEndPr/>
    <w:sdtContent>
      <w:p w:rsidR="00312643" w:rsidRDefault="00312643" w:rsidP="0000339D">
        <w:pPr>
          <w:pStyle w:val="Footer"/>
          <w:jc w:val="center"/>
          <w:rPr>
            <w:sz w:val="16"/>
            <w:szCs w:val="16"/>
          </w:rPr>
        </w:pPr>
      </w:p>
      <w:p w:rsidR="00312643" w:rsidRPr="00361CEC" w:rsidRDefault="00312643" w:rsidP="0000339D">
        <w:pPr>
          <w:pStyle w:val="Footer"/>
          <w:jc w:val="center"/>
          <w:rPr>
            <w:noProof/>
            <w:sz w:val="16"/>
            <w:szCs w:val="16"/>
          </w:rPr>
        </w:pPr>
        <w:proofErr w:type="gramStart"/>
        <w:r w:rsidRPr="00361CEC">
          <w:rPr>
            <w:sz w:val="16"/>
            <w:szCs w:val="16"/>
          </w:rPr>
          <w:t>KPMG  |</w:t>
        </w:r>
        <w:proofErr w:type="gramEnd"/>
        <w:r w:rsidRPr="00361CEC">
          <w:rPr>
            <w:sz w:val="16"/>
            <w:szCs w:val="16"/>
          </w:rPr>
          <w:t xml:space="preserve">  </w:t>
        </w:r>
        <w:r w:rsidRPr="00361CEC">
          <w:rPr>
            <w:sz w:val="16"/>
            <w:szCs w:val="16"/>
          </w:rPr>
          <w:fldChar w:fldCharType="begin"/>
        </w:r>
        <w:r w:rsidRPr="00361CEC">
          <w:rPr>
            <w:sz w:val="16"/>
            <w:szCs w:val="16"/>
          </w:rPr>
          <w:instrText xml:space="preserve"> PAGE   \* MERGEFORMAT </w:instrText>
        </w:r>
        <w:r w:rsidRPr="00361CEC">
          <w:rPr>
            <w:sz w:val="16"/>
            <w:szCs w:val="16"/>
          </w:rPr>
          <w:fldChar w:fldCharType="separate"/>
        </w:r>
        <w:r w:rsidR="005D74C4">
          <w:rPr>
            <w:noProof/>
            <w:sz w:val="16"/>
            <w:szCs w:val="16"/>
          </w:rPr>
          <w:t>14</w:t>
        </w:r>
        <w:r w:rsidRPr="00361CEC">
          <w:rPr>
            <w:noProof/>
            <w:sz w:val="16"/>
            <w:szCs w:val="16"/>
          </w:rPr>
          <w:fldChar w:fldCharType="end"/>
        </w:r>
      </w:p>
    </w:sdtContent>
  </w:sdt>
  <w:p w:rsidR="00312643" w:rsidRPr="00707B9B" w:rsidRDefault="00D75B78" w:rsidP="00707B9B">
    <w:pPr>
      <w:pStyle w:val="Footer"/>
      <w:jc w:val="center"/>
    </w:pPr>
    <w:r w:rsidRPr="00D75B78">
      <w:rPr>
        <w:rStyle w:val="White"/>
        <w:color w:val="808080" w:themeColor="background1" w:themeShade="80"/>
        <w:sz w:val="16"/>
        <w:szCs w:val="16"/>
      </w:rPr>
      <w:t>©2020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Legislation</w:t>
    </w:r>
    <w:r w:rsidR="00312643" w:rsidRPr="00707B9B">
      <w:rPr>
        <w:rStyle w:val="White"/>
        <w:color w:val="808080" w:themeColor="background1" w:themeShade="80"/>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Pr="00E50010" w:rsidRDefault="00312643" w:rsidP="00863105">
    <w:pPr>
      <w:spacing w:after="720"/>
      <w:rPr>
        <w:rStyle w:val="White"/>
        <w:b/>
        <w:color w:val="00338D" w:themeColor="text2"/>
      </w:rPr>
    </w:pPr>
    <w:r>
      <w:rPr>
        <w:rStyle w:val="White"/>
        <w:b/>
        <w:color w:val="00338D" w:themeColor="text2"/>
      </w:rPr>
      <w:t>KPMG</w:t>
    </w:r>
    <w:r w:rsidRPr="00E50010">
      <w:rPr>
        <w:rStyle w:val="White"/>
        <w:b/>
        <w:color w:val="00338D" w:themeColor="text2"/>
      </w:rPr>
      <w:t>.com.au</w:t>
    </w:r>
  </w:p>
  <w:p w:rsidR="00312643" w:rsidRPr="00361CEC" w:rsidRDefault="00D75B78" w:rsidP="00707B9B">
    <w:pPr>
      <w:pStyle w:val="Footer"/>
      <w:jc w:val="center"/>
      <w:rPr>
        <w:rStyle w:val="White"/>
        <w:color w:val="000000" w:themeColor="text1"/>
        <w:sz w:val="16"/>
        <w:szCs w:val="16"/>
      </w:rPr>
    </w:pPr>
    <w:r w:rsidRPr="00D75B78">
      <w:rPr>
        <w:rStyle w:val="White"/>
        <w:color w:val="000000" w:themeColor="text1"/>
        <w:sz w:val="16"/>
        <w:szCs w:val="16"/>
      </w:rPr>
      <w:t>©2020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Legislation</w:t>
    </w:r>
    <w:r w:rsidR="00312643" w:rsidRPr="00707B9B">
      <w:rPr>
        <w:rStyle w:val="White"/>
        <w:color w:val="000000" w:themeColor="text1"/>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380" w:rsidRDefault="00A71380" w:rsidP="004A3F32">
      <w:pPr>
        <w:spacing w:after="0"/>
      </w:pPr>
      <w:r>
        <w:separator/>
      </w:r>
    </w:p>
  </w:footnote>
  <w:footnote w:type="continuationSeparator" w:id="0">
    <w:p w:rsidR="00A71380" w:rsidRDefault="00A71380" w:rsidP="004A3F32">
      <w:pPr>
        <w:spacing w:after="0"/>
      </w:pPr>
      <w:r>
        <w:continuationSeparator/>
      </w:r>
    </w:p>
  </w:footnote>
  <w:footnote w:type="continuationNotice" w:id="1">
    <w:p w:rsidR="00A71380" w:rsidRDefault="00A71380">
      <w:pPr>
        <w:spacing w:before="0" w:after="0"/>
      </w:pPr>
    </w:p>
  </w:footnote>
  <w:footnote w:id="2">
    <w:p w:rsidR="00312643" w:rsidRPr="003F123B" w:rsidRDefault="00312643">
      <w:pPr>
        <w:pStyle w:val="FootnoteText"/>
        <w:rPr>
          <w:rFonts w:asciiTheme="majorHAnsi" w:hAnsiTheme="majorHAnsi"/>
        </w:rPr>
      </w:pPr>
      <w:r w:rsidRPr="003F123B">
        <w:rPr>
          <w:rStyle w:val="FootnoteReference"/>
          <w:rFonts w:asciiTheme="majorHAnsi" w:hAnsiTheme="majorHAnsi"/>
        </w:rPr>
        <w:footnoteRef/>
      </w:r>
      <w:r w:rsidRPr="003F123B">
        <w:rPr>
          <w:rFonts w:asciiTheme="majorHAnsi" w:hAnsiTheme="majorHAnsi"/>
        </w:rPr>
        <w:t xml:space="preserve"> A statistical area in the United States </w:t>
      </w:r>
      <w:r>
        <w:rPr>
          <w:rFonts w:asciiTheme="majorHAnsi" w:hAnsiTheme="majorHAnsi"/>
        </w:rPr>
        <w:t xml:space="preserve">where there is an urban cluster of </w:t>
      </w:r>
      <w:r w:rsidRPr="003F123B">
        <w:rPr>
          <w:rFonts w:asciiTheme="majorHAnsi" w:hAnsiTheme="majorHAnsi"/>
        </w:rPr>
        <w:t>between 10,000 and 50,000 residents.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r>
      <w:rPr>
        <w:noProof/>
        <w:lang w:eastAsia="en-AU"/>
      </w:rPr>
      <w:drawing>
        <wp:anchor distT="0" distB="0" distL="114300" distR="114300" simplePos="0" relativeHeight="251657728" behindDoc="0" locked="0" layoutInCell="1" allowOverlap="1" wp14:anchorId="04C68293" wp14:editId="4E8C0044">
          <wp:simplePos x="0" y="0"/>
          <wp:positionH relativeFrom="margin">
            <wp:posOffset>-144780</wp:posOffset>
          </wp:positionH>
          <wp:positionV relativeFrom="paragraph">
            <wp:posOffset>-142212</wp:posOffset>
          </wp:positionV>
          <wp:extent cx="1169612" cy="8640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PMG_NoCP_RGB_2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12" cy="8640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8C" w:rsidRPr="005128A6" w:rsidRDefault="006F498C" w:rsidP="006F498C">
    <w:pPr>
      <w:tabs>
        <w:tab w:val="left" w:pos="1380"/>
      </w:tabs>
      <w:spacing w:before="0" w:after="0"/>
      <w:jc w:val="right"/>
      <w:rPr>
        <w:i/>
        <w:iCs/>
        <w:sz w:val="16"/>
        <w:szCs w:val="18"/>
      </w:rPr>
    </w:pPr>
    <w:r>
      <w:rPr>
        <w:i/>
        <w:iCs/>
        <w:sz w:val="16"/>
        <w:szCs w:val="18"/>
      </w:rPr>
      <w:t xml:space="preserve">IPS Trial Literature Review </w:t>
    </w:r>
  </w:p>
  <w:p w:rsidR="006F498C" w:rsidRPr="005128A6" w:rsidRDefault="006F498C" w:rsidP="006F498C">
    <w:pPr>
      <w:tabs>
        <w:tab w:val="left" w:pos="1380"/>
      </w:tabs>
      <w:spacing w:before="0" w:after="0"/>
      <w:jc w:val="right"/>
      <w:rPr>
        <w:i/>
        <w:iCs/>
        <w:sz w:val="16"/>
        <w:szCs w:val="18"/>
      </w:rPr>
    </w:pPr>
    <w:r w:rsidRPr="005128A6">
      <w:rPr>
        <w:i/>
        <w:iCs/>
        <w:sz w:val="16"/>
        <w:szCs w:val="18"/>
      </w:rPr>
      <w:t>For the Department of Social Services</w:t>
    </w:r>
  </w:p>
  <w:p w:rsidR="00312643" w:rsidRPr="006F498C" w:rsidRDefault="006F498C" w:rsidP="006F498C">
    <w:pPr>
      <w:tabs>
        <w:tab w:val="left" w:pos="1380"/>
      </w:tabs>
      <w:spacing w:before="0" w:after="0"/>
      <w:jc w:val="right"/>
      <w:rPr>
        <w:i/>
        <w:iCs/>
        <w:sz w:val="16"/>
        <w:szCs w:val="18"/>
      </w:rPr>
    </w:pPr>
    <w:r w:rsidRPr="005128A6">
      <w:rPr>
        <w:i/>
        <w:iCs/>
        <w:sz w:val="16"/>
        <w:szCs w:val="18"/>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r>
      <w:rPr>
        <w:noProof/>
        <w:lang w:eastAsia="en-AU"/>
      </w:rPr>
      <mc:AlternateContent>
        <mc:Choice Requires="wps">
          <w:drawing>
            <wp:anchor distT="0" distB="0" distL="114300" distR="114300" simplePos="0" relativeHeight="251656704" behindDoc="0" locked="0" layoutInCell="1" allowOverlap="1" wp14:anchorId="6D257058" wp14:editId="5053DDEC">
              <wp:simplePos x="0" y="0"/>
              <wp:positionH relativeFrom="page">
                <wp:posOffset>12065</wp:posOffset>
              </wp:positionH>
              <wp:positionV relativeFrom="paragraph">
                <wp:posOffset>-436245</wp:posOffset>
              </wp:positionV>
              <wp:extent cx="720000" cy="10692000"/>
              <wp:effectExtent l="0" t="0" r="4445" b="0"/>
              <wp:wrapNone/>
              <wp:docPr id="6" name="Rectangle 6"/>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6CB8" id="Rectangle 6" o:spid="_x0000_s1026" style="position:absolute;margin-left:.95pt;margin-top:-34.35pt;width:56.7pt;height:84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" fillcolor="#0091da [3204]" stroked="f" strokeweigh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rsidP="00F909D7">
    <w:pPr>
      <w:tabs>
        <w:tab w:val="left" w:pos="138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43" w:rsidRDefault="00312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A43336"/>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56E731A"/>
    <w:multiLevelType w:val="hybridMultilevel"/>
    <w:tmpl w:val="04DE3A5A"/>
    <w:lvl w:ilvl="0" w:tplc="DF44CE5A">
      <w:start w:val="1"/>
      <w:numFmt w:val="bullet"/>
      <w:lvlText w:val=""/>
      <w:lvlJc w:val="left"/>
      <w:pPr>
        <w:ind w:left="720" w:hanging="360"/>
      </w:pPr>
      <w:rPr>
        <w:rFonts w:ascii="Symbol" w:hAnsi="Symbol" w:hint="default"/>
      </w:rPr>
    </w:lvl>
    <w:lvl w:ilvl="1" w:tplc="E08853F4">
      <w:start w:val="1"/>
      <w:numFmt w:val="bullet"/>
      <w:lvlText w:val="o"/>
      <w:lvlJc w:val="left"/>
      <w:pPr>
        <w:ind w:left="1440" w:hanging="360"/>
      </w:pPr>
      <w:rPr>
        <w:rFonts w:ascii="Courier New" w:hAnsi="Courier New" w:hint="default"/>
      </w:rPr>
    </w:lvl>
    <w:lvl w:ilvl="2" w:tplc="1C38EC0E">
      <w:start w:val="1"/>
      <w:numFmt w:val="bullet"/>
      <w:lvlText w:val=""/>
      <w:lvlJc w:val="left"/>
      <w:pPr>
        <w:ind w:left="2160" w:hanging="360"/>
      </w:pPr>
      <w:rPr>
        <w:rFonts w:ascii="Wingdings" w:hAnsi="Wingdings" w:hint="default"/>
      </w:rPr>
    </w:lvl>
    <w:lvl w:ilvl="3" w:tplc="70803C4A">
      <w:start w:val="1"/>
      <w:numFmt w:val="bullet"/>
      <w:lvlText w:val=""/>
      <w:lvlJc w:val="left"/>
      <w:pPr>
        <w:ind w:left="2880" w:hanging="360"/>
      </w:pPr>
      <w:rPr>
        <w:rFonts w:ascii="Symbol" w:hAnsi="Symbol" w:hint="default"/>
      </w:rPr>
    </w:lvl>
    <w:lvl w:ilvl="4" w:tplc="2D2A1BC6">
      <w:start w:val="1"/>
      <w:numFmt w:val="bullet"/>
      <w:lvlText w:val="o"/>
      <w:lvlJc w:val="left"/>
      <w:pPr>
        <w:ind w:left="3600" w:hanging="360"/>
      </w:pPr>
      <w:rPr>
        <w:rFonts w:ascii="Courier New" w:hAnsi="Courier New" w:hint="default"/>
      </w:rPr>
    </w:lvl>
    <w:lvl w:ilvl="5" w:tplc="C5C6B71A">
      <w:start w:val="1"/>
      <w:numFmt w:val="bullet"/>
      <w:lvlText w:val=""/>
      <w:lvlJc w:val="left"/>
      <w:pPr>
        <w:ind w:left="4320" w:hanging="360"/>
      </w:pPr>
      <w:rPr>
        <w:rFonts w:ascii="Wingdings" w:hAnsi="Wingdings" w:hint="default"/>
      </w:rPr>
    </w:lvl>
    <w:lvl w:ilvl="6" w:tplc="181E87EA">
      <w:start w:val="1"/>
      <w:numFmt w:val="bullet"/>
      <w:lvlText w:val=""/>
      <w:lvlJc w:val="left"/>
      <w:pPr>
        <w:ind w:left="5040" w:hanging="360"/>
      </w:pPr>
      <w:rPr>
        <w:rFonts w:ascii="Symbol" w:hAnsi="Symbol" w:hint="default"/>
      </w:rPr>
    </w:lvl>
    <w:lvl w:ilvl="7" w:tplc="B2004BA4">
      <w:start w:val="1"/>
      <w:numFmt w:val="bullet"/>
      <w:lvlText w:val="o"/>
      <w:lvlJc w:val="left"/>
      <w:pPr>
        <w:ind w:left="5760" w:hanging="360"/>
      </w:pPr>
      <w:rPr>
        <w:rFonts w:ascii="Courier New" w:hAnsi="Courier New" w:hint="default"/>
      </w:rPr>
    </w:lvl>
    <w:lvl w:ilvl="8" w:tplc="51BAA0E6">
      <w:start w:val="1"/>
      <w:numFmt w:val="bullet"/>
      <w:lvlText w:val=""/>
      <w:lvlJc w:val="left"/>
      <w:pPr>
        <w:ind w:left="6480" w:hanging="360"/>
      </w:pPr>
      <w:rPr>
        <w:rFonts w:ascii="Wingdings" w:hAnsi="Wingdings" w:hint="default"/>
      </w:rPr>
    </w:lvl>
  </w:abstractNum>
  <w:abstractNum w:abstractNumId="2"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3" w15:restartNumberingAfterBreak="0">
    <w:nsid w:val="10C80730"/>
    <w:multiLevelType w:val="hybridMultilevel"/>
    <w:tmpl w:val="FF8EA3D8"/>
    <w:lvl w:ilvl="0" w:tplc="E2EC08CE">
      <w:start w:val="1"/>
      <w:numFmt w:val="bullet"/>
      <w:pStyle w:val="ListBullet"/>
      <w:lvlText w:val=""/>
      <w:lvlJc w:val="left"/>
      <w:pPr>
        <w:tabs>
          <w:tab w:val="num" w:pos="340"/>
        </w:tabs>
        <w:ind w:left="340" w:hanging="34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315CB"/>
    <w:multiLevelType w:val="singleLevel"/>
    <w:tmpl w:val="319EF29E"/>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6" w15:restartNumberingAfterBreak="0">
    <w:nsid w:val="16464280"/>
    <w:multiLevelType w:val="hybridMultilevel"/>
    <w:tmpl w:val="B07E882E"/>
    <w:lvl w:ilvl="0" w:tplc="B2BA3D66">
      <w:start w:val="1"/>
      <w:numFmt w:val="bullet"/>
      <w:pStyle w:val="TableBullet1stlevel"/>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04A01"/>
    <w:multiLevelType w:val="singleLevel"/>
    <w:tmpl w:val="AB36D4FA"/>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1B925D13"/>
    <w:multiLevelType w:val="singleLevel"/>
    <w:tmpl w:val="AFBA16B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1DBC5A4A"/>
    <w:multiLevelType w:val="hybridMultilevel"/>
    <w:tmpl w:val="1C52C348"/>
    <w:lvl w:ilvl="0" w:tplc="2050ED32">
      <w:start w:val="1"/>
      <w:numFmt w:val="bullet"/>
      <w:lvlText w:val=""/>
      <w:lvlJc w:val="left"/>
      <w:pPr>
        <w:ind w:left="720" w:hanging="360"/>
      </w:pPr>
      <w:rPr>
        <w:rFonts w:ascii="Symbol" w:hAnsi="Symbol" w:hint="default"/>
      </w:rPr>
    </w:lvl>
    <w:lvl w:ilvl="1" w:tplc="5CB88AD0">
      <w:start w:val="1"/>
      <w:numFmt w:val="bullet"/>
      <w:lvlText w:val="o"/>
      <w:lvlJc w:val="left"/>
      <w:pPr>
        <w:ind w:left="1440" w:hanging="360"/>
      </w:pPr>
      <w:rPr>
        <w:rFonts w:ascii="Courier New" w:hAnsi="Courier New" w:hint="default"/>
      </w:rPr>
    </w:lvl>
    <w:lvl w:ilvl="2" w:tplc="E9B4401C">
      <w:start w:val="1"/>
      <w:numFmt w:val="bullet"/>
      <w:lvlText w:val=""/>
      <w:lvlJc w:val="left"/>
      <w:pPr>
        <w:ind w:left="2160" w:hanging="360"/>
      </w:pPr>
      <w:rPr>
        <w:rFonts w:ascii="Wingdings" w:hAnsi="Wingdings" w:hint="default"/>
      </w:rPr>
    </w:lvl>
    <w:lvl w:ilvl="3" w:tplc="FC0CF954">
      <w:start w:val="1"/>
      <w:numFmt w:val="bullet"/>
      <w:lvlText w:val=""/>
      <w:lvlJc w:val="left"/>
      <w:pPr>
        <w:ind w:left="2880" w:hanging="360"/>
      </w:pPr>
      <w:rPr>
        <w:rFonts w:ascii="Symbol" w:hAnsi="Symbol" w:hint="default"/>
      </w:rPr>
    </w:lvl>
    <w:lvl w:ilvl="4" w:tplc="96D86D24">
      <w:start w:val="1"/>
      <w:numFmt w:val="bullet"/>
      <w:lvlText w:val="o"/>
      <w:lvlJc w:val="left"/>
      <w:pPr>
        <w:ind w:left="3600" w:hanging="360"/>
      </w:pPr>
      <w:rPr>
        <w:rFonts w:ascii="Courier New" w:hAnsi="Courier New" w:hint="default"/>
      </w:rPr>
    </w:lvl>
    <w:lvl w:ilvl="5" w:tplc="8FAE8FFC">
      <w:start w:val="1"/>
      <w:numFmt w:val="bullet"/>
      <w:lvlText w:val=""/>
      <w:lvlJc w:val="left"/>
      <w:pPr>
        <w:ind w:left="4320" w:hanging="360"/>
      </w:pPr>
      <w:rPr>
        <w:rFonts w:ascii="Wingdings" w:hAnsi="Wingdings" w:hint="default"/>
      </w:rPr>
    </w:lvl>
    <w:lvl w:ilvl="6" w:tplc="5F98E934">
      <w:start w:val="1"/>
      <w:numFmt w:val="bullet"/>
      <w:lvlText w:val=""/>
      <w:lvlJc w:val="left"/>
      <w:pPr>
        <w:ind w:left="5040" w:hanging="360"/>
      </w:pPr>
      <w:rPr>
        <w:rFonts w:ascii="Symbol" w:hAnsi="Symbol" w:hint="default"/>
      </w:rPr>
    </w:lvl>
    <w:lvl w:ilvl="7" w:tplc="F7401244">
      <w:start w:val="1"/>
      <w:numFmt w:val="bullet"/>
      <w:lvlText w:val="o"/>
      <w:lvlJc w:val="left"/>
      <w:pPr>
        <w:ind w:left="5760" w:hanging="360"/>
      </w:pPr>
      <w:rPr>
        <w:rFonts w:ascii="Courier New" w:hAnsi="Courier New" w:hint="default"/>
      </w:rPr>
    </w:lvl>
    <w:lvl w:ilvl="8" w:tplc="1BAAB100">
      <w:start w:val="1"/>
      <w:numFmt w:val="bullet"/>
      <w:lvlText w:val=""/>
      <w:lvlJc w:val="left"/>
      <w:pPr>
        <w:ind w:left="6480" w:hanging="360"/>
      </w:pPr>
      <w:rPr>
        <w:rFonts w:ascii="Wingdings" w:hAnsi="Wingdings" w:hint="default"/>
      </w:rPr>
    </w:lvl>
  </w:abstractNum>
  <w:abstractNum w:abstractNumId="10" w15:restartNumberingAfterBreak="0">
    <w:nsid w:val="289A56A6"/>
    <w:multiLevelType w:val="hybridMultilevel"/>
    <w:tmpl w:val="C8AAD970"/>
    <w:lvl w:ilvl="0" w:tplc="0B3C3E24">
      <w:start w:val="1"/>
      <w:numFmt w:val="bullet"/>
      <w:pStyle w:val="TableBullet2ndlevel"/>
      <w:lvlText w:val="–"/>
      <w:lvlJc w:val="left"/>
      <w:pPr>
        <w:ind w:left="1004" w:hanging="360"/>
      </w:pPr>
      <w:rPr>
        <w:rFonts w:ascii="Myriad Pro" w:hAnsi="Myriad Pro"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9FD0A6C"/>
    <w:multiLevelType w:val="singleLevel"/>
    <w:tmpl w:val="1402E27C"/>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31137289"/>
    <w:multiLevelType w:val="singleLevel"/>
    <w:tmpl w:val="1A1E6E06"/>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31D03DA2"/>
    <w:multiLevelType w:val="multilevel"/>
    <w:tmpl w:val="FDE03356"/>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357F166A"/>
    <w:multiLevelType w:val="multilevel"/>
    <w:tmpl w:val="768EC260"/>
    <w:lvl w:ilvl="0">
      <w:start w:val="1"/>
      <w:numFmt w:val="upperLetter"/>
      <w:pStyle w:val="Appendixheading"/>
      <w:suff w:val="nothing"/>
      <w:lvlText w:val="Appendix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D34954"/>
    <w:multiLevelType w:val="hybridMultilevel"/>
    <w:tmpl w:val="FFFAAB60"/>
    <w:lvl w:ilvl="0" w:tplc="776E5B52">
      <w:start w:val="1"/>
      <w:numFmt w:val="bullet"/>
      <w:pStyle w:val="CVbullet2"/>
      <w:lvlText w:val="–"/>
      <w:lvlJc w:val="left"/>
      <w:pPr>
        <w:ind w:left="360" w:hanging="360"/>
      </w:pPr>
      <w:rPr>
        <w:rFonts w:ascii="Univers 45 Light" w:hAnsi="Univers 45 Light" w:hint="default"/>
        <w:color w:val="auto"/>
        <w:sz w:val="22"/>
      </w:rPr>
    </w:lvl>
    <w:lvl w:ilvl="1" w:tplc="AB7E8366" w:tentative="1">
      <w:start w:val="1"/>
      <w:numFmt w:val="bullet"/>
      <w:lvlText w:val="o"/>
      <w:lvlJc w:val="left"/>
      <w:pPr>
        <w:ind w:left="1080" w:hanging="360"/>
      </w:pPr>
      <w:rPr>
        <w:rFonts w:ascii="Courier New" w:hAnsi="Courier New" w:cs="Courier New" w:hint="default"/>
      </w:rPr>
    </w:lvl>
    <w:lvl w:ilvl="2" w:tplc="47D41C24" w:tentative="1">
      <w:start w:val="1"/>
      <w:numFmt w:val="bullet"/>
      <w:lvlText w:val=""/>
      <w:lvlJc w:val="left"/>
      <w:pPr>
        <w:ind w:left="1800" w:hanging="360"/>
      </w:pPr>
      <w:rPr>
        <w:rFonts w:ascii="Wingdings" w:hAnsi="Wingdings" w:hint="default"/>
      </w:rPr>
    </w:lvl>
    <w:lvl w:ilvl="3" w:tplc="D49011B8" w:tentative="1">
      <w:start w:val="1"/>
      <w:numFmt w:val="bullet"/>
      <w:lvlText w:val=""/>
      <w:lvlJc w:val="left"/>
      <w:pPr>
        <w:ind w:left="2520" w:hanging="360"/>
      </w:pPr>
      <w:rPr>
        <w:rFonts w:ascii="Symbol" w:hAnsi="Symbol" w:hint="default"/>
      </w:rPr>
    </w:lvl>
    <w:lvl w:ilvl="4" w:tplc="23803966" w:tentative="1">
      <w:start w:val="1"/>
      <w:numFmt w:val="bullet"/>
      <w:lvlText w:val="o"/>
      <w:lvlJc w:val="left"/>
      <w:pPr>
        <w:ind w:left="3240" w:hanging="360"/>
      </w:pPr>
      <w:rPr>
        <w:rFonts w:ascii="Courier New" w:hAnsi="Courier New" w:cs="Courier New" w:hint="default"/>
      </w:rPr>
    </w:lvl>
    <w:lvl w:ilvl="5" w:tplc="5D7E1966" w:tentative="1">
      <w:start w:val="1"/>
      <w:numFmt w:val="bullet"/>
      <w:lvlText w:val=""/>
      <w:lvlJc w:val="left"/>
      <w:pPr>
        <w:ind w:left="3960" w:hanging="360"/>
      </w:pPr>
      <w:rPr>
        <w:rFonts w:ascii="Wingdings" w:hAnsi="Wingdings" w:hint="default"/>
      </w:rPr>
    </w:lvl>
    <w:lvl w:ilvl="6" w:tplc="CBC616D4" w:tentative="1">
      <w:start w:val="1"/>
      <w:numFmt w:val="bullet"/>
      <w:lvlText w:val=""/>
      <w:lvlJc w:val="left"/>
      <w:pPr>
        <w:ind w:left="4680" w:hanging="360"/>
      </w:pPr>
      <w:rPr>
        <w:rFonts w:ascii="Symbol" w:hAnsi="Symbol" w:hint="default"/>
      </w:rPr>
    </w:lvl>
    <w:lvl w:ilvl="7" w:tplc="441678C2" w:tentative="1">
      <w:start w:val="1"/>
      <w:numFmt w:val="bullet"/>
      <w:lvlText w:val="o"/>
      <w:lvlJc w:val="left"/>
      <w:pPr>
        <w:ind w:left="5400" w:hanging="360"/>
      </w:pPr>
      <w:rPr>
        <w:rFonts w:ascii="Courier New" w:hAnsi="Courier New" w:cs="Courier New" w:hint="default"/>
      </w:rPr>
    </w:lvl>
    <w:lvl w:ilvl="8" w:tplc="0D9EE3F6" w:tentative="1">
      <w:start w:val="1"/>
      <w:numFmt w:val="bullet"/>
      <w:lvlText w:val=""/>
      <w:lvlJc w:val="left"/>
      <w:pPr>
        <w:ind w:left="6120" w:hanging="360"/>
      </w:pPr>
      <w:rPr>
        <w:rFonts w:ascii="Wingdings" w:hAnsi="Wingdings" w:hint="default"/>
      </w:rPr>
    </w:lvl>
  </w:abstractNum>
  <w:abstractNum w:abstractNumId="16" w15:restartNumberingAfterBreak="0">
    <w:nsid w:val="3D0A7BCF"/>
    <w:multiLevelType w:val="singleLevel"/>
    <w:tmpl w:val="C5EA56F6"/>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3E0B7CF8"/>
    <w:multiLevelType w:val="hybridMultilevel"/>
    <w:tmpl w:val="22D00EB0"/>
    <w:lvl w:ilvl="0" w:tplc="FA6C9330">
      <w:start w:val="1"/>
      <w:numFmt w:val="lowerLetter"/>
      <w:lvlText w:val="%1)"/>
      <w:lvlJc w:val="left"/>
      <w:pPr>
        <w:ind w:left="720" w:hanging="360"/>
      </w:pPr>
    </w:lvl>
    <w:lvl w:ilvl="1" w:tplc="08E24ABC">
      <w:start w:val="1"/>
      <w:numFmt w:val="lowerLetter"/>
      <w:lvlText w:val="%2."/>
      <w:lvlJc w:val="left"/>
      <w:pPr>
        <w:ind w:left="1440" w:hanging="360"/>
      </w:pPr>
    </w:lvl>
    <w:lvl w:ilvl="2" w:tplc="869ECE5A">
      <w:start w:val="1"/>
      <w:numFmt w:val="lowerRoman"/>
      <w:lvlText w:val="%3."/>
      <w:lvlJc w:val="right"/>
      <w:pPr>
        <w:ind w:left="2160" w:hanging="180"/>
      </w:pPr>
    </w:lvl>
    <w:lvl w:ilvl="3" w:tplc="E56E7304">
      <w:start w:val="1"/>
      <w:numFmt w:val="decimal"/>
      <w:lvlText w:val="%4."/>
      <w:lvlJc w:val="left"/>
      <w:pPr>
        <w:ind w:left="2880" w:hanging="360"/>
      </w:pPr>
    </w:lvl>
    <w:lvl w:ilvl="4" w:tplc="BCC202F4">
      <w:start w:val="1"/>
      <w:numFmt w:val="lowerLetter"/>
      <w:lvlText w:val="%5."/>
      <w:lvlJc w:val="left"/>
      <w:pPr>
        <w:ind w:left="3600" w:hanging="360"/>
      </w:pPr>
    </w:lvl>
    <w:lvl w:ilvl="5" w:tplc="81B80DD2">
      <w:start w:val="1"/>
      <w:numFmt w:val="lowerRoman"/>
      <w:lvlText w:val="%6."/>
      <w:lvlJc w:val="right"/>
      <w:pPr>
        <w:ind w:left="4320" w:hanging="180"/>
      </w:pPr>
    </w:lvl>
    <w:lvl w:ilvl="6" w:tplc="7C9E26D8">
      <w:start w:val="1"/>
      <w:numFmt w:val="decimal"/>
      <w:lvlText w:val="%7."/>
      <w:lvlJc w:val="left"/>
      <w:pPr>
        <w:ind w:left="5040" w:hanging="360"/>
      </w:pPr>
    </w:lvl>
    <w:lvl w:ilvl="7" w:tplc="72F46D9C">
      <w:start w:val="1"/>
      <w:numFmt w:val="lowerLetter"/>
      <w:lvlText w:val="%8."/>
      <w:lvlJc w:val="left"/>
      <w:pPr>
        <w:ind w:left="5760" w:hanging="360"/>
      </w:pPr>
    </w:lvl>
    <w:lvl w:ilvl="8" w:tplc="7924DB94">
      <w:start w:val="1"/>
      <w:numFmt w:val="lowerRoman"/>
      <w:lvlText w:val="%9."/>
      <w:lvlJc w:val="right"/>
      <w:pPr>
        <w:ind w:left="6480" w:hanging="180"/>
      </w:pPr>
    </w:lvl>
  </w:abstractNum>
  <w:abstractNum w:abstractNumId="18" w15:restartNumberingAfterBreak="0">
    <w:nsid w:val="3ECB2592"/>
    <w:multiLevelType w:val="singleLevel"/>
    <w:tmpl w:val="BD54F048"/>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3EEF1D04"/>
    <w:multiLevelType w:val="multilevel"/>
    <w:tmpl w:val="8A7067F2"/>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40872FB2"/>
    <w:multiLevelType w:val="hybridMultilevel"/>
    <w:tmpl w:val="F4E21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7C0179"/>
    <w:multiLevelType w:val="singleLevel"/>
    <w:tmpl w:val="FF668BBE"/>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4C830B73"/>
    <w:multiLevelType w:val="hybridMultilevel"/>
    <w:tmpl w:val="52945568"/>
    <w:lvl w:ilvl="0" w:tplc="DA208256">
      <w:start w:val="1"/>
      <w:numFmt w:val="lowerRoman"/>
      <w:pStyle w:val="Numberbullet2ndlevel"/>
      <w:lvlText w:val="%1."/>
      <w:lvlJc w:val="right"/>
      <w:pPr>
        <w:ind w:left="70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15:restartNumberingAfterBreak="0">
    <w:nsid w:val="4E1A03E0"/>
    <w:multiLevelType w:val="singleLevel"/>
    <w:tmpl w:val="E2CE7EC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4FD01811"/>
    <w:multiLevelType w:val="singleLevel"/>
    <w:tmpl w:val="D36C91FA"/>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5276370D"/>
    <w:multiLevelType w:val="hybridMultilevel"/>
    <w:tmpl w:val="6AE09FE4"/>
    <w:lvl w:ilvl="0" w:tplc="6816815C">
      <w:start w:val="1"/>
      <w:numFmt w:val="bullet"/>
      <w:lvlText w:val=""/>
      <w:lvlJc w:val="left"/>
      <w:pPr>
        <w:ind w:left="720" w:hanging="360"/>
      </w:pPr>
      <w:rPr>
        <w:rFonts w:ascii="Symbol" w:hAnsi="Symbol" w:hint="default"/>
      </w:rPr>
    </w:lvl>
    <w:lvl w:ilvl="1" w:tplc="18DCF492">
      <w:start w:val="1"/>
      <w:numFmt w:val="bullet"/>
      <w:lvlText w:val="o"/>
      <w:lvlJc w:val="left"/>
      <w:pPr>
        <w:ind w:left="1440" w:hanging="360"/>
      </w:pPr>
      <w:rPr>
        <w:rFonts w:ascii="Courier New" w:hAnsi="Courier New" w:hint="default"/>
      </w:rPr>
    </w:lvl>
    <w:lvl w:ilvl="2" w:tplc="153014BA">
      <w:start w:val="1"/>
      <w:numFmt w:val="bullet"/>
      <w:lvlText w:val=""/>
      <w:lvlJc w:val="left"/>
      <w:pPr>
        <w:ind w:left="2160" w:hanging="360"/>
      </w:pPr>
      <w:rPr>
        <w:rFonts w:ascii="Wingdings" w:hAnsi="Wingdings" w:hint="default"/>
      </w:rPr>
    </w:lvl>
    <w:lvl w:ilvl="3" w:tplc="A7AE5872">
      <w:start w:val="1"/>
      <w:numFmt w:val="bullet"/>
      <w:lvlText w:val=""/>
      <w:lvlJc w:val="left"/>
      <w:pPr>
        <w:ind w:left="2880" w:hanging="360"/>
      </w:pPr>
      <w:rPr>
        <w:rFonts w:ascii="Symbol" w:hAnsi="Symbol" w:hint="default"/>
      </w:rPr>
    </w:lvl>
    <w:lvl w:ilvl="4" w:tplc="8A402442">
      <w:start w:val="1"/>
      <w:numFmt w:val="bullet"/>
      <w:lvlText w:val="o"/>
      <w:lvlJc w:val="left"/>
      <w:pPr>
        <w:ind w:left="3600" w:hanging="360"/>
      </w:pPr>
      <w:rPr>
        <w:rFonts w:ascii="Courier New" w:hAnsi="Courier New" w:hint="default"/>
      </w:rPr>
    </w:lvl>
    <w:lvl w:ilvl="5" w:tplc="5EE01994">
      <w:start w:val="1"/>
      <w:numFmt w:val="bullet"/>
      <w:lvlText w:val=""/>
      <w:lvlJc w:val="left"/>
      <w:pPr>
        <w:ind w:left="4320" w:hanging="360"/>
      </w:pPr>
      <w:rPr>
        <w:rFonts w:ascii="Wingdings" w:hAnsi="Wingdings" w:hint="default"/>
      </w:rPr>
    </w:lvl>
    <w:lvl w:ilvl="6" w:tplc="86980FDA">
      <w:start w:val="1"/>
      <w:numFmt w:val="bullet"/>
      <w:lvlText w:val=""/>
      <w:lvlJc w:val="left"/>
      <w:pPr>
        <w:ind w:left="5040" w:hanging="360"/>
      </w:pPr>
      <w:rPr>
        <w:rFonts w:ascii="Symbol" w:hAnsi="Symbol" w:hint="default"/>
      </w:rPr>
    </w:lvl>
    <w:lvl w:ilvl="7" w:tplc="865ACA96">
      <w:start w:val="1"/>
      <w:numFmt w:val="bullet"/>
      <w:lvlText w:val="o"/>
      <w:lvlJc w:val="left"/>
      <w:pPr>
        <w:ind w:left="5760" w:hanging="360"/>
      </w:pPr>
      <w:rPr>
        <w:rFonts w:ascii="Courier New" w:hAnsi="Courier New" w:hint="default"/>
      </w:rPr>
    </w:lvl>
    <w:lvl w:ilvl="8" w:tplc="7E74BCE6">
      <w:start w:val="1"/>
      <w:numFmt w:val="bullet"/>
      <w:lvlText w:val=""/>
      <w:lvlJc w:val="left"/>
      <w:pPr>
        <w:ind w:left="6480" w:hanging="360"/>
      </w:pPr>
      <w:rPr>
        <w:rFonts w:ascii="Wingdings" w:hAnsi="Wingdings" w:hint="default"/>
      </w:rPr>
    </w:lvl>
  </w:abstractNum>
  <w:abstractNum w:abstractNumId="26" w15:restartNumberingAfterBreak="0">
    <w:nsid w:val="5A042708"/>
    <w:multiLevelType w:val="hybridMultilevel"/>
    <w:tmpl w:val="8604C002"/>
    <w:lvl w:ilvl="0" w:tplc="DA98725A">
      <w:start w:val="1"/>
      <w:numFmt w:val="bullet"/>
      <w:pStyle w:val="CVbullet1"/>
      <w:lvlText w:val=""/>
      <w:lvlJc w:val="left"/>
      <w:pPr>
        <w:ind w:left="360" w:hanging="360"/>
      </w:pPr>
      <w:rPr>
        <w:rFonts w:ascii="Symbol" w:hAnsi="Symbol" w:hint="default"/>
        <w:color w:val="auto"/>
        <w:sz w:val="22"/>
      </w:rPr>
    </w:lvl>
    <w:lvl w:ilvl="1" w:tplc="4796C114" w:tentative="1">
      <w:start w:val="1"/>
      <w:numFmt w:val="bullet"/>
      <w:lvlText w:val="o"/>
      <w:lvlJc w:val="left"/>
      <w:pPr>
        <w:ind w:left="1440" w:hanging="360"/>
      </w:pPr>
      <w:rPr>
        <w:rFonts w:ascii="Courier New" w:hAnsi="Courier New" w:cs="Courier New" w:hint="default"/>
      </w:rPr>
    </w:lvl>
    <w:lvl w:ilvl="2" w:tplc="B40CDC74" w:tentative="1">
      <w:start w:val="1"/>
      <w:numFmt w:val="bullet"/>
      <w:lvlText w:val=""/>
      <w:lvlJc w:val="left"/>
      <w:pPr>
        <w:ind w:left="2160" w:hanging="360"/>
      </w:pPr>
      <w:rPr>
        <w:rFonts w:ascii="Wingdings" w:hAnsi="Wingdings" w:hint="default"/>
      </w:rPr>
    </w:lvl>
    <w:lvl w:ilvl="3" w:tplc="D7CADB9C" w:tentative="1">
      <w:start w:val="1"/>
      <w:numFmt w:val="bullet"/>
      <w:lvlText w:val=""/>
      <w:lvlJc w:val="left"/>
      <w:pPr>
        <w:ind w:left="2880" w:hanging="360"/>
      </w:pPr>
      <w:rPr>
        <w:rFonts w:ascii="Symbol" w:hAnsi="Symbol" w:hint="default"/>
      </w:rPr>
    </w:lvl>
    <w:lvl w:ilvl="4" w:tplc="86C00F80" w:tentative="1">
      <w:start w:val="1"/>
      <w:numFmt w:val="bullet"/>
      <w:lvlText w:val="o"/>
      <w:lvlJc w:val="left"/>
      <w:pPr>
        <w:ind w:left="3600" w:hanging="360"/>
      </w:pPr>
      <w:rPr>
        <w:rFonts w:ascii="Courier New" w:hAnsi="Courier New" w:cs="Courier New" w:hint="default"/>
      </w:rPr>
    </w:lvl>
    <w:lvl w:ilvl="5" w:tplc="018A53FA" w:tentative="1">
      <w:start w:val="1"/>
      <w:numFmt w:val="bullet"/>
      <w:lvlText w:val=""/>
      <w:lvlJc w:val="left"/>
      <w:pPr>
        <w:ind w:left="4320" w:hanging="360"/>
      </w:pPr>
      <w:rPr>
        <w:rFonts w:ascii="Wingdings" w:hAnsi="Wingdings" w:hint="default"/>
      </w:rPr>
    </w:lvl>
    <w:lvl w:ilvl="6" w:tplc="2DEE93B8" w:tentative="1">
      <w:start w:val="1"/>
      <w:numFmt w:val="bullet"/>
      <w:lvlText w:val=""/>
      <w:lvlJc w:val="left"/>
      <w:pPr>
        <w:ind w:left="5040" w:hanging="360"/>
      </w:pPr>
      <w:rPr>
        <w:rFonts w:ascii="Symbol" w:hAnsi="Symbol" w:hint="default"/>
      </w:rPr>
    </w:lvl>
    <w:lvl w:ilvl="7" w:tplc="94A4C166" w:tentative="1">
      <w:start w:val="1"/>
      <w:numFmt w:val="bullet"/>
      <w:lvlText w:val="o"/>
      <w:lvlJc w:val="left"/>
      <w:pPr>
        <w:ind w:left="5760" w:hanging="360"/>
      </w:pPr>
      <w:rPr>
        <w:rFonts w:ascii="Courier New" w:hAnsi="Courier New" w:cs="Courier New" w:hint="default"/>
      </w:rPr>
    </w:lvl>
    <w:lvl w:ilvl="8" w:tplc="D83AC2B4" w:tentative="1">
      <w:start w:val="1"/>
      <w:numFmt w:val="bullet"/>
      <w:lvlText w:val=""/>
      <w:lvlJc w:val="left"/>
      <w:pPr>
        <w:ind w:left="6480" w:hanging="360"/>
      </w:pPr>
      <w:rPr>
        <w:rFonts w:ascii="Wingdings" w:hAnsi="Wingdings" w:hint="default"/>
      </w:rPr>
    </w:lvl>
  </w:abstractNum>
  <w:abstractNum w:abstractNumId="27" w15:restartNumberingAfterBreak="0">
    <w:nsid w:val="5A3D2777"/>
    <w:multiLevelType w:val="multilevel"/>
    <w:tmpl w:val="F2F8A7AA"/>
    <w:lvl w:ilvl="0">
      <w:start w:val="1"/>
      <w:numFmt w:val="decimal"/>
      <w:lvlText w:val="%1"/>
      <w:lvlJc w:val="left"/>
      <w:pPr>
        <w:tabs>
          <w:tab w:val="num" w:pos="340"/>
        </w:tabs>
        <w:ind w:left="340" w:hanging="340"/>
      </w:p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5EA365BA"/>
    <w:multiLevelType w:val="hybridMultilevel"/>
    <w:tmpl w:val="086097DA"/>
    <w:lvl w:ilvl="0" w:tplc="0C090001">
      <w:start w:val="1"/>
      <w:numFmt w:val="bullet"/>
      <w:pStyle w:val="Bullet3rdlevel"/>
      <w:lvlText w:val=""/>
      <w:lvlJc w:val="left"/>
      <w:pPr>
        <w:ind w:left="927" w:hanging="360"/>
      </w:pPr>
      <w:rPr>
        <w:rFonts w:ascii="Wingdings 2" w:hAnsi="Wingdings 2"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D417DF"/>
    <w:multiLevelType w:val="singleLevel"/>
    <w:tmpl w:val="E52C489A"/>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5FD705AE"/>
    <w:multiLevelType w:val="singleLevel"/>
    <w:tmpl w:val="4F7485F0"/>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661323B8"/>
    <w:multiLevelType w:val="multilevel"/>
    <w:tmpl w:val="795AF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06069C7"/>
    <w:multiLevelType w:val="singleLevel"/>
    <w:tmpl w:val="13FADC52"/>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70BF22B3"/>
    <w:multiLevelType w:val="singleLevel"/>
    <w:tmpl w:val="DFDCA2F4"/>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72A50329"/>
    <w:multiLevelType w:val="hybridMultilevel"/>
    <w:tmpl w:val="F404C554"/>
    <w:lvl w:ilvl="0" w:tplc="E30AB964">
      <w:start w:val="1"/>
      <w:numFmt w:val="bullet"/>
      <w:lvlText w:val=""/>
      <w:lvlJc w:val="left"/>
      <w:pPr>
        <w:ind w:left="720" w:hanging="360"/>
      </w:pPr>
      <w:rPr>
        <w:rFonts w:ascii="Symbol" w:hAnsi="Symbol" w:hint="default"/>
      </w:rPr>
    </w:lvl>
    <w:lvl w:ilvl="1" w:tplc="E60E426C">
      <w:start w:val="1"/>
      <w:numFmt w:val="bullet"/>
      <w:lvlText w:val="o"/>
      <w:lvlJc w:val="left"/>
      <w:pPr>
        <w:ind w:left="1440" w:hanging="360"/>
      </w:pPr>
      <w:rPr>
        <w:rFonts w:ascii="Courier New" w:hAnsi="Courier New" w:hint="default"/>
      </w:rPr>
    </w:lvl>
    <w:lvl w:ilvl="2" w:tplc="A4A495D6">
      <w:start w:val="1"/>
      <w:numFmt w:val="bullet"/>
      <w:lvlText w:val=""/>
      <w:lvlJc w:val="left"/>
      <w:pPr>
        <w:ind w:left="2160" w:hanging="360"/>
      </w:pPr>
      <w:rPr>
        <w:rFonts w:ascii="Wingdings" w:hAnsi="Wingdings" w:hint="default"/>
      </w:rPr>
    </w:lvl>
    <w:lvl w:ilvl="3" w:tplc="B9044FBC">
      <w:start w:val="1"/>
      <w:numFmt w:val="bullet"/>
      <w:lvlText w:val=""/>
      <w:lvlJc w:val="left"/>
      <w:pPr>
        <w:ind w:left="2880" w:hanging="360"/>
      </w:pPr>
      <w:rPr>
        <w:rFonts w:ascii="Symbol" w:hAnsi="Symbol" w:hint="default"/>
      </w:rPr>
    </w:lvl>
    <w:lvl w:ilvl="4" w:tplc="3C5873F4">
      <w:start w:val="1"/>
      <w:numFmt w:val="bullet"/>
      <w:lvlText w:val="o"/>
      <w:lvlJc w:val="left"/>
      <w:pPr>
        <w:ind w:left="3600" w:hanging="360"/>
      </w:pPr>
      <w:rPr>
        <w:rFonts w:ascii="Courier New" w:hAnsi="Courier New" w:hint="default"/>
      </w:rPr>
    </w:lvl>
    <w:lvl w:ilvl="5" w:tplc="B77A6AFE">
      <w:start w:val="1"/>
      <w:numFmt w:val="bullet"/>
      <w:lvlText w:val=""/>
      <w:lvlJc w:val="left"/>
      <w:pPr>
        <w:ind w:left="4320" w:hanging="360"/>
      </w:pPr>
      <w:rPr>
        <w:rFonts w:ascii="Wingdings" w:hAnsi="Wingdings" w:hint="default"/>
      </w:rPr>
    </w:lvl>
    <w:lvl w:ilvl="6" w:tplc="183C30BE">
      <w:start w:val="1"/>
      <w:numFmt w:val="bullet"/>
      <w:lvlText w:val=""/>
      <w:lvlJc w:val="left"/>
      <w:pPr>
        <w:ind w:left="5040" w:hanging="360"/>
      </w:pPr>
      <w:rPr>
        <w:rFonts w:ascii="Symbol" w:hAnsi="Symbol" w:hint="default"/>
      </w:rPr>
    </w:lvl>
    <w:lvl w:ilvl="7" w:tplc="673CF6BA">
      <w:start w:val="1"/>
      <w:numFmt w:val="bullet"/>
      <w:lvlText w:val="o"/>
      <w:lvlJc w:val="left"/>
      <w:pPr>
        <w:ind w:left="5760" w:hanging="360"/>
      </w:pPr>
      <w:rPr>
        <w:rFonts w:ascii="Courier New" w:hAnsi="Courier New" w:hint="default"/>
      </w:rPr>
    </w:lvl>
    <w:lvl w:ilvl="8" w:tplc="E2EC3B70">
      <w:start w:val="1"/>
      <w:numFmt w:val="bullet"/>
      <w:lvlText w:val=""/>
      <w:lvlJc w:val="left"/>
      <w:pPr>
        <w:ind w:left="6480" w:hanging="360"/>
      </w:pPr>
      <w:rPr>
        <w:rFonts w:ascii="Wingdings" w:hAnsi="Wingdings" w:hint="default"/>
      </w:rPr>
    </w:lvl>
  </w:abstractNum>
  <w:abstractNum w:abstractNumId="35" w15:restartNumberingAfterBreak="0">
    <w:nsid w:val="78761CD4"/>
    <w:multiLevelType w:val="hybridMultilevel"/>
    <w:tmpl w:val="5FD4B8CC"/>
    <w:lvl w:ilvl="0" w:tplc="E02A6F26">
      <w:start w:val="1"/>
      <w:numFmt w:val="lowerLetter"/>
      <w:lvlText w:val="%1)"/>
      <w:lvlJc w:val="left"/>
      <w:pPr>
        <w:ind w:left="720" w:hanging="360"/>
      </w:pPr>
    </w:lvl>
    <w:lvl w:ilvl="1" w:tplc="9516E5D8">
      <w:start w:val="1"/>
      <w:numFmt w:val="lowerLetter"/>
      <w:lvlText w:val="%2."/>
      <w:lvlJc w:val="left"/>
      <w:pPr>
        <w:ind w:left="1440" w:hanging="360"/>
      </w:pPr>
    </w:lvl>
    <w:lvl w:ilvl="2" w:tplc="349A47D6">
      <w:start w:val="1"/>
      <w:numFmt w:val="lowerRoman"/>
      <w:lvlText w:val="%3."/>
      <w:lvlJc w:val="right"/>
      <w:pPr>
        <w:ind w:left="2160" w:hanging="180"/>
      </w:pPr>
    </w:lvl>
    <w:lvl w:ilvl="3" w:tplc="34680410">
      <w:start w:val="1"/>
      <w:numFmt w:val="decimal"/>
      <w:lvlText w:val="%4."/>
      <w:lvlJc w:val="left"/>
      <w:pPr>
        <w:ind w:left="2880" w:hanging="360"/>
      </w:pPr>
    </w:lvl>
    <w:lvl w:ilvl="4" w:tplc="20AA5A54">
      <w:start w:val="1"/>
      <w:numFmt w:val="lowerLetter"/>
      <w:lvlText w:val="%5."/>
      <w:lvlJc w:val="left"/>
      <w:pPr>
        <w:ind w:left="3600" w:hanging="360"/>
      </w:pPr>
    </w:lvl>
    <w:lvl w:ilvl="5" w:tplc="C8E6C4BC">
      <w:start w:val="1"/>
      <w:numFmt w:val="lowerRoman"/>
      <w:lvlText w:val="%6."/>
      <w:lvlJc w:val="right"/>
      <w:pPr>
        <w:ind w:left="4320" w:hanging="180"/>
      </w:pPr>
    </w:lvl>
    <w:lvl w:ilvl="6" w:tplc="D7A68360">
      <w:start w:val="1"/>
      <w:numFmt w:val="decimal"/>
      <w:lvlText w:val="%7."/>
      <w:lvlJc w:val="left"/>
      <w:pPr>
        <w:ind w:left="5040" w:hanging="360"/>
      </w:pPr>
    </w:lvl>
    <w:lvl w:ilvl="7" w:tplc="A3822190">
      <w:start w:val="1"/>
      <w:numFmt w:val="lowerLetter"/>
      <w:lvlText w:val="%8."/>
      <w:lvlJc w:val="left"/>
      <w:pPr>
        <w:ind w:left="5760" w:hanging="360"/>
      </w:pPr>
    </w:lvl>
    <w:lvl w:ilvl="8" w:tplc="DEEED86C">
      <w:start w:val="1"/>
      <w:numFmt w:val="lowerRoman"/>
      <w:lvlText w:val="%9."/>
      <w:lvlJc w:val="right"/>
      <w:pPr>
        <w:ind w:left="6480" w:hanging="180"/>
      </w:pPr>
    </w:lvl>
  </w:abstractNum>
  <w:abstractNum w:abstractNumId="36" w15:restartNumberingAfterBreak="0">
    <w:nsid w:val="7EF13036"/>
    <w:multiLevelType w:val="singleLevel"/>
    <w:tmpl w:val="EF6A5CA0"/>
    <w:lvl w:ilvl="0">
      <w:start w:val="1"/>
      <w:numFmt w:val="bullet"/>
      <w:lvlText w:val=""/>
      <w:lvlJc w:val="left"/>
      <w:pPr>
        <w:tabs>
          <w:tab w:val="num" w:pos="340"/>
        </w:tabs>
        <w:ind w:left="340" w:hanging="340"/>
      </w:pPr>
      <w:rPr>
        <w:rFonts w:ascii="Symbol" w:hAnsi="Symbol" w:hint="default"/>
        <w:color w:val="auto"/>
        <w:sz w:val="22"/>
      </w:rPr>
    </w:lvl>
  </w:abstractNum>
  <w:num w:numId="1">
    <w:abstractNumId w:val="9"/>
  </w:num>
  <w:num w:numId="2">
    <w:abstractNumId w:val="2"/>
  </w:num>
  <w:num w:numId="3">
    <w:abstractNumId w:val="5"/>
  </w:num>
  <w:num w:numId="4">
    <w:abstractNumId w:val="28"/>
  </w:num>
  <w:num w:numId="5">
    <w:abstractNumId w:val="13"/>
  </w:num>
  <w:num w:numId="6">
    <w:abstractNumId w:val="22"/>
  </w:num>
  <w:num w:numId="7">
    <w:abstractNumId w:val="26"/>
  </w:num>
  <w:num w:numId="8">
    <w:abstractNumId w:val="15"/>
  </w:num>
  <w:num w:numId="9">
    <w:abstractNumId w:val="6"/>
  </w:num>
  <w:num w:numId="10">
    <w:abstractNumId w:val="10"/>
  </w:num>
  <w:num w:numId="11">
    <w:abstractNumId w:val="18"/>
  </w:num>
  <w:num w:numId="12">
    <w:abstractNumId w:val="23"/>
  </w:num>
  <w:num w:numId="13">
    <w:abstractNumId w:val="33"/>
  </w:num>
  <w:num w:numId="14">
    <w:abstractNumId w:val="16"/>
  </w:num>
  <w:num w:numId="15">
    <w:abstractNumId w:val="29"/>
  </w:num>
  <w:num w:numId="16">
    <w:abstractNumId w:val="8"/>
  </w:num>
  <w:num w:numId="17">
    <w:abstractNumId w:val="32"/>
  </w:num>
  <w:num w:numId="18">
    <w:abstractNumId w:val="36"/>
  </w:num>
  <w:num w:numId="19">
    <w:abstractNumId w:val="21"/>
  </w:num>
  <w:num w:numId="20">
    <w:abstractNumId w:val="20"/>
  </w:num>
  <w:num w:numId="21">
    <w:abstractNumId w:val="24"/>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27"/>
  </w:num>
  <w:num w:numId="27">
    <w:abstractNumId w:val="4"/>
  </w:num>
  <w:num w:numId="28">
    <w:abstractNumId w:val="34"/>
  </w:num>
  <w:num w:numId="29">
    <w:abstractNumId w:val="25"/>
  </w:num>
  <w:num w:numId="30">
    <w:abstractNumId w:val="35"/>
  </w:num>
  <w:num w:numId="31">
    <w:abstractNumId w:val="17"/>
  </w:num>
  <w:num w:numId="32">
    <w:abstractNumId w:val="1"/>
  </w:num>
  <w:num w:numId="33">
    <w:abstractNumId w:val="11"/>
  </w:num>
  <w:num w:numId="34">
    <w:abstractNumId w:val="12"/>
  </w:num>
  <w:num w:numId="35">
    <w:abstractNumId w:val="7"/>
  </w:num>
  <w:num w:numId="36">
    <w:abstractNumId w:val="30"/>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4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9B"/>
    <w:rsid w:val="0000182A"/>
    <w:rsid w:val="000023FD"/>
    <w:rsid w:val="0000297F"/>
    <w:rsid w:val="00002DDF"/>
    <w:rsid w:val="00002FCE"/>
    <w:rsid w:val="0000339D"/>
    <w:rsid w:val="0000404A"/>
    <w:rsid w:val="000116AC"/>
    <w:rsid w:val="000118BE"/>
    <w:rsid w:val="000133C4"/>
    <w:rsid w:val="000145D3"/>
    <w:rsid w:val="00014EF9"/>
    <w:rsid w:val="00016796"/>
    <w:rsid w:val="000168D0"/>
    <w:rsid w:val="00023F7E"/>
    <w:rsid w:val="0002493F"/>
    <w:rsid w:val="000322D8"/>
    <w:rsid w:val="0003244F"/>
    <w:rsid w:val="00033E4C"/>
    <w:rsid w:val="000350E9"/>
    <w:rsid w:val="00035941"/>
    <w:rsid w:val="000367F2"/>
    <w:rsid w:val="00037B63"/>
    <w:rsid w:val="00040183"/>
    <w:rsid w:val="0004058F"/>
    <w:rsid w:val="00041CA8"/>
    <w:rsid w:val="00050A84"/>
    <w:rsid w:val="00053A68"/>
    <w:rsid w:val="00056650"/>
    <w:rsid w:val="00062312"/>
    <w:rsid w:val="000653A6"/>
    <w:rsid w:val="00072144"/>
    <w:rsid w:val="0007492C"/>
    <w:rsid w:val="000761A2"/>
    <w:rsid w:val="00080F62"/>
    <w:rsid w:val="00081E10"/>
    <w:rsid w:val="00084786"/>
    <w:rsid w:val="00084F59"/>
    <w:rsid w:val="0009290D"/>
    <w:rsid w:val="000A50BF"/>
    <w:rsid w:val="000B044D"/>
    <w:rsid w:val="000B45B9"/>
    <w:rsid w:val="000B47AE"/>
    <w:rsid w:val="000B652C"/>
    <w:rsid w:val="000C27CE"/>
    <w:rsid w:val="000C28B8"/>
    <w:rsid w:val="000C574B"/>
    <w:rsid w:val="000C5B2D"/>
    <w:rsid w:val="000C64C8"/>
    <w:rsid w:val="000D0E0D"/>
    <w:rsid w:val="000D35D6"/>
    <w:rsid w:val="000D4B1F"/>
    <w:rsid w:val="000D5A86"/>
    <w:rsid w:val="000E5CE5"/>
    <w:rsid w:val="000E7512"/>
    <w:rsid w:val="000F26BF"/>
    <w:rsid w:val="000F698A"/>
    <w:rsid w:val="00100C37"/>
    <w:rsid w:val="001024A0"/>
    <w:rsid w:val="00107B8B"/>
    <w:rsid w:val="00107C48"/>
    <w:rsid w:val="00112679"/>
    <w:rsid w:val="00115D15"/>
    <w:rsid w:val="001202FA"/>
    <w:rsid w:val="00122845"/>
    <w:rsid w:val="00126101"/>
    <w:rsid w:val="00126838"/>
    <w:rsid w:val="001373A7"/>
    <w:rsid w:val="001433F5"/>
    <w:rsid w:val="00150EBA"/>
    <w:rsid w:val="00153DD1"/>
    <w:rsid w:val="00154352"/>
    <w:rsid w:val="001552B0"/>
    <w:rsid w:val="00156111"/>
    <w:rsid w:val="00156693"/>
    <w:rsid w:val="001610F4"/>
    <w:rsid w:val="00162DE8"/>
    <w:rsid w:val="001630A7"/>
    <w:rsid w:val="001632EB"/>
    <w:rsid w:val="001633CC"/>
    <w:rsid w:val="001712D3"/>
    <w:rsid w:val="001735C8"/>
    <w:rsid w:val="001758BB"/>
    <w:rsid w:val="0017702B"/>
    <w:rsid w:val="00181942"/>
    <w:rsid w:val="001819EB"/>
    <w:rsid w:val="00185124"/>
    <w:rsid w:val="00190CA5"/>
    <w:rsid w:val="001953FC"/>
    <w:rsid w:val="001A0AA8"/>
    <w:rsid w:val="001A1685"/>
    <w:rsid w:val="001A534F"/>
    <w:rsid w:val="001A6BDD"/>
    <w:rsid w:val="001B0AC1"/>
    <w:rsid w:val="001B27B7"/>
    <w:rsid w:val="001B41A0"/>
    <w:rsid w:val="001B45DD"/>
    <w:rsid w:val="001B62D0"/>
    <w:rsid w:val="001B6B3F"/>
    <w:rsid w:val="001C084B"/>
    <w:rsid w:val="001C0CA9"/>
    <w:rsid w:val="001C3935"/>
    <w:rsid w:val="001C4D15"/>
    <w:rsid w:val="001C54BE"/>
    <w:rsid w:val="001C6CEA"/>
    <w:rsid w:val="001C7A32"/>
    <w:rsid w:val="001D31BE"/>
    <w:rsid w:val="001D55B2"/>
    <w:rsid w:val="001D6302"/>
    <w:rsid w:val="001D7855"/>
    <w:rsid w:val="001E0779"/>
    <w:rsid w:val="001E305D"/>
    <w:rsid w:val="001E6482"/>
    <w:rsid w:val="001E7DA5"/>
    <w:rsid w:val="001F1FE5"/>
    <w:rsid w:val="001F4BEB"/>
    <w:rsid w:val="001F6D74"/>
    <w:rsid w:val="002012E6"/>
    <w:rsid w:val="00206EA3"/>
    <w:rsid w:val="00210C39"/>
    <w:rsid w:val="00221D34"/>
    <w:rsid w:val="00224297"/>
    <w:rsid w:val="002244C0"/>
    <w:rsid w:val="00225205"/>
    <w:rsid w:val="00226483"/>
    <w:rsid w:val="00226538"/>
    <w:rsid w:val="00226CBC"/>
    <w:rsid w:val="00230233"/>
    <w:rsid w:val="00234CB7"/>
    <w:rsid w:val="002360FF"/>
    <w:rsid w:val="0023686B"/>
    <w:rsid w:val="002374AF"/>
    <w:rsid w:val="0024040C"/>
    <w:rsid w:val="002405C4"/>
    <w:rsid w:val="0024181B"/>
    <w:rsid w:val="0024251B"/>
    <w:rsid w:val="0024699F"/>
    <w:rsid w:val="002527FE"/>
    <w:rsid w:val="00252D23"/>
    <w:rsid w:val="00256C96"/>
    <w:rsid w:val="0025716B"/>
    <w:rsid w:val="0026270E"/>
    <w:rsid w:val="00262EBE"/>
    <w:rsid w:val="002734DF"/>
    <w:rsid w:val="0027473F"/>
    <w:rsid w:val="002774DD"/>
    <w:rsid w:val="00280082"/>
    <w:rsid w:val="00283F1E"/>
    <w:rsid w:val="00285FCE"/>
    <w:rsid w:val="00287CE1"/>
    <w:rsid w:val="00290A7A"/>
    <w:rsid w:val="002914CF"/>
    <w:rsid w:val="002946A7"/>
    <w:rsid w:val="00294B60"/>
    <w:rsid w:val="002A0974"/>
    <w:rsid w:val="002A1FE7"/>
    <w:rsid w:val="002A2135"/>
    <w:rsid w:val="002A31D9"/>
    <w:rsid w:val="002A3669"/>
    <w:rsid w:val="002A3D5C"/>
    <w:rsid w:val="002A6B84"/>
    <w:rsid w:val="002B0703"/>
    <w:rsid w:val="002C36B2"/>
    <w:rsid w:val="002C3710"/>
    <w:rsid w:val="002C391E"/>
    <w:rsid w:val="002C4499"/>
    <w:rsid w:val="002C6E92"/>
    <w:rsid w:val="002D014E"/>
    <w:rsid w:val="002D091E"/>
    <w:rsid w:val="002D4954"/>
    <w:rsid w:val="002D74F2"/>
    <w:rsid w:val="002E1E5B"/>
    <w:rsid w:val="002E6182"/>
    <w:rsid w:val="002E6781"/>
    <w:rsid w:val="002E6924"/>
    <w:rsid w:val="002E7E50"/>
    <w:rsid w:val="002F1257"/>
    <w:rsid w:val="002F30A7"/>
    <w:rsid w:val="002F337F"/>
    <w:rsid w:val="002F40D6"/>
    <w:rsid w:val="002F43A5"/>
    <w:rsid w:val="002F479F"/>
    <w:rsid w:val="002F6800"/>
    <w:rsid w:val="003022EB"/>
    <w:rsid w:val="00303694"/>
    <w:rsid w:val="00304091"/>
    <w:rsid w:val="003049E5"/>
    <w:rsid w:val="00304ACB"/>
    <w:rsid w:val="003055CB"/>
    <w:rsid w:val="003074D6"/>
    <w:rsid w:val="00310FC6"/>
    <w:rsid w:val="00311B9C"/>
    <w:rsid w:val="00312643"/>
    <w:rsid w:val="00313418"/>
    <w:rsid w:val="0031440F"/>
    <w:rsid w:val="00322828"/>
    <w:rsid w:val="0032300A"/>
    <w:rsid w:val="00324A49"/>
    <w:rsid w:val="00330B93"/>
    <w:rsid w:val="00330C39"/>
    <w:rsid w:val="003341E0"/>
    <w:rsid w:val="00343EAB"/>
    <w:rsid w:val="00346A72"/>
    <w:rsid w:val="00346C1D"/>
    <w:rsid w:val="00352E19"/>
    <w:rsid w:val="0035434C"/>
    <w:rsid w:val="00361CEC"/>
    <w:rsid w:val="00361CF0"/>
    <w:rsid w:val="00361F2A"/>
    <w:rsid w:val="00362261"/>
    <w:rsid w:val="00362304"/>
    <w:rsid w:val="00366A8A"/>
    <w:rsid w:val="00370A0B"/>
    <w:rsid w:val="003713FB"/>
    <w:rsid w:val="00372282"/>
    <w:rsid w:val="0037354D"/>
    <w:rsid w:val="00382AD4"/>
    <w:rsid w:val="00385D52"/>
    <w:rsid w:val="00393759"/>
    <w:rsid w:val="0039776C"/>
    <w:rsid w:val="003B1D11"/>
    <w:rsid w:val="003B341A"/>
    <w:rsid w:val="003B38A5"/>
    <w:rsid w:val="003B38A6"/>
    <w:rsid w:val="003B3ECD"/>
    <w:rsid w:val="003B585E"/>
    <w:rsid w:val="003B6723"/>
    <w:rsid w:val="003C2DD9"/>
    <w:rsid w:val="003C3092"/>
    <w:rsid w:val="003C4531"/>
    <w:rsid w:val="003C4E2C"/>
    <w:rsid w:val="003C5A8D"/>
    <w:rsid w:val="003D183B"/>
    <w:rsid w:val="003D1CFC"/>
    <w:rsid w:val="003D1FD9"/>
    <w:rsid w:val="003D4A4A"/>
    <w:rsid w:val="003D625A"/>
    <w:rsid w:val="003D6C9E"/>
    <w:rsid w:val="003D7DBF"/>
    <w:rsid w:val="003E1D08"/>
    <w:rsid w:val="003E3C04"/>
    <w:rsid w:val="003E49AB"/>
    <w:rsid w:val="003F005A"/>
    <w:rsid w:val="003F123B"/>
    <w:rsid w:val="003F2D5C"/>
    <w:rsid w:val="004031D9"/>
    <w:rsid w:val="00403FDA"/>
    <w:rsid w:val="00410551"/>
    <w:rsid w:val="004112BF"/>
    <w:rsid w:val="00413A9E"/>
    <w:rsid w:val="004160AD"/>
    <w:rsid w:val="004200E4"/>
    <w:rsid w:val="00421E1E"/>
    <w:rsid w:val="004316D7"/>
    <w:rsid w:val="00432D1B"/>
    <w:rsid w:val="00437799"/>
    <w:rsid w:val="00440CC4"/>
    <w:rsid w:val="00442DD0"/>
    <w:rsid w:val="00444BA9"/>
    <w:rsid w:val="00445CBF"/>
    <w:rsid w:val="004469CB"/>
    <w:rsid w:val="00447403"/>
    <w:rsid w:val="00450960"/>
    <w:rsid w:val="00451C21"/>
    <w:rsid w:val="00452186"/>
    <w:rsid w:val="004556DD"/>
    <w:rsid w:val="0045666E"/>
    <w:rsid w:val="00461DEB"/>
    <w:rsid w:val="004629A1"/>
    <w:rsid w:val="004633D1"/>
    <w:rsid w:val="00470C9E"/>
    <w:rsid w:val="00474B94"/>
    <w:rsid w:val="0047740D"/>
    <w:rsid w:val="0048062E"/>
    <w:rsid w:val="00490305"/>
    <w:rsid w:val="0049162F"/>
    <w:rsid w:val="004A26CE"/>
    <w:rsid w:val="004A2EB4"/>
    <w:rsid w:val="004A36EA"/>
    <w:rsid w:val="004A3F32"/>
    <w:rsid w:val="004A78D7"/>
    <w:rsid w:val="004B054B"/>
    <w:rsid w:val="004B1B12"/>
    <w:rsid w:val="004B1CAB"/>
    <w:rsid w:val="004B3FA4"/>
    <w:rsid w:val="004B3FF1"/>
    <w:rsid w:val="004C0C21"/>
    <w:rsid w:val="004C280E"/>
    <w:rsid w:val="004C5759"/>
    <w:rsid w:val="004C7812"/>
    <w:rsid w:val="004D0067"/>
    <w:rsid w:val="004D24DE"/>
    <w:rsid w:val="004E00D2"/>
    <w:rsid w:val="004E3833"/>
    <w:rsid w:val="004E6C3B"/>
    <w:rsid w:val="004E7868"/>
    <w:rsid w:val="004F397B"/>
    <w:rsid w:val="004F4C86"/>
    <w:rsid w:val="004F55BD"/>
    <w:rsid w:val="004F779F"/>
    <w:rsid w:val="00501346"/>
    <w:rsid w:val="005027C5"/>
    <w:rsid w:val="005029D8"/>
    <w:rsid w:val="00504E6D"/>
    <w:rsid w:val="00510623"/>
    <w:rsid w:val="005108F4"/>
    <w:rsid w:val="00510A2A"/>
    <w:rsid w:val="00511877"/>
    <w:rsid w:val="005134F0"/>
    <w:rsid w:val="005141C4"/>
    <w:rsid w:val="00521528"/>
    <w:rsid w:val="00524F01"/>
    <w:rsid w:val="00525EB1"/>
    <w:rsid w:val="00526D3E"/>
    <w:rsid w:val="0053266E"/>
    <w:rsid w:val="00532EC5"/>
    <w:rsid w:val="005435D6"/>
    <w:rsid w:val="005469A3"/>
    <w:rsid w:val="00551F6E"/>
    <w:rsid w:val="0055285B"/>
    <w:rsid w:val="005609F9"/>
    <w:rsid w:val="00570087"/>
    <w:rsid w:val="005708C3"/>
    <w:rsid w:val="005725D0"/>
    <w:rsid w:val="005744F7"/>
    <w:rsid w:val="005812D8"/>
    <w:rsid w:val="00582604"/>
    <w:rsid w:val="0058329A"/>
    <w:rsid w:val="00591B50"/>
    <w:rsid w:val="005920AC"/>
    <w:rsid w:val="0059696B"/>
    <w:rsid w:val="005974F8"/>
    <w:rsid w:val="005A331E"/>
    <w:rsid w:val="005A47D7"/>
    <w:rsid w:val="005A7907"/>
    <w:rsid w:val="005B5CE4"/>
    <w:rsid w:val="005B61FA"/>
    <w:rsid w:val="005B7151"/>
    <w:rsid w:val="005C34D0"/>
    <w:rsid w:val="005D224C"/>
    <w:rsid w:val="005D6FE0"/>
    <w:rsid w:val="005D74C4"/>
    <w:rsid w:val="00604CB8"/>
    <w:rsid w:val="0060D407"/>
    <w:rsid w:val="006114AF"/>
    <w:rsid w:val="00611A43"/>
    <w:rsid w:val="00612CB2"/>
    <w:rsid w:val="006163D8"/>
    <w:rsid w:val="006165F2"/>
    <w:rsid w:val="006176A1"/>
    <w:rsid w:val="00620E16"/>
    <w:rsid w:val="00621ED3"/>
    <w:rsid w:val="00622CF1"/>
    <w:rsid w:val="00630989"/>
    <w:rsid w:val="006339BE"/>
    <w:rsid w:val="00633C40"/>
    <w:rsid w:val="006363C9"/>
    <w:rsid w:val="00636403"/>
    <w:rsid w:val="00642722"/>
    <w:rsid w:val="00643A60"/>
    <w:rsid w:val="00650DCF"/>
    <w:rsid w:val="00653D26"/>
    <w:rsid w:val="00653DCF"/>
    <w:rsid w:val="00665432"/>
    <w:rsid w:val="006658B6"/>
    <w:rsid w:val="00667196"/>
    <w:rsid w:val="00670EC9"/>
    <w:rsid w:val="0068036A"/>
    <w:rsid w:val="00680A6E"/>
    <w:rsid w:val="00686795"/>
    <w:rsid w:val="006952BA"/>
    <w:rsid w:val="006A00E4"/>
    <w:rsid w:val="006A0193"/>
    <w:rsid w:val="006A0232"/>
    <w:rsid w:val="006A13CF"/>
    <w:rsid w:val="006A444D"/>
    <w:rsid w:val="006A78B4"/>
    <w:rsid w:val="006A79C5"/>
    <w:rsid w:val="006B5560"/>
    <w:rsid w:val="006B5CA7"/>
    <w:rsid w:val="006B5D9B"/>
    <w:rsid w:val="006C0662"/>
    <w:rsid w:val="006C092F"/>
    <w:rsid w:val="006C4CD8"/>
    <w:rsid w:val="006C573D"/>
    <w:rsid w:val="006C63BB"/>
    <w:rsid w:val="006C6D5E"/>
    <w:rsid w:val="006C6E09"/>
    <w:rsid w:val="006E36E8"/>
    <w:rsid w:val="006E7388"/>
    <w:rsid w:val="006F00B0"/>
    <w:rsid w:val="006F2CB1"/>
    <w:rsid w:val="006F465C"/>
    <w:rsid w:val="006F498C"/>
    <w:rsid w:val="00702161"/>
    <w:rsid w:val="00707B10"/>
    <w:rsid w:val="00707B9B"/>
    <w:rsid w:val="0071185C"/>
    <w:rsid w:val="0071392E"/>
    <w:rsid w:val="00714804"/>
    <w:rsid w:val="00714D05"/>
    <w:rsid w:val="00715A3B"/>
    <w:rsid w:val="00715D73"/>
    <w:rsid w:val="007172EF"/>
    <w:rsid w:val="007210FD"/>
    <w:rsid w:val="00723D3C"/>
    <w:rsid w:val="00724D2A"/>
    <w:rsid w:val="007255C8"/>
    <w:rsid w:val="007259BE"/>
    <w:rsid w:val="00726C53"/>
    <w:rsid w:val="007316D0"/>
    <w:rsid w:val="0073454E"/>
    <w:rsid w:val="00734F16"/>
    <w:rsid w:val="00743812"/>
    <w:rsid w:val="007439DB"/>
    <w:rsid w:val="00744704"/>
    <w:rsid w:val="00745122"/>
    <w:rsid w:val="00753503"/>
    <w:rsid w:val="007603C6"/>
    <w:rsid w:val="00761F95"/>
    <w:rsid w:val="007633F5"/>
    <w:rsid w:val="007634C5"/>
    <w:rsid w:val="00765A4F"/>
    <w:rsid w:val="007722D8"/>
    <w:rsid w:val="00772795"/>
    <w:rsid w:val="00776B83"/>
    <w:rsid w:val="007776F8"/>
    <w:rsid w:val="00780C50"/>
    <w:rsid w:val="007816F2"/>
    <w:rsid w:val="00793E51"/>
    <w:rsid w:val="00794C69"/>
    <w:rsid w:val="00797B96"/>
    <w:rsid w:val="007A0825"/>
    <w:rsid w:val="007B0437"/>
    <w:rsid w:val="007B5938"/>
    <w:rsid w:val="007B5C87"/>
    <w:rsid w:val="007C6F28"/>
    <w:rsid w:val="007D084B"/>
    <w:rsid w:val="007D1291"/>
    <w:rsid w:val="007D278B"/>
    <w:rsid w:val="007D4179"/>
    <w:rsid w:val="007D7DBB"/>
    <w:rsid w:val="007E0C8C"/>
    <w:rsid w:val="007E23D9"/>
    <w:rsid w:val="007E296A"/>
    <w:rsid w:val="007E54D0"/>
    <w:rsid w:val="007E5C96"/>
    <w:rsid w:val="007E7300"/>
    <w:rsid w:val="007F4C9D"/>
    <w:rsid w:val="007F6AED"/>
    <w:rsid w:val="00804203"/>
    <w:rsid w:val="008059CE"/>
    <w:rsid w:val="008063AC"/>
    <w:rsid w:val="00807B1B"/>
    <w:rsid w:val="008113DD"/>
    <w:rsid w:val="00812270"/>
    <w:rsid w:val="00812486"/>
    <w:rsid w:val="00813F45"/>
    <w:rsid w:val="00814990"/>
    <w:rsid w:val="00821FAB"/>
    <w:rsid w:val="00826506"/>
    <w:rsid w:val="008322AD"/>
    <w:rsid w:val="00833182"/>
    <w:rsid w:val="00833525"/>
    <w:rsid w:val="00834CEB"/>
    <w:rsid w:val="00836F3E"/>
    <w:rsid w:val="00837973"/>
    <w:rsid w:val="00846012"/>
    <w:rsid w:val="00850FA1"/>
    <w:rsid w:val="008526CA"/>
    <w:rsid w:val="00854C18"/>
    <w:rsid w:val="00856AEE"/>
    <w:rsid w:val="00857090"/>
    <w:rsid w:val="00860299"/>
    <w:rsid w:val="00861AE5"/>
    <w:rsid w:val="00863105"/>
    <w:rsid w:val="00864FFD"/>
    <w:rsid w:val="00865646"/>
    <w:rsid w:val="00867289"/>
    <w:rsid w:val="008757A9"/>
    <w:rsid w:val="0088573B"/>
    <w:rsid w:val="00885B72"/>
    <w:rsid w:val="008944E5"/>
    <w:rsid w:val="00894D91"/>
    <w:rsid w:val="008A2748"/>
    <w:rsid w:val="008A521A"/>
    <w:rsid w:val="008B0FE8"/>
    <w:rsid w:val="008B1B1E"/>
    <w:rsid w:val="008B4E2B"/>
    <w:rsid w:val="008C04FD"/>
    <w:rsid w:val="008C1306"/>
    <w:rsid w:val="008C18F4"/>
    <w:rsid w:val="008C2221"/>
    <w:rsid w:val="008C24F3"/>
    <w:rsid w:val="008C2779"/>
    <w:rsid w:val="008C2FFF"/>
    <w:rsid w:val="008D1108"/>
    <w:rsid w:val="008D620E"/>
    <w:rsid w:val="008D64E4"/>
    <w:rsid w:val="008E1907"/>
    <w:rsid w:val="008F0491"/>
    <w:rsid w:val="008F48BE"/>
    <w:rsid w:val="008F5357"/>
    <w:rsid w:val="008F54A7"/>
    <w:rsid w:val="008F632A"/>
    <w:rsid w:val="009003A8"/>
    <w:rsid w:val="00901AC9"/>
    <w:rsid w:val="00903423"/>
    <w:rsid w:val="00903C2E"/>
    <w:rsid w:val="00907949"/>
    <w:rsid w:val="00910990"/>
    <w:rsid w:val="009135CF"/>
    <w:rsid w:val="009143A8"/>
    <w:rsid w:val="00915593"/>
    <w:rsid w:val="00920E59"/>
    <w:rsid w:val="00922238"/>
    <w:rsid w:val="00923822"/>
    <w:rsid w:val="00923F69"/>
    <w:rsid w:val="00926C88"/>
    <w:rsid w:val="00930B77"/>
    <w:rsid w:val="00934BAE"/>
    <w:rsid w:val="009351AF"/>
    <w:rsid w:val="00943378"/>
    <w:rsid w:val="00943D20"/>
    <w:rsid w:val="00944D74"/>
    <w:rsid w:val="00946C81"/>
    <w:rsid w:val="0095155C"/>
    <w:rsid w:val="00951AC5"/>
    <w:rsid w:val="009528F7"/>
    <w:rsid w:val="00956B75"/>
    <w:rsid w:val="00957061"/>
    <w:rsid w:val="009609B4"/>
    <w:rsid w:val="00960DFA"/>
    <w:rsid w:val="00962163"/>
    <w:rsid w:val="009633A2"/>
    <w:rsid w:val="0096364A"/>
    <w:rsid w:val="00964D6B"/>
    <w:rsid w:val="0096523B"/>
    <w:rsid w:val="009652F6"/>
    <w:rsid w:val="0096540F"/>
    <w:rsid w:val="00966DEA"/>
    <w:rsid w:val="00974EF5"/>
    <w:rsid w:val="0097608C"/>
    <w:rsid w:val="009875AB"/>
    <w:rsid w:val="00990067"/>
    <w:rsid w:val="00994966"/>
    <w:rsid w:val="00997682"/>
    <w:rsid w:val="009A682E"/>
    <w:rsid w:val="009A70C0"/>
    <w:rsid w:val="009B18E8"/>
    <w:rsid w:val="009B2B4B"/>
    <w:rsid w:val="009B51E4"/>
    <w:rsid w:val="009B5EE7"/>
    <w:rsid w:val="009B7B63"/>
    <w:rsid w:val="009C5703"/>
    <w:rsid w:val="009C5EB8"/>
    <w:rsid w:val="009D05B7"/>
    <w:rsid w:val="009D4E79"/>
    <w:rsid w:val="009E2F55"/>
    <w:rsid w:val="009E5FE7"/>
    <w:rsid w:val="009E7957"/>
    <w:rsid w:val="009F1507"/>
    <w:rsid w:val="009F1FA6"/>
    <w:rsid w:val="009F379E"/>
    <w:rsid w:val="009F48C9"/>
    <w:rsid w:val="009F4CB6"/>
    <w:rsid w:val="009F508B"/>
    <w:rsid w:val="009F61E1"/>
    <w:rsid w:val="00A00C72"/>
    <w:rsid w:val="00A01FE8"/>
    <w:rsid w:val="00A114D9"/>
    <w:rsid w:val="00A1242A"/>
    <w:rsid w:val="00A130DE"/>
    <w:rsid w:val="00A21295"/>
    <w:rsid w:val="00A216CD"/>
    <w:rsid w:val="00A22140"/>
    <w:rsid w:val="00A24A35"/>
    <w:rsid w:val="00A32795"/>
    <w:rsid w:val="00A364DD"/>
    <w:rsid w:val="00A36A6F"/>
    <w:rsid w:val="00A41CBD"/>
    <w:rsid w:val="00A44162"/>
    <w:rsid w:val="00A45F32"/>
    <w:rsid w:val="00A462D1"/>
    <w:rsid w:val="00A462F1"/>
    <w:rsid w:val="00A465F7"/>
    <w:rsid w:val="00A4698D"/>
    <w:rsid w:val="00A506E6"/>
    <w:rsid w:val="00A5093A"/>
    <w:rsid w:val="00A62E81"/>
    <w:rsid w:val="00A6306B"/>
    <w:rsid w:val="00A6356E"/>
    <w:rsid w:val="00A65A46"/>
    <w:rsid w:val="00A71380"/>
    <w:rsid w:val="00A773A1"/>
    <w:rsid w:val="00A9002E"/>
    <w:rsid w:val="00A92B44"/>
    <w:rsid w:val="00A931DF"/>
    <w:rsid w:val="00A95B6A"/>
    <w:rsid w:val="00A974C4"/>
    <w:rsid w:val="00A97D19"/>
    <w:rsid w:val="00AA1E34"/>
    <w:rsid w:val="00AA50E0"/>
    <w:rsid w:val="00AA59A0"/>
    <w:rsid w:val="00AB538D"/>
    <w:rsid w:val="00AB53A3"/>
    <w:rsid w:val="00AC1C5E"/>
    <w:rsid w:val="00AC21A4"/>
    <w:rsid w:val="00AC3ADC"/>
    <w:rsid w:val="00AC44A5"/>
    <w:rsid w:val="00AC725B"/>
    <w:rsid w:val="00AD4B92"/>
    <w:rsid w:val="00AD66E4"/>
    <w:rsid w:val="00AD700B"/>
    <w:rsid w:val="00AD7FE7"/>
    <w:rsid w:val="00AE6557"/>
    <w:rsid w:val="00AF41A5"/>
    <w:rsid w:val="00AF7CB8"/>
    <w:rsid w:val="00B072F7"/>
    <w:rsid w:val="00B10826"/>
    <w:rsid w:val="00B10907"/>
    <w:rsid w:val="00B119E5"/>
    <w:rsid w:val="00B13088"/>
    <w:rsid w:val="00B14CBF"/>
    <w:rsid w:val="00B15242"/>
    <w:rsid w:val="00B172F3"/>
    <w:rsid w:val="00B17CE6"/>
    <w:rsid w:val="00B24E08"/>
    <w:rsid w:val="00B30D68"/>
    <w:rsid w:val="00B344F4"/>
    <w:rsid w:val="00B37D1B"/>
    <w:rsid w:val="00B37E6E"/>
    <w:rsid w:val="00B407A6"/>
    <w:rsid w:val="00B41AC3"/>
    <w:rsid w:val="00B4345F"/>
    <w:rsid w:val="00B43DDD"/>
    <w:rsid w:val="00B451F3"/>
    <w:rsid w:val="00B5221A"/>
    <w:rsid w:val="00B53A74"/>
    <w:rsid w:val="00B60415"/>
    <w:rsid w:val="00B623E8"/>
    <w:rsid w:val="00B64C73"/>
    <w:rsid w:val="00B65A92"/>
    <w:rsid w:val="00B65ED2"/>
    <w:rsid w:val="00B66C04"/>
    <w:rsid w:val="00B67F64"/>
    <w:rsid w:val="00B70E82"/>
    <w:rsid w:val="00B76A71"/>
    <w:rsid w:val="00B77DC1"/>
    <w:rsid w:val="00B81784"/>
    <w:rsid w:val="00B841CA"/>
    <w:rsid w:val="00B8725E"/>
    <w:rsid w:val="00B87890"/>
    <w:rsid w:val="00B91B65"/>
    <w:rsid w:val="00B936B3"/>
    <w:rsid w:val="00B93B13"/>
    <w:rsid w:val="00BA1383"/>
    <w:rsid w:val="00BA151F"/>
    <w:rsid w:val="00BA1D66"/>
    <w:rsid w:val="00BA392F"/>
    <w:rsid w:val="00BA3B14"/>
    <w:rsid w:val="00BA3E04"/>
    <w:rsid w:val="00BA4108"/>
    <w:rsid w:val="00BA45A1"/>
    <w:rsid w:val="00BA45D4"/>
    <w:rsid w:val="00BA48DF"/>
    <w:rsid w:val="00BA5E09"/>
    <w:rsid w:val="00BA7C62"/>
    <w:rsid w:val="00BB0D57"/>
    <w:rsid w:val="00BB36D7"/>
    <w:rsid w:val="00BB7144"/>
    <w:rsid w:val="00BC1CD6"/>
    <w:rsid w:val="00BC34A9"/>
    <w:rsid w:val="00BC7ABC"/>
    <w:rsid w:val="00BD0AFA"/>
    <w:rsid w:val="00BD1EF6"/>
    <w:rsid w:val="00BD256D"/>
    <w:rsid w:val="00BD4538"/>
    <w:rsid w:val="00BE0A3F"/>
    <w:rsid w:val="00BE1331"/>
    <w:rsid w:val="00BE18A3"/>
    <w:rsid w:val="00BE4D47"/>
    <w:rsid w:val="00BE6733"/>
    <w:rsid w:val="00C02B9B"/>
    <w:rsid w:val="00C02F9A"/>
    <w:rsid w:val="00C05820"/>
    <w:rsid w:val="00C10E32"/>
    <w:rsid w:val="00C11E62"/>
    <w:rsid w:val="00C13036"/>
    <w:rsid w:val="00C21131"/>
    <w:rsid w:val="00C21BC5"/>
    <w:rsid w:val="00C24231"/>
    <w:rsid w:val="00C249E8"/>
    <w:rsid w:val="00C44AE2"/>
    <w:rsid w:val="00C44D69"/>
    <w:rsid w:val="00C46B2B"/>
    <w:rsid w:val="00C47D57"/>
    <w:rsid w:val="00C50012"/>
    <w:rsid w:val="00C50D77"/>
    <w:rsid w:val="00C5198F"/>
    <w:rsid w:val="00C51E50"/>
    <w:rsid w:val="00C556A3"/>
    <w:rsid w:val="00C556CA"/>
    <w:rsid w:val="00C6184D"/>
    <w:rsid w:val="00C63496"/>
    <w:rsid w:val="00C63E10"/>
    <w:rsid w:val="00C64921"/>
    <w:rsid w:val="00C70C3B"/>
    <w:rsid w:val="00C72559"/>
    <w:rsid w:val="00C72B62"/>
    <w:rsid w:val="00C73DAD"/>
    <w:rsid w:val="00C754B2"/>
    <w:rsid w:val="00C8273A"/>
    <w:rsid w:val="00C90E9D"/>
    <w:rsid w:val="00C94425"/>
    <w:rsid w:val="00C97CA4"/>
    <w:rsid w:val="00CB1AB4"/>
    <w:rsid w:val="00CB686F"/>
    <w:rsid w:val="00CB6C64"/>
    <w:rsid w:val="00CC47B0"/>
    <w:rsid w:val="00CC5E9E"/>
    <w:rsid w:val="00CC7A82"/>
    <w:rsid w:val="00CD0B6C"/>
    <w:rsid w:val="00CD2621"/>
    <w:rsid w:val="00CD78BA"/>
    <w:rsid w:val="00CE071F"/>
    <w:rsid w:val="00CE15EF"/>
    <w:rsid w:val="00CE3507"/>
    <w:rsid w:val="00CE501C"/>
    <w:rsid w:val="00CF0A18"/>
    <w:rsid w:val="00CF0B09"/>
    <w:rsid w:val="00CF2112"/>
    <w:rsid w:val="00CF6244"/>
    <w:rsid w:val="00D02675"/>
    <w:rsid w:val="00D06A1D"/>
    <w:rsid w:val="00D07A96"/>
    <w:rsid w:val="00D11833"/>
    <w:rsid w:val="00D1481C"/>
    <w:rsid w:val="00D2135C"/>
    <w:rsid w:val="00D21D80"/>
    <w:rsid w:val="00D31096"/>
    <w:rsid w:val="00D320D9"/>
    <w:rsid w:val="00D33786"/>
    <w:rsid w:val="00D33878"/>
    <w:rsid w:val="00D46289"/>
    <w:rsid w:val="00D46C5F"/>
    <w:rsid w:val="00D5209B"/>
    <w:rsid w:val="00D53A66"/>
    <w:rsid w:val="00D5516C"/>
    <w:rsid w:val="00D56B34"/>
    <w:rsid w:val="00D62544"/>
    <w:rsid w:val="00D75B78"/>
    <w:rsid w:val="00D77220"/>
    <w:rsid w:val="00D81994"/>
    <w:rsid w:val="00D838C5"/>
    <w:rsid w:val="00D86C1C"/>
    <w:rsid w:val="00D90E30"/>
    <w:rsid w:val="00D91F4B"/>
    <w:rsid w:val="00D94923"/>
    <w:rsid w:val="00D954D0"/>
    <w:rsid w:val="00D956A5"/>
    <w:rsid w:val="00D95AC7"/>
    <w:rsid w:val="00DA006E"/>
    <w:rsid w:val="00DA3B8D"/>
    <w:rsid w:val="00DA5B25"/>
    <w:rsid w:val="00DB3E73"/>
    <w:rsid w:val="00DB7A17"/>
    <w:rsid w:val="00DC16FF"/>
    <w:rsid w:val="00DC73D3"/>
    <w:rsid w:val="00DD0AE9"/>
    <w:rsid w:val="00DD4C9A"/>
    <w:rsid w:val="00DE39C4"/>
    <w:rsid w:val="00DE5E8E"/>
    <w:rsid w:val="00DE668C"/>
    <w:rsid w:val="00DE66D5"/>
    <w:rsid w:val="00DE6CB7"/>
    <w:rsid w:val="00DE6CF2"/>
    <w:rsid w:val="00DE7225"/>
    <w:rsid w:val="00DE786B"/>
    <w:rsid w:val="00DE79BE"/>
    <w:rsid w:val="00DF034A"/>
    <w:rsid w:val="00DF0A39"/>
    <w:rsid w:val="00DF1E27"/>
    <w:rsid w:val="00DF2E65"/>
    <w:rsid w:val="00DF2E97"/>
    <w:rsid w:val="00DF4BF6"/>
    <w:rsid w:val="00DF7BE5"/>
    <w:rsid w:val="00E02068"/>
    <w:rsid w:val="00E2021A"/>
    <w:rsid w:val="00E21B74"/>
    <w:rsid w:val="00E222C6"/>
    <w:rsid w:val="00E23FFE"/>
    <w:rsid w:val="00E241B0"/>
    <w:rsid w:val="00E32CB7"/>
    <w:rsid w:val="00E3497D"/>
    <w:rsid w:val="00E3694B"/>
    <w:rsid w:val="00E409CB"/>
    <w:rsid w:val="00E40EF3"/>
    <w:rsid w:val="00E43CFE"/>
    <w:rsid w:val="00E461BA"/>
    <w:rsid w:val="00E50010"/>
    <w:rsid w:val="00E508E5"/>
    <w:rsid w:val="00E55277"/>
    <w:rsid w:val="00E56919"/>
    <w:rsid w:val="00E5731D"/>
    <w:rsid w:val="00E633CF"/>
    <w:rsid w:val="00E64392"/>
    <w:rsid w:val="00E64B48"/>
    <w:rsid w:val="00E67F52"/>
    <w:rsid w:val="00E70FD5"/>
    <w:rsid w:val="00E71F0B"/>
    <w:rsid w:val="00E7207E"/>
    <w:rsid w:val="00E752E3"/>
    <w:rsid w:val="00E763AB"/>
    <w:rsid w:val="00E80280"/>
    <w:rsid w:val="00E87237"/>
    <w:rsid w:val="00E94AB8"/>
    <w:rsid w:val="00EA35BF"/>
    <w:rsid w:val="00EA58B0"/>
    <w:rsid w:val="00EA5BA8"/>
    <w:rsid w:val="00EA6A4C"/>
    <w:rsid w:val="00EB2270"/>
    <w:rsid w:val="00EB4443"/>
    <w:rsid w:val="00EB6FC6"/>
    <w:rsid w:val="00EC0D71"/>
    <w:rsid w:val="00EC25BB"/>
    <w:rsid w:val="00EC2A06"/>
    <w:rsid w:val="00EC35EA"/>
    <w:rsid w:val="00EC4716"/>
    <w:rsid w:val="00EC778B"/>
    <w:rsid w:val="00ED2528"/>
    <w:rsid w:val="00ED268B"/>
    <w:rsid w:val="00ED3001"/>
    <w:rsid w:val="00ED43E7"/>
    <w:rsid w:val="00EE680F"/>
    <w:rsid w:val="00EF1479"/>
    <w:rsid w:val="00EF2D77"/>
    <w:rsid w:val="00EF7C08"/>
    <w:rsid w:val="00F03C78"/>
    <w:rsid w:val="00F04C2A"/>
    <w:rsid w:val="00F06098"/>
    <w:rsid w:val="00F07F41"/>
    <w:rsid w:val="00F17D8E"/>
    <w:rsid w:val="00F21331"/>
    <w:rsid w:val="00F25755"/>
    <w:rsid w:val="00F27777"/>
    <w:rsid w:val="00F32E04"/>
    <w:rsid w:val="00F334B5"/>
    <w:rsid w:val="00F35D0F"/>
    <w:rsid w:val="00F37439"/>
    <w:rsid w:val="00F42A59"/>
    <w:rsid w:val="00F42FA8"/>
    <w:rsid w:val="00F442DD"/>
    <w:rsid w:val="00F45186"/>
    <w:rsid w:val="00F455AD"/>
    <w:rsid w:val="00F45F87"/>
    <w:rsid w:val="00F47063"/>
    <w:rsid w:val="00F47535"/>
    <w:rsid w:val="00F52A50"/>
    <w:rsid w:val="00F54036"/>
    <w:rsid w:val="00F567B5"/>
    <w:rsid w:val="00F570B7"/>
    <w:rsid w:val="00F60A6B"/>
    <w:rsid w:val="00F61C04"/>
    <w:rsid w:val="00F6670E"/>
    <w:rsid w:val="00F67867"/>
    <w:rsid w:val="00F70F98"/>
    <w:rsid w:val="00F735D3"/>
    <w:rsid w:val="00F75E40"/>
    <w:rsid w:val="00F8312A"/>
    <w:rsid w:val="00F83E20"/>
    <w:rsid w:val="00F9027B"/>
    <w:rsid w:val="00F909D7"/>
    <w:rsid w:val="00F931B2"/>
    <w:rsid w:val="00F95D15"/>
    <w:rsid w:val="00F96ABB"/>
    <w:rsid w:val="00FA433F"/>
    <w:rsid w:val="00FA4D56"/>
    <w:rsid w:val="00FA7682"/>
    <w:rsid w:val="00FB03AE"/>
    <w:rsid w:val="00FB1596"/>
    <w:rsid w:val="00FB19D3"/>
    <w:rsid w:val="00FB2A31"/>
    <w:rsid w:val="00FB49F2"/>
    <w:rsid w:val="00FC1EBD"/>
    <w:rsid w:val="00FC3EB3"/>
    <w:rsid w:val="00FC4404"/>
    <w:rsid w:val="00FC6D12"/>
    <w:rsid w:val="00FD0377"/>
    <w:rsid w:val="00FD1FEC"/>
    <w:rsid w:val="00FE0C04"/>
    <w:rsid w:val="00FE31C5"/>
    <w:rsid w:val="00FF26F8"/>
    <w:rsid w:val="00FF4EF8"/>
    <w:rsid w:val="00FF62F0"/>
    <w:rsid w:val="019B7695"/>
    <w:rsid w:val="019B786B"/>
    <w:rsid w:val="019F54F0"/>
    <w:rsid w:val="01ACCE2C"/>
    <w:rsid w:val="01B30952"/>
    <w:rsid w:val="029376EE"/>
    <w:rsid w:val="02E922D9"/>
    <w:rsid w:val="02F485EB"/>
    <w:rsid w:val="034F67E0"/>
    <w:rsid w:val="036621C7"/>
    <w:rsid w:val="03933734"/>
    <w:rsid w:val="03B422B7"/>
    <w:rsid w:val="03C0D057"/>
    <w:rsid w:val="03C86D91"/>
    <w:rsid w:val="03E075E8"/>
    <w:rsid w:val="04502B97"/>
    <w:rsid w:val="04703179"/>
    <w:rsid w:val="047E8F4E"/>
    <w:rsid w:val="04EB550A"/>
    <w:rsid w:val="05B886BC"/>
    <w:rsid w:val="05EADBFA"/>
    <w:rsid w:val="061856B8"/>
    <w:rsid w:val="0632D345"/>
    <w:rsid w:val="06463D8D"/>
    <w:rsid w:val="0654A476"/>
    <w:rsid w:val="0656DF17"/>
    <w:rsid w:val="06B2D075"/>
    <w:rsid w:val="06D8CBA8"/>
    <w:rsid w:val="07151824"/>
    <w:rsid w:val="07169A4F"/>
    <w:rsid w:val="074A86D3"/>
    <w:rsid w:val="07C4E4C0"/>
    <w:rsid w:val="08431B67"/>
    <w:rsid w:val="08466074"/>
    <w:rsid w:val="08491B8F"/>
    <w:rsid w:val="08D29674"/>
    <w:rsid w:val="09041505"/>
    <w:rsid w:val="0931245A"/>
    <w:rsid w:val="094FAFA3"/>
    <w:rsid w:val="0A8F04C5"/>
    <w:rsid w:val="0AD00688"/>
    <w:rsid w:val="0AD8A080"/>
    <w:rsid w:val="0AFCE6B2"/>
    <w:rsid w:val="0B952EFE"/>
    <w:rsid w:val="0C583C91"/>
    <w:rsid w:val="0CC609DD"/>
    <w:rsid w:val="0CDBD3E3"/>
    <w:rsid w:val="0CF03E05"/>
    <w:rsid w:val="0CF8C774"/>
    <w:rsid w:val="0D18A948"/>
    <w:rsid w:val="0D65806F"/>
    <w:rsid w:val="0D6730C8"/>
    <w:rsid w:val="0DD7411F"/>
    <w:rsid w:val="0DF5EC1B"/>
    <w:rsid w:val="0E6E000B"/>
    <w:rsid w:val="0EB0F092"/>
    <w:rsid w:val="0ED9BC80"/>
    <w:rsid w:val="0F36B0F2"/>
    <w:rsid w:val="0FA21D8D"/>
    <w:rsid w:val="102B07AD"/>
    <w:rsid w:val="105D3406"/>
    <w:rsid w:val="11270F82"/>
    <w:rsid w:val="11A3125A"/>
    <w:rsid w:val="11A3926B"/>
    <w:rsid w:val="123951A8"/>
    <w:rsid w:val="124D73D3"/>
    <w:rsid w:val="1291BC00"/>
    <w:rsid w:val="12B5ADC1"/>
    <w:rsid w:val="12C4E315"/>
    <w:rsid w:val="12D4DA92"/>
    <w:rsid w:val="130A3D48"/>
    <w:rsid w:val="135FEF68"/>
    <w:rsid w:val="1387D060"/>
    <w:rsid w:val="13CDE098"/>
    <w:rsid w:val="1402BA05"/>
    <w:rsid w:val="1436CC0F"/>
    <w:rsid w:val="143F025C"/>
    <w:rsid w:val="145E62AD"/>
    <w:rsid w:val="149D0713"/>
    <w:rsid w:val="14CD758F"/>
    <w:rsid w:val="14CE4DC6"/>
    <w:rsid w:val="14D09303"/>
    <w:rsid w:val="1509D22B"/>
    <w:rsid w:val="15253399"/>
    <w:rsid w:val="1560A48F"/>
    <w:rsid w:val="158BCF75"/>
    <w:rsid w:val="1634A5BD"/>
    <w:rsid w:val="176AD4F6"/>
    <w:rsid w:val="178A70F9"/>
    <w:rsid w:val="179F953D"/>
    <w:rsid w:val="1812ED9F"/>
    <w:rsid w:val="186880B9"/>
    <w:rsid w:val="1890A854"/>
    <w:rsid w:val="190AD4FC"/>
    <w:rsid w:val="194EEB0C"/>
    <w:rsid w:val="196243C6"/>
    <w:rsid w:val="1A07DBA2"/>
    <w:rsid w:val="1A0CAB8B"/>
    <w:rsid w:val="1A546A90"/>
    <w:rsid w:val="1A73EFAA"/>
    <w:rsid w:val="1AB0DF73"/>
    <w:rsid w:val="1AD50BAA"/>
    <w:rsid w:val="1B144028"/>
    <w:rsid w:val="1B30FDAF"/>
    <w:rsid w:val="1B962134"/>
    <w:rsid w:val="1B9F45C6"/>
    <w:rsid w:val="1BA5C417"/>
    <w:rsid w:val="1C06EC4C"/>
    <w:rsid w:val="1C0A1014"/>
    <w:rsid w:val="1C10FE31"/>
    <w:rsid w:val="1C57EA81"/>
    <w:rsid w:val="1C8931C8"/>
    <w:rsid w:val="1D23A31E"/>
    <w:rsid w:val="1D6600E5"/>
    <w:rsid w:val="1E5B3D7E"/>
    <w:rsid w:val="1E5DFE70"/>
    <w:rsid w:val="1E9A398F"/>
    <w:rsid w:val="1F04A062"/>
    <w:rsid w:val="1F647449"/>
    <w:rsid w:val="1F718625"/>
    <w:rsid w:val="1F8C2CE5"/>
    <w:rsid w:val="1F9D69F3"/>
    <w:rsid w:val="1FB6B0C5"/>
    <w:rsid w:val="1FD59CD5"/>
    <w:rsid w:val="1FE934EA"/>
    <w:rsid w:val="201F8D0F"/>
    <w:rsid w:val="20CE4D8C"/>
    <w:rsid w:val="20EFEA74"/>
    <w:rsid w:val="21131C0D"/>
    <w:rsid w:val="21B2B48D"/>
    <w:rsid w:val="21D612E9"/>
    <w:rsid w:val="2252C92F"/>
    <w:rsid w:val="23BEFA59"/>
    <w:rsid w:val="23E19E3C"/>
    <w:rsid w:val="24358092"/>
    <w:rsid w:val="24778F7B"/>
    <w:rsid w:val="249ED811"/>
    <w:rsid w:val="2550F11A"/>
    <w:rsid w:val="25663653"/>
    <w:rsid w:val="25CD4622"/>
    <w:rsid w:val="2640DE94"/>
    <w:rsid w:val="2666E94C"/>
    <w:rsid w:val="267714C0"/>
    <w:rsid w:val="268694FE"/>
    <w:rsid w:val="274BD693"/>
    <w:rsid w:val="27672104"/>
    <w:rsid w:val="27CD3207"/>
    <w:rsid w:val="28047A50"/>
    <w:rsid w:val="282FE1DD"/>
    <w:rsid w:val="28FC9F45"/>
    <w:rsid w:val="2916DF6C"/>
    <w:rsid w:val="2963AAF7"/>
    <w:rsid w:val="298830CF"/>
    <w:rsid w:val="2A1914A7"/>
    <w:rsid w:val="2A68783B"/>
    <w:rsid w:val="2A70EA53"/>
    <w:rsid w:val="2B76EA18"/>
    <w:rsid w:val="2B7D1B5B"/>
    <w:rsid w:val="2B860156"/>
    <w:rsid w:val="2B9BA59D"/>
    <w:rsid w:val="2CAC8872"/>
    <w:rsid w:val="2CC443E4"/>
    <w:rsid w:val="2DC36207"/>
    <w:rsid w:val="2DDD3A17"/>
    <w:rsid w:val="2DEAAAC5"/>
    <w:rsid w:val="2DF1BD8B"/>
    <w:rsid w:val="2E0FA67C"/>
    <w:rsid w:val="2E1EEC93"/>
    <w:rsid w:val="2E613C3D"/>
    <w:rsid w:val="2E7BE93B"/>
    <w:rsid w:val="2E8BD6B1"/>
    <w:rsid w:val="2EB21E25"/>
    <w:rsid w:val="2F312FAF"/>
    <w:rsid w:val="2F4FC81E"/>
    <w:rsid w:val="2FAD3410"/>
    <w:rsid w:val="2FEDDE80"/>
    <w:rsid w:val="3091A9A4"/>
    <w:rsid w:val="313F4591"/>
    <w:rsid w:val="3146805C"/>
    <w:rsid w:val="31C75F65"/>
    <w:rsid w:val="31FC2F98"/>
    <w:rsid w:val="321FAE11"/>
    <w:rsid w:val="3231DFD2"/>
    <w:rsid w:val="3288C312"/>
    <w:rsid w:val="33E5A564"/>
    <w:rsid w:val="3409347A"/>
    <w:rsid w:val="341A6C0D"/>
    <w:rsid w:val="34C5B487"/>
    <w:rsid w:val="35AD8772"/>
    <w:rsid w:val="36190D69"/>
    <w:rsid w:val="3649D142"/>
    <w:rsid w:val="36E07A80"/>
    <w:rsid w:val="36EF2C35"/>
    <w:rsid w:val="375EC2C6"/>
    <w:rsid w:val="37EB0B9D"/>
    <w:rsid w:val="37F878A7"/>
    <w:rsid w:val="3827492D"/>
    <w:rsid w:val="38931577"/>
    <w:rsid w:val="38E5CA30"/>
    <w:rsid w:val="38FA5FCA"/>
    <w:rsid w:val="3908EC39"/>
    <w:rsid w:val="392EBDC7"/>
    <w:rsid w:val="39C8D7E6"/>
    <w:rsid w:val="3A0E6292"/>
    <w:rsid w:val="3A1AB910"/>
    <w:rsid w:val="3A41466A"/>
    <w:rsid w:val="3AB40A8A"/>
    <w:rsid w:val="3AE37DF0"/>
    <w:rsid w:val="3AFCB512"/>
    <w:rsid w:val="3B087682"/>
    <w:rsid w:val="3B22A010"/>
    <w:rsid w:val="3B4704A9"/>
    <w:rsid w:val="3B560405"/>
    <w:rsid w:val="3B57A2E4"/>
    <w:rsid w:val="3BCBDDE3"/>
    <w:rsid w:val="3C4593AA"/>
    <w:rsid w:val="3C465722"/>
    <w:rsid w:val="3C59CFAF"/>
    <w:rsid w:val="3CDEF5A1"/>
    <w:rsid w:val="3E1B810E"/>
    <w:rsid w:val="3E2E7E2F"/>
    <w:rsid w:val="3E8D25C3"/>
    <w:rsid w:val="3E924869"/>
    <w:rsid w:val="3EB0721E"/>
    <w:rsid w:val="3F097B2F"/>
    <w:rsid w:val="3F0C8D62"/>
    <w:rsid w:val="3F6D758C"/>
    <w:rsid w:val="3F9F868C"/>
    <w:rsid w:val="3FC492CD"/>
    <w:rsid w:val="400D090B"/>
    <w:rsid w:val="4012CE47"/>
    <w:rsid w:val="4015CD15"/>
    <w:rsid w:val="4022F5B2"/>
    <w:rsid w:val="408737AC"/>
    <w:rsid w:val="409C771F"/>
    <w:rsid w:val="40ABE9C9"/>
    <w:rsid w:val="40B81233"/>
    <w:rsid w:val="40C60564"/>
    <w:rsid w:val="40D8D28C"/>
    <w:rsid w:val="41CC7F3A"/>
    <w:rsid w:val="43CBBDBD"/>
    <w:rsid w:val="447D5AFD"/>
    <w:rsid w:val="4489D3D6"/>
    <w:rsid w:val="4494C16B"/>
    <w:rsid w:val="44ACF5FD"/>
    <w:rsid w:val="453D4677"/>
    <w:rsid w:val="45C2CBDF"/>
    <w:rsid w:val="45FE92FA"/>
    <w:rsid w:val="46438BCB"/>
    <w:rsid w:val="46579261"/>
    <w:rsid w:val="466BAE55"/>
    <w:rsid w:val="4694148F"/>
    <w:rsid w:val="46C9F809"/>
    <w:rsid w:val="46CFD769"/>
    <w:rsid w:val="46DF49A7"/>
    <w:rsid w:val="46E8CB2E"/>
    <w:rsid w:val="478C74E6"/>
    <w:rsid w:val="47AEBC74"/>
    <w:rsid w:val="47D301A9"/>
    <w:rsid w:val="47EB4C06"/>
    <w:rsid w:val="47F9BB72"/>
    <w:rsid w:val="48621BFF"/>
    <w:rsid w:val="48DE8463"/>
    <w:rsid w:val="48F7EF86"/>
    <w:rsid w:val="49553797"/>
    <w:rsid w:val="4A540459"/>
    <w:rsid w:val="4A76711C"/>
    <w:rsid w:val="4B6B03E2"/>
    <w:rsid w:val="4B8D25E5"/>
    <w:rsid w:val="4BE9B4AB"/>
    <w:rsid w:val="4C4695F0"/>
    <w:rsid w:val="4C69DEAF"/>
    <w:rsid w:val="4CD5F672"/>
    <w:rsid w:val="4CD8D601"/>
    <w:rsid w:val="4CDF1002"/>
    <w:rsid w:val="4CE29A00"/>
    <w:rsid w:val="4D4865FE"/>
    <w:rsid w:val="4DC673A6"/>
    <w:rsid w:val="4E73AD31"/>
    <w:rsid w:val="4E84B37C"/>
    <w:rsid w:val="4EB2F83F"/>
    <w:rsid w:val="4EBF25EE"/>
    <w:rsid w:val="4EDDD2B4"/>
    <w:rsid w:val="4F129BA8"/>
    <w:rsid w:val="4F450C55"/>
    <w:rsid w:val="4F785C09"/>
    <w:rsid w:val="50152606"/>
    <w:rsid w:val="501E3D22"/>
    <w:rsid w:val="50361A87"/>
    <w:rsid w:val="5038707E"/>
    <w:rsid w:val="5063BE79"/>
    <w:rsid w:val="50EA0FA4"/>
    <w:rsid w:val="50F3C67F"/>
    <w:rsid w:val="50FBE8FF"/>
    <w:rsid w:val="512E1151"/>
    <w:rsid w:val="515DC98A"/>
    <w:rsid w:val="519445A4"/>
    <w:rsid w:val="519821FA"/>
    <w:rsid w:val="51A2706B"/>
    <w:rsid w:val="51DB740B"/>
    <w:rsid w:val="51EA6BC1"/>
    <w:rsid w:val="5221C669"/>
    <w:rsid w:val="52536DB4"/>
    <w:rsid w:val="525CBD8C"/>
    <w:rsid w:val="5261EFD8"/>
    <w:rsid w:val="52BA6439"/>
    <w:rsid w:val="52BF8D38"/>
    <w:rsid w:val="53C8605B"/>
    <w:rsid w:val="54C38C41"/>
    <w:rsid w:val="5513878B"/>
    <w:rsid w:val="566D2D0E"/>
    <w:rsid w:val="56B22589"/>
    <w:rsid w:val="56CFE350"/>
    <w:rsid w:val="56E42922"/>
    <w:rsid w:val="56F18292"/>
    <w:rsid w:val="5753EB53"/>
    <w:rsid w:val="5759C6D4"/>
    <w:rsid w:val="576614A8"/>
    <w:rsid w:val="57734768"/>
    <w:rsid w:val="57C49E19"/>
    <w:rsid w:val="583516A0"/>
    <w:rsid w:val="58A00715"/>
    <w:rsid w:val="5A0095A3"/>
    <w:rsid w:val="5A5D7C6A"/>
    <w:rsid w:val="5ACA85DF"/>
    <w:rsid w:val="5AD39990"/>
    <w:rsid w:val="5AD5CEB6"/>
    <w:rsid w:val="5B0E20FD"/>
    <w:rsid w:val="5B300518"/>
    <w:rsid w:val="5C19E7E5"/>
    <w:rsid w:val="5C56A560"/>
    <w:rsid w:val="5C5A2601"/>
    <w:rsid w:val="5D062E69"/>
    <w:rsid w:val="5D2B2B50"/>
    <w:rsid w:val="5DD64490"/>
    <w:rsid w:val="5DFD0C07"/>
    <w:rsid w:val="5E332DC1"/>
    <w:rsid w:val="5E46EE15"/>
    <w:rsid w:val="5E534FB6"/>
    <w:rsid w:val="5E9C1B85"/>
    <w:rsid w:val="5ED2B6EE"/>
    <w:rsid w:val="5F4149DC"/>
    <w:rsid w:val="5FA74603"/>
    <w:rsid w:val="5FAA6062"/>
    <w:rsid w:val="5FD55156"/>
    <w:rsid w:val="5FE71D86"/>
    <w:rsid w:val="603B527C"/>
    <w:rsid w:val="608E903F"/>
    <w:rsid w:val="60B9D58E"/>
    <w:rsid w:val="61218749"/>
    <w:rsid w:val="613C5DEF"/>
    <w:rsid w:val="61448FB3"/>
    <w:rsid w:val="61668874"/>
    <w:rsid w:val="61B1C271"/>
    <w:rsid w:val="61C90F03"/>
    <w:rsid w:val="62272C9B"/>
    <w:rsid w:val="62481A79"/>
    <w:rsid w:val="626600FD"/>
    <w:rsid w:val="63264028"/>
    <w:rsid w:val="632E9C80"/>
    <w:rsid w:val="63C60976"/>
    <w:rsid w:val="63CCDAE0"/>
    <w:rsid w:val="6423C836"/>
    <w:rsid w:val="64578FA1"/>
    <w:rsid w:val="64905923"/>
    <w:rsid w:val="64A8A7E0"/>
    <w:rsid w:val="64D04CE4"/>
    <w:rsid w:val="64E6E71D"/>
    <w:rsid w:val="658E30EA"/>
    <w:rsid w:val="6626B80E"/>
    <w:rsid w:val="66988A91"/>
    <w:rsid w:val="66B600C0"/>
    <w:rsid w:val="66E29A60"/>
    <w:rsid w:val="66FC72CC"/>
    <w:rsid w:val="6708A83C"/>
    <w:rsid w:val="670A793F"/>
    <w:rsid w:val="671165FE"/>
    <w:rsid w:val="6725BF59"/>
    <w:rsid w:val="675D468B"/>
    <w:rsid w:val="67D82D33"/>
    <w:rsid w:val="67F6B703"/>
    <w:rsid w:val="67FA4B64"/>
    <w:rsid w:val="68509DF9"/>
    <w:rsid w:val="686F3958"/>
    <w:rsid w:val="695EA887"/>
    <w:rsid w:val="6974FA8F"/>
    <w:rsid w:val="698BD583"/>
    <w:rsid w:val="69B5C389"/>
    <w:rsid w:val="6A1914E9"/>
    <w:rsid w:val="6A7686CD"/>
    <w:rsid w:val="6AF2D9D9"/>
    <w:rsid w:val="6B9416AF"/>
    <w:rsid w:val="6BA48597"/>
    <w:rsid w:val="6BC86838"/>
    <w:rsid w:val="6C093F47"/>
    <w:rsid w:val="6C91AFF9"/>
    <w:rsid w:val="6CAC9464"/>
    <w:rsid w:val="6CB6E468"/>
    <w:rsid w:val="6D1130F0"/>
    <w:rsid w:val="6D4A6573"/>
    <w:rsid w:val="6E11FBDE"/>
    <w:rsid w:val="6E1FE22B"/>
    <w:rsid w:val="6E2567D3"/>
    <w:rsid w:val="6E779E82"/>
    <w:rsid w:val="6E810A11"/>
    <w:rsid w:val="6EA4EF91"/>
    <w:rsid w:val="6EAA7F13"/>
    <w:rsid w:val="6F5D4130"/>
    <w:rsid w:val="6F6669A1"/>
    <w:rsid w:val="6F6FEFFA"/>
    <w:rsid w:val="701808D3"/>
    <w:rsid w:val="70B9E226"/>
    <w:rsid w:val="70E1EACA"/>
    <w:rsid w:val="7104AF06"/>
    <w:rsid w:val="7196C839"/>
    <w:rsid w:val="72459C08"/>
    <w:rsid w:val="7291793E"/>
    <w:rsid w:val="72D01E61"/>
    <w:rsid w:val="7346D212"/>
    <w:rsid w:val="740A020B"/>
    <w:rsid w:val="741FD07E"/>
    <w:rsid w:val="74E61F94"/>
    <w:rsid w:val="74ECCDBF"/>
    <w:rsid w:val="750658E8"/>
    <w:rsid w:val="7579B768"/>
    <w:rsid w:val="758E88CD"/>
    <w:rsid w:val="75B4CFCC"/>
    <w:rsid w:val="75C1A15A"/>
    <w:rsid w:val="75C69398"/>
    <w:rsid w:val="75FDA789"/>
    <w:rsid w:val="763D8DEB"/>
    <w:rsid w:val="765103B1"/>
    <w:rsid w:val="765BA42B"/>
    <w:rsid w:val="76605E11"/>
    <w:rsid w:val="76C761F3"/>
    <w:rsid w:val="76C91E47"/>
    <w:rsid w:val="76ED1ADA"/>
    <w:rsid w:val="76F781BC"/>
    <w:rsid w:val="773CC64C"/>
    <w:rsid w:val="77BE17C6"/>
    <w:rsid w:val="77D4FF5D"/>
    <w:rsid w:val="79B34391"/>
    <w:rsid w:val="79CD417A"/>
    <w:rsid w:val="7A0C745C"/>
    <w:rsid w:val="7A1686C6"/>
    <w:rsid w:val="7A5012CB"/>
    <w:rsid w:val="7A5E5D62"/>
    <w:rsid w:val="7AADDFE6"/>
    <w:rsid w:val="7AE03BBB"/>
    <w:rsid w:val="7B01074B"/>
    <w:rsid w:val="7B35F1E9"/>
    <w:rsid w:val="7BE4E9B4"/>
    <w:rsid w:val="7C72E52A"/>
    <w:rsid w:val="7C964D7F"/>
    <w:rsid w:val="7CBAC4A0"/>
    <w:rsid w:val="7D1BA28B"/>
    <w:rsid w:val="7D597D16"/>
    <w:rsid w:val="7DA93EF0"/>
    <w:rsid w:val="7DBC2B2E"/>
    <w:rsid w:val="7DCE6E2A"/>
    <w:rsid w:val="7DD55AA0"/>
    <w:rsid w:val="7DF89F64"/>
    <w:rsid w:val="7E202F34"/>
    <w:rsid w:val="7E5CBA60"/>
    <w:rsid w:val="7FB7BCC2"/>
    <w:rsid w:val="7FD5D24F"/>
    <w:rsid w:val="7FDB6F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8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heading 1" w:uiPriority="3" w:qFormat="1"/>
    <w:lsdException w:name="heading 2" w:semiHidden="1" w:uiPriority="3" w:unhideWhenUsed="1" w:qFormat="1"/>
    <w:lsdException w:name="heading 3" w:semiHidden="1" w:uiPriority="3" w:unhideWhenUsed="1"/>
    <w:lsdException w:name="heading 4" w:semiHidden="1" w:uiPriority="3" w:unhideWhenUsed="1"/>
    <w:lsdException w:name="heading 5" w:semiHidden="1" w:uiPriority="3" w:unhideWhenUsed="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rsid w:val="00437799"/>
    <w:pPr>
      <w:spacing w:before="120" w:after="120" w:line="240" w:lineRule="auto"/>
    </w:pPr>
    <w:rPr>
      <w:sz w:val="20"/>
    </w:rPr>
  </w:style>
  <w:style w:type="paragraph" w:styleId="Heading1">
    <w:name w:val="heading 1"/>
    <w:next w:val="BodyText"/>
    <w:link w:val="Heading1Char"/>
    <w:uiPriority w:val="3"/>
    <w:qFormat/>
    <w:rsid w:val="005A7907"/>
    <w:pPr>
      <w:keepNext/>
      <w:keepLines/>
      <w:pageBreakBefore/>
      <w:numPr>
        <w:numId w:val="37"/>
      </w:numPr>
      <w:spacing w:after="240" w:line="240" w:lineRule="auto"/>
      <w:outlineLvl w:val="0"/>
    </w:pPr>
    <w:rPr>
      <w:rFonts w:ascii="KPMG Extralight" w:eastAsiaTheme="majorEastAsia" w:hAnsi="KPMG Extralight" w:cstheme="majorBidi"/>
      <w:color w:val="00338D"/>
      <w:sz w:val="96"/>
      <w:szCs w:val="32"/>
    </w:rPr>
  </w:style>
  <w:style w:type="paragraph" w:styleId="Heading2">
    <w:name w:val="heading 2"/>
    <w:next w:val="BodyText"/>
    <w:link w:val="Heading2Char"/>
    <w:uiPriority w:val="3"/>
    <w:qFormat/>
    <w:rsid w:val="005A7907"/>
    <w:pPr>
      <w:keepNext/>
      <w:keepLines/>
      <w:numPr>
        <w:ilvl w:val="1"/>
        <w:numId w:val="37"/>
      </w:numPr>
      <w:spacing w:before="240" w:after="120" w:line="240" w:lineRule="auto"/>
      <w:outlineLvl w:val="1"/>
    </w:pPr>
    <w:rPr>
      <w:rFonts w:ascii="Univers 45 Light" w:eastAsiaTheme="majorEastAsia" w:hAnsi="Univers 45 Light" w:cstheme="majorBidi"/>
      <w:color w:val="00338D" w:themeColor="text2"/>
      <w:sz w:val="40"/>
      <w:szCs w:val="26"/>
    </w:rPr>
  </w:style>
  <w:style w:type="paragraph" w:styleId="Heading3">
    <w:name w:val="heading 3"/>
    <w:basedOn w:val="TOCHeading"/>
    <w:next w:val="BodyText"/>
    <w:link w:val="Heading3Char"/>
    <w:uiPriority w:val="3"/>
    <w:unhideWhenUsed/>
    <w:rsid w:val="005A7907"/>
    <w:pPr>
      <w:pageBreakBefore w:val="0"/>
      <w:numPr>
        <w:ilvl w:val="2"/>
      </w:numPr>
      <w:spacing w:before="240" w:after="240" w:line="240" w:lineRule="auto"/>
      <w:outlineLvl w:val="2"/>
    </w:pPr>
    <w:rPr>
      <w:rFonts w:ascii="Univers 45 Light" w:hAnsi="Univers 45 Light"/>
    </w:rPr>
  </w:style>
  <w:style w:type="paragraph" w:styleId="Heading4">
    <w:name w:val="heading 4"/>
    <w:next w:val="BodyText"/>
    <w:link w:val="Heading4Char"/>
    <w:uiPriority w:val="3"/>
    <w:unhideWhenUsed/>
    <w:rsid w:val="003D6C9E"/>
    <w:pPr>
      <w:keepNext/>
      <w:keepLines/>
      <w:numPr>
        <w:ilvl w:val="3"/>
        <w:numId w:val="37"/>
      </w:numPr>
      <w:spacing w:before="240" w:after="120" w:line="240" w:lineRule="auto"/>
      <w:outlineLvl w:val="3"/>
    </w:pPr>
    <w:rPr>
      <w:rFonts w:ascii="Univers 45 Light" w:eastAsiaTheme="majorEastAsia" w:hAnsi="Univers 45 Light" w:cstheme="majorBidi"/>
      <w:b/>
      <w:iCs/>
      <w:color w:val="0091DA" w:themeColor="accent1"/>
      <w:sz w:val="24"/>
    </w:rPr>
  </w:style>
  <w:style w:type="paragraph" w:styleId="Heading5">
    <w:name w:val="heading 5"/>
    <w:next w:val="BodyText"/>
    <w:link w:val="Heading5Char"/>
    <w:uiPriority w:val="3"/>
    <w:unhideWhenUsed/>
    <w:rsid w:val="005A7907"/>
    <w:pPr>
      <w:keepNext/>
      <w:numPr>
        <w:ilvl w:val="4"/>
        <w:numId w:val="37"/>
      </w:numPr>
      <w:spacing w:before="240" w:after="120" w:line="240" w:lineRule="auto"/>
      <w:outlineLvl w:val="4"/>
    </w:pPr>
    <w:rPr>
      <w:rFonts w:ascii="Univers 45 Light" w:hAnsi="Univers 45 Light"/>
      <w:b/>
      <w:sz w:val="20"/>
    </w:rPr>
  </w:style>
  <w:style w:type="paragraph" w:styleId="Heading6">
    <w:name w:val="heading 6"/>
    <w:basedOn w:val="Normal"/>
    <w:next w:val="Normal"/>
    <w:link w:val="Heading6Char"/>
    <w:uiPriority w:val="3"/>
    <w:semiHidden/>
    <w:qFormat/>
    <w:rsid w:val="006176A1"/>
    <w:pPr>
      <w:numPr>
        <w:ilvl w:val="5"/>
        <w:numId w:val="37"/>
      </w:numPr>
      <w:outlineLvl w:val="5"/>
    </w:pPr>
    <w:rPr>
      <w:rFonts w:ascii="Univers 45 Light" w:hAnsi="Univers 45 Light"/>
      <w:i/>
      <w:color w:val="483698" w:themeColor="accent2"/>
    </w:rPr>
  </w:style>
  <w:style w:type="paragraph" w:styleId="Heading7">
    <w:name w:val="heading 7"/>
    <w:basedOn w:val="Normal"/>
    <w:next w:val="Normal"/>
    <w:link w:val="Heading7Char"/>
    <w:uiPriority w:val="3"/>
    <w:semiHidden/>
    <w:qFormat/>
    <w:rsid w:val="006176A1"/>
    <w:pPr>
      <w:keepNext/>
      <w:keepLines/>
      <w:numPr>
        <w:ilvl w:val="6"/>
        <w:numId w:val="37"/>
      </w:numPr>
      <w:spacing w:before="40" w:after="0"/>
      <w:outlineLvl w:val="6"/>
    </w:pPr>
    <w:rPr>
      <w:rFonts w:asciiTheme="majorHAnsi" w:eastAsiaTheme="majorEastAsia" w:hAnsiTheme="majorHAnsi" w:cstheme="majorBidi"/>
      <w:i/>
      <w:iCs/>
      <w:color w:val="00476C" w:themeColor="accent1" w:themeShade="7F"/>
    </w:rPr>
  </w:style>
  <w:style w:type="paragraph" w:styleId="Heading8">
    <w:name w:val="heading 8"/>
    <w:basedOn w:val="Normal"/>
    <w:next w:val="Normal"/>
    <w:link w:val="Heading8Char"/>
    <w:uiPriority w:val="3"/>
    <w:semiHidden/>
    <w:qFormat/>
    <w:rsid w:val="006176A1"/>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qFormat/>
    <w:rsid w:val="006176A1"/>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48062E"/>
    <w:pPr>
      <w:spacing w:before="120" w:after="400" w:line="2000" w:lineRule="exact"/>
    </w:pPr>
    <w:rPr>
      <w:rFonts w:ascii="KPMG Extralight" w:hAnsi="KPMG Extralight"/>
      <w:noProof/>
      <w:color w:val="FFFFFF" w:themeColor="background1"/>
      <w:sz w:val="224"/>
      <w:szCs w:val="222"/>
      <w:lang w:eastAsia="en-AU"/>
    </w:rPr>
  </w:style>
  <w:style w:type="paragraph" w:customStyle="1" w:styleId="Covertitle216ptBold">
    <w:name w:val="Cover title 2_16pt_Bold"/>
    <w:uiPriority w:val="29"/>
    <w:rsid w:val="00642722"/>
    <w:pPr>
      <w:spacing w:after="0" w:line="360" w:lineRule="exact"/>
    </w:pPr>
    <w:rPr>
      <w:rFonts w:ascii="Univers 45 Light" w:hAnsi="Univers 45 Light"/>
      <w:b/>
      <w:color w:val="FFFFFF" w:themeColor="background1"/>
      <w:sz w:val="32"/>
    </w:rPr>
  </w:style>
  <w:style w:type="paragraph" w:customStyle="1" w:styleId="Covertitle316pt">
    <w:name w:val="Cover title 3_16pt"/>
    <w:uiPriority w:val="29"/>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4"/>
    <w:qFormat/>
    <w:rsid w:val="00CF0B09"/>
    <w:pPr>
      <w:spacing w:before="120" w:after="120" w:line="240" w:lineRule="auto"/>
    </w:pPr>
    <w:rPr>
      <w:rFonts w:ascii="Univers 45 Light" w:hAnsi="Univers 45 Light"/>
      <w:b/>
      <w:color w:val="FFFFFF" w:themeColor="background1"/>
      <w:sz w:val="20"/>
    </w:rPr>
  </w:style>
  <w:style w:type="paragraph" w:customStyle="1" w:styleId="Tabletext">
    <w:name w:val="Table text"/>
    <w:uiPriority w:val="4"/>
    <w:qFormat/>
    <w:rsid w:val="003D6C9E"/>
    <w:pPr>
      <w:spacing w:before="120" w:after="120" w:line="240" w:lineRule="auto"/>
    </w:pPr>
    <w:rPr>
      <w:rFonts w:ascii="Univers 45 Light" w:hAnsi="Univers 45 Light"/>
      <w:sz w:val="20"/>
    </w:rPr>
  </w:style>
  <w:style w:type="character" w:customStyle="1" w:styleId="Heading1Char">
    <w:name w:val="Heading 1 Char"/>
    <w:basedOn w:val="DefaultParagraphFont"/>
    <w:link w:val="Heading1"/>
    <w:uiPriority w:val="3"/>
    <w:rsid w:val="005A7907"/>
    <w:rPr>
      <w:rFonts w:ascii="KPMG Extralight" w:eastAsiaTheme="majorEastAsia" w:hAnsi="KPMG Extralight" w:cstheme="majorBidi"/>
      <w:color w:val="00338D"/>
      <w:sz w:val="96"/>
      <w:szCs w:val="32"/>
    </w:rPr>
  </w:style>
  <w:style w:type="character" w:customStyle="1" w:styleId="Heading7Char">
    <w:name w:val="Heading 7 Char"/>
    <w:basedOn w:val="DefaultParagraphFont"/>
    <w:link w:val="Heading7"/>
    <w:uiPriority w:val="3"/>
    <w:semiHidden/>
    <w:rsid w:val="003D6C9E"/>
    <w:rPr>
      <w:rFonts w:asciiTheme="majorHAnsi" w:eastAsiaTheme="majorEastAsia" w:hAnsiTheme="majorHAnsi" w:cstheme="majorBidi"/>
      <w:i/>
      <w:iCs/>
      <w:color w:val="00476C" w:themeColor="accent1" w:themeShade="7F"/>
      <w:sz w:val="20"/>
    </w:rPr>
  </w:style>
  <w:style w:type="paragraph" w:styleId="BodyText">
    <w:name w:val="Body Text"/>
    <w:link w:val="BodyTextChar"/>
    <w:qFormat/>
    <w:locked/>
    <w:rsid w:val="00C21131"/>
    <w:pPr>
      <w:spacing w:before="120" w:after="120" w:line="240" w:lineRule="auto"/>
      <w:jc w:val="both"/>
    </w:pPr>
    <w:rPr>
      <w:rFonts w:ascii="Univers 45 Light" w:hAnsi="Univers 45 Light"/>
      <w:sz w:val="20"/>
    </w:rPr>
  </w:style>
  <w:style w:type="character" w:customStyle="1" w:styleId="BodyTextChar">
    <w:name w:val="Body Text Char"/>
    <w:basedOn w:val="DefaultParagraphFont"/>
    <w:link w:val="BodyText"/>
    <w:rsid w:val="003D6C9E"/>
    <w:rPr>
      <w:rFonts w:ascii="Univers 45 Light" w:hAnsi="Univers 45 Light"/>
      <w:sz w:val="20"/>
    </w:rPr>
  </w:style>
  <w:style w:type="paragraph" w:customStyle="1" w:styleId="Heading1Noshow">
    <w:name w:val="Heading 1_No show"/>
    <w:next w:val="BodyText"/>
    <w:uiPriority w:val="3"/>
    <w:rsid w:val="006176A1"/>
    <w:pPr>
      <w:keepNext/>
      <w:spacing w:after="960" w:line="1280" w:lineRule="exact"/>
    </w:pPr>
    <w:rPr>
      <w:rFonts w:ascii="KPMG Extralight" w:eastAsiaTheme="majorEastAsia" w:hAnsi="KPMG Extralight" w:cstheme="majorBidi"/>
      <w:color w:val="00338D" w:themeColor="text2"/>
      <w:sz w:val="144"/>
      <w:szCs w:val="32"/>
    </w:rPr>
  </w:style>
  <w:style w:type="character" w:customStyle="1" w:styleId="Heading2Char">
    <w:name w:val="Heading 2 Char"/>
    <w:basedOn w:val="DefaultParagraphFont"/>
    <w:link w:val="Heading2"/>
    <w:uiPriority w:val="3"/>
    <w:rsid w:val="005A7907"/>
    <w:rPr>
      <w:rFonts w:ascii="Univers 45 Light" w:eastAsiaTheme="majorEastAsia" w:hAnsi="Univers 45 Light" w:cstheme="majorBidi"/>
      <w:color w:val="00338D" w:themeColor="text2"/>
      <w:sz w:val="40"/>
      <w:szCs w:val="26"/>
    </w:rPr>
  </w:style>
  <w:style w:type="paragraph" w:styleId="TOC1">
    <w:name w:val="toc 1"/>
    <w:basedOn w:val="Normal"/>
    <w:next w:val="Normal"/>
    <w:autoRedefine/>
    <w:uiPriority w:val="39"/>
    <w:unhideWhenUsed/>
    <w:rsid w:val="00AD4B92"/>
    <w:pPr>
      <w:tabs>
        <w:tab w:val="left" w:pos="680"/>
        <w:tab w:val="right" w:pos="8505"/>
      </w:tabs>
    </w:pPr>
    <w:rPr>
      <w:rFonts w:ascii="Univers 45 Light" w:hAnsi="Univers 45 Light"/>
      <w:noProof/>
    </w:rPr>
  </w:style>
  <w:style w:type="character" w:customStyle="1" w:styleId="Heading3Char">
    <w:name w:val="Heading 3 Char"/>
    <w:basedOn w:val="DefaultParagraphFont"/>
    <w:link w:val="Heading3"/>
    <w:uiPriority w:val="3"/>
    <w:rsid w:val="005A7907"/>
    <w:rPr>
      <w:rFonts w:ascii="Univers 45 Light" w:eastAsiaTheme="majorEastAsia" w:hAnsi="Univers 45 Light" w:cstheme="majorBidi"/>
      <w:color w:val="006CA3" w:themeColor="accent1" w:themeShade="BF"/>
      <w:sz w:val="32"/>
      <w:szCs w:val="32"/>
      <w:lang w:val="en-US"/>
    </w:rPr>
  </w:style>
  <w:style w:type="character" w:styleId="Hyperlink">
    <w:name w:val="Hyperlink"/>
    <w:uiPriority w:val="99"/>
    <w:unhideWhenUsed/>
    <w:rsid w:val="00AD4B92"/>
    <w:rPr>
      <w:color w:val="auto"/>
      <w:u w:val="none"/>
    </w:rPr>
  </w:style>
  <w:style w:type="character" w:customStyle="1" w:styleId="Bullet2ndlevelChar">
    <w:name w:val="Bullet 2nd level Char"/>
    <w:basedOn w:val="DefaultParagraphFont"/>
    <w:link w:val="Bullet2ndlevel"/>
    <w:uiPriority w:val="2"/>
    <w:rsid w:val="003D6C9E"/>
    <w:rPr>
      <w:rFonts w:ascii="Univers 45 Light" w:hAnsi="Univers 45 Light"/>
      <w:sz w:val="20"/>
    </w:rPr>
  </w:style>
  <w:style w:type="paragraph" w:styleId="Header">
    <w:name w:val="header"/>
    <w:basedOn w:val="Normal"/>
    <w:link w:val="HeaderChar"/>
    <w:unhideWhenUsed/>
    <w:rsid w:val="009B18E8"/>
    <w:pPr>
      <w:tabs>
        <w:tab w:val="center" w:pos="4513"/>
        <w:tab w:val="right" w:pos="9026"/>
      </w:tabs>
      <w:spacing w:before="0" w:after="0"/>
    </w:pPr>
  </w:style>
  <w:style w:type="paragraph" w:styleId="Footer">
    <w:name w:val="footer"/>
    <w:link w:val="FooterChar"/>
    <w:uiPriority w:val="99"/>
    <w:unhideWhenUsed/>
    <w:rsid w:val="009B18E8"/>
    <w:pPr>
      <w:tabs>
        <w:tab w:val="center" w:pos="4513"/>
        <w:tab w:val="right" w:pos="9026"/>
      </w:tabs>
      <w:spacing w:after="60" w:line="240" w:lineRule="auto"/>
    </w:pPr>
    <w:rPr>
      <w:rFonts w:ascii="Univers 45 Light" w:hAnsi="Univers 45 Light"/>
      <w:color w:val="595959" w:themeColor="text1" w:themeTint="A6"/>
      <w:sz w:val="12"/>
    </w:rPr>
  </w:style>
  <w:style w:type="character" w:customStyle="1" w:styleId="FooterChar">
    <w:name w:val="Footer Char"/>
    <w:basedOn w:val="DefaultParagraphFont"/>
    <w:link w:val="Footer"/>
    <w:uiPriority w:val="99"/>
    <w:rsid w:val="009B18E8"/>
    <w:rPr>
      <w:rFonts w:ascii="Univers 45 Light" w:hAnsi="Univers 45 Light"/>
      <w:color w:val="595959" w:themeColor="text1" w:themeTint="A6"/>
      <w:sz w:val="12"/>
    </w:rPr>
  </w:style>
  <w:style w:type="paragraph" w:customStyle="1" w:styleId="CVname">
    <w:name w:val="CV name"/>
    <w:next w:val="CVtitle"/>
    <w:uiPriority w:val="7"/>
    <w:rsid w:val="009B18E8"/>
    <w:pPr>
      <w:spacing w:before="120" w:after="60" w:line="240" w:lineRule="auto"/>
    </w:pPr>
    <w:rPr>
      <w:rFonts w:ascii="Univers 45 Light" w:hAnsi="Univers 45 Light"/>
      <w:color w:val="00338D"/>
      <w:sz w:val="28"/>
    </w:rPr>
  </w:style>
  <w:style w:type="paragraph" w:customStyle="1" w:styleId="CVtitle">
    <w:name w:val="CV title"/>
    <w:next w:val="CVdetail"/>
    <w:uiPriority w:val="8"/>
    <w:rsid w:val="009B18E8"/>
    <w:pPr>
      <w:spacing w:before="60" w:after="120" w:line="240" w:lineRule="auto"/>
    </w:pPr>
    <w:rPr>
      <w:rFonts w:ascii="Univers 45 Light" w:hAnsi="Univers 45 Light"/>
      <w:color w:val="00338D" w:themeColor="text2"/>
      <w:sz w:val="24"/>
    </w:rPr>
  </w:style>
  <w:style w:type="paragraph" w:customStyle="1" w:styleId="CVdetail">
    <w:name w:val="CV detail"/>
    <w:uiPriority w:val="9"/>
    <w:rsid w:val="003D6C9E"/>
    <w:pPr>
      <w:spacing w:after="0" w:line="240" w:lineRule="auto"/>
    </w:pPr>
    <w:rPr>
      <w:rFonts w:ascii="Univers 45 Light" w:hAnsi="Univers 45 Light"/>
      <w:color w:val="00338D"/>
      <w:sz w:val="20"/>
    </w:rPr>
  </w:style>
  <w:style w:type="paragraph" w:customStyle="1" w:styleId="CVheading">
    <w:name w:val="CV heading"/>
    <w:next w:val="CVtext"/>
    <w:uiPriority w:val="10"/>
    <w:qFormat/>
    <w:rsid w:val="003D6C9E"/>
    <w:pPr>
      <w:spacing w:before="240" w:after="120" w:line="240" w:lineRule="auto"/>
    </w:pPr>
    <w:rPr>
      <w:rFonts w:ascii="Univers 45 Light" w:hAnsi="Univers 45 Light"/>
      <w:b/>
      <w:color w:val="00338D"/>
      <w:sz w:val="20"/>
    </w:rPr>
  </w:style>
  <w:style w:type="paragraph" w:customStyle="1" w:styleId="CVtext">
    <w:name w:val="CV text"/>
    <w:uiPriority w:val="10"/>
    <w:qFormat/>
    <w:rsid w:val="003D6C9E"/>
    <w:pPr>
      <w:spacing w:before="120" w:after="120" w:line="240" w:lineRule="auto"/>
    </w:pPr>
    <w:rPr>
      <w:rFonts w:ascii="Univers 45 Light" w:hAnsi="Univers 45 Light"/>
      <w:sz w:val="20"/>
    </w:rPr>
  </w:style>
  <w:style w:type="character" w:customStyle="1" w:styleId="Heading4Char">
    <w:name w:val="Heading 4 Char"/>
    <w:basedOn w:val="DefaultParagraphFont"/>
    <w:link w:val="Heading4"/>
    <w:uiPriority w:val="3"/>
    <w:rsid w:val="003D6C9E"/>
    <w:rPr>
      <w:rFonts w:ascii="Univers 45 Light" w:eastAsiaTheme="majorEastAsia" w:hAnsi="Univers 45 Light" w:cstheme="majorBidi"/>
      <w:b/>
      <w:iCs/>
      <w:color w:val="0091DA" w:themeColor="accent1"/>
      <w:sz w:val="24"/>
    </w:rPr>
  </w:style>
  <w:style w:type="character" w:customStyle="1" w:styleId="Heading5Char">
    <w:name w:val="Heading 5 Char"/>
    <w:basedOn w:val="DefaultParagraphFont"/>
    <w:link w:val="Heading5"/>
    <w:uiPriority w:val="3"/>
    <w:rsid w:val="005A7907"/>
    <w:rPr>
      <w:rFonts w:ascii="Univers 45 Light" w:hAnsi="Univers 45 Light"/>
      <w:b/>
      <w:sz w:val="20"/>
    </w:rPr>
  </w:style>
  <w:style w:type="character" w:customStyle="1" w:styleId="Heading6Char">
    <w:name w:val="Heading 6 Char"/>
    <w:basedOn w:val="DefaultParagraphFont"/>
    <w:link w:val="Heading6"/>
    <w:uiPriority w:val="3"/>
    <w:semiHidden/>
    <w:rsid w:val="003D6C9E"/>
    <w:rPr>
      <w:rFonts w:ascii="Univers 45 Light" w:hAnsi="Univers 45 Light"/>
      <w:i/>
      <w:color w:val="483698" w:themeColor="accent2"/>
      <w:sz w:val="20"/>
    </w:rPr>
  </w:style>
  <w:style w:type="paragraph" w:customStyle="1" w:styleId="Bullet1stlevel">
    <w:name w:val="Bullet 1st level"/>
    <w:basedOn w:val="BodyText"/>
    <w:uiPriority w:val="2"/>
    <w:qFormat/>
    <w:rsid w:val="003D6C9E"/>
    <w:pPr>
      <w:numPr>
        <w:numId w:val="2"/>
      </w:numPr>
      <w:ind w:left="284" w:hanging="284"/>
    </w:pPr>
  </w:style>
  <w:style w:type="paragraph" w:customStyle="1" w:styleId="Bullet2ndlevel">
    <w:name w:val="Bullet 2nd level"/>
    <w:link w:val="Bullet2ndlevelChar"/>
    <w:uiPriority w:val="2"/>
    <w:qFormat/>
    <w:rsid w:val="003D6C9E"/>
    <w:pPr>
      <w:numPr>
        <w:numId w:val="3"/>
      </w:numPr>
      <w:tabs>
        <w:tab w:val="clear" w:pos="340"/>
      </w:tabs>
      <w:spacing w:before="120" w:after="120" w:line="240" w:lineRule="auto"/>
      <w:ind w:left="568" w:hanging="284"/>
    </w:pPr>
    <w:rPr>
      <w:rFonts w:ascii="Univers 45 Light" w:hAnsi="Univers 45 Light"/>
      <w:sz w:val="20"/>
    </w:rPr>
  </w:style>
  <w:style w:type="paragraph" w:customStyle="1" w:styleId="Bullet3rdlevel">
    <w:name w:val="Bullet 3rd level"/>
    <w:basedOn w:val="Normal"/>
    <w:uiPriority w:val="2"/>
    <w:rsid w:val="009B18E8"/>
    <w:pPr>
      <w:numPr>
        <w:numId w:val="4"/>
      </w:numPr>
      <w:ind w:left="851" w:hanging="284"/>
    </w:pPr>
    <w:rPr>
      <w:rFonts w:ascii="Univers 45 Light" w:hAnsi="Univers 45 Light"/>
    </w:rPr>
  </w:style>
  <w:style w:type="paragraph" w:customStyle="1" w:styleId="Numberbullet1stlevel">
    <w:name w:val="Number bullet 1st level"/>
    <w:uiPriority w:val="6"/>
    <w:rsid w:val="009B18E8"/>
    <w:pPr>
      <w:numPr>
        <w:numId w:val="5"/>
      </w:numPr>
      <w:spacing w:before="120" w:after="120" w:line="240" w:lineRule="auto"/>
      <w:ind w:left="340" w:hanging="340"/>
    </w:pPr>
    <w:rPr>
      <w:rFonts w:ascii="Univers 45 Light" w:hAnsi="Univers 45 Light"/>
      <w:sz w:val="20"/>
    </w:rPr>
  </w:style>
  <w:style w:type="paragraph" w:customStyle="1" w:styleId="Numberbullet2ndlevel">
    <w:name w:val="Number bullet 2nd level"/>
    <w:uiPriority w:val="6"/>
    <w:rsid w:val="009B18E8"/>
    <w:pPr>
      <w:numPr>
        <w:numId w:val="6"/>
      </w:numPr>
      <w:spacing w:before="120" w:after="120" w:line="240" w:lineRule="auto"/>
      <w:ind w:left="794" w:hanging="340"/>
    </w:pPr>
    <w:rPr>
      <w:rFonts w:ascii="Univers 45 Light" w:hAnsi="Univers 45 Light"/>
      <w:sz w:val="20"/>
    </w:rPr>
  </w:style>
  <w:style w:type="paragraph" w:customStyle="1" w:styleId="CVbullet1">
    <w:name w:val="CV bullet 1"/>
    <w:uiPriority w:val="11"/>
    <w:qFormat/>
    <w:rsid w:val="003D6C9E"/>
    <w:pPr>
      <w:numPr>
        <w:numId w:val="7"/>
      </w:numPr>
      <w:spacing w:before="60" w:after="60" w:line="240" w:lineRule="auto"/>
      <w:ind w:left="284" w:hanging="284"/>
    </w:pPr>
    <w:rPr>
      <w:rFonts w:ascii="Univers 45 Light" w:hAnsi="Univers 45 Light"/>
      <w:sz w:val="20"/>
    </w:rPr>
  </w:style>
  <w:style w:type="paragraph" w:customStyle="1" w:styleId="CVbullet2">
    <w:name w:val="CV bullet 2"/>
    <w:basedOn w:val="Normal"/>
    <w:uiPriority w:val="11"/>
    <w:rsid w:val="003D6C9E"/>
    <w:pPr>
      <w:numPr>
        <w:numId w:val="8"/>
      </w:numPr>
      <w:spacing w:before="60" w:after="60"/>
      <w:ind w:left="568" w:hanging="284"/>
    </w:pPr>
    <w:rPr>
      <w:rFonts w:ascii="Univers 45 Light" w:hAnsi="Univers 45 Light"/>
    </w:rPr>
  </w:style>
  <w:style w:type="character" w:customStyle="1" w:styleId="Heading8Char">
    <w:name w:val="Heading 8 Char"/>
    <w:basedOn w:val="DefaultParagraphFont"/>
    <w:link w:val="Heading8"/>
    <w:uiPriority w:val="3"/>
    <w:semiHidden/>
    <w:rsid w:val="003D6C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sid w:val="003D6C9E"/>
    <w:rPr>
      <w:rFonts w:asciiTheme="majorHAnsi" w:eastAsiaTheme="majorEastAsia" w:hAnsiTheme="majorHAnsi" w:cstheme="majorBidi"/>
      <w:i/>
      <w:iCs/>
      <w:color w:val="272727" w:themeColor="text1" w:themeTint="D8"/>
      <w:sz w:val="21"/>
      <w:szCs w:val="21"/>
    </w:rPr>
  </w:style>
  <w:style w:type="character" w:customStyle="1" w:styleId="White">
    <w:name w:val="White"/>
    <w:uiPriority w:val="1"/>
    <w:qFormat/>
    <w:rsid w:val="002D014E"/>
    <w:rPr>
      <w:color w:val="FFFFFF" w:themeColor="background1"/>
    </w:rPr>
  </w:style>
  <w:style w:type="character" w:customStyle="1" w:styleId="HeaderChar">
    <w:name w:val="Header Char"/>
    <w:basedOn w:val="DefaultParagraphFont"/>
    <w:link w:val="Header"/>
    <w:uiPriority w:val="99"/>
    <w:rsid w:val="009B18E8"/>
    <w:rPr>
      <w:sz w:val="20"/>
    </w:rPr>
  </w:style>
  <w:style w:type="paragraph" w:customStyle="1" w:styleId="Letterhead">
    <w:name w:val="Letterhead"/>
    <w:uiPriority w:val="97"/>
    <w:rsid w:val="00826506"/>
    <w:pPr>
      <w:spacing w:after="0" w:line="160" w:lineRule="atLeast"/>
    </w:pPr>
    <w:rPr>
      <w:rFonts w:eastAsia="Batang" w:cs="Arial"/>
      <w:sz w:val="12"/>
      <w:szCs w:val="12"/>
      <w:lang w:val="en-GB" w:eastAsia="ko-KR"/>
    </w:rPr>
  </w:style>
  <w:style w:type="paragraph" w:customStyle="1" w:styleId="BodyTextSingleSpacing">
    <w:name w:val="Body Text Single Spacing"/>
    <w:basedOn w:val="BodyText"/>
    <w:uiPriority w:val="1"/>
    <w:rsid w:val="009B18E8"/>
    <w:pPr>
      <w:spacing w:before="0" w:after="0"/>
    </w:pPr>
  </w:style>
  <w:style w:type="paragraph" w:customStyle="1" w:styleId="Contactus">
    <w:name w:val="Contact us"/>
    <w:basedOn w:val="Normal"/>
    <w:uiPriority w:val="96"/>
    <w:rsid w:val="003D6C9E"/>
    <w:pPr>
      <w:spacing w:after="480"/>
    </w:pPr>
    <w:rPr>
      <w:rFonts w:ascii="Univers 45 Light" w:hAnsi="Univers 45 Light"/>
      <w:b/>
      <w:color w:val="005EB8" w:themeColor="background2"/>
      <w:sz w:val="42"/>
    </w:rPr>
  </w:style>
  <w:style w:type="character" w:styleId="Strong">
    <w:name w:val="Strong"/>
    <w:uiPriority w:val="22"/>
    <w:qFormat/>
    <w:rsid w:val="00DE7225"/>
    <w:rPr>
      <w:b/>
      <w:bCs/>
    </w:rPr>
  </w:style>
  <w:style w:type="paragraph" w:customStyle="1" w:styleId="IntroText">
    <w:name w:val="Intro Text"/>
    <w:uiPriority w:val="4"/>
    <w:rsid w:val="003D6C9E"/>
    <w:pPr>
      <w:spacing w:before="120" w:after="120" w:line="240" w:lineRule="auto"/>
    </w:pPr>
    <w:rPr>
      <w:rFonts w:ascii="Univers 45 Light" w:hAnsi="Univers 45 Light" w:cstheme="majorBidi"/>
      <w:color w:val="0091DA" w:themeColor="accent1"/>
      <w:sz w:val="32"/>
      <w:szCs w:val="26"/>
    </w:rPr>
  </w:style>
  <w:style w:type="paragraph" w:customStyle="1" w:styleId="TableBullet1stlevel">
    <w:name w:val="Table Bullet 1st level"/>
    <w:basedOn w:val="Tabletext"/>
    <w:uiPriority w:val="5"/>
    <w:qFormat/>
    <w:rsid w:val="003D6C9E"/>
    <w:pPr>
      <w:numPr>
        <w:numId w:val="9"/>
      </w:numPr>
      <w:spacing w:before="60" w:after="60"/>
      <w:ind w:left="284" w:hanging="284"/>
    </w:pPr>
  </w:style>
  <w:style w:type="paragraph" w:customStyle="1" w:styleId="TableBullet2ndlevel">
    <w:name w:val="Table Bullet 2nd level"/>
    <w:basedOn w:val="TableBullet1stlevel"/>
    <w:uiPriority w:val="5"/>
    <w:rsid w:val="009B18E8"/>
    <w:pPr>
      <w:numPr>
        <w:numId w:val="10"/>
      </w:numPr>
      <w:ind w:left="568" w:hanging="284"/>
    </w:pPr>
  </w:style>
  <w:style w:type="paragraph" w:customStyle="1" w:styleId="Covertitle216ptB">
    <w:name w:val="Cover title 2_16pt_B"/>
    <w:qFormat/>
    <w:rsid w:val="00962163"/>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962163"/>
    <w:pPr>
      <w:spacing w:after="0" w:line="360" w:lineRule="exact"/>
    </w:pPr>
    <w:rPr>
      <w:rFonts w:ascii="Univers 45 Light" w:hAnsi="Univers 45 Light"/>
      <w:color w:val="FFFFFF" w:themeColor="background1"/>
      <w:sz w:val="32"/>
    </w:rPr>
  </w:style>
  <w:style w:type="table" w:customStyle="1" w:styleId="QTable">
    <w:name w:val="Q Table"/>
    <w:basedOn w:val="TableNormal"/>
    <w:uiPriority w:val="99"/>
    <w:rsid w:val="009D05B7"/>
    <w:pPr>
      <w:spacing w:after="0" w:line="240" w:lineRule="auto"/>
    </w:pPr>
    <w:rPr>
      <w:rFonts w:ascii="Arial" w:eastAsia="Times New Roman" w:hAnsi="Arial" w:cs="Times New Roman"/>
      <w:color w:val="000000"/>
      <w:sz w:val="20"/>
      <w:szCs w:val="20"/>
      <w:lang w:eastAsia="en-AU"/>
    </w:rPr>
    <w:tblPr>
      <w:tblStyleRowBandSize w:val="1"/>
      <w:tblStyleColBandSize w:val="1"/>
      <w:tblBorders>
        <w:insideH w:val="single" w:sz="4" w:space="0" w:color="0084DD"/>
      </w:tblBorders>
      <w:tblCellMar>
        <w:top w:w="57" w:type="dxa"/>
        <w:bottom w:w="57" w:type="dxa"/>
      </w:tblCellMar>
    </w:tblPr>
    <w:tcPr>
      <w:shd w:val="clear" w:color="auto" w:fill="auto"/>
    </w:tcPr>
    <w:tblStylePr w:type="firstRow">
      <w:pPr>
        <w:jc w:val="left"/>
      </w:pPr>
      <w:rPr>
        <w:rFonts w:ascii="Arial" w:hAnsi="Arial"/>
        <w:b/>
        <w:i w:val="0"/>
        <w:color w:val="0084DD"/>
        <w:sz w:val="20"/>
        <w:u w:val="none"/>
      </w:rPr>
      <w:tblPr>
        <w:tblCellMar>
          <w:top w:w="57" w:type="dxa"/>
          <w:left w:w="108" w:type="dxa"/>
          <w:bottom w:w="57" w:type="dxa"/>
          <w:right w:w="108" w:type="dxa"/>
        </w:tblCellMar>
      </w:tblPr>
      <w:tcPr>
        <w:tcBorders>
          <w:top w:val="nil"/>
        </w:tcBorders>
        <w:shd w:val="clear" w:color="auto" w:fill="auto"/>
        <w:vAlign w:val="bottom"/>
      </w:tcPr>
    </w:tblStylePr>
    <w:tblStylePr w:type="lastRow">
      <w:rPr>
        <w:rFonts w:ascii="Arial" w:hAnsi="Arial"/>
        <w:color w:val="000000"/>
        <w:sz w:val="20"/>
      </w:rPr>
      <w:tblPr/>
      <w:tcPr>
        <w:tcBorders>
          <w:bottom w:val="single" w:sz="12" w:space="0" w:color="0084DD"/>
        </w:tcBorders>
        <w:shd w:val="clear" w:color="auto" w:fill="D1ECFF"/>
      </w:tcPr>
    </w:tblStylePr>
    <w:tblStylePr w:type="firstCol">
      <w:rPr>
        <w:rFonts w:ascii="Arial" w:hAnsi="Arial"/>
        <w:b/>
        <w:sz w:val="20"/>
      </w:rPr>
    </w:tblStylePr>
    <w:tblStylePr w:type="band1Horz">
      <w:rPr>
        <w:rFonts w:ascii="Arial" w:hAnsi="Arial"/>
        <w:sz w:val="20"/>
      </w:rPr>
      <w:tblPr/>
      <w:tcPr>
        <w:tcBorders>
          <w:top w:val="single" w:sz="4" w:space="0" w:color="0084DD"/>
          <w:bottom w:val="single" w:sz="4" w:space="0" w:color="0084DD"/>
        </w:tcBorders>
        <w:shd w:val="clear" w:color="auto" w:fill="F3FAFF"/>
      </w:tcPr>
    </w:tblStylePr>
    <w:tblStylePr w:type="band2Horz">
      <w:tblPr/>
      <w:tcPr>
        <w:tcBorders>
          <w:top w:val="nil"/>
          <w:bottom w:val="single" w:sz="4" w:space="0" w:color="0084DD"/>
        </w:tcBorders>
        <w:shd w:val="clear" w:color="auto" w:fill="auto"/>
      </w:tcPr>
    </w:tblStylePr>
    <w:tblStylePr w:type="nwCell">
      <w:rPr>
        <w:rFonts w:ascii="Arial" w:hAnsi="Arial"/>
        <w:b/>
        <w:color w:val="000000"/>
        <w:sz w:val="20"/>
      </w:rPr>
    </w:tblStylePr>
  </w:style>
  <w:style w:type="paragraph" w:styleId="ListParagraph">
    <w:name w:val="List Paragraph"/>
    <w:basedOn w:val="Normal"/>
    <w:uiPriority w:val="34"/>
    <w:semiHidden/>
    <w:qFormat/>
    <w:rsid w:val="009D05B7"/>
    <w:pPr>
      <w:ind w:left="720"/>
      <w:contextualSpacing/>
    </w:pPr>
  </w:style>
  <w:style w:type="table" w:customStyle="1" w:styleId="QTable1">
    <w:name w:val="Q Table1"/>
    <w:basedOn w:val="TableNormal"/>
    <w:uiPriority w:val="99"/>
    <w:rsid w:val="008C18F4"/>
    <w:pPr>
      <w:spacing w:after="0" w:line="240" w:lineRule="auto"/>
    </w:pPr>
    <w:rPr>
      <w:rFonts w:ascii="Arial" w:eastAsia="Times New Roman" w:hAnsi="Arial" w:cs="Times New Roman"/>
      <w:color w:val="000000"/>
      <w:sz w:val="20"/>
      <w:szCs w:val="20"/>
      <w:lang w:eastAsia="en-AU"/>
    </w:rPr>
    <w:tblPr>
      <w:tblStyleRowBandSize w:val="1"/>
      <w:tblStyleColBandSize w:val="1"/>
      <w:tblBorders>
        <w:insideH w:val="single" w:sz="4" w:space="0" w:color="0084DD"/>
      </w:tblBorders>
      <w:tblCellMar>
        <w:top w:w="57" w:type="dxa"/>
        <w:bottom w:w="57" w:type="dxa"/>
      </w:tblCellMar>
    </w:tblPr>
    <w:tcPr>
      <w:shd w:val="clear" w:color="auto" w:fill="auto"/>
    </w:tcPr>
    <w:tblStylePr w:type="firstRow">
      <w:pPr>
        <w:jc w:val="left"/>
      </w:pPr>
      <w:rPr>
        <w:rFonts w:ascii="Arial" w:hAnsi="Arial"/>
        <w:b/>
        <w:i w:val="0"/>
        <w:color w:val="0084DD"/>
        <w:sz w:val="20"/>
        <w:u w:val="none"/>
      </w:rPr>
      <w:tblPr>
        <w:tblCellMar>
          <w:top w:w="57" w:type="dxa"/>
          <w:left w:w="108" w:type="dxa"/>
          <w:bottom w:w="57" w:type="dxa"/>
          <w:right w:w="108" w:type="dxa"/>
        </w:tblCellMar>
      </w:tblPr>
      <w:tcPr>
        <w:tcBorders>
          <w:top w:val="nil"/>
        </w:tcBorders>
        <w:shd w:val="clear" w:color="auto" w:fill="auto"/>
        <w:vAlign w:val="bottom"/>
      </w:tcPr>
    </w:tblStylePr>
    <w:tblStylePr w:type="lastRow">
      <w:rPr>
        <w:rFonts w:ascii="Arial" w:hAnsi="Arial"/>
        <w:color w:val="000000"/>
        <w:sz w:val="20"/>
      </w:rPr>
      <w:tblPr/>
      <w:tcPr>
        <w:tcBorders>
          <w:bottom w:val="single" w:sz="12" w:space="0" w:color="0084DD"/>
        </w:tcBorders>
        <w:shd w:val="clear" w:color="auto" w:fill="D1ECFF"/>
      </w:tcPr>
    </w:tblStylePr>
    <w:tblStylePr w:type="firstCol">
      <w:rPr>
        <w:rFonts w:ascii="Arial" w:hAnsi="Arial"/>
        <w:b/>
        <w:sz w:val="20"/>
      </w:rPr>
    </w:tblStylePr>
    <w:tblStylePr w:type="band1Horz">
      <w:rPr>
        <w:rFonts w:ascii="Arial" w:hAnsi="Arial"/>
        <w:sz w:val="20"/>
      </w:rPr>
      <w:tblPr/>
      <w:tcPr>
        <w:tcBorders>
          <w:top w:val="single" w:sz="4" w:space="0" w:color="0084DD"/>
          <w:bottom w:val="single" w:sz="4" w:space="0" w:color="0084DD"/>
        </w:tcBorders>
        <w:shd w:val="clear" w:color="auto" w:fill="F3FAFF"/>
      </w:tcPr>
    </w:tblStylePr>
    <w:tblStylePr w:type="band2Horz">
      <w:tblPr/>
      <w:tcPr>
        <w:tcBorders>
          <w:top w:val="nil"/>
          <w:bottom w:val="single" w:sz="4" w:space="0" w:color="0084DD"/>
        </w:tcBorders>
        <w:shd w:val="clear" w:color="auto" w:fill="auto"/>
      </w:tcPr>
    </w:tblStylePr>
    <w:tblStylePr w:type="nwCell">
      <w:rPr>
        <w:rFonts w:ascii="Arial" w:hAnsi="Arial"/>
        <w:b/>
        <w:color w:val="000000"/>
        <w:sz w:val="20"/>
      </w:rPr>
    </w:tblStylePr>
  </w:style>
  <w:style w:type="table" w:customStyle="1" w:styleId="QTable2">
    <w:name w:val="Q Table2"/>
    <w:basedOn w:val="TableNormal"/>
    <w:uiPriority w:val="99"/>
    <w:rsid w:val="00372282"/>
    <w:pPr>
      <w:spacing w:after="0" w:line="240" w:lineRule="auto"/>
    </w:pPr>
    <w:rPr>
      <w:rFonts w:ascii="Arial" w:eastAsia="Times New Roman" w:hAnsi="Arial" w:cs="Times New Roman"/>
      <w:color w:val="000000"/>
      <w:sz w:val="20"/>
      <w:szCs w:val="20"/>
      <w:lang w:eastAsia="en-AU"/>
    </w:rPr>
    <w:tblPr>
      <w:tblStyleRowBandSize w:val="1"/>
      <w:tblStyleColBandSize w:val="1"/>
      <w:tblBorders>
        <w:insideH w:val="single" w:sz="4" w:space="0" w:color="0084DD"/>
      </w:tblBorders>
      <w:tblCellMar>
        <w:top w:w="57" w:type="dxa"/>
        <w:bottom w:w="57" w:type="dxa"/>
      </w:tblCellMar>
    </w:tblPr>
    <w:tcPr>
      <w:shd w:val="clear" w:color="auto" w:fill="auto"/>
    </w:tcPr>
    <w:tblStylePr w:type="firstRow">
      <w:pPr>
        <w:jc w:val="left"/>
      </w:pPr>
      <w:rPr>
        <w:rFonts w:ascii="Arial" w:hAnsi="Arial"/>
        <w:b/>
        <w:i w:val="0"/>
        <w:color w:val="0084DD"/>
        <w:sz w:val="20"/>
        <w:u w:val="none"/>
      </w:rPr>
      <w:tblPr>
        <w:tblCellMar>
          <w:top w:w="57" w:type="dxa"/>
          <w:left w:w="108" w:type="dxa"/>
          <w:bottom w:w="57" w:type="dxa"/>
          <w:right w:w="108" w:type="dxa"/>
        </w:tblCellMar>
      </w:tblPr>
      <w:tcPr>
        <w:tcBorders>
          <w:top w:val="nil"/>
        </w:tcBorders>
        <w:shd w:val="clear" w:color="auto" w:fill="auto"/>
        <w:vAlign w:val="bottom"/>
      </w:tcPr>
    </w:tblStylePr>
    <w:tblStylePr w:type="lastRow">
      <w:rPr>
        <w:rFonts w:ascii="Arial" w:hAnsi="Arial"/>
        <w:color w:val="000000"/>
        <w:sz w:val="20"/>
      </w:rPr>
      <w:tblPr/>
      <w:tcPr>
        <w:tcBorders>
          <w:bottom w:val="single" w:sz="12" w:space="0" w:color="0084DD"/>
        </w:tcBorders>
        <w:shd w:val="clear" w:color="auto" w:fill="D1ECFF"/>
      </w:tcPr>
    </w:tblStylePr>
    <w:tblStylePr w:type="firstCol">
      <w:rPr>
        <w:rFonts w:ascii="Arial" w:hAnsi="Arial"/>
        <w:b/>
        <w:sz w:val="20"/>
      </w:rPr>
    </w:tblStylePr>
    <w:tblStylePr w:type="band1Horz">
      <w:rPr>
        <w:rFonts w:ascii="Arial" w:hAnsi="Arial"/>
        <w:sz w:val="20"/>
      </w:rPr>
      <w:tblPr/>
      <w:tcPr>
        <w:tcBorders>
          <w:top w:val="single" w:sz="4" w:space="0" w:color="0084DD"/>
          <w:bottom w:val="single" w:sz="4" w:space="0" w:color="0084DD"/>
        </w:tcBorders>
        <w:shd w:val="clear" w:color="auto" w:fill="F3FAFF"/>
      </w:tcPr>
    </w:tblStylePr>
    <w:tblStylePr w:type="band2Horz">
      <w:tblPr/>
      <w:tcPr>
        <w:tcBorders>
          <w:top w:val="nil"/>
          <w:bottom w:val="single" w:sz="4" w:space="0" w:color="0084DD"/>
        </w:tcBorders>
        <w:shd w:val="clear" w:color="auto" w:fill="auto"/>
      </w:tcPr>
    </w:tblStylePr>
    <w:tblStylePr w:type="nwCell">
      <w:rPr>
        <w:rFonts w:ascii="Arial" w:hAnsi="Arial"/>
        <w:b/>
        <w:color w:val="000000"/>
        <w:sz w:val="20"/>
      </w:rPr>
    </w:tblStylePr>
  </w:style>
  <w:style w:type="character" w:styleId="CommentReference">
    <w:name w:val="annotation reference"/>
    <w:basedOn w:val="DefaultParagraphFont"/>
    <w:uiPriority w:val="99"/>
    <w:semiHidden/>
    <w:unhideWhenUsed/>
    <w:rsid w:val="00C47D57"/>
    <w:rPr>
      <w:sz w:val="16"/>
      <w:szCs w:val="16"/>
    </w:rPr>
  </w:style>
  <w:style w:type="paragraph" w:styleId="CommentText">
    <w:name w:val="annotation text"/>
    <w:basedOn w:val="Normal"/>
    <w:link w:val="CommentTextChar"/>
    <w:uiPriority w:val="99"/>
    <w:semiHidden/>
    <w:unhideWhenUsed/>
    <w:rsid w:val="00C47D57"/>
    <w:rPr>
      <w:szCs w:val="20"/>
    </w:rPr>
  </w:style>
  <w:style w:type="character" w:customStyle="1" w:styleId="CommentTextChar">
    <w:name w:val="Comment Text Char"/>
    <w:basedOn w:val="DefaultParagraphFont"/>
    <w:link w:val="CommentText"/>
    <w:uiPriority w:val="99"/>
    <w:semiHidden/>
    <w:rsid w:val="00C47D57"/>
    <w:rPr>
      <w:sz w:val="20"/>
      <w:szCs w:val="20"/>
    </w:rPr>
  </w:style>
  <w:style w:type="paragraph" w:styleId="CommentSubject">
    <w:name w:val="annotation subject"/>
    <w:basedOn w:val="CommentText"/>
    <w:next w:val="CommentText"/>
    <w:link w:val="CommentSubjectChar"/>
    <w:uiPriority w:val="99"/>
    <w:semiHidden/>
    <w:unhideWhenUsed/>
    <w:rsid w:val="00C47D57"/>
    <w:rPr>
      <w:b/>
      <w:bCs/>
    </w:rPr>
  </w:style>
  <w:style w:type="character" w:customStyle="1" w:styleId="CommentSubjectChar">
    <w:name w:val="Comment Subject Char"/>
    <w:basedOn w:val="CommentTextChar"/>
    <w:link w:val="CommentSubject"/>
    <w:uiPriority w:val="99"/>
    <w:semiHidden/>
    <w:rsid w:val="00C47D57"/>
    <w:rPr>
      <w:b/>
      <w:bCs/>
      <w:sz w:val="20"/>
      <w:szCs w:val="20"/>
    </w:rPr>
  </w:style>
  <w:style w:type="paragraph" w:styleId="BalloonText">
    <w:name w:val="Balloon Text"/>
    <w:basedOn w:val="Normal"/>
    <w:link w:val="BalloonTextChar"/>
    <w:uiPriority w:val="99"/>
    <w:semiHidden/>
    <w:unhideWhenUsed/>
    <w:rsid w:val="00C47D5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7"/>
    <w:rPr>
      <w:rFonts w:ascii="Segoe UI" w:hAnsi="Segoe UI" w:cs="Segoe UI"/>
      <w:sz w:val="18"/>
      <w:szCs w:val="18"/>
    </w:rPr>
  </w:style>
  <w:style w:type="character" w:styleId="PageNumber">
    <w:name w:val="page number"/>
    <w:semiHidden/>
    <w:rsid w:val="00707B9B"/>
    <w:rPr>
      <w:sz w:val="22"/>
    </w:rPr>
  </w:style>
  <w:style w:type="paragraph" w:styleId="TOCHeading">
    <w:name w:val="TOC Heading"/>
    <w:basedOn w:val="Heading1"/>
    <w:next w:val="Normal"/>
    <w:uiPriority w:val="39"/>
    <w:unhideWhenUsed/>
    <w:qFormat/>
    <w:rsid w:val="001633CC"/>
    <w:pPr>
      <w:spacing w:after="0" w:line="259" w:lineRule="auto"/>
      <w:outlineLvl w:val="9"/>
    </w:pPr>
    <w:rPr>
      <w:rFonts w:asciiTheme="majorHAnsi" w:hAnsiTheme="majorHAnsi"/>
      <w:color w:val="006CA3" w:themeColor="accent1" w:themeShade="BF"/>
      <w:sz w:val="32"/>
      <w:lang w:val="en-US"/>
    </w:rPr>
  </w:style>
  <w:style w:type="paragraph" w:styleId="TOC2">
    <w:name w:val="toc 2"/>
    <w:basedOn w:val="Normal"/>
    <w:next w:val="Normal"/>
    <w:autoRedefine/>
    <w:uiPriority w:val="39"/>
    <w:unhideWhenUsed/>
    <w:rsid w:val="00AD4B92"/>
    <w:pPr>
      <w:tabs>
        <w:tab w:val="right" w:pos="8505"/>
      </w:tabs>
      <w:spacing w:after="100"/>
      <w:ind w:left="1276" w:hanging="596"/>
    </w:pPr>
    <w:rPr>
      <w:rFonts w:ascii="Univers 45 Light" w:hAnsi="Univers 45 Light"/>
      <w:noProof/>
    </w:rPr>
  </w:style>
  <w:style w:type="paragraph" w:styleId="TOC3">
    <w:name w:val="toc 3"/>
    <w:basedOn w:val="Normal"/>
    <w:next w:val="Normal"/>
    <w:autoRedefine/>
    <w:uiPriority w:val="39"/>
    <w:unhideWhenUsed/>
    <w:rsid w:val="001633CC"/>
    <w:pPr>
      <w:spacing w:after="100"/>
      <w:ind w:left="400"/>
    </w:pPr>
  </w:style>
  <w:style w:type="paragraph" w:styleId="Caption">
    <w:name w:val="caption"/>
    <w:basedOn w:val="Normal"/>
    <w:next w:val="Normal"/>
    <w:uiPriority w:val="35"/>
    <w:unhideWhenUsed/>
    <w:qFormat/>
    <w:rsid w:val="00C5198F"/>
    <w:pPr>
      <w:spacing w:before="0" w:after="200"/>
    </w:pPr>
    <w:rPr>
      <w:i/>
      <w:iCs/>
      <w:color w:val="00338D" w:themeColor="text2"/>
      <w:sz w:val="18"/>
      <w:szCs w:val="18"/>
    </w:rPr>
  </w:style>
  <w:style w:type="paragraph" w:styleId="FootnoteText">
    <w:name w:val="footnote text"/>
    <w:basedOn w:val="Normal"/>
    <w:link w:val="FootnoteTextChar"/>
    <w:uiPriority w:val="99"/>
    <w:qFormat/>
    <w:rsid w:val="002E7E50"/>
    <w:pPr>
      <w:spacing w:before="0" w:after="0"/>
    </w:pPr>
    <w:rPr>
      <w:rFonts w:ascii="Calibri" w:eastAsia="Times New Roman" w:hAnsi="Calibri" w:cs="Times New Roman"/>
      <w:sz w:val="18"/>
      <w:szCs w:val="20"/>
    </w:rPr>
  </w:style>
  <w:style w:type="character" w:customStyle="1" w:styleId="FootnoteTextChar">
    <w:name w:val="Footnote Text Char"/>
    <w:basedOn w:val="DefaultParagraphFont"/>
    <w:link w:val="FootnoteText"/>
    <w:uiPriority w:val="99"/>
    <w:rsid w:val="002E7E50"/>
    <w:rPr>
      <w:rFonts w:ascii="Calibri" w:eastAsia="Times New Roman" w:hAnsi="Calibri" w:cs="Times New Roman"/>
      <w:sz w:val="18"/>
      <w:szCs w:val="20"/>
    </w:rPr>
  </w:style>
  <w:style w:type="character" w:styleId="FootnoteReference">
    <w:name w:val="footnote reference"/>
    <w:basedOn w:val="DefaultParagraphFont"/>
    <w:uiPriority w:val="99"/>
    <w:rsid w:val="002E7E50"/>
    <w:rPr>
      <w:vertAlign w:val="superscript"/>
    </w:rPr>
  </w:style>
  <w:style w:type="paragraph" w:customStyle="1" w:styleId="zcontents">
    <w:name w:val="zcontents"/>
    <w:basedOn w:val="Normal"/>
    <w:semiHidden/>
    <w:rsid w:val="00E94AB8"/>
    <w:pPr>
      <w:spacing w:before="0" w:after="260"/>
    </w:pPr>
    <w:rPr>
      <w:rFonts w:ascii="Calibri" w:eastAsia="Times New Roman" w:hAnsi="Calibri" w:cs="Times New Roman"/>
      <w:b/>
      <w:sz w:val="32"/>
      <w:szCs w:val="20"/>
    </w:rPr>
  </w:style>
  <w:style w:type="character" w:customStyle="1" w:styleId="highlight">
    <w:name w:val="highlight"/>
    <w:basedOn w:val="DefaultParagraphFont"/>
    <w:rsid w:val="00B53A74"/>
  </w:style>
  <w:style w:type="paragraph" w:customStyle="1" w:styleId="source">
    <w:name w:val="source"/>
    <w:basedOn w:val="Caption"/>
    <w:qFormat/>
    <w:rsid w:val="008F632A"/>
    <w:pPr>
      <w:spacing w:before="120" w:after="80"/>
      <w:jc w:val="both"/>
    </w:pPr>
    <w:rPr>
      <w:rFonts w:ascii="Univers 45 Light" w:hAnsi="Univers 45 Light"/>
    </w:rPr>
  </w:style>
  <w:style w:type="table" w:styleId="TableGridLight">
    <w:name w:val="Grid Table Light"/>
    <w:basedOn w:val="TableNormal"/>
    <w:uiPriority w:val="40"/>
    <w:rsid w:val="008F63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7E296A"/>
    <w:pPr>
      <w:spacing w:after="0" w:line="240" w:lineRule="auto"/>
    </w:pPr>
    <w:tblPr>
      <w:tblStyleRowBandSize w:val="1"/>
      <w:tblStyleColBandSize w:val="1"/>
      <w:tblBorders>
        <w:top w:val="single" w:sz="4" w:space="0" w:color="0091DA" w:themeColor="accent1"/>
        <w:left w:val="single" w:sz="4" w:space="0" w:color="0091DA" w:themeColor="accent1"/>
        <w:bottom w:val="single" w:sz="4" w:space="0" w:color="0091DA" w:themeColor="accent1"/>
        <w:right w:val="single" w:sz="4" w:space="0" w:color="0091DA" w:themeColor="accent1"/>
      </w:tblBorders>
    </w:tblPr>
    <w:tblStylePr w:type="firstRow">
      <w:rPr>
        <w:b/>
        <w:bCs/>
        <w:color w:val="FFFFFF" w:themeColor="background1"/>
      </w:rPr>
      <w:tblPr/>
      <w:tcPr>
        <w:shd w:val="clear" w:color="auto" w:fill="0091DA" w:themeFill="accent1"/>
      </w:tcPr>
    </w:tblStylePr>
    <w:tblStylePr w:type="lastRow">
      <w:rPr>
        <w:b/>
        <w:bCs/>
      </w:rPr>
      <w:tblPr/>
      <w:tcPr>
        <w:tcBorders>
          <w:top w:val="double" w:sz="4" w:space="0" w:color="0091D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DA" w:themeColor="accent1"/>
          <w:right w:val="single" w:sz="4" w:space="0" w:color="0091DA" w:themeColor="accent1"/>
        </w:tcBorders>
      </w:tcPr>
    </w:tblStylePr>
    <w:tblStylePr w:type="band1Horz">
      <w:tblPr/>
      <w:tcPr>
        <w:tcBorders>
          <w:top w:val="single" w:sz="4" w:space="0" w:color="0091DA" w:themeColor="accent1"/>
          <w:bottom w:val="single" w:sz="4" w:space="0" w:color="0091D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DA" w:themeColor="accent1"/>
          <w:left w:val="nil"/>
        </w:tcBorders>
      </w:tcPr>
    </w:tblStylePr>
    <w:tblStylePr w:type="swCell">
      <w:tblPr/>
      <w:tcPr>
        <w:tcBorders>
          <w:top w:val="double" w:sz="4" w:space="0" w:color="0091DA" w:themeColor="accent1"/>
          <w:right w:val="nil"/>
        </w:tcBorders>
      </w:tcPr>
    </w:tblStylePr>
  </w:style>
  <w:style w:type="paragraph" w:styleId="Revision">
    <w:name w:val="Revision"/>
    <w:hidden/>
    <w:uiPriority w:val="99"/>
    <w:semiHidden/>
    <w:rsid w:val="004A36EA"/>
    <w:pPr>
      <w:spacing w:after="0" w:line="240" w:lineRule="auto"/>
    </w:pPr>
    <w:rPr>
      <w:sz w:val="20"/>
    </w:rPr>
  </w:style>
  <w:style w:type="paragraph" w:styleId="NormalWeb">
    <w:name w:val="Normal (Web)"/>
    <w:basedOn w:val="Normal"/>
    <w:uiPriority w:val="99"/>
    <w:unhideWhenUsed/>
    <w:rsid w:val="00922238"/>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22238"/>
    <w:rPr>
      <w:i/>
      <w:iCs/>
    </w:rPr>
  </w:style>
  <w:style w:type="paragraph" w:customStyle="1" w:styleId="HeadingLevel1NoNumber">
    <w:name w:val="HeadingLevel1NoNumber"/>
    <w:basedOn w:val="Heading1"/>
    <w:next w:val="BodyText"/>
    <w:uiPriority w:val="99"/>
    <w:rsid w:val="005A7907"/>
    <w:pPr>
      <w:numPr>
        <w:numId w:val="0"/>
      </w:numPr>
      <w:spacing w:before="240"/>
    </w:pPr>
  </w:style>
  <w:style w:type="paragraph" w:customStyle="1" w:styleId="HeadingLevel2NoNumber">
    <w:name w:val="HeadingLevel2NoNumber"/>
    <w:basedOn w:val="Heading2"/>
    <w:next w:val="BodyText"/>
    <w:uiPriority w:val="99"/>
    <w:rsid w:val="005A7907"/>
    <w:pPr>
      <w:numPr>
        <w:ilvl w:val="0"/>
        <w:numId w:val="0"/>
      </w:numPr>
    </w:pPr>
  </w:style>
  <w:style w:type="paragraph" w:customStyle="1" w:styleId="HeadingLevel3NoNumber">
    <w:name w:val="HeadingLevel3NoNumber"/>
    <w:basedOn w:val="Heading3"/>
    <w:next w:val="BodyText"/>
    <w:uiPriority w:val="99"/>
    <w:rsid w:val="005A7907"/>
    <w:pPr>
      <w:numPr>
        <w:ilvl w:val="0"/>
        <w:numId w:val="0"/>
      </w:numPr>
    </w:pPr>
  </w:style>
  <w:style w:type="paragraph" w:customStyle="1" w:styleId="Tableheadingcentred">
    <w:name w:val="Tableheadingcentred"/>
    <w:basedOn w:val="Tableheading"/>
    <w:uiPriority w:val="99"/>
    <w:rsid w:val="00CF0B09"/>
    <w:pPr>
      <w:jc w:val="center"/>
    </w:pPr>
  </w:style>
  <w:style w:type="paragraph" w:customStyle="1" w:styleId="Appendixheading">
    <w:name w:val="Appendix heading"/>
    <w:next w:val="Normal"/>
    <w:uiPriority w:val="2"/>
    <w:qFormat/>
    <w:rsid w:val="00AD4B92"/>
    <w:pPr>
      <w:keepNext/>
      <w:keepLines/>
      <w:pageBreakBefore/>
      <w:numPr>
        <w:numId w:val="24"/>
      </w:numPr>
      <w:spacing w:before="240" w:after="240" w:line="240" w:lineRule="auto"/>
      <w:outlineLvl w:val="0"/>
    </w:pPr>
    <w:rPr>
      <w:rFonts w:ascii="KPMG Light" w:eastAsia="Times New Roman" w:hAnsi="KPMG Light" w:cs="Times New Roman"/>
      <w:color w:val="00338D"/>
      <w:sz w:val="96"/>
      <w:szCs w:val="18"/>
    </w:rPr>
  </w:style>
  <w:style w:type="paragraph" w:customStyle="1" w:styleId="AppendixHeading2">
    <w:name w:val="Appendix Heading 2"/>
    <w:basedOn w:val="Heading2"/>
    <w:next w:val="BodyText"/>
    <w:rsid w:val="00AD4B92"/>
    <w:pPr>
      <w:keepLines w:val="0"/>
      <w:tabs>
        <w:tab w:val="left" w:pos="964"/>
      </w:tabs>
      <w:jc w:val="both"/>
    </w:pPr>
    <w:rPr>
      <w:rFonts w:eastAsia="Times New Roman" w:cs="Times New Roman"/>
      <w:color w:val="00338D"/>
      <w:sz w:val="28"/>
      <w:szCs w:val="20"/>
    </w:rPr>
  </w:style>
  <w:style w:type="paragraph" w:customStyle="1" w:styleId="AppendixHeading3">
    <w:name w:val="Appendix Heading 3"/>
    <w:basedOn w:val="Heading3"/>
    <w:next w:val="BodyText"/>
    <w:rsid w:val="00AD4B92"/>
    <w:pPr>
      <w:keepLines w:val="0"/>
      <w:numPr>
        <w:ilvl w:val="0"/>
      </w:numPr>
      <w:tabs>
        <w:tab w:val="left" w:pos="357"/>
        <w:tab w:val="num" w:pos="720"/>
      </w:tabs>
      <w:spacing w:after="120"/>
      <w:ind w:left="720" w:hanging="720"/>
      <w:jc w:val="both"/>
    </w:pPr>
    <w:rPr>
      <w:rFonts w:eastAsia="Times New Roman" w:cs="Times New Roman"/>
      <w:color w:val="00338D"/>
      <w:sz w:val="24"/>
      <w:szCs w:val="20"/>
      <w:lang w:val="en-AU"/>
    </w:rPr>
  </w:style>
  <w:style w:type="paragraph" w:customStyle="1" w:styleId="AppendixHeading4">
    <w:name w:val="Appendix Heading 4"/>
    <w:basedOn w:val="Heading4"/>
    <w:next w:val="BodyText"/>
    <w:rsid w:val="00AD4B92"/>
    <w:pPr>
      <w:keepLines w:val="0"/>
      <w:numPr>
        <w:numId w:val="24"/>
      </w:numPr>
      <w:tabs>
        <w:tab w:val="left" w:pos="964"/>
      </w:tabs>
      <w:jc w:val="both"/>
    </w:pPr>
    <w:rPr>
      <w:rFonts w:eastAsia="Times New Roman" w:cs="Times New Roman"/>
      <w:iCs w:val="0"/>
      <w:color w:val="00338D"/>
      <w:sz w:val="22"/>
      <w:szCs w:val="20"/>
    </w:rPr>
  </w:style>
  <w:style w:type="paragraph" w:styleId="ListBullet">
    <w:name w:val="List Bullet"/>
    <w:basedOn w:val="Normal"/>
    <w:uiPriority w:val="99"/>
    <w:unhideWhenUsed/>
    <w:rsid w:val="00DD0AE9"/>
    <w:pPr>
      <w:numPr>
        <w:numId w:val="40"/>
      </w:numPr>
      <w:contextualSpacing/>
      <w:jc w:val="both"/>
    </w:pPr>
  </w:style>
  <w:style w:type="paragraph" w:customStyle="1" w:styleId="Quote1">
    <w:name w:val="Quote1"/>
    <w:basedOn w:val="BodyText"/>
    <w:uiPriority w:val="99"/>
    <w:rsid w:val="005A7907"/>
    <w:pPr>
      <w:ind w:left="567" w:right="567"/>
    </w:pPr>
  </w:style>
  <w:style w:type="paragraph" w:customStyle="1" w:styleId="bodytextkeepwithnext">
    <w:name w:val="bodytextkeepwithnext"/>
    <w:basedOn w:val="BodyText"/>
    <w:uiPriority w:val="99"/>
    <w:rsid w:val="003055CB"/>
    <w:pPr>
      <w:keepNext/>
    </w:pPr>
  </w:style>
  <w:style w:type="paragraph" w:customStyle="1" w:styleId="Headinglevel4NoNumber">
    <w:name w:val="Headinglevel4NoNumber"/>
    <w:basedOn w:val="Heading4"/>
    <w:next w:val="BodyText"/>
    <w:uiPriority w:val="99"/>
    <w:rsid w:val="005A7907"/>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8832">
      <w:bodyDiv w:val="1"/>
      <w:marLeft w:val="0"/>
      <w:marRight w:val="0"/>
      <w:marTop w:val="0"/>
      <w:marBottom w:val="0"/>
      <w:divBdr>
        <w:top w:val="none" w:sz="0" w:space="0" w:color="auto"/>
        <w:left w:val="none" w:sz="0" w:space="0" w:color="auto"/>
        <w:bottom w:val="none" w:sz="0" w:space="0" w:color="auto"/>
        <w:right w:val="none" w:sz="0" w:space="0" w:color="auto"/>
      </w:divBdr>
    </w:div>
    <w:div w:id="962922743">
      <w:bodyDiv w:val="1"/>
      <w:marLeft w:val="0"/>
      <w:marRight w:val="0"/>
      <w:marTop w:val="0"/>
      <w:marBottom w:val="0"/>
      <w:divBdr>
        <w:top w:val="none" w:sz="0" w:space="0" w:color="auto"/>
        <w:left w:val="none" w:sz="0" w:space="0" w:color="auto"/>
        <w:bottom w:val="none" w:sz="0" w:space="0" w:color="auto"/>
        <w:right w:val="none" w:sz="0" w:space="0" w:color="auto"/>
      </w:divBdr>
    </w:div>
    <w:div w:id="1064183710">
      <w:bodyDiv w:val="1"/>
      <w:marLeft w:val="0"/>
      <w:marRight w:val="0"/>
      <w:marTop w:val="0"/>
      <w:marBottom w:val="0"/>
      <w:divBdr>
        <w:top w:val="none" w:sz="0" w:space="0" w:color="auto"/>
        <w:left w:val="none" w:sz="0" w:space="0" w:color="auto"/>
        <w:bottom w:val="none" w:sz="0" w:space="0" w:color="auto"/>
        <w:right w:val="none" w:sz="0" w:space="0" w:color="auto"/>
      </w:divBdr>
    </w:div>
    <w:div w:id="1127702516">
      <w:bodyDiv w:val="1"/>
      <w:marLeft w:val="0"/>
      <w:marRight w:val="0"/>
      <w:marTop w:val="0"/>
      <w:marBottom w:val="0"/>
      <w:divBdr>
        <w:top w:val="none" w:sz="0" w:space="0" w:color="auto"/>
        <w:left w:val="none" w:sz="0" w:space="0" w:color="auto"/>
        <w:bottom w:val="none" w:sz="0" w:space="0" w:color="auto"/>
        <w:right w:val="none" w:sz="0" w:space="0" w:color="auto"/>
      </w:divBdr>
    </w:div>
    <w:div w:id="1159267954">
      <w:bodyDiv w:val="1"/>
      <w:marLeft w:val="0"/>
      <w:marRight w:val="0"/>
      <w:marTop w:val="0"/>
      <w:marBottom w:val="0"/>
      <w:divBdr>
        <w:top w:val="none" w:sz="0" w:space="0" w:color="auto"/>
        <w:left w:val="none" w:sz="0" w:space="0" w:color="auto"/>
        <w:bottom w:val="none" w:sz="0" w:space="0" w:color="auto"/>
        <w:right w:val="none" w:sz="0" w:space="0" w:color="auto"/>
      </w:divBdr>
    </w:div>
    <w:div w:id="1301493495">
      <w:bodyDiv w:val="1"/>
      <w:marLeft w:val="0"/>
      <w:marRight w:val="0"/>
      <w:marTop w:val="0"/>
      <w:marBottom w:val="0"/>
      <w:divBdr>
        <w:top w:val="none" w:sz="0" w:space="0" w:color="auto"/>
        <w:left w:val="none" w:sz="0" w:space="0" w:color="auto"/>
        <w:bottom w:val="none" w:sz="0" w:space="0" w:color="auto"/>
        <w:right w:val="none" w:sz="0" w:space="0" w:color="auto"/>
      </w:divBdr>
    </w:div>
    <w:div w:id="1846439780">
      <w:bodyDiv w:val="1"/>
      <w:marLeft w:val="0"/>
      <w:marRight w:val="0"/>
      <w:marTop w:val="0"/>
      <w:marBottom w:val="0"/>
      <w:divBdr>
        <w:top w:val="none" w:sz="0" w:space="0" w:color="auto"/>
        <w:left w:val="none" w:sz="0" w:space="0" w:color="auto"/>
        <w:bottom w:val="none" w:sz="0" w:space="0" w:color="auto"/>
        <w:right w:val="none" w:sz="0" w:space="0" w:color="auto"/>
      </w:divBdr>
    </w:div>
    <w:div w:id="1945109966">
      <w:bodyDiv w:val="1"/>
      <w:marLeft w:val="0"/>
      <w:marRight w:val="0"/>
      <w:marTop w:val="0"/>
      <w:marBottom w:val="0"/>
      <w:divBdr>
        <w:top w:val="none" w:sz="0" w:space="0" w:color="auto"/>
        <w:left w:val="none" w:sz="0" w:space="0" w:color="auto"/>
        <w:bottom w:val="none" w:sz="0" w:space="0" w:color="auto"/>
        <w:right w:val="none" w:sz="0" w:space="0" w:color="auto"/>
      </w:divBdr>
    </w:div>
    <w:div w:id="2097626383">
      <w:bodyDiv w:val="1"/>
      <w:marLeft w:val="0"/>
      <w:marRight w:val="0"/>
      <w:marTop w:val="0"/>
      <w:marBottom w:val="0"/>
      <w:divBdr>
        <w:top w:val="none" w:sz="0" w:space="0" w:color="auto"/>
        <w:left w:val="none" w:sz="0" w:space="0" w:color="auto"/>
        <w:bottom w:val="none" w:sz="0" w:space="0" w:color="auto"/>
        <w:right w:val="none" w:sz="0" w:space="0" w:color="auto"/>
      </w:divBdr>
    </w:div>
    <w:div w:id="21001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image" Target="media/image7.png"/><Relationship Id="rId21" Type="http://schemas.openxmlformats.org/officeDocument/2006/relationships/header" Target="header7.xml"/><Relationship Id="rId34"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6.xml"/><Relationship Id="rId29" Type="http://schemas.openxmlformats.org/officeDocument/2006/relationships/hyperlink" Target="https://mhaustralia.org/sites/default/files/docs/mhca_-_submissions_-_adjacent_systems_-_mcclure_review_of_the_welfare_system_-_mhca_august_20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mailto:khawthorne@kpmg.com.a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hyperlink" Target="https://www.pc.gov.au/__data/assets/pdf_file/0015/241080/sub419-mental-health.pdf" TargetMode="Externa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mailto:khawthorne@kpmg.com.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8.xml"/><Relationship Id="rId27" Type="http://schemas.openxmlformats.org/officeDocument/2006/relationships/hyperlink" Target="https://www.psychology.org.au/for-the-public/about-psychology/What-does-a-psychologist-do/Psychologists-in-schools" TargetMode="External"/><Relationship Id="rId30" Type="http://schemas.openxmlformats.org/officeDocument/2006/relationships/hyperlink" Target="mailto:bwallace@kpmg.com.au" TargetMode="External"/><Relationship Id="rId35" Type="http://schemas.openxmlformats.org/officeDocument/2006/relationships/footer" Target="footer5.xml"/><Relationship Id="rId8" Type="http://schemas.openxmlformats.org/officeDocument/2006/relationships/footer" Target="footer1.xml"/><Relationship Id="rId3" Type="http://schemas.openxmlformats.org/officeDocument/2006/relationships/settings" Target="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KPMG Colours">
      <a:dk1>
        <a:srgbClr val="000000"/>
      </a:dk1>
      <a:lt1>
        <a:sysClr val="window" lastClr="FFFFFF"/>
      </a:lt1>
      <a:dk2>
        <a:srgbClr val="00338D"/>
      </a:dk2>
      <a:lt2>
        <a:srgbClr val="005EB8"/>
      </a:lt2>
      <a:accent1>
        <a:srgbClr val="0091DA"/>
      </a:accent1>
      <a:accent2>
        <a:srgbClr val="483698"/>
      </a:accent2>
      <a:accent3>
        <a:srgbClr val="470A68"/>
      </a:accent3>
      <a:accent4>
        <a:srgbClr val="6D2077"/>
      </a:accent4>
      <a:accent5>
        <a:srgbClr val="00A3A1"/>
      </a:accent5>
      <a:accent6>
        <a:srgbClr val="C6007E"/>
      </a:accent6>
      <a:hlink>
        <a:srgbClr val="0091DA"/>
      </a:hlink>
      <a:folHlink>
        <a:srgbClr val="C6007E"/>
      </a:folHlink>
    </a:clrScheme>
    <a:fontScheme name="KPMG">
      <a:majorFont>
        <a:latin typeface="Univers 45 Light"/>
        <a:ea typeface=""/>
        <a:cs typeface=""/>
      </a:majorFont>
      <a:minorFont>
        <a:latin typeface="Univers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13565</Words>
  <Characters>77323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2020-12-01T08:15:00Z</dcterms:created>
  <dcterms:modified xsi:type="dcterms:W3CDTF">2020-12-01T08:17:00Z</dcterms:modified>
</cp:coreProperties>
</file>