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DBBE4" w14:textId="77777777" w:rsidR="00742B54" w:rsidRDefault="00742B54">
      <w:pPr>
        <w:rPr>
          <w:rFonts w:cs="Calibri"/>
          <w:b/>
          <w:sz w:val="24"/>
          <w:szCs w:val="24"/>
        </w:rPr>
      </w:pPr>
      <w:r w:rsidRPr="0009582F">
        <w:rPr>
          <w:rFonts w:ascii="Century Gothic" w:eastAsia="Times New Roman" w:hAnsi="Century Gothic" w:cs="Times New Roman"/>
          <w:b/>
          <w:noProof/>
          <w:sz w:val="20"/>
          <w:szCs w:val="20"/>
          <w:lang w:eastAsia="en-AU"/>
        </w:rPr>
        <w:drawing>
          <wp:inline distT="0" distB="0" distL="0" distR="0" wp14:anchorId="6361FEFD" wp14:editId="3008B66D">
            <wp:extent cx="5629275" cy="3886200"/>
            <wp:effectExtent l="0" t="0" r="9525" b="0"/>
            <wp:docPr id="21" name="Picture 21" descr="Australian Government Disability Employment Services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9275" cy="3886200"/>
                    </a:xfrm>
                    <a:prstGeom prst="rect">
                      <a:avLst/>
                    </a:prstGeom>
                    <a:noFill/>
                    <a:ln>
                      <a:noFill/>
                    </a:ln>
                  </pic:spPr>
                </pic:pic>
              </a:graphicData>
            </a:graphic>
          </wp:inline>
        </w:drawing>
      </w:r>
    </w:p>
    <w:p w14:paraId="2D9E1E3A" w14:textId="77777777" w:rsidR="00742B54" w:rsidRDefault="00742B54">
      <w:pPr>
        <w:rPr>
          <w:rFonts w:cs="Calibri"/>
          <w:b/>
          <w:sz w:val="24"/>
          <w:szCs w:val="24"/>
        </w:rPr>
      </w:pPr>
    </w:p>
    <w:p w14:paraId="25FA6F6A" w14:textId="77777777" w:rsidR="00742B54" w:rsidRPr="00742B54" w:rsidRDefault="00742B54" w:rsidP="00742B54">
      <w:pPr>
        <w:jc w:val="center"/>
        <w:rPr>
          <w:rFonts w:ascii="Albertus Extra Bold" w:eastAsia="Times New Roman" w:hAnsi="Albertus Extra Bold" w:cs="Times New Roman"/>
          <w:b/>
          <w:sz w:val="40"/>
          <w:szCs w:val="20"/>
        </w:rPr>
      </w:pPr>
      <w:r w:rsidRPr="00742B54">
        <w:rPr>
          <w:rFonts w:ascii="Albertus Extra Bold" w:eastAsia="Times New Roman" w:hAnsi="Albertus Extra Bold" w:cs="Times New Roman"/>
          <w:b/>
          <w:sz w:val="40"/>
          <w:szCs w:val="20"/>
        </w:rPr>
        <w:t>Disability Employment Services</w:t>
      </w:r>
    </w:p>
    <w:p w14:paraId="1390EEE8" w14:textId="77777777" w:rsidR="00742B54" w:rsidRPr="00742B54" w:rsidRDefault="00742B54" w:rsidP="00742B54">
      <w:pPr>
        <w:jc w:val="center"/>
        <w:rPr>
          <w:rFonts w:ascii="Albertus Extra Bold" w:eastAsia="Times New Roman" w:hAnsi="Albertus Extra Bold" w:cs="Times New Roman"/>
          <w:b/>
          <w:sz w:val="40"/>
          <w:szCs w:val="20"/>
        </w:rPr>
      </w:pPr>
      <w:r w:rsidRPr="00742B54">
        <w:rPr>
          <w:rFonts w:ascii="Albertus Extra Bold" w:eastAsia="Times New Roman" w:hAnsi="Albertus Extra Bold" w:cs="Times New Roman"/>
          <w:b/>
          <w:sz w:val="40"/>
          <w:szCs w:val="20"/>
        </w:rPr>
        <w:t>International Literature Review for Benchmarked assessment models</w:t>
      </w:r>
      <w:r w:rsidR="00DF4D84">
        <w:rPr>
          <w:rFonts w:ascii="Albertus Extra Bold" w:eastAsia="Times New Roman" w:hAnsi="Albertus Extra Bold" w:cs="Times New Roman"/>
          <w:b/>
          <w:sz w:val="40"/>
          <w:szCs w:val="20"/>
        </w:rPr>
        <w:t xml:space="preserve"> and comparison to Star Ratings</w:t>
      </w:r>
    </w:p>
    <w:p w14:paraId="3A29F301" w14:textId="77777777" w:rsidR="00742B54" w:rsidRPr="00742B54" w:rsidRDefault="00742B54" w:rsidP="00742B54">
      <w:pPr>
        <w:jc w:val="center"/>
        <w:rPr>
          <w:rFonts w:ascii="Albertus Extra Bold" w:eastAsia="Times New Roman" w:hAnsi="Albertus Extra Bold" w:cs="Times New Roman"/>
          <w:b/>
          <w:sz w:val="40"/>
          <w:szCs w:val="20"/>
        </w:rPr>
      </w:pPr>
      <w:r w:rsidRPr="00742B54">
        <w:rPr>
          <w:rFonts w:ascii="Albertus Extra Bold" w:eastAsia="Times New Roman" w:hAnsi="Albertus Extra Bold" w:cs="Times New Roman"/>
          <w:b/>
          <w:sz w:val="40"/>
          <w:szCs w:val="20"/>
        </w:rPr>
        <w:t>2014</w:t>
      </w:r>
    </w:p>
    <w:p w14:paraId="765C3418" w14:textId="77777777" w:rsidR="00742B54" w:rsidRDefault="00742B54" w:rsidP="00742B54">
      <w:pPr>
        <w:jc w:val="center"/>
        <w:rPr>
          <w:rFonts w:ascii="Albertus Extra Bold" w:eastAsia="Times New Roman" w:hAnsi="Albertus Extra Bold" w:cs="Times New Roman"/>
          <w:b/>
          <w:sz w:val="40"/>
          <w:szCs w:val="20"/>
        </w:rPr>
      </w:pPr>
    </w:p>
    <w:p w14:paraId="4A47688A" w14:textId="77777777" w:rsidR="00742B54" w:rsidRPr="00742B54" w:rsidRDefault="00742B54" w:rsidP="00742B54">
      <w:pPr>
        <w:jc w:val="center"/>
        <w:rPr>
          <w:rFonts w:ascii="Albertus Extra Bold" w:eastAsia="Times New Roman" w:hAnsi="Albertus Extra Bold" w:cs="Times New Roman"/>
          <w:b/>
          <w:sz w:val="40"/>
          <w:szCs w:val="20"/>
        </w:rPr>
      </w:pPr>
    </w:p>
    <w:p w14:paraId="30825EA9" w14:textId="77777777" w:rsidR="00742B54" w:rsidRPr="00742B54" w:rsidRDefault="00742B54" w:rsidP="00742B54">
      <w:pPr>
        <w:jc w:val="center"/>
        <w:rPr>
          <w:rFonts w:cs="Calibri"/>
          <w:b/>
          <w:sz w:val="30"/>
          <w:szCs w:val="30"/>
        </w:rPr>
      </w:pPr>
      <w:r w:rsidRPr="00742B54">
        <w:rPr>
          <w:rFonts w:ascii="Albertus Extra Bold" w:eastAsia="Times New Roman" w:hAnsi="Albertus Extra Bold" w:cs="Times New Roman"/>
          <w:b/>
          <w:sz w:val="30"/>
          <w:szCs w:val="30"/>
        </w:rPr>
        <w:t>Department of Social Services</w:t>
      </w:r>
      <w:r w:rsidRPr="00742B54">
        <w:rPr>
          <w:rFonts w:cs="Calibri"/>
          <w:b/>
          <w:sz w:val="30"/>
          <w:szCs w:val="30"/>
        </w:rPr>
        <w:br w:type="page"/>
      </w:r>
    </w:p>
    <w:p w14:paraId="14763BC9" w14:textId="77777777" w:rsidR="00A8092A" w:rsidRDefault="002E2B83">
      <w:pPr>
        <w:rPr>
          <w:rFonts w:cs="Calibri"/>
          <w:b/>
          <w:sz w:val="24"/>
          <w:szCs w:val="24"/>
        </w:rPr>
      </w:pPr>
      <w:r>
        <w:rPr>
          <w:rFonts w:cs="Calibri"/>
          <w:b/>
          <w:sz w:val="24"/>
          <w:szCs w:val="24"/>
        </w:rPr>
        <w:lastRenderedPageBreak/>
        <w:t>Table of Contents</w:t>
      </w:r>
    </w:p>
    <w:p w14:paraId="16E03EF3" w14:textId="1A562315" w:rsidR="00085A64" w:rsidRDefault="00A8092A" w:rsidP="00F1328C">
      <w:pPr>
        <w:pStyle w:val="TOC1"/>
        <w:tabs>
          <w:tab w:val="right" w:leader="dot" w:pos="9016"/>
        </w:tabs>
        <w:spacing w:after="60" w:line="240" w:lineRule="auto"/>
        <w:rPr>
          <w:rFonts w:eastAsiaTheme="minorEastAsia"/>
          <w:noProof/>
          <w:lang w:eastAsia="en-AU"/>
        </w:rPr>
      </w:pPr>
      <w:r w:rsidRPr="002C1139">
        <w:rPr>
          <w:rFonts w:cs="Calibri"/>
          <w:b/>
        </w:rPr>
        <w:fldChar w:fldCharType="begin"/>
      </w:r>
      <w:r w:rsidRPr="002C1139">
        <w:rPr>
          <w:rFonts w:cs="Calibri"/>
          <w:b/>
        </w:rPr>
        <w:instrText xml:space="preserve"> TOC \o "1-3" \h \z \u </w:instrText>
      </w:r>
      <w:r w:rsidRPr="002C1139">
        <w:rPr>
          <w:rFonts w:cs="Calibri"/>
          <w:b/>
        </w:rPr>
        <w:fldChar w:fldCharType="separate"/>
      </w:r>
      <w:hyperlink w:anchor="_Toc365872620" w:history="1">
        <w:r w:rsidR="00085A64" w:rsidRPr="00711FB2">
          <w:rPr>
            <w:rStyle w:val="Hyperlink"/>
            <w:rFonts w:ascii="Calibri" w:eastAsia="Times New Roman" w:hAnsi="Calibri" w:cs="Arial"/>
            <w:noProof/>
            <w:kern w:val="32"/>
            <w:lang w:eastAsia="en-AU"/>
          </w:rPr>
          <w:t>Acronyms</w:t>
        </w:r>
        <w:r w:rsidR="00085A64">
          <w:rPr>
            <w:noProof/>
            <w:webHidden/>
          </w:rPr>
          <w:tab/>
        </w:r>
        <w:r w:rsidR="00085A64">
          <w:rPr>
            <w:noProof/>
            <w:webHidden/>
          </w:rPr>
          <w:fldChar w:fldCharType="begin"/>
        </w:r>
        <w:r w:rsidR="00085A64">
          <w:rPr>
            <w:noProof/>
            <w:webHidden/>
          </w:rPr>
          <w:instrText xml:space="preserve"> PAGEREF _Toc365872620 \h </w:instrText>
        </w:r>
        <w:r w:rsidR="00085A64">
          <w:rPr>
            <w:noProof/>
            <w:webHidden/>
          </w:rPr>
        </w:r>
        <w:r w:rsidR="00085A64">
          <w:rPr>
            <w:noProof/>
            <w:webHidden/>
          </w:rPr>
          <w:fldChar w:fldCharType="separate"/>
        </w:r>
        <w:r w:rsidR="00262E98">
          <w:rPr>
            <w:noProof/>
            <w:webHidden/>
          </w:rPr>
          <w:t>2</w:t>
        </w:r>
        <w:r w:rsidR="00085A64">
          <w:rPr>
            <w:noProof/>
            <w:webHidden/>
          </w:rPr>
          <w:fldChar w:fldCharType="end"/>
        </w:r>
      </w:hyperlink>
    </w:p>
    <w:p w14:paraId="33DBBB35" w14:textId="5D48666F" w:rsidR="00085A64" w:rsidRDefault="00BD3140" w:rsidP="00F1328C">
      <w:pPr>
        <w:pStyle w:val="TOC1"/>
        <w:tabs>
          <w:tab w:val="right" w:leader="dot" w:pos="9016"/>
        </w:tabs>
        <w:spacing w:after="60" w:line="240" w:lineRule="auto"/>
        <w:rPr>
          <w:rFonts w:eastAsiaTheme="minorEastAsia"/>
          <w:noProof/>
          <w:lang w:eastAsia="en-AU"/>
        </w:rPr>
      </w:pPr>
      <w:hyperlink w:anchor="_Toc365872621" w:history="1">
        <w:r w:rsidR="00085A64" w:rsidRPr="00711FB2">
          <w:rPr>
            <w:rStyle w:val="Hyperlink"/>
            <w:rFonts w:ascii="Calibri" w:eastAsia="Times New Roman" w:hAnsi="Calibri" w:cs="Arial"/>
            <w:noProof/>
            <w:kern w:val="32"/>
            <w:lang w:eastAsia="en-AU"/>
          </w:rPr>
          <w:t>Executive Summary</w:t>
        </w:r>
        <w:r w:rsidR="00085A64">
          <w:rPr>
            <w:noProof/>
            <w:webHidden/>
          </w:rPr>
          <w:tab/>
        </w:r>
        <w:r w:rsidR="00085A64">
          <w:rPr>
            <w:noProof/>
            <w:webHidden/>
          </w:rPr>
          <w:fldChar w:fldCharType="begin"/>
        </w:r>
        <w:r w:rsidR="00085A64">
          <w:rPr>
            <w:noProof/>
            <w:webHidden/>
          </w:rPr>
          <w:instrText xml:space="preserve"> PAGEREF _Toc365872621 \h </w:instrText>
        </w:r>
        <w:r w:rsidR="00085A64">
          <w:rPr>
            <w:noProof/>
            <w:webHidden/>
          </w:rPr>
        </w:r>
        <w:r w:rsidR="00085A64">
          <w:rPr>
            <w:noProof/>
            <w:webHidden/>
          </w:rPr>
          <w:fldChar w:fldCharType="separate"/>
        </w:r>
        <w:r w:rsidR="00262E98">
          <w:rPr>
            <w:noProof/>
            <w:webHidden/>
          </w:rPr>
          <w:t>2</w:t>
        </w:r>
        <w:r w:rsidR="00085A64">
          <w:rPr>
            <w:noProof/>
            <w:webHidden/>
          </w:rPr>
          <w:fldChar w:fldCharType="end"/>
        </w:r>
      </w:hyperlink>
    </w:p>
    <w:p w14:paraId="0FA9AC4F" w14:textId="1FD8C49F" w:rsidR="00085A64" w:rsidRDefault="00BD3140" w:rsidP="00F1328C">
      <w:pPr>
        <w:pStyle w:val="TOC1"/>
        <w:tabs>
          <w:tab w:val="left" w:pos="440"/>
          <w:tab w:val="right" w:leader="dot" w:pos="9016"/>
        </w:tabs>
        <w:spacing w:after="60" w:line="240" w:lineRule="auto"/>
        <w:rPr>
          <w:rFonts w:eastAsiaTheme="minorEastAsia"/>
          <w:noProof/>
          <w:lang w:eastAsia="en-AU"/>
        </w:rPr>
      </w:pPr>
      <w:hyperlink w:anchor="_Toc365872622" w:history="1">
        <w:r w:rsidR="00085A64" w:rsidRPr="00711FB2">
          <w:rPr>
            <w:rStyle w:val="Hyperlink"/>
            <w:rFonts w:ascii="Calibri" w:eastAsia="Times New Roman" w:hAnsi="Calibri" w:cs="Arial"/>
            <w:noProof/>
            <w:kern w:val="32"/>
            <w:lang w:eastAsia="en-AU"/>
          </w:rPr>
          <w:t>1.</w:t>
        </w:r>
        <w:r w:rsidR="00085A64">
          <w:rPr>
            <w:rFonts w:eastAsiaTheme="minorEastAsia"/>
            <w:noProof/>
            <w:lang w:eastAsia="en-AU"/>
          </w:rPr>
          <w:tab/>
        </w:r>
        <w:r w:rsidR="00085A64" w:rsidRPr="00711FB2">
          <w:rPr>
            <w:rStyle w:val="Hyperlink"/>
            <w:rFonts w:ascii="Calibri" w:eastAsia="Times New Roman" w:hAnsi="Calibri" w:cs="Arial"/>
            <w:noProof/>
            <w:kern w:val="32"/>
            <w:lang w:eastAsia="en-AU"/>
          </w:rPr>
          <w:t>Introduction</w:t>
        </w:r>
        <w:r w:rsidR="00085A64">
          <w:rPr>
            <w:noProof/>
            <w:webHidden/>
          </w:rPr>
          <w:tab/>
        </w:r>
        <w:r w:rsidR="00085A64">
          <w:rPr>
            <w:noProof/>
            <w:webHidden/>
          </w:rPr>
          <w:fldChar w:fldCharType="begin"/>
        </w:r>
        <w:r w:rsidR="00085A64">
          <w:rPr>
            <w:noProof/>
            <w:webHidden/>
          </w:rPr>
          <w:instrText xml:space="preserve"> PAGEREF _Toc365872622 \h </w:instrText>
        </w:r>
        <w:r w:rsidR="00085A64">
          <w:rPr>
            <w:noProof/>
            <w:webHidden/>
          </w:rPr>
        </w:r>
        <w:r w:rsidR="00085A64">
          <w:rPr>
            <w:noProof/>
            <w:webHidden/>
          </w:rPr>
          <w:fldChar w:fldCharType="separate"/>
        </w:r>
        <w:r w:rsidR="00262E98">
          <w:rPr>
            <w:noProof/>
            <w:webHidden/>
          </w:rPr>
          <w:t>2</w:t>
        </w:r>
        <w:r w:rsidR="00085A64">
          <w:rPr>
            <w:noProof/>
            <w:webHidden/>
          </w:rPr>
          <w:fldChar w:fldCharType="end"/>
        </w:r>
      </w:hyperlink>
    </w:p>
    <w:p w14:paraId="7B44142F" w14:textId="2D66F580" w:rsidR="00085A64" w:rsidRDefault="00BD3140" w:rsidP="00F1328C">
      <w:pPr>
        <w:pStyle w:val="TOC1"/>
        <w:tabs>
          <w:tab w:val="left" w:pos="440"/>
          <w:tab w:val="right" w:leader="dot" w:pos="9016"/>
        </w:tabs>
        <w:spacing w:after="60" w:line="240" w:lineRule="auto"/>
        <w:rPr>
          <w:rFonts w:eastAsiaTheme="minorEastAsia"/>
          <w:noProof/>
          <w:lang w:eastAsia="en-AU"/>
        </w:rPr>
      </w:pPr>
      <w:hyperlink w:anchor="_Toc365872623" w:history="1">
        <w:r w:rsidR="00085A64" w:rsidRPr="00711FB2">
          <w:rPr>
            <w:rStyle w:val="Hyperlink"/>
            <w:rFonts w:ascii="Calibri" w:eastAsia="Times New Roman" w:hAnsi="Calibri" w:cs="Arial"/>
            <w:noProof/>
            <w:kern w:val="32"/>
            <w:lang w:eastAsia="en-AU"/>
          </w:rPr>
          <w:t>2.</w:t>
        </w:r>
        <w:r w:rsidR="00085A64">
          <w:rPr>
            <w:rFonts w:eastAsiaTheme="minorEastAsia"/>
            <w:noProof/>
            <w:lang w:eastAsia="en-AU"/>
          </w:rPr>
          <w:tab/>
        </w:r>
        <w:r w:rsidR="00085A64" w:rsidRPr="00711FB2">
          <w:rPr>
            <w:rStyle w:val="Hyperlink"/>
            <w:rFonts w:ascii="Calibri" w:eastAsia="Times New Roman" w:hAnsi="Calibri" w:cs="Arial"/>
            <w:noProof/>
            <w:kern w:val="32"/>
            <w:lang w:eastAsia="en-AU"/>
          </w:rPr>
          <w:t>Measuring Provider Performance: The Why and How?</w:t>
        </w:r>
        <w:r w:rsidR="00085A64">
          <w:rPr>
            <w:noProof/>
            <w:webHidden/>
          </w:rPr>
          <w:tab/>
        </w:r>
        <w:r w:rsidR="00085A64">
          <w:rPr>
            <w:noProof/>
            <w:webHidden/>
          </w:rPr>
          <w:fldChar w:fldCharType="begin"/>
        </w:r>
        <w:r w:rsidR="00085A64">
          <w:rPr>
            <w:noProof/>
            <w:webHidden/>
          </w:rPr>
          <w:instrText xml:space="preserve"> PAGEREF _Toc365872623 \h </w:instrText>
        </w:r>
        <w:r w:rsidR="00085A64">
          <w:rPr>
            <w:noProof/>
            <w:webHidden/>
          </w:rPr>
        </w:r>
        <w:r w:rsidR="00085A64">
          <w:rPr>
            <w:noProof/>
            <w:webHidden/>
          </w:rPr>
          <w:fldChar w:fldCharType="separate"/>
        </w:r>
        <w:r w:rsidR="00262E98">
          <w:rPr>
            <w:noProof/>
            <w:webHidden/>
          </w:rPr>
          <w:t>2</w:t>
        </w:r>
        <w:r w:rsidR="00085A64">
          <w:rPr>
            <w:noProof/>
            <w:webHidden/>
          </w:rPr>
          <w:fldChar w:fldCharType="end"/>
        </w:r>
      </w:hyperlink>
    </w:p>
    <w:p w14:paraId="7DC745D5" w14:textId="28C13601" w:rsidR="00085A64" w:rsidRDefault="00BD3140" w:rsidP="00F1328C">
      <w:pPr>
        <w:pStyle w:val="TOC1"/>
        <w:tabs>
          <w:tab w:val="left" w:pos="440"/>
          <w:tab w:val="right" w:leader="dot" w:pos="9016"/>
        </w:tabs>
        <w:spacing w:after="60" w:line="240" w:lineRule="auto"/>
        <w:rPr>
          <w:rFonts w:eastAsiaTheme="minorEastAsia"/>
          <w:noProof/>
          <w:lang w:eastAsia="en-AU"/>
        </w:rPr>
      </w:pPr>
      <w:hyperlink w:anchor="_Toc365872624" w:history="1">
        <w:r w:rsidR="00085A64" w:rsidRPr="00711FB2">
          <w:rPr>
            <w:rStyle w:val="Hyperlink"/>
            <w:rFonts w:ascii="Calibri" w:eastAsia="Times New Roman" w:hAnsi="Calibri" w:cs="Arial"/>
            <w:noProof/>
            <w:kern w:val="32"/>
            <w:lang w:eastAsia="en-AU"/>
          </w:rPr>
          <w:t>3.</w:t>
        </w:r>
        <w:r w:rsidR="00085A64">
          <w:rPr>
            <w:rFonts w:eastAsiaTheme="minorEastAsia"/>
            <w:noProof/>
            <w:lang w:eastAsia="en-AU"/>
          </w:rPr>
          <w:tab/>
        </w:r>
        <w:r w:rsidR="00085A64" w:rsidRPr="00711FB2">
          <w:rPr>
            <w:rStyle w:val="Hyperlink"/>
            <w:rFonts w:ascii="Calibri" w:eastAsia="Times New Roman" w:hAnsi="Calibri" w:cs="Arial"/>
            <w:noProof/>
            <w:kern w:val="32"/>
            <w:lang w:eastAsia="en-AU"/>
          </w:rPr>
          <w:t>Comparative Performance Model</w:t>
        </w:r>
        <w:r w:rsidR="00085A64">
          <w:rPr>
            <w:noProof/>
            <w:webHidden/>
          </w:rPr>
          <w:tab/>
        </w:r>
        <w:r w:rsidR="00085A64">
          <w:rPr>
            <w:noProof/>
            <w:webHidden/>
          </w:rPr>
          <w:fldChar w:fldCharType="begin"/>
        </w:r>
        <w:r w:rsidR="00085A64">
          <w:rPr>
            <w:noProof/>
            <w:webHidden/>
          </w:rPr>
          <w:instrText xml:space="preserve"> PAGEREF _Toc365872624 \h </w:instrText>
        </w:r>
        <w:r w:rsidR="00085A64">
          <w:rPr>
            <w:noProof/>
            <w:webHidden/>
          </w:rPr>
        </w:r>
        <w:r w:rsidR="00085A64">
          <w:rPr>
            <w:noProof/>
            <w:webHidden/>
          </w:rPr>
          <w:fldChar w:fldCharType="separate"/>
        </w:r>
        <w:r w:rsidR="00262E98">
          <w:rPr>
            <w:noProof/>
            <w:webHidden/>
          </w:rPr>
          <w:t>2</w:t>
        </w:r>
        <w:r w:rsidR="00085A64">
          <w:rPr>
            <w:noProof/>
            <w:webHidden/>
          </w:rPr>
          <w:fldChar w:fldCharType="end"/>
        </w:r>
      </w:hyperlink>
    </w:p>
    <w:p w14:paraId="60CEF8D5" w14:textId="4B92C03C" w:rsidR="00085A64" w:rsidRDefault="00BD3140" w:rsidP="00F1328C">
      <w:pPr>
        <w:pStyle w:val="TOC2"/>
        <w:tabs>
          <w:tab w:val="left" w:pos="880"/>
          <w:tab w:val="right" w:leader="dot" w:pos="9016"/>
        </w:tabs>
        <w:spacing w:after="60" w:line="240" w:lineRule="auto"/>
        <w:rPr>
          <w:rFonts w:eastAsiaTheme="minorEastAsia"/>
          <w:noProof/>
          <w:lang w:eastAsia="en-AU"/>
        </w:rPr>
      </w:pPr>
      <w:hyperlink w:anchor="_Toc365872625" w:history="1">
        <w:r w:rsidR="00085A64" w:rsidRPr="00711FB2">
          <w:rPr>
            <w:rStyle w:val="Hyperlink"/>
            <w:rFonts w:ascii="Calibri" w:hAnsi="Calibri" w:cs="Arial"/>
            <w:i/>
            <w:iCs/>
            <w:noProof/>
          </w:rPr>
          <w:t>3.1</w:t>
        </w:r>
        <w:r w:rsidR="00085A64">
          <w:rPr>
            <w:rFonts w:eastAsiaTheme="minorEastAsia"/>
            <w:noProof/>
            <w:lang w:eastAsia="en-AU"/>
          </w:rPr>
          <w:tab/>
        </w:r>
        <w:r w:rsidR="00085A64" w:rsidRPr="00711FB2">
          <w:rPr>
            <w:rStyle w:val="Hyperlink"/>
            <w:rFonts w:ascii="Calibri" w:hAnsi="Calibri" w:cs="Arial"/>
            <w:i/>
            <w:iCs/>
            <w:noProof/>
          </w:rPr>
          <w:t>External Factor Adjustment</w:t>
        </w:r>
        <w:r w:rsidR="00085A64">
          <w:rPr>
            <w:noProof/>
            <w:webHidden/>
          </w:rPr>
          <w:tab/>
        </w:r>
        <w:r w:rsidR="00085A64">
          <w:rPr>
            <w:noProof/>
            <w:webHidden/>
          </w:rPr>
          <w:fldChar w:fldCharType="begin"/>
        </w:r>
        <w:r w:rsidR="00085A64">
          <w:rPr>
            <w:noProof/>
            <w:webHidden/>
          </w:rPr>
          <w:instrText xml:space="preserve"> PAGEREF _Toc365872625 \h </w:instrText>
        </w:r>
        <w:r w:rsidR="00085A64">
          <w:rPr>
            <w:noProof/>
            <w:webHidden/>
          </w:rPr>
        </w:r>
        <w:r w:rsidR="00085A64">
          <w:rPr>
            <w:noProof/>
            <w:webHidden/>
          </w:rPr>
          <w:fldChar w:fldCharType="separate"/>
        </w:r>
        <w:r w:rsidR="00262E98">
          <w:rPr>
            <w:noProof/>
            <w:webHidden/>
          </w:rPr>
          <w:t>2</w:t>
        </w:r>
        <w:r w:rsidR="00085A64">
          <w:rPr>
            <w:noProof/>
            <w:webHidden/>
          </w:rPr>
          <w:fldChar w:fldCharType="end"/>
        </w:r>
      </w:hyperlink>
    </w:p>
    <w:p w14:paraId="7F2CF857" w14:textId="1E479645" w:rsidR="00085A64" w:rsidRDefault="00BD3140" w:rsidP="00F1328C">
      <w:pPr>
        <w:pStyle w:val="TOC2"/>
        <w:tabs>
          <w:tab w:val="left" w:pos="880"/>
          <w:tab w:val="right" w:leader="dot" w:pos="9016"/>
        </w:tabs>
        <w:spacing w:after="60" w:line="240" w:lineRule="auto"/>
        <w:rPr>
          <w:rFonts w:eastAsiaTheme="minorEastAsia"/>
          <w:noProof/>
          <w:lang w:eastAsia="en-AU"/>
        </w:rPr>
      </w:pPr>
      <w:hyperlink w:anchor="_Toc365872626" w:history="1">
        <w:r w:rsidR="00085A64" w:rsidRPr="00711FB2">
          <w:rPr>
            <w:rStyle w:val="Hyperlink"/>
            <w:rFonts w:ascii="Calibri" w:hAnsi="Calibri" w:cs="Arial"/>
            <w:i/>
            <w:iCs/>
            <w:noProof/>
          </w:rPr>
          <w:t>3.2</w:t>
        </w:r>
        <w:r w:rsidR="00085A64">
          <w:rPr>
            <w:rFonts w:eastAsiaTheme="minorEastAsia"/>
            <w:noProof/>
            <w:lang w:eastAsia="en-AU"/>
          </w:rPr>
          <w:tab/>
        </w:r>
        <w:r w:rsidR="00085A64" w:rsidRPr="00711FB2">
          <w:rPr>
            <w:rStyle w:val="Hyperlink"/>
            <w:rFonts w:ascii="Calibri" w:hAnsi="Calibri" w:cs="Arial"/>
            <w:i/>
            <w:iCs/>
            <w:noProof/>
          </w:rPr>
          <w:t>Ex-post Performance Data</w:t>
        </w:r>
        <w:r w:rsidR="00085A64">
          <w:rPr>
            <w:noProof/>
            <w:webHidden/>
          </w:rPr>
          <w:tab/>
        </w:r>
        <w:r w:rsidR="00085A64">
          <w:rPr>
            <w:noProof/>
            <w:webHidden/>
          </w:rPr>
          <w:fldChar w:fldCharType="begin"/>
        </w:r>
        <w:r w:rsidR="00085A64">
          <w:rPr>
            <w:noProof/>
            <w:webHidden/>
          </w:rPr>
          <w:instrText xml:space="preserve"> PAGEREF _Toc365872626 \h </w:instrText>
        </w:r>
        <w:r w:rsidR="00085A64">
          <w:rPr>
            <w:noProof/>
            <w:webHidden/>
          </w:rPr>
        </w:r>
        <w:r w:rsidR="00085A64">
          <w:rPr>
            <w:noProof/>
            <w:webHidden/>
          </w:rPr>
          <w:fldChar w:fldCharType="separate"/>
        </w:r>
        <w:r w:rsidR="00262E98">
          <w:rPr>
            <w:noProof/>
            <w:webHidden/>
          </w:rPr>
          <w:t>2</w:t>
        </w:r>
        <w:r w:rsidR="00085A64">
          <w:rPr>
            <w:noProof/>
            <w:webHidden/>
          </w:rPr>
          <w:fldChar w:fldCharType="end"/>
        </w:r>
      </w:hyperlink>
    </w:p>
    <w:p w14:paraId="7B401032" w14:textId="67D24F76" w:rsidR="00085A64" w:rsidRDefault="00BD3140" w:rsidP="00F1328C">
      <w:pPr>
        <w:pStyle w:val="TOC2"/>
        <w:tabs>
          <w:tab w:val="left" w:pos="880"/>
          <w:tab w:val="right" w:leader="dot" w:pos="9016"/>
        </w:tabs>
        <w:spacing w:after="60" w:line="240" w:lineRule="auto"/>
        <w:rPr>
          <w:rFonts w:eastAsiaTheme="minorEastAsia"/>
          <w:noProof/>
          <w:lang w:eastAsia="en-AU"/>
        </w:rPr>
      </w:pPr>
      <w:hyperlink w:anchor="_Toc365872627" w:history="1">
        <w:r w:rsidR="00085A64" w:rsidRPr="00711FB2">
          <w:rPr>
            <w:rStyle w:val="Hyperlink"/>
            <w:rFonts w:ascii="Calibri" w:hAnsi="Calibri" w:cs="Arial"/>
            <w:i/>
            <w:iCs/>
            <w:noProof/>
          </w:rPr>
          <w:t>3.3</w:t>
        </w:r>
        <w:r w:rsidR="00085A64">
          <w:rPr>
            <w:rFonts w:eastAsiaTheme="minorEastAsia"/>
            <w:noProof/>
            <w:lang w:eastAsia="en-AU"/>
          </w:rPr>
          <w:tab/>
        </w:r>
        <w:r w:rsidR="00085A64" w:rsidRPr="00711FB2">
          <w:rPr>
            <w:rStyle w:val="Hyperlink"/>
            <w:rFonts w:ascii="Calibri" w:hAnsi="Calibri" w:cs="Arial"/>
            <w:i/>
            <w:iCs/>
            <w:noProof/>
          </w:rPr>
          <w:t>Creaming and Parking</w:t>
        </w:r>
        <w:r w:rsidR="00085A64">
          <w:rPr>
            <w:noProof/>
            <w:webHidden/>
          </w:rPr>
          <w:tab/>
        </w:r>
        <w:r w:rsidR="00085A64">
          <w:rPr>
            <w:noProof/>
            <w:webHidden/>
          </w:rPr>
          <w:fldChar w:fldCharType="begin"/>
        </w:r>
        <w:r w:rsidR="00085A64">
          <w:rPr>
            <w:noProof/>
            <w:webHidden/>
          </w:rPr>
          <w:instrText xml:space="preserve"> PAGEREF _Toc365872627 \h </w:instrText>
        </w:r>
        <w:r w:rsidR="00085A64">
          <w:rPr>
            <w:noProof/>
            <w:webHidden/>
          </w:rPr>
        </w:r>
        <w:r w:rsidR="00085A64">
          <w:rPr>
            <w:noProof/>
            <w:webHidden/>
          </w:rPr>
          <w:fldChar w:fldCharType="separate"/>
        </w:r>
        <w:r w:rsidR="00262E98">
          <w:rPr>
            <w:noProof/>
            <w:webHidden/>
          </w:rPr>
          <w:t>2</w:t>
        </w:r>
        <w:r w:rsidR="00085A64">
          <w:rPr>
            <w:noProof/>
            <w:webHidden/>
          </w:rPr>
          <w:fldChar w:fldCharType="end"/>
        </w:r>
      </w:hyperlink>
    </w:p>
    <w:p w14:paraId="63BA5243" w14:textId="373E5C4A" w:rsidR="00085A64" w:rsidRDefault="00BD3140" w:rsidP="00F1328C">
      <w:pPr>
        <w:pStyle w:val="TOC2"/>
        <w:tabs>
          <w:tab w:val="left" w:pos="880"/>
          <w:tab w:val="right" w:leader="dot" w:pos="9016"/>
        </w:tabs>
        <w:spacing w:after="60" w:line="240" w:lineRule="auto"/>
        <w:rPr>
          <w:rFonts w:eastAsiaTheme="minorEastAsia"/>
          <w:noProof/>
          <w:lang w:eastAsia="en-AU"/>
        </w:rPr>
      </w:pPr>
      <w:hyperlink w:anchor="_Toc365872628" w:history="1">
        <w:r w:rsidR="00085A64" w:rsidRPr="00711FB2">
          <w:rPr>
            <w:rStyle w:val="Hyperlink"/>
            <w:rFonts w:ascii="Calibri" w:hAnsi="Calibri" w:cs="Arial"/>
            <w:i/>
            <w:iCs/>
            <w:noProof/>
          </w:rPr>
          <w:t>3.4</w:t>
        </w:r>
        <w:r w:rsidR="00085A64">
          <w:rPr>
            <w:rFonts w:eastAsiaTheme="minorEastAsia"/>
            <w:noProof/>
            <w:lang w:eastAsia="en-AU"/>
          </w:rPr>
          <w:tab/>
        </w:r>
        <w:r w:rsidR="00085A64" w:rsidRPr="00711FB2">
          <w:rPr>
            <w:rStyle w:val="Hyperlink"/>
            <w:rFonts w:ascii="Calibri" w:hAnsi="Calibri" w:cs="Arial"/>
            <w:i/>
            <w:iCs/>
            <w:noProof/>
          </w:rPr>
          <w:t>Business Reallocation</w:t>
        </w:r>
        <w:r w:rsidR="00085A64">
          <w:rPr>
            <w:noProof/>
            <w:webHidden/>
          </w:rPr>
          <w:tab/>
        </w:r>
        <w:r w:rsidR="00085A64">
          <w:rPr>
            <w:noProof/>
            <w:webHidden/>
          </w:rPr>
          <w:fldChar w:fldCharType="begin"/>
        </w:r>
        <w:r w:rsidR="00085A64">
          <w:rPr>
            <w:noProof/>
            <w:webHidden/>
          </w:rPr>
          <w:instrText xml:space="preserve"> PAGEREF _Toc365872628 \h </w:instrText>
        </w:r>
        <w:r w:rsidR="00085A64">
          <w:rPr>
            <w:noProof/>
            <w:webHidden/>
          </w:rPr>
        </w:r>
        <w:r w:rsidR="00085A64">
          <w:rPr>
            <w:noProof/>
            <w:webHidden/>
          </w:rPr>
          <w:fldChar w:fldCharType="separate"/>
        </w:r>
        <w:r w:rsidR="00262E98">
          <w:rPr>
            <w:noProof/>
            <w:webHidden/>
          </w:rPr>
          <w:t>2</w:t>
        </w:r>
        <w:r w:rsidR="00085A64">
          <w:rPr>
            <w:noProof/>
            <w:webHidden/>
          </w:rPr>
          <w:fldChar w:fldCharType="end"/>
        </w:r>
      </w:hyperlink>
    </w:p>
    <w:p w14:paraId="7DF2B72B" w14:textId="0BC7D4A1" w:rsidR="00085A64" w:rsidRDefault="00BD3140" w:rsidP="00F1328C">
      <w:pPr>
        <w:pStyle w:val="TOC2"/>
        <w:tabs>
          <w:tab w:val="left" w:pos="880"/>
          <w:tab w:val="right" w:leader="dot" w:pos="9016"/>
        </w:tabs>
        <w:spacing w:after="60" w:line="240" w:lineRule="auto"/>
        <w:rPr>
          <w:rFonts w:eastAsiaTheme="minorEastAsia"/>
          <w:noProof/>
          <w:lang w:eastAsia="en-AU"/>
        </w:rPr>
      </w:pPr>
      <w:hyperlink w:anchor="_Toc365872629" w:history="1">
        <w:r w:rsidR="00085A64" w:rsidRPr="00711FB2">
          <w:rPr>
            <w:rStyle w:val="Hyperlink"/>
            <w:rFonts w:ascii="Calibri" w:hAnsi="Calibri" w:cs="Arial"/>
            <w:i/>
            <w:iCs/>
            <w:noProof/>
          </w:rPr>
          <w:t>3.5</w:t>
        </w:r>
        <w:r w:rsidR="00085A64">
          <w:rPr>
            <w:rFonts w:eastAsiaTheme="minorEastAsia"/>
            <w:noProof/>
            <w:lang w:eastAsia="en-AU"/>
          </w:rPr>
          <w:tab/>
        </w:r>
        <w:r w:rsidR="00085A64" w:rsidRPr="00711FB2">
          <w:rPr>
            <w:rStyle w:val="Hyperlink"/>
            <w:rFonts w:ascii="Calibri" w:hAnsi="Calibri" w:cs="Arial"/>
            <w:i/>
            <w:iCs/>
            <w:noProof/>
          </w:rPr>
          <w:t>Issues with the Star Ratings Model</w:t>
        </w:r>
        <w:r w:rsidR="00085A64">
          <w:rPr>
            <w:noProof/>
            <w:webHidden/>
          </w:rPr>
          <w:tab/>
        </w:r>
        <w:r w:rsidR="00085A64">
          <w:rPr>
            <w:noProof/>
            <w:webHidden/>
          </w:rPr>
          <w:fldChar w:fldCharType="begin"/>
        </w:r>
        <w:r w:rsidR="00085A64">
          <w:rPr>
            <w:noProof/>
            <w:webHidden/>
          </w:rPr>
          <w:instrText xml:space="preserve"> PAGEREF _Toc365872629 \h </w:instrText>
        </w:r>
        <w:r w:rsidR="00085A64">
          <w:rPr>
            <w:noProof/>
            <w:webHidden/>
          </w:rPr>
        </w:r>
        <w:r w:rsidR="00085A64">
          <w:rPr>
            <w:noProof/>
            <w:webHidden/>
          </w:rPr>
          <w:fldChar w:fldCharType="separate"/>
        </w:r>
        <w:r w:rsidR="00262E98">
          <w:rPr>
            <w:noProof/>
            <w:webHidden/>
          </w:rPr>
          <w:t>2</w:t>
        </w:r>
        <w:r w:rsidR="00085A64">
          <w:rPr>
            <w:noProof/>
            <w:webHidden/>
          </w:rPr>
          <w:fldChar w:fldCharType="end"/>
        </w:r>
      </w:hyperlink>
    </w:p>
    <w:p w14:paraId="6369DCDD" w14:textId="608D8493" w:rsidR="00085A64" w:rsidRDefault="00BD3140" w:rsidP="00F1328C">
      <w:pPr>
        <w:pStyle w:val="TOC1"/>
        <w:tabs>
          <w:tab w:val="left" w:pos="440"/>
          <w:tab w:val="right" w:leader="dot" w:pos="9016"/>
        </w:tabs>
        <w:spacing w:after="60" w:line="240" w:lineRule="auto"/>
        <w:rPr>
          <w:rFonts w:eastAsiaTheme="minorEastAsia"/>
          <w:noProof/>
          <w:lang w:eastAsia="en-AU"/>
        </w:rPr>
      </w:pPr>
      <w:hyperlink w:anchor="_Toc365872630" w:history="1">
        <w:r w:rsidR="00085A64" w:rsidRPr="00711FB2">
          <w:rPr>
            <w:rStyle w:val="Hyperlink"/>
            <w:rFonts w:ascii="Calibri" w:eastAsia="Times New Roman" w:hAnsi="Calibri" w:cs="Arial"/>
            <w:noProof/>
            <w:kern w:val="32"/>
            <w:lang w:eastAsia="en-AU"/>
          </w:rPr>
          <w:t>4.</w:t>
        </w:r>
        <w:r w:rsidR="00085A64">
          <w:rPr>
            <w:rFonts w:eastAsiaTheme="minorEastAsia"/>
            <w:noProof/>
            <w:lang w:eastAsia="en-AU"/>
          </w:rPr>
          <w:tab/>
        </w:r>
        <w:r w:rsidR="00085A64" w:rsidRPr="00711FB2">
          <w:rPr>
            <w:rStyle w:val="Hyperlink"/>
            <w:rFonts w:ascii="Calibri" w:eastAsia="Times New Roman" w:hAnsi="Calibri" w:cs="Arial"/>
            <w:noProof/>
            <w:kern w:val="32"/>
            <w:lang w:eastAsia="en-AU"/>
          </w:rPr>
          <w:t>Benchmarking Models</w:t>
        </w:r>
        <w:r w:rsidR="00085A64">
          <w:rPr>
            <w:noProof/>
            <w:webHidden/>
          </w:rPr>
          <w:tab/>
        </w:r>
        <w:r w:rsidR="00085A64">
          <w:rPr>
            <w:noProof/>
            <w:webHidden/>
          </w:rPr>
          <w:fldChar w:fldCharType="begin"/>
        </w:r>
        <w:r w:rsidR="00085A64">
          <w:rPr>
            <w:noProof/>
            <w:webHidden/>
          </w:rPr>
          <w:instrText xml:space="preserve"> PAGEREF _Toc365872630 \h </w:instrText>
        </w:r>
        <w:r w:rsidR="00085A64">
          <w:rPr>
            <w:noProof/>
            <w:webHidden/>
          </w:rPr>
        </w:r>
        <w:r w:rsidR="00085A64">
          <w:rPr>
            <w:noProof/>
            <w:webHidden/>
          </w:rPr>
          <w:fldChar w:fldCharType="separate"/>
        </w:r>
        <w:r w:rsidR="00262E98">
          <w:rPr>
            <w:noProof/>
            <w:webHidden/>
          </w:rPr>
          <w:t>2</w:t>
        </w:r>
        <w:r w:rsidR="00085A64">
          <w:rPr>
            <w:noProof/>
            <w:webHidden/>
          </w:rPr>
          <w:fldChar w:fldCharType="end"/>
        </w:r>
      </w:hyperlink>
    </w:p>
    <w:p w14:paraId="6F4AE805" w14:textId="6E028BCA" w:rsidR="00085A64" w:rsidRDefault="00BD3140" w:rsidP="00F1328C">
      <w:pPr>
        <w:pStyle w:val="TOC2"/>
        <w:tabs>
          <w:tab w:val="left" w:pos="880"/>
          <w:tab w:val="right" w:leader="dot" w:pos="9016"/>
        </w:tabs>
        <w:spacing w:after="60" w:line="240" w:lineRule="auto"/>
        <w:rPr>
          <w:rFonts w:eastAsiaTheme="minorEastAsia"/>
          <w:noProof/>
          <w:lang w:eastAsia="en-AU"/>
        </w:rPr>
      </w:pPr>
      <w:hyperlink w:anchor="_Toc365872631" w:history="1">
        <w:r w:rsidR="00085A64" w:rsidRPr="00711FB2">
          <w:rPr>
            <w:rStyle w:val="Hyperlink"/>
            <w:rFonts w:ascii="Calibri" w:hAnsi="Calibri" w:cs="Arial"/>
            <w:i/>
            <w:iCs/>
            <w:noProof/>
          </w:rPr>
          <w:t>4.1</w:t>
        </w:r>
        <w:r w:rsidR="00085A64">
          <w:rPr>
            <w:rFonts w:eastAsiaTheme="minorEastAsia"/>
            <w:noProof/>
            <w:lang w:eastAsia="en-AU"/>
          </w:rPr>
          <w:tab/>
        </w:r>
        <w:r w:rsidR="00085A64" w:rsidRPr="00711FB2">
          <w:rPr>
            <w:rStyle w:val="Hyperlink"/>
            <w:rFonts w:ascii="Calibri" w:hAnsi="Calibri" w:cs="Arial"/>
            <w:i/>
            <w:iCs/>
            <w:noProof/>
          </w:rPr>
          <w:t>Absolute Benchmarking Model</w:t>
        </w:r>
        <w:r w:rsidR="00085A64">
          <w:rPr>
            <w:noProof/>
            <w:webHidden/>
          </w:rPr>
          <w:tab/>
        </w:r>
        <w:r w:rsidR="00085A64">
          <w:rPr>
            <w:noProof/>
            <w:webHidden/>
          </w:rPr>
          <w:fldChar w:fldCharType="begin"/>
        </w:r>
        <w:r w:rsidR="00085A64">
          <w:rPr>
            <w:noProof/>
            <w:webHidden/>
          </w:rPr>
          <w:instrText xml:space="preserve"> PAGEREF _Toc365872631 \h </w:instrText>
        </w:r>
        <w:r w:rsidR="00085A64">
          <w:rPr>
            <w:noProof/>
            <w:webHidden/>
          </w:rPr>
        </w:r>
        <w:r w:rsidR="00085A64">
          <w:rPr>
            <w:noProof/>
            <w:webHidden/>
          </w:rPr>
          <w:fldChar w:fldCharType="separate"/>
        </w:r>
        <w:r w:rsidR="00262E98">
          <w:rPr>
            <w:noProof/>
            <w:webHidden/>
          </w:rPr>
          <w:t>2</w:t>
        </w:r>
        <w:r w:rsidR="00085A64">
          <w:rPr>
            <w:noProof/>
            <w:webHidden/>
          </w:rPr>
          <w:fldChar w:fldCharType="end"/>
        </w:r>
      </w:hyperlink>
    </w:p>
    <w:p w14:paraId="27B3EA93" w14:textId="5B728357" w:rsidR="00085A64" w:rsidRDefault="00BD3140" w:rsidP="00F1328C">
      <w:pPr>
        <w:pStyle w:val="TOC3"/>
        <w:tabs>
          <w:tab w:val="left" w:pos="1320"/>
          <w:tab w:val="right" w:leader="dot" w:pos="9016"/>
        </w:tabs>
        <w:spacing w:after="60" w:line="240" w:lineRule="auto"/>
        <w:rPr>
          <w:rFonts w:eastAsiaTheme="minorEastAsia"/>
          <w:noProof/>
          <w:lang w:eastAsia="en-AU"/>
        </w:rPr>
      </w:pPr>
      <w:hyperlink w:anchor="_Toc365872632" w:history="1">
        <w:r w:rsidR="00085A64" w:rsidRPr="00711FB2">
          <w:rPr>
            <w:rStyle w:val="Hyperlink"/>
            <w:rFonts w:cstheme="minorHAnsi"/>
            <w:noProof/>
          </w:rPr>
          <w:t>4.1.1</w:t>
        </w:r>
        <w:r w:rsidR="00085A64">
          <w:rPr>
            <w:rFonts w:eastAsiaTheme="minorEastAsia"/>
            <w:noProof/>
            <w:lang w:eastAsia="en-AU"/>
          </w:rPr>
          <w:tab/>
        </w:r>
        <w:r w:rsidR="00085A64" w:rsidRPr="00711FB2">
          <w:rPr>
            <w:rStyle w:val="Hyperlink"/>
            <w:rFonts w:cstheme="minorHAnsi"/>
            <w:noProof/>
          </w:rPr>
          <w:t>Target Setting</w:t>
        </w:r>
        <w:r w:rsidR="00085A64">
          <w:rPr>
            <w:noProof/>
            <w:webHidden/>
          </w:rPr>
          <w:tab/>
        </w:r>
        <w:r w:rsidR="00085A64">
          <w:rPr>
            <w:noProof/>
            <w:webHidden/>
          </w:rPr>
          <w:fldChar w:fldCharType="begin"/>
        </w:r>
        <w:r w:rsidR="00085A64">
          <w:rPr>
            <w:noProof/>
            <w:webHidden/>
          </w:rPr>
          <w:instrText xml:space="preserve"> PAGEREF _Toc365872632 \h </w:instrText>
        </w:r>
        <w:r w:rsidR="00085A64">
          <w:rPr>
            <w:noProof/>
            <w:webHidden/>
          </w:rPr>
        </w:r>
        <w:r w:rsidR="00085A64">
          <w:rPr>
            <w:noProof/>
            <w:webHidden/>
          </w:rPr>
          <w:fldChar w:fldCharType="separate"/>
        </w:r>
        <w:r w:rsidR="00262E98">
          <w:rPr>
            <w:noProof/>
            <w:webHidden/>
          </w:rPr>
          <w:t>2</w:t>
        </w:r>
        <w:r w:rsidR="00085A64">
          <w:rPr>
            <w:noProof/>
            <w:webHidden/>
          </w:rPr>
          <w:fldChar w:fldCharType="end"/>
        </w:r>
      </w:hyperlink>
    </w:p>
    <w:p w14:paraId="3C3ACC77" w14:textId="6427076C" w:rsidR="00085A64" w:rsidRDefault="00BD3140" w:rsidP="00F1328C">
      <w:pPr>
        <w:pStyle w:val="TOC3"/>
        <w:tabs>
          <w:tab w:val="left" w:pos="1320"/>
          <w:tab w:val="right" w:leader="dot" w:pos="9016"/>
        </w:tabs>
        <w:spacing w:after="60" w:line="240" w:lineRule="auto"/>
        <w:rPr>
          <w:rFonts w:eastAsiaTheme="minorEastAsia"/>
          <w:noProof/>
          <w:lang w:eastAsia="en-AU"/>
        </w:rPr>
      </w:pPr>
      <w:hyperlink w:anchor="_Toc365872633" w:history="1">
        <w:r w:rsidR="00085A64" w:rsidRPr="00711FB2">
          <w:rPr>
            <w:rStyle w:val="Hyperlink"/>
            <w:rFonts w:cstheme="minorHAnsi"/>
            <w:i/>
            <w:noProof/>
          </w:rPr>
          <w:t>4.1.2</w:t>
        </w:r>
        <w:r w:rsidR="00085A64">
          <w:rPr>
            <w:rFonts w:eastAsiaTheme="minorEastAsia"/>
            <w:noProof/>
            <w:lang w:eastAsia="en-AU"/>
          </w:rPr>
          <w:tab/>
        </w:r>
        <w:r w:rsidR="00085A64" w:rsidRPr="00711FB2">
          <w:rPr>
            <w:rStyle w:val="Hyperlink"/>
            <w:rFonts w:cstheme="minorHAnsi"/>
            <w:i/>
            <w:noProof/>
          </w:rPr>
          <w:t>External Factor Adjustment</w:t>
        </w:r>
        <w:r w:rsidR="00085A64">
          <w:rPr>
            <w:noProof/>
            <w:webHidden/>
          </w:rPr>
          <w:tab/>
        </w:r>
        <w:r w:rsidR="00085A64">
          <w:rPr>
            <w:noProof/>
            <w:webHidden/>
          </w:rPr>
          <w:fldChar w:fldCharType="begin"/>
        </w:r>
        <w:r w:rsidR="00085A64">
          <w:rPr>
            <w:noProof/>
            <w:webHidden/>
          </w:rPr>
          <w:instrText xml:space="preserve"> PAGEREF _Toc365872633 \h </w:instrText>
        </w:r>
        <w:r w:rsidR="00085A64">
          <w:rPr>
            <w:noProof/>
            <w:webHidden/>
          </w:rPr>
        </w:r>
        <w:r w:rsidR="00085A64">
          <w:rPr>
            <w:noProof/>
            <w:webHidden/>
          </w:rPr>
          <w:fldChar w:fldCharType="separate"/>
        </w:r>
        <w:r w:rsidR="00262E98">
          <w:rPr>
            <w:noProof/>
            <w:webHidden/>
          </w:rPr>
          <w:t>2</w:t>
        </w:r>
        <w:r w:rsidR="00085A64">
          <w:rPr>
            <w:noProof/>
            <w:webHidden/>
          </w:rPr>
          <w:fldChar w:fldCharType="end"/>
        </w:r>
      </w:hyperlink>
    </w:p>
    <w:p w14:paraId="36C2BA83" w14:textId="73FFFDB0" w:rsidR="00085A64" w:rsidRDefault="00BD3140" w:rsidP="00F1328C">
      <w:pPr>
        <w:pStyle w:val="TOC3"/>
        <w:tabs>
          <w:tab w:val="left" w:pos="1320"/>
          <w:tab w:val="right" w:leader="dot" w:pos="9016"/>
        </w:tabs>
        <w:spacing w:after="60" w:line="240" w:lineRule="auto"/>
        <w:rPr>
          <w:rFonts w:eastAsiaTheme="minorEastAsia"/>
          <w:noProof/>
          <w:lang w:eastAsia="en-AU"/>
        </w:rPr>
      </w:pPr>
      <w:hyperlink w:anchor="_Toc365872634" w:history="1">
        <w:r w:rsidR="00085A64" w:rsidRPr="00711FB2">
          <w:rPr>
            <w:rStyle w:val="Hyperlink"/>
            <w:rFonts w:cstheme="minorHAnsi"/>
            <w:i/>
            <w:noProof/>
          </w:rPr>
          <w:t>4.1.3</w:t>
        </w:r>
        <w:r w:rsidR="00085A64">
          <w:rPr>
            <w:rFonts w:eastAsiaTheme="minorEastAsia"/>
            <w:noProof/>
            <w:lang w:eastAsia="en-AU"/>
          </w:rPr>
          <w:tab/>
        </w:r>
        <w:r w:rsidR="00085A64" w:rsidRPr="00711FB2">
          <w:rPr>
            <w:rStyle w:val="Hyperlink"/>
            <w:rFonts w:cstheme="minorHAnsi"/>
            <w:i/>
            <w:noProof/>
          </w:rPr>
          <w:t>Forecasting</w:t>
        </w:r>
        <w:r w:rsidR="00085A64">
          <w:rPr>
            <w:noProof/>
            <w:webHidden/>
          </w:rPr>
          <w:tab/>
        </w:r>
        <w:r w:rsidR="00085A64">
          <w:rPr>
            <w:noProof/>
            <w:webHidden/>
          </w:rPr>
          <w:fldChar w:fldCharType="begin"/>
        </w:r>
        <w:r w:rsidR="00085A64">
          <w:rPr>
            <w:noProof/>
            <w:webHidden/>
          </w:rPr>
          <w:instrText xml:space="preserve"> PAGEREF _Toc365872634 \h </w:instrText>
        </w:r>
        <w:r w:rsidR="00085A64">
          <w:rPr>
            <w:noProof/>
            <w:webHidden/>
          </w:rPr>
        </w:r>
        <w:r w:rsidR="00085A64">
          <w:rPr>
            <w:noProof/>
            <w:webHidden/>
          </w:rPr>
          <w:fldChar w:fldCharType="separate"/>
        </w:r>
        <w:r w:rsidR="00262E98">
          <w:rPr>
            <w:noProof/>
            <w:webHidden/>
          </w:rPr>
          <w:t>2</w:t>
        </w:r>
        <w:r w:rsidR="00085A64">
          <w:rPr>
            <w:noProof/>
            <w:webHidden/>
          </w:rPr>
          <w:fldChar w:fldCharType="end"/>
        </w:r>
      </w:hyperlink>
    </w:p>
    <w:p w14:paraId="6779FFCA" w14:textId="21DA64B2" w:rsidR="00085A64" w:rsidRDefault="00BD3140" w:rsidP="00F1328C">
      <w:pPr>
        <w:pStyle w:val="TOC3"/>
        <w:tabs>
          <w:tab w:val="left" w:pos="1320"/>
          <w:tab w:val="right" w:leader="dot" w:pos="9016"/>
        </w:tabs>
        <w:spacing w:after="60" w:line="240" w:lineRule="auto"/>
        <w:rPr>
          <w:rFonts w:eastAsiaTheme="minorEastAsia"/>
          <w:noProof/>
          <w:lang w:eastAsia="en-AU"/>
        </w:rPr>
      </w:pPr>
      <w:hyperlink w:anchor="_Toc365872635" w:history="1">
        <w:r w:rsidR="00085A64" w:rsidRPr="00711FB2">
          <w:rPr>
            <w:rStyle w:val="Hyperlink"/>
            <w:rFonts w:cstheme="minorHAnsi"/>
            <w:i/>
            <w:noProof/>
          </w:rPr>
          <w:t>4.1.4</w:t>
        </w:r>
        <w:r w:rsidR="00085A64">
          <w:rPr>
            <w:rFonts w:eastAsiaTheme="minorEastAsia"/>
            <w:noProof/>
            <w:lang w:eastAsia="en-AU"/>
          </w:rPr>
          <w:tab/>
        </w:r>
        <w:r w:rsidR="00085A64" w:rsidRPr="00711FB2">
          <w:rPr>
            <w:rStyle w:val="Hyperlink"/>
            <w:rFonts w:cstheme="minorHAnsi"/>
            <w:i/>
            <w:noProof/>
          </w:rPr>
          <w:t>Creaming and Parking</w:t>
        </w:r>
        <w:r w:rsidR="00085A64">
          <w:rPr>
            <w:noProof/>
            <w:webHidden/>
          </w:rPr>
          <w:tab/>
        </w:r>
        <w:r w:rsidR="00085A64">
          <w:rPr>
            <w:noProof/>
            <w:webHidden/>
          </w:rPr>
          <w:fldChar w:fldCharType="begin"/>
        </w:r>
        <w:r w:rsidR="00085A64">
          <w:rPr>
            <w:noProof/>
            <w:webHidden/>
          </w:rPr>
          <w:instrText xml:space="preserve"> PAGEREF _Toc365872635 \h </w:instrText>
        </w:r>
        <w:r w:rsidR="00085A64">
          <w:rPr>
            <w:noProof/>
            <w:webHidden/>
          </w:rPr>
        </w:r>
        <w:r w:rsidR="00085A64">
          <w:rPr>
            <w:noProof/>
            <w:webHidden/>
          </w:rPr>
          <w:fldChar w:fldCharType="separate"/>
        </w:r>
        <w:r w:rsidR="00262E98">
          <w:rPr>
            <w:noProof/>
            <w:webHidden/>
          </w:rPr>
          <w:t>2</w:t>
        </w:r>
        <w:r w:rsidR="00085A64">
          <w:rPr>
            <w:noProof/>
            <w:webHidden/>
          </w:rPr>
          <w:fldChar w:fldCharType="end"/>
        </w:r>
      </w:hyperlink>
    </w:p>
    <w:p w14:paraId="4E56DE2B" w14:textId="3D96331F" w:rsidR="00085A64" w:rsidRDefault="00BD3140" w:rsidP="00F1328C">
      <w:pPr>
        <w:pStyle w:val="TOC3"/>
        <w:tabs>
          <w:tab w:val="left" w:pos="1320"/>
          <w:tab w:val="right" w:leader="dot" w:pos="9016"/>
        </w:tabs>
        <w:spacing w:after="60" w:line="240" w:lineRule="auto"/>
        <w:rPr>
          <w:rFonts w:eastAsiaTheme="minorEastAsia"/>
          <w:noProof/>
          <w:lang w:eastAsia="en-AU"/>
        </w:rPr>
      </w:pPr>
      <w:hyperlink w:anchor="_Toc365872636" w:history="1">
        <w:r w:rsidR="00085A64" w:rsidRPr="00711FB2">
          <w:rPr>
            <w:rStyle w:val="Hyperlink"/>
            <w:rFonts w:cstheme="minorHAnsi"/>
            <w:i/>
            <w:noProof/>
          </w:rPr>
          <w:t>4.1.5</w:t>
        </w:r>
        <w:r w:rsidR="00085A64">
          <w:rPr>
            <w:rFonts w:eastAsiaTheme="minorEastAsia"/>
            <w:noProof/>
            <w:lang w:eastAsia="en-AU"/>
          </w:rPr>
          <w:tab/>
        </w:r>
        <w:r w:rsidR="00085A64" w:rsidRPr="00711FB2">
          <w:rPr>
            <w:rStyle w:val="Hyperlink"/>
            <w:rFonts w:cstheme="minorHAnsi"/>
            <w:i/>
            <w:noProof/>
          </w:rPr>
          <w:t>Certainty of Performance</w:t>
        </w:r>
        <w:r w:rsidR="00085A64">
          <w:rPr>
            <w:noProof/>
            <w:webHidden/>
          </w:rPr>
          <w:tab/>
        </w:r>
        <w:r w:rsidR="00085A64">
          <w:rPr>
            <w:noProof/>
            <w:webHidden/>
          </w:rPr>
          <w:fldChar w:fldCharType="begin"/>
        </w:r>
        <w:r w:rsidR="00085A64">
          <w:rPr>
            <w:noProof/>
            <w:webHidden/>
          </w:rPr>
          <w:instrText xml:space="preserve"> PAGEREF _Toc365872636 \h </w:instrText>
        </w:r>
        <w:r w:rsidR="00085A64">
          <w:rPr>
            <w:noProof/>
            <w:webHidden/>
          </w:rPr>
        </w:r>
        <w:r w:rsidR="00085A64">
          <w:rPr>
            <w:noProof/>
            <w:webHidden/>
          </w:rPr>
          <w:fldChar w:fldCharType="separate"/>
        </w:r>
        <w:r w:rsidR="00262E98">
          <w:rPr>
            <w:noProof/>
            <w:webHidden/>
          </w:rPr>
          <w:t>2</w:t>
        </w:r>
        <w:r w:rsidR="00085A64">
          <w:rPr>
            <w:noProof/>
            <w:webHidden/>
          </w:rPr>
          <w:fldChar w:fldCharType="end"/>
        </w:r>
      </w:hyperlink>
    </w:p>
    <w:p w14:paraId="75960623" w14:textId="52D85C44" w:rsidR="00085A64" w:rsidRDefault="00BD3140" w:rsidP="00F1328C">
      <w:pPr>
        <w:pStyle w:val="TOC2"/>
        <w:tabs>
          <w:tab w:val="left" w:pos="880"/>
          <w:tab w:val="right" w:leader="dot" w:pos="9016"/>
        </w:tabs>
        <w:spacing w:after="60" w:line="240" w:lineRule="auto"/>
        <w:rPr>
          <w:rFonts w:eastAsiaTheme="minorEastAsia"/>
          <w:noProof/>
          <w:lang w:eastAsia="en-AU"/>
        </w:rPr>
      </w:pPr>
      <w:hyperlink w:anchor="_Toc365872637" w:history="1">
        <w:r w:rsidR="00085A64" w:rsidRPr="00711FB2">
          <w:rPr>
            <w:rStyle w:val="Hyperlink"/>
            <w:rFonts w:ascii="Calibri" w:hAnsi="Calibri" w:cs="Arial"/>
            <w:i/>
            <w:iCs/>
            <w:noProof/>
          </w:rPr>
          <w:t>4.2</w:t>
        </w:r>
        <w:r w:rsidR="00085A64">
          <w:rPr>
            <w:rFonts w:eastAsiaTheme="minorEastAsia"/>
            <w:noProof/>
            <w:lang w:eastAsia="en-AU"/>
          </w:rPr>
          <w:tab/>
        </w:r>
        <w:r w:rsidR="00085A64" w:rsidRPr="00711FB2">
          <w:rPr>
            <w:rStyle w:val="Hyperlink"/>
            <w:rFonts w:ascii="Calibri" w:hAnsi="Calibri" w:cs="Arial"/>
            <w:i/>
            <w:iCs/>
            <w:noProof/>
          </w:rPr>
          <w:t>Negotiated Benchmarking Model</w:t>
        </w:r>
        <w:r w:rsidR="00085A64">
          <w:rPr>
            <w:noProof/>
            <w:webHidden/>
          </w:rPr>
          <w:tab/>
        </w:r>
        <w:r w:rsidR="00085A64">
          <w:rPr>
            <w:noProof/>
            <w:webHidden/>
          </w:rPr>
          <w:fldChar w:fldCharType="begin"/>
        </w:r>
        <w:r w:rsidR="00085A64">
          <w:rPr>
            <w:noProof/>
            <w:webHidden/>
          </w:rPr>
          <w:instrText xml:space="preserve"> PAGEREF _Toc365872637 \h </w:instrText>
        </w:r>
        <w:r w:rsidR="00085A64">
          <w:rPr>
            <w:noProof/>
            <w:webHidden/>
          </w:rPr>
        </w:r>
        <w:r w:rsidR="00085A64">
          <w:rPr>
            <w:noProof/>
            <w:webHidden/>
          </w:rPr>
          <w:fldChar w:fldCharType="separate"/>
        </w:r>
        <w:r w:rsidR="00262E98">
          <w:rPr>
            <w:noProof/>
            <w:webHidden/>
          </w:rPr>
          <w:t>2</w:t>
        </w:r>
        <w:r w:rsidR="00085A64">
          <w:rPr>
            <w:noProof/>
            <w:webHidden/>
          </w:rPr>
          <w:fldChar w:fldCharType="end"/>
        </w:r>
      </w:hyperlink>
    </w:p>
    <w:p w14:paraId="177669D9" w14:textId="4B0795D0" w:rsidR="00085A64" w:rsidRDefault="00BD3140" w:rsidP="00F1328C">
      <w:pPr>
        <w:pStyle w:val="TOC3"/>
        <w:tabs>
          <w:tab w:val="left" w:pos="1320"/>
          <w:tab w:val="right" w:leader="dot" w:pos="9016"/>
        </w:tabs>
        <w:spacing w:after="60" w:line="240" w:lineRule="auto"/>
        <w:rPr>
          <w:rFonts w:eastAsiaTheme="minorEastAsia"/>
          <w:noProof/>
          <w:lang w:eastAsia="en-AU"/>
        </w:rPr>
      </w:pPr>
      <w:hyperlink w:anchor="_Toc365872638" w:history="1">
        <w:r w:rsidR="00085A64" w:rsidRPr="00711FB2">
          <w:rPr>
            <w:rStyle w:val="Hyperlink"/>
            <w:rFonts w:cstheme="minorHAnsi"/>
            <w:i/>
            <w:noProof/>
          </w:rPr>
          <w:t>4.2.1</w:t>
        </w:r>
        <w:r w:rsidR="00085A64">
          <w:rPr>
            <w:rFonts w:eastAsiaTheme="minorEastAsia"/>
            <w:noProof/>
            <w:lang w:eastAsia="en-AU"/>
          </w:rPr>
          <w:tab/>
        </w:r>
        <w:r w:rsidR="00085A64" w:rsidRPr="00711FB2">
          <w:rPr>
            <w:rStyle w:val="Hyperlink"/>
            <w:rFonts w:cstheme="minorHAnsi"/>
            <w:i/>
            <w:noProof/>
          </w:rPr>
          <w:t>Target Setting</w:t>
        </w:r>
        <w:r w:rsidR="00085A64">
          <w:rPr>
            <w:noProof/>
            <w:webHidden/>
          </w:rPr>
          <w:tab/>
        </w:r>
        <w:r w:rsidR="00085A64">
          <w:rPr>
            <w:noProof/>
            <w:webHidden/>
          </w:rPr>
          <w:fldChar w:fldCharType="begin"/>
        </w:r>
        <w:r w:rsidR="00085A64">
          <w:rPr>
            <w:noProof/>
            <w:webHidden/>
          </w:rPr>
          <w:instrText xml:space="preserve"> PAGEREF _Toc365872638 \h </w:instrText>
        </w:r>
        <w:r w:rsidR="00085A64">
          <w:rPr>
            <w:noProof/>
            <w:webHidden/>
          </w:rPr>
        </w:r>
        <w:r w:rsidR="00085A64">
          <w:rPr>
            <w:noProof/>
            <w:webHidden/>
          </w:rPr>
          <w:fldChar w:fldCharType="separate"/>
        </w:r>
        <w:r w:rsidR="00262E98">
          <w:rPr>
            <w:noProof/>
            <w:webHidden/>
          </w:rPr>
          <w:t>2</w:t>
        </w:r>
        <w:r w:rsidR="00085A64">
          <w:rPr>
            <w:noProof/>
            <w:webHidden/>
          </w:rPr>
          <w:fldChar w:fldCharType="end"/>
        </w:r>
      </w:hyperlink>
    </w:p>
    <w:p w14:paraId="34C76A7F" w14:textId="302BEAD3" w:rsidR="00085A64" w:rsidRDefault="00BD3140" w:rsidP="00F1328C">
      <w:pPr>
        <w:pStyle w:val="TOC3"/>
        <w:tabs>
          <w:tab w:val="left" w:pos="1320"/>
          <w:tab w:val="right" w:leader="dot" w:pos="9016"/>
        </w:tabs>
        <w:spacing w:after="60" w:line="240" w:lineRule="auto"/>
        <w:rPr>
          <w:rFonts w:eastAsiaTheme="minorEastAsia"/>
          <w:noProof/>
          <w:lang w:eastAsia="en-AU"/>
        </w:rPr>
      </w:pPr>
      <w:hyperlink w:anchor="_Toc365872639" w:history="1">
        <w:r w:rsidR="00085A64" w:rsidRPr="00711FB2">
          <w:rPr>
            <w:rStyle w:val="Hyperlink"/>
            <w:rFonts w:cstheme="minorHAnsi"/>
            <w:i/>
            <w:noProof/>
          </w:rPr>
          <w:t>4.2.2</w:t>
        </w:r>
        <w:r w:rsidR="00085A64">
          <w:rPr>
            <w:rFonts w:eastAsiaTheme="minorEastAsia"/>
            <w:noProof/>
            <w:lang w:eastAsia="en-AU"/>
          </w:rPr>
          <w:tab/>
        </w:r>
        <w:r w:rsidR="00085A64" w:rsidRPr="00711FB2">
          <w:rPr>
            <w:rStyle w:val="Hyperlink"/>
            <w:rFonts w:cstheme="minorHAnsi"/>
            <w:i/>
            <w:noProof/>
          </w:rPr>
          <w:t>External Factors</w:t>
        </w:r>
        <w:r w:rsidR="00085A64">
          <w:rPr>
            <w:noProof/>
            <w:webHidden/>
          </w:rPr>
          <w:tab/>
        </w:r>
        <w:r w:rsidR="00085A64">
          <w:rPr>
            <w:noProof/>
            <w:webHidden/>
          </w:rPr>
          <w:fldChar w:fldCharType="begin"/>
        </w:r>
        <w:r w:rsidR="00085A64">
          <w:rPr>
            <w:noProof/>
            <w:webHidden/>
          </w:rPr>
          <w:instrText xml:space="preserve"> PAGEREF _Toc365872639 \h </w:instrText>
        </w:r>
        <w:r w:rsidR="00085A64">
          <w:rPr>
            <w:noProof/>
            <w:webHidden/>
          </w:rPr>
        </w:r>
        <w:r w:rsidR="00085A64">
          <w:rPr>
            <w:noProof/>
            <w:webHidden/>
          </w:rPr>
          <w:fldChar w:fldCharType="separate"/>
        </w:r>
        <w:r w:rsidR="00262E98">
          <w:rPr>
            <w:noProof/>
            <w:webHidden/>
          </w:rPr>
          <w:t>2</w:t>
        </w:r>
        <w:r w:rsidR="00085A64">
          <w:rPr>
            <w:noProof/>
            <w:webHidden/>
          </w:rPr>
          <w:fldChar w:fldCharType="end"/>
        </w:r>
      </w:hyperlink>
    </w:p>
    <w:p w14:paraId="614D5A9C" w14:textId="6523AA2C" w:rsidR="00085A64" w:rsidRDefault="00BD3140" w:rsidP="00F1328C">
      <w:pPr>
        <w:pStyle w:val="TOC3"/>
        <w:tabs>
          <w:tab w:val="left" w:pos="1320"/>
          <w:tab w:val="right" w:leader="dot" w:pos="9016"/>
        </w:tabs>
        <w:spacing w:after="60" w:line="240" w:lineRule="auto"/>
        <w:rPr>
          <w:rFonts w:eastAsiaTheme="minorEastAsia"/>
          <w:noProof/>
          <w:lang w:eastAsia="en-AU"/>
        </w:rPr>
      </w:pPr>
      <w:hyperlink w:anchor="_Toc365872640" w:history="1">
        <w:r w:rsidR="00085A64" w:rsidRPr="00711FB2">
          <w:rPr>
            <w:rStyle w:val="Hyperlink"/>
            <w:rFonts w:cs="Calibri"/>
            <w:i/>
            <w:noProof/>
          </w:rPr>
          <w:t>4.2.3</w:t>
        </w:r>
        <w:r w:rsidR="00085A64">
          <w:rPr>
            <w:rFonts w:eastAsiaTheme="minorEastAsia"/>
            <w:noProof/>
            <w:lang w:eastAsia="en-AU"/>
          </w:rPr>
          <w:tab/>
        </w:r>
        <w:r w:rsidR="00085A64" w:rsidRPr="00711FB2">
          <w:rPr>
            <w:rStyle w:val="Hyperlink"/>
            <w:rFonts w:cstheme="minorHAnsi"/>
            <w:i/>
            <w:noProof/>
          </w:rPr>
          <w:t>Forecasting</w:t>
        </w:r>
        <w:r w:rsidR="00085A64">
          <w:rPr>
            <w:noProof/>
            <w:webHidden/>
          </w:rPr>
          <w:tab/>
        </w:r>
        <w:r w:rsidR="00085A64">
          <w:rPr>
            <w:noProof/>
            <w:webHidden/>
          </w:rPr>
          <w:fldChar w:fldCharType="begin"/>
        </w:r>
        <w:r w:rsidR="00085A64">
          <w:rPr>
            <w:noProof/>
            <w:webHidden/>
          </w:rPr>
          <w:instrText xml:space="preserve"> PAGEREF _Toc365872640 \h </w:instrText>
        </w:r>
        <w:r w:rsidR="00085A64">
          <w:rPr>
            <w:noProof/>
            <w:webHidden/>
          </w:rPr>
        </w:r>
        <w:r w:rsidR="00085A64">
          <w:rPr>
            <w:noProof/>
            <w:webHidden/>
          </w:rPr>
          <w:fldChar w:fldCharType="separate"/>
        </w:r>
        <w:r w:rsidR="00262E98">
          <w:rPr>
            <w:noProof/>
            <w:webHidden/>
          </w:rPr>
          <w:t>2</w:t>
        </w:r>
        <w:r w:rsidR="00085A64">
          <w:rPr>
            <w:noProof/>
            <w:webHidden/>
          </w:rPr>
          <w:fldChar w:fldCharType="end"/>
        </w:r>
      </w:hyperlink>
    </w:p>
    <w:p w14:paraId="6F99EFA8" w14:textId="6A5F1679" w:rsidR="00085A64" w:rsidRDefault="00BD3140" w:rsidP="00F1328C">
      <w:pPr>
        <w:pStyle w:val="TOC3"/>
        <w:tabs>
          <w:tab w:val="left" w:pos="1320"/>
          <w:tab w:val="right" w:leader="dot" w:pos="9016"/>
        </w:tabs>
        <w:spacing w:after="60" w:line="240" w:lineRule="auto"/>
        <w:rPr>
          <w:rFonts w:eastAsiaTheme="minorEastAsia"/>
          <w:noProof/>
          <w:lang w:eastAsia="en-AU"/>
        </w:rPr>
      </w:pPr>
      <w:hyperlink w:anchor="_Toc365872641" w:history="1">
        <w:r w:rsidR="00085A64" w:rsidRPr="00711FB2">
          <w:rPr>
            <w:rStyle w:val="Hyperlink"/>
            <w:rFonts w:cstheme="minorHAnsi"/>
            <w:i/>
            <w:noProof/>
          </w:rPr>
          <w:t>4.2.4</w:t>
        </w:r>
        <w:r w:rsidR="00085A64">
          <w:rPr>
            <w:rFonts w:eastAsiaTheme="minorEastAsia"/>
            <w:noProof/>
            <w:lang w:eastAsia="en-AU"/>
          </w:rPr>
          <w:tab/>
        </w:r>
        <w:r w:rsidR="00085A64" w:rsidRPr="00711FB2">
          <w:rPr>
            <w:rStyle w:val="Hyperlink"/>
            <w:rFonts w:cstheme="minorHAnsi"/>
            <w:i/>
            <w:noProof/>
          </w:rPr>
          <w:t>Resourcing Impost</w:t>
        </w:r>
        <w:r w:rsidR="00085A64">
          <w:rPr>
            <w:noProof/>
            <w:webHidden/>
          </w:rPr>
          <w:tab/>
        </w:r>
        <w:r w:rsidR="00085A64">
          <w:rPr>
            <w:noProof/>
            <w:webHidden/>
          </w:rPr>
          <w:fldChar w:fldCharType="begin"/>
        </w:r>
        <w:r w:rsidR="00085A64">
          <w:rPr>
            <w:noProof/>
            <w:webHidden/>
          </w:rPr>
          <w:instrText xml:space="preserve"> PAGEREF _Toc365872641 \h </w:instrText>
        </w:r>
        <w:r w:rsidR="00085A64">
          <w:rPr>
            <w:noProof/>
            <w:webHidden/>
          </w:rPr>
        </w:r>
        <w:r w:rsidR="00085A64">
          <w:rPr>
            <w:noProof/>
            <w:webHidden/>
          </w:rPr>
          <w:fldChar w:fldCharType="separate"/>
        </w:r>
        <w:r w:rsidR="00262E98">
          <w:rPr>
            <w:noProof/>
            <w:webHidden/>
          </w:rPr>
          <w:t>2</w:t>
        </w:r>
        <w:r w:rsidR="00085A64">
          <w:rPr>
            <w:noProof/>
            <w:webHidden/>
          </w:rPr>
          <w:fldChar w:fldCharType="end"/>
        </w:r>
      </w:hyperlink>
    </w:p>
    <w:p w14:paraId="7F8BE9D4" w14:textId="349FAA3A" w:rsidR="00085A64" w:rsidRDefault="00BD3140" w:rsidP="00F1328C">
      <w:pPr>
        <w:pStyle w:val="TOC2"/>
        <w:tabs>
          <w:tab w:val="left" w:pos="880"/>
          <w:tab w:val="right" w:leader="dot" w:pos="9016"/>
        </w:tabs>
        <w:spacing w:after="60" w:line="240" w:lineRule="auto"/>
        <w:rPr>
          <w:rFonts w:eastAsiaTheme="minorEastAsia"/>
          <w:noProof/>
          <w:lang w:eastAsia="en-AU"/>
        </w:rPr>
      </w:pPr>
      <w:hyperlink w:anchor="_Toc365872642" w:history="1">
        <w:r w:rsidR="00085A64" w:rsidRPr="00711FB2">
          <w:rPr>
            <w:rStyle w:val="Hyperlink"/>
            <w:rFonts w:ascii="Calibri" w:hAnsi="Calibri" w:cs="Arial"/>
            <w:i/>
            <w:iCs/>
            <w:noProof/>
          </w:rPr>
          <w:t>4.3</w:t>
        </w:r>
        <w:r w:rsidR="00085A64">
          <w:rPr>
            <w:rFonts w:eastAsiaTheme="minorEastAsia"/>
            <w:noProof/>
            <w:lang w:eastAsia="en-AU"/>
          </w:rPr>
          <w:tab/>
        </w:r>
        <w:r w:rsidR="00085A64" w:rsidRPr="00711FB2">
          <w:rPr>
            <w:rStyle w:val="Hyperlink"/>
            <w:rFonts w:ascii="Calibri" w:hAnsi="Calibri" w:cs="Arial"/>
            <w:i/>
            <w:iCs/>
            <w:noProof/>
          </w:rPr>
          <w:t>Adjusted Benchmarking Model</w:t>
        </w:r>
        <w:r w:rsidR="00085A64">
          <w:rPr>
            <w:noProof/>
            <w:webHidden/>
          </w:rPr>
          <w:tab/>
        </w:r>
        <w:r w:rsidR="00085A64">
          <w:rPr>
            <w:noProof/>
            <w:webHidden/>
          </w:rPr>
          <w:fldChar w:fldCharType="begin"/>
        </w:r>
        <w:r w:rsidR="00085A64">
          <w:rPr>
            <w:noProof/>
            <w:webHidden/>
          </w:rPr>
          <w:instrText xml:space="preserve"> PAGEREF _Toc365872642 \h </w:instrText>
        </w:r>
        <w:r w:rsidR="00085A64">
          <w:rPr>
            <w:noProof/>
            <w:webHidden/>
          </w:rPr>
        </w:r>
        <w:r w:rsidR="00085A64">
          <w:rPr>
            <w:noProof/>
            <w:webHidden/>
          </w:rPr>
          <w:fldChar w:fldCharType="separate"/>
        </w:r>
        <w:r w:rsidR="00262E98">
          <w:rPr>
            <w:noProof/>
            <w:webHidden/>
          </w:rPr>
          <w:t>2</w:t>
        </w:r>
        <w:r w:rsidR="00085A64">
          <w:rPr>
            <w:noProof/>
            <w:webHidden/>
          </w:rPr>
          <w:fldChar w:fldCharType="end"/>
        </w:r>
      </w:hyperlink>
    </w:p>
    <w:p w14:paraId="35965623" w14:textId="286F4595" w:rsidR="00085A64" w:rsidRDefault="00BD3140" w:rsidP="00F1328C">
      <w:pPr>
        <w:pStyle w:val="TOC3"/>
        <w:tabs>
          <w:tab w:val="left" w:pos="1320"/>
          <w:tab w:val="right" w:leader="dot" w:pos="9016"/>
        </w:tabs>
        <w:spacing w:after="60" w:line="240" w:lineRule="auto"/>
        <w:rPr>
          <w:rFonts w:eastAsiaTheme="minorEastAsia"/>
          <w:noProof/>
          <w:lang w:eastAsia="en-AU"/>
        </w:rPr>
      </w:pPr>
      <w:hyperlink w:anchor="_Toc365872643" w:history="1">
        <w:r w:rsidR="00085A64" w:rsidRPr="00711FB2">
          <w:rPr>
            <w:rStyle w:val="Hyperlink"/>
            <w:rFonts w:cs="Calibri"/>
            <w:i/>
            <w:noProof/>
          </w:rPr>
          <w:t>4.3.1</w:t>
        </w:r>
        <w:r w:rsidR="00085A64">
          <w:rPr>
            <w:rFonts w:eastAsiaTheme="minorEastAsia"/>
            <w:noProof/>
            <w:lang w:eastAsia="en-AU"/>
          </w:rPr>
          <w:tab/>
        </w:r>
        <w:r w:rsidR="00085A64" w:rsidRPr="00711FB2">
          <w:rPr>
            <w:rStyle w:val="Hyperlink"/>
            <w:rFonts w:cstheme="minorHAnsi"/>
            <w:i/>
            <w:noProof/>
          </w:rPr>
          <w:t>External Factors</w:t>
        </w:r>
        <w:r w:rsidR="00085A64">
          <w:rPr>
            <w:noProof/>
            <w:webHidden/>
          </w:rPr>
          <w:tab/>
        </w:r>
        <w:r w:rsidR="00085A64">
          <w:rPr>
            <w:noProof/>
            <w:webHidden/>
          </w:rPr>
          <w:fldChar w:fldCharType="begin"/>
        </w:r>
        <w:r w:rsidR="00085A64">
          <w:rPr>
            <w:noProof/>
            <w:webHidden/>
          </w:rPr>
          <w:instrText xml:space="preserve"> PAGEREF _Toc365872643 \h </w:instrText>
        </w:r>
        <w:r w:rsidR="00085A64">
          <w:rPr>
            <w:noProof/>
            <w:webHidden/>
          </w:rPr>
        </w:r>
        <w:r w:rsidR="00085A64">
          <w:rPr>
            <w:noProof/>
            <w:webHidden/>
          </w:rPr>
          <w:fldChar w:fldCharType="separate"/>
        </w:r>
        <w:r w:rsidR="00262E98">
          <w:rPr>
            <w:noProof/>
            <w:webHidden/>
          </w:rPr>
          <w:t>2</w:t>
        </w:r>
        <w:r w:rsidR="00085A64">
          <w:rPr>
            <w:noProof/>
            <w:webHidden/>
          </w:rPr>
          <w:fldChar w:fldCharType="end"/>
        </w:r>
      </w:hyperlink>
    </w:p>
    <w:p w14:paraId="63735ABF" w14:textId="0D941D30" w:rsidR="00085A64" w:rsidRDefault="00BD3140" w:rsidP="00F1328C">
      <w:pPr>
        <w:pStyle w:val="TOC3"/>
        <w:tabs>
          <w:tab w:val="left" w:pos="1320"/>
          <w:tab w:val="right" w:leader="dot" w:pos="9016"/>
        </w:tabs>
        <w:spacing w:after="60" w:line="240" w:lineRule="auto"/>
        <w:rPr>
          <w:rFonts w:eastAsiaTheme="minorEastAsia"/>
          <w:noProof/>
          <w:lang w:eastAsia="en-AU"/>
        </w:rPr>
      </w:pPr>
      <w:hyperlink w:anchor="_Toc365872644" w:history="1">
        <w:r w:rsidR="00085A64" w:rsidRPr="00711FB2">
          <w:rPr>
            <w:rStyle w:val="Hyperlink"/>
            <w:rFonts w:cstheme="minorHAnsi"/>
            <w:i/>
            <w:noProof/>
          </w:rPr>
          <w:t>4.3.2</w:t>
        </w:r>
        <w:r w:rsidR="00085A64">
          <w:rPr>
            <w:rFonts w:eastAsiaTheme="minorEastAsia"/>
            <w:noProof/>
            <w:lang w:eastAsia="en-AU"/>
          </w:rPr>
          <w:tab/>
        </w:r>
        <w:r w:rsidR="00085A64" w:rsidRPr="00711FB2">
          <w:rPr>
            <w:rStyle w:val="Hyperlink"/>
            <w:rFonts w:cstheme="minorHAnsi"/>
            <w:i/>
            <w:noProof/>
          </w:rPr>
          <w:t>Forecasting</w:t>
        </w:r>
        <w:r w:rsidR="00085A64">
          <w:rPr>
            <w:noProof/>
            <w:webHidden/>
          </w:rPr>
          <w:tab/>
        </w:r>
        <w:r w:rsidR="00085A64">
          <w:rPr>
            <w:noProof/>
            <w:webHidden/>
          </w:rPr>
          <w:fldChar w:fldCharType="begin"/>
        </w:r>
        <w:r w:rsidR="00085A64">
          <w:rPr>
            <w:noProof/>
            <w:webHidden/>
          </w:rPr>
          <w:instrText xml:space="preserve"> PAGEREF _Toc365872644 \h </w:instrText>
        </w:r>
        <w:r w:rsidR="00085A64">
          <w:rPr>
            <w:noProof/>
            <w:webHidden/>
          </w:rPr>
        </w:r>
        <w:r w:rsidR="00085A64">
          <w:rPr>
            <w:noProof/>
            <w:webHidden/>
          </w:rPr>
          <w:fldChar w:fldCharType="separate"/>
        </w:r>
        <w:r w:rsidR="00262E98">
          <w:rPr>
            <w:noProof/>
            <w:webHidden/>
          </w:rPr>
          <w:t>2</w:t>
        </w:r>
        <w:r w:rsidR="00085A64">
          <w:rPr>
            <w:noProof/>
            <w:webHidden/>
          </w:rPr>
          <w:fldChar w:fldCharType="end"/>
        </w:r>
      </w:hyperlink>
    </w:p>
    <w:p w14:paraId="5B6D5004" w14:textId="0996CB76" w:rsidR="00085A64" w:rsidRDefault="00BD3140" w:rsidP="00F1328C">
      <w:pPr>
        <w:pStyle w:val="TOC1"/>
        <w:tabs>
          <w:tab w:val="left" w:pos="440"/>
          <w:tab w:val="right" w:leader="dot" w:pos="9016"/>
        </w:tabs>
        <w:spacing w:after="60" w:line="240" w:lineRule="auto"/>
        <w:rPr>
          <w:rFonts w:eastAsiaTheme="minorEastAsia"/>
          <w:noProof/>
          <w:lang w:eastAsia="en-AU"/>
        </w:rPr>
      </w:pPr>
      <w:hyperlink w:anchor="_Toc365872645" w:history="1">
        <w:r w:rsidR="00085A64" w:rsidRPr="00711FB2">
          <w:rPr>
            <w:rStyle w:val="Hyperlink"/>
            <w:rFonts w:ascii="Calibri" w:eastAsia="Times New Roman" w:hAnsi="Calibri" w:cs="Arial"/>
            <w:noProof/>
            <w:kern w:val="32"/>
            <w:lang w:eastAsia="en-AU"/>
          </w:rPr>
          <w:t>5.</w:t>
        </w:r>
        <w:r w:rsidR="00085A64">
          <w:rPr>
            <w:rFonts w:eastAsiaTheme="minorEastAsia"/>
            <w:noProof/>
            <w:lang w:eastAsia="en-AU"/>
          </w:rPr>
          <w:tab/>
        </w:r>
        <w:r w:rsidR="00085A64" w:rsidRPr="00711FB2">
          <w:rPr>
            <w:rStyle w:val="Hyperlink"/>
            <w:rFonts w:ascii="Calibri" w:eastAsia="Times New Roman" w:hAnsi="Calibri" w:cs="Arial"/>
            <w:noProof/>
            <w:kern w:val="32"/>
            <w:lang w:eastAsia="en-AU"/>
          </w:rPr>
          <w:t>Discussion</w:t>
        </w:r>
        <w:r w:rsidR="00085A64">
          <w:rPr>
            <w:noProof/>
            <w:webHidden/>
          </w:rPr>
          <w:tab/>
        </w:r>
        <w:r w:rsidR="00085A64">
          <w:rPr>
            <w:noProof/>
            <w:webHidden/>
          </w:rPr>
          <w:fldChar w:fldCharType="begin"/>
        </w:r>
        <w:r w:rsidR="00085A64">
          <w:rPr>
            <w:noProof/>
            <w:webHidden/>
          </w:rPr>
          <w:instrText xml:space="preserve"> PAGEREF _Toc365872645 \h </w:instrText>
        </w:r>
        <w:r w:rsidR="00085A64">
          <w:rPr>
            <w:noProof/>
            <w:webHidden/>
          </w:rPr>
        </w:r>
        <w:r w:rsidR="00085A64">
          <w:rPr>
            <w:noProof/>
            <w:webHidden/>
          </w:rPr>
          <w:fldChar w:fldCharType="separate"/>
        </w:r>
        <w:r w:rsidR="00262E98">
          <w:rPr>
            <w:noProof/>
            <w:webHidden/>
          </w:rPr>
          <w:t>2</w:t>
        </w:r>
        <w:r w:rsidR="00085A64">
          <w:rPr>
            <w:noProof/>
            <w:webHidden/>
          </w:rPr>
          <w:fldChar w:fldCharType="end"/>
        </w:r>
      </w:hyperlink>
    </w:p>
    <w:p w14:paraId="0BA3823F" w14:textId="487DF86F" w:rsidR="00085A64" w:rsidRDefault="00BD3140" w:rsidP="00F1328C">
      <w:pPr>
        <w:pStyle w:val="TOC2"/>
        <w:tabs>
          <w:tab w:val="left" w:pos="880"/>
          <w:tab w:val="right" w:leader="dot" w:pos="9016"/>
        </w:tabs>
        <w:spacing w:after="60" w:line="240" w:lineRule="auto"/>
        <w:rPr>
          <w:rFonts w:eastAsiaTheme="minorEastAsia"/>
          <w:noProof/>
          <w:lang w:eastAsia="en-AU"/>
        </w:rPr>
      </w:pPr>
      <w:hyperlink w:anchor="_Toc365872646" w:history="1">
        <w:r w:rsidR="00085A64" w:rsidRPr="00711FB2">
          <w:rPr>
            <w:rStyle w:val="Hyperlink"/>
            <w:rFonts w:ascii="Calibri" w:hAnsi="Calibri" w:cs="Arial"/>
            <w:i/>
            <w:iCs/>
            <w:noProof/>
          </w:rPr>
          <w:t>5.1</w:t>
        </w:r>
        <w:r w:rsidR="00085A64">
          <w:rPr>
            <w:rFonts w:eastAsiaTheme="minorEastAsia"/>
            <w:noProof/>
            <w:lang w:eastAsia="en-AU"/>
          </w:rPr>
          <w:tab/>
        </w:r>
        <w:r w:rsidR="00085A64" w:rsidRPr="00711FB2">
          <w:rPr>
            <w:rStyle w:val="Hyperlink"/>
            <w:rFonts w:ascii="Calibri" w:hAnsi="Calibri" w:cs="Arial"/>
            <w:i/>
            <w:iCs/>
            <w:noProof/>
          </w:rPr>
          <w:t>Certainty of performance</w:t>
        </w:r>
        <w:r w:rsidR="00085A64">
          <w:rPr>
            <w:noProof/>
            <w:webHidden/>
          </w:rPr>
          <w:tab/>
        </w:r>
        <w:r w:rsidR="00085A64">
          <w:rPr>
            <w:noProof/>
            <w:webHidden/>
          </w:rPr>
          <w:fldChar w:fldCharType="begin"/>
        </w:r>
        <w:r w:rsidR="00085A64">
          <w:rPr>
            <w:noProof/>
            <w:webHidden/>
          </w:rPr>
          <w:instrText xml:space="preserve"> PAGEREF _Toc365872646 \h </w:instrText>
        </w:r>
        <w:r w:rsidR="00085A64">
          <w:rPr>
            <w:noProof/>
            <w:webHidden/>
          </w:rPr>
        </w:r>
        <w:r w:rsidR="00085A64">
          <w:rPr>
            <w:noProof/>
            <w:webHidden/>
          </w:rPr>
          <w:fldChar w:fldCharType="separate"/>
        </w:r>
        <w:r w:rsidR="00262E98">
          <w:rPr>
            <w:noProof/>
            <w:webHidden/>
          </w:rPr>
          <w:t>2</w:t>
        </w:r>
        <w:r w:rsidR="00085A64">
          <w:rPr>
            <w:noProof/>
            <w:webHidden/>
          </w:rPr>
          <w:fldChar w:fldCharType="end"/>
        </w:r>
      </w:hyperlink>
    </w:p>
    <w:p w14:paraId="1AC867BB" w14:textId="473F6BCB" w:rsidR="00085A64" w:rsidRDefault="00BD3140" w:rsidP="00F1328C">
      <w:pPr>
        <w:pStyle w:val="TOC2"/>
        <w:tabs>
          <w:tab w:val="left" w:pos="880"/>
          <w:tab w:val="right" w:leader="dot" w:pos="9016"/>
        </w:tabs>
        <w:spacing w:after="60" w:line="240" w:lineRule="auto"/>
        <w:rPr>
          <w:rFonts w:eastAsiaTheme="minorEastAsia"/>
          <w:noProof/>
          <w:lang w:eastAsia="en-AU"/>
        </w:rPr>
      </w:pPr>
      <w:hyperlink w:anchor="_Toc365872647" w:history="1">
        <w:r w:rsidR="00085A64" w:rsidRPr="00711FB2">
          <w:rPr>
            <w:rStyle w:val="Hyperlink"/>
            <w:rFonts w:ascii="Calibri" w:hAnsi="Calibri" w:cs="Arial"/>
            <w:i/>
            <w:iCs/>
            <w:noProof/>
          </w:rPr>
          <w:t>5.2</w:t>
        </w:r>
        <w:r w:rsidR="00085A64">
          <w:rPr>
            <w:rFonts w:eastAsiaTheme="minorEastAsia"/>
            <w:noProof/>
            <w:lang w:eastAsia="en-AU"/>
          </w:rPr>
          <w:tab/>
        </w:r>
        <w:r w:rsidR="00085A64" w:rsidRPr="00711FB2">
          <w:rPr>
            <w:rStyle w:val="Hyperlink"/>
            <w:rFonts w:ascii="Calibri" w:hAnsi="Calibri" w:cs="Arial"/>
            <w:i/>
            <w:iCs/>
            <w:noProof/>
          </w:rPr>
          <w:t>Transparency</w:t>
        </w:r>
        <w:r w:rsidR="00085A64">
          <w:rPr>
            <w:noProof/>
            <w:webHidden/>
          </w:rPr>
          <w:tab/>
        </w:r>
        <w:r w:rsidR="00085A64">
          <w:rPr>
            <w:noProof/>
            <w:webHidden/>
          </w:rPr>
          <w:fldChar w:fldCharType="begin"/>
        </w:r>
        <w:r w:rsidR="00085A64">
          <w:rPr>
            <w:noProof/>
            <w:webHidden/>
          </w:rPr>
          <w:instrText xml:space="preserve"> PAGEREF _Toc365872647 \h </w:instrText>
        </w:r>
        <w:r w:rsidR="00085A64">
          <w:rPr>
            <w:noProof/>
            <w:webHidden/>
          </w:rPr>
        </w:r>
        <w:r w:rsidR="00085A64">
          <w:rPr>
            <w:noProof/>
            <w:webHidden/>
          </w:rPr>
          <w:fldChar w:fldCharType="separate"/>
        </w:r>
        <w:r w:rsidR="00262E98">
          <w:rPr>
            <w:noProof/>
            <w:webHidden/>
          </w:rPr>
          <w:t>2</w:t>
        </w:r>
        <w:r w:rsidR="00085A64">
          <w:rPr>
            <w:noProof/>
            <w:webHidden/>
          </w:rPr>
          <w:fldChar w:fldCharType="end"/>
        </w:r>
      </w:hyperlink>
    </w:p>
    <w:p w14:paraId="1540374B" w14:textId="7DF49F62" w:rsidR="00085A64" w:rsidRDefault="00BD3140" w:rsidP="00F1328C">
      <w:pPr>
        <w:pStyle w:val="TOC2"/>
        <w:tabs>
          <w:tab w:val="left" w:pos="880"/>
          <w:tab w:val="right" w:leader="dot" w:pos="9016"/>
        </w:tabs>
        <w:spacing w:after="60" w:line="240" w:lineRule="auto"/>
        <w:rPr>
          <w:rFonts w:eastAsiaTheme="minorEastAsia"/>
          <w:noProof/>
          <w:lang w:eastAsia="en-AU"/>
        </w:rPr>
      </w:pPr>
      <w:hyperlink w:anchor="_Toc365872648" w:history="1">
        <w:r w:rsidR="00085A64" w:rsidRPr="00711FB2">
          <w:rPr>
            <w:rStyle w:val="Hyperlink"/>
            <w:rFonts w:ascii="Calibri" w:hAnsi="Calibri" w:cs="Arial"/>
            <w:i/>
            <w:iCs/>
            <w:noProof/>
          </w:rPr>
          <w:t>5.3</w:t>
        </w:r>
        <w:r w:rsidR="00085A64">
          <w:rPr>
            <w:rFonts w:eastAsiaTheme="minorEastAsia"/>
            <w:noProof/>
            <w:lang w:eastAsia="en-AU"/>
          </w:rPr>
          <w:tab/>
        </w:r>
        <w:r w:rsidR="00085A64" w:rsidRPr="00711FB2">
          <w:rPr>
            <w:rStyle w:val="Hyperlink"/>
            <w:rFonts w:ascii="Calibri" w:hAnsi="Calibri" w:cs="Arial"/>
            <w:i/>
            <w:iCs/>
            <w:noProof/>
          </w:rPr>
          <w:t>Adjustment for external factors</w:t>
        </w:r>
        <w:r w:rsidR="00085A64">
          <w:rPr>
            <w:noProof/>
            <w:webHidden/>
          </w:rPr>
          <w:tab/>
        </w:r>
        <w:r w:rsidR="00085A64">
          <w:rPr>
            <w:noProof/>
            <w:webHidden/>
          </w:rPr>
          <w:fldChar w:fldCharType="begin"/>
        </w:r>
        <w:r w:rsidR="00085A64">
          <w:rPr>
            <w:noProof/>
            <w:webHidden/>
          </w:rPr>
          <w:instrText xml:space="preserve"> PAGEREF _Toc365872648 \h </w:instrText>
        </w:r>
        <w:r w:rsidR="00085A64">
          <w:rPr>
            <w:noProof/>
            <w:webHidden/>
          </w:rPr>
        </w:r>
        <w:r w:rsidR="00085A64">
          <w:rPr>
            <w:noProof/>
            <w:webHidden/>
          </w:rPr>
          <w:fldChar w:fldCharType="separate"/>
        </w:r>
        <w:r w:rsidR="00262E98">
          <w:rPr>
            <w:noProof/>
            <w:webHidden/>
          </w:rPr>
          <w:t>2</w:t>
        </w:r>
        <w:r w:rsidR="00085A64">
          <w:rPr>
            <w:noProof/>
            <w:webHidden/>
          </w:rPr>
          <w:fldChar w:fldCharType="end"/>
        </w:r>
      </w:hyperlink>
    </w:p>
    <w:p w14:paraId="5B96013A" w14:textId="31A203D3" w:rsidR="00085A64" w:rsidRDefault="00BD3140" w:rsidP="00F1328C">
      <w:pPr>
        <w:pStyle w:val="TOC2"/>
        <w:tabs>
          <w:tab w:val="left" w:pos="880"/>
          <w:tab w:val="right" w:leader="dot" w:pos="9016"/>
        </w:tabs>
        <w:spacing w:after="60" w:line="240" w:lineRule="auto"/>
        <w:rPr>
          <w:rFonts w:eastAsiaTheme="minorEastAsia"/>
          <w:noProof/>
          <w:lang w:eastAsia="en-AU"/>
        </w:rPr>
      </w:pPr>
      <w:hyperlink w:anchor="_Toc365872649" w:history="1">
        <w:r w:rsidR="00085A64" w:rsidRPr="00711FB2">
          <w:rPr>
            <w:rStyle w:val="Hyperlink"/>
            <w:rFonts w:ascii="Calibri" w:hAnsi="Calibri" w:cs="Arial"/>
            <w:i/>
            <w:iCs/>
            <w:noProof/>
          </w:rPr>
          <w:t>5.4</w:t>
        </w:r>
        <w:r w:rsidR="00085A64">
          <w:rPr>
            <w:rFonts w:eastAsiaTheme="minorEastAsia"/>
            <w:noProof/>
            <w:lang w:eastAsia="en-AU"/>
          </w:rPr>
          <w:tab/>
        </w:r>
        <w:r w:rsidR="00085A64" w:rsidRPr="00711FB2">
          <w:rPr>
            <w:rStyle w:val="Hyperlink"/>
            <w:rFonts w:ascii="Calibri" w:hAnsi="Calibri" w:cs="Arial"/>
            <w:i/>
            <w:iCs/>
            <w:noProof/>
          </w:rPr>
          <w:t>Quality</w:t>
        </w:r>
        <w:r w:rsidR="00085A64">
          <w:rPr>
            <w:noProof/>
            <w:webHidden/>
          </w:rPr>
          <w:tab/>
        </w:r>
        <w:r w:rsidR="00085A64">
          <w:rPr>
            <w:noProof/>
            <w:webHidden/>
          </w:rPr>
          <w:fldChar w:fldCharType="begin"/>
        </w:r>
        <w:r w:rsidR="00085A64">
          <w:rPr>
            <w:noProof/>
            <w:webHidden/>
          </w:rPr>
          <w:instrText xml:space="preserve"> PAGEREF _Toc365872649 \h </w:instrText>
        </w:r>
        <w:r w:rsidR="00085A64">
          <w:rPr>
            <w:noProof/>
            <w:webHidden/>
          </w:rPr>
        </w:r>
        <w:r w:rsidR="00085A64">
          <w:rPr>
            <w:noProof/>
            <w:webHidden/>
          </w:rPr>
          <w:fldChar w:fldCharType="separate"/>
        </w:r>
        <w:r w:rsidR="00262E98">
          <w:rPr>
            <w:noProof/>
            <w:webHidden/>
          </w:rPr>
          <w:t>2</w:t>
        </w:r>
        <w:r w:rsidR="00085A64">
          <w:rPr>
            <w:noProof/>
            <w:webHidden/>
          </w:rPr>
          <w:fldChar w:fldCharType="end"/>
        </w:r>
      </w:hyperlink>
    </w:p>
    <w:p w14:paraId="24B9E4C4" w14:textId="6146F733" w:rsidR="00085A64" w:rsidRDefault="00BD3140" w:rsidP="00F1328C">
      <w:pPr>
        <w:pStyle w:val="TOC2"/>
        <w:tabs>
          <w:tab w:val="left" w:pos="880"/>
          <w:tab w:val="right" w:leader="dot" w:pos="9016"/>
        </w:tabs>
        <w:spacing w:after="60" w:line="240" w:lineRule="auto"/>
        <w:rPr>
          <w:rFonts w:eastAsiaTheme="minorEastAsia"/>
          <w:noProof/>
          <w:lang w:eastAsia="en-AU"/>
        </w:rPr>
      </w:pPr>
      <w:hyperlink w:anchor="_Toc365872650" w:history="1">
        <w:r w:rsidR="00085A64" w:rsidRPr="00711FB2">
          <w:rPr>
            <w:rStyle w:val="Hyperlink"/>
            <w:rFonts w:ascii="Calibri" w:hAnsi="Calibri" w:cs="Arial"/>
            <w:i/>
            <w:iCs/>
            <w:noProof/>
          </w:rPr>
          <w:t>5.5</w:t>
        </w:r>
        <w:r w:rsidR="00085A64">
          <w:rPr>
            <w:rFonts w:eastAsiaTheme="minorEastAsia"/>
            <w:noProof/>
            <w:lang w:eastAsia="en-AU"/>
          </w:rPr>
          <w:tab/>
        </w:r>
        <w:r w:rsidR="00085A64" w:rsidRPr="00711FB2">
          <w:rPr>
            <w:rStyle w:val="Hyperlink"/>
            <w:rFonts w:ascii="Calibri" w:hAnsi="Calibri" w:cs="Arial"/>
            <w:i/>
            <w:iCs/>
            <w:noProof/>
          </w:rPr>
          <w:t>Equity</w:t>
        </w:r>
        <w:r w:rsidR="00085A64">
          <w:rPr>
            <w:noProof/>
            <w:webHidden/>
          </w:rPr>
          <w:tab/>
        </w:r>
        <w:r w:rsidR="00085A64">
          <w:rPr>
            <w:noProof/>
            <w:webHidden/>
          </w:rPr>
          <w:fldChar w:fldCharType="begin"/>
        </w:r>
        <w:r w:rsidR="00085A64">
          <w:rPr>
            <w:noProof/>
            <w:webHidden/>
          </w:rPr>
          <w:instrText xml:space="preserve"> PAGEREF _Toc365872650 \h </w:instrText>
        </w:r>
        <w:r w:rsidR="00085A64">
          <w:rPr>
            <w:noProof/>
            <w:webHidden/>
          </w:rPr>
        </w:r>
        <w:r w:rsidR="00085A64">
          <w:rPr>
            <w:noProof/>
            <w:webHidden/>
          </w:rPr>
          <w:fldChar w:fldCharType="separate"/>
        </w:r>
        <w:r w:rsidR="00262E98">
          <w:rPr>
            <w:noProof/>
            <w:webHidden/>
          </w:rPr>
          <w:t>2</w:t>
        </w:r>
        <w:r w:rsidR="00085A64">
          <w:rPr>
            <w:noProof/>
            <w:webHidden/>
          </w:rPr>
          <w:fldChar w:fldCharType="end"/>
        </w:r>
      </w:hyperlink>
    </w:p>
    <w:p w14:paraId="0A89ECC0" w14:textId="0D1F5C9F" w:rsidR="00085A64" w:rsidRDefault="00BD3140" w:rsidP="00F1328C">
      <w:pPr>
        <w:pStyle w:val="TOC2"/>
        <w:tabs>
          <w:tab w:val="left" w:pos="880"/>
          <w:tab w:val="right" w:leader="dot" w:pos="9016"/>
        </w:tabs>
        <w:spacing w:after="60" w:line="240" w:lineRule="auto"/>
        <w:rPr>
          <w:rFonts w:eastAsiaTheme="minorEastAsia"/>
          <w:noProof/>
          <w:lang w:eastAsia="en-AU"/>
        </w:rPr>
      </w:pPr>
      <w:hyperlink w:anchor="_Toc365872651" w:history="1">
        <w:r w:rsidR="00085A64" w:rsidRPr="00711FB2">
          <w:rPr>
            <w:rStyle w:val="Hyperlink"/>
            <w:rFonts w:ascii="Calibri" w:hAnsi="Calibri" w:cs="Arial"/>
            <w:i/>
            <w:iCs/>
            <w:noProof/>
          </w:rPr>
          <w:t>5.6</w:t>
        </w:r>
        <w:r w:rsidR="00085A64">
          <w:rPr>
            <w:rFonts w:eastAsiaTheme="minorEastAsia"/>
            <w:noProof/>
            <w:lang w:eastAsia="en-AU"/>
          </w:rPr>
          <w:tab/>
        </w:r>
        <w:r w:rsidR="00085A64" w:rsidRPr="00711FB2">
          <w:rPr>
            <w:rStyle w:val="Hyperlink"/>
            <w:rFonts w:ascii="Calibri" w:hAnsi="Calibri" w:cs="Arial"/>
            <w:i/>
            <w:iCs/>
            <w:noProof/>
          </w:rPr>
          <w:t>Continuous Improvement</w:t>
        </w:r>
        <w:r w:rsidR="00085A64">
          <w:rPr>
            <w:noProof/>
            <w:webHidden/>
          </w:rPr>
          <w:tab/>
        </w:r>
        <w:r w:rsidR="00085A64">
          <w:rPr>
            <w:noProof/>
            <w:webHidden/>
          </w:rPr>
          <w:fldChar w:fldCharType="begin"/>
        </w:r>
        <w:r w:rsidR="00085A64">
          <w:rPr>
            <w:noProof/>
            <w:webHidden/>
          </w:rPr>
          <w:instrText xml:space="preserve"> PAGEREF _Toc365872651 \h </w:instrText>
        </w:r>
        <w:r w:rsidR="00085A64">
          <w:rPr>
            <w:noProof/>
            <w:webHidden/>
          </w:rPr>
        </w:r>
        <w:r w:rsidR="00085A64">
          <w:rPr>
            <w:noProof/>
            <w:webHidden/>
          </w:rPr>
          <w:fldChar w:fldCharType="separate"/>
        </w:r>
        <w:r w:rsidR="00262E98">
          <w:rPr>
            <w:noProof/>
            <w:webHidden/>
          </w:rPr>
          <w:t>2</w:t>
        </w:r>
        <w:r w:rsidR="00085A64">
          <w:rPr>
            <w:noProof/>
            <w:webHidden/>
          </w:rPr>
          <w:fldChar w:fldCharType="end"/>
        </w:r>
      </w:hyperlink>
    </w:p>
    <w:p w14:paraId="684C4868" w14:textId="7D54ACCB" w:rsidR="00085A64" w:rsidRDefault="00BD3140" w:rsidP="00F1328C">
      <w:pPr>
        <w:pStyle w:val="TOC2"/>
        <w:tabs>
          <w:tab w:val="left" w:pos="880"/>
          <w:tab w:val="right" w:leader="dot" w:pos="9016"/>
        </w:tabs>
        <w:spacing w:after="60" w:line="240" w:lineRule="auto"/>
        <w:rPr>
          <w:rFonts w:eastAsiaTheme="minorEastAsia"/>
          <w:noProof/>
          <w:lang w:eastAsia="en-AU"/>
        </w:rPr>
      </w:pPr>
      <w:hyperlink w:anchor="_Toc365872652" w:history="1">
        <w:r w:rsidR="00085A64" w:rsidRPr="00711FB2">
          <w:rPr>
            <w:rStyle w:val="Hyperlink"/>
            <w:rFonts w:ascii="Calibri" w:hAnsi="Calibri" w:cs="Arial"/>
            <w:i/>
            <w:iCs/>
            <w:noProof/>
          </w:rPr>
          <w:t>5.7</w:t>
        </w:r>
        <w:r w:rsidR="00085A64">
          <w:rPr>
            <w:rFonts w:eastAsiaTheme="minorEastAsia"/>
            <w:noProof/>
            <w:lang w:eastAsia="en-AU"/>
          </w:rPr>
          <w:tab/>
        </w:r>
        <w:r w:rsidR="00085A64" w:rsidRPr="00711FB2">
          <w:rPr>
            <w:rStyle w:val="Hyperlink"/>
            <w:rFonts w:ascii="Calibri" w:hAnsi="Calibri" w:cs="Arial"/>
            <w:i/>
            <w:iCs/>
            <w:noProof/>
          </w:rPr>
          <w:t>Competition and Performance</w:t>
        </w:r>
        <w:r w:rsidR="00085A64">
          <w:rPr>
            <w:noProof/>
            <w:webHidden/>
          </w:rPr>
          <w:tab/>
        </w:r>
        <w:r w:rsidR="00085A64">
          <w:rPr>
            <w:noProof/>
            <w:webHidden/>
          </w:rPr>
          <w:fldChar w:fldCharType="begin"/>
        </w:r>
        <w:r w:rsidR="00085A64">
          <w:rPr>
            <w:noProof/>
            <w:webHidden/>
          </w:rPr>
          <w:instrText xml:space="preserve"> PAGEREF _Toc365872652 \h </w:instrText>
        </w:r>
        <w:r w:rsidR="00085A64">
          <w:rPr>
            <w:noProof/>
            <w:webHidden/>
          </w:rPr>
        </w:r>
        <w:r w:rsidR="00085A64">
          <w:rPr>
            <w:noProof/>
            <w:webHidden/>
          </w:rPr>
          <w:fldChar w:fldCharType="separate"/>
        </w:r>
        <w:r w:rsidR="00262E98">
          <w:rPr>
            <w:noProof/>
            <w:webHidden/>
          </w:rPr>
          <w:t>2</w:t>
        </w:r>
        <w:r w:rsidR="00085A64">
          <w:rPr>
            <w:noProof/>
            <w:webHidden/>
          </w:rPr>
          <w:fldChar w:fldCharType="end"/>
        </w:r>
      </w:hyperlink>
    </w:p>
    <w:p w14:paraId="5182A2A2" w14:textId="28677D03" w:rsidR="00085A64" w:rsidRDefault="00BD3140" w:rsidP="00F1328C">
      <w:pPr>
        <w:pStyle w:val="TOC2"/>
        <w:tabs>
          <w:tab w:val="left" w:pos="880"/>
          <w:tab w:val="right" w:leader="dot" w:pos="9016"/>
        </w:tabs>
        <w:spacing w:after="60" w:line="240" w:lineRule="auto"/>
        <w:rPr>
          <w:rFonts w:eastAsiaTheme="minorEastAsia"/>
          <w:noProof/>
          <w:lang w:eastAsia="en-AU"/>
        </w:rPr>
      </w:pPr>
      <w:hyperlink w:anchor="_Toc365872653" w:history="1">
        <w:r w:rsidR="00085A64" w:rsidRPr="00711FB2">
          <w:rPr>
            <w:rStyle w:val="Hyperlink"/>
            <w:rFonts w:ascii="Calibri" w:hAnsi="Calibri" w:cs="Arial"/>
            <w:i/>
            <w:iCs/>
            <w:noProof/>
          </w:rPr>
          <w:t>5.8</w:t>
        </w:r>
        <w:r w:rsidR="00085A64">
          <w:rPr>
            <w:rFonts w:eastAsiaTheme="minorEastAsia"/>
            <w:noProof/>
            <w:lang w:eastAsia="en-AU"/>
          </w:rPr>
          <w:tab/>
        </w:r>
        <w:r w:rsidR="00085A64" w:rsidRPr="00711FB2">
          <w:rPr>
            <w:rStyle w:val="Hyperlink"/>
            <w:rFonts w:ascii="Calibri" w:hAnsi="Calibri" w:cs="Arial"/>
            <w:i/>
            <w:iCs/>
            <w:noProof/>
          </w:rPr>
          <w:t>Innovation</w:t>
        </w:r>
        <w:r w:rsidR="00085A64">
          <w:rPr>
            <w:noProof/>
            <w:webHidden/>
          </w:rPr>
          <w:tab/>
        </w:r>
        <w:r w:rsidR="00085A64">
          <w:rPr>
            <w:noProof/>
            <w:webHidden/>
          </w:rPr>
          <w:fldChar w:fldCharType="begin"/>
        </w:r>
        <w:r w:rsidR="00085A64">
          <w:rPr>
            <w:noProof/>
            <w:webHidden/>
          </w:rPr>
          <w:instrText xml:space="preserve"> PAGEREF _Toc365872653 \h </w:instrText>
        </w:r>
        <w:r w:rsidR="00085A64">
          <w:rPr>
            <w:noProof/>
            <w:webHidden/>
          </w:rPr>
        </w:r>
        <w:r w:rsidR="00085A64">
          <w:rPr>
            <w:noProof/>
            <w:webHidden/>
          </w:rPr>
          <w:fldChar w:fldCharType="separate"/>
        </w:r>
        <w:r w:rsidR="00262E98">
          <w:rPr>
            <w:noProof/>
            <w:webHidden/>
          </w:rPr>
          <w:t>2</w:t>
        </w:r>
        <w:r w:rsidR="00085A64">
          <w:rPr>
            <w:noProof/>
            <w:webHidden/>
          </w:rPr>
          <w:fldChar w:fldCharType="end"/>
        </w:r>
      </w:hyperlink>
    </w:p>
    <w:p w14:paraId="1BA60D6D" w14:textId="4892C2C4" w:rsidR="00085A64" w:rsidRDefault="00BD3140" w:rsidP="00F1328C">
      <w:pPr>
        <w:pStyle w:val="TOC1"/>
        <w:tabs>
          <w:tab w:val="left" w:pos="440"/>
          <w:tab w:val="right" w:leader="dot" w:pos="9016"/>
        </w:tabs>
        <w:spacing w:after="60" w:line="240" w:lineRule="auto"/>
        <w:rPr>
          <w:rFonts w:eastAsiaTheme="minorEastAsia"/>
          <w:noProof/>
          <w:lang w:eastAsia="en-AU"/>
        </w:rPr>
      </w:pPr>
      <w:hyperlink w:anchor="_Toc365872654" w:history="1">
        <w:r w:rsidR="00085A64" w:rsidRPr="00711FB2">
          <w:rPr>
            <w:rStyle w:val="Hyperlink"/>
            <w:rFonts w:ascii="Calibri" w:eastAsia="Times New Roman" w:hAnsi="Calibri" w:cs="Arial"/>
            <w:noProof/>
            <w:kern w:val="32"/>
            <w:lang w:eastAsia="en-AU"/>
          </w:rPr>
          <w:t>6.</w:t>
        </w:r>
        <w:r w:rsidR="00085A64">
          <w:rPr>
            <w:rFonts w:eastAsiaTheme="minorEastAsia"/>
            <w:noProof/>
            <w:lang w:eastAsia="en-AU"/>
          </w:rPr>
          <w:tab/>
        </w:r>
        <w:r w:rsidR="00085A64" w:rsidRPr="00711FB2">
          <w:rPr>
            <w:rStyle w:val="Hyperlink"/>
            <w:rFonts w:ascii="Calibri" w:eastAsia="Times New Roman" w:hAnsi="Calibri" w:cs="Arial"/>
            <w:noProof/>
            <w:kern w:val="32"/>
            <w:lang w:eastAsia="en-AU"/>
          </w:rPr>
          <w:t>Conclusion</w:t>
        </w:r>
        <w:r w:rsidR="00085A64">
          <w:rPr>
            <w:noProof/>
            <w:webHidden/>
          </w:rPr>
          <w:tab/>
        </w:r>
        <w:r w:rsidR="00085A64">
          <w:rPr>
            <w:noProof/>
            <w:webHidden/>
          </w:rPr>
          <w:fldChar w:fldCharType="begin"/>
        </w:r>
        <w:r w:rsidR="00085A64">
          <w:rPr>
            <w:noProof/>
            <w:webHidden/>
          </w:rPr>
          <w:instrText xml:space="preserve"> PAGEREF _Toc365872654 \h </w:instrText>
        </w:r>
        <w:r w:rsidR="00085A64">
          <w:rPr>
            <w:noProof/>
            <w:webHidden/>
          </w:rPr>
        </w:r>
        <w:r w:rsidR="00085A64">
          <w:rPr>
            <w:noProof/>
            <w:webHidden/>
          </w:rPr>
          <w:fldChar w:fldCharType="separate"/>
        </w:r>
        <w:r w:rsidR="00262E98">
          <w:rPr>
            <w:noProof/>
            <w:webHidden/>
          </w:rPr>
          <w:t>2</w:t>
        </w:r>
        <w:r w:rsidR="00085A64">
          <w:rPr>
            <w:noProof/>
            <w:webHidden/>
          </w:rPr>
          <w:fldChar w:fldCharType="end"/>
        </w:r>
      </w:hyperlink>
    </w:p>
    <w:p w14:paraId="4C5DC9A4" w14:textId="51BC8E3E" w:rsidR="00085A64" w:rsidRDefault="00BD3140" w:rsidP="00F1328C">
      <w:pPr>
        <w:pStyle w:val="TOC1"/>
        <w:tabs>
          <w:tab w:val="right" w:leader="dot" w:pos="9016"/>
        </w:tabs>
        <w:spacing w:after="60" w:line="240" w:lineRule="auto"/>
        <w:rPr>
          <w:rFonts w:eastAsiaTheme="minorEastAsia"/>
          <w:noProof/>
          <w:lang w:eastAsia="en-AU"/>
        </w:rPr>
      </w:pPr>
      <w:hyperlink w:anchor="_Toc365872655" w:history="1">
        <w:r w:rsidR="00085A64" w:rsidRPr="00711FB2">
          <w:rPr>
            <w:rStyle w:val="Hyperlink"/>
            <w:rFonts w:ascii="Calibri" w:eastAsia="Times New Roman" w:hAnsi="Calibri" w:cs="Arial"/>
            <w:noProof/>
            <w:kern w:val="32"/>
            <w:lang w:eastAsia="en-AU"/>
          </w:rPr>
          <w:t>References</w:t>
        </w:r>
        <w:r w:rsidR="00085A64">
          <w:rPr>
            <w:noProof/>
            <w:webHidden/>
          </w:rPr>
          <w:tab/>
        </w:r>
        <w:r w:rsidR="00085A64">
          <w:rPr>
            <w:noProof/>
            <w:webHidden/>
          </w:rPr>
          <w:fldChar w:fldCharType="begin"/>
        </w:r>
        <w:r w:rsidR="00085A64">
          <w:rPr>
            <w:noProof/>
            <w:webHidden/>
          </w:rPr>
          <w:instrText xml:space="preserve"> PAGEREF _Toc365872655 \h </w:instrText>
        </w:r>
        <w:r w:rsidR="00085A64">
          <w:rPr>
            <w:noProof/>
            <w:webHidden/>
          </w:rPr>
        </w:r>
        <w:r w:rsidR="00085A64">
          <w:rPr>
            <w:noProof/>
            <w:webHidden/>
          </w:rPr>
          <w:fldChar w:fldCharType="separate"/>
        </w:r>
        <w:r w:rsidR="00262E98">
          <w:rPr>
            <w:noProof/>
            <w:webHidden/>
          </w:rPr>
          <w:t>2</w:t>
        </w:r>
        <w:r w:rsidR="00085A64">
          <w:rPr>
            <w:noProof/>
            <w:webHidden/>
          </w:rPr>
          <w:fldChar w:fldCharType="end"/>
        </w:r>
      </w:hyperlink>
    </w:p>
    <w:p w14:paraId="450D7783" w14:textId="77777777" w:rsidR="00A8092A" w:rsidRDefault="00A8092A" w:rsidP="00F1328C">
      <w:pPr>
        <w:spacing w:after="60" w:line="240" w:lineRule="auto"/>
        <w:rPr>
          <w:rFonts w:cs="Calibri"/>
          <w:b/>
          <w:sz w:val="24"/>
          <w:szCs w:val="24"/>
        </w:rPr>
      </w:pPr>
      <w:r w:rsidRPr="002C1139">
        <w:rPr>
          <w:rFonts w:cs="Calibri"/>
          <w:b/>
        </w:rPr>
        <w:fldChar w:fldCharType="end"/>
      </w:r>
    </w:p>
    <w:p w14:paraId="30AEBBC0" w14:textId="77777777" w:rsidR="002E2B83" w:rsidRDefault="002E2B83">
      <w:pPr>
        <w:rPr>
          <w:rFonts w:cs="Calibri"/>
          <w:b/>
          <w:sz w:val="24"/>
          <w:szCs w:val="24"/>
        </w:rPr>
      </w:pPr>
      <w:r>
        <w:rPr>
          <w:rFonts w:cs="Calibri"/>
          <w:b/>
          <w:sz w:val="24"/>
          <w:szCs w:val="24"/>
        </w:rPr>
        <w:br w:type="page"/>
      </w:r>
    </w:p>
    <w:p w14:paraId="3A658274" w14:textId="77777777" w:rsidR="00BE2E36" w:rsidRPr="002E2B83" w:rsidRDefault="00BE2E36" w:rsidP="002E2B83">
      <w:pPr>
        <w:pStyle w:val="Heading1"/>
        <w:keepLines w:val="0"/>
        <w:spacing w:before="240" w:after="60" w:line="240" w:lineRule="auto"/>
        <w:rPr>
          <w:rFonts w:ascii="Calibri" w:eastAsia="Times New Roman" w:hAnsi="Calibri" w:cs="Arial"/>
          <w:color w:val="auto"/>
          <w:kern w:val="32"/>
          <w:sz w:val="32"/>
          <w:szCs w:val="32"/>
          <w:lang w:eastAsia="en-AU"/>
        </w:rPr>
      </w:pPr>
      <w:bookmarkStart w:id="0" w:name="_Toc365872620"/>
      <w:r w:rsidRPr="002E2B83">
        <w:rPr>
          <w:rFonts w:ascii="Calibri" w:eastAsia="Times New Roman" w:hAnsi="Calibri" w:cs="Arial"/>
          <w:color w:val="auto"/>
          <w:kern w:val="32"/>
          <w:sz w:val="32"/>
          <w:szCs w:val="32"/>
          <w:lang w:eastAsia="en-AU"/>
        </w:rPr>
        <w:lastRenderedPageBreak/>
        <w:t>Acronyms</w:t>
      </w:r>
      <w:bookmarkEnd w:id="0"/>
    </w:p>
    <w:p w14:paraId="634A5D7A" w14:textId="77777777" w:rsidR="00FD4C20" w:rsidRPr="002C1139" w:rsidRDefault="00FD4C20" w:rsidP="00BE2E36">
      <w:pPr>
        <w:spacing w:after="0" w:line="240" w:lineRule="auto"/>
        <w:rPr>
          <w:rFonts w:cstheme="minorHAnsi"/>
        </w:rPr>
      </w:pPr>
      <w:r w:rsidRPr="002C1139">
        <w:rPr>
          <w:rFonts w:cstheme="minorHAnsi"/>
        </w:rPr>
        <w:t>AMO</w:t>
      </w:r>
      <w:r w:rsidRPr="002C1139">
        <w:rPr>
          <w:rFonts w:cstheme="minorHAnsi"/>
        </w:rPr>
        <w:tab/>
      </w:r>
      <w:r w:rsidRPr="002C1139">
        <w:rPr>
          <w:rFonts w:cstheme="minorHAnsi"/>
        </w:rPr>
        <w:tab/>
        <w:t>Annual Measurable Objective</w:t>
      </w:r>
    </w:p>
    <w:p w14:paraId="36F0FA25" w14:textId="77777777" w:rsidR="007728CC" w:rsidRPr="002C1139" w:rsidRDefault="007728CC" w:rsidP="00BE2E36">
      <w:pPr>
        <w:spacing w:after="0" w:line="240" w:lineRule="auto"/>
        <w:rPr>
          <w:rFonts w:cstheme="minorHAnsi"/>
        </w:rPr>
      </w:pPr>
      <w:r w:rsidRPr="002C1139">
        <w:rPr>
          <w:rFonts w:cstheme="minorHAnsi"/>
        </w:rPr>
        <w:t>AMS</w:t>
      </w:r>
      <w:r w:rsidRPr="002C1139">
        <w:rPr>
          <w:rFonts w:cstheme="minorHAnsi"/>
        </w:rPr>
        <w:tab/>
      </w:r>
      <w:r w:rsidRPr="002C1139">
        <w:rPr>
          <w:rFonts w:cstheme="minorHAnsi"/>
        </w:rPr>
        <w:tab/>
        <w:t>Arbeitsmarktservice</w:t>
      </w:r>
    </w:p>
    <w:p w14:paraId="55B93BB3" w14:textId="77777777" w:rsidR="00CF4574" w:rsidRPr="002C1139" w:rsidRDefault="00CF4574" w:rsidP="00BE2E36">
      <w:pPr>
        <w:spacing w:after="0" w:line="240" w:lineRule="auto"/>
        <w:rPr>
          <w:rFonts w:cstheme="minorHAnsi"/>
        </w:rPr>
      </w:pPr>
      <w:r w:rsidRPr="002C1139">
        <w:rPr>
          <w:rFonts w:cstheme="minorHAnsi"/>
        </w:rPr>
        <w:t>AYP</w:t>
      </w:r>
      <w:r w:rsidRPr="002C1139">
        <w:rPr>
          <w:rFonts w:cstheme="minorHAnsi"/>
        </w:rPr>
        <w:tab/>
      </w:r>
      <w:r w:rsidRPr="002C1139">
        <w:rPr>
          <w:rFonts w:cstheme="minorHAnsi"/>
        </w:rPr>
        <w:tab/>
        <w:t>Adequate Yearly Progress</w:t>
      </w:r>
    </w:p>
    <w:p w14:paraId="3E342F33" w14:textId="77777777" w:rsidR="00CF4574" w:rsidRPr="002C1139" w:rsidRDefault="00CF4574" w:rsidP="00BE2E36">
      <w:pPr>
        <w:spacing w:after="0" w:line="240" w:lineRule="auto"/>
        <w:rPr>
          <w:rFonts w:cstheme="minorHAnsi"/>
          <w:bCs/>
          <w:color w:val="000000"/>
        </w:rPr>
      </w:pPr>
      <w:r w:rsidRPr="002C1139">
        <w:rPr>
          <w:rFonts w:cstheme="minorHAnsi"/>
        </w:rPr>
        <w:t>CA</w:t>
      </w:r>
      <w:r w:rsidR="002C6701">
        <w:rPr>
          <w:rFonts w:cstheme="minorHAnsi"/>
        </w:rPr>
        <w:t>&amp;</w:t>
      </w:r>
      <w:r w:rsidRPr="002C1139">
        <w:rPr>
          <w:rFonts w:cstheme="minorHAnsi"/>
        </w:rPr>
        <w:t>&amp;G</w:t>
      </w:r>
      <w:r w:rsidRPr="002C1139">
        <w:rPr>
          <w:rFonts w:cstheme="minorHAnsi"/>
        </w:rPr>
        <w:tab/>
      </w:r>
      <w:r w:rsidRPr="002C1139">
        <w:rPr>
          <w:rFonts w:cstheme="minorHAnsi"/>
        </w:rPr>
        <w:tab/>
      </w:r>
      <w:r w:rsidRPr="002C1139">
        <w:rPr>
          <w:rFonts w:cstheme="minorHAnsi"/>
          <w:bCs/>
          <w:color w:val="000000"/>
        </w:rPr>
        <w:t>Comptroller and Auditor General</w:t>
      </w:r>
    </w:p>
    <w:p w14:paraId="730383F4" w14:textId="77777777" w:rsidR="00CF4574" w:rsidRPr="002C1139" w:rsidRDefault="00CF4574" w:rsidP="00BE2E36">
      <w:pPr>
        <w:spacing w:after="0" w:line="240" w:lineRule="auto"/>
        <w:rPr>
          <w:rFonts w:cstheme="minorHAnsi"/>
          <w:bCs/>
          <w:color w:val="000000"/>
        </w:rPr>
      </w:pPr>
      <w:r w:rsidRPr="002C1139">
        <w:rPr>
          <w:rFonts w:cstheme="minorHAnsi"/>
          <w:bCs/>
          <w:color w:val="000000"/>
        </w:rPr>
        <w:t>CESI</w:t>
      </w:r>
      <w:r w:rsidRPr="002C1139">
        <w:rPr>
          <w:rFonts w:cstheme="minorHAnsi"/>
          <w:bCs/>
          <w:color w:val="000000"/>
        </w:rPr>
        <w:tab/>
      </w:r>
      <w:r w:rsidRPr="002C1139">
        <w:rPr>
          <w:rFonts w:cstheme="minorHAnsi"/>
          <w:bCs/>
          <w:color w:val="000000"/>
        </w:rPr>
        <w:tab/>
        <w:t>Centre for Economic and Social Inclusion</w:t>
      </w:r>
    </w:p>
    <w:p w14:paraId="68EA0BF8" w14:textId="77777777" w:rsidR="007728CC" w:rsidRPr="002C1139" w:rsidRDefault="007728CC" w:rsidP="00BE2E36">
      <w:pPr>
        <w:spacing w:after="0" w:line="240" w:lineRule="auto"/>
        <w:rPr>
          <w:rFonts w:cstheme="minorHAnsi"/>
          <w:bCs/>
          <w:color w:val="000000"/>
        </w:rPr>
      </w:pPr>
      <w:r w:rsidRPr="002C1139">
        <w:rPr>
          <w:rFonts w:cstheme="minorHAnsi"/>
          <w:bCs/>
          <w:color w:val="000000"/>
        </w:rPr>
        <w:t>CPI</w:t>
      </w:r>
      <w:r w:rsidRPr="002C1139">
        <w:rPr>
          <w:rFonts w:cstheme="minorHAnsi"/>
          <w:bCs/>
          <w:color w:val="000000"/>
        </w:rPr>
        <w:tab/>
      </w:r>
      <w:r w:rsidRPr="002C1139">
        <w:rPr>
          <w:rFonts w:cstheme="minorHAnsi"/>
          <w:bCs/>
          <w:color w:val="000000"/>
        </w:rPr>
        <w:tab/>
        <w:t>Consumer Price Index</w:t>
      </w:r>
    </w:p>
    <w:p w14:paraId="75DA0B52" w14:textId="77777777" w:rsidR="00ED51D7" w:rsidRPr="002C1139" w:rsidRDefault="00ED51D7" w:rsidP="00BE2E36">
      <w:pPr>
        <w:spacing w:after="0" w:line="240" w:lineRule="auto"/>
        <w:rPr>
          <w:rFonts w:cstheme="minorHAnsi"/>
        </w:rPr>
      </w:pPr>
      <w:r w:rsidRPr="002C1139">
        <w:rPr>
          <w:rFonts w:cstheme="minorHAnsi"/>
          <w:bCs/>
          <w:color w:val="000000"/>
        </w:rPr>
        <w:t>CSE</w:t>
      </w:r>
      <w:r w:rsidRPr="002C1139">
        <w:rPr>
          <w:rFonts w:cstheme="minorHAnsi"/>
          <w:bCs/>
          <w:color w:val="000000"/>
        </w:rPr>
        <w:tab/>
      </w:r>
      <w:r w:rsidRPr="002C1139">
        <w:rPr>
          <w:rFonts w:cstheme="minorHAnsi"/>
          <w:bCs/>
          <w:color w:val="000000"/>
        </w:rPr>
        <w:tab/>
      </w:r>
      <w:r w:rsidRPr="002C1139">
        <w:rPr>
          <w:rFonts w:cstheme="minorHAnsi"/>
        </w:rPr>
        <w:t>Child Support Enforcement</w:t>
      </w:r>
    </w:p>
    <w:p w14:paraId="48F14E03" w14:textId="77777777" w:rsidR="00BE2E36" w:rsidRPr="002C1139" w:rsidRDefault="00BE2E36" w:rsidP="00BE2E36">
      <w:pPr>
        <w:spacing w:after="0" w:line="240" w:lineRule="auto"/>
        <w:rPr>
          <w:rFonts w:cstheme="minorHAnsi"/>
          <w:b/>
        </w:rPr>
      </w:pPr>
      <w:r w:rsidRPr="006F44C4">
        <w:rPr>
          <w:rFonts w:cstheme="minorHAnsi"/>
        </w:rPr>
        <w:t xml:space="preserve">DEEWR </w:t>
      </w:r>
      <w:r w:rsidRPr="006F44C4">
        <w:rPr>
          <w:rFonts w:cstheme="minorHAnsi"/>
        </w:rPr>
        <w:tab/>
      </w:r>
      <w:r w:rsidR="00AE772C" w:rsidRPr="006F44C4">
        <w:rPr>
          <w:rFonts w:cstheme="minorHAnsi"/>
        </w:rPr>
        <w:tab/>
      </w:r>
      <w:r w:rsidRPr="006F44C4">
        <w:rPr>
          <w:rFonts w:cstheme="minorHAnsi"/>
        </w:rPr>
        <w:t>Department of Education, Employment and Workplace Relations</w:t>
      </w:r>
      <w:r w:rsidRPr="002C1139">
        <w:rPr>
          <w:rFonts w:cstheme="minorHAnsi"/>
          <w:b/>
        </w:rPr>
        <w:t xml:space="preserve"> </w:t>
      </w:r>
    </w:p>
    <w:p w14:paraId="6C4AA16E" w14:textId="3C9F3A3E" w:rsidR="00BE2E36" w:rsidRDefault="00BE2E36" w:rsidP="00BE2E36">
      <w:pPr>
        <w:spacing w:after="0" w:line="240" w:lineRule="auto"/>
        <w:rPr>
          <w:rFonts w:cstheme="minorHAnsi"/>
        </w:rPr>
      </w:pPr>
      <w:r w:rsidRPr="002C1139">
        <w:rPr>
          <w:rFonts w:cstheme="minorHAnsi"/>
        </w:rPr>
        <w:t xml:space="preserve">DES </w:t>
      </w:r>
      <w:r w:rsidR="004A5C0B">
        <w:rPr>
          <w:rFonts w:cstheme="minorHAnsi"/>
        </w:rPr>
        <w:tab/>
      </w:r>
      <w:r w:rsidR="004A5C0B">
        <w:rPr>
          <w:rFonts w:cstheme="minorHAnsi"/>
        </w:rPr>
        <w:tab/>
        <w:t>Disability Employment Services</w:t>
      </w:r>
    </w:p>
    <w:p w14:paraId="401D2D9C" w14:textId="7E1BCD32" w:rsidR="00D05390" w:rsidRDefault="00D05390" w:rsidP="00BE2E36">
      <w:pPr>
        <w:spacing w:after="0" w:line="240" w:lineRule="auto"/>
        <w:rPr>
          <w:rFonts w:cstheme="minorHAnsi"/>
        </w:rPr>
      </w:pPr>
      <w:r>
        <w:rPr>
          <w:rFonts w:cstheme="minorHAnsi"/>
        </w:rPr>
        <w:t>DoE</w:t>
      </w:r>
      <w:r>
        <w:rPr>
          <w:rFonts w:cstheme="minorHAnsi"/>
        </w:rPr>
        <w:tab/>
      </w:r>
      <w:r>
        <w:rPr>
          <w:rFonts w:cstheme="minorHAnsi"/>
        </w:rPr>
        <w:tab/>
        <w:t>Department of Employment</w:t>
      </w:r>
    </w:p>
    <w:p w14:paraId="438A31B8" w14:textId="6D03A6A6" w:rsidR="004A5C0B" w:rsidRPr="002C1139" w:rsidRDefault="004A5C0B" w:rsidP="00BE2E36">
      <w:pPr>
        <w:spacing w:after="0" w:line="240" w:lineRule="auto"/>
        <w:rPr>
          <w:rFonts w:cstheme="minorHAnsi"/>
        </w:rPr>
      </w:pPr>
      <w:r>
        <w:rPr>
          <w:rFonts w:cstheme="minorHAnsi"/>
        </w:rPr>
        <w:t>DSS</w:t>
      </w:r>
      <w:r>
        <w:rPr>
          <w:rFonts w:cstheme="minorHAnsi"/>
        </w:rPr>
        <w:tab/>
      </w:r>
      <w:r>
        <w:rPr>
          <w:rFonts w:cstheme="minorHAnsi"/>
        </w:rPr>
        <w:tab/>
        <w:t>Department of Social Services</w:t>
      </w:r>
    </w:p>
    <w:p w14:paraId="061FD8B9" w14:textId="77777777" w:rsidR="00FD4C20" w:rsidRPr="002C1139" w:rsidRDefault="00FD4C20" w:rsidP="00BE2E36">
      <w:pPr>
        <w:spacing w:after="0" w:line="240" w:lineRule="auto"/>
        <w:rPr>
          <w:rFonts w:cstheme="minorHAnsi"/>
        </w:rPr>
      </w:pPr>
      <w:r w:rsidRPr="002C1139">
        <w:rPr>
          <w:rFonts w:cstheme="minorHAnsi"/>
        </w:rPr>
        <w:t>DOL</w:t>
      </w:r>
      <w:r w:rsidRPr="002C1139">
        <w:rPr>
          <w:rFonts w:cstheme="minorHAnsi"/>
        </w:rPr>
        <w:tab/>
      </w:r>
      <w:r w:rsidRPr="002C1139">
        <w:rPr>
          <w:rFonts w:cstheme="minorHAnsi"/>
        </w:rPr>
        <w:tab/>
        <w:t>Department of Labor</w:t>
      </w:r>
    </w:p>
    <w:p w14:paraId="0EC9EA15" w14:textId="77777777" w:rsidR="00B82281" w:rsidRPr="002C1139" w:rsidRDefault="00B82281" w:rsidP="00BE2E36">
      <w:pPr>
        <w:spacing w:after="0" w:line="240" w:lineRule="auto"/>
        <w:rPr>
          <w:rFonts w:cstheme="minorHAnsi"/>
        </w:rPr>
      </w:pPr>
      <w:r w:rsidRPr="002C1139">
        <w:rPr>
          <w:rFonts w:cstheme="minorHAnsi"/>
        </w:rPr>
        <w:t>DWP</w:t>
      </w:r>
      <w:r w:rsidRPr="002C1139">
        <w:rPr>
          <w:rFonts w:cstheme="minorHAnsi"/>
        </w:rPr>
        <w:tab/>
      </w:r>
      <w:r w:rsidRPr="002C1139">
        <w:rPr>
          <w:rFonts w:cstheme="minorHAnsi"/>
        </w:rPr>
        <w:tab/>
        <w:t>Department for Work and Pensions</w:t>
      </w:r>
    </w:p>
    <w:p w14:paraId="7325D5EF" w14:textId="77777777" w:rsidR="00BE2E36" w:rsidRPr="002C1139" w:rsidRDefault="00BE2E36" w:rsidP="00BE2E36">
      <w:pPr>
        <w:spacing w:after="0" w:line="240" w:lineRule="auto"/>
        <w:rPr>
          <w:rFonts w:cstheme="minorHAnsi"/>
        </w:rPr>
      </w:pPr>
      <w:r w:rsidRPr="002C1139">
        <w:rPr>
          <w:rFonts w:cstheme="minorHAnsi"/>
        </w:rPr>
        <w:t xml:space="preserve">EETYF </w:t>
      </w:r>
      <w:r w:rsidRPr="002C1139">
        <w:rPr>
          <w:rFonts w:cstheme="minorHAnsi"/>
        </w:rPr>
        <w:tab/>
      </w:r>
      <w:r w:rsidRPr="002C1139">
        <w:rPr>
          <w:rFonts w:cstheme="minorHAnsi"/>
        </w:rPr>
        <w:tab/>
        <w:t>Employment, Education, Training and Youth Affairs</w:t>
      </w:r>
    </w:p>
    <w:p w14:paraId="0D8D1568" w14:textId="77777777" w:rsidR="00FB1A1F" w:rsidRPr="002C1139" w:rsidRDefault="00FB1A1F" w:rsidP="00BE2E36">
      <w:pPr>
        <w:spacing w:after="0" w:line="240" w:lineRule="auto"/>
        <w:rPr>
          <w:rFonts w:cstheme="minorHAnsi"/>
        </w:rPr>
      </w:pPr>
      <w:r w:rsidRPr="002C1139">
        <w:rPr>
          <w:rFonts w:cstheme="minorHAnsi"/>
        </w:rPr>
        <w:t>ESS</w:t>
      </w:r>
      <w:r w:rsidRPr="002C1139">
        <w:rPr>
          <w:rFonts w:cstheme="minorHAnsi"/>
        </w:rPr>
        <w:tab/>
      </w:r>
      <w:r w:rsidRPr="002C1139">
        <w:rPr>
          <w:rFonts w:cstheme="minorHAnsi"/>
        </w:rPr>
        <w:tab/>
        <w:t>Employment Service System</w:t>
      </w:r>
    </w:p>
    <w:p w14:paraId="787AF9B0" w14:textId="77777777" w:rsidR="00CF4574" w:rsidRPr="002C1139" w:rsidRDefault="00CF4574" w:rsidP="00BE2E36">
      <w:pPr>
        <w:spacing w:after="0" w:line="240" w:lineRule="auto"/>
        <w:rPr>
          <w:rFonts w:cstheme="minorHAnsi"/>
        </w:rPr>
      </w:pPr>
      <w:r w:rsidRPr="002C1139">
        <w:rPr>
          <w:rFonts w:cstheme="minorHAnsi"/>
        </w:rPr>
        <w:t>FND</w:t>
      </w:r>
      <w:r w:rsidRPr="002C1139">
        <w:rPr>
          <w:rFonts w:cstheme="minorHAnsi"/>
        </w:rPr>
        <w:tab/>
      </w:r>
      <w:r w:rsidRPr="002C1139">
        <w:rPr>
          <w:rFonts w:cstheme="minorHAnsi"/>
        </w:rPr>
        <w:tab/>
        <w:t>Flexible New Deal</w:t>
      </w:r>
    </w:p>
    <w:p w14:paraId="20C9DD02" w14:textId="77777777" w:rsidR="007728CC" w:rsidRPr="002C1139" w:rsidRDefault="007728CC" w:rsidP="00BE2E36">
      <w:pPr>
        <w:spacing w:after="0" w:line="240" w:lineRule="auto"/>
        <w:rPr>
          <w:rFonts w:cstheme="minorHAnsi"/>
        </w:rPr>
      </w:pPr>
      <w:r w:rsidRPr="002C1139">
        <w:rPr>
          <w:rFonts w:cstheme="minorHAnsi"/>
        </w:rPr>
        <w:t>GDP</w:t>
      </w:r>
      <w:r w:rsidRPr="002C1139">
        <w:rPr>
          <w:rFonts w:cstheme="minorHAnsi"/>
        </w:rPr>
        <w:tab/>
      </w:r>
      <w:r w:rsidRPr="002C1139">
        <w:rPr>
          <w:rFonts w:cstheme="minorHAnsi"/>
        </w:rPr>
        <w:tab/>
        <w:t>Gross Domestic Product</w:t>
      </w:r>
    </w:p>
    <w:p w14:paraId="7B306A2B" w14:textId="77777777" w:rsidR="00FD4C20" w:rsidRPr="002C1139" w:rsidRDefault="00FD4C20" w:rsidP="00BE2E36">
      <w:pPr>
        <w:spacing w:after="0" w:line="240" w:lineRule="auto"/>
        <w:rPr>
          <w:rFonts w:cstheme="minorHAnsi"/>
        </w:rPr>
      </w:pPr>
      <w:r w:rsidRPr="002C1139">
        <w:rPr>
          <w:rFonts w:cstheme="minorHAnsi"/>
        </w:rPr>
        <w:t xml:space="preserve">GPRA </w:t>
      </w:r>
      <w:r w:rsidRPr="002C1139">
        <w:rPr>
          <w:rFonts w:cstheme="minorHAnsi"/>
        </w:rPr>
        <w:tab/>
      </w:r>
      <w:r w:rsidRPr="002C1139">
        <w:rPr>
          <w:rFonts w:cstheme="minorHAnsi"/>
        </w:rPr>
        <w:tab/>
        <w:t>Government Performance and Results Act</w:t>
      </w:r>
    </w:p>
    <w:p w14:paraId="0B65E8AA" w14:textId="77777777" w:rsidR="00FB1A1F" w:rsidRPr="002C1139" w:rsidRDefault="00FB1A1F" w:rsidP="00BE2E36">
      <w:pPr>
        <w:spacing w:after="0" w:line="240" w:lineRule="auto"/>
        <w:rPr>
          <w:rFonts w:cstheme="minorHAnsi"/>
          <w:b/>
        </w:rPr>
      </w:pPr>
      <w:r w:rsidRPr="002C1139">
        <w:rPr>
          <w:rFonts w:cstheme="minorHAnsi"/>
        </w:rPr>
        <w:t>IPS</w:t>
      </w:r>
      <w:r w:rsidRPr="002C1139">
        <w:rPr>
          <w:rFonts w:cstheme="minorHAnsi"/>
        </w:rPr>
        <w:tab/>
      </w:r>
      <w:r w:rsidRPr="002C1139">
        <w:rPr>
          <w:rFonts w:cstheme="minorHAnsi"/>
        </w:rPr>
        <w:tab/>
        <w:t>Individual Placement and Support</w:t>
      </w:r>
    </w:p>
    <w:p w14:paraId="58F944AC" w14:textId="6450FB20" w:rsidR="001C0EB2" w:rsidRDefault="001C0EB2" w:rsidP="00BE2E36">
      <w:pPr>
        <w:spacing w:after="0" w:line="240" w:lineRule="auto"/>
        <w:rPr>
          <w:rFonts w:cstheme="minorHAnsi"/>
        </w:rPr>
      </w:pPr>
      <w:r>
        <w:rPr>
          <w:rFonts w:cstheme="minorHAnsi"/>
        </w:rPr>
        <w:t>ITT</w:t>
      </w:r>
      <w:r>
        <w:rPr>
          <w:rFonts w:cstheme="minorHAnsi"/>
        </w:rPr>
        <w:tab/>
      </w:r>
      <w:r>
        <w:rPr>
          <w:rFonts w:cstheme="minorHAnsi"/>
        </w:rPr>
        <w:tab/>
        <w:t>Invitation to Tender</w:t>
      </w:r>
    </w:p>
    <w:p w14:paraId="5F9B6ABE" w14:textId="6D11A524" w:rsidR="00BE2E36" w:rsidRPr="002C1139" w:rsidRDefault="00BE2E36" w:rsidP="00BE2E36">
      <w:pPr>
        <w:spacing w:after="0" w:line="240" w:lineRule="auto"/>
        <w:rPr>
          <w:rFonts w:cstheme="minorHAnsi"/>
        </w:rPr>
      </w:pPr>
      <w:r w:rsidRPr="002C1139">
        <w:rPr>
          <w:rFonts w:cstheme="minorHAnsi"/>
        </w:rPr>
        <w:t xml:space="preserve">JSA </w:t>
      </w:r>
      <w:r w:rsidRPr="002C1139">
        <w:rPr>
          <w:rFonts w:cstheme="minorHAnsi"/>
        </w:rPr>
        <w:tab/>
      </w:r>
      <w:r w:rsidRPr="002C1139">
        <w:rPr>
          <w:rFonts w:cstheme="minorHAnsi"/>
        </w:rPr>
        <w:tab/>
        <w:t xml:space="preserve">Job Services Australia </w:t>
      </w:r>
    </w:p>
    <w:p w14:paraId="685AE292" w14:textId="77777777" w:rsidR="00B82281" w:rsidRPr="002C1139" w:rsidRDefault="00B82281" w:rsidP="00BE2E36">
      <w:pPr>
        <w:spacing w:after="0" w:line="240" w:lineRule="auto"/>
        <w:rPr>
          <w:rFonts w:cstheme="minorHAnsi"/>
        </w:rPr>
      </w:pPr>
      <w:r w:rsidRPr="002C1139">
        <w:rPr>
          <w:rFonts w:cstheme="minorHAnsi"/>
        </w:rPr>
        <w:t>JTPA</w:t>
      </w:r>
      <w:r w:rsidRPr="002C1139">
        <w:rPr>
          <w:rFonts w:cstheme="minorHAnsi"/>
        </w:rPr>
        <w:tab/>
      </w:r>
      <w:r w:rsidRPr="002C1139">
        <w:rPr>
          <w:rFonts w:cstheme="minorHAnsi"/>
        </w:rPr>
        <w:tab/>
        <w:t>Job Training Partnership Act</w:t>
      </w:r>
    </w:p>
    <w:p w14:paraId="01B2FC4B" w14:textId="77777777" w:rsidR="00BE2E36" w:rsidRPr="002C1139" w:rsidRDefault="00BE2E36" w:rsidP="00BE2E36">
      <w:pPr>
        <w:spacing w:after="0" w:line="240" w:lineRule="auto"/>
        <w:rPr>
          <w:rFonts w:cstheme="minorHAnsi"/>
        </w:rPr>
      </w:pPr>
      <w:r w:rsidRPr="002C1139">
        <w:rPr>
          <w:rFonts w:cstheme="minorHAnsi"/>
        </w:rPr>
        <w:t xml:space="preserve">KPI </w:t>
      </w:r>
      <w:r w:rsidRPr="002C1139">
        <w:rPr>
          <w:rFonts w:cstheme="minorHAnsi"/>
        </w:rPr>
        <w:tab/>
      </w:r>
      <w:r w:rsidRPr="002C1139">
        <w:rPr>
          <w:rFonts w:cstheme="minorHAnsi"/>
        </w:rPr>
        <w:tab/>
        <w:t xml:space="preserve">Key Performance Indicator </w:t>
      </w:r>
    </w:p>
    <w:p w14:paraId="4A858962" w14:textId="77777777" w:rsidR="007728CC" w:rsidRPr="002C1139" w:rsidRDefault="007728CC" w:rsidP="00BE2E36">
      <w:pPr>
        <w:spacing w:after="0" w:line="240" w:lineRule="auto"/>
        <w:rPr>
          <w:rFonts w:cstheme="minorHAnsi"/>
        </w:rPr>
      </w:pPr>
      <w:r w:rsidRPr="002C1139">
        <w:rPr>
          <w:rFonts w:cstheme="minorHAnsi"/>
        </w:rPr>
        <w:t>LWA</w:t>
      </w:r>
      <w:r w:rsidRPr="002C1139">
        <w:rPr>
          <w:rFonts w:cstheme="minorHAnsi"/>
        </w:rPr>
        <w:tab/>
      </w:r>
      <w:r w:rsidRPr="002C1139">
        <w:rPr>
          <w:rFonts w:cstheme="minorHAnsi"/>
        </w:rPr>
        <w:tab/>
        <w:t>Local Workforce Area</w:t>
      </w:r>
    </w:p>
    <w:p w14:paraId="7FF46106" w14:textId="77777777" w:rsidR="00B82281" w:rsidRPr="002C1139" w:rsidRDefault="00B82281" w:rsidP="00BE2E36">
      <w:pPr>
        <w:spacing w:after="0" w:line="240" w:lineRule="auto"/>
        <w:rPr>
          <w:rFonts w:cstheme="minorHAnsi"/>
        </w:rPr>
      </w:pPr>
      <w:r w:rsidRPr="002C1139">
        <w:rPr>
          <w:rFonts w:cstheme="minorHAnsi"/>
        </w:rPr>
        <w:t xml:space="preserve">NCLB </w:t>
      </w:r>
      <w:r w:rsidRPr="002C1139">
        <w:rPr>
          <w:rFonts w:cstheme="minorHAnsi"/>
        </w:rPr>
        <w:tab/>
      </w:r>
      <w:r w:rsidRPr="002C1139">
        <w:rPr>
          <w:rFonts w:cstheme="minorHAnsi"/>
        </w:rPr>
        <w:tab/>
        <w:t>No Child Left Behind Act</w:t>
      </w:r>
    </w:p>
    <w:p w14:paraId="5D3B0DA7" w14:textId="77777777" w:rsidR="00CF4574" w:rsidRPr="002C1139" w:rsidRDefault="00CF4574" w:rsidP="00BE2E36">
      <w:pPr>
        <w:spacing w:after="0" w:line="240" w:lineRule="auto"/>
        <w:rPr>
          <w:rFonts w:cstheme="minorHAnsi"/>
        </w:rPr>
      </w:pPr>
      <w:r w:rsidRPr="002C1139">
        <w:rPr>
          <w:rFonts w:cstheme="minorHAnsi"/>
        </w:rPr>
        <w:t>NCLP</w:t>
      </w:r>
      <w:r w:rsidRPr="002C1139">
        <w:rPr>
          <w:rFonts w:cstheme="minorHAnsi"/>
        </w:rPr>
        <w:tab/>
      </w:r>
      <w:r w:rsidRPr="002C1139">
        <w:rPr>
          <w:rFonts w:cstheme="minorHAnsi"/>
        </w:rPr>
        <w:tab/>
        <w:t>No Cure Less Pay</w:t>
      </w:r>
    </w:p>
    <w:p w14:paraId="3D879DDA" w14:textId="77777777" w:rsidR="00CF4574" w:rsidRPr="002C1139" w:rsidRDefault="00CF4574" w:rsidP="00BE2E36">
      <w:pPr>
        <w:spacing w:after="0" w:line="240" w:lineRule="auto"/>
        <w:rPr>
          <w:rFonts w:cstheme="minorHAnsi"/>
        </w:rPr>
      </w:pPr>
      <w:r w:rsidRPr="002C1139">
        <w:rPr>
          <w:rFonts w:cstheme="minorHAnsi"/>
        </w:rPr>
        <w:t>NCNP</w:t>
      </w:r>
      <w:r w:rsidRPr="002C1139">
        <w:rPr>
          <w:rFonts w:cstheme="minorHAnsi"/>
        </w:rPr>
        <w:tab/>
      </w:r>
      <w:r w:rsidRPr="002C1139">
        <w:rPr>
          <w:rFonts w:cstheme="minorHAnsi"/>
        </w:rPr>
        <w:tab/>
        <w:t>No Cure No Pay</w:t>
      </w:r>
    </w:p>
    <w:p w14:paraId="16BF9A66" w14:textId="77777777" w:rsidR="00CF4574" w:rsidRPr="002C1139" w:rsidRDefault="00CF4574" w:rsidP="00BE2E36">
      <w:pPr>
        <w:spacing w:after="0" w:line="240" w:lineRule="auto"/>
        <w:rPr>
          <w:rFonts w:cstheme="minorHAnsi"/>
        </w:rPr>
      </w:pPr>
      <w:r w:rsidRPr="002C1139">
        <w:rPr>
          <w:rFonts w:cstheme="minorHAnsi"/>
        </w:rPr>
        <w:t>NHS</w:t>
      </w:r>
      <w:r w:rsidRPr="002C1139">
        <w:rPr>
          <w:rFonts w:cstheme="minorHAnsi"/>
        </w:rPr>
        <w:tab/>
      </w:r>
      <w:r w:rsidRPr="002C1139">
        <w:rPr>
          <w:rFonts w:cstheme="minorHAnsi"/>
        </w:rPr>
        <w:tab/>
        <w:t>National Health Service</w:t>
      </w:r>
    </w:p>
    <w:p w14:paraId="4F930B9A" w14:textId="77777777" w:rsidR="00BE2E36" w:rsidRPr="002C1139" w:rsidRDefault="00BE2E36" w:rsidP="00BE2E36">
      <w:pPr>
        <w:spacing w:after="0" w:line="240" w:lineRule="auto"/>
        <w:rPr>
          <w:rFonts w:cstheme="minorHAnsi"/>
        </w:rPr>
      </w:pPr>
      <w:r w:rsidRPr="002C1139">
        <w:rPr>
          <w:rFonts w:cstheme="minorHAnsi"/>
        </w:rPr>
        <w:t xml:space="preserve">OECD </w:t>
      </w:r>
      <w:r w:rsidRPr="002C1139">
        <w:rPr>
          <w:rFonts w:cstheme="minorHAnsi"/>
        </w:rPr>
        <w:tab/>
      </w:r>
      <w:r w:rsidRPr="002C1139">
        <w:rPr>
          <w:rFonts w:cstheme="minorHAnsi"/>
        </w:rPr>
        <w:tab/>
        <w:t xml:space="preserve">Organisation for Economic Cooperation and Development </w:t>
      </w:r>
    </w:p>
    <w:p w14:paraId="5730F6E6" w14:textId="77777777" w:rsidR="007728CC" w:rsidRPr="002C1139" w:rsidRDefault="007728CC" w:rsidP="00BE2E36">
      <w:pPr>
        <w:spacing w:after="0" w:line="240" w:lineRule="auto"/>
        <w:rPr>
          <w:rFonts w:cstheme="minorHAnsi"/>
        </w:rPr>
      </w:pPr>
      <w:r w:rsidRPr="002C1139">
        <w:rPr>
          <w:rFonts w:cstheme="minorHAnsi"/>
        </w:rPr>
        <w:t>PCT</w:t>
      </w:r>
      <w:r w:rsidRPr="002C1139">
        <w:rPr>
          <w:rFonts w:cstheme="minorHAnsi"/>
        </w:rPr>
        <w:tab/>
      </w:r>
      <w:r w:rsidRPr="002C1139">
        <w:rPr>
          <w:rFonts w:cstheme="minorHAnsi"/>
        </w:rPr>
        <w:tab/>
        <w:t>Primary Care Trusts</w:t>
      </w:r>
    </w:p>
    <w:p w14:paraId="0C7CBB3C" w14:textId="77777777" w:rsidR="007728CC" w:rsidRPr="002C1139" w:rsidRDefault="007728CC" w:rsidP="00BE2E36">
      <w:pPr>
        <w:spacing w:after="0" w:line="240" w:lineRule="auto"/>
        <w:rPr>
          <w:rFonts w:cstheme="minorHAnsi"/>
        </w:rPr>
      </w:pPr>
      <w:r w:rsidRPr="002C1139">
        <w:rPr>
          <w:rFonts w:cstheme="minorHAnsi"/>
        </w:rPr>
        <w:t>PES</w:t>
      </w:r>
      <w:r w:rsidRPr="002C1139">
        <w:rPr>
          <w:rFonts w:cstheme="minorHAnsi"/>
        </w:rPr>
        <w:tab/>
      </w:r>
      <w:r w:rsidRPr="002C1139">
        <w:rPr>
          <w:rFonts w:cstheme="minorHAnsi"/>
        </w:rPr>
        <w:tab/>
        <w:t>Public Employment Services</w:t>
      </w:r>
    </w:p>
    <w:p w14:paraId="2827B2EE" w14:textId="77777777" w:rsidR="007728CC" w:rsidRPr="002C1139" w:rsidRDefault="007728CC" w:rsidP="00BE2E36">
      <w:pPr>
        <w:spacing w:after="0" w:line="240" w:lineRule="auto"/>
        <w:rPr>
          <w:rFonts w:cstheme="minorHAnsi"/>
        </w:rPr>
      </w:pPr>
      <w:r w:rsidRPr="002C1139">
        <w:rPr>
          <w:rFonts w:cstheme="minorHAnsi"/>
        </w:rPr>
        <w:t>R&amp;D</w:t>
      </w:r>
      <w:r w:rsidRPr="002C1139">
        <w:rPr>
          <w:rFonts w:cstheme="minorHAnsi"/>
        </w:rPr>
        <w:tab/>
      </w:r>
      <w:r w:rsidRPr="002C1139">
        <w:rPr>
          <w:rFonts w:cstheme="minorHAnsi"/>
        </w:rPr>
        <w:tab/>
        <w:t>Research and Development</w:t>
      </w:r>
    </w:p>
    <w:p w14:paraId="16082EE7" w14:textId="19D7874E" w:rsidR="00CF4574" w:rsidRDefault="00CF4574" w:rsidP="00BE2E36">
      <w:pPr>
        <w:spacing w:after="0" w:line="240" w:lineRule="auto"/>
        <w:rPr>
          <w:rFonts w:cstheme="minorHAnsi"/>
        </w:rPr>
      </w:pPr>
      <w:r w:rsidRPr="002C1139">
        <w:rPr>
          <w:rFonts w:cstheme="minorHAnsi"/>
        </w:rPr>
        <w:t>RBA</w:t>
      </w:r>
      <w:r w:rsidRPr="002C1139">
        <w:rPr>
          <w:rFonts w:cstheme="minorHAnsi"/>
        </w:rPr>
        <w:tab/>
      </w:r>
      <w:r w:rsidRPr="002C1139">
        <w:rPr>
          <w:rFonts w:cstheme="minorHAnsi"/>
        </w:rPr>
        <w:tab/>
        <w:t>Reserve Bank of Australia</w:t>
      </w:r>
    </w:p>
    <w:p w14:paraId="7C6E7567" w14:textId="1AE9C0A1" w:rsidR="006F44C4" w:rsidRPr="002C1139" w:rsidRDefault="006F44C4" w:rsidP="00BE2E36">
      <w:pPr>
        <w:spacing w:after="0" w:line="240" w:lineRule="auto"/>
        <w:rPr>
          <w:rFonts w:cstheme="minorHAnsi"/>
        </w:rPr>
      </w:pPr>
      <w:r>
        <w:rPr>
          <w:rFonts w:cstheme="minorHAnsi"/>
        </w:rPr>
        <w:t>RPE</w:t>
      </w:r>
      <w:r>
        <w:rPr>
          <w:rFonts w:cstheme="minorHAnsi"/>
        </w:rPr>
        <w:tab/>
      </w:r>
      <w:r>
        <w:rPr>
          <w:rFonts w:cstheme="minorHAnsi"/>
        </w:rPr>
        <w:tab/>
        <w:t>Relative Performance Evaluation (South Korea)</w:t>
      </w:r>
    </w:p>
    <w:p w14:paraId="52FC109C" w14:textId="77777777" w:rsidR="00CF4574" w:rsidRPr="002C1139" w:rsidRDefault="00CF4574" w:rsidP="00BE2E36">
      <w:pPr>
        <w:spacing w:after="0" w:line="240" w:lineRule="auto"/>
        <w:rPr>
          <w:rFonts w:cstheme="minorHAnsi"/>
        </w:rPr>
      </w:pPr>
      <w:r w:rsidRPr="002C1139">
        <w:rPr>
          <w:rFonts w:cstheme="minorHAnsi"/>
        </w:rPr>
        <w:t>TANF</w:t>
      </w:r>
      <w:r w:rsidRPr="002C1139">
        <w:rPr>
          <w:rFonts w:cstheme="minorHAnsi"/>
        </w:rPr>
        <w:tab/>
      </w:r>
      <w:r w:rsidRPr="002C1139">
        <w:rPr>
          <w:rFonts w:cstheme="minorHAnsi"/>
        </w:rPr>
        <w:tab/>
        <w:t>Temporary Assistance for Needy Families</w:t>
      </w:r>
    </w:p>
    <w:p w14:paraId="2B160F75" w14:textId="77777777" w:rsidR="00ED51D7" w:rsidRPr="002C1139" w:rsidRDefault="00ED51D7" w:rsidP="00BE2E36">
      <w:pPr>
        <w:spacing w:after="0" w:line="240" w:lineRule="auto"/>
        <w:rPr>
          <w:rFonts w:cstheme="minorHAnsi"/>
        </w:rPr>
      </w:pPr>
      <w:r w:rsidRPr="002C1139">
        <w:rPr>
          <w:rFonts w:cstheme="minorHAnsi"/>
        </w:rPr>
        <w:t>U.K.</w:t>
      </w:r>
      <w:r w:rsidRPr="002C1139">
        <w:rPr>
          <w:rFonts w:cstheme="minorHAnsi"/>
        </w:rPr>
        <w:tab/>
      </w:r>
      <w:r w:rsidRPr="002C1139">
        <w:rPr>
          <w:rFonts w:cstheme="minorHAnsi"/>
        </w:rPr>
        <w:tab/>
        <w:t>United Kingdom</w:t>
      </w:r>
    </w:p>
    <w:p w14:paraId="085BCCBB" w14:textId="77777777" w:rsidR="00ED51D7" w:rsidRPr="002C1139" w:rsidRDefault="00ED51D7" w:rsidP="00BE2E36">
      <w:pPr>
        <w:spacing w:after="0" w:line="240" w:lineRule="auto"/>
        <w:rPr>
          <w:rFonts w:cstheme="minorHAnsi"/>
        </w:rPr>
      </w:pPr>
      <w:r w:rsidRPr="002C1139">
        <w:rPr>
          <w:rFonts w:cstheme="minorHAnsi"/>
        </w:rPr>
        <w:t>U.S.</w:t>
      </w:r>
      <w:r w:rsidRPr="002C1139">
        <w:rPr>
          <w:rFonts w:cstheme="minorHAnsi"/>
        </w:rPr>
        <w:tab/>
      </w:r>
      <w:r w:rsidRPr="002C1139">
        <w:rPr>
          <w:rFonts w:cstheme="minorHAnsi"/>
        </w:rPr>
        <w:tab/>
        <w:t>United States</w:t>
      </w:r>
    </w:p>
    <w:p w14:paraId="44C9D183" w14:textId="77777777" w:rsidR="00B82281" w:rsidRPr="002C1139" w:rsidRDefault="00B82281" w:rsidP="00BE2E36">
      <w:pPr>
        <w:spacing w:after="0" w:line="240" w:lineRule="auto"/>
        <w:rPr>
          <w:rFonts w:cstheme="minorHAnsi"/>
        </w:rPr>
      </w:pPr>
      <w:r w:rsidRPr="002C1139">
        <w:rPr>
          <w:rFonts w:cstheme="minorHAnsi"/>
        </w:rPr>
        <w:t>WIA</w:t>
      </w:r>
      <w:r w:rsidRPr="002C1139">
        <w:rPr>
          <w:rFonts w:cstheme="minorHAnsi"/>
        </w:rPr>
        <w:tab/>
      </w:r>
      <w:r w:rsidRPr="002C1139">
        <w:rPr>
          <w:rFonts w:cstheme="minorHAnsi"/>
        </w:rPr>
        <w:tab/>
        <w:t>Workforce Investment Act</w:t>
      </w:r>
    </w:p>
    <w:p w14:paraId="0D77758B" w14:textId="77777777" w:rsidR="007728CC" w:rsidRPr="002C1139" w:rsidRDefault="008710E5" w:rsidP="00BE2E36">
      <w:pPr>
        <w:spacing w:after="0" w:line="240" w:lineRule="auto"/>
        <w:rPr>
          <w:rFonts w:cstheme="minorHAnsi"/>
        </w:rPr>
      </w:pPr>
      <w:r>
        <w:rPr>
          <w:rFonts w:cstheme="minorHAnsi"/>
        </w:rPr>
        <w:t>WIB</w:t>
      </w:r>
      <w:r w:rsidR="007728CC" w:rsidRPr="002C1139">
        <w:rPr>
          <w:rFonts w:cstheme="minorHAnsi"/>
        </w:rPr>
        <w:tab/>
      </w:r>
      <w:r w:rsidR="007728CC" w:rsidRPr="002C1139">
        <w:rPr>
          <w:rFonts w:cstheme="minorHAnsi"/>
        </w:rPr>
        <w:tab/>
        <w:t>Workforce Investment Board</w:t>
      </w:r>
    </w:p>
    <w:p w14:paraId="3AE51F00" w14:textId="77777777" w:rsidR="007728CC" w:rsidRPr="002C1139" w:rsidRDefault="007728CC" w:rsidP="007728CC">
      <w:pPr>
        <w:spacing w:after="0" w:line="240" w:lineRule="auto"/>
        <w:rPr>
          <w:rFonts w:cstheme="minorHAnsi"/>
        </w:rPr>
      </w:pPr>
      <w:r w:rsidRPr="002C1139">
        <w:rPr>
          <w:rFonts w:cstheme="minorHAnsi"/>
        </w:rPr>
        <w:t>WISARD</w:t>
      </w:r>
      <w:r w:rsidRPr="002C1139">
        <w:rPr>
          <w:rFonts w:cstheme="minorHAnsi"/>
        </w:rPr>
        <w:tab/>
      </w:r>
      <w:r w:rsidRPr="002C1139">
        <w:rPr>
          <w:rFonts w:cstheme="minorHAnsi"/>
          <w:color w:val="000000"/>
        </w:rPr>
        <w:t>Workforce Investment Act Standard Reporting Database</w:t>
      </w:r>
    </w:p>
    <w:p w14:paraId="02E3241C" w14:textId="77777777" w:rsidR="00B82281" w:rsidRPr="002C1139" w:rsidRDefault="00B82281" w:rsidP="00BE2E36">
      <w:pPr>
        <w:spacing w:after="0" w:line="240" w:lineRule="auto"/>
        <w:rPr>
          <w:rFonts w:cstheme="minorHAnsi"/>
        </w:rPr>
      </w:pPr>
      <w:r w:rsidRPr="002C1139">
        <w:rPr>
          <w:rFonts w:cstheme="minorHAnsi"/>
        </w:rPr>
        <w:t>WP</w:t>
      </w:r>
      <w:r w:rsidRPr="002C1139">
        <w:rPr>
          <w:rFonts w:cstheme="minorHAnsi"/>
        </w:rPr>
        <w:tab/>
      </w:r>
      <w:r w:rsidRPr="002C1139">
        <w:rPr>
          <w:rFonts w:cstheme="minorHAnsi"/>
        </w:rPr>
        <w:tab/>
        <w:t>Work Programme</w:t>
      </w:r>
    </w:p>
    <w:p w14:paraId="5EED093B" w14:textId="77777777" w:rsidR="00B82281" w:rsidRPr="00BE2E36" w:rsidRDefault="00B82281" w:rsidP="00BE2E36">
      <w:pPr>
        <w:spacing w:after="0" w:line="240" w:lineRule="auto"/>
        <w:rPr>
          <w:rFonts w:cstheme="minorHAnsi"/>
          <w:b/>
          <w:sz w:val="24"/>
          <w:szCs w:val="24"/>
        </w:rPr>
      </w:pPr>
    </w:p>
    <w:p w14:paraId="46880C14" w14:textId="77777777" w:rsidR="002E2B83" w:rsidRDefault="002E2B83">
      <w:pPr>
        <w:rPr>
          <w:rFonts w:cs="Calibri"/>
          <w:b/>
          <w:sz w:val="24"/>
          <w:szCs w:val="24"/>
        </w:rPr>
      </w:pPr>
      <w:r>
        <w:rPr>
          <w:rFonts w:cs="Calibri"/>
          <w:b/>
          <w:sz w:val="24"/>
          <w:szCs w:val="24"/>
        </w:rPr>
        <w:br w:type="page"/>
      </w:r>
    </w:p>
    <w:p w14:paraId="6C443E78" w14:textId="77777777" w:rsidR="00237376" w:rsidRDefault="002E2B83" w:rsidP="00E57953">
      <w:pPr>
        <w:pStyle w:val="Heading1"/>
        <w:keepLines w:val="0"/>
        <w:spacing w:before="240" w:after="60" w:line="240" w:lineRule="auto"/>
        <w:rPr>
          <w:rFonts w:ascii="Calibri" w:eastAsia="Times New Roman" w:hAnsi="Calibri" w:cs="Arial"/>
          <w:color w:val="auto"/>
          <w:kern w:val="32"/>
          <w:sz w:val="32"/>
          <w:szCs w:val="32"/>
          <w:lang w:eastAsia="en-AU"/>
        </w:rPr>
      </w:pPr>
      <w:bookmarkStart w:id="1" w:name="_Toc365872621"/>
      <w:r w:rsidRPr="00E57953">
        <w:rPr>
          <w:rFonts w:ascii="Calibri" w:eastAsia="Times New Roman" w:hAnsi="Calibri" w:cs="Arial"/>
          <w:color w:val="auto"/>
          <w:kern w:val="32"/>
          <w:sz w:val="32"/>
          <w:szCs w:val="32"/>
          <w:lang w:eastAsia="en-AU"/>
        </w:rPr>
        <w:lastRenderedPageBreak/>
        <w:t>Executive Summary</w:t>
      </w:r>
      <w:bookmarkEnd w:id="1"/>
    </w:p>
    <w:p w14:paraId="111D6E51" w14:textId="77777777" w:rsidR="002C6701" w:rsidRDefault="00237376" w:rsidP="002C6701">
      <w:pPr>
        <w:spacing w:after="0" w:line="240" w:lineRule="auto"/>
        <w:rPr>
          <w:rFonts w:cstheme="minorHAnsi"/>
        </w:rPr>
      </w:pPr>
      <w:r w:rsidRPr="002C1139">
        <w:rPr>
          <w:rFonts w:cstheme="minorHAnsi"/>
        </w:rPr>
        <w:t xml:space="preserve">The </w:t>
      </w:r>
      <w:r w:rsidR="007957F5" w:rsidRPr="002C1139">
        <w:rPr>
          <w:rFonts w:cstheme="minorHAnsi"/>
        </w:rPr>
        <w:t>Star Rating</w:t>
      </w:r>
      <w:r w:rsidRPr="002C1139">
        <w:rPr>
          <w:rFonts w:cstheme="minorHAnsi"/>
        </w:rPr>
        <w:t xml:space="preserve">s model employed by the </w:t>
      </w:r>
      <w:r w:rsidR="002C6701" w:rsidRPr="002C6701">
        <w:rPr>
          <w:rFonts w:cstheme="minorHAnsi"/>
        </w:rPr>
        <w:t>Australian Government</w:t>
      </w:r>
      <w:r w:rsidR="002C6701">
        <w:rPr>
          <w:rFonts w:cstheme="minorHAnsi"/>
        </w:rPr>
        <w:t xml:space="preserve"> is the formal performance management apparatuses to assess the performance of employment services. It does th</w:t>
      </w:r>
      <w:r w:rsidR="00742B54">
        <w:rPr>
          <w:rFonts w:cstheme="minorHAnsi"/>
        </w:rPr>
        <w:t>is</w:t>
      </w:r>
      <w:r w:rsidR="002C6701">
        <w:rPr>
          <w:rFonts w:cstheme="minorHAnsi"/>
        </w:rPr>
        <w:t xml:space="preserve"> through a relative assessment of provider performance after taking account of differences in </w:t>
      </w:r>
      <w:r w:rsidR="00742B54">
        <w:rPr>
          <w:rFonts w:cstheme="minorHAnsi"/>
        </w:rPr>
        <w:t>participant</w:t>
      </w:r>
      <w:r w:rsidR="002C6701">
        <w:rPr>
          <w:rFonts w:cstheme="minorHAnsi"/>
        </w:rPr>
        <w:t xml:space="preserve"> characteristics and labour market conditions via statistical regression. </w:t>
      </w:r>
    </w:p>
    <w:p w14:paraId="311DE27B" w14:textId="77777777" w:rsidR="002C6701" w:rsidRDefault="002C6701" w:rsidP="002C6701">
      <w:pPr>
        <w:spacing w:after="0" w:line="240" w:lineRule="auto"/>
        <w:rPr>
          <w:rFonts w:cstheme="minorHAnsi"/>
        </w:rPr>
      </w:pPr>
    </w:p>
    <w:p w14:paraId="62866658" w14:textId="77777777" w:rsidR="002C6701" w:rsidRDefault="002C6701" w:rsidP="002C6701">
      <w:pPr>
        <w:spacing w:after="0" w:line="240" w:lineRule="auto"/>
        <w:rPr>
          <w:rFonts w:cstheme="minorHAnsi"/>
        </w:rPr>
      </w:pPr>
      <w:r>
        <w:rPr>
          <w:rFonts w:cstheme="minorHAnsi"/>
        </w:rPr>
        <w:t>This paper undertakes an international literature review of the use of benchmarking systems in the performance management of areas of public policy.</w:t>
      </w:r>
      <w:r w:rsidR="00237376" w:rsidRPr="002C1139">
        <w:rPr>
          <w:rFonts w:cstheme="minorHAnsi"/>
        </w:rPr>
        <w:t xml:space="preserve"> The benchmarking models were ev</w:t>
      </w:r>
      <w:r w:rsidR="00985DE5">
        <w:rPr>
          <w:rFonts w:cstheme="minorHAnsi"/>
        </w:rPr>
        <w:t>aluated against each of the</w:t>
      </w:r>
      <w:r w:rsidR="00237376" w:rsidRPr="002C1139">
        <w:rPr>
          <w:rFonts w:cstheme="minorHAnsi"/>
        </w:rPr>
        <w:t xml:space="preserve"> advantages and disadvantages</w:t>
      </w:r>
      <w:r>
        <w:rPr>
          <w:rFonts w:cstheme="minorHAnsi"/>
        </w:rPr>
        <w:t xml:space="preserve"> that are said to be associated with the current </w:t>
      </w:r>
      <w:r w:rsidRPr="002C1139">
        <w:rPr>
          <w:rFonts w:cstheme="minorHAnsi"/>
        </w:rPr>
        <w:t>Star Rating</w:t>
      </w:r>
      <w:r>
        <w:rPr>
          <w:rFonts w:cstheme="minorHAnsi"/>
        </w:rPr>
        <w:t>s model</w:t>
      </w:r>
      <w:r w:rsidR="00237376" w:rsidRPr="002C1139">
        <w:rPr>
          <w:rFonts w:cstheme="minorHAnsi"/>
        </w:rPr>
        <w:t xml:space="preserve">. </w:t>
      </w:r>
    </w:p>
    <w:p w14:paraId="591119C1" w14:textId="77777777" w:rsidR="002C6701" w:rsidRDefault="002C6701" w:rsidP="002C6701">
      <w:pPr>
        <w:spacing w:after="0" w:line="240" w:lineRule="auto"/>
        <w:rPr>
          <w:rFonts w:cstheme="minorHAnsi"/>
        </w:rPr>
      </w:pPr>
    </w:p>
    <w:p w14:paraId="0015EE83" w14:textId="77777777" w:rsidR="004E4C63" w:rsidRPr="002C1139" w:rsidRDefault="004E4C63" w:rsidP="002C6701">
      <w:pPr>
        <w:spacing w:after="120" w:line="240" w:lineRule="auto"/>
        <w:rPr>
          <w:rFonts w:eastAsia="Times New Roman" w:cstheme="minorHAnsi"/>
        </w:rPr>
      </w:pPr>
      <w:r w:rsidRPr="002C1139">
        <w:rPr>
          <w:rFonts w:eastAsia="Times New Roman" w:cstheme="minorHAnsi"/>
        </w:rPr>
        <w:t xml:space="preserve">There are three broad types of benchmarking systems that can be employed to assess provider performance; absolute, negotiated and adjusted benchmarking (Industry Reference Group, 2009). </w:t>
      </w:r>
    </w:p>
    <w:p w14:paraId="646BD28E" w14:textId="77777777" w:rsidR="004E4C63" w:rsidRPr="002C1139" w:rsidRDefault="004E4C63" w:rsidP="002C6701">
      <w:pPr>
        <w:pStyle w:val="ListParagraph"/>
        <w:numPr>
          <w:ilvl w:val="0"/>
          <w:numId w:val="26"/>
        </w:numPr>
        <w:spacing w:after="0" w:line="240" w:lineRule="auto"/>
        <w:ind w:left="714" w:hanging="357"/>
        <w:contextualSpacing w:val="0"/>
        <w:rPr>
          <w:rFonts w:eastAsia="Times New Roman" w:cstheme="minorHAnsi"/>
        </w:rPr>
      </w:pPr>
      <w:r w:rsidRPr="002C1139">
        <w:rPr>
          <w:rFonts w:eastAsia="Times New Roman" w:cstheme="minorHAnsi"/>
        </w:rPr>
        <w:t xml:space="preserve">An </w:t>
      </w:r>
      <w:r w:rsidRPr="002C6701">
        <w:rPr>
          <w:rFonts w:eastAsia="Times New Roman" w:cstheme="minorHAnsi"/>
          <w:u w:val="single"/>
        </w:rPr>
        <w:t>absolute benchmarking</w:t>
      </w:r>
      <w:r w:rsidRPr="002C1139">
        <w:rPr>
          <w:rFonts w:eastAsia="Times New Roman" w:cstheme="minorHAnsi"/>
        </w:rPr>
        <w:t xml:space="preserve"> model consists of expressing one or more simple, nationally consistent pre-determined performance measures and required performance levels. </w:t>
      </w:r>
    </w:p>
    <w:p w14:paraId="17798FEB" w14:textId="77777777" w:rsidR="004E4C63" w:rsidRPr="002C1139" w:rsidRDefault="004E4C63" w:rsidP="002C6701">
      <w:pPr>
        <w:pStyle w:val="ListParagraph"/>
        <w:numPr>
          <w:ilvl w:val="0"/>
          <w:numId w:val="26"/>
        </w:numPr>
        <w:spacing w:before="240" w:after="0" w:line="240" w:lineRule="auto"/>
        <w:rPr>
          <w:rFonts w:eastAsia="Times New Roman" w:cstheme="minorHAnsi"/>
        </w:rPr>
      </w:pPr>
      <w:r w:rsidRPr="002C1139">
        <w:rPr>
          <w:rFonts w:eastAsia="Times New Roman" w:cstheme="minorHAnsi"/>
        </w:rPr>
        <w:t xml:space="preserve">A </w:t>
      </w:r>
      <w:r w:rsidRPr="002C6701">
        <w:rPr>
          <w:rFonts w:eastAsia="Times New Roman" w:cstheme="minorHAnsi"/>
          <w:u w:val="single"/>
        </w:rPr>
        <w:t>negotiated benchmarking</w:t>
      </w:r>
      <w:r w:rsidRPr="002C1139">
        <w:rPr>
          <w:rFonts w:eastAsia="Times New Roman" w:cstheme="minorHAnsi"/>
        </w:rPr>
        <w:t xml:space="preserve"> system is where performance targ</w:t>
      </w:r>
      <w:r w:rsidR="002C6701">
        <w:rPr>
          <w:rFonts w:eastAsia="Times New Roman" w:cstheme="minorHAnsi"/>
        </w:rPr>
        <w:t>ets are negotiated between the g</w:t>
      </w:r>
      <w:r w:rsidRPr="002C1139">
        <w:rPr>
          <w:rFonts w:eastAsia="Times New Roman" w:cstheme="minorHAnsi"/>
        </w:rPr>
        <w:t xml:space="preserve">overnment and each individual provider, taking into account changes in economic conditions and changes in the characteristics of the participants served by the program. </w:t>
      </w:r>
    </w:p>
    <w:p w14:paraId="2D92F4ED" w14:textId="77777777" w:rsidR="00237376" w:rsidRPr="002C1139" w:rsidRDefault="004E4C63" w:rsidP="002C6701">
      <w:pPr>
        <w:pStyle w:val="ListParagraph"/>
        <w:numPr>
          <w:ilvl w:val="0"/>
          <w:numId w:val="26"/>
        </w:numPr>
        <w:spacing w:before="240" w:after="0" w:line="240" w:lineRule="auto"/>
        <w:rPr>
          <w:rFonts w:cstheme="minorHAnsi"/>
        </w:rPr>
      </w:pPr>
      <w:r w:rsidRPr="002C1139">
        <w:rPr>
          <w:rFonts w:eastAsia="Times New Roman" w:cstheme="minorHAnsi"/>
        </w:rPr>
        <w:t xml:space="preserve">An </w:t>
      </w:r>
      <w:r w:rsidRPr="002C6701">
        <w:rPr>
          <w:rFonts w:eastAsia="Times New Roman" w:cstheme="minorHAnsi"/>
          <w:u w:val="single"/>
        </w:rPr>
        <w:t>adjusted benchmarking</w:t>
      </w:r>
      <w:r w:rsidRPr="002C1139">
        <w:rPr>
          <w:rFonts w:eastAsia="Times New Roman" w:cstheme="minorHAnsi"/>
        </w:rPr>
        <w:t xml:space="preserve"> system also takes account of </w:t>
      </w:r>
      <w:r w:rsidRPr="002C1139">
        <w:rPr>
          <w:rFonts w:cstheme="minorHAnsi"/>
        </w:rPr>
        <w:t xml:space="preserve">local labour market conditions and individual </w:t>
      </w:r>
      <w:r w:rsidR="007957F5" w:rsidRPr="002C1139">
        <w:rPr>
          <w:rFonts w:cstheme="minorHAnsi"/>
        </w:rPr>
        <w:t>job seeker</w:t>
      </w:r>
      <w:r w:rsidRPr="002C1139">
        <w:rPr>
          <w:rFonts w:cstheme="minorHAnsi"/>
        </w:rPr>
        <w:t xml:space="preserve"> characteristics across providers. However, adjustments are calculated on a consistent basis across the national network of providers using regression analysis.</w:t>
      </w:r>
    </w:p>
    <w:p w14:paraId="79CAF7AB" w14:textId="77777777" w:rsidR="002C6701" w:rsidRDefault="002C6701" w:rsidP="002C6701">
      <w:pPr>
        <w:spacing w:after="0" w:line="240" w:lineRule="auto"/>
        <w:rPr>
          <w:rFonts w:cstheme="minorHAnsi"/>
        </w:rPr>
      </w:pPr>
    </w:p>
    <w:p w14:paraId="7A8C5793" w14:textId="77777777" w:rsidR="00237376" w:rsidRPr="002C1139" w:rsidRDefault="00C01ECA" w:rsidP="00C01ECA">
      <w:pPr>
        <w:spacing w:after="120" w:line="240" w:lineRule="auto"/>
        <w:rPr>
          <w:rFonts w:cstheme="minorHAnsi"/>
        </w:rPr>
      </w:pPr>
      <w:r>
        <w:rPr>
          <w:rFonts w:cstheme="minorHAnsi"/>
        </w:rPr>
        <w:t xml:space="preserve">It is important to acknowledge what are recognised as the strengths of the current Star Ratings </w:t>
      </w:r>
      <w:r w:rsidR="005E4AB0">
        <w:rPr>
          <w:rFonts w:cstheme="minorHAnsi"/>
        </w:rPr>
        <w:t xml:space="preserve">model </w:t>
      </w:r>
      <w:r>
        <w:rPr>
          <w:rFonts w:cstheme="minorHAnsi"/>
        </w:rPr>
        <w:t xml:space="preserve">(OECD 2012, 2013) and make an assessment of whether a benchmarking system will allow for the continuation of </w:t>
      </w:r>
      <w:r w:rsidR="00985DE5">
        <w:rPr>
          <w:rFonts w:cstheme="minorHAnsi"/>
        </w:rPr>
        <w:t>those strengths</w:t>
      </w:r>
      <w:r>
        <w:rPr>
          <w:rFonts w:cstheme="minorHAnsi"/>
        </w:rPr>
        <w:t xml:space="preserve">. </w:t>
      </w:r>
      <w:r w:rsidR="002C6701">
        <w:rPr>
          <w:rFonts w:cstheme="minorHAnsi"/>
        </w:rPr>
        <w:t>Broadly speaking t</w:t>
      </w:r>
      <w:r w:rsidR="00237376" w:rsidRPr="002C1139">
        <w:rPr>
          <w:rFonts w:cstheme="minorHAnsi"/>
        </w:rPr>
        <w:t xml:space="preserve">he identified benefits of the </w:t>
      </w:r>
      <w:r w:rsidR="007957F5" w:rsidRPr="002C1139">
        <w:rPr>
          <w:rFonts w:cstheme="minorHAnsi"/>
        </w:rPr>
        <w:t>Star Rating</w:t>
      </w:r>
      <w:r w:rsidR="00237376" w:rsidRPr="002C1139">
        <w:rPr>
          <w:rFonts w:cstheme="minorHAnsi"/>
        </w:rPr>
        <w:t>s model include:</w:t>
      </w:r>
    </w:p>
    <w:p w14:paraId="7508975D" w14:textId="19229066" w:rsidR="00237376" w:rsidRPr="002C6701" w:rsidRDefault="00237376" w:rsidP="002C6701">
      <w:pPr>
        <w:pStyle w:val="ListParagraph"/>
        <w:numPr>
          <w:ilvl w:val="0"/>
          <w:numId w:val="26"/>
        </w:numPr>
        <w:spacing w:after="0" w:line="240" w:lineRule="auto"/>
        <w:ind w:left="714" w:hanging="357"/>
        <w:contextualSpacing w:val="0"/>
        <w:rPr>
          <w:rFonts w:eastAsia="Times New Roman" w:cstheme="minorHAnsi"/>
        </w:rPr>
      </w:pPr>
      <w:r w:rsidRPr="00C01ECA">
        <w:rPr>
          <w:rFonts w:eastAsia="Times New Roman" w:cstheme="minorHAnsi"/>
          <w:u w:val="single"/>
        </w:rPr>
        <w:t>External Factor Adjustment:</w:t>
      </w:r>
      <w:r w:rsidRPr="002C6701">
        <w:rPr>
          <w:rFonts w:eastAsia="Times New Roman" w:cstheme="minorHAnsi"/>
        </w:rPr>
        <w:t xml:space="preserve"> The use of logistics regression in the </w:t>
      </w:r>
      <w:r w:rsidR="007957F5" w:rsidRPr="002C6701">
        <w:rPr>
          <w:rFonts w:eastAsia="Times New Roman" w:cstheme="minorHAnsi"/>
        </w:rPr>
        <w:t>Star Rating</w:t>
      </w:r>
      <w:r w:rsidRPr="002C6701">
        <w:rPr>
          <w:rFonts w:eastAsia="Times New Roman" w:cstheme="minorHAnsi"/>
        </w:rPr>
        <w:t xml:space="preserve">s model assists in disentangling the variation in outcomes attributable to participant characteristics and labour market conditions (not under the control of providers) from factors under providers’ control, such as </w:t>
      </w:r>
      <w:r w:rsidR="00742B54">
        <w:rPr>
          <w:rFonts w:eastAsia="Times New Roman" w:cstheme="minorHAnsi"/>
        </w:rPr>
        <w:t xml:space="preserve">effectiveness and </w:t>
      </w:r>
      <w:r w:rsidRPr="002C6701">
        <w:rPr>
          <w:rFonts w:eastAsia="Times New Roman" w:cstheme="minorHAnsi"/>
        </w:rPr>
        <w:t xml:space="preserve">quality of servicing. The evidence indicates that external factors have a significant effect on provider performance and that it will be difficult to account for differences in participant characteristics and labour market conditions using a benchmarking model. This is most problematic for an absolute benchmarking </w:t>
      </w:r>
      <w:r w:rsidR="001058A1" w:rsidRPr="002C6701">
        <w:rPr>
          <w:rFonts w:eastAsia="Times New Roman" w:cstheme="minorHAnsi"/>
        </w:rPr>
        <w:t>model that</w:t>
      </w:r>
      <w:r w:rsidRPr="002C6701">
        <w:rPr>
          <w:rFonts w:eastAsia="Times New Roman" w:cstheme="minorHAnsi"/>
        </w:rPr>
        <w:t xml:space="preserve"> </w:t>
      </w:r>
      <w:r w:rsidR="001058A1" w:rsidRPr="002C6701">
        <w:rPr>
          <w:rFonts w:eastAsia="Times New Roman" w:cstheme="minorHAnsi"/>
        </w:rPr>
        <w:t>does not attempt</w:t>
      </w:r>
      <w:r w:rsidRPr="002C6701">
        <w:rPr>
          <w:rFonts w:eastAsia="Times New Roman" w:cstheme="minorHAnsi"/>
        </w:rPr>
        <w:t xml:space="preserve"> to adjust for these external factors. The evidence though also indicates that negotiated performance </w:t>
      </w:r>
      <w:r w:rsidR="001058A1" w:rsidRPr="002C6701">
        <w:rPr>
          <w:rFonts w:eastAsia="Times New Roman" w:cstheme="minorHAnsi"/>
        </w:rPr>
        <w:t>standards that can adjust for external factors</w:t>
      </w:r>
      <w:r w:rsidRPr="002C6701">
        <w:rPr>
          <w:rFonts w:eastAsia="Times New Roman" w:cstheme="minorHAnsi"/>
        </w:rPr>
        <w:t xml:space="preserve"> fail to accurately do so. Adjusted benchmarking models are the most technically sophisticated benchmarking models, using logistic regression to take into account external factors. However, there accuracy is dependent on forecasting future changes in future economic conditions and changes in the participant characteristic</w:t>
      </w:r>
      <w:r w:rsidR="007C3A98">
        <w:rPr>
          <w:rFonts w:eastAsia="Times New Roman" w:cstheme="minorHAnsi"/>
        </w:rPr>
        <w:t xml:space="preserve">s of the provider’s caseload. </w:t>
      </w:r>
    </w:p>
    <w:p w14:paraId="65A3B974" w14:textId="77777777" w:rsidR="00237376" w:rsidRPr="002C6701" w:rsidRDefault="00237376" w:rsidP="002C6701">
      <w:pPr>
        <w:pStyle w:val="ListParagraph"/>
        <w:numPr>
          <w:ilvl w:val="0"/>
          <w:numId w:val="26"/>
        </w:numPr>
        <w:spacing w:after="0" w:line="240" w:lineRule="auto"/>
        <w:ind w:left="714" w:hanging="357"/>
        <w:contextualSpacing w:val="0"/>
        <w:rPr>
          <w:rFonts w:eastAsia="Times New Roman" w:cstheme="minorHAnsi"/>
        </w:rPr>
      </w:pPr>
      <w:r w:rsidRPr="00C01ECA">
        <w:rPr>
          <w:rFonts w:eastAsia="Times New Roman" w:cstheme="minorHAnsi"/>
          <w:u w:val="single"/>
        </w:rPr>
        <w:t>Ex-post data:</w:t>
      </w:r>
      <w:r w:rsidRPr="002C6701">
        <w:rPr>
          <w:rFonts w:eastAsia="Times New Roman" w:cstheme="minorHAnsi"/>
        </w:rPr>
        <w:t xml:space="preserve"> The </w:t>
      </w:r>
      <w:r w:rsidR="007957F5" w:rsidRPr="002C6701">
        <w:rPr>
          <w:rFonts w:eastAsia="Times New Roman" w:cstheme="minorHAnsi"/>
        </w:rPr>
        <w:t>Star Rating</w:t>
      </w:r>
      <w:r w:rsidRPr="002C6701">
        <w:rPr>
          <w:rFonts w:eastAsia="Times New Roman" w:cstheme="minorHAnsi"/>
        </w:rPr>
        <w:t xml:space="preserve">s model compares the performances of each individual provider relative to the average performance of providers at the end of the performance period. This does not require the arbitrary selection of baseline performance data that is required to be used in setting a benchmark. </w:t>
      </w:r>
      <w:r w:rsidR="005E4AB0">
        <w:rPr>
          <w:rFonts w:eastAsia="Times New Roman" w:cstheme="minorHAnsi"/>
        </w:rPr>
        <w:t>As the</w:t>
      </w:r>
      <w:r w:rsidRPr="002C6701">
        <w:rPr>
          <w:rFonts w:eastAsia="Times New Roman" w:cstheme="minorHAnsi"/>
        </w:rPr>
        <w:t xml:space="preserve"> setting of a benchmark occurs at the beginning of the performance period </w:t>
      </w:r>
      <w:r w:rsidR="005E4AB0">
        <w:rPr>
          <w:rFonts w:eastAsia="Times New Roman" w:cstheme="minorHAnsi"/>
        </w:rPr>
        <w:t>it</w:t>
      </w:r>
      <w:r w:rsidRPr="002C6701">
        <w:rPr>
          <w:rFonts w:eastAsia="Times New Roman" w:cstheme="minorHAnsi"/>
        </w:rPr>
        <w:t xml:space="preserve"> therefore requires determining the type of baseline performance data to be used. </w:t>
      </w:r>
      <w:r w:rsidR="005E4AB0">
        <w:rPr>
          <w:rFonts w:eastAsia="Times New Roman" w:cstheme="minorHAnsi"/>
        </w:rPr>
        <w:t xml:space="preserve">The different types of baseline data include </w:t>
      </w:r>
      <w:r w:rsidRPr="002C6701">
        <w:rPr>
          <w:rFonts w:eastAsia="Times New Roman" w:cstheme="minorHAnsi"/>
        </w:rPr>
        <w:t>the past performance of each provider, the average performance of all providers, the average performance of the top providers and the performance of similar labour market programs. The selection of the type of baseline data used can have significant effect on the resulting performance standards estimated. Further, the use of ex post performance data does not require forecasting future economic conditions and changes in participant characteristics</w:t>
      </w:r>
      <w:r w:rsidR="005F5DDD">
        <w:rPr>
          <w:rFonts w:eastAsia="Times New Roman" w:cstheme="minorHAnsi"/>
        </w:rPr>
        <w:t xml:space="preserve"> for the outlet or contract (i.e. </w:t>
      </w:r>
      <w:r w:rsidR="005F5DDD">
        <w:rPr>
          <w:rFonts w:eastAsia="Times New Roman" w:cstheme="minorHAnsi"/>
        </w:rPr>
        <w:lastRenderedPageBreak/>
        <w:t>for new participants in the future and those removed by the rolling period)</w:t>
      </w:r>
      <w:r w:rsidRPr="002C6701">
        <w:rPr>
          <w:rFonts w:eastAsia="Times New Roman" w:cstheme="minorHAnsi"/>
        </w:rPr>
        <w:t>. The literature shows that forecasts are subject to significant forecast error, suggesting benchmarks will not fully offset future risks to performance that are outside the control of providers.</w:t>
      </w:r>
    </w:p>
    <w:p w14:paraId="550E7BEB" w14:textId="77777777" w:rsidR="00237376" w:rsidRPr="007C3A98" w:rsidRDefault="00237376" w:rsidP="007C3A98">
      <w:pPr>
        <w:pStyle w:val="ListParagraph"/>
        <w:numPr>
          <w:ilvl w:val="0"/>
          <w:numId w:val="26"/>
        </w:numPr>
        <w:spacing w:after="0" w:line="240" w:lineRule="auto"/>
        <w:ind w:left="714" w:hanging="357"/>
        <w:contextualSpacing w:val="0"/>
        <w:rPr>
          <w:rFonts w:eastAsia="Times New Roman" w:cstheme="minorHAnsi"/>
        </w:rPr>
      </w:pPr>
      <w:r w:rsidRPr="007C3A98">
        <w:rPr>
          <w:rFonts w:eastAsia="Times New Roman" w:cstheme="minorHAnsi"/>
          <w:u w:val="single"/>
        </w:rPr>
        <w:t>Creaming and Parking:</w:t>
      </w:r>
      <w:r w:rsidRPr="007C3A98">
        <w:rPr>
          <w:rFonts w:eastAsia="Times New Roman" w:cstheme="minorHAnsi"/>
        </w:rPr>
        <w:t xml:space="preserve"> As the </w:t>
      </w:r>
      <w:r w:rsidR="007957F5" w:rsidRPr="007C3A98">
        <w:rPr>
          <w:rFonts w:eastAsia="Times New Roman" w:cstheme="minorHAnsi"/>
        </w:rPr>
        <w:t>Star Rating</w:t>
      </w:r>
      <w:r w:rsidR="007C3A98">
        <w:rPr>
          <w:rFonts w:eastAsia="Times New Roman" w:cstheme="minorHAnsi"/>
        </w:rPr>
        <w:t>s model takes into account</w:t>
      </w:r>
      <w:r w:rsidRPr="007C3A98">
        <w:rPr>
          <w:rFonts w:eastAsia="Times New Roman" w:cstheme="minorHAnsi"/>
        </w:rPr>
        <w:t xml:space="preserve"> differences in participant characteristics and labour market conditions, those providers with hard to serve clients in depressed labour market are not disadvantaged in the model. This acts as a disincentive for the provider to cherry pick job ready clients. Creaming and parking may be encouraged under a benchmarking model as the evidence shows that they do not accurately take into account these external factors in assessing performance. The difficulty in meeting the measured performance target is reduced when servicing clients with low employment barriers, allowing providers to maintain their contract/s. Furthermore, providers are constrained by environmental conditions that interfere with outcomes (e.g. a high unemployment rate or an economi</w:t>
      </w:r>
      <w:r w:rsidR="005E4AB0">
        <w:rPr>
          <w:rFonts w:eastAsia="Times New Roman" w:cstheme="minorHAnsi"/>
        </w:rPr>
        <w:t>cally disadvantaged population)</w:t>
      </w:r>
      <w:r w:rsidRPr="007C3A98">
        <w:rPr>
          <w:rFonts w:eastAsia="Times New Roman" w:cstheme="minorHAnsi"/>
        </w:rPr>
        <w:t xml:space="preserve"> and thus providers in difficult employment areas would find it more necessary to target clients with good job prospects. When a provider is being disadvantaged relative to other providers, they may be more likely to cream and park participants to ensure they meet the required performance standard. </w:t>
      </w:r>
    </w:p>
    <w:p w14:paraId="27B4CBFA" w14:textId="77777777" w:rsidR="00237376" w:rsidRPr="007C3A98" w:rsidRDefault="00237376" w:rsidP="007C3A98">
      <w:pPr>
        <w:pStyle w:val="ListParagraph"/>
        <w:numPr>
          <w:ilvl w:val="0"/>
          <w:numId w:val="26"/>
        </w:numPr>
        <w:spacing w:after="0" w:line="240" w:lineRule="auto"/>
        <w:ind w:left="714" w:hanging="357"/>
        <w:contextualSpacing w:val="0"/>
        <w:rPr>
          <w:rFonts w:eastAsia="Times New Roman" w:cstheme="minorHAnsi"/>
        </w:rPr>
      </w:pPr>
      <w:r w:rsidRPr="007C3A98">
        <w:rPr>
          <w:rFonts w:eastAsia="Times New Roman" w:cstheme="minorHAnsi"/>
          <w:u w:val="single"/>
        </w:rPr>
        <w:t>Business reallocation:</w:t>
      </w:r>
      <w:r w:rsidRPr="007C3A98">
        <w:rPr>
          <w:rFonts w:eastAsia="Times New Roman" w:cstheme="minorHAnsi"/>
        </w:rPr>
        <w:t xml:space="preserve"> The purpose of business reallocation is to reallocate job seekers from low performing providers to high performing providers. In determining who the high performing providers are, it is imperative that provider performance is accurately assessed. Because the </w:t>
      </w:r>
      <w:r w:rsidR="007957F5" w:rsidRPr="007C3A98">
        <w:rPr>
          <w:rFonts w:eastAsia="Times New Roman" w:cstheme="minorHAnsi"/>
        </w:rPr>
        <w:t>Star Rating</w:t>
      </w:r>
      <w:r w:rsidRPr="007C3A98">
        <w:rPr>
          <w:rFonts w:eastAsia="Times New Roman" w:cstheme="minorHAnsi"/>
        </w:rPr>
        <w:t>s properly reflect the different circumstances that providers operate in, it more accurately estimates provider performance relative to raw measures</w:t>
      </w:r>
      <w:r w:rsidR="007C3A98">
        <w:rPr>
          <w:rFonts w:eastAsia="Times New Roman" w:cstheme="minorHAnsi"/>
        </w:rPr>
        <w:t>. Under a benchmark model, the d</w:t>
      </w:r>
      <w:r w:rsidRPr="007C3A98">
        <w:rPr>
          <w:rFonts w:eastAsia="Times New Roman" w:cstheme="minorHAnsi"/>
        </w:rPr>
        <w:t xml:space="preserve">epartment would relieve providers of the risks involved in forecasting future expected performance standards, by providing certainty to providers about the level of performance they are required to achieve. As benchmarking models find it more difficult to reflect the different circumstances of providers, this makes it harder to determine high performing providers. </w:t>
      </w:r>
    </w:p>
    <w:p w14:paraId="5E01F4FC" w14:textId="77777777" w:rsidR="007C3A98" w:rsidRDefault="007C3A98" w:rsidP="007C3A98">
      <w:pPr>
        <w:spacing w:after="0" w:line="240" w:lineRule="auto"/>
        <w:rPr>
          <w:rFonts w:cstheme="minorHAnsi"/>
        </w:rPr>
      </w:pPr>
    </w:p>
    <w:p w14:paraId="0C20461C" w14:textId="77777777" w:rsidR="00237376" w:rsidRPr="002C1139" w:rsidRDefault="007C3A98" w:rsidP="007C3A98">
      <w:pPr>
        <w:spacing w:after="0" w:line="240" w:lineRule="auto"/>
        <w:rPr>
          <w:rFonts w:cstheme="minorHAnsi"/>
        </w:rPr>
      </w:pPr>
      <w:r>
        <w:rPr>
          <w:rFonts w:cstheme="minorHAnsi"/>
        </w:rPr>
        <w:t>Since its implementation, there have been criticisms of the Star Ratings model. They reflect both operational and</w:t>
      </w:r>
      <w:r w:rsidR="003B3A48">
        <w:rPr>
          <w:rFonts w:cstheme="minorHAnsi"/>
        </w:rPr>
        <w:t xml:space="preserve"> technical concerns. This paper</w:t>
      </w:r>
      <w:r>
        <w:rPr>
          <w:rFonts w:cstheme="minorHAnsi"/>
        </w:rPr>
        <w:t xml:space="preserve"> has also</w:t>
      </w:r>
      <w:r w:rsidR="003B3A48">
        <w:rPr>
          <w:rFonts w:cstheme="minorHAnsi"/>
        </w:rPr>
        <w:t xml:space="preserve"> sought to assess whether the previously raised </w:t>
      </w:r>
      <w:r>
        <w:rPr>
          <w:rFonts w:cstheme="minorHAnsi"/>
        </w:rPr>
        <w:t>d</w:t>
      </w:r>
      <w:r w:rsidR="00237376" w:rsidRPr="002C1139">
        <w:rPr>
          <w:rFonts w:cstheme="minorHAnsi"/>
        </w:rPr>
        <w:t xml:space="preserve">isadvantages of the </w:t>
      </w:r>
      <w:r w:rsidR="007957F5" w:rsidRPr="002C1139">
        <w:rPr>
          <w:rFonts w:cstheme="minorHAnsi"/>
        </w:rPr>
        <w:t>Star Rating</w:t>
      </w:r>
      <w:r w:rsidR="00237376" w:rsidRPr="002C1139">
        <w:rPr>
          <w:rFonts w:cstheme="minorHAnsi"/>
        </w:rPr>
        <w:t>s model</w:t>
      </w:r>
      <w:r>
        <w:rPr>
          <w:rFonts w:cstheme="minorHAnsi"/>
        </w:rPr>
        <w:t xml:space="preserve"> would be resolved under a benchmarking framework.</w:t>
      </w:r>
    </w:p>
    <w:p w14:paraId="4D2E5C7D" w14:textId="77777777" w:rsidR="00237376" w:rsidRPr="007C3A98" w:rsidRDefault="007C3A98" w:rsidP="007C3A98">
      <w:pPr>
        <w:pStyle w:val="ListParagraph"/>
        <w:numPr>
          <w:ilvl w:val="0"/>
          <w:numId w:val="26"/>
        </w:numPr>
        <w:spacing w:after="0" w:line="240" w:lineRule="auto"/>
        <w:ind w:left="714" w:hanging="357"/>
        <w:contextualSpacing w:val="0"/>
        <w:rPr>
          <w:rFonts w:eastAsia="Times New Roman" w:cstheme="minorHAnsi"/>
        </w:rPr>
      </w:pPr>
      <w:r>
        <w:rPr>
          <w:rFonts w:eastAsia="Times New Roman" w:cstheme="minorHAnsi"/>
          <w:u w:val="single"/>
        </w:rPr>
        <w:t xml:space="preserve">Certainty of performance: </w:t>
      </w:r>
      <w:r w:rsidRPr="007C3A98">
        <w:rPr>
          <w:rFonts w:eastAsia="Times New Roman" w:cstheme="minorHAnsi"/>
        </w:rPr>
        <w:t>A</w:t>
      </w:r>
      <w:r w:rsidR="00237376" w:rsidRPr="007C3A98">
        <w:rPr>
          <w:rFonts w:eastAsia="Times New Roman" w:cstheme="minorHAnsi"/>
        </w:rPr>
        <w:t xml:space="preserve">s it is a relative model, </w:t>
      </w:r>
      <w:r>
        <w:rPr>
          <w:rFonts w:eastAsia="Times New Roman" w:cstheme="minorHAnsi"/>
        </w:rPr>
        <w:t>the Star Ratings</w:t>
      </w:r>
      <w:r w:rsidR="00237376" w:rsidRPr="007C3A98">
        <w:rPr>
          <w:rFonts w:eastAsia="Times New Roman" w:cstheme="minorHAnsi"/>
        </w:rPr>
        <w:t xml:space="preserve"> cannot provide an expected performance that the provider needs to achieve</w:t>
      </w:r>
      <w:r w:rsidR="005F5DDD">
        <w:rPr>
          <w:rFonts w:eastAsia="Times New Roman" w:cstheme="minorHAnsi"/>
        </w:rPr>
        <w:t xml:space="preserve"> into the future</w:t>
      </w:r>
      <w:r w:rsidR="00237376" w:rsidRPr="007C3A98">
        <w:rPr>
          <w:rFonts w:eastAsia="Times New Roman" w:cstheme="minorHAnsi"/>
        </w:rPr>
        <w:t xml:space="preserve">. Under a benchmark model, the </w:t>
      </w:r>
      <w:r w:rsidR="004E7EB2">
        <w:rPr>
          <w:rFonts w:eastAsia="Times New Roman" w:cstheme="minorHAnsi"/>
        </w:rPr>
        <w:t>d</w:t>
      </w:r>
      <w:r w:rsidR="00237376" w:rsidRPr="007C3A98">
        <w:rPr>
          <w:rFonts w:eastAsia="Times New Roman" w:cstheme="minorHAnsi"/>
        </w:rPr>
        <w:t xml:space="preserve">epartment would relieve providers of the risks involved in forecasting future expected performance standards, by providing certainty to providers about the level of performance they are required to achieve. Though benchmarks may provide performance certainty, it reduces the ability of the department to accurately determine which providers are performing unsatisfactorily. The evidence indicates that business reallocations are an important method for improving performance. </w:t>
      </w:r>
    </w:p>
    <w:p w14:paraId="069F09B8" w14:textId="77777777" w:rsidR="00237376" w:rsidRPr="007C3A98" w:rsidRDefault="004E7EB2" w:rsidP="007C3A98">
      <w:pPr>
        <w:pStyle w:val="ListParagraph"/>
        <w:numPr>
          <w:ilvl w:val="0"/>
          <w:numId w:val="26"/>
        </w:numPr>
        <w:spacing w:after="0" w:line="240" w:lineRule="auto"/>
        <w:ind w:left="714" w:hanging="357"/>
        <w:contextualSpacing w:val="0"/>
        <w:rPr>
          <w:rFonts w:eastAsia="Times New Roman" w:cstheme="minorHAnsi"/>
        </w:rPr>
      </w:pPr>
      <w:r w:rsidRPr="004E7EB2">
        <w:rPr>
          <w:rFonts w:eastAsia="Times New Roman" w:cstheme="minorHAnsi"/>
          <w:u w:val="single"/>
        </w:rPr>
        <w:t>Transparency:</w:t>
      </w:r>
      <w:r>
        <w:rPr>
          <w:rFonts w:eastAsia="Times New Roman" w:cstheme="minorHAnsi"/>
        </w:rPr>
        <w:t xml:space="preserve"> </w:t>
      </w:r>
      <w:r w:rsidR="00237376" w:rsidRPr="007C3A98">
        <w:rPr>
          <w:rFonts w:eastAsia="Times New Roman" w:cstheme="minorHAnsi"/>
        </w:rPr>
        <w:t xml:space="preserve">The technically rigorous approach of statistical adjustments to performance measures may be said to be too complicated, leaving performance analysis out of reach of providers and the public. This limits the transparency of results and hence how providers and the program itself are performing. A lack of transparency though isn’t confined to the </w:t>
      </w:r>
      <w:r w:rsidR="007957F5" w:rsidRPr="007C3A98">
        <w:rPr>
          <w:rFonts w:eastAsia="Times New Roman" w:cstheme="minorHAnsi"/>
        </w:rPr>
        <w:t>Star Rating</w:t>
      </w:r>
      <w:r w:rsidR="00237376" w:rsidRPr="007C3A98">
        <w:rPr>
          <w:rFonts w:eastAsia="Times New Roman" w:cstheme="minorHAnsi"/>
        </w:rPr>
        <w:t xml:space="preserve">s model. Benchmarking models also have transparency issues because a benchmarking model still requires a methodology for determining the performance standard. </w:t>
      </w:r>
    </w:p>
    <w:p w14:paraId="1E44974F" w14:textId="77777777" w:rsidR="00237376" w:rsidRPr="007C3A98" w:rsidRDefault="004E7EB2" w:rsidP="007C3A98">
      <w:pPr>
        <w:pStyle w:val="ListParagraph"/>
        <w:numPr>
          <w:ilvl w:val="0"/>
          <w:numId w:val="26"/>
        </w:numPr>
        <w:spacing w:after="0" w:line="240" w:lineRule="auto"/>
        <w:ind w:left="714" w:hanging="357"/>
        <w:contextualSpacing w:val="0"/>
        <w:rPr>
          <w:rFonts w:eastAsia="Times New Roman" w:cstheme="minorHAnsi"/>
        </w:rPr>
      </w:pPr>
      <w:r w:rsidRPr="004E7EB2">
        <w:rPr>
          <w:rFonts w:eastAsia="Times New Roman" w:cstheme="minorHAnsi"/>
          <w:u w:val="single"/>
        </w:rPr>
        <w:t>Controlling for other factors:</w:t>
      </w:r>
      <w:r>
        <w:rPr>
          <w:rFonts w:eastAsia="Times New Roman" w:cstheme="minorHAnsi"/>
        </w:rPr>
        <w:t xml:space="preserve"> I</w:t>
      </w:r>
      <w:r w:rsidR="00237376" w:rsidRPr="007C3A98">
        <w:rPr>
          <w:rFonts w:eastAsia="Times New Roman" w:cstheme="minorHAnsi"/>
        </w:rPr>
        <w:t xml:space="preserve">t may be unrealistic to believe that variations in provider </w:t>
      </w:r>
      <w:r w:rsidR="005F5DDD">
        <w:rPr>
          <w:rFonts w:eastAsia="Times New Roman" w:cstheme="minorHAnsi"/>
        </w:rPr>
        <w:t xml:space="preserve">effectiveness </w:t>
      </w:r>
      <w:r w:rsidR="00237376" w:rsidRPr="007C3A98">
        <w:rPr>
          <w:rFonts w:eastAsia="Times New Roman" w:cstheme="minorHAnsi"/>
        </w:rPr>
        <w:t xml:space="preserve">can be isolated by adjusting for participant characteristics and labour market conditions. This is because a regression model cannot take into account all external factors affecting provider performance. It is recognised that there will be prediction errors, but the counterfactual of using raw performance outcomes as the basis for assessment would </w:t>
      </w:r>
      <w:r w:rsidR="00237376" w:rsidRPr="007C3A98">
        <w:rPr>
          <w:rFonts w:eastAsia="Times New Roman" w:cstheme="minorHAnsi"/>
        </w:rPr>
        <w:lastRenderedPageBreak/>
        <w:t xml:space="preserve">introduce far greater problems. Further, problems that the </w:t>
      </w:r>
      <w:r w:rsidR="007957F5" w:rsidRPr="007C3A98">
        <w:rPr>
          <w:rFonts w:eastAsia="Times New Roman" w:cstheme="minorHAnsi"/>
        </w:rPr>
        <w:t>Star Rating</w:t>
      </w:r>
      <w:r w:rsidR="00237376" w:rsidRPr="007C3A98">
        <w:rPr>
          <w:rFonts w:eastAsia="Times New Roman" w:cstheme="minorHAnsi"/>
        </w:rPr>
        <w:t xml:space="preserve">s faces in adjusting for external factors are the same problems affecting benchmarking models. </w:t>
      </w:r>
    </w:p>
    <w:p w14:paraId="486D85C5" w14:textId="77777777" w:rsidR="00237376" w:rsidRPr="007C3A98" w:rsidRDefault="004E7EB2" w:rsidP="007C3A98">
      <w:pPr>
        <w:pStyle w:val="ListParagraph"/>
        <w:numPr>
          <w:ilvl w:val="0"/>
          <w:numId w:val="26"/>
        </w:numPr>
        <w:spacing w:after="0" w:line="240" w:lineRule="auto"/>
        <w:ind w:left="714" w:hanging="357"/>
        <w:contextualSpacing w:val="0"/>
        <w:rPr>
          <w:rFonts w:eastAsia="Times New Roman" w:cstheme="minorHAnsi"/>
        </w:rPr>
      </w:pPr>
      <w:r w:rsidRPr="004E7EB2">
        <w:rPr>
          <w:rFonts w:eastAsia="Times New Roman" w:cstheme="minorHAnsi"/>
          <w:u w:val="single"/>
        </w:rPr>
        <w:t>Equity in Outcomes:</w:t>
      </w:r>
      <w:r>
        <w:rPr>
          <w:rFonts w:eastAsia="Times New Roman" w:cstheme="minorHAnsi"/>
        </w:rPr>
        <w:t xml:space="preserve"> </w:t>
      </w:r>
      <w:r w:rsidR="00237376" w:rsidRPr="007C3A98">
        <w:rPr>
          <w:rFonts w:eastAsia="Times New Roman" w:cstheme="minorHAnsi"/>
        </w:rPr>
        <w:t xml:space="preserve">It may be argued that if it is important to place highly disadvantaged </w:t>
      </w:r>
      <w:r w:rsidR="007957F5" w:rsidRPr="007C3A98">
        <w:rPr>
          <w:rFonts w:eastAsia="Times New Roman" w:cstheme="minorHAnsi"/>
        </w:rPr>
        <w:t>job seeker</w:t>
      </w:r>
      <w:r w:rsidR="00237376" w:rsidRPr="007C3A98">
        <w:rPr>
          <w:rFonts w:eastAsia="Times New Roman" w:cstheme="minorHAnsi"/>
        </w:rPr>
        <w:t xml:space="preserve">s into employment, then the performance standard should be the same across all organisations, regardless of the challenges this poses to some organisation to achieve minimum levels of performance. An absolute benchmark can achieve this objective </w:t>
      </w:r>
      <w:r w:rsidR="004E4C63" w:rsidRPr="007C3A98">
        <w:rPr>
          <w:rFonts w:eastAsia="Times New Roman" w:cstheme="minorHAnsi"/>
        </w:rPr>
        <w:t xml:space="preserve">by setting the same performance standard for all providers. A review of the literature however suggests that this can lead to serious gaming issues by providers such as encouraging the creaming and parking of participants. </w:t>
      </w:r>
    </w:p>
    <w:p w14:paraId="2CB1A8C4" w14:textId="77777777" w:rsidR="00237376" w:rsidRPr="007C3A98" w:rsidRDefault="004E7EB2" w:rsidP="007C3A98">
      <w:pPr>
        <w:pStyle w:val="ListParagraph"/>
        <w:numPr>
          <w:ilvl w:val="0"/>
          <w:numId w:val="26"/>
        </w:numPr>
        <w:spacing w:after="0" w:line="240" w:lineRule="auto"/>
        <w:ind w:left="714" w:hanging="357"/>
        <w:contextualSpacing w:val="0"/>
        <w:rPr>
          <w:rFonts w:eastAsia="Times New Roman" w:cstheme="minorHAnsi"/>
        </w:rPr>
      </w:pPr>
      <w:r w:rsidRPr="004E7EB2">
        <w:rPr>
          <w:rFonts w:eastAsia="Times New Roman" w:cstheme="minorHAnsi"/>
          <w:u w:val="single"/>
        </w:rPr>
        <w:t>Continuous improvement:</w:t>
      </w:r>
      <w:r>
        <w:rPr>
          <w:rFonts w:eastAsia="Times New Roman" w:cstheme="minorHAnsi"/>
        </w:rPr>
        <w:t xml:space="preserve"> As the </w:t>
      </w:r>
      <w:r w:rsidR="007957F5" w:rsidRPr="007C3A98">
        <w:rPr>
          <w:rFonts w:eastAsia="Times New Roman" w:cstheme="minorHAnsi"/>
        </w:rPr>
        <w:t>Star Rating</w:t>
      </w:r>
      <w:r w:rsidR="00237376" w:rsidRPr="007C3A98">
        <w:rPr>
          <w:rFonts w:eastAsia="Times New Roman" w:cstheme="minorHAnsi"/>
        </w:rPr>
        <w:t xml:space="preserve">s model </w:t>
      </w:r>
      <w:r>
        <w:rPr>
          <w:rFonts w:eastAsia="Times New Roman" w:cstheme="minorHAnsi"/>
        </w:rPr>
        <w:t xml:space="preserve">assesses performance against the mean </w:t>
      </w:r>
      <w:r w:rsidR="00237376" w:rsidRPr="007C3A98">
        <w:rPr>
          <w:rFonts w:eastAsia="Times New Roman" w:cstheme="minorHAnsi"/>
        </w:rPr>
        <w:t>as opposed to fixed benchmarks of expected performance</w:t>
      </w:r>
      <w:r w:rsidR="003B3A48">
        <w:rPr>
          <w:rFonts w:eastAsia="Times New Roman" w:cstheme="minorHAnsi"/>
        </w:rPr>
        <w:t>,</w:t>
      </w:r>
      <w:r w:rsidR="00237376" w:rsidRPr="007C3A98">
        <w:rPr>
          <w:rFonts w:eastAsia="Times New Roman" w:cstheme="minorHAnsi"/>
        </w:rPr>
        <w:t xml:space="preserve"> this allows </w:t>
      </w:r>
      <w:r w:rsidR="003B3A48">
        <w:rPr>
          <w:rFonts w:eastAsia="Times New Roman" w:cstheme="minorHAnsi"/>
        </w:rPr>
        <w:t>for the possibility that all services</w:t>
      </w:r>
      <w:r w:rsidR="00237376" w:rsidRPr="007C3A98">
        <w:rPr>
          <w:rFonts w:eastAsia="Times New Roman" w:cstheme="minorHAnsi"/>
        </w:rPr>
        <w:t xml:space="preserve"> drift t</w:t>
      </w:r>
      <w:r w:rsidR="003B3A48">
        <w:rPr>
          <w:rFonts w:eastAsia="Times New Roman" w:cstheme="minorHAnsi"/>
        </w:rPr>
        <w:t>owards low outcomes because providers</w:t>
      </w:r>
      <w:r w:rsidR="00237376" w:rsidRPr="007C3A98">
        <w:rPr>
          <w:rFonts w:eastAsia="Times New Roman" w:cstheme="minorHAnsi"/>
        </w:rPr>
        <w:t xml:space="preserve"> can still maintain their </w:t>
      </w:r>
      <w:r w:rsidR="007957F5" w:rsidRPr="007C3A98">
        <w:rPr>
          <w:rFonts w:eastAsia="Times New Roman" w:cstheme="minorHAnsi"/>
        </w:rPr>
        <w:t>Star Rating</w:t>
      </w:r>
      <w:r w:rsidR="00237376" w:rsidRPr="007C3A98">
        <w:rPr>
          <w:rFonts w:eastAsia="Times New Roman" w:cstheme="minorHAnsi"/>
        </w:rPr>
        <w:t xml:space="preserve">. </w:t>
      </w:r>
      <w:r>
        <w:rPr>
          <w:rFonts w:eastAsia="Times New Roman" w:cstheme="minorHAnsi"/>
        </w:rPr>
        <w:t>R</w:t>
      </w:r>
      <w:r w:rsidR="00237376" w:rsidRPr="007C3A98">
        <w:rPr>
          <w:rFonts w:eastAsia="Times New Roman" w:cstheme="minorHAnsi"/>
        </w:rPr>
        <w:t xml:space="preserve">esults show that over time outcome rates have also improved significantly, suggesting that provider performance has not been averaging down. Further, the literature suggests that the competitive effects introduced by a comparative performance model have a greater positive impact on performance than a benchmarking model. </w:t>
      </w:r>
    </w:p>
    <w:p w14:paraId="36A424A5" w14:textId="77777777" w:rsidR="00237376" w:rsidRPr="007C3A98" w:rsidRDefault="004E7EB2" w:rsidP="004E7EB2">
      <w:pPr>
        <w:pStyle w:val="ListParagraph"/>
        <w:numPr>
          <w:ilvl w:val="0"/>
          <w:numId w:val="26"/>
        </w:numPr>
        <w:spacing w:after="0" w:line="240" w:lineRule="auto"/>
        <w:ind w:left="714" w:hanging="357"/>
        <w:contextualSpacing w:val="0"/>
        <w:rPr>
          <w:rFonts w:eastAsia="Times New Roman" w:cstheme="minorHAnsi"/>
        </w:rPr>
      </w:pPr>
      <w:r w:rsidRPr="004E7EB2">
        <w:rPr>
          <w:rFonts w:eastAsia="Times New Roman" w:cstheme="minorHAnsi"/>
          <w:u w:val="single"/>
        </w:rPr>
        <w:t>Collaboration:</w:t>
      </w:r>
      <w:r>
        <w:rPr>
          <w:rFonts w:eastAsia="Times New Roman" w:cstheme="minorHAnsi"/>
        </w:rPr>
        <w:t xml:space="preserve"> The</w:t>
      </w:r>
      <w:r w:rsidR="00237376" w:rsidRPr="007C3A98">
        <w:rPr>
          <w:rFonts w:eastAsia="Times New Roman" w:cstheme="minorHAnsi"/>
        </w:rPr>
        <w:t xml:space="preserve"> promotion of competition in employment services</w:t>
      </w:r>
      <w:r>
        <w:rPr>
          <w:rFonts w:eastAsia="Times New Roman" w:cstheme="minorHAnsi"/>
        </w:rPr>
        <w:t xml:space="preserve"> under the Star Ratings model</w:t>
      </w:r>
      <w:r w:rsidR="00237376" w:rsidRPr="007C3A98">
        <w:rPr>
          <w:rFonts w:eastAsia="Times New Roman" w:cstheme="minorHAnsi"/>
        </w:rPr>
        <w:t xml:space="preserve"> may reduce collaboration between providers leading to a reduction in performance of employment services over the long term. The evidence </w:t>
      </w:r>
      <w:r w:rsidR="003B3A48">
        <w:rPr>
          <w:rFonts w:eastAsia="Times New Roman" w:cstheme="minorHAnsi"/>
        </w:rPr>
        <w:t>regarding</w:t>
      </w:r>
      <w:r w:rsidR="00237376" w:rsidRPr="007C3A98">
        <w:rPr>
          <w:rFonts w:eastAsia="Times New Roman" w:cstheme="minorHAnsi"/>
        </w:rPr>
        <w:t xml:space="preserve"> competitio</w:t>
      </w:r>
      <w:r w:rsidR="003B3A48">
        <w:rPr>
          <w:rFonts w:eastAsia="Times New Roman" w:cstheme="minorHAnsi"/>
        </w:rPr>
        <w:t>n in other public sector area</w:t>
      </w:r>
      <w:r w:rsidR="00237376" w:rsidRPr="007C3A98">
        <w:rPr>
          <w:rFonts w:eastAsia="Times New Roman" w:cstheme="minorHAnsi"/>
        </w:rPr>
        <w:t xml:space="preserve">s however is that higher competition leads to an improvement in sector performance. </w:t>
      </w:r>
    </w:p>
    <w:p w14:paraId="521EA5AF" w14:textId="77777777" w:rsidR="00237376" w:rsidRDefault="00237376" w:rsidP="004E7EB2">
      <w:pPr>
        <w:spacing w:after="0" w:line="240" w:lineRule="auto"/>
        <w:rPr>
          <w:rFonts w:cstheme="minorHAnsi"/>
        </w:rPr>
      </w:pPr>
    </w:p>
    <w:p w14:paraId="7CC6F8F2" w14:textId="77777777" w:rsidR="004E7EB2" w:rsidRPr="002C1139" w:rsidRDefault="004E7EB2" w:rsidP="004E7EB2">
      <w:pPr>
        <w:spacing w:after="0" w:line="240" w:lineRule="auto"/>
        <w:rPr>
          <w:rFonts w:cstheme="minorHAnsi"/>
        </w:rPr>
      </w:pPr>
      <w:r>
        <w:rPr>
          <w:rFonts w:cstheme="minorHAnsi"/>
        </w:rPr>
        <w:t>The</w:t>
      </w:r>
      <w:r w:rsidR="00AE772C">
        <w:rPr>
          <w:rFonts w:cstheme="minorHAnsi"/>
        </w:rPr>
        <w:t xml:space="preserve"> evidence about the challenges in the </w:t>
      </w:r>
      <w:r>
        <w:rPr>
          <w:rFonts w:cstheme="minorHAnsi"/>
        </w:rPr>
        <w:t xml:space="preserve">use of benchmarking performance management models internationally in areas of public policy points to the challenges that are associated with </w:t>
      </w:r>
      <w:r w:rsidR="00AE772C">
        <w:rPr>
          <w:rFonts w:cstheme="minorHAnsi"/>
        </w:rPr>
        <w:t>them</w:t>
      </w:r>
      <w:r>
        <w:rPr>
          <w:rFonts w:cstheme="minorHAnsi"/>
        </w:rPr>
        <w:t xml:space="preserve">. </w:t>
      </w:r>
      <w:r w:rsidR="000C5754">
        <w:rPr>
          <w:rFonts w:cstheme="minorHAnsi"/>
        </w:rPr>
        <w:t xml:space="preserve">The effectiveness public service delivery impacts on </w:t>
      </w:r>
      <w:r w:rsidR="00BF4FEA">
        <w:rPr>
          <w:rFonts w:cstheme="minorHAnsi"/>
        </w:rPr>
        <w:t>people’s</w:t>
      </w:r>
      <w:r w:rsidR="000C5754">
        <w:rPr>
          <w:rFonts w:cstheme="minorHAnsi"/>
        </w:rPr>
        <w:t xml:space="preserve"> capacity </w:t>
      </w:r>
      <w:r w:rsidR="00BF4FEA">
        <w:rPr>
          <w:rFonts w:cstheme="minorHAnsi"/>
        </w:rPr>
        <w:t xml:space="preserve">to benefit from accessing and receiving assistance from these services, making it important that public sector performance is accurately assessed. </w:t>
      </w:r>
      <w:r w:rsidR="00345342">
        <w:rPr>
          <w:rFonts w:cstheme="minorHAnsi"/>
        </w:rPr>
        <w:t>The</w:t>
      </w:r>
      <w:r w:rsidR="00BF4FEA">
        <w:rPr>
          <w:rFonts w:cstheme="minorHAnsi"/>
        </w:rPr>
        <w:t xml:space="preserve"> performance measurement</w:t>
      </w:r>
      <w:r w:rsidR="00345342">
        <w:rPr>
          <w:rFonts w:cstheme="minorHAnsi"/>
        </w:rPr>
        <w:t xml:space="preserve"> approaches used vary,</w:t>
      </w:r>
      <w:r>
        <w:rPr>
          <w:rFonts w:cstheme="minorHAnsi"/>
        </w:rPr>
        <w:t xml:space="preserve"> with varying levels of success. What is nevertheless evident across all the examples looked at </w:t>
      </w:r>
      <w:r w:rsidR="00345342">
        <w:rPr>
          <w:rFonts w:cstheme="minorHAnsi"/>
        </w:rPr>
        <w:t>in this international literature review is that the means to</w:t>
      </w:r>
      <w:r w:rsidR="00DF4D84">
        <w:rPr>
          <w:rFonts w:cstheme="minorHAnsi"/>
        </w:rPr>
        <w:t>,</w:t>
      </w:r>
      <w:r w:rsidR="00345342">
        <w:rPr>
          <w:rFonts w:cstheme="minorHAnsi"/>
        </w:rPr>
        <w:t xml:space="preserve"> as accurately as possible to</w:t>
      </w:r>
      <w:r w:rsidR="00DF4D84">
        <w:rPr>
          <w:rFonts w:cstheme="minorHAnsi"/>
        </w:rPr>
        <w:t>,</w:t>
      </w:r>
      <w:r w:rsidR="00345342">
        <w:rPr>
          <w:rFonts w:cstheme="minorHAnsi"/>
        </w:rPr>
        <w:t xml:space="preserve"> account of differences in operating environment</w:t>
      </w:r>
      <w:r w:rsidR="00DF4D84">
        <w:rPr>
          <w:rFonts w:cstheme="minorHAnsi"/>
        </w:rPr>
        <w:t xml:space="preserve"> (i.e. external factors)</w:t>
      </w:r>
      <w:r w:rsidR="00345342">
        <w:rPr>
          <w:rFonts w:cstheme="minorHAnsi"/>
        </w:rPr>
        <w:t xml:space="preserve"> is the cornerstone that distinguish between those performance management frameworks that are successful and those that had or currently do experience substantial operating challenges. </w:t>
      </w:r>
    </w:p>
    <w:p w14:paraId="78495BF7" w14:textId="77777777" w:rsidR="00BE2E36" w:rsidRDefault="00BE2E36" w:rsidP="00E57953">
      <w:pPr>
        <w:pStyle w:val="Heading1"/>
        <w:keepLines w:val="0"/>
        <w:spacing w:before="240" w:after="60" w:line="240" w:lineRule="auto"/>
        <w:rPr>
          <w:rFonts w:eastAsiaTheme="minorEastAsia" w:cs="Calibri"/>
          <w:b w:val="0"/>
          <w:sz w:val="24"/>
          <w:szCs w:val="24"/>
          <w:lang w:eastAsia="en-AU"/>
        </w:rPr>
      </w:pPr>
      <w:r>
        <w:rPr>
          <w:rFonts w:cs="Calibri"/>
          <w:b w:val="0"/>
          <w:sz w:val="24"/>
          <w:szCs w:val="24"/>
        </w:rPr>
        <w:br w:type="page"/>
      </w:r>
    </w:p>
    <w:p w14:paraId="3159FCE8" w14:textId="77777777" w:rsidR="00441068" w:rsidRPr="00E4024E" w:rsidRDefault="00441068" w:rsidP="00E4024E">
      <w:pPr>
        <w:pStyle w:val="Heading1"/>
        <w:keepLines w:val="0"/>
        <w:numPr>
          <w:ilvl w:val="0"/>
          <w:numId w:val="16"/>
        </w:numPr>
        <w:spacing w:before="240" w:after="240" w:line="240" w:lineRule="auto"/>
        <w:ind w:left="0" w:firstLine="0"/>
        <w:rPr>
          <w:rFonts w:ascii="Calibri" w:eastAsia="Times New Roman" w:hAnsi="Calibri" w:cs="Arial"/>
          <w:color w:val="auto"/>
          <w:kern w:val="32"/>
          <w:sz w:val="32"/>
          <w:szCs w:val="32"/>
          <w:lang w:eastAsia="en-AU"/>
        </w:rPr>
      </w:pPr>
      <w:bookmarkStart w:id="2" w:name="_Toc365872622"/>
      <w:r w:rsidRPr="00E4024E">
        <w:rPr>
          <w:rFonts w:ascii="Calibri" w:eastAsia="Times New Roman" w:hAnsi="Calibri" w:cs="Arial"/>
          <w:color w:val="auto"/>
          <w:kern w:val="32"/>
          <w:sz w:val="32"/>
          <w:szCs w:val="32"/>
          <w:lang w:eastAsia="en-AU"/>
        </w:rPr>
        <w:lastRenderedPageBreak/>
        <w:t>Introduction</w:t>
      </w:r>
      <w:bookmarkEnd w:id="2"/>
    </w:p>
    <w:p w14:paraId="64481297" w14:textId="35DDF312" w:rsidR="009B19EC" w:rsidRDefault="009B19EC" w:rsidP="002C1139">
      <w:pPr>
        <w:autoSpaceDE w:val="0"/>
        <w:autoSpaceDN w:val="0"/>
        <w:adjustRightInd w:val="0"/>
        <w:spacing w:after="0" w:line="240" w:lineRule="auto"/>
        <w:contextualSpacing/>
        <w:rPr>
          <w:rFonts w:ascii="Calibri" w:hAnsi="Calibri" w:cs="Calibri"/>
          <w:color w:val="000000"/>
        </w:rPr>
      </w:pPr>
      <w:r w:rsidRPr="002C1139">
        <w:rPr>
          <w:rFonts w:ascii="Calibri" w:hAnsi="Calibri" w:cs="Calibri"/>
          <w:color w:val="000000"/>
        </w:rPr>
        <w:t>Australia’s employment services are designed to assist people into employment by working with employers, t</w:t>
      </w:r>
      <w:r w:rsidR="00D66BB8">
        <w:rPr>
          <w:rFonts w:ascii="Calibri" w:hAnsi="Calibri" w:cs="Calibri"/>
          <w:color w:val="000000"/>
        </w:rPr>
        <w:t>raining providers and participants</w:t>
      </w:r>
      <w:r w:rsidRPr="002C1139">
        <w:rPr>
          <w:rFonts w:ascii="Calibri" w:hAnsi="Calibri" w:cs="Calibri"/>
          <w:color w:val="000000"/>
        </w:rPr>
        <w:t xml:space="preserve"> to find individuals sustainable employment and where necessary address </w:t>
      </w:r>
      <w:r w:rsidR="00D66BB8">
        <w:rPr>
          <w:rFonts w:ascii="Calibri" w:hAnsi="Calibri" w:cs="Calibri"/>
          <w:color w:val="000000"/>
        </w:rPr>
        <w:t>participant</w:t>
      </w:r>
      <w:r w:rsidRPr="002C1139">
        <w:rPr>
          <w:rFonts w:ascii="Calibri" w:hAnsi="Calibri" w:cs="Calibri"/>
          <w:color w:val="000000"/>
        </w:rPr>
        <w:t>s</w:t>
      </w:r>
      <w:r w:rsidR="00980330">
        <w:rPr>
          <w:rFonts w:ascii="Calibri" w:hAnsi="Calibri" w:cs="Calibri"/>
          <w:color w:val="000000"/>
        </w:rPr>
        <w:t>’</w:t>
      </w:r>
      <w:r w:rsidRPr="002C1139">
        <w:rPr>
          <w:rFonts w:ascii="Calibri" w:hAnsi="Calibri" w:cs="Calibri"/>
          <w:color w:val="000000"/>
        </w:rPr>
        <w:t xml:space="preserve"> vocational and non-voc</w:t>
      </w:r>
      <w:r w:rsidR="00BE2E36" w:rsidRPr="002C1139">
        <w:rPr>
          <w:rFonts w:ascii="Calibri" w:hAnsi="Calibri" w:cs="Calibri"/>
          <w:color w:val="000000"/>
        </w:rPr>
        <w:t>ational barriers to employment.</w:t>
      </w:r>
      <w:r w:rsidRPr="002C1139">
        <w:rPr>
          <w:rFonts w:ascii="Calibri" w:hAnsi="Calibri" w:cs="Calibri"/>
          <w:color w:val="000000"/>
        </w:rPr>
        <w:t xml:space="preserve"> The Australian Government currently invests around $10 billion over a four year cycle in employment services programs such as </w:t>
      </w:r>
      <w:r w:rsidR="00CF4574" w:rsidRPr="002C1139">
        <w:rPr>
          <w:rFonts w:ascii="Calibri" w:hAnsi="Calibri" w:cs="Calibri"/>
          <w:color w:val="000000"/>
        </w:rPr>
        <w:t>Job Services Australia (</w:t>
      </w:r>
      <w:r w:rsidR="00BE2E36" w:rsidRPr="002C1139">
        <w:rPr>
          <w:rFonts w:ascii="Calibri" w:hAnsi="Calibri" w:cs="Calibri"/>
          <w:color w:val="000000"/>
        </w:rPr>
        <w:t>JSA</w:t>
      </w:r>
      <w:r w:rsidR="00CF4574" w:rsidRPr="002C1139">
        <w:rPr>
          <w:rFonts w:ascii="Calibri" w:hAnsi="Calibri" w:cs="Calibri"/>
          <w:color w:val="000000"/>
        </w:rPr>
        <w:t>)</w:t>
      </w:r>
      <w:r w:rsidRPr="002C1139">
        <w:rPr>
          <w:rFonts w:ascii="Calibri" w:hAnsi="Calibri" w:cs="Calibri"/>
          <w:color w:val="000000"/>
        </w:rPr>
        <w:t xml:space="preserve">, </w:t>
      </w:r>
      <w:r w:rsidR="00CF4574" w:rsidRPr="002C1139">
        <w:rPr>
          <w:rFonts w:ascii="Calibri" w:hAnsi="Calibri" w:cs="Calibri"/>
          <w:color w:val="000000"/>
        </w:rPr>
        <w:t>Disability Employment Services (</w:t>
      </w:r>
      <w:r w:rsidR="00BE2E36" w:rsidRPr="002C1139">
        <w:rPr>
          <w:rFonts w:ascii="Calibri" w:hAnsi="Calibri" w:cs="Calibri"/>
          <w:color w:val="000000"/>
        </w:rPr>
        <w:t>DES</w:t>
      </w:r>
      <w:r w:rsidR="00CF4574" w:rsidRPr="002C1139">
        <w:rPr>
          <w:rFonts w:ascii="Calibri" w:hAnsi="Calibri" w:cs="Calibri"/>
          <w:color w:val="000000"/>
        </w:rPr>
        <w:t>)</w:t>
      </w:r>
      <w:r w:rsidRPr="002C1139">
        <w:rPr>
          <w:rFonts w:ascii="Calibri" w:hAnsi="Calibri" w:cs="Calibri"/>
          <w:color w:val="000000"/>
        </w:rPr>
        <w:t xml:space="preserve"> and the Remo</w:t>
      </w:r>
      <w:r w:rsidR="00BE2E36" w:rsidRPr="002C1139">
        <w:rPr>
          <w:rFonts w:ascii="Calibri" w:hAnsi="Calibri" w:cs="Calibri"/>
          <w:color w:val="000000"/>
        </w:rPr>
        <w:t>te Jobs and Communities Program</w:t>
      </w:r>
      <w:r w:rsidR="007957F5" w:rsidRPr="002C1139">
        <w:rPr>
          <w:rFonts w:ascii="Calibri" w:hAnsi="Calibri" w:cs="Calibri"/>
          <w:color w:val="000000"/>
        </w:rPr>
        <w:t xml:space="preserve"> (RJCP)</w:t>
      </w:r>
      <w:r w:rsidR="00E40040" w:rsidRPr="002C1139">
        <w:rPr>
          <w:rFonts w:ascii="Calibri" w:hAnsi="Calibri" w:cs="Calibri"/>
          <w:color w:val="000000"/>
        </w:rPr>
        <w:t xml:space="preserve"> (</w:t>
      </w:r>
      <w:r w:rsidR="00977577" w:rsidRPr="002C1139">
        <w:rPr>
          <w:rFonts w:ascii="Calibri" w:hAnsi="Calibri" w:cs="Calibri"/>
          <w:color w:val="000000"/>
        </w:rPr>
        <w:t>DEEWR 2013)</w:t>
      </w:r>
      <w:r w:rsidRPr="002C1139">
        <w:rPr>
          <w:rFonts w:ascii="Calibri" w:hAnsi="Calibri" w:cs="Calibri"/>
          <w:color w:val="000000"/>
        </w:rPr>
        <w:t xml:space="preserve">. </w:t>
      </w:r>
    </w:p>
    <w:p w14:paraId="3BFE218B" w14:textId="77777777" w:rsidR="002C1139" w:rsidRPr="002C1139" w:rsidRDefault="002C1139" w:rsidP="002C1139">
      <w:pPr>
        <w:autoSpaceDE w:val="0"/>
        <w:autoSpaceDN w:val="0"/>
        <w:adjustRightInd w:val="0"/>
        <w:spacing w:after="0" w:line="240" w:lineRule="auto"/>
        <w:contextualSpacing/>
        <w:rPr>
          <w:rFonts w:ascii="Calibri" w:hAnsi="Calibri" w:cs="Calibri"/>
          <w:color w:val="000000"/>
        </w:rPr>
      </w:pPr>
    </w:p>
    <w:p w14:paraId="1F59A08C" w14:textId="6DCAEB64" w:rsidR="009B19EC" w:rsidRDefault="002A6050" w:rsidP="002C1139">
      <w:pPr>
        <w:autoSpaceDE w:val="0"/>
        <w:autoSpaceDN w:val="0"/>
        <w:adjustRightInd w:val="0"/>
        <w:spacing w:after="0" w:line="240" w:lineRule="auto"/>
        <w:contextualSpacing/>
        <w:rPr>
          <w:rFonts w:ascii="Calibri" w:hAnsi="Calibri" w:cs="Calibri"/>
          <w:color w:val="000000"/>
        </w:rPr>
      </w:pPr>
      <w:r w:rsidRPr="002C1139">
        <w:rPr>
          <w:rFonts w:ascii="Calibri" w:hAnsi="Calibri" w:cs="Calibri"/>
          <w:color w:val="000000"/>
        </w:rPr>
        <w:t>Services are provided to a dive</w:t>
      </w:r>
      <w:r w:rsidR="00221DE0" w:rsidRPr="002C1139">
        <w:rPr>
          <w:rFonts w:ascii="Calibri" w:hAnsi="Calibri" w:cs="Calibri"/>
          <w:color w:val="000000"/>
        </w:rPr>
        <w:t>rse range of job seekers over the whole of Australia.</w:t>
      </w:r>
      <w:r w:rsidR="00977577" w:rsidRPr="002C1139">
        <w:rPr>
          <w:rFonts w:ascii="Calibri" w:hAnsi="Calibri" w:cs="Calibri"/>
          <w:color w:val="000000"/>
        </w:rPr>
        <w:t xml:space="preserve"> The Australian Government </w:t>
      </w:r>
      <w:r w:rsidR="00790B18" w:rsidRPr="002C1139">
        <w:rPr>
          <w:rFonts w:ascii="Calibri" w:hAnsi="Calibri" w:cs="Calibri"/>
          <w:color w:val="000000"/>
        </w:rPr>
        <w:t xml:space="preserve">contracts profit and non-for-profit </w:t>
      </w:r>
      <w:r w:rsidR="002C6713" w:rsidRPr="002C1139">
        <w:rPr>
          <w:rFonts w:ascii="Calibri" w:hAnsi="Calibri" w:cs="Calibri"/>
          <w:color w:val="000000"/>
        </w:rPr>
        <w:t xml:space="preserve">organisations to deliver employment services across Australia. </w:t>
      </w:r>
      <w:r w:rsidR="00726265" w:rsidRPr="002C1139">
        <w:rPr>
          <w:rFonts w:ascii="Calibri" w:hAnsi="Calibri" w:cs="Calibri"/>
          <w:color w:val="000000"/>
        </w:rPr>
        <w:t xml:space="preserve">The size of </w:t>
      </w:r>
      <w:r w:rsidR="008E4919" w:rsidRPr="002C1139">
        <w:rPr>
          <w:rFonts w:ascii="Calibri" w:hAnsi="Calibri" w:cs="Calibri"/>
          <w:color w:val="000000"/>
        </w:rPr>
        <w:t>this market</w:t>
      </w:r>
      <w:r w:rsidR="00726265" w:rsidRPr="002C1139">
        <w:rPr>
          <w:rFonts w:ascii="Calibri" w:hAnsi="Calibri" w:cs="Calibri"/>
          <w:color w:val="000000"/>
        </w:rPr>
        <w:t xml:space="preserve"> is significant. A</w:t>
      </w:r>
      <w:r w:rsidR="003C775A" w:rsidRPr="002C1139">
        <w:rPr>
          <w:rFonts w:ascii="Calibri" w:hAnsi="Calibri" w:cs="Calibri"/>
          <w:color w:val="000000"/>
        </w:rPr>
        <w:t>t any point in time around 95</w:t>
      </w:r>
      <w:r w:rsidR="00726265" w:rsidRPr="002C1139">
        <w:rPr>
          <w:rFonts w:ascii="Calibri" w:hAnsi="Calibri" w:cs="Calibri"/>
          <w:color w:val="000000"/>
        </w:rPr>
        <w:t>0 000 people are receiving assistance from JSA</w:t>
      </w:r>
      <w:r w:rsidR="002C6713" w:rsidRPr="002C1139">
        <w:rPr>
          <w:rFonts w:ascii="Calibri" w:hAnsi="Calibri" w:cs="Calibri"/>
          <w:color w:val="000000"/>
        </w:rPr>
        <w:t>,</w:t>
      </w:r>
      <w:r w:rsidR="00726265" w:rsidRPr="002C1139">
        <w:rPr>
          <w:rFonts w:ascii="Calibri" w:hAnsi="Calibri" w:cs="Calibri"/>
          <w:color w:val="000000"/>
        </w:rPr>
        <w:t xml:space="preserve"> DES </w:t>
      </w:r>
      <w:r w:rsidR="002C6713" w:rsidRPr="002C1139">
        <w:rPr>
          <w:rFonts w:ascii="Calibri" w:hAnsi="Calibri" w:cs="Calibri"/>
          <w:color w:val="000000"/>
        </w:rPr>
        <w:t xml:space="preserve">and RJCP </w:t>
      </w:r>
      <w:r w:rsidR="00726265" w:rsidRPr="002C1139">
        <w:rPr>
          <w:rFonts w:ascii="Calibri" w:hAnsi="Calibri" w:cs="Calibri"/>
          <w:color w:val="000000"/>
        </w:rPr>
        <w:t xml:space="preserve">providers, and over the course of a year, 1.6 million Australians will </w:t>
      </w:r>
      <w:r w:rsidR="002C6713" w:rsidRPr="002C1139">
        <w:rPr>
          <w:rFonts w:ascii="Calibri" w:hAnsi="Calibri" w:cs="Calibri"/>
          <w:color w:val="000000"/>
        </w:rPr>
        <w:t xml:space="preserve">access these </w:t>
      </w:r>
      <w:r w:rsidR="00726265" w:rsidRPr="002C1139">
        <w:rPr>
          <w:rFonts w:ascii="Calibri" w:hAnsi="Calibri" w:cs="Calibri"/>
          <w:color w:val="000000"/>
        </w:rPr>
        <w:t xml:space="preserve">services. </w:t>
      </w:r>
      <w:r w:rsidR="009B19EC" w:rsidRPr="00D66BB8">
        <w:rPr>
          <w:rFonts w:ascii="Calibri" w:hAnsi="Calibri" w:cs="Calibri"/>
          <w:color w:val="000000"/>
        </w:rPr>
        <w:t>J</w:t>
      </w:r>
      <w:r w:rsidR="003C775A" w:rsidRPr="00D66BB8">
        <w:rPr>
          <w:rFonts w:ascii="Calibri" w:hAnsi="Calibri" w:cs="Calibri"/>
          <w:color w:val="000000"/>
        </w:rPr>
        <w:t>SA delivers services to around 8</w:t>
      </w:r>
      <w:r w:rsidR="009B19EC" w:rsidRPr="00D66BB8">
        <w:rPr>
          <w:rFonts w:ascii="Calibri" w:hAnsi="Calibri" w:cs="Calibri"/>
          <w:color w:val="000000"/>
        </w:rPr>
        <w:t>00 000 job seekers at any point</w:t>
      </w:r>
      <w:r w:rsidR="00AB1FC3" w:rsidRPr="00D66BB8">
        <w:rPr>
          <w:rFonts w:ascii="Calibri" w:hAnsi="Calibri" w:cs="Calibri"/>
          <w:color w:val="000000"/>
        </w:rPr>
        <w:t xml:space="preserve"> in time. There are currently 93</w:t>
      </w:r>
      <w:r w:rsidR="009B19EC" w:rsidRPr="00D66BB8">
        <w:rPr>
          <w:rFonts w:ascii="Calibri" w:hAnsi="Calibri" w:cs="Calibri"/>
          <w:color w:val="000000"/>
        </w:rPr>
        <w:t xml:space="preserve"> providers delivering services across </w:t>
      </w:r>
      <w:r w:rsidR="00AB1FC3" w:rsidRPr="00D66BB8">
        <w:rPr>
          <w:rFonts w:ascii="Calibri" w:hAnsi="Calibri" w:cs="Calibri"/>
          <w:color w:val="000000"/>
        </w:rPr>
        <w:t>2070</w:t>
      </w:r>
      <w:r w:rsidR="009B19EC" w:rsidRPr="00D66BB8">
        <w:rPr>
          <w:rFonts w:ascii="Calibri" w:hAnsi="Calibri" w:cs="Calibri"/>
          <w:color w:val="000000"/>
        </w:rPr>
        <w:t xml:space="preserve"> geographic locations across Australia. </w:t>
      </w:r>
      <w:r w:rsidR="00AB1FC3" w:rsidRPr="00D66BB8">
        <w:rPr>
          <w:rFonts w:ascii="Calibri" w:hAnsi="Calibri" w:cs="Calibri"/>
          <w:color w:val="000000"/>
        </w:rPr>
        <w:t xml:space="preserve">151 </w:t>
      </w:r>
      <w:r w:rsidR="00D66BB8" w:rsidRPr="00D66BB8">
        <w:rPr>
          <w:rFonts w:ascii="Calibri" w:hAnsi="Calibri" w:cs="Calibri"/>
          <w:color w:val="000000"/>
        </w:rPr>
        <w:t>providers deliver DES</w:t>
      </w:r>
      <w:r w:rsidR="009B19EC" w:rsidRPr="00D66BB8">
        <w:rPr>
          <w:rFonts w:ascii="Calibri" w:hAnsi="Calibri" w:cs="Calibri"/>
          <w:color w:val="000000"/>
        </w:rPr>
        <w:t xml:space="preserve"> across </w:t>
      </w:r>
      <w:r w:rsidR="00AB1FC3" w:rsidRPr="00D66BB8">
        <w:rPr>
          <w:rFonts w:ascii="Calibri" w:hAnsi="Calibri" w:cs="Calibri"/>
          <w:color w:val="000000"/>
        </w:rPr>
        <w:t>26</w:t>
      </w:r>
      <w:r w:rsidR="00D66BB8" w:rsidRPr="00D66BB8">
        <w:rPr>
          <w:rFonts w:ascii="Calibri" w:hAnsi="Calibri" w:cs="Calibri"/>
          <w:color w:val="000000"/>
        </w:rPr>
        <w:t>00</w:t>
      </w:r>
      <w:r w:rsidR="009B19EC" w:rsidRPr="00D66BB8">
        <w:rPr>
          <w:rFonts w:ascii="Calibri" w:hAnsi="Calibri" w:cs="Calibri"/>
          <w:color w:val="000000"/>
        </w:rPr>
        <w:t xml:space="preserve"> locations to around </w:t>
      </w:r>
      <w:r w:rsidR="00AB1FC3" w:rsidRPr="00D66BB8">
        <w:rPr>
          <w:rFonts w:ascii="Calibri" w:hAnsi="Calibri" w:cs="Calibri"/>
          <w:color w:val="000000"/>
        </w:rPr>
        <w:t>150 000</w:t>
      </w:r>
      <w:r w:rsidR="009B19EC" w:rsidRPr="00D66BB8">
        <w:rPr>
          <w:rFonts w:ascii="Calibri" w:hAnsi="Calibri" w:cs="Calibri"/>
          <w:color w:val="000000"/>
        </w:rPr>
        <w:t xml:space="preserve"> job seekers with temporary or permanent disability, injury or health condition who require the assistance of a disability employment service, and who may require ongoing support in the workplace</w:t>
      </w:r>
      <w:r w:rsidR="009B19EC" w:rsidRPr="00AE772C">
        <w:rPr>
          <w:rFonts w:ascii="Calibri" w:hAnsi="Calibri" w:cs="Calibri"/>
          <w:color w:val="000000"/>
        </w:rPr>
        <w:t>.</w:t>
      </w:r>
      <w:r w:rsidR="009B19EC" w:rsidRPr="002C1139">
        <w:rPr>
          <w:rFonts w:ascii="Calibri" w:hAnsi="Calibri" w:cs="Calibri"/>
          <w:color w:val="000000"/>
        </w:rPr>
        <w:t xml:space="preserve"> </w:t>
      </w:r>
      <w:r w:rsidR="002C6713" w:rsidRPr="002C1139">
        <w:rPr>
          <w:rFonts w:ascii="Calibri" w:hAnsi="Calibri" w:cs="Calibri"/>
          <w:color w:val="000000"/>
        </w:rPr>
        <w:t>These providers compete in a ‘quasi-market’ with business reallocated from poor performing providers to high performing providers.</w:t>
      </w:r>
    </w:p>
    <w:p w14:paraId="4C70E689" w14:textId="77777777" w:rsidR="002C1139" w:rsidRPr="002C1139" w:rsidRDefault="002C1139" w:rsidP="002C1139">
      <w:pPr>
        <w:autoSpaceDE w:val="0"/>
        <w:autoSpaceDN w:val="0"/>
        <w:adjustRightInd w:val="0"/>
        <w:spacing w:after="0" w:line="240" w:lineRule="auto"/>
        <w:contextualSpacing/>
        <w:rPr>
          <w:rFonts w:ascii="Calibri" w:hAnsi="Calibri" w:cs="Calibri"/>
          <w:color w:val="000000"/>
        </w:rPr>
      </w:pPr>
    </w:p>
    <w:p w14:paraId="22490125" w14:textId="1F270316" w:rsidR="002B7585" w:rsidRDefault="008A34DC" w:rsidP="002C1139">
      <w:pPr>
        <w:pStyle w:val="Default"/>
        <w:contextualSpacing/>
        <w:rPr>
          <w:rFonts w:ascii="Calibri" w:hAnsi="Calibri"/>
          <w:sz w:val="22"/>
          <w:szCs w:val="22"/>
        </w:rPr>
      </w:pPr>
      <w:r w:rsidRPr="002C1139">
        <w:rPr>
          <w:rFonts w:ascii="Calibri" w:hAnsi="Calibri"/>
          <w:sz w:val="22"/>
          <w:szCs w:val="22"/>
        </w:rPr>
        <w:t xml:space="preserve">The significant role of employment services in Australia’s labour market entails the need to ensure that contracted providers are meeting the goals of the government through maximising employment outcomes. </w:t>
      </w:r>
      <w:r w:rsidR="0070074A" w:rsidRPr="002C1139">
        <w:rPr>
          <w:rFonts w:ascii="Calibri" w:hAnsi="Calibri"/>
          <w:sz w:val="22"/>
          <w:szCs w:val="22"/>
        </w:rPr>
        <w:t xml:space="preserve">The </w:t>
      </w:r>
      <w:r w:rsidR="00980330">
        <w:rPr>
          <w:rFonts w:ascii="Calibri" w:hAnsi="Calibri"/>
          <w:sz w:val="22"/>
          <w:szCs w:val="22"/>
        </w:rPr>
        <w:t xml:space="preserve">applicable </w:t>
      </w:r>
      <w:r w:rsidR="0070074A" w:rsidRPr="002C1139">
        <w:rPr>
          <w:rFonts w:ascii="Calibri" w:hAnsi="Calibri"/>
          <w:sz w:val="22"/>
          <w:szCs w:val="22"/>
        </w:rPr>
        <w:t>department</w:t>
      </w:r>
      <w:r w:rsidR="00980330">
        <w:rPr>
          <w:rFonts w:ascii="Calibri" w:hAnsi="Calibri"/>
          <w:sz w:val="22"/>
          <w:szCs w:val="22"/>
        </w:rPr>
        <w:t>s work</w:t>
      </w:r>
      <w:r w:rsidR="0070074A" w:rsidRPr="002C1139">
        <w:rPr>
          <w:rFonts w:ascii="Calibri" w:hAnsi="Calibri"/>
          <w:sz w:val="22"/>
          <w:szCs w:val="22"/>
        </w:rPr>
        <w:t xml:space="preserve"> in partnership with JSA and DES providers to drive performance and continuous improvement in the delivery of quality services to all job seekers. </w:t>
      </w:r>
      <w:r w:rsidR="00233FAD" w:rsidRPr="002C1139">
        <w:rPr>
          <w:rFonts w:ascii="Calibri" w:hAnsi="Calibri"/>
          <w:sz w:val="22"/>
          <w:szCs w:val="22"/>
        </w:rPr>
        <w:t xml:space="preserve">Underpinning </w:t>
      </w:r>
      <w:r w:rsidR="00250DA7" w:rsidRPr="002C1139">
        <w:rPr>
          <w:rFonts w:ascii="Calibri" w:hAnsi="Calibri"/>
          <w:sz w:val="22"/>
          <w:szCs w:val="22"/>
        </w:rPr>
        <w:t>this is</w:t>
      </w:r>
      <w:r w:rsidR="00233FAD" w:rsidRPr="002C1139">
        <w:rPr>
          <w:rFonts w:ascii="Calibri" w:hAnsi="Calibri"/>
          <w:sz w:val="22"/>
          <w:szCs w:val="22"/>
        </w:rPr>
        <w:t xml:space="preserve"> the need for a robust performance framework that accurately measures provider performance.</w:t>
      </w:r>
    </w:p>
    <w:p w14:paraId="65BDA714" w14:textId="77777777" w:rsidR="002C1139" w:rsidRPr="002C1139" w:rsidRDefault="002C1139" w:rsidP="002C1139">
      <w:pPr>
        <w:pStyle w:val="Default"/>
        <w:contextualSpacing/>
        <w:rPr>
          <w:rFonts w:ascii="Calibri" w:hAnsi="Calibri"/>
          <w:sz w:val="22"/>
          <w:szCs w:val="22"/>
        </w:rPr>
      </w:pPr>
    </w:p>
    <w:p w14:paraId="37BFA4C6" w14:textId="77777777" w:rsidR="00250DA7" w:rsidRPr="002C1139" w:rsidRDefault="00250DA7" w:rsidP="002C1139">
      <w:pPr>
        <w:pStyle w:val="Default"/>
        <w:spacing w:after="120"/>
        <w:rPr>
          <w:rFonts w:ascii="Calibri" w:hAnsi="Calibri"/>
          <w:sz w:val="22"/>
          <w:szCs w:val="22"/>
        </w:rPr>
      </w:pPr>
      <w:r w:rsidRPr="002C1139">
        <w:rPr>
          <w:rFonts w:ascii="Calibri" w:hAnsi="Calibri"/>
          <w:sz w:val="22"/>
          <w:szCs w:val="22"/>
        </w:rPr>
        <w:t xml:space="preserve">The purpose of this </w:t>
      </w:r>
      <w:r w:rsidR="00CD634A" w:rsidRPr="002C1139">
        <w:rPr>
          <w:rFonts w:ascii="Calibri" w:hAnsi="Calibri"/>
          <w:sz w:val="22"/>
          <w:szCs w:val="22"/>
        </w:rPr>
        <w:t>review</w:t>
      </w:r>
      <w:r w:rsidRPr="002C1139">
        <w:rPr>
          <w:rFonts w:ascii="Calibri" w:hAnsi="Calibri"/>
          <w:sz w:val="22"/>
          <w:szCs w:val="22"/>
        </w:rPr>
        <w:t xml:space="preserve"> is to examine the current </w:t>
      </w:r>
      <w:r w:rsidR="007957F5" w:rsidRPr="002C1139">
        <w:rPr>
          <w:rFonts w:ascii="Calibri" w:hAnsi="Calibri"/>
          <w:sz w:val="22"/>
          <w:szCs w:val="22"/>
        </w:rPr>
        <w:t>Star Rating</w:t>
      </w:r>
      <w:r w:rsidRPr="002C1139">
        <w:rPr>
          <w:rFonts w:ascii="Calibri" w:hAnsi="Calibri"/>
          <w:sz w:val="22"/>
          <w:szCs w:val="22"/>
        </w:rPr>
        <w:t xml:space="preserve">s model used by the </w:t>
      </w:r>
      <w:r w:rsidR="002C6713" w:rsidRPr="002C1139">
        <w:rPr>
          <w:rFonts w:ascii="Calibri" w:hAnsi="Calibri"/>
          <w:sz w:val="22"/>
          <w:szCs w:val="22"/>
        </w:rPr>
        <w:t>d</w:t>
      </w:r>
      <w:r w:rsidRPr="002C1139">
        <w:rPr>
          <w:rFonts w:ascii="Calibri" w:hAnsi="Calibri"/>
          <w:sz w:val="22"/>
          <w:szCs w:val="22"/>
        </w:rPr>
        <w:t xml:space="preserve">epartment to assess </w:t>
      </w:r>
      <w:r w:rsidR="00D04BCC">
        <w:rPr>
          <w:rFonts w:ascii="Calibri" w:hAnsi="Calibri"/>
          <w:sz w:val="22"/>
          <w:szCs w:val="22"/>
        </w:rPr>
        <w:t>provider performance and review</w:t>
      </w:r>
      <w:r w:rsidRPr="002C1139">
        <w:rPr>
          <w:rFonts w:ascii="Calibri" w:hAnsi="Calibri"/>
          <w:sz w:val="22"/>
          <w:szCs w:val="22"/>
        </w:rPr>
        <w:t xml:space="preserve"> potential alternatives to this model</w:t>
      </w:r>
      <w:r w:rsidR="002C6713" w:rsidRPr="002C1139">
        <w:rPr>
          <w:rFonts w:ascii="Calibri" w:hAnsi="Calibri"/>
          <w:sz w:val="22"/>
          <w:szCs w:val="22"/>
        </w:rPr>
        <w:t xml:space="preserve"> advocated within and outside of the sector</w:t>
      </w:r>
      <w:r w:rsidRPr="002C1139">
        <w:rPr>
          <w:rFonts w:ascii="Calibri" w:hAnsi="Calibri"/>
          <w:sz w:val="22"/>
          <w:szCs w:val="22"/>
        </w:rPr>
        <w:t xml:space="preserve">. </w:t>
      </w:r>
      <w:r w:rsidR="00CD634A" w:rsidRPr="002C1139">
        <w:rPr>
          <w:rFonts w:ascii="Calibri" w:hAnsi="Calibri"/>
          <w:sz w:val="22"/>
          <w:szCs w:val="22"/>
        </w:rPr>
        <w:t>Specifically</w:t>
      </w:r>
      <w:r w:rsidRPr="002C1139">
        <w:rPr>
          <w:rFonts w:ascii="Calibri" w:hAnsi="Calibri"/>
          <w:sz w:val="22"/>
          <w:szCs w:val="22"/>
        </w:rPr>
        <w:t xml:space="preserve"> this </w:t>
      </w:r>
      <w:r w:rsidR="00CD634A" w:rsidRPr="002C1139">
        <w:rPr>
          <w:rFonts w:ascii="Calibri" w:hAnsi="Calibri"/>
          <w:sz w:val="22"/>
          <w:szCs w:val="22"/>
        </w:rPr>
        <w:t>review</w:t>
      </w:r>
      <w:r w:rsidRPr="002C1139">
        <w:rPr>
          <w:rFonts w:ascii="Calibri" w:hAnsi="Calibri"/>
          <w:sz w:val="22"/>
          <w:szCs w:val="22"/>
        </w:rPr>
        <w:t>:</w:t>
      </w:r>
    </w:p>
    <w:p w14:paraId="4E211918" w14:textId="77777777" w:rsidR="00CD634A" w:rsidRPr="002C1139" w:rsidRDefault="002C6713" w:rsidP="002C1139">
      <w:pPr>
        <w:pStyle w:val="Default"/>
        <w:numPr>
          <w:ilvl w:val="0"/>
          <w:numId w:val="34"/>
        </w:numPr>
        <w:ind w:left="714" w:hanging="357"/>
        <w:rPr>
          <w:rFonts w:ascii="Calibri" w:hAnsi="Calibri"/>
          <w:sz w:val="22"/>
          <w:szCs w:val="22"/>
        </w:rPr>
      </w:pPr>
      <w:r w:rsidRPr="002C1139">
        <w:rPr>
          <w:rFonts w:ascii="Calibri" w:hAnsi="Calibri"/>
          <w:sz w:val="22"/>
          <w:szCs w:val="22"/>
        </w:rPr>
        <w:t>a</w:t>
      </w:r>
      <w:r w:rsidR="00CD634A" w:rsidRPr="002C1139">
        <w:rPr>
          <w:rFonts w:ascii="Calibri" w:hAnsi="Calibri"/>
          <w:sz w:val="22"/>
          <w:szCs w:val="22"/>
        </w:rPr>
        <w:t>ssesses the need for performance management in Australia’s employment services market</w:t>
      </w:r>
    </w:p>
    <w:p w14:paraId="66CC8D66" w14:textId="77777777" w:rsidR="00CD634A" w:rsidRPr="002C1139" w:rsidRDefault="002C6713" w:rsidP="002C1139">
      <w:pPr>
        <w:pStyle w:val="Default"/>
        <w:numPr>
          <w:ilvl w:val="0"/>
          <w:numId w:val="34"/>
        </w:numPr>
        <w:ind w:left="714" w:hanging="357"/>
        <w:rPr>
          <w:rFonts w:ascii="Calibri" w:hAnsi="Calibri"/>
          <w:sz w:val="22"/>
          <w:szCs w:val="22"/>
        </w:rPr>
      </w:pPr>
      <w:r w:rsidRPr="002C1139">
        <w:rPr>
          <w:rFonts w:ascii="Calibri" w:hAnsi="Calibri"/>
          <w:sz w:val="22"/>
          <w:szCs w:val="22"/>
        </w:rPr>
        <w:t>e</w:t>
      </w:r>
      <w:r w:rsidR="00CD634A" w:rsidRPr="002C1139">
        <w:rPr>
          <w:rFonts w:ascii="Calibri" w:hAnsi="Calibri"/>
          <w:sz w:val="22"/>
          <w:szCs w:val="22"/>
        </w:rPr>
        <w:t xml:space="preserve">xamines the advantages and disadvantages of the </w:t>
      </w:r>
      <w:r w:rsidR="007957F5" w:rsidRPr="002C1139">
        <w:rPr>
          <w:rFonts w:ascii="Calibri" w:hAnsi="Calibri"/>
          <w:sz w:val="22"/>
          <w:szCs w:val="22"/>
        </w:rPr>
        <w:t>Star Rating</w:t>
      </w:r>
      <w:r w:rsidR="00CD634A" w:rsidRPr="002C1139">
        <w:rPr>
          <w:rFonts w:ascii="Calibri" w:hAnsi="Calibri"/>
          <w:sz w:val="22"/>
          <w:szCs w:val="22"/>
        </w:rPr>
        <w:t>s model</w:t>
      </w:r>
    </w:p>
    <w:p w14:paraId="50598088" w14:textId="77777777" w:rsidR="00CD634A" w:rsidRPr="002C1139" w:rsidRDefault="002C6713" w:rsidP="002C1139">
      <w:pPr>
        <w:pStyle w:val="Default"/>
        <w:numPr>
          <w:ilvl w:val="0"/>
          <w:numId w:val="34"/>
        </w:numPr>
        <w:ind w:left="714" w:hanging="357"/>
        <w:rPr>
          <w:rFonts w:ascii="Calibri" w:hAnsi="Calibri"/>
          <w:sz w:val="22"/>
          <w:szCs w:val="22"/>
        </w:rPr>
      </w:pPr>
      <w:r w:rsidRPr="002C1139">
        <w:rPr>
          <w:rFonts w:ascii="Calibri" w:hAnsi="Calibri"/>
          <w:sz w:val="22"/>
          <w:szCs w:val="22"/>
        </w:rPr>
        <w:t>e</w:t>
      </w:r>
      <w:r w:rsidR="00CD634A" w:rsidRPr="002C1139">
        <w:rPr>
          <w:rFonts w:ascii="Calibri" w:hAnsi="Calibri"/>
          <w:sz w:val="22"/>
          <w:szCs w:val="22"/>
        </w:rPr>
        <w:t xml:space="preserve">xamines benchmarking models as an alternative to the </w:t>
      </w:r>
      <w:r w:rsidR="007957F5" w:rsidRPr="002C1139">
        <w:rPr>
          <w:rFonts w:ascii="Calibri" w:hAnsi="Calibri"/>
          <w:sz w:val="22"/>
          <w:szCs w:val="22"/>
        </w:rPr>
        <w:t>Star Rating</w:t>
      </w:r>
      <w:r w:rsidR="00CD634A" w:rsidRPr="002C1139">
        <w:rPr>
          <w:rFonts w:ascii="Calibri" w:hAnsi="Calibri"/>
          <w:sz w:val="22"/>
          <w:szCs w:val="22"/>
        </w:rPr>
        <w:t>s model</w:t>
      </w:r>
    </w:p>
    <w:p w14:paraId="14A4D2A0" w14:textId="77777777" w:rsidR="00CD634A" w:rsidRPr="002C1139" w:rsidRDefault="002C6713" w:rsidP="002C1139">
      <w:pPr>
        <w:pStyle w:val="Default"/>
        <w:numPr>
          <w:ilvl w:val="0"/>
          <w:numId w:val="34"/>
        </w:numPr>
        <w:ind w:left="714" w:hanging="357"/>
        <w:rPr>
          <w:rFonts w:ascii="Calibri" w:hAnsi="Calibri"/>
          <w:sz w:val="22"/>
          <w:szCs w:val="22"/>
        </w:rPr>
      </w:pPr>
      <w:r w:rsidRPr="002C1139">
        <w:rPr>
          <w:rFonts w:ascii="Calibri" w:hAnsi="Calibri"/>
          <w:sz w:val="22"/>
          <w:szCs w:val="22"/>
        </w:rPr>
        <w:t>a</w:t>
      </w:r>
      <w:r w:rsidR="00CD634A" w:rsidRPr="002C1139">
        <w:rPr>
          <w:rFonts w:ascii="Calibri" w:hAnsi="Calibri"/>
          <w:sz w:val="22"/>
          <w:szCs w:val="22"/>
        </w:rPr>
        <w:t xml:space="preserve">nalyses whether benchmarking models can meet the advantages of the </w:t>
      </w:r>
      <w:r w:rsidR="007957F5" w:rsidRPr="002C1139">
        <w:rPr>
          <w:rFonts w:ascii="Calibri" w:hAnsi="Calibri"/>
          <w:sz w:val="22"/>
          <w:szCs w:val="22"/>
        </w:rPr>
        <w:t>Star Rating</w:t>
      </w:r>
      <w:r w:rsidR="00CD634A" w:rsidRPr="002C1139">
        <w:rPr>
          <w:rFonts w:ascii="Calibri" w:hAnsi="Calibri"/>
          <w:sz w:val="22"/>
          <w:szCs w:val="22"/>
        </w:rPr>
        <w:t>s model</w:t>
      </w:r>
      <w:r w:rsidRPr="002C1139">
        <w:rPr>
          <w:rFonts w:ascii="Calibri" w:hAnsi="Calibri"/>
          <w:sz w:val="22"/>
          <w:szCs w:val="22"/>
        </w:rPr>
        <w:t xml:space="preserve"> and</w:t>
      </w:r>
    </w:p>
    <w:p w14:paraId="12310936" w14:textId="77777777" w:rsidR="00CD634A" w:rsidRDefault="002C6713" w:rsidP="002C1139">
      <w:pPr>
        <w:pStyle w:val="Default"/>
        <w:numPr>
          <w:ilvl w:val="0"/>
          <w:numId w:val="34"/>
        </w:numPr>
        <w:ind w:left="714" w:hanging="357"/>
        <w:rPr>
          <w:rFonts w:ascii="Calibri" w:hAnsi="Calibri"/>
          <w:sz w:val="22"/>
          <w:szCs w:val="22"/>
        </w:rPr>
      </w:pPr>
      <w:r w:rsidRPr="002C1139">
        <w:rPr>
          <w:rFonts w:ascii="Calibri" w:hAnsi="Calibri"/>
          <w:sz w:val="22"/>
          <w:szCs w:val="22"/>
        </w:rPr>
        <w:t>a</w:t>
      </w:r>
      <w:r w:rsidR="00CD634A" w:rsidRPr="002C1139">
        <w:rPr>
          <w:rFonts w:ascii="Calibri" w:hAnsi="Calibri"/>
          <w:sz w:val="22"/>
          <w:szCs w:val="22"/>
        </w:rPr>
        <w:t>nalyses whether benchmarking models offers a solution to the</w:t>
      </w:r>
      <w:r w:rsidR="00C21F78" w:rsidRPr="002C1139">
        <w:rPr>
          <w:rFonts w:ascii="Calibri" w:hAnsi="Calibri"/>
          <w:sz w:val="22"/>
          <w:szCs w:val="22"/>
        </w:rPr>
        <w:t xml:space="preserve"> concerns suggested by stakeholders about</w:t>
      </w:r>
      <w:r w:rsidR="00CD634A" w:rsidRPr="002C1139">
        <w:rPr>
          <w:rFonts w:ascii="Calibri" w:hAnsi="Calibri"/>
          <w:sz w:val="22"/>
          <w:szCs w:val="22"/>
        </w:rPr>
        <w:t xml:space="preserve"> the </w:t>
      </w:r>
      <w:r w:rsidR="007957F5" w:rsidRPr="002C1139">
        <w:rPr>
          <w:rFonts w:ascii="Calibri" w:hAnsi="Calibri"/>
          <w:sz w:val="22"/>
          <w:szCs w:val="22"/>
        </w:rPr>
        <w:t>Star Rating</w:t>
      </w:r>
      <w:r w:rsidR="00CD634A" w:rsidRPr="002C1139">
        <w:rPr>
          <w:rFonts w:ascii="Calibri" w:hAnsi="Calibri"/>
          <w:sz w:val="22"/>
          <w:szCs w:val="22"/>
        </w:rPr>
        <w:t>s model</w:t>
      </w:r>
      <w:r w:rsidR="00542A18" w:rsidRPr="002C1139">
        <w:rPr>
          <w:rFonts w:ascii="Calibri" w:hAnsi="Calibri"/>
          <w:sz w:val="22"/>
          <w:szCs w:val="22"/>
        </w:rPr>
        <w:t>.</w:t>
      </w:r>
    </w:p>
    <w:p w14:paraId="7E3B2239" w14:textId="77777777" w:rsidR="002C1139" w:rsidRPr="002C1139" w:rsidRDefault="002C1139" w:rsidP="002C1139">
      <w:pPr>
        <w:pStyle w:val="Default"/>
        <w:rPr>
          <w:rFonts w:ascii="Calibri" w:hAnsi="Calibri"/>
          <w:sz w:val="22"/>
          <w:szCs w:val="22"/>
        </w:rPr>
      </w:pPr>
    </w:p>
    <w:p w14:paraId="3D9CDB18" w14:textId="77777777" w:rsidR="00250DA7" w:rsidRDefault="00250DA7" w:rsidP="002C1139">
      <w:pPr>
        <w:pStyle w:val="Default"/>
        <w:rPr>
          <w:rFonts w:ascii="Calibri" w:hAnsi="Calibri"/>
          <w:sz w:val="22"/>
          <w:szCs w:val="22"/>
        </w:rPr>
      </w:pPr>
      <w:r w:rsidRPr="002C1139">
        <w:rPr>
          <w:rFonts w:ascii="Calibri" w:hAnsi="Calibri"/>
          <w:sz w:val="22"/>
          <w:szCs w:val="22"/>
        </w:rPr>
        <w:t xml:space="preserve">When assessing the </w:t>
      </w:r>
      <w:r w:rsidR="007957F5" w:rsidRPr="002C1139">
        <w:rPr>
          <w:rFonts w:ascii="Calibri" w:hAnsi="Calibri"/>
          <w:sz w:val="22"/>
          <w:szCs w:val="22"/>
        </w:rPr>
        <w:t>Star Rating</w:t>
      </w:r>
      <w:r w:rsidRPr="002C1139">
        <w:rPr>
          <w:rFonts w:ascii="Calibri" w:hAnsi="Calibri"/>
          <w:sz w:val="22"/>
          <w:szCs w:val="22"/>
        </w:rPr>
        <w:t>s model and its alternatives</w:t>
      </w:r>
      <w:r w:rsidR="00CD634A" w:rsidRPr="002C1139">
        <w:rPr>
          <w:rFonts w:ascii="Calibri" w:hAnsi="Calibri"/>
          <w:sz w:val="22"/>
          <w:szCs w:val="22"/>
        </w:rPr>
        <w:t xml:space="preserve">, it is assumed that the department continues to operate a quasi-market that providers compete in and that the performance indicators used to assess performance </w:t>
      </w:r>
      <w:r w:rsidR="00542A18" w:rsidRPr="002C1139">
        <w:rPr>
          <w:rFonts w:ascii="Calibri" w:hAnsi="Calibri"/>
          <w:sz w:val="22"/>
          <w:szCs w:val="22"/>
        </w:rPr>
        <w:t>remain</w:t>
      </w:r>
      <w:r w:rsidR="00CD634A" w:rsidRPr="002C1139">
        <w:rPr>
          <w:rFonts w:ascii="Calibri" w:hAnsi="Calibri"/>
          <w:sz w:val="22"/>
          <w:szCs w:val="22"/>
        </w:rPr>
        <w:t xml:space="preserve"> unchanged. It is recognised that some stakeholders have proposed changes to the overall structure of employment services. An examination of these proposals </w:t>
      </w:r>
      <w:r w:rsidR="00542A18" w:rsidRPr="002C1139">
        <w:rPr>
          <w:rFonts w:ascii="Calibri" w:hAnsi="Calibri"/>
          <w:sz w:val="22"/>
          <w:szCs w:val="22"/>
        </w:rPr>
        <w:t>is</w:t>
      </w:r>
      <w:r w:rsidR="00CD634A" w:rsidRPr="002C1139">
        <w:rPr>
          <w:rFonts w:ascii="Calibri" w:hAnsi="Calibri"/>
          <w:sz w:val="22"/>
          <w:szCs w:val="22"/>
        </w:rPr>
        <w:t xml:space="preserve"> outside the scope of this </w:t>
      </w:r>
      <w:r w:rsidR="00AC673E" w:rsidRPr="002C1139">
        <w:rPr>
          <w:rFonts w:ascii="Calibri" w:hAnsi="Calibri"/>
          <w:sz w:val="22"/>
          <w:szCs w:val="22"/>
        </w:rPr>
        <w:t>paper</w:t>
      </w:r>
      <w:r w:rsidR="00CD634A" w:rsidRPr="002C1139">
        <w:rPr>
          <w:rFonts w:ascii="Calibri" w:hAnsi="Calibri"/>
          <w:sz w:val="22"/>
          <w:szCs w:val="22"/>
        </w:rPr>
        <w:t xml:space="preserve">. </w:t>
      </w:r>
    </w:p>
    <w:p w14:paraId="458E0142" w14:textId="77777777" w:rsidR="002C1139" w:rsidRPr="002C1139" w:rsidRDefault="002C1139" w:rsidP="002C1139">
      <w:pPr>
        <w:pStyle w:val="Default"/>
        <w:rPr>
          <w:rFonts w:ascii="Calibri" w:hAnsi="Calibri"/>
          <w:sz w:val="22"/>
          <w:szCs w:val="22"/>
        </w:rPr>
      </w:pPr>
    </w:p>
    <w:p w14:paraId="3C77CEF9" w14:textId="77777777" w:rsidR="00980330" w:rsidRDefault="00980330">
      <w:r>
        <w:br w:type="page"/>
      </w:r>
    </w:p>
    <w:p w14:paraId="73D31D23" w14:textId="10197A5C" w:rsidR="00AC673E" w:rsidRPr="002C1139" w:rsidRDefault="0022569E" w:rsidP="002C1139">
      <w:pPr>
        <w:spacing w:after="120" w:line="240" w:lineRule="auto"/>
      </w:pPr>
      <w:r w:rsidRPr="002C1139">
        <w:lastRenderedPageBreak/>
        <w:t>The next sec</w:t>
      </w:r>
      <w:r w:rsidR="005D2D81" w:rsidRPr="002C1139">
        <w:t xml:space="preserve">tions are outlined as follows: </w:t>
      </w:r>
    </w:p>
    <w:p w14:paraId="0511B198" w14:textId="77777777" w:rsidR="00AC673E" w:rsidRPr="002C1139" w:rsidRDefault="00AC673E" w:rsidP="002C1139">
      <w:pPr>
        <w:pStyle w:val="Default"/>
        <w:numPr>
          <w:ilvl w:val="0"/>
          <w:numId w:val="34"/>
        </w:numPr>
        <w:ind w:left="714" w:hanging="357"/>
        <w:rPr>
          <w:rFonts w:ascii="Calibri" w:hAnsi="Calibri"/>
          <w:sz w:val="22"/>
          <w:szCs w:val="22"/>
        </w:rPr>
      </w:pPr>
      <w:r w:rsidRPr="002C1139">
        <w:rPr>
          <w:rFonts w:ascii="Calibri" w:hAnsi="Calibri"/>
          <w:sz w:val="22"/>
          <w:szCs w:val="22"/>
          <w:u w:val="single"/>
        </w:rPr>
        <w:t>S</w:t>
      </w:r>
      <w:r w:rsidR="0022569E" w:rsidRPr="002C1139">
        <w:rPr>
          <w:rFonts w:ascii="Calibri" w:hAnsi="Calibri"/>
          <w:sz w:val="22"/>
          <w:szCs w:val="22"/>
          <w:u w:val="single"/>
        </w:rPr>
        <w:t>ection 2</w:t>
      </w:r>
      <w:r w:rsidR="0022569E" w:rsidRPr="002C1139">
        <w:rPr>
          <w:rFonts w:ascii="Calibri" w:hAnsi="Calibri"/>
          <w:sz w:val="22"/>
          <w:szCs w:val="22"/>
        </w:rPr>
        <w:t xml:space="preserve"> </w:t>
      </w:r>
      <w:r w:rsidR="005D2D81" w:rsidRPr="002C1139">
        <w:rPr>
          <w:rFonts w:ascii="Calibri" w:hAnsi="Calibri"/>
          <w:sz w:val="22"/>
          <w:szCs w:val="22"/>
        </w:rPr>
        <w:t>discusses why pr</w:t>
      </w:r>
      <w:r w:rsidRPr="002C1139">
        <w:rPr>
          <w:rFonts w:ascii="Calibri" w:hAnsi="Calibri"/>
          <w:sz w:val="22"/>
          <w:szCs w:val="22"/>
        </w:rPr>
        <w:t>ovider performance is measured</w:t>
      </w:r>
    </w:p>
    <w:p w14:paraId="12D6BAA9" w14:textId="77777777" w:rsidR="00AC673E" w:rsidRPr="002C1139" w:rsidRDefault="00AC673E" w:rsidP="002C1139">
      <w:pPr>
        <w:pStyle w:val="Default"/>
        <w:numPr>
          <w:ilvl w:val="0"/>
          <w:numId w:val="34"/>
        </w:numPr>
        <w:ind w:left="714" w:hanging="357"/>
        <w:rPr>
          <w:rFonts w:ascii="Calibri" w:hAnsi="Calibri"/>
          <w:sz w:val="22"/>
          <w:szCs w:val="22"/>
        </w:rPr>
      </w:pPr>
      <w:r w:rsidRPr="002C1139">
        <w:rPr>
          <w:rFonts w:ascii="Calibri" w:hAnsi="Calibri"/>
          <w:sz w:val="22"/>
          <w:szCs w:val="22"/>
          <w:u w:val="single"/>
        </w:rPr>
        <w:t>S</w:t>
      </w:r>
      <w:r w:rsidR="005D2D81" w:rsidRPr="002C1139">
        <w:rPr>
          <w:rFonts w:ascii="Calibri" w:hAnsi="Calibri"/>
          <w:sz w:val="22"/>
          <w:szCs w:val="22"/>
          <w:u w:val="single"/>
        </w:rPr>
        <w:t>ection 3</w:t>
      </w:r>
      <w:r w:rsidR="005D2D81" w:rsidRPr="002C1139">
        <w:rPr>
          <w:rFonts w:ascii="Calibri" w:hAnsi="Calibri"/>
          <w:sz w:val="22"/>
          <w:szCs w:val="22"/>
        </w:rPr>
        <w:t xml:space="preserve"> outlines the current </w:t>
      </w:r>
      <w:r w:rsidR="007957F5" w:rsidRPr="002C1139">
        <w:rPr>
          <w:rFonts w:ascii="Calibri" w:hAnsi="Calibri"/>
          <w:sz w:val="22"/>
          <w:szCs w:val="22"/>
        </w:rPr>
        <w:t>Star Rating</w:t>
      </w:r>
      <w:r w:rsidR="005D2D81" w:rsidRPr="002C1139">
        <w:rPr>
          <w:rFonts w:ascii="Calibri" w:hAnsi="Calibri"/>
          <w:sz w:val="22"/>
          <w:szCs w:val="22"/>
        </w:rPr>
        <w:t xml:space="preserve">s model and the reasons why it is used </w:t>
      </w:r>
      <w:r w:rsidRPr="002C1139">
        <w:rPr>
          <w:rFonts w:ascii="Calibri" w:hAnsi="Calibri"/>
          <w:sz w:val="22"/>
          <w:szCs w:val="22"/>
        </w:rPr>
        <w:t>to assess provider performance</w:t>
      </w:r>
    </w:p>
    <w:p w14:paraId="52C39FD6" w14:textId="77777777" w:rsidR="00AC673E" w:rsidRPr="002C1139" w:rsidRDefault="00AC673E" w:rsidP="002C1139">
      <w:pPr>
        <w:pStyle w:val="Default"/>
        <w:numPr>
          <w:ilvl w:val="0"/>
          <w:numId w:val="34"/>
        </w:numPr>
        <w:ind w:left="714" w:hanging="357"/>
        <w:rPr>
          <w:rFonts w:ascii="Calibri" w:hAnsi="Calibri"/>
          <w:sz w:val="22"/>
          <w:szCs w:val="22"/>
        </w:rPr>
      </w:pPr>
      <w:r w:rsidRPr="002C1139">
        <w:rPr>
          <w:rFonts w:ascii="Calibri" w:hAnsi="Calibri"/>
          <w:sz w:val="22"/>
          <w:szCs w:val="22"/>
          <w:u w:val="single"/>
        </w:rPr>
        <w:t>S</w:t>
      </w:r>
      <w:r w:rsidR="005D2D81" w:rsidRPr="002C1139">
        <w:rPr>
          <w:rFonts w:ascii="Calibri" w:hAnsi="Calibri"/>
          <w:sz w:val="22"/>
          <w:szCs w:val="22"/>
          <w:u w:val="single"/>
        </w:rPr>
        <w:t>ection 4</w:t>
      </w:r>
      <w:r w:rsidR="005D2D81" w:rsidRPr="002C1139">
        <w:rPr>
          <w:rFonts w:ascii="Calibri" w:hAnsi="Calibri"/>
          <w:sz w:val="22"/>
          <w:szCs w:val="22"/>
        </w:rPr>
        <w:t xml:space="preserve"> </w:t>
      </w:r>
      <w:r w:rsidR="00A74124" w:rsidRPr="002C1139">
        <w:rPr>
          <w:rFonts w:ascii="Calibri" w:hAnsi="Calibri"/>
          <w:sz w:val="22"/>
          <w:szCs w:val="22"/>
        </w:rPr>
        <w:t>presents</w:t>
      </w:r>
      <w:r w:rsidR="005D2D81" w:rsidRPr="002C1139">
        <w:rPr>
          <w:rFonts w:ascii="Calibri" w:hAnsi="Calibri"/>
          <w:sz w:val="22"/>
          <w:szCs w:val="22"/>
        </w:rPr>
        <w:t xml:space="preserve"> the different types of benchmarking models and whether they can match the advantages of the </w:t>
      </w:r>
      <w:r w:rsidR="007957F5" w:rsidRPr="002C1139">
        <w:rPr>
          <w:rFonts w:ascii="Calibri" w:hAnsi="Calibri"/>
          <w:sz w:val="22"/>
          <w:szCs w:val="22"/>
        </w:rPr>
        <w:t>Star Rating</w:t>
      </w:r>
      <w:r w:rsidR="005D2D81" w:rsidRPr="002C1139">
        <w:rPr>
          <w:rFonts w:ascii="Calibri" w:hAnsi="Calibri"/>
          <w:sz w:val="22"/>
          <w:szCs w:val="22"/>
        </w:rPr>
        <w:t>s model</w:t>
      </w:r>
    </w:p>
    <w:p w14:paraId="35D7C8A8" w14:textId="77777777" w:rsidR="00AC673E" w:rsidRPr="002C1139" w:rsidRDefault="00AC673E" w:rsidP="002C1139">
      <w:pPr>
        <w:pStyle w:val="Default"/>
        <w:numPr>
          <w:ilvl w:val="0"/>
          <w:numId w:val="34"/>
        </w:numPr>
        <w:ind w:left="714" w:hanging="357"/>
        <w:rPr>
          <w:rFonts w:ascii="Calibri" w:hAnsi="Calibri"/>
          <w:sz w:val="22"/>
          <w:szCs w:val="22"/>
        </w:rPr>
      </w:pPr>
      <w:r w:rsidRPr="002C1139">
        <w:rPr>
          <w:rFonts w:ascii="Calibri" w:hAnsi="Calibri"/>
          <w:sz w:val="22"/>
          <w:szCs w:val="22"/>
          <w:u w:val="single"/>
        </w:rPr>
        <w:t>S</w:t>
      </w:r>
      <w:r w:rsidR="005D2D81" w:rsidRPr="002C1139">
        <w:rPr>
          <w:rFonts w:ascii="Calibri" w:hAnsi="Calibri"/>
          <w:sz w:val="22"/>
          <w:szCs w:val="22"/>
          <w:u w:val="single"/>
        </w:rPr>
        <w:t>ection 5</w:t>
      </w:r>
      <w:r w:rsidR="005D2D81" w:rsidRPr="002C1139">
        <w:rPr>
          <w:rFonts w:ascii="Calibri" w:hAnsi="Calibri"/>
          <w:sz w:val="22"/>
          <w:szCs w:val="22"/>
        </w:rPr>
        <w:t xml:space="preserve"> outlines </w:t>
      </w:r>
      <w:r w:rsidR="00FA3128">
        <w:rPr>
          <w:rFonts w:ascii="Calibri" w:hAnsi="Calibri"/>
          <w:sz w:val="22"/>
          <w:szCs w:val="22"/>
        </w:rPr>
        <w:t xml:space="preserve">what are considered to be </w:t>
      </w:r>
      <w:r w:rsidR="005D2D81" w:rsidRPr="002C1139">
        <w:rPr>
          <w:rFonts w:ascii="Calibri" w:hAnsi="Calibri"/>
          <w:sz w:val="22"/>
          <w:szCs w:val="22"/>
        </w:rPr>
        <w:t xml:space="preserve">disadvantages of the </w:t>
      </w:r>
      <w:r w:rsidR="007957F5" w:rsidRPr="002C1139">
        <w:rPr>
          <w:rFonts w:ascii="Calibri" w:hAnsi="Calibri"/>
          <w:sz w:val="22"/>
          <w:szCs w:val="22"/>
        </w:rPr>
        <w:t>Star Rating</w:t>
      </w:r>
      <w:r w:rsidR="005D2D81" w:rsidRPr="002C1139">
        <w:rPr>
          <w:rFonts w:ascii="Calibri" w:hAnsi="Calibri"/>
          <w:sz w:val="22"/>
          <w:szCs w:val="22"/>
        </w:rPr>
        <w:t>s model and examines whether the different types of benchmarking mode</w:t>
      </w:r>
      <w:r w:rsidR="00FA3128">
        <w:rPr>
          <w:rFonts w:ascii="Calibri" w:hAnsi="Calibri"/>
          <w:sz w:val="22"/>
          <w:szCs w:val="22"/>
        </w:rPr>
        <w:t>ls can overcome these characteristic</w:t>
      </w:r>
      <w:r w:rsidRPr="002C1139">
        <w:rPr>
          <w:rFonts w:ascii="Calibri" w:hAnsi="Calibri"/>
          <w:sz w:val="22"/>
          <w:szCs w:val="22"/>
        </w:rPr>
        <w:t>s and</w:t>
      </w:r>
    </w:p>
    <w:p w14:paraId="6B5A5AB2" w14:textId="7CB3251E" w:rsidR="00AC673E" w:rsidRDefault="00AC673E" w:rsidP="005474D4">
      <w:pPr>
        <w:pStyle w:val="Default"/>
        <w:numPr>
          <w:ilvl w:val="0"/>
          <w:numId w:val="34"/>
        </w:numPr>
        <w:ind w:left="714" w:hanging="357"/>
        <w:rPr>
          <w:rFonts w:ascii="Calibri" w:eastAsia="Times New Roman" w:hAnsi="Calibri" w:cs="Arial"/>
          <w:color w:val="auto"/>
          <w:kern w:val="32"/>
          <w:sz w:val="32"/>
          <w:szCs w:val="32"/>
          <w:lang w:eastAsia="en-AU"/>
        </w:rPr>
        <w:sectPr w:rsidR="00AC673E" w:rsidSect="00742B54">
          <w:footerReference w:type="default" r:id="rId9"/>
          <w:pgSz w:w="11906" w:h="16838"/>
          <w:pgMar w:top="1440" w:right="1440" w:bottom="1440" w:left="1440" w:header="708" w:footer="708" w:gutter="0"/>
          <w:cols w:space="708"/>
          <w:titlePg/>
          <w:docGrid w:linePitch="360"/>
        </w:sectPr>
      </w:pPr>
      <w:r w:rsidRPr="002C1139">
        <w:rPr>
          <w:rFonts w:ascii="Calibri" w:hAnsi="Calibri"/>
          <w:sz w:val="22"/>
          <w:szCs w:val="22"/>
          <w:u w:val="single"/>
        </w:rPr>
        <w:t>S</w:t>
      </w:r>
      <w:r w:rsidR="005D2D81" w:rsidRPr="002C1139">
        <w:rPr>
          <w:rFonts w:ascii="Calibri" w:hAnsi="Calibri"/>
          <w:sz w:val="22"/>
          <w:szCs w:val="22"/>
          <w:u w:val="single"/>
        </w:rPr>
        <w:t>ection 6</w:t>
      </w:r>
      <w:r w:rsidR="005D2D81" w:rsidRPr="002C1139">
        <w:rPr>
          <w:rFonts w:ascii="Calibri" w:hAnsi="Calibri"/>
          <w:sz w:val="22"/>
          <w:szCs w:val="22"/>
        </w:rPr>
        <w:t xml:space="preserve"> concludes</w:t>
      </w:r>
      <w:r w:rsidR="00D04BCC">
        <w:rPr>
          <w:rFonts w:ascii="Calibri" w:hAnsi="Calibri"/>
          <w:sz w:val="22"/>
          <w:szCs w:val="22"/>
        </w:rPr>
        <w:t xml:space="preserve"> the paper, summarising the main issues the Department faces in implementing a benchmarking model to assess provider performance</w:t>
      </w:r>
      <w:r w:rsidR="005D2D81" w:rsidRPr="002C1139">
        <w:rPr>
          <w:rFonts w:ascii="Calibri" w:hAnsi="Calibri"/>
          <w:sz w:val="22"/>
          <w:szCs w:val="22"/>
        </w:rPr>
        <w:t>.</w:t>
      </w:r>
      <w:r w:rsidR="005474D4">
        <w:rPr>
          <w:rFonts w:ascii="Calibri" w:eastAsia="Times New Roman" w:hAnsi="Calibri" w:cs="Arial"/>
          <w:color w:val="auto"/>
          <w:kern w:val="32"/>
          <w:sz w:val="32"/>
          <w:szCs w:val="32"/>
          <w:lang w:eastAsia="en-AU"/>
        </w:rPr>
        <w:t xml:space="preserve"> </w:t>
      </w:r>
    </w:p>
    <w:p w14:paraId="04564B9D" w14:textId="77777777" w:rsidR="00F3496B" w:rsidRPr="00E4024E" w:rsidRDefault="00591253" w:rsidP="00E57953">
      <w:pPr>
        <w:pStyle w:val="Heading1"/>
        <w:keepLines w:val="0"/>
        <w:numPr>
          <w:ilvl w:val="0"/>
          <w:numId w:val="16"/>
        </w:numPr>
        <w:spacing w:before="240" w:after="240" w:line="240" w:lineRule="auto"/>
        <w:ind w:left="0" w:firstLine="0"/>
        <w:rPr>
          <w:rFonts w:ascii="Calibri" w:eastAsia="Times New Roman" w:hAnsi="Calibri" w:cs="Arial"/>
          <w:color w:val="auto"/>
          <w:kern w:val="32"/>
          <w:sz w:val="32"/>
          <w:szCs w:val="32"/>
          <w:lang w:eastAsia="en-AU"/>
        </w:rPr>
      </w:pPr>
      <w:bookmarkStart w:id="3" w:name="_Toc365872623"/>
      <w:r w:rsidRPr="00E4024E">
        <w:rPr>
          <w:rFonts w:ascii="Calibri" w:eastAsia="Times New Roman" w:hAnsi="Calibri" w:cs="Arial"/>
          <w:color w:val="auto"/>
          <w:kern w:val="32"/>
          <w:sz w:val="32"/>
          <w:szCs w:val="32"/>
          <w:lang w:eastAsia="en-AU"/>
        </w:rPr>
        <w:lastRenderedPageBreak/>
        <w:t xml:space="preserve">Measuring </w:t>
      </w:r>
      <w:r w:rsidR="00E80F64" w:rsidRPr="00E4024E">
        <w:rPr>
          <w:rFonts w:ascii="Calibri" w:eastAsia="Times New Roman" w:hAnsi="Calibri" w:cs="Arial"/>
          <w:color w:val="auto"/>
          <w:kern w:val="32"/>
          <w:sz w:val="32"/>
          <w:szCs w:val="32"/>
          <w:lang w:eastAsia="en-AU"/>
        </w:rPr>
        <w:t xml:space="preserve">Provider </w:t>
      </w:r>
      <w:r w:rsidRPr="00E4024E">
        <w:rPr>
          <w:rFonts w:ascii="Calibri" w:eastAsia="Times New Roman" w:hAnsi="Calibri" w:cs="Arial"/>
          <w:color w:val="auto"/>
          <w:kern w:val="32"/>
          <w:sz w:val="32"/>
          <w:szCs w:val="32"/>
          <w:lang w:eastAsia="en-AU"/>
        </w:rPr>
        <w:t>Performance: The Why and How?</w:t>
      </w:r>
      <w:bookmarkEnd w:id="3"/>
    </w:p>
    <w:p w14:paraId="7D9F7DB4" w14:textId="77777777" w:rsidR="00E9583C" w:rsidRPr="002C1139" w:rsidRDefault="0024412D" w:rsidP="002C1139">
      <w:pPr>
        <w:autoSpaceDE w:val="0"/>
        <w:autoSpaceDN w:val="0"/>
        <w:adjustRightInd w:val="0"/>
        <w:spacing w:after="0" w:line="240" w:lineRule="auto"/>
        <w:rPr>
          <w:rFonts w:cstheme="minorHAnsi"/>
        </w:rPr>
      </w:pPr>
      <w:r w:rsidRPr="002C1139">
        <w:rPr>
          <w:rFonts w:cstheme="minorHAnsi"/>
        </w:rPr>
        <w:t xml:space="preserve">Government contracting of employment services to </w:t>
      </w:r>
      <w:r w:rsidR="00E9583C" w:rsidRPr="002C1139">
        <w:rPr>
          <w:rFonts w:cstheme="minorHAnsi"/>
        </w:rPr>
        <w:t>for-profit and not-for profit</w:t>
      </w:r>
      <w:r w:rsidRPr="002C1139">
        <w:rPr>
          <w:rFonts w:cstheme="minorHAnsi"/>
        </w:rPr>
        <w:t xml:space="preserve"> providers is not isolated to Australia. </w:t>
      </w:r>
      <w:r w:rsidR="00F3496B" w:rsidRPr="002C1139">
        <w:rPr>
          <w:rFonts w:cstheme="minorHAnsi"/>
        </w:rPr>
        <w:t>In many countries,</w:t>
      </w:r>
      <w:r w:rsidR="00832A94" w:rsidRPr="002C1139">
        <w:rPr>
          <w:rFonts w:cstheme="minorHAnsi"/>
        </w:rPr>
        <w:t xml:space="preserve"> government d</w:t>
      </w:r>
      <w:r w:rsidR="00F3496B" w:rsidRPr="002C1139">
        <w:rPr>
          <w:rFonts w:cstheme="minorHAnsi"/>
        </w:rPr>
        <w:t xml:space="preserve">epartments and public agencies deliver </w:t>
      </w:r>
      <w:r w:rsidR="00F3496B" w:rsidRPr="0062114E">
        <w:rPr>
          <w:rFonts w:cstheme="minorHAnsi"/>
        </w:rPr>
        <w:t xml:space="preserve">employment services through grants or contracts with other public, non-profit and for-profit organisations (Finn, 2011). </w:t>
      </w:r>
      <w:r w:rsidR="00412CEB" w:rsidRPr="0062114E">
        <w:rPr>
          <w:rFonts w:cstheme="minorHAnsi"/>
        </w:rPr>
        <w:t>In line with the approach of the Australian Government, t</w:t>
      </w:r>
      <w:r w:rsidR="00F3496B" w:rsidRPr="0062114E">
        <w:rPr>
          <w:rFonts w:cstheme="minorHAnsi"/>
        </w:rPr>
        <w:t xml:space="preserve">he activities typically contracted out include the delivery of conventional labour market programs and more intensive forms of support targeted at disadvantaged groups, including </w:t>
      </w:r>
      <w:r w:rsidR="00412CEB" w:rsidRPr="0062114E">
        <w:rPr>
          <w:rFonts w:cstheme="minorHAnsi"/>
        </w:rPr>
        <w:t xml:space="preserve">for example </w:t>
      </w:r>
      <w:r w:rsidR="00F3496B" w:rsidRPr="0062114E">
        <w:rPr>
          <w:rFonts w:cstheme="minorHAnsi"/>
        </w:rPr>
        <w:t xml:space="preserve">specialist programs </w:t>
      </w:r>
      <w:r w:rsidR="00896778" w:rsidRPr="0062114E">
        <w:rPr>
          <w:rFonts w:cstheme="minorHAnsi"/>
        </w:rPr>
        <w:t>for people with disabilities</w:t>
      </w:r>
      <w:r w:rsidR="00F3496B" w:rsidRPr="0062114E">
        <w:rPr>
          <w:rFonts w:cstheme="minorHAnsi"/>
        </w:rPr>
        <w:t xml:space="preserve"> (OECD, 2007). </w:t>
      </w:r>
      <w:r w:rsidR="00591253" w:rsidRPr="0062114E">
        <w:rPr>
          <w:rFonts w:cstheme="minorHAnsi"/>
        </w:rPr>
        <w:t>C</w:t>
      </w:r>
      <w:r w:rsidR="00832A94" w:rsidRPr="0062114E">
        <w:rPr>
          <w:rFonts w:cstheme="minorHAnsi"/>
        </w:rPr>
        <w:t>ontracting systems</w:t>
      </w:r>
      <w:r w:rsidR="00B85AD1" w:rsidRPr="0062114E">
        <w:rPr>
          <w:rFonts w:cstheme="minorHAnsi"/>
        </w:rPr>
        <w:t xml:space="preserve"> </w:t>
      </w:r>
      <w:r w:rsidR="00591253" w:rsidRPr="0062114E">
        <w:rPr>
          <w:rFonts w:cstheme="minorHAnsi"/>
        </w:rPr>
        <w:t>seek</w:t>
      </w:r>
      <w:r w:rsidR="00832A94" w:rsidRPr="0062114E">
        <w:rPr>
          <w:rFonts w:cstheme="minorHAnsi"/>
        </w:rPr>
        <w:t xml:space="preserve"> to drive improved employment outcomes, service delivery and cost-efficiency by applying market mechanisms that promote competition, flexibility and choice</w:t>
      </w:r>
      <w:r w:rsidR="00E9583C" w:rsidRPr="0062114E">
        <w:rPr>
          <w:rFonts w:cstheme="minorHAnsi"/>
        </w:rPr>
        <w:t xml:space="preserve"> (</w:t>
      </w:r>
      <w:r w:rsidR="00CE4D36" w:rsidRPr="0062114E">
        <w:rPr>
          <w:rFonts w:cstheme="minorHAnsi"/>
        </w:rPr>
        <w:t>EETYF</w:t>
      </w:r>
      <w:r w:rsidR="00E9583C" w:rsidRPr="0062114E">
        <w:rPr>
          <w:rFonts w:cstheme="minorHAnsi"/>
        </w:rPr>
        <w:t>, 1996)</w:t>
      </w:r>
      <w:r w:rsidR="00832A94" w:rsidRPr="0062114E">
        <w:rPr>
          <w:rFonts w:cstheme="minorHAnsi"/>
        </w:rPr>
        <w:t>.</w:t>
      </w:r>
      <w:r w:rsidR="00B85AD1" w:rsidRPr="0062114E">
        <w:rPr>
          <w:rFonts w:cstheme="minorHAnsi"/>
        </w:rPr>
        <w:t xml:space="preserve"> </w:t>
      </w:r>
      <w:r w:rsidR="00D559C9" w:rsidRPr="0062114E">
        <w:rPr>
          <w:rFonts w:cstheme="minorHAnsi"/>
        </w:rPr>
        <w:t>However</w:t>
      </w:r>
      <w:r w:rsidR="00D559C9" w:rsidRPr="002C1139">
        <w:rPr>
          <w:rFonts w:cstheme="minorHAnsi"/>
        </w:rPr>
        <w:t xml:space="preserve">, this necessitates the need to monitor the </w:t>
      </w:r>
      <w:r w:rsidR="00E9583C" w:rsidRPr="002C1139">
        <w:rPr>
          <w:rFonts w:cstheme="minorHAnsi"/>
        </w:rPr>
        <w:t>efficiency and effectiveness</w:t>
      </w:r>
      <w:r w:rsidR="00D559C9" w:rsidRPr="002C1139">
        <w:rPr>
          <w:rFonts w:cstheme="minorHAnsi"/>
        </w:rPr>
        <w:t xml:space="preserve"> of service provision by providers. </w:t>
      </w:r>
    </w:p>
    <w:p w14:paraId="6AA66104" w14:textId="77777777" w:rsidR="00E9583C" w:rsidRPr="002C1139" w:rsidRDefault="00E9583C" w:rsidP="002C1139">
      <w:pPr>
        <w:autoSpaceDE w:val="0"/>
        <w:autoSpaceDN w:val="0"/>
        <w:adjustRightInd w:val="0"/>
        <w:spacing w:after="0" w:line="240" w:lineRule="auto"/>
        <w:rPr>
          <w:rFonts w:cstheme="minorHAnsi"/>
        </w:rPr>
      </w:pPr>
    </w:p>
    <w:p w14:paraId="0BE4D5C3" w14:textId="77777777" w:rsidR="00F3496B" w:rsidRPr="002C1139" w:rsidRDefault="008B54F3" w:rsidP="002C1139">
      <w:pPr>
        <w:autoSpaceDE w:val="0"/>
        <w:autoSpaceDN w:val="0"/>
        <w:adjustRightInd w:val="0"/>
        <w:spacing w:after="0" w:line="240" w:lineRule="auto"/>
        <w:rPr>
          <w:rFonts w:cstheme="minorHAnsi"/>
        </w:rPr>
      </w:pPr>
      <w:r w:rsidRPr="0062114E">
        <w:rPr>
          <w:rFonts w:cstheme="minorHAnsi"/>
        </w:rPr>
        <w:t xml:space="preserve">Within a private market, the monitoring problem is minimised as the consumer pays the producer directly for the good or service they consume. In a contestable market, an informed consumer who is dissatisfied with a product can seek these good and services from other producers. </w:t>
      </w:r>
      <w:r w:rsidR="00E2436A" w:rsidRPr="0062114E">
        <w:rPr>
          <w:rFonts w:cstheme="minorHAnsi"/>
        </w:rPr>
        <w:t xml:space="preserve">Loss of revenue thus acts as a discipline upon producers to cater for consumer needs in a cost-effective manner. When the government is paying but </w:t>
      </w:r>
      <w:r w:rsidR="00E9583C" w:rsidRPr="0062114E">
        <w:rPr>
          <w:rFonts w:cstheme="minorHAnsi"/>
        </w:rPr>
        <w:t xml:space="preserve">not </w:t>
      </w:r>
      <w:r w:rsidR="00367C5E" w:rsidRPr="0062114E">
        <w:rPr>
          <w:rFonts w:cstheme="minorHAnsi"/>
        </w:rPr>
        <w:t>consuming</w:t>
      </w:r>
      <w:r w:rsidR="00E2436A" w:rsidRPr="0062114E">
        <w:rPr>
          <w:rFonts w:cstheme="minorHAnsi"/>
        </w:rPr>
        <w:t xml:space="preserve"> these services, it is more difficult to ensure that providers promote the program goals of the Government (Prendergast, 1999, Dixit, 2002 and Marschke, 2003). One accountability mechanism for private providers employed by the </w:t>
      </w:r>
      <w:r w:rsidR="00A74124" w:rsidRPr="0062114E">
        <w:rPr>
          <w:rFonts w:cstheme="minorHAnsi"/>
        </w:rPr>
        <w:t>g</w:t>
      </w:r>
      <w:r w:rsidR="00E2436A" w:rsidRPr="0062114E">
        <w:rPr>
          <w:rFonts w:cstheme="minorHAnsi"/>
        </w:rPr>
        <w:t>overnment</w:t>
      </w:r>
      <w:r w:rsidR="00357984" w:rsidRPr="0062114E">
        <w:rPr>
          <w:rFonts w:cstheme="minorHAnsi"/>
        </w:rPr>
        <w:t xml:space="preserve"> is the use of </w:t>
      </w:r>
      <w:r w:rsidR="00591253" w:rsidRPr="0062114E">
        <w:rPr>
          <w:rFonts w:cstheme="minorHAnsi"/>
        </w:rPr>
        <w:t xml:space="preserve">performance management systems. </w:t>
      </w:r>
      <w:r w:rsidR="00F24DF7" w:rsidRPr="0062114E">
        <w:rPr>
          <w:rFonts w:cstheme="minorHAnsi"/>
        </w:rPr>
        <w:t>Such</w:t>
      </w:r>
      <w:r w:rsidR="004965EC" w:rsidRPr="0062114E">
        <w:rPr>
          <w:rFonts w:cstheme="minorHAnsi"/>
        </w:rPr>
        <w:t xml:space="preserve"> system</w:t>
      </w:r>
      <w:r w:rsidR="00F24DF7" w:rsidRPr="0062114E">
        <w:rPr>
          <w:rFonts w:cstheme="minorHAnsi"/>
        </w:rPr>
        <w:t>s</w:t>
      </w:r>
      <w:r w:rsidR="004965EC" w:rsidRPr="0062114E">
        <w:rPr>
          <w:rFonts w:cstheme="minorHAnsi"/>
        </w:rPr>
        <w:t xml:space="preserve"> </w:t>
      </w:r>
      <w:r w:rsidR="00F24DF7" w:rsidRPr="0062114E">
        <w:rPr>
          <w:rFonts w:cstheme="minorHAnsi"/>
        </w:rPr>
        <w:t>measure</w:t>
      </w:r>
      <w:r w:rsidR="00591253" w:rsidRPr="0062114E">
        <w:rPr>
          <w:rFonts w:cstheme="minorHAnsi"/>
        </w:rPr>
        <w:t xml:space="preserve"> performance, </w:t>
      </w:r>
      <w:r w:rsidR="00D95057" w:rsidRPr="0062114E">
        <w:rPr>
          <w:rFonts w:cstheme="minorHAnsi"/>
        </w:rPr>
        <w:t xml:space="preserve">has </w:t>
      </w:r>
      <w:r w:rsidR="00591253" w:rsidRPr="0062114E">
        <w:rPr>
          <w:rFonts w:cstheme="minorHAnsi"/>
        </w:rPr>
        <w:t xml:space="preserve">standards that indicate acceptable performance, and rewards and sanctions </w:t>
      </w:r>
      <w:r w:rsidR="00E92931" w:rsidRPr="0062114E">
        <w:rPr>
          <w:rFonts w:cstheme="minorHAnsi"/>
        </w:rPr>
        <w:t>(which need not be monetary)</w:t>
      </w:r>
      <w:r w:rsidR="00591253" w:rsidRPr="0062114E">
        <w:rPr>
          <w:rFonts w:cstheme="minorHAnsi"/>
        </w:rPr>
        <w:t xml:space="preserve"> organi</w:t>
      </w:r>
      <w:r w:rsidR="00A74124" w:rsidRPr="0062114E">
        <w:rPr>
          <w:rFonts w:cstheme="minorHAnsi"/>
        </w:rPr>
        <w:t>s</w:t>
      </w:r>
      <w:r w:rsidR="00591253" w:rsidRPr="0062114E">
        <w:rPr>
          <w:rFonts w:cstheme="minorHAnsi"/>
        </w:rPr>
        <w:t>ations that exceed or fail to meet the standards (Barnow and Smith, 2004).</w:t>
      </w:r>
      <w:r w:rsidR="00591253" w:rsidRPr="002C1139">
        <w:rPr>
          <w:rFonts w:cstheme="minorHAnsi"/>
        </w:rPr>
        <w:t xml:space="preserve"> </w:t>
      </w:r>
    </w:p>
    <w:p w14:paraId="64E93E41" w14:textId="77777777" w:rsidR="00832A94" w:rsidRPr="002C1139" w:rsidRDefault="00832A94" w:rsidP="002C1139">
      <w:pPr>
        <w:autoSpaceDE w:val="0"/>
        <w:autoSpaceDN w:val="0"/>
        <w:adjustRightInd w:val="0"/>
        <w:spacing w:after="0" w:line="240" w:lineRule="auto"/>
        <w:rPr>
          <w:rFonts w:cstheme="minorHAnsi"/>
        </w:rPr>
      </w:pPr>
    </w:p>
    <w:p w14:paraId="63062817" w14:textId="77777777" w:rsidR="00E9583C" w:rsidRPr="002C1139" w:rsidRDefault="00412CEB" w:rsidP="002C1139">
      <w:pPr>
        <w:spacing w:after="0" w:line="240" w:lineRule="auto"/>
        <w:rPr>
          <w:rFonts w:cstheme="minorHAnsi"/>
        </w:rPr>
      </w:pPr>
      <w:r w:rsidRPr="0062114E">
        <w:rPr>
          <w:rFonts w:cstheme="minorHAnsi"/>
        </w:rPr>
        <w:t>Measuring provider performance is completed through th</w:t>
      </w:r>
      <w:r w:rsidR="00CF0708" w:rsidRPr="0062114E">
        <w:rPr>
          <w:rFonts w:cstheme="minorHAnsi"/>
        </w:rPr>
        <w:t xml:space="preserve">e use of performance indicators. </w:t>
      </w:r>
      <w:r w:rsidR="00546F40" w:rsidRPr="0062114E">
        <w:rPr>
          <w:rFonts w:cstheme="minorHAnsi"/>
        </w:rPr>
        <w:t>C</w:t>
      </w:r>
      <w:r w:rsidR="00CF0708" w:rsidRPr="0062114E">
        <w:rPr>
          <w:rFonts w:cstheme="minorHAnsi"/>
        </w:rPr>
        <w:t>are is required in choosing performance indicators.</w:t>
      </w:r>
      <w:r w:rsidR="00ED142F" w:rsidRPr="0062114E">
        <w:rPr>
          <w:rFonts w:cstheme="minorHAnsi"/>
        </w:rPr>
        <w:t xml:space="preserve"> </w:t>
      </w:r>
      <w:r w:rsidR="00E9583C" w:rsidRPr="0062114E">
        <w:rPr>
          <w:rFonts w:cstheme="minorHAnsi"/>
        </w:rPr>
        <w:t>Focus</w:t>
      </w:r>
      <w:r w:rsidR="00CF0708" w:rsidRPr="0062114E">
        <w:rPr>
          <w:rFonts w:cstheme="minorHAnsi"/>
        </w:rPr>
        <w:t xml:space="preserve"> should be on outcome indicators </w:t>
      </w:r>
      <w:r w:rsidR="00E9583C" w:rsidRPr="0062114E">
        <w:rPr>
          <w:rFonts w:cstheme="minorHAnsi"/>
        </w:rPr>
        <w:t>(such as the average duration of unemployment spells) and less on</w:t>
      </w:r>
      <w:r w:rsidR="00C737A1" w:rsidRPr="0062114E">
        <w:rPr>
          <w:rFonts w:cstheme="minorHAnsi"/>
        </w:rPr>
        <w:t xml:space="preserve"> process related indicators</w:t>
      </w:r>
      <w:r w:rsidR="00E9583C" w:rsidRPr="0062114E">
        <w:rPr>
          <w:rFonts w:cstheme="minorHAnsi"/>
        </w:rPr>
        <w:t xml:space="preserve"> (such as the number of referrals to vacant jobs)</w:t>
      </w:r>
      <w:r w:rsidR="00ED142F" w:rsidRPr="0062114E">
        <w:rPr>
          <w:rFonts w:cstheme="minorHAnsi"/>
        </w:rPr>
        <w:t xml:space="preserve"> (Grubb</w:t>
      </w:r>
      <w:r w:rsidR="00916EE7" w:rsidRPr="0062114E">
        <w:rPr>
          <w:rFonts w:cstheme="minorHAnsi"/>
        </w:rPr>
        <w:t>, 2004</w:t>
      </w:r>
      <w:r w:rsidR="00ED142F" w:rsidRPr="0062114E">
        <w:rPr>
          <w:rFonts w:cstheme="minorHAnsi"/>
        </w:rPr>
        <w:t>)</w:t>
      </w:r>
      <w:r w:rsidR="00C737A1" w:rsidRPr="0062114E">
        <w:rPr>
          <w:rFonts w:cstheme="minorHAnsi"/>
        </w:rPr>
        <w:t>.</w:t>
      </w:r>
      <w:r w:rsidR="00C737A1" w:rsidRPr="002C1139">
        <w:rPr>
          <w:rFonts w:cstheme="minorHAnsi"/>
        </w:rPr>
        <w:t xml:space="preserve"> </w:t>
      </w:r>
    </w:p>
    <w:p w14:paraId="7E3CEA72" w14:textId="45DB95D8" w:rsidR="00CF0708" w:rsidRPr="002C1139" w:rsidRDefault="00E9583C" w:rsidP="00FA3128">
      <w:pPr>
        <w:spacing w:after="120" w:line="240" w:lineRule="auto"/>
        <w:rPr>
          <w:rFonts w:cstheme="minorHAnsi"/>
        </w:rPr>
      </w:pPr>
      <w:r w:rsidRPr="002C1139">
        <w:rPr>
          <w:rFonts w:cstheme="minorHAnsi"/>
        </w:rPr>
        <w:t xml:space="preserve">As a result, </w:t>
      </w:r>
      <w:r w:rsidR="000C75D3">
        <w:rPr>
          <w:rFonts w:cstheme="minorHAnsi"/>
        </w:rPr>
        <w:t>the Department of Social Services (</w:t>
      </w:r>
      <w:r w:rsidR="0062114E">
        <w:rPr>
          <w:rFonts w:cstheme="minorHAnsi"/>
        </w:rPr>
        <w:t>DSS</w:t>
      </w:r>
      <w:r w:rsidR="000C75D3">
        <w:rPr>
          <w:rFonts w:cstheme="minorHAnsi"/>
        </w:rPr>
        <w:t>)</w:t>
      </w:r>
      <w:r w:rsidR="00E80F64" w:rsidRPr="002C1139">
        <w:rPr>
          <w:rFonts w:cstheme="minorHAnsi"/>
        </w:rPr>
        <w:t xml:space="preserve"> assesses the performances of providers </w:t>
      </w:r>
      <w:r w:rsidR="00DC2CA4" w:rsidRPr="002C1139">
        <w:rPr>
          <w:rFonts w:cstheme="minorHAnsi"/>
        </w:rPr>
        <w:t>against three</w:t>
      </w:r>
      <w:r w:rsidR="00E80F64" w:rsidRPr="002C1139">
        <w:rPr>
          <w:rFonts w:cstheme="minorHAnsi"/>
        </w:rPr>
        <w:t xml:space="preserve"> </w:t>
      </w:r>
      <w:r w:rsidR="000C75D3">
        <w:rPr>
          <w:rFonts w:cstheme="minorHAnsi"/>
        </w:rPr>
        <w:t>Key Performance Indicators (</w:t>
      </w:r>
      <w:r w:rsidR="00B82281" w:rsidRPr="002C1139">
        <w:rPr>
          <w:rFonts w:cstheme="minorHAnsi"/>
        </w:rPr>
        <w:t>KPIs</w:t>
      </w:r>
      <w:r w:rsidR="000C75D3">
        <w:rPr>
          <w:rFonts w:cstheme="minorHAnsi"/>
        </w:rPr>
        <w:t>)</w:t>
      </w:r>
      <w:r w:rsidR="00E80F64" w:rsidRPr="002C1139">
        <w:rPr>
          <w:rFonts w:cstheme="minorHAnsi"/>
        </w:rPr>
        <w:t>:</w:t>
      </w:r>
    </w:p>
    <w:p w14:paraId="01FB0D6E" w14:textId="77777777" w:rsidR="00E80F64" w:rsidRPr="00FA3128" w:rsidRDefault="00E80F64" w:rsidP="00FA3128">
      <w:pPr>
        <w:pStyle w:val="Default"/>
        <w:numPr>
          <w:ilvl w:val="0"/>
          <w:numId w:val="34"/>
        </w:numPr>
        <w:ind w:left="714" w:hanging="357"/>
        <w:rPr>
          <w:rFonts w:ascii="Calibri" w:hAnsi="Calibri"/>
          <w:sz w:val="22"/>
          <w:szCs w:val="22"/>
        </w:rPr>
      </w:pPr>
      <w:r w:rsidRPr="00FA3128">
        <w:rPr>
          <w:rFonts w:ascii="Calibri" w:hAnsi="Calibri"/>
          <w:sz w:val="22"/>
          <w:szCs w:val="22"/>
          <w:u w:val="single"/>
        </w:rPr>
        <w:t>KPI 1: an efficiency indicator</w:t>
      </w:r>
      <w:r w:rsidRPr="00FA3128">
        <w:rPr>
          <w:rFonts w:ascii="Calibri" w:hAnsi="Calibri"/>
          <w:sz w:val="22"/>
          <w:szCs w:val="22"/>
        </w:rPr>
        <w:t xml:space="preserve"> which </w:t>
      </w:r>
      <w:r w:rsidR="00692186" w:rsidRPr="00FA3128">
        <w:rPr>
          <w:rFonts w:ascii="Calibri" w:hAnsi="Calibri"/>
          <w:sz w:val="22"/>
          <w:szCs w:val="22"/>
        </w:rPr>
        <w:t xml:space="preserve">measures </w:t>
      </w:r>
      <w:r w:rsidR="00E9583C" w:rsidRPr="00FA3128">
        <w:rPr>
          <w:rFonts w:ascii="Calibri" w:hAnsi="Calibri"/>
          <w:sz w:val="22"/>
          <w:szCs w:val="22"/>
        </w:rPr>
        <w:t>the amount of time a provider takes to place a job seeker into employment</w:t>
      </w:r>
      <w:r w:rsidR="00692186" w:rsidRPr="00FA3128">
        <w:rPr>
          <w:rFonts w:ascii="Calibri" w:hAnsi="Calibri"/>
          <w:sz w:val="22"/>
          <w:szCs w:val="22"/>
        </w:rPr>
        <w:t>.</w:t>
      </w:r>
    </w:p>
    <w:p w14:paraId="173EEBBD" w14:textId="77777777" w:rsidR="00E80F64" w:rsidRPr="00FA3128" w:rsidRDefault="00E80F64" w:rsidP="00FA3128">
      <w:pPr>
        <w:pStyle w:val="Default"/>
        <w:numPr>
          <w:ilvl w:val="0"/>
          <w:numId w:val="34"/>
        </w:numPr>
        <w:ind w:left="714" w:hanging="357"/>
        <w:rPr>
          <w:rFonts w:ascii="Calibri" w:hAnsi="Calibri"/>
          <w:sz w:val="22"/>
          <w:szCs w:val="22"/>
        </w:rPr>
      </w:pPr>
      <w:r w:rsidRPr="00FA3128">
        <w:rPr>
          <w:rFonts w:ascii="Calibri" w:hAnsi="Calibri"/>
          <w:sz w:val="22"/>
          <w:szCs w:val="22"/>
          <w:u w:val="single"/>
        </w:rPr>
        <w:t>KPI 2: an effectiveness indicator</w:t>
      </w:r>
      <w:r w:rsidRPr="00FA3128">
        <w:rPr>
          <w:rFonts w:ascii="Calibri" w:hAnsi="Calibri"/>
          <w:sz w:val="22"/>
          <w:szCs w:val="22"/>
        </w:rPr>
        <w:t xml:space="preserve"> which </w:t>
      </w:r>
      <w:r w:rsidR="00692186" w:rsidRPr="00FA3128">
        <w:rPr>
          <w:rFonts w:ascii="Calibri" w:hAnsi="Calibri"/>
          <w:sz w:val="22"/>
          <w:szCs w:val="22"/>
        </w:rPr>
        <w:t xml:space="preserve">evaluates </w:t>
      </w:r>
      <w:r w:rsidR="00E9583C" w:rsidRPr="00FA3128">
        <w:rPr>
          <w:rFonts w:ascii="Calibri" w:hAnsi="Calibri"/>
          <w:sz w:val="22"/>
          <w:szCs w:val="22"/>
        </w:rPr>
        <w:t>employment and education related outcomes of the provider</w:t>
      </w:r>
      <w:r w:rsidR="00692186" w:rsidRPr="00FA3128">
        <w:rPr>
          <w:rFonts w:ascii="Calibri" w:hAnsi="Calibri"/>
          <w:sz w:val="22"/>
          <w:szCs w:val="22"/>
        </w:rPr>
        <w:t>.</w:t>
      </w:r>
    </w:p>
    <w:p w14:paraId="63E65CAB" w14:textId="77777777" w:rsidR="00E62202" w:rsidRPr="00FA3128" w:rsidRDefault="00E62202" w:rsidP="00FA3128">
      <w:pPr>
        <w:pStyle w:val="Default"/>
        <w:numPr>
          <w:ilvl w:val="0"/>
          <w:numId w:val="34"/>
        </w:numPr>
        <w:ind w:left="714" w:hanging="357"/>
        <w:rPr>
          <w:rFonts w:ascii="Calibri" w:hAnsi="Calibri"/>
          <w:sz w:val="22"/>
          <w:szCs w:val="22"/>
        </w:rPr>
      </w:pPr>
      <w:r w:rsidRPr="00FA3128">
        <w:rPr>
          <w:rFonts w:ascii="Calibri" w:hAnsi="Calibri"/>
          <w:sz w:val="22"/>
          <w:szCs w:val="22"/>
          <w:u w:val="single"/>
        </w:rPr>
        <w:t>KPI 3: a quality indicator</w:t>
      </w:r>
      <w:r w:rsidRPr="00FA3128">
        <w:rPr>
          <w:rFonts w:ascii="Calibri" w:hAnsi="Calibri"/>
          <w:sz w:val="22"/>
          <w:szCs w:val="22"/>
        </w:rPr>
        <w:t xml:space="preserve"> that assesses the quality of a provider’s service.</w:t>
      </w:r>
    </w:p>
    <w:p w14:paraId="177E0702" w14:textId="77777777" w:rsidR="00FA3128" w:rsidRDefault="00FA3128" w:rsidP="00FA3128">
      <w:pPr>
        <w:pStyle w:val="Default"/>
        <w:rPr>
          <w:rFonts w:asciiTheme="minorHAnsi" w:hAnsiTheme="minorHAnsi" w:cstheme="minorHAnsi"/>
          <w:color w:val="auto"/>
          <w:sz w:val="22"/>
          <w:szCs w:val="22"/>
        </w:rPr>
      </w:pPr>
    </w:p>
    <w:p w14:paraId="58DF8701" w14:textId="260ACCF4" w:rsidR="00847F5E" w:rsidRPr="002C1139" w:rsidRDefault="002D7E2F" w:rsidP="002C1139">
      <w:pPr>
        <w:pStyle w:val="Default"/>
        <w:spacing w:after="120"/>
        <w:rPr>
          <w:rFonts w:asciiTheme="minorHAnsi" w:hAnsiTheme="minorHAnsi" w:cstheme="minorHAnsi"/>
          <w:color w:val="auto"/>
          <w:sz w:val="22"/>
          <w:szCs w:val="22"/>
        </w:rPr>
      </w:pPr>
      <w:r>
        <w:rPr>
          <w:rFonts w:asciiTheme="minorHAnsi" w:hAnsiTheme="minorHAnsi" w:cstheme="minorHAnsi"/>
          <w:color w:val="auto"/>
          <w:sz w:val="22"/>
          <w:szCs w:val="22"/>
        </w:rPr>
        <w:t xml:space="preserve">KPI 3 – Quality is measured separately from the DES Star Rating calculations. </w:t>
      </w:r>
      <w:r w:rsidR="000A4BBC" w:rsidRPr="002C1139">
        <w:rPr>
          <w:rFonts w:asciiTheme="minorHAnsi" w:hAnsiTheme="minorHAnsi" w:cstheme="minorHAnsi"/>
          <w:color w:val="auto"/>
          <w:sz w:val="22"/>
          <w:szCs w:val="22"/>
        </w:rPr>
        <w:t>These measures</w:t>
      </w:r>
      <w:r>
        <w:rPr>
          <w:rFonts w:asciiTheme="minorHAnsi" w:hAnsiTheme="minorHAnsi" w:cstheme="minorHAnsi"/>
          <w:color w:val="auto"/>
          <w:sz w:val="22"/>
          <w:szCs w:val="22"/>
        </w:rPr>
        <w:t xml:space="preserve"> (in Star Ratings)</w:t>
      </w:r>
      <w:r w:rsidR="000A4BBC" w:rsidRPr="002C1139">
        <w:rPr>
          <w:rFonts w:asciiTheme="minorHAnsi" w:hAnsiTheme="minorHAnsi" w:cstheme="minorHAnsi"/>
          <w:color w:val="auto"/>
          <w:sz w:val="22"/>
          <w:szCs w:val="22"/>
        </w:rPr>
        <w:t xml:space="preserve"> are </w:t>
      </w:r>
      <w:r w:rsidR="00E92931" w:rsidRPr="002C1139">
        <w:rPr>
          <w:rFonts w:asciiTheme="minorHAnsi" w:hAnsiTheme="minorHAnsi" w:cstheme="minorHAnsi"/>
          <w:color w:val="auto"/>
          <w:sz w:val="22"/>
          <w:szCs w:val="22"/>
        </w:rPr>
        <w:t>employed</w:t>
      </w:r>
      <w:r w:rsidR="000A4BBC" w:rsidRPr="002C1139">
        <w:rPr>
          <w:rFonts w:asciiTheme="minorHAnsi" w:hAnsiTheme="minorHAnsi" w:cstheme="minorHAnsi"/>
          <w:color w:val="auto"/>
          <w:sz w:val="22"/>
          <w:szCs w:val="22"/>
        </w:rPr>
        <w:t xml:space="preserve"> to distinguish </w:t>
      </w:r>
      <w:r w:rsidR="00E9583C" w:rsidRPr="002C1139">
        <w:rPr>
          <w:rFonts w:asciiTheme="minorHAnsi" w:hAnsiTheme="minorHAnsi" w:cstheme="minorHAnsi"/>
          <w:color w:val="auto"/>
          <w:sz w:val="22"/>
          <w:szCs w:val="22"/>
        </w:rPr>
        <w:t xml:space="preserve">between </w:t>
      </w:r>
      <w:r w:rsidR="000A4BBC" w:rsidRPr="002C1139">
        <w:rPr>
          <w:rFonts w:asciiTheme="minorHAnsi" w:hAnsiTheme="minorHAnsi" w:cstheme="minorHAnsi"/>
          <w:color w:val="auto"/>
          <w:sz w:val="22"/>
          <w:szCs w:val="22"/>
        </w:rPr>
        <w:t xml:space="preserve">better and </w:t>
      </w:r>
      <w:r w:rsidR="00E9583C" w:rsidRPr="002C1139">
        <w:rPr>
          <w:rFonts w:asciiTheme="minorHAnsi" w:hAnsiTheme="minorHAnsi" w:cstheme="minorHAnsi"/>
          <w:color w:val="auto"/>
          <w:sz w:val="22"/>
          <w:szCs w:val="22"/>
        </w:rPr>
        <w:t>poorer</w:t>
      </w:r>
      <w:r w:rsidR="000A4BBC" w:rsidRPr="002C1139">
        <w:rPr>
          <w:rFonts w:asciiTheme="minorHAnsi" w:hAnsiTheme="minorHAnsi" w:cstheme="minorHAnsi"/>
          <w:color w:val="auto"/>
          <w:sz w:val="22"/>
          <w:szCs w:val="22"/>
        </w:rPr>
        <w:t xml:space="preserve"> performance </w:t>
      </w:r>
      <w:r w:rsidR="00C202A2" w:rsidRPr="002C1139">
        <w:rPr>
          <w:rFonts w:asciiTheme="minorHAnsi" w:hAnsiTheme="minorHAnsi" w:cstheme="minorHAnsi"/>
          <w:color w:val="auto"/>
          <w:sz w:val="22"/>
          <w:szCs w:val="22"/>
        </w:rPr>
        <w:t>of a single provider</w:t>
      </w:r>
      <w:r w:rsidR="000C75D3">
        <w:rPr>
          <w:rFonts w:asciiTheme="minorHAnsi" w:hAnsiTheme="minorHAnsi" w:cstheme="minorHAnsi"/>
          <w:color w:val="auto"/>
          <w:sz w:val="22"/>
          <w:szCs w:val="22"/>
        </w:rPr>
        <w:t xml:space="preserve"> contract or outlet</w:t>
      </w:r>
      <w:r w:rsidR="00C202A2" w:rsidRPr="002C1139">
        <w:rPr>
          <w:rFonts w:asciiTheme="minorHAnsi" w:hAnsiTheme="minorHAnsi" w:cstheme="minorHAnsi"/>
          <w:color w:val="auto"/>
          <w:sz w:val="22"/>
          <w:szCs w:val="22"/>
        </w:rPr>
        <w:t xml:space="preserve"> </w:t>
      </w:r>
      <w:r w:rsidR="000A4BBC" w:rsidRPr="002C1139">
        <w:rPr>
          <w:rFonts w:asciiTheme="minorHAnsi" w:hAnsiTheme="minorHAnsi" w:cstheme="minorHAnsi"/>
          <w:color w:val="auto"/>
          <w:sz w:val="22"/>
          <w:szCs w:val="22"/>
        </w:rPr>
        <w:t xml:space="preserve">in meeting </w:t>
      </w:r>
      <w:r w:rsidR="00C202A2" w:rsidRPr="002C1139">
        <w:rPr>
          <w:rFonts w:asciiTheme="minorHAnsi" w:hAnsiTheme="minorHAnsi" w:cstheme="minorHAnsi"/>
          <w:color w:val="auto"/>
          <w:sz w:val="22"/>
          <w:szCs w:val="22"/>
        </w:rPr>
        <w:t xml:space="preserve">the </w:t>
      </w:r>
      <w:r w:rsidR="000A4BBC" w:rsidRPr="002C1139">
        <w:rPr>
          <w:rFonts w:asciiTheme="minorHAnsi" w:hAnsiTheme="minorHAnsi" w:cstheme="minorHAnsi"/>
          <w:color w:val="auto"/>
          <w:sz w:val="22"/>
          <w:szCs w:val="22"/>
        </w:rPr>
        <w:t>program objectives compare</w:t>
      </w:r>
      <w:r w:rsidR="00E9583C" w:rsidRPr="002C1139">
        <w:rPr>
          <w:rFonts w:asciiTheme="minorHAnsi" w:hAnsiTheme="minorHAnsi" w:cstheme="minorHAnsi"/>
          <w:color w:val="auto"/>
          <w:sz w:val="22"/>
          <w:szCs w:val="22"/>
        </w:rPr>
        <w:t>d to the</w:t>
      </w:r>
      <w:r w:rsidR="000A4BBC" w:rsidRPr="002C1139">
        <w:rPr>
          <w:rFonts w:asciiTheme="minorHAnsi" w:hAnsiTheme="minorHAnsi" w:cstheme="minorHAnsi"/>
          <w:color w:val="auto"/>
          <w:sz w:val="22"/>
          <w:szCs w:val="22"/>
        </w:rPr>
        <w:t xml:space="preserve"> performance </w:t>
      </w:r>
      <w:r w:rsidR="00C202A2" w:rsidRPr="002C1139">
        <w:rPr>
          <w:rFonts w:asciiTheme="minorHAnsi" w:hAnsiTheme="minorHAnsi" w:cstheme="minorHAnsi"/>
          <w:color w:val="auto"/>
          <w:sz w:val="22"/>
          <w:szCs w:val="22"/>
        </w:rPr>
        <w:t>across</w:t>
      </w:r>
      <w:r w:rsidR="000A4BBC" w:rsidRPr="002C1139">
        <w:rPr>
          <w:rFonts w:asciiTheme="minorHAnsi" w:hAnsiTheme="minorHAnsi" w:cstheme="minorHAnsi"/>
          <w:color w:val="auto"/>
          <w:sz w:val="22"/>
          <w:szCs w:val="22"/>
        </w:rPr>
        <w:t xml:space="preserve"> </w:t>
      </w:r>
      <w:r w:rsidR="00E9583C" w:rsidRPr="002C1139">
        <w:rPr>
          <w:rFonts w:asciiTheme="minorHAnsi" w:hAnsiTheme="minorHAnsi" w:cstheme="minorHAnsi"/>
          <w:color w:val="auto"/>
          <w:sz w:val="22"/>
          <w:szCs w:val="22"/>
        </w:rPr>
        <w:t>all</w:t>
      </w:r>
      <w:r w:rsidR="000A4BBC" w:rsidRPr="002C1139">
        <w:rPr>
          <w:rFonts w:asciiTheme="minorHAnsi" w:hAnsiTheme="minorHAnsi" w:cstheme="minorHAnsi"/>
          <w:color w:val="auto"/>
          <w:sz w:val="22"/>
          <w:szCs w:val="22"/>
        </w:rPr>
        <w:t xml:space="preserve"> providers. Standards that identify minimally acceptable performance must be associated with these measures. These standards are used to determine how well the provider is performing.</w:t>
      </w:r>
      <w:r w:rsidR="003842A7" w:rsidRPr="002C1139">
        <w:rPr>
          <w:rFonts w:asciiTheme="minorHAnsi" w:hAnsiTheme="minorHAnsi" w:cstheme="minorHAnsi"/>
          <w:color w:val="auto"/>
          <w:sz w:val="22"/>
          <w:szCs w:val="22"/>
        </w:rPr>
        <w:t xml:space="preserve"> </w:t>
      </w:r>
      <w:r w:rsidR="00847F5E" w:rsidRPr="002C1139">
        <w:rPr>
          <w:rFonts w:asciiTheme="minorHAnsi" w:hAnsiTheme="minorHAnsi" w:cstheme="minorHAnsi"/>
          <w:color w:val="auto"/>
          <w:sz w:val="22"/>
          <w:szCs w:val="22"/>
        </w:rPr>
        <w:t xml:space="preserve">A performance management framework </w:t>
      </w:r>
      <w:r w:rsidR="00862E94" w:rsidRPr="002C1139">
        <w:rPr>
          <w:rFonts w:asciiTheme="minorHAnsi" w:hAnsiTheme="minorHAnsi" w:cstheme="minorHAnsi"/>
          <w:color w:val="auto"/>
          <w:sz w:val="22"/>
          <w:szCs w:val="22"/>
        </w:rPr>
        <w:t xml:space="preserve">in the context of contracted employment services </w:t>
      </w:r>
      <w:r w:rsidR="00847F5E" w:rsidRPr="002C1139">
        <w:rPr>
          <w:rFonts w:asciiTheme="minorHAnsi" w:hAnsiTheme="minorHAnsi" w:cstheme="minorHAnsi"/>
          <w:color w:val="auto"/>
          <w:sz w:val="22"/>
          <w:szCs w:val="22"/>
        </w:rPr>
        <w:t xml:space="preserve">should </w:t>
      </w:r>
      <w:r w:rsidR="00F24DF7" w:rsidRPr="002C1139">
        <w:rPr>
          <w:rFonts w:asciiTheme="minorHAnsi" w:hAnsiTheme="minorHAnsi" w:cstheme="minorHAnsi"/>
          <w:color w:val="auto"/>
          <w:sz w:val="22"/>
          <w:szCs w:val="22"/>
        </w:rPr>
        <w:t>have the following features</w:t>
      </w:r>
      <w:r w:rsidR="00862E94" w:rsidRPr="002C1139">
        <w:rPr>
          <w:rFonts w:asciiTheme="minorHAnsi" w:hAnsiTheme="minorHAnsi" w:cstheme="minorHAnsi"/>
          <w:color w:val="auto"/>
          <w:sz w:val="22"/>
          <w:szCs w:val="22"/>
        </w:rPr>
        <w:t>:</w:t>
      </w:r>
    </w:p>
    <w:p w14:paraId="124B22CF" w14:textId="77777777" w:rsidR="00862E94" w:rsidRPr="002C1139" w:rsidRDefault="00E47AF9" w:rsidP="002C1139">
      <w:pPr>
        <w:pStyle w:val="Default"/>
        <w:numPr>
          <w:ilvl w:val="0"/>
          <w:numId w:val="24"/>
        </w:numPr>
        <w:rPr>
          <w:rFonts w:asciiTheme="minorHAnsi" w:hAnsiTheme="minorHAnsi" w:cstheme="minorHAnsi"/>
          <w:color w:val="auto"/>
          <w:sz w:val="22"/>
          <w:szCs w:val="22"/>
        </w:rPr>
      </w:pPr>
      <w:r w:rsidRPr="002C1139">
        <w:rPr>
          <w:rFonts w:asciiTheme="minorHAnsi" w:hAnsiTheme="minorHAnsi" w:cstheme="minorHAnsi"/>
          <w:color w:val="auto"/>
          <w:sz w:val="22"/>
          <w:szCs w:val="22"/>
        </w:rPr>
        <w:t>p</w:t>
      </w:r>
      <w:r w:rsidR="00862E94" w:rsidRPr="002C1139">
        <w:rPr>
          <w:rFonts w:asciiTheme="minorHAnsi" w:hAnsiTheme="minorHAnsi" w:cstheme="minorHAnsi"/>
          <w:color w:val="auto"/>
          <w:sz w:val="22"/>
          <w:szCs w:val="22"/>
        </w:rPr>
        <w:t>rovide</w:t>
      </w:r>
      <w:r w:rsidR="00F24DF7" w:rsidRPr="002C1139">
        <w:rPr>
          <w:rFonts w:asciiTheme="minorHAnsi" w:hAnsiTheme="minorHAnsi" w:cstheme="minorHAnsi"/>
          <w:color w:val="auto"/>
          <w:sz w:val="22"/>
          <w:szCs w:val="22"/>
        </w:rPr>
        <w:t>s</w:t>
      </w:r>
      <w:r w:rsidR="00862E94" w:rsidRPr="002C1139">
        <w:rPr>
          <w:rFonts w:asciiTheme="minorHAnsi" w:hAnsiTheme="minorHAnsi" w:cstheme="minorHAnsi"/>
          <w:color w:val="auto"/>
          <w:sz w:val="22"/>
          <w:szCs w:val="22"/>
        </w:rPr>
        <w:t xml:space="preserve"> accountability for public funding of employment programs</w:t>
      </w:r>
    </w:p>
    <w:p w14:paraId="678312D3" w14:textId="77777777" w:rsidR="00F24DF7" w:rsidRPr="002C1139" w:rsidRDefault="00E47AF9" w:rsidP="002C1139">
      <w:pPr>
        <w:pStyle w:val="Default"/>
        <w:numPr>
          <w:ilvl w:val="0"/>
          <w:numId w:val="24"/>
        </w:numPr>
        <w:rPr>
          <w:rFonts w:asciiTheme="minorHAnsi" w:hAnsiTheme="minorHAnsi" w:cstheme="minorHAnsi"/>
          <w:color w:val="auto"/>
          <w:sz w:val="22"/>
          <w:szCs w:val="22"/>
        </w:rPr>
      </w:pPr>
      <w:r w:rsidRPr="002C1139">
        <w:rPr>
          <w:rFonts w:asciiTheme="minorHAnsi" w:hAnsiTheme="minorHAnsi" w:cstheme="minorHAnsi"/>
          <w:color w:val="auto"/>
          <w:sz w:val="22"/>
          <w:szCs w:val="22"/>
        </w:rPr>
        <w:t>a</w:t>
      </w:r>
      <w:r w:rsidR="00F24DF7" w:rsidRPr="002C1139">
        <w:rPr>
          <w:rFonts w:asciiTheme="minorHAnsi" w:hAnsiTheme="minorHAnsi" w:cstheme="minorHAnsi"/>
          <w:color w:val="auto"/>
          <w:sz w:val="22"/>
          <w:szCs w:val="22"/>
        </w:rPr>
        <w:t>ligns with the goals of the program</w:t>
      </w:r>
    </w:p>
    <w:p w14:paraId="2A760843" w14:textId="77777777" w:rsidR="007341FA" w:rsidRPr="002C1139" w:rsidRDefault="00E47AF9" w:rsidP="002C1139">
      <w:pPr>
        <w:pStyle w:val="Default"/>
        <w:numPr>
          <w:ilvl w:val="0"/>
          <w:numId w:val="24"/>
        </w:numPr>
        <w:rPr>
          <w:rFonts w:asciiTheme="minorHAnsi" w:hAnsiTheme="minorHAnsi" w:cstheme="minorHAnsi"/>
          <w:color w:val="auto"/>
          <w:sz w:val="22"/>
          <w:szCs w:val="22"/>
        </w:rPr>
      </w:pPr>
      <w:r w:rsidRPr="002C1139">
        <w:rPr>
          <w:rFonts w:asciiTheme="minorHAnsi" w:hAnsiTheme="minorHAnsi" w:cstheme="minorHAnsi"/>
          <w:color w:val="auto"/>
          <w:sz w:val="22"/>
          <w:szCs w:val="22"/>
        </w:rPr>
        <w:t>i</w:t>
      </w:r>
      <w:r w:rsidR="007341FA" w:rsidRPr="002C1139">
        <w:rPr>
          <w:rFonts w:asciiTheme="minorHAnsi" w:hAnsiTheme="minorHAnsi" w:cstheme="minorHAnsi"/>
          <w:color w:val="auto"/>
          <w:sz w:val="22"/>
          <w:szCs w:val="22"/>
        </w:rPr>
        <w:t>mprove</w:t>
      </w:r>
      <w:r w:rsidR="00F24DF7" w:rsidRPr="002C1139">
        <w:rPr>
          <w:rFonts w:asciiTheme="minorHAnsi" w:hAnsiTheme="minorHAnsi" w:cstheme="minorHAnsi"/>
          <w:color w:val="auto"/>
          <w:sz w:val="22"/>
          <w:szCs w:val="22"/>
        </w:rPr>
        <w:t>s</w:t>
      </w:r>
      <w:r w:rsidR="007341FA" w:rsidRPr="002C1139">
        <w:rPr>
          <w:rFonts w:asciiTheme="minorHAnsi" w:hAnsiTheme="minorHAnsi" w:cstheme="minorHAnsi"/>
          <w:color w:val="auto"/>
          <w:sz w:val="22"/>
          <w:szCs w:val="22"/>
        </w:rPr>
        <w:t xml:space="preserve"> the performance of the employment services system</w:t>
      </w:r>
    </w:p>
    <w:p w14:paraId="0D27C37E" w14:textId="6C5E3309" w:rsidR="00F24DF7" w:rsidRPr="002C1139" w:rsidRDefault="00E47AF9" w:rsidP="002C1139">
      <w:pPr>
        <w:pStyle w:val="Default"/>
        <w:numPr>
          <w:ilvl w:val="0"/>
          <w:numId w:val="24"/>
        </w:numPr>
        <w:rPr>
          <w:rFonts w:asciiTheme="minorHAnsi" w:hAnsiTheme="minorHAnsi" w:cstheme="minorHAnsi"/>
          <w:color w:val="auto"/>
          <w:sz w:val="22"/>
          <w:szCs w:val="22"/>
        </w:rPr>
      </w:pPr>
      <w:r w:rsidRPr="002C1139">
        <w:rPr>
          <w:rFonts w:asciiTheme="minorHAnsi" w:hAnsiTheme="minorHAnsi" w:cstheme="minorHAnsi"/>
          <w:color w:val="auto"/>
          <w:sz w:val="22"/>
          <w:szCs w:val="22"/>
        </w:rPr>
        <w:t>c</w:t>
      </w:r>
      <w:r w:rsidR="00F24DF7" w:rsidRPr="002C1139">
        <w:rPr>
          <w:rFonts w:asciiTheme="minorHAnsi" w:hAnsiTheme="minorHAnsi" w:cstheme="minorHAnsi"/>
          <w:color w:val="auto"/>
          <w:sz w:val="22"/>
          <w:szCs w:val="22"/>
        </w:rPr>
        <w:t xml:space="preserve">reates a level playing field by taking into account differences in the </w:t>
      </w:r>
      <w:r w:rsidR="000C75D3">
        <w:rPr>
          <w:rFonts w:asciiTheme="minorHAnsi" w:hAnsiTheme="minorHAnsi" w:cstheme="minorHAnsi"/>
          <w:color w:val="auto"/>
          <w:sz w:val="22"/>
          <w:szCs w:val="22"/>
        </w:rPr>
        <w:t xml:space="preserve">labour market </w:t>
      </w:r>
      <w:r w:rsidR="00F24DF7" w:rsidRPr="002C1139">
        <w:rPr>
          <w:rFonts w:asciiTheme="minorHAnsi" w:hAnsiTheme="minorHAnsi" w:cstheme="minorHAnsi"/>
          <w:color w:val="auto"/>
          <w:sz w:val="22"/>
          <w:szCs w:val="22"/>
        </w:rPr>
        <w:t xml:space="preserve">environments and </w:t>
      </w:r>
      <w:r w:rsidR="000C75D3">
        <w:rPr>
          <w:rFonts w:asciiTheme="minorHAnsi" w:hAnsiTheme="minorHAnsi" w:cstheme="minorHAnsi"/>
          <w:color w:val="auto"/>
          <w:sz w:val="22"/>
          <w:szCs w:val="22"/>
        </w:rPr>
        <w:t>participant characteristics</w:t>
      </w:r>
    </w:p>
    <w:p w14:paraId="49836162" w14:textId="77777777" w:rsidR="007341FA" w:rsidRPr="002C1139" w:rsidRDefault="00E47AF9" w:rsidP="002C1139">
      <w:pPr>
        <w:pStyle w:val="Default"/>
        <w:numPr>
          <w:ilvl w:val="0"/>
          <w:numId w:val="24"/>
        </w:numPr>
        <w:rPr>
          <w:rFonts w:asciiTheme="minorHAnsi" w:hAnsiTheme="minorHAnsi" w:cstheme="minorHAnsi"/>
          <w:color w:val="auto"/>
          <w:sz w:val="22"/>
          <w:szCs w:val="22"/>
        </w:rPr>
      </w:pPr>
      <w:r w:rsidRPr="002C1139">
        <w:rPr>
          <w:rFonts w:asciiTheme="minorHAnsi" w:hAnsiTheme="minorHAnsi" w:cstheme="minorHAnsi"/>
          <w:color w:val="auto"/>
          <w:sz w:val="22"/>
          <w:szCs w:val="22"/>
        </w:rPr>
        <w:lastRenderedPageBreak/>
        <w:t>p</w:t>
      </w:r>
      <w:r w:rsidR="003842A7" w:rsidRPr="002C1139">
        <w:rPr>
          <w:rFonts w:asciiTheme="minorHAnsi" w:hAnsiTheme="minorHAnsi" w:cstheme="minorHAnsi"/>
          <w:color w:val="auto"/>
          <w:sz w:val="22"/>
          <w:szCs w:val="22"/>
        </w:rPr>
        <w:t>rovide</w:t>
      </w:r>
      <w:r w:rsidR="00F24DF7" w:rsidRPr="002C1139">
        <w:rPr>
          <w:rFonts w:asciiTheme="minorHAnsi" w:hAnsiTheme="minorHAnsi" w:cstheme="minorHAnsi"/>
          <w:color w:val="auto"/>
          <w:sz w:val="22"/>
          <w:szCs w:val="22"/>
        </w:rPr>
        <w:t>s</w:t>
      </w:r>
      <w:r w:rsidR="003842A7" w:rsidRPr="002C1139">
        <w:rPr>
          <w:rFonts w:asciiTheme="minorHAnsi" w:hAnsiTheme="minorHAnsi" w:cstheme="minorHAnsi"/>
          <w:color w:val="auto"/>
          <w:sz w:val="22"/>
          <w:szCs w:val="22"/>
        </w:rPr>
        <w:t xml:space="preserve"> information on performance of providers to be used to help determine</w:t>
      </w:r>
      <w:r w:rsidR="007341FA" w:rsidRPr="002C1139">
        <w:rPr>
          <w:rFonts w:asciiTheme="minorHAnsi" w:hAnsiTheme="minorHAnsi" w:cstheme="minorHAnsi"/>
          <w:color w:val="auto"/>
          <w:sz w:val="22"/>
          <w:szCs w:val="22"/>
        </w:rPr>
        <w:t xml:space="preserve"> business reallocations</w:t>
      </w:r>
    </w:p>
    <w:p w14:paraId="503BD7AC" w14:textId="77777777" w:rsidR="00F24DF7" w:rsidRPr="002C1139" w:rsidRDefault="00E47AF9" w:rsidP="002C1139">
      <w:pPr>
        <w:pStyle w:val="Default"/>
        <w:numPr>
          <w:ilvl w:val="0"/>
          <w:numId w:val="24"/>
        </w:numPr>
        <w:rPr>
          <w:rFonts w:asciiTheme="minorHAnsi" w:hAnsiTheme="minorHAnsi" w:cstheme="minorHAnsi"/>
          <w:color w:val="auto"/>
          <w:sz w:val="22"/>
          <w:szCs w:val="22"/>
        </w:rPr>
      </w:pPr>
      <w:r w:rsidRPr="002C1139">
        <w:rPr>
          <w:rFonts w:asciiTheme="minorHAnsi" w:hAnsiTheme="minorHAnsi" w:cstheme="minorHAnsi"/>
          <w:color w:val="auto"/>
          <w:sz w:val="22"/>
          <w:szCs w:val="22"/>
        </w:rPr>
        <w:t>c</w:t>
      </w:r>
      <w:r w:rsidR="00F24DF7" w:rsidRPr="002C1139">
        <w:rPr>
          <w:rFonts w:asciiTheme="minorHAnsi" w:hAnsiTheme="minorHAnsi" w:cstheme="minorHAnsi"/>
          <w:color w:val="auto"/>
          <w:sz w:val="22"/>
          <w:szCs w:val="22"/>
        </w:rPr>
        <w:t>reates disincentives for providers seeking to</w:t>
      </w:r>
      <w:r w:rsidRPr="002C1139">
        <w:rPr>
          <w:rFonts w:asciiTheme="minorHAnsi" w:hAnsiTheme="minorHAnsi" w:cstheme="minorHAnsi"/>
          <w:color w:val="auto"/>
          <w:sz w:val="22"/>
          <w:szCs w:val="22"/>
        </w:rPr>
        <w:t xml:space="preserve"> manipulate (sometimes referred to as</w:t>
      </w:r>
      <w:r w:rsidR="0089376D">
        <w:rPr>
          <w:rFonts w:asciiTheme="minorHAnsi" w:hAnsiTheme="minorHAnsi" w:cstheme="minorHAnsi"/>
          <w:color w:val="auto"/>
          <w:sz w:val="22"/>
          <w:szCs w:val="22"/>
        </w:rPr>
        <w:t xml:space="preserve"> gaming</w:t>
      </w:r>
      <w:r w:rsidRPr="002C1139">
        <w:rPr>
          <w:rFonts w:asciiTheme="minorHAnsi" w:hAnsiTheme="minorHAnsi" w:cstheme="minorHAnsi"/>
          <w:color w:val="auto"/>
          <w:sz w:val="22"/>
          <w:szCs w:val="22"/>
        </w:rPr>
        <w:t>)</w:t>
      </w:r>
      <w:r w:rsidR="00F24DF7" w:rsidRPr="002C1139">
        <w:rPr>
          <w:rFonts w:asciiTheme="minorHAnsi" w:hAnsiTheme="minorHAnsi" w:cstheme="minorHAnsi"/>
          <w:color w:val="auto"/>
          <w:sz w:val="22"/>
          <w:szCs w:val="22"/>
        </w:rPr>
        <w:t xml:space="preserve"> the </w:t>
      </w:r>
      <w:r w:rsidRPr="002C1139">
        <w:rPr>
          <w:rFonts w:asciiTheme="minorHAnsi" w:hAnsiTheme="minorHAnsi" w:cstheme="minorHAnsi"/>
          <w:color w:val="auto"/>
          <w:sz w:val="22"/>
          <w:szCs w:val="22"/>
        </w:rPr>
        <w:t>framework.</w:t>
      </w:r>
    </w:p>
    <w:p w14:paraId="22CDD0FB" w14:textId="77777777" w:rsidR="00862E94" w:rsidRPr="002C1139" w:rsidRDefault="00862E94" w:rsidP="002C1139">
      <w:pPr>
        <w:pStyle w:val="Default"/>
        <w:rPr>
          <w:rFonts w:asciiTheme="minorHAnsi" w:hAnsiTheme="minorHAnsi" w:cstheme="minorHAnsi"/>
          <w:color w:val="auto"/>
          <w:sz w:val="22"/>
          <w:szCs w:val="22"/>
        </w:rPr>
      </w:pPr>
    </w:p>
    <w:p w14:paraId="4C41BCAD" w14:textId="69252F22" w:rsidR="00A74124" w:rsidRDefault="003842A7" w:rsidP="005474D4">
      <w:pPr>
        <w:pStyle w:val="Default"/>
        <w:rPr>
          <w:rFonts w:ascii="Calibri" w:eastAsia="Times New Roman" w:hAnsi="Calibri" w:cs="Arial"/>
          <w:color w:val="auto"/>
          <w:kern w:val="32"/>
          <w:sz w:val="32"/>
          <w:szCs w:val="32"/>
          <w:lang w:eastAsia="en-AU"/>
        </w:rPr>
        <w:sectPr w:rsidR="00A74124">
          <w:pgSz w:w="11906" w:h="16838"/>
          <w:pgMar w:top="1440" w:right="1440" w:bottom="1440" w:left="1440" w:header="708" w:footer="708" w:gutter="0"/>
          <w:cols w:space="708"/>
          <w:docGrid w:linePitch="360"/>
        </w:sectPr>
      </w:pPr>
      <w:r w:rsidRPr="002C1139">
        <w:rPr>
          <w:rFonts w:asciiTheme="minorHAnsi" w:hAnsiTheme="minorHAnsi" w:cstheme="minorHAnsi"/>
          <w:color w:val="auto"/>
          <w:sz w:val="22"/>
          <w:szCs w:val="22"/>
        </w:rPr>
        <w:t xml:space="preserve">Broadly speaking, there are two available methods in determining standards to assess provider performance; a comparative performance model and a benchmarking model. These models and their strengths and weaknesses in assessing provider performance in regards to Australia’s </w:t>
      </w:r>
      <w:r w:rsidR="00A74124" w:rsidRPr="002C1139">
        <w:rPr>
          <w:rFonts w:asciiTheme="minorHAnsi" w:hAnsiTheme="minorHAnsi" w:cstheme="minorHAnsi"/>
          <w:color w:val="auto"/>
          <w:sz w:val="22"/>
          <w:szCs w:val="22"/>
        </w:rPr>
        <w:t>employment</w:t>
      </w:r>
      <w:r w:rsidRPr="002C1139">
        <w:rPr>
          <w:rFonts w:asciiTheme="minorHAnsi" w:hAnsiTheme="minorHAnsi" w:cstheme="minorHAnsi"/>
          <w:color w:val="auto"/>
          <w:sz w:val="22"/>
          <w:szCs w:val="22"/>
        </w:rPr>
        <w:t xml:space="preserve"> services will be analysed in the following sections.</w:t>
      </w:r>
      <w:r w:rsidR="005474D4">
        <w:rPr>
          <w:rFonts w:ascii="Calibri" w:eastAsia="Times New Roman" w:hAnsi="Calibri" w:cs="Arial"/>
          <w:color w:val="auto"/>
          <w:kern w:val="32"/>
          <w:sz w:val="32"/>
          <w:szCs w:val="32"/>
          <w:lang w:eastAsia="en-AU"/>
        </w:rPr>
        <w:t xml:space="preserve"> </w:t>
      </w:r>
    </w:p>
    <w:p w14:paraId="10F019E2" w14:textId="77777777" w:rsidR="005C4AD2" w:rsidRPr="00E4024E" w:rsidRDefault="00FB376D" w:rsidP="00E4024E">
      <w:pPr>
        <w:pStyle w:val="Heading1"/>
        <w:keepLines w:val="0"/>
        <w:numPr>
          <w:ilvl w:val="0"/>
          <w:numId w:val="16"/>
        </w:numPr>
        <w:spacing w:before="240" w:after="240" w:line="240" w:lineRule="auto"/>
        <w:ind w:left="0" w:firstLine="0"/>
        <w:rPr>
          <w:rFonts w:ascii="Calibri" w:eastAsia="Times New Roman" w:hAnsi="Calibri" w:cs="Arial"/>
          <w:color w:val="auto"/>
          <w:kern w:val="32"/>
          <w:sz w:val="32"/>
          <w:szCs w:val="32"/>
          <w:lang w:eastAsia="en-AU"/>
        </w:rPr>
      </w:pPr>
      <w:bookmarkStart w:id="4" w:name="_Toc365872624"/>
      <w:r w:rsidRPr="00E4024E">
        <w:rPr>
          <w:rFonts w:ascii="Calibri" w:eastAsia="Times New Roman" w:hAnsi="Calibri" w:cs="Arial"/>
          <w:color w:val="auto"/>
          <w:kern w:val="32"/>
          <w:sz w:val="32"/>
          <w:szCs w:val="32"/>
          <w:lang w:eastAsia="en-AU"/>
        </w:rPr>
        <w:lastRenderedPageBreak/>
        <w:t>Comparative Performance Model</w:t>
      </w:r>
      <w:bookmarkEnd w:id="4"/>
    </w:p>
    <w:p w14:paraId="661DAF31" w14:textId="6EE13133" w:rsidR="00546F40" w:rsidRPr="00E46E36" w:rsidRDefault="000C75D3" w:rsidP="00E46E36">
      <w:pPr>
        <w:spacing w:after="120" w:line="240" w:lineRule="auto"/>
        <w:rPr>
          <w:rFonts w:cstheme="minorHAnsi"/>
        </w:rPr>
      </w:pPr>
      <w:r>
        <w:rPr>
          <w:rFonts w:cstheme="minorHAnsi"/>
        </w:rPr>
        <w:t>The Department of Employment and DSS employ</w:t>
      </w:r>
      <w:r w:rsidR="00FB376D" w:rsidRPr="00E46E36">
        <w:rPr>
          <w:rFonts w:cstheme="minorHAnsi"/>
        </w:rPr>
        <w:t xml:space="preserve"> a comparative performance model in the assessment of </w:t>
      </w:r>
      <w:r w:rsidR="00B82281" w:rsidRPr="00E46E36">
        <w:rPr>
          <w:rFonts w:cstheme="minorHAnsi"/>
        </w:rPr>
        <w:t>JSA</w:t>
      </w:r>
      <w:r w:rsidR="00F83492" w:rsidRPr="00E46E36">
        <w:rPr>
          <w:rFonts w:cstheme="minorHAnsi"/>
        </w:rPr>
        <w:t xml:space="preserve"> and </w:t>
      </w:r>
      <w:r w:rsidR="00B82281" w:rsidRPr="00E46E36">
        <w:rPr>
          <w:rFonts w:cstheme="minorHAnsi"/>
        </w:rPr>
        <w:t>DES</w:t>
      </w:r>
      <w:r w:rsidR="00F83492" w:rsidRPr="00E46E36">
        <w:rPr>
          <w:rFonts w:cstheme="minorHAnsi"/>
        </w:rPr>
        <w:t xml:space="preserve"> provider performance called </w:t>
      </w:r>
      <w:r w:rsidR="007957F5" w:rsidRPr="00E46E36">
        <w:rPr>
          <w:rFonts w:cstheme="minorHAnsi"/>
        </w:rPr>
        <w:t>Star Rating</w:t>
      </w:r>
      <w:r w:rsidR="00F83492" w:rsidRPr="00E46E36">
        <w:rPr>
          <w:rFonts w:cstheme="minorHAnsi"/>
        </w:rPr>
        <w:t xml:space="preserve">s. </w:t>
      </w:r>
      <w:r w:rsidR="00F24DF7" w:rsidRPr="00E46E36">
        <w:rPr>
          <w:rFonts w:cstheme="minorHAnsi"/>
        </w:rPr>
        <w:t xml:space="preserve">The system of </w:t>
      </w:r>
      <w:r w:rsidR="007957F5" w:rsidRPr="00E46E36">
        <w:rPr>
          <w:rFonts w:cstheme="minorHAnsi"/>
        </w:rPr>
        <w:t>Star Rating</w:t>
      </w:r>
      <w:r w:rsidR="00B84B57" w:rsidRPr="00E46E36">
        <w:rPr>
          <w:rFonts w:cstheme="minorHAnsi"/>
        </w:rPr>
        <w:t xml:space="preserve">s used in Australia is a form of adjusted performance measure based on regression analysis. Essentially provider performance is adjusted for labour market conditions and job seeker characteristics. </w:t>
      </w:r>
      <w:r>
        <w:rPr>
          <w:rFonts w:cstheme="minorHAnsi"/>
        </w:rPr>
        <w:t xml:space="preserve">Expected </w:t>
      </w:r>
      <w:r w:rsidR="00B84B57" w:rsidRPr="00E46E36">
        <w:rPr>
          <w:rFonts w:cstheme="minorHAnsi"/>
        </w:rPr>
        <w:t xml:space="preserve">outcomes based on the regression analysis are compared to actual outcomes. Providers that have significantly better than </w:t>
      </w:r>
      <w:r>
        <w:rPr>
          <w:rFonts w:cstheme="minorHAnsi"/>
        </w:rPr>
        <w:t xml:space="preserve">expected </w:t>
      </w:r>
      <w:r w:rsidR="00B84B57" w:rsidRPr="00E46E36">
        <w:rPr>
          <w:rFonts w:cstheme="minorHAnsi"/>
        </w:rPr>
        <w:t>performance are given a higher score.</w:t>
      </w:r>
      <w:r w:rsidR="00546F40" w:rsidRPr="00E46E36">
        <w:rPr>
          <w:rStyle w:val="FootnoteReference"/>
          <w:rFonts w:cstheme="minorHAnsi"/>
          <w:vertAlign w:val="superscript"/>
        </w:rPr>
        <w:footnoteReference w:id="1"/>
      </w:r>
      <w:r w:rsidR="00546F40" w:rsidRPr="00E46E36">
        <w:rPr>
          <w:rFonts w:cstheme="minorHAnsi"/>
        </w:rPr>
        <w:t xml:space="preserve"> The </w:t>
      </w:r>
      <w:r w:rsidR="007957F5" w:rsidRPr="00E46E36">
        <w:rPr>
          <w:rFonts w:cstheme="minorHAnsi"/>
        </w:rPr>
        <w:t>Star Rating</w:t>
      </w:r>
      <w:r w:rsidR="00546F40" w:rsidRPr="00E46E36">
        <w:rPr>
          <w:rFonts w:cstheme="minorHAnsi"/>
        </w:rPr>
        <w:t>s model is used to assess prov</w:t>
      </w:r>
      <w:r w:rsidR="00F7444D" w:rsidRPr="00E46E36">
        <w:rPr>
          <w:rFonts w:cstheme="minorHAnsi"/>
        </w:rPr>
        <w:t>ider performance because it offers the features that should exist in a performance management system as discussed above.</w:t>
      </w:r>
      <w:r w:rsidR="00546F40" w:rsidRPr="00E46E36">
        <w:rPr>
          <w:rFonts w:cstheme="minorHAnsi"/>
        </w:rPr>
        <w:t xml:space="preserve"> </w:t>
      </w:r>
      <w:r w:rsidR="00ED142F" w:rsidRPr="00E46E36">
        <w:rPr>
          <w:rFonts w:cstheme="minorHAnsi"/>
        </w:rPr>
        <w:t>These include:</w:t>
      </w:r>
    </w:p>
    <w:p w14:paraId="1BD6DE91" w14:textId="62DAFB75" w:rsidR="009E07DF" w:rsidRPr="00E46E36" w:rsidRDefault="00A74124" w:rsidP="00E46E36">
      <w:pPr>
        <w:pStyle w:val="ListParagraph"/>
        <w:numPr>
          <w:ilvl w:val="0"/>
          <w:numId w:val="25"/>
        </w:numPr>
        <w:spacing w:line="240" w:lineRule="auto"/>
        <w:rPr>
          <w:rFonts w:cstheme="minorHAnsi"/>
        </w:rPr>
      </w:pPr>
      <w:r w:rsidRPr="00E46E36">
        <w:rPr>
          <w:rFonts w:cstheme="minorHAnsi"/>
        </w:rPr>
        <w:t>i</w:t>
      </w:r>
      <w:r w:rsidR="009E07DF" w:rsidRPr="00E46E36">
        <w:rPr>
          <w:rFonts w:cstheme="minorHAnsi"/>
        </w:rPr>
        <w:t>t is used for accountability purposes by providing the government with information on the program</w:t>
      </w:r>
      <w:r w:rsidRPr="00E46E36">
        <w:rPr>
          <w:rFonts w:cstheme="minorHAnsi"/>
        </w:rPr>
        <w:t xml:space="preserve">s </w:t>
      </w:r>
      <w:r w:rsidR="00C91CFB">
        <w:rPr>
          <w:rFonts w:cstheme="minorHAnsi"/>
        </w:rPr>
        <w:t xml:space="preserve">relative </w:t>
      </w:r>
      <w:r w:rsidRPr="00E46E36">
        <w:rPr>
          <w:rFonts w:cstheme="minorHAnsi"/>
        </w:rPr>
        <w:t>performance</w:t>
      </w:r>
      <w:r w:rsidR="00C91CFB">
        <w:rPr>
          <w:rFonts w:cstheme="minorHAnsi"/>
        </w:rPr>
        <w:t xml:space="preserve"> of providers</w:t>
      </w:r>
    </w:p>
    <w:p w14:paraId="1D252C81" w14:textId="77777777" w:rsidR="00F24DF7" w:rsidRPr="00E46E36" w:rsidRDefault="00A74124" w:rsidP="00E46E36">
      <w:pPr>
        <w:pStyle w:val="ListParagraph"/>
        <w:numPr>
          <w:ilvl w:val="0"/>
          <w:numId w:val="25"/>
        </w:numPr>
        <w:spacing w:line="240" w:lineRule="auto"/>
        <w:rPr>
          <w:rFonts w:cstheme="minorHAnsi"/>
        </w:rPr>
      </w:pPr>
      <w:r w:rsidRPr="00E46E36">
        <w:rPr>
          <w:rFonts w:cstheme="minorHAnsi"/>
        </w:rPr>
        <w:t>i</w:t>
      </w:r>
      <w:r w:rsidR="009E07DF" w:rsidRPr="00E46E36">
        <w:rPr>
          <w:rFonts w:cstheme="minorHAnsi"/>
        </w:rPr>
        <w:t>t</w:t>
      </w:r>
      <w:r w:rsidR="00F24DF7" w:rsidRPr="00E46E36">
        <w:rPr>
          <w:rFonts w:cstheme="minorHAnsi"/>
        </w:rPr>
        <w:t xml:space="preserve"> provide</w:t>
      </w:r>
      <w:r w:rsidR="009E07DF" w:rsidRPr="00E46E36">
        <w:rPr>
          <w:rFonts w:cstheme="minorHAnsi"/>
        </w:rPr>
        <w:t>s</w:t>
      </w:r>
      <w:r w:rsidR="00F24DF7" w:rsidRPr="00E46E36">
        <w:rPr>
          <w:rFonts w:cstheme="minorHAnsi"/>
        </w:rPr>
        <w:t xml:space="preserve"> a measure of effectiveness and efficiency in achieving outcomes for job seekers against the priorities set o</w:t>
      </w:r>
      <w:r w:rsidRPr="00E46E36">
        <w:rPr>
          <w:rFonts w:cstheme="minorHAnsi"/>
        </w:rPr>
        <w:t>ut by the Australian Government</w:t>
      </w:r>
    </w:p>
    <w:p w14:paraId="362923CF" w14:textId="77777777" w:rsidR="009E07DF" w:rsidRPr="00E46E36" w:rsidRDefault="00A74124" w:rsidP="00E46E36">
      <w:pPr>
        <w:pStyle w:val="ListParagraph"/>
        <w:numPr>
          <w:ilvl w:val="0"/>
          <w:numId w:val="25"/>
        </w:numPr>
        <w:spacing w:line="240" w:lineRule="auto"/>
        <w:rPr>
          <w:rFonts w:cstheme="minorHAnsi"/>
        </w:rPr>
      </w:pPr>
      <w:r w:rsidRPr="00E46E36">
        <w:rPr>
          <w:rFonts w:cstheme="minorHAnsi"/>
        </w:rPr>
        <w:t>i</w:t>
      </w:r>
      <w:r w:rsidR="009E07DF" w:rsidRPr="00E46E36">
        <w:rPr>
          <w:rFonts w:cstheme="minorHAnsi"/>
        </w:rPr>
        <w:t>t improves the performance of the employment services system through fostering pseudo-competition between providers</w:t>
      </w:r>
      <w:r w:rsidR="00B669E3">
        <w:rPr>
          <w:rFonts w:cstheme="minorHAnsi"/>
        </w:rPr>
        <w:t xml:space="preserve"> (Productivity Commission 2002)</w:t>
      </w:r>
    </w:p>
    <w:p w14:paraId="634F98F5" w14:textId="3E5641AB" w:rsidR="005B6572" w:rsidRPr="00E46E36" w:rsidRDefault="00A74124" w:rsidP="00E46E36">
      <w:pPr>
        <w:pStyle w:val="ListParagraph"/>
        <w:numPr>
          <w:ilvl w:val="0"/>
          <w:numId w:val="25"/>
        </w:numPr>
        <w:spacing w:line="240" w:lineRule="auto"/>
        <w:rPr>
          <w:rFonts w:cstheme="minorHAnsi"/>
        </w:rPr>
      </w:pPr>
      <w:r w:rsidRPr="00E46E36">
        <w:rPr>
          <w:rFonts w:cstheme="minorHAnsi"/>
        </w:rPr>
        <w:t>i</w:t>
      </w:r>
      <w:r w:rsidR="009E07DF" w:rsidRPr="00E46E36">
        <w:rPr>
          <w:rFonts w:cstheme="minorHAnsi"/>
        </w:rPr>
        <w:t xml:space="preserve">t creates a level playing field by taking into account the labour market conditions and </w:t>
      </w:r>
      <w:r w:rsidR="00C91CFB">
        <w:rPr>
          <w:rFonts w:cstheme="minorHAnsi"/>
        </w:rPr>
        <w:t>participant</w:t>
      </w:r>
      <w:r w:rsidR="009E07DF" w:rsidRPr="00E46E36">
        <w:rPr>
          <w:rFonts w:cstheme="minorHAnsi"/>
        </w:rPr>
        <w:t xml:space="preserve"> characteristics </w:t>
      </w:r>
      <w:r w:rsidR="00C91CFB">
        <w:rPr>
          <w:rFonts w:cstheme="minorHAnsi"/>
        </w:rPr>
        <w:t>applicable for each contract and outlet</w:t>
      </w:r>
      <w:r w:rsidR="009E07DF" w:rsidRPr="00E46E36">
        <w:rPr>
          <w:rFonts w:cstheme="minorHAnsi"/>
        </w:rPr>
        <w:t>, leading to providers being compared on thei</w:t>
      </w:r>
      <w:r w:rsidR="005B6572" w:rsidRPr="00E46E36">
        <w:rPr>
          <w:rFonts w:cstheme="minorHAnsi"/>
        </w:rPr>
        <w:t xml:space="preserve">r </w:t>
      </w:r>
      <w:r w:rsidR="005B6572" w:rsidRPr="00E46E36">
        <w:rPr>
          <w:rFonts w:cstheme="minorHAnsi"/>
          <w:i/>
        </w:rPr>
        <w:t>true</w:t>
      </w:r>
      <w:r w:rsidRPr="00E46E36">
        <w:rPr>
          <w:rFonts w:cstheme="minorHAnsi"/>
        </w:rPr>
        <w:t xml:space="preserve"> performance</w:t>
      </w:r>
    </w:p>
    <w:p w14:paraId="7FABEA42" w14:textId="77777777" w:rsidR="005B6572" w:rsidRPr="00E46E36" w:rsidRDefault="00A74124" w:rsidP="00E46E36">
      <w:pPr>
        <w:pStyle w:val="ListParagraph"/>
        <w:numPr>
          <w:ilvl w:val="0"/>
          <w:numId w:val="25"/>
        </w:numPr>
        <w:spacing w:line="240" w:lineRule="auto"/>
        <w:rPr>
          <w:rFonts w:cstheme="minorHAnsi"/>
        </w:rPr>
      </w:pPr>
      <w:r w:rsidRPr="00E46E36">
        <w:rPr>
          <w:rFonts w:cstheme="minorHAnsi"/>
        </w:rPr>
        <w:t>b</w:t>
      </w:r>
      <w:r w:rsidR="005B6572" w:rsidRPr="00E46E36">
        <w:rPr>
          <w:rFonts w:cstheme="minorHAnsi"/>
        </w:rPr>
        <w:t>y accurately assessing provider performance it provides the department with information that helps de</w:t>
      </w:r>
      <w:r w:rsidRPr="00E46E36">
        <w:rPr>
          <w:rFonts w:cstheme="minorHAnsi"/>
        </w:rPr>
        <w:t>termine business reallocations and</w:t>
      </w:r>
    </w:p>
    <w:p w14:paraId="0146DE77" w14:textId="1F0AD8B0" w:rsidR="009E07DF" w:rsidRPr="00E46E36" w:rsidRDefault="00A74124" w:rsidP="00E46E36">
      <w:pPr>
        <w:pStyle w:val="ListParagraph"/>
        <w:numPr>
          <w:ilvl w:val="0"/>
          <w:numId w:val="25"/>
        </w:numPr>
        <w:spacing w:after="0" w:line="240" w:lineRule="auto"/>
        <w:contextualSpacing w:val="0"/>
        <w:rPr>
          <w:rFonts w:cstheme="minorHAnsi"/>
        </w:rPr>
      </w:pPr>
      <w:r w:rsidRPr="00E46E36">
        <w:rPr>
          <w:rFonts w:cstheme="minorHAnsi"/>
        </w:rPr>
        <w:t>i</w:t>
      </w:r>
      <w:r w:rsidR="005B6572" w:rsidRPr="00E46E36">
        <w:rPr>
          <w:rFonts w:cstheme="minorHAnsi"/>
        </w:rPr>
        <w:t xml:space="preserve">t reduces the incidence of gaming responses such as parking and creaming as a providers performance rating is </w:t>
      </w:r>
      <w:r w:rsidR="005B6572" w:rsidRPr="00C91CFB">
        <w:rPr>
          <w:rFonts w:cstheme="minorHAnsi"/>
          <w:u w:val="single"/>
        </w:rPr>
        <w:t>not</w:t>
      </w:r>
      <w:r w:rsidR="00C91CFB">
        <w:rPr>
          <w:rFonts w:cstheme="minorHAnsi"/>
        </w:rPr>
        <w:t xml:space="preserve"> negatively</w:t>
      </w:r>
      <w:r w:rsidR="005B6572" w:rsidRPr="00E46E36">
        <w:rPr>
          <w:rFonts w:cstheme="minorHAnsi"/>
        </w:rPr>
        <w:t xml:space="preserve"> affected by operating in poor labour markets serving hard to place </w:t>
      </w:r>
      <w:r w:rsidR="00C91CFB">
        <w:rPr>
          <w:rFonts w:cstheme="minorHAnsi"/>
        </w:rPr>
        <w:t>participants</w:t>
      </w:r>
      <w:r w:rsidR="005B6572" w:rsidRPr="00E46E36">
        <w:rPr>
          <w:rFonts w:cstheme="minorHAnsi"/>
        </w:rPr>
        <w:t>.</w:t>
      </w:r>
    </w:p>
    <w:p w14:paraId="16D131B5" w14:textId="77777777" w:rsidR="00E46E36" w:rsidRDefault="00E46E36" w:rsidP="00E46E36">
      <w:pPr>
        <w:spacing w:after="0" w:line="240" w:lineRule="auto"/>
        <w:rPr>
          <w:rFonts w:cstheme="minorHAnsi"/>
        </w:rPr>
      </w:pPr>
    </w:p>
    <w:p w14:paraId="726CA240" w14:textId="77777777" w:rsidR="009E07DF" w:rsidRPr="00E46E36" w:rsidRDefault="005B6572" w:rsidP="00E46E36">
      <w:pPr>
        <w:spacing w:after="0" w:line="240" w:lineRule="auto"/>
        <w:rPr>
          <w:rFonts w:cstheme="minorHAnsi"/>
        </w:rPr>
      </w:pPr>
      <w:r w:rsidRPr="00E46E36">
        <w:rPr>
          <w:rFonts w:cstheme="minorHAnsi"/>
        </w:rPr>
        <w:t xml:space="preserve">These advantages are discussed in detail in the next sections. </w:t>
      </w:r>
    </w:p>
    <w:p w14:paraId="4C99711D" w14:textId="77777777" w:rsidR="00ED142F" w:rsidRPr="00E4024E" w:rsidRDefault="00ED142F" w:rsidP="00E4024E">
      <w:pPr>
        <w:pStyle w:val="Heading2"/>
        <w:keepNext/>
        <w:numPr>
          <w:ilvl w:val="1"/>
          <w:numId w:val="16"/>
        </w:numPr>
        <w:spacing w:before="240" w:beforeAutospacing="0" w:after="240" w:afterAutospacing="0"/>
        <w:ind w:left="0" w:firstLine="0"/>
        <w:rPr>
          <w:rFonts w:ascii="Calibri" w:hAnsi="Calibri" w:cs="Arial"/>
          <w:i/>
          <w:iCs/>
          <w:sz w:val="28"/>
          <w:szCs w:val="28"/>
        </w:rPr>
      </w:pPr>
      <w:bookmarkStart w:id="5" w:name="_Toc365872625"/>
      <w:r w:rsidRPr="00E4024E">
        <w:rPr>
          <w:rFonts w:ascii="Calibri" w:hAnsi="Calibri" w:cs="Arial"/>
          <w:i/>
          <w:iCs/>
          <w:sz w:val="28"/>
          <w:szCs w:val="28"/>
        </w:rPr>
        <w:t>External Factor Adjustment</w:t>
      </w:r>
      <w:bookmarkEnd w:id="5"/>
    </w:p>
    <w:p w14:paraId="35955182" w14:textId="66474173" w:rsidR="00F9170B" w:rsidRPr="00E46E36" w:rsidRDefault="00937384" w:rsidP="00FA3128">
      <w:pPr>
        <w:spacing w:after="0" w:line="240" w:lineRule="auto"/>
        <w:rPr>
          <w:rFonts w:cstheme="minorHAnsi"/>
        </w:rPr>
      </w:pPr>
      <w:r w:rsidRPr="00E46E36">
        <w:rPr>
          <w:rFonts w:cstheme="minorHAnsi"/>
        </w:rPr>
        <w:t xml:space="preserve">A key argument in favour of the use of </w:t>
      </w:r>
      <w:r w:rsidR="007957F5" w:rsidRPr="00E46E36">
        <w:rPr>
          <w:rFonts w:cstheme="minorHAnsi"/>
        </w:rPr>
        <w:t>Star Rating</w:t>
      </w:r>
      <w:r w:rsidRPr="00E46E36">
        <w:rPr>
          <w:rFonts w:cstheme="minorHAnsi"/>
        </w:rPr>
        <w:t xml:space="preserve">s is that it is an effective methodology for </w:t>
      </w:r>
      <w:r w:rsidR="00FD6583" w:rsidRPr="00E46E36">
        <w:rPr>
          <w:rFonts w:cstheme="minorHAnsi"/>
        </w:rPr>
        <w:t>estimating a provider’s true performance</w:t>
      </w:r>
      <w:r w:rsidR="00A74124" w:rsidRPr="00E46E36">
        <w:rPr>
          <w:rFonts w:cstheme="minorHAnsi"/>
        </w:rPr>
        <w:t xml:space="preserve"> (</w:t>
      </w:r>
      <w:r w:rsidR="00A74124" w:rsidRPr="00C91CFB">
        <w:rPr>
          <w:rFonts w:cstheme="minorHAnsi"/>
        </w:rPr>
        <w:t>OECD 2012, 2013</w:t>
      </w:r>
      <w:r w:rsidR="00A74124" w:rsidRPr="00E46E36">
        <w:rPr>
          <w:rFonts w:cstheme="minorHAnsi"/>
        </w:rPr>
        <w:t>)</w:t>
      </w:r>
      <w:r w:rsidRPr="00E46E36">
        <w:rPr>
          <w:rFonts w:cstheme="minorHAnsi"/>
        </w:rPr>
        <w:t xml:space="preserve">. </w:t>
      </w:r>
      <w:r w:rsidR="006373E8" w:rsidRPr="00E46E36">
        <w:rPr>
          <w:rFonts w:cstheme="minorHAnsi"/>
        </w:rPr>
        <w:t xml:space="preserve">Outcome measures reflect contributions from provider-related and non-provider related factors. </w:t>
      </w:r>
      <w:r w:rsidR="001F5E77" w:rsidRPr="00E46E36">
        <w:rPr>
          <w:rFonts w:cstheme="minorHAnsi"/>
        </w:rPr>
        <w:t>For example, an employment outcome for a participant reflects not only the effort the provider</w:t>
      </w:r>
      <w:r w:rsidR="00C91CFB">
        <w:rPr>
          <w:rFonts w:cstheme="minorHAnsi"/>
        </w:rPr>
        <w:t>,</w:t>
      </w:r>
      <w:r w:rsidR="001F5E77" w:rsidRPr="00E46E36">
        <w:rPr>
          <w:rFonts w:cstheme="minorHAnsi"/>
        </w:rPr>
        <w:t xml:space="preserve"> but the </w:t>
      </w:r>
      <w:r w:rsidR="00AC1D5D" w:rsidRPr="00E46E36">
        <w:rPr>
          <w:rFonts w:cstheme="minorHAnsi"/>
        </w:rPr>
        <w:t>participants</w:t>
      </w:r>
      <w:r w:rsidR="00613AB8" w:rsidRPr="00E46E36">
        <w:rPr>
          <w:rFonts w:cstheme="minorHAnsi"/>
        </w:rPr>
        <w:t>’</w:t>
      </w:r>
      <w:r w:rsidR="001F5E77" w:rsidRPr="00E46E36">
        <w:rPr>
          <w:rFonts w:cstheme="minorHAnsi"/>
        </w:rPr>
        <w:t xml:space="preserve"> </w:t>
      </w:r>
      <w:r w:rsidR="00613AB8" w:rsidRPr="00E46E36">
        <w:rPr>
          <w:rFonts w:cstheme="minorHAnsi"/>
        </w:rPr>
        <w:t>characteristics</w:t>
      </w:r>
      <w:r w:rsidR="001F5E77" w:rsidRPr="00E46E36">
        <w:rPr>
          <w:rFonts w:cstheme="minorHAnsi"/>
        </w:rPr>
        <w:t xml:space="preserve"> and how buoyant the labour market is. </w:t>
      </w:r>
      <w:r w:rsidR="006373E8" w:rsidRPr="00E46E36">
        <w:rPr>
          <w:rFonts w:cstheme="minorHAnsi"/>
        </w:rPr>
        <w:t xml:space="preserve">The use of regression in the </w:t>
      </w:r>
      <w:r w:rsidR="007957F5" w:rsidRPr="00E46E36">
        <w:rPr>
          <w:rFonts w:cstheme="minorHAnsi"/>
        </w:rPr>
        <w:t>Star Rating</w:t>
      </w:r>
      <w:r w:rsidR="006373E8" w:rsidRPr="00E46E36">
        <w:rPr>
          <w:rFonts w:cstheme="minorHAnsi"/>
        </w:rPr>
        <w:t xml:space="preserve">s model aims to account for non-provider related factors when comparing performance across providers. </w:t>
      </w:r>
    </w:p>
    <w:p w14:paraId="3C64B840" w14:textId="77777777" w:rsidR="00F9170B" w:rsidRPr="00E46E36" w:rsidRDefault="00F9170B" w:rsidP="00FA3128">
      <w:pPr>
        <w:spacing w:after="0" w:line="240" w:lineRule="auto"/>
        <w:rPr>
          <w:rFonts w:cstheme="minorHAnsi"/>
        </w:rPr>
      </w:pPr>
    </w:p>
    <w:p w14:paraId="7EFD48C9" w14:textId="77777777" w:rsidR="00AC1D5D" w:rsidRPr="00E46E36" w:rsidRDefault="00F9170B" w:rsidP="00FA3128">
      <w:pPr>
        <w:spacing w:after="0" w:line="240" w:lineRule="auto"/>
        <w:rPr>
          <w:rFonts w:cstheme="minorHAnsi"/>
        </w:rPr>
      </w:pPr>
      <w:r w:rsidRPr="00E46E36">
        <w:rPr>
          <w:rFonts w:cstheme="minorHAnsi"/>
        </w:rPr>
        <w:t>Conceptually, o</w:t>
      </w:r>
      <w:r w:rsidR="00AC1D5D" w:rsidRPr="00E46E36">
        <w:rPr>
          <w:rFonts w:cstheme="minorHAnsi"/>
        </w:rPr>
        <w:t>utcomes represent a function of multiple interacting factors:</w:t>
      </w:r>
    </w:p>
    <w:p w14:paraId="55DE498B" w14:textId="77777777" w:rsidR="00AC1D5D" w:rsidRPr="00E46E36" w:rsidRDefault="00AC1D5D" w:rsidP="00FA3128">
      <w:pPr>
        <w:spacing w:after="0" w:line="240" w:lineRule="auto"/>
        <w:rPr>
          <w:rFonts w:cstheme="minorHAnsi"/>
        </w:rPr>
      </w:pPr>
    </w:p>
    <w:p w14:paraId="4BB84385" w14:textId="77777777" w:rsidR="00AC1D5D" w:rsidRPr="00E46E36" w:rsidRDefault="00AC1D5D" w:rsidP="00B91DCA">
      <w:pPr>
        <w:spacing w:after="0" w:line="240" w:lineRule="auto"/>
        <w:ind w:left="1985" w:hanging="1265"/>
        <w:rPr>
          <w:rFonts w:cstheme="minorHAnsi"/>
        </w:rPr>
      </w:pPr>
      <w:r w:rsidRPr="00E46E36">
        <w:rPr>
          <w:rFonts w:cstheme="minorHAnsi"/>
        </w:rPr>
        <w:t xml:space="preserve">Outcomes = </w:t>
      </w:r>
      <w:r w:rsidRPr="00E46E36">
        <w:rPr>
          <w:rFonts w:cstheme="minorHAnsi"/>
          <w:i/>
        </w:rPr>
        <w:t>f</w:t>
      </w:r>
      <w:r w:rsidRPr="00E46E36">
        <w:rPr>
          <w:rFonts w:cstheme="minorHAnsi"/>
        </w:rPr>
        <w:t xml:space="preserve"> (effectiveness of provider, participants characteristics, </w:t>
      </w:r>
      <w:r w:rsidR="00FA3128">
        <w:rPr>
          <w:rFonts w:cstheme="minorHAnsi"/>
        </w:rPr>
        <w:br/>
      </w:r>
      <w:r w:rsidRPr="00E46E36">
        <w:rPr>
          <w:rFonts w:cstheme="minorHAnsi"/>
        </w:rPr>
        <w:t>labour market conditions, random chance)</w:t>
      </w:r>
    </w:p>
    <w:p w14:paraId="77031FFA" w14:textId="77777777" w:rsidR="00AC1D5D" w:rsidRPr="00E46E36" w:rsidRDefault="00AC1D5D" w:rsidP="00FA3128">
      <w:pPr>
        <w:spacing w:after="0" w:line="240" w:lineRule="auto"/>
        <w:rPr>
          <w:rFonts w:cstheme="minorHAnsi"/>
        </w:rPr>
      </w:pPr>
    </w:p>
    <w:p w14:paraId="4DEEB1C8" w14:textId="265D0291" w:rsidR="00B84B57" w:rsidRPr="00E46E36" w:rsidRDefault="00AC1D5D" w:rsidP="00E46E36">
      <w:pPr>
        <w:spacing w:after="0" w:line="240" w:lineRule="auto"/>
        <w:rPr>
          <w:rFonts w:cstheme="minorHAnsi"/>
        </w:rPr>
      </w:pPr>
      <w:r w:rsidRPr="00E46E36">
        <w:rPr>
          <w:rFonts w:cstheme="minorHAnsi"/>
        </w:rPr>
        <w:t>The</w:t>
      </w:r>
      <w:r w:rsidR="006373E8" w:rsidRPr="00E46E36">
        <w:rPr>
          <w:rFonts w:cstheme="minorHAnsi"/>
        </w:rPr>
        <w:t xml:space="preserve"> </w:t>
      </w:r>
      <w:r w:rsidRPr="00E46E36">
        <w:rPr>
          <w:rFonts w:cstheme="minorHAnsi"/>
        </w:rPr>
        <w:t xml:space="preserve">regression </w:t>
      </w:r>
      <w:r w:rsidR="006373E8" w:rsidRPr="00E46E36">
        <w:rPr>
          <w:rFonts w:cstheme="minorHAnsi"/>
        </w:rPr>
        <w:t xml:space="preserve">assists in disentangling the variation in outcomes attributable to participant characteristics and labour market conditions (not under the control of providers) from factors under providers’ control, such as </w:t>
      </w:r>
      <w:r w:rsidR="00C91CFB">
        <w:rPr>
          <w:rFonts w:cstheme="minorHAnsi"/>
        </w:rPr>
        <w:t xml:space="preserve">effectiveness </w:t>
      </w:r>
      <w:r w:rsidR="006373E8" w:rsidRPr="00E46E36">
        <w:rPr>
          <w:rFonts w:cstheme="minorHAnsi"/>
        </w:rPr>
        <w:t xml:space="preserve">of servicing. This gives the outcome measures attributional validity, where the observed outcome differences causally relate to differences </w:t>
      </w:r>
      <w:r w:rsidR="00F9170B" w:rsidRPr="00E46E36">
        <w:rPr>
          <w:rFonts w:cstheme="minorHAnsi"/>
        </w:rPr>
        <w:t xml:space="preserve">in </w:t>
      </w:r>
      <w:r w:rsidR="005E5B46" w:rsidRPr="00E46E36">
        <w:rPr>
          <w:rFonts w:cstheme="minorHAnsi"/>
        </w:rPr>
        <w:t>provider performance rather than other contributing factors.</w:t>
      </w:r>
      <w:r w:rsidR="006373E8" w:rsidRPr="00E46E36">
        <w:rPr>
          <w:rFonts w:cstheme="minorHAnsi"/>
        </w:rPr>
        <w:t xml:space="preserve"> </w:t>
      </w:r>
      <w:r w:rsidR="00780F83" w:rsidRPr="00E46E36">
        <w:rPr>
          <w:rFonts w:cstheme="minorHAnsi"/>
        </w:rPr>
        <w:t xml:space="preserve">It is critical to adjust for these factors before using outcomes to draw inferences about the relative </w:t>
      </w:r>
      <w:r w:rsidR="00F9170B" w:rsidRPr="00E46E36">
        <w:rPr>
          <w:rFonts w:cstheme="minorHAnsi"/>
        </w:rPr>
        <w:t>efficiency and effectiveness</w:t>
      </w:r>
      <w:r w:rsidR="00780F83" w:rsidRPr="00E46E36">
        <w:rPr>
          <w:rFonts w:cstheme="minorHAnsi"/>
        </w:rPr>
        <w:t xml:space="preserve"> of providers. </w:t>
      </w:r>
      <w:r w:rsidR="00780F83" w:rsidRPr="00E46E36">
        <w:rPr>
          <w:rFonts w:cstheme="minorHAnsi"/>
        </w:rPr>
        <w:lastRenderedPageBreak/>
        <w:t>When these adjustments are made, t</w:t>
      </w:r>
      <w:r w:rsidR="00937384" w:rsidRPr="00E46E36">
        <w:rPr>
          <w:rFonts w:cstheme="minorHAnsi"/>
        </w:rPr>
        <w:t>he performance of a provider can be assessed relative to that of its peers</w:t>
      </w:r>
      <w:r w:rsidR="00F9170B" w:rsidRPr="00E46E36">
        <w:rPr>
          <w:rFonts w:cstheme="minorHAnsi"/>
        </w:rPr>
        <w:t xml:space="preserve"> </w:t>
      </w:r>
      <w:r w:rsidR="00F9170B" w:rsidRPr="00E46E36">
        <w:rPr>
          <w:rFonts w:eastAsia="Times New Roman" w:cstheme="minorHAnsi"/>
        </w:rPr>
        <w:t>without influence from the provider’s operating environment</w:t>
      </w:r>
      <w:r w:rsidR="00937384" w:rsidRPr="00E46E36">
        <w:rPr>
          <w:rFonts w:cstheme="minorHAnsi"/>
        </w:rPr>
        <w:t xml:space="preserve">. </w:t>
      </w:r>
      <w:r w:rsidR="00B84B57" w:rsidRPr="00E46E36">
        <w:rPr>
          <w:rFonts w:cstheme="minorHAnsi"/>
        </w:rPr>
        <w:t xml:space="preserve">By adjusting for labour market conditions and </w:t>
      </w:r>
      <w:r w:rsidR="00C91CFB">
        <w:rPr>
          <w:rFonts w:cstheme="minorHAnsi"/>
        </w:rPr>
        <w:t>participant</w:t>
      </w:r>
      <w:r w:rsidR="00B84B57" w:rsidRPr="00E46E36">
        <w:rPr>
          <w:rFonts w:cstheme="minorHAnsi"/>
        </w:rPr>
        <w:t xml:space="preserve"> characteristics</w:t>
      </w:r>
      <w:r w:rsidR="00F9170B" w:rsidRPr="00E46E36">
        <w:rPr>
          <w:rFonts w:cstheme="minorHAnsi"/>
        </w:rPr>
        <w:t>,</w:t>
      </w:r>
      <w:r w:rsidR="00B84B57" w:rsidRPr="00E46E36">
        <w:rPr>
          <w:rFonts w:cstheme="minorHAnsi"/>
        </w:rPr>
        <w:t xml:space="preserve"> the ranking provided through </w:t>
      </w:r>
      <w:r w:rsidR="007957F5" w:rsidRPr="00E46E36">
        <w:rPr>
          <w:rFonts w:cstheme="minorHAnsi"/>
        </w:rPr>
        <w:t>Star Rating</w:t>
      </w:r>
      <w:r w:rsidR="00B84B57" w:rsidRPr="00E46E36">
        <w:rPr>
          <w:rFonts w:cstheme="minorHAnsi"/>
        </w:rPr>
        <w:t>s are much more valid than a ranking base</w:t>
      </w:r>
      <w:r w:rsidRPr="00E46E36">
        <w:rPr>
          <w:rFonts w:cstheme="minorHAnsi"/>
        </w:rPr>
        <w:t>d on unadjusted performance</w:t>
      </w:r>
      <w:r w:rsidR="003C775A" w:rsidRPr="00E46E36">
        <w:rPr>
          <w:rFonts w:cstheme="minorHAnsi"/>
        </w:rPr>
        <w:t xml:space="preserve"> figures</w:t>
      </w:r>
      <w:r w:rsidR="006037D2" w:rsidRPr="00E46E36">
        <w:rPr>
          <w:rFonts w:cstheme="minorHAnsi"/>
        </w:rPr>
        <w:t xml:space="preserve"> </w:t>
      </w:r>
      <w:r w:rsidR="006037D2" w:rsidRPr="00C91CFB">
        <w:rPr>
          <w:rFonts w:cstheme="minorHAnsi"/>
        </w:rPr>
        <w:t>(OECD, 2012)</w:t>
      </w:r>
      <w:r w:rsidRPr="00E46E36">
        <w:rPr>
          <w:rFonts w:cstheme="minorHAnsi"/>
        </w:rPr>
        <w:t>.</w:t>
      </w:r>
      <w:r w:rsidR="00B84B57" w:rsidRPr="00E46E36">
        <w:rPr>
          <w:rFonts w:cstheme="minorHAnsi"/>
        </w:rPr>
        <w:t xml:space="preserve"> </w:t>
      </w:r>
    </w:p>
    <w:p w14:paraId="59271827" w14:textId="77777777" w:rsidR="00D1699E" w:rsidRPr="00E4024E" w:rsidRDefault="00D1699E" w:rsidP="00E4024E">
      <w:pPr>
        <w:pStyle w:val="Heading2"/>
        <w:keepNext/>
        <w:numPr>
          <w:ilvl w:val="1"/>
          <w:numId w:val="16"/>
        </w:numPr>
        <w:spacing w:before="240" w:beforeAutospacing="0" w:after="240" w:afterAutospacing="0"/>
        <w:ind w:left="0" w:firstLine="0"/>
        <w:rPr>
          <w:rFonts w:ascii="Calibri" w:hAnsi="Calibri" w:cs="Arial"/>
          <w:i/>
          <w:iCs/>
          <w:sz w:val="28"/>
          <w:szCs w:val="28"/>
        </w:rPr>
      </w:pPr>
      <w:bookmarkStart w:id="6" w:name="_Toc365872626"/>
      <w:r w:rsidRPr="00E4024E">
        <w:rPr>
          <w:rFonts w:ascii="Calibri" w:hAnsi="Calibri" w:cs="Arial"/>
          <w:i/>
          <w:iCs/>
          <w:sz w:val="28"/>
          <w:szCs w:val="28"/>
        </w:rPr>
        <w:t>Ex-post Performance</w:t>
      </w:r>
      <w:r w:rsidR="001C1805" w:rsidRPr="00E4024E">
        <w:rPr>
          <w:rFonts w:ascii="Calibri" w:hAnsi="Calibri" w:cs="Arial"/>
          <w:i/>
          <w:iCs/>
          <w:sz w:val="28"/>
          <w:szCs w:val="28"/>
        </w:rPr>
        <w:t xml:space="preserve"> Data</w:t>
      </w:r>
      <w:bookmarkEnd w:id="6"/>
    </w:p>
    <w:p w14:paraId="4BD6697B" w14:textId="77777777" w:rsidR="00AE3006" w:rsidRPr="0068288B" w:rsidRDefault="00D1699E" w:rsidP="0068288B">
      <w:pPr>
        <w:spacing w:before="240" w:after="240" w:line="240" w:lineRule="auto"/>
        <w:rPr>
          <w:rFonts w:cstheme="minorHAnsi"/>
        </w:rPr>
      </w:pPr>
      <w:r w:rsidRPr="0068288B">
        <w:rPr>
          <w:rFonts w:cstheme="minorHAnsi"/>
        </w:rPr>
        <w:t>A</w:t>
      </w:r>
      <w:r w:rsidR="005B6572" w:rsidRPr="0068288B">
        <w:rPr>
          <w:rFonts w:cstheme="minorHAnsi"/>
        </w:rPr>
        <w:t xml:space="preserve">nother </w:t>
      </w:r>
      <w:r w:rsidRPr="0068288B">
        <w:rPr>
          <w:rFonts w:cstheme="minorHAnsi"/>
        </w:rPr>
        <w:t>benefit of a comparative system is that it determines provide</w:t>
      </w:r>
      <w:r w:rsidR="00B11BC7" w:rsidRPr="0068288B">
        <w:rPr>
          <w:rFonts w:cstheme="minorHAnsi"/>
        </w:rPr>
        <w:t>r performance using ex-</w:t>
      </w:r>
      <w:r w:rsidRPr="0068288B">
        <w:rPr>
          <w:rFonts w:cstheme="minorHAnsi"/>
        </w:rPr>
        <w:t xml:space="preserve">post performance data. This means there is no requirement for the setting of </w:t>
      </w:r>
      <w:r w:rsidR="007526F3" w:rsidRPr="0068288B">
        <w:rPr>
          <w:rFonts w:cstheme="minorHAnsi"/>
        </w:rPr>
        <w:t>a</w:t>
      </w:r>
      <w:r w:rsidRPr="0068288B">
        <w:rPr>
          <w:rFonts w:cstheme="minorHAnsi"/>
        </w:rPr>
        <w:t xml:space="preserve"> benchmark that defines good or adequate performance</w:t>
      </w:r>
      <w:r w:rsidR="00494E72" w:rsidRPr="0068288B">
        <w:rPr>
          <w:rFonts w:cstheme="minorHAnsi"/>
        </w:rPr>
        <w:t xml:space="preserve"> as the </w:t>
      </w:r>
      <w:r w:rsidR="00B11BC7" w:rsidRPr="0068288B">
        <w:rPr>
          <w:rFonts w:cstheme="minorHAnsi"/>
        </w:rPr>
        <w:t>ratings of providers is based on past performance</w:t>
      </w:r>
      <w:r w:rsidRPr="0068288B">
        <w:rPr>
          <w:rFonts w:cstheme="minorHAnsi"/>
        </w:rPr>
        <w:t xml:space="preserve">. This has two benefits. </w:t>
      </w:r>
      <w:r w:rsidR="003C775A" w:rsidRPr="0068288B">
        <w:rPr>
          <w:rFonts w:cstheme="minorHAnsi"/>
        </w:rPr>
        <w:t>First, t</w:t>
      </w:r>
      <w:r w:rsidRPr="0068288B">
        <w:rPr>
          <w:rFonts w:cstheme="minorHAnsi"/>
        </w:rPr>
        <w:t xml:space="preserve">he </w:t>
      </w:r>
      <w:r w:rsidR="007957F5" w:rsidRPr="0068288B">
        <w:rPr>
          <w:rFonts w:cstheme="minorHAnsi"/>
        </w:rPr>
        <w:t>Star Rating</w:t>
      </w:r>
      <w:r w:rsidRPr="0068288B">
        <w:rPr>
          <w:rFonts w:cstheme="minorHAnsi"/>
        </w:rPr>
        <w:t xml:space="preserve">s model compares the performances of each individual provider relative to the average performance of providers at the </w:t>
      </w:r>
      <w:r w:rsidRPr="0068288B">
        <w:rPr>
          <w:rFonts w:cstheme="minorHAnsi"/>
          <w:i/>
        </w:rPr>
        <w:t>end of the performance period</w:t>
      </w:r>
      <w:r w:rsidRPr="0068288B">
        <w:rPr>
          <w:rFonts w:cstheme="minorHAnsi"/>
        </w:rPr>
        <w:t xml:space="preserve">. In contrast, the setting of a benchmark </w:t>
      </w:r>
      <w:r w:rsidR="00E408D8" w:rsidRPr="0068288B">
        <w:rPr>
          <w:rFonts w:cstheme="minorHAnsi"/>
        </w:rPr>
        <w:t xml:space="preserve">occurs at the beginning of the performance period and therefore </w:t>
      </w:r>
      <w:r w:rsidRPr="0068288B">
        <w:rPr>
          <w:rFonts w:cstheme="minorHAnsi"/>
        </w:rPr>
        <w:t>requires determining the type of baseline performance data to be used. For example, a benchmark could be based on the pas</w:t>
      </w:r>
      <w:r w:rsidR="00E82E3D" w:rsidRPr="0068288B">
        <w:rPr>
          <w:rFonts w:cstheme="minorHAnsi"/>
        </w:rPr>
        <w:t>t performance of the provider or</w:t>
      </w:r>
      <w:r w:rsidRPr="0068288B">
        <w:rPr>
          <w:rFonts w:cstheme="minorHAnsi"/>
        </w:rPr>
        <w:t xml:space="preserve"> the average performance of all providers. This determination is arbitrary</w:t>
      </w:r>
      <w:r w:rsidR="007526F3" w:rsidRPr="0068288B">
        <w:rPr>
          <w:rFonts w:cstheme="minorHAnsi"/>
        </w:rPr>
        <w:t xml:space="preserve"> yet has a significant impact on</w:t>
      </w:r>
      <w:r w:rsidRPr="0068288B">
        <w:rPr>
          <w:rFonts w:cstheme="minorHAnsi"/>
        </w:rPr>
        <w:t xml:space="preserve"> the performance standard the provider is subject to. The rating of providers is as a result less robust under benchmarking relative to </w:t>
      </w:r>
      <w:r w:rsidR="007957F5" w:rsidRPr="0068288B">
        <w:rPr>
          <w:rFonts w:cstheme="minorHAnsi"/>
        </w:rPr>
        <w:t>Star Rating</w:t>
      </w:r>
      <w:r w:rsidRPr="0068288B">
        <w:rPr>
          <w:rFonts w:cstheme="minorHAnsi"/>
        </w:rPr>
        <w:t xml:space="preserve">s as it is highly dependent on the choice of data used. </w:t>
      </w:r>
    </w:p>
    <w:p w14:paraId="7B99814D" w14:textId="7CC4D9DA" w:rsidR="00D1699E" w:rsidRPr="0068288B" w:rsidRDefault="00D1699E" w:rsidP="0068288B">
      <w:pPr>
        <w:spacing w:before="240" w:after="240" w:line="240" w:lineRule="auto"/>
        <w:rPr>
          <w:rFonts w:cstheme="minorHAnsi"/>
        </w:rPr>
      </w:pPr>
      <w:r w:rsidRPr="0068288B">
        <w:rPr>
          <w:rFonts w:cstheme="minorHAnsi"/>
        </w:rPr>
        <w:t>The second benefit is that rating providers does not require forecasting changes to the operating environment which impact on provider performance. Sett</w:t>
      </w:r>
      <w:r w:rsidR="001C1805" w:rsidRPr="0068288B">
        <w:rPr>
          <w:rFonts w:cstheme="minorHAnsi"/>
        </w:rPr>
        <w:t>ing performance standards</w:t>
      </w:r>
      <w:r w:rsidRPr="0068288B">
        <w:rPr>
          <w:rFonts w:cstheme="minorHAnsi"/>
        </w:rPr>
        <w:t xml:space="preserve"> at the start of the contract (or performance) period means they cannot take into account subsequent changes to the operating environment, except to the extent they are linked to specified independent economic indicators. </w:t>
      </w:r>
      <w:r w:rsidR="002138AA" w:rsidRPr="0068288B">
        <w:rPr>
          <w:rFonts w:cstheme="minorHAnsi"/>
        </w:rPr>
        <w:t xml:space="preserve">Forecasting the level of performance required to achieve a certain </w:t>
      </w:r>
      <w:r w:rsidR="007957F5" w:rsidRPr="0068288B">
        <w:rPr>
          <w:rFonts w:cstheme="minorHAnsi"/>
        </w:rPr>
        <w:t>Star Rating</w:t>
      </w:r>
      <w:r w:rsidR="002138AA" w:rsidRPr="0068288B">
        <w:rPr>
          <w:rFonts w:cstheme="minorHAnsi"/>
        </w:rPr>
        <w:t xml:space="preserve"> at a site level would require forecasting many variables including the nature of the </w:t>
      </w:r>
      <w:r w:rsidR="00B44019">
        <w:rPr>
          <w:rFonts w:cstheme="minorHAnsi"/>
        </w:rPr>
        <w:t xml:space="preserve">participants </w:t>
      </w:r>
      <w:r w:rsidR="002138AA" w:rsidRPr="0068288B">
        <w:rPr>
          <w:rFonts w:cstheme="minorHAnsi"/>
        </w:rPr>
        <w:t xml:space="preserve">who will inflow and changes in labour market conditions. </w:t>
      </w:r>
      <w:r w:rsidRPr="0068288B">
        <w:rPr>
          <w:rFonts w:cstheme="minorHAnsi"/>
        </w:rPr>
        <w:t>Further, forecasts of economic indicators may differ significantly to actual future economic conditions</w:t>
      </w:r>
      <w:r w:rsidR="002138AA" w:rsidRPr="0068288B">
        <w:rPr>
          <w:rFonts w:cstheme="minorHAnsi"/>
        </w:rPr>
        <w:t>.</w:t>
      </w:r>
      <w:r w:rsidRPr="0068288B">
        <w:rPr>
          <w:rFonts w:cstheme="minorHAnsi"/>
        </w:rPr>
        <w:t xml:space="preserve"> </w:t>
      </w:r>
      <w:r w:rsidR="00AE3006" w:rsidRPr="0068288B">
        <w:rPr>
          <w:rFonts w:cstheme="minorHAnsi"/>
        </w:rPr>
        <w:t>For instance, if the department set the outcome rates based on their expectations of the labour market, and the labour market was worse than expected, then many providers would not meet the performance standard through no fault of their own.</w:t>
      </w:r>
      <w:r w:rsidR="00975C0B" w:rsidRPr="0068288B">
        <w:rPr>
          <w:rStyle w:val="FootnoteReference"/>
          <w:rFonts w:cstheme="minorHAnsi"/>
          <w:vertAlign w:val="superscript"/>
        </w:rPr>
        <w:footnoteReference w:id="2"/>
      </w:r>
      <w:r w:rsidR="00AE3006" w:rsidRPr="0068288B">
        <w:rPr>
          <w:rFonts w:cstheme="minorHAnsi"/>
        </w:rPr>
        <w:t xml:space="preserve"> </w:t>
      </w:r>
      <w:r w:rsidR="002138AA" w:rsidRPr="0068288B">
        <w:rPr>
          <w:rFonts w:cstheme="minorHAnsi"/>
        </w:rPr>
        <w:t xml:space="preserve">These forecasts would introduce errors in measuring performance that are not present in the current system. This would lead to performance standards set at the beginning of the performance period becoming an unsuitable measure of performance. </w:t>
      </w:r>
      <w:r w:rsidRPr="0068288B">
        <w:rPr>
          <w:rFonts w:cstheme="minorHAnsi"/>
        </w:rPr>
        <w:t xml:space="preserve">Conversely, </w:t>
      </w:r>
      <w:r w:rsidR="00494E72" w:rsidRPr="0068288B">
        <w:rPr>
          <w:rFonts w:cstheme="minorHAnsi"/>
        </w:rPr>
        <w:t xml:space="preserve">the use of </w:t>
      </w:r>
      <w:r w:rsidR="00B11BC7" w:rsidRPr="0068288B">
        <w:rPr>
          <w:rFonts w:cstheme="minorHAnsi"/>
        </w:rPr>
        <w:t xml:space="preserve">ex-post data allows provider performance to be adjusted based upon economic conditions that have already occurred. This improves the accuracy of the </w:t>
      </w:r>
      <w:r w:rsidR="007957F5" w:rsidRPr="0068288B">
        <w:rPr>
          <w:rFonts w:cstheme="minorHAnsi"/>
        </w:rPr>
        <w:t>Star Rating</w:t>
      </w:r>
      <w:r w:rsidR="00B11BC7" w:rsidRPr="0068288B">
        <w:rPr>
          <w:rFonts w:cstheme="minorHAnsi"/>
        </w:rPr>
        <w:t xml:space="preserve">s assigned to each provider. </w:t>
      </w:r>
      <w:r w:rsidR="00494E72" w:rsidRPr="0068288B">
        <w:rPr>
          <w:rFonts w:cstheme="minorHAnsi"/>
        </w:rPr>
        <w:t xml:space="preserve"> </w:t>
      </w:r>
    </w:p>
    <w:p w14:paraId="4B025D36" w14:textId="77777777" w:rsidR="00546F40" w:rsidRPr="00E4024E" w:rsidRDefault="00ED142F" w:rsidP="00E4024E">
      <w:pPr>
        <w:pStyle w:val="Heading2"/>
        <w:keepNext/>
        <w:numPr>
          <w:ilvl w:val="1"/>
          <w:numId w:val="16"/>
        </w:numPr>
        <w:spacing w:before="240" w:beforeAutospacing="0" w:after="240" w:afterAutospacing="0"/>
        <w:ind w:left="0" w:firstLine="0"/>
        <w:rPr>
          <w:rFonts w:ascii="Calibri" w:hAnsi="Calibri" w:cs="Arial"/>
          <w:i/>
          <w:iCs/>
          <w:sz w:val="28"/>
          <w:szCs w:val="28"/>
        </w:rPr>
      </w:pPr>
      <w:bookmarkStart w:id="7" w:name="_Toc365872627"/>
      <w:r w:rsidRPr="00E4024E">
        <w:rPr>
          <w:rFonts w:ascii="Calibri" w:hAnsi="Calibri" w:cs="Arial"/>
          <w:i/>
          <w:iCs/>
          <w:sz w:val="28"/>
          <w:szCs w:val="28"/>
        </w:rPr>
        <w:t>Creaming and Parking</w:t>
      </w:r>
      <w:bookmarkEnd w:id="7"/>
    </w:p>
    <w:p w14:paraId="34BEAC5F" w14:textId="59216054" w:rsidR="00ED142F" w:rsidRDefault="000A2152" w:rsidP="00B91DCA">
      <w:pPr>
        <w:pStyle w:val="Default"/>
        <w:rPr>
          <w:rFonts w:asciiTheme="minorHAnsi" w:hAnsiTheme="minorHAnsi" w:cstheme="minorHAnsi"/>
          <w:sz w:val="22"/>
          <w:szCs w:val="22"/>
        </w:rPr>
      </w:pPr>
      <w:r w:rsidRPr="000A2152">
        <w:rPr>
          <w:rFonts w:asciiTheme="minorHAnsi" w:hAnsiTheme="minorHAnsi" w:cstheme="minorHAnsi"/>
          <w:color w:val="auto"/>
          <w:sz w:val="22"/>
          <w:szCs w:val="22"/>
        </w:rPr>
        <w:t>Parking refers to focusing on particular clients on the basis of performance on measured outcomes instead of value added according to the program’s stated objectives, resulting in the most disadvantaged job seekers not getting serviced (Anderson, Burkhauser, and Raymond, 1993; Cragg, 1997; Heckman, Heinrich, and Smith, 2002).</w:t>
      </w:r>
      <w:r w:rsidR="00ED142F" w:rsidRPr="000A2152">
        <w:rPr>
          <w:rFonts w:asciiTheme="minorHAnsi" w:hAnsiTheme="minorHAnsi" w:cstheme="minorHAnsi"/>
          <w:color w:val="auto"/>
          <w:sz w:val="22"/>
          <w:szCs w:val="22"/>
        </w:rPr>
        <w:t>In a</w:t>
      </w:r>
      <w:r w:rsidR="00ED142F" w:rsidRPr="0068288B">
        <w:rPr>
          <w:rFonts w:asciiTheme="minorHAnsi" w:hAnsiTheme="minorHAnsi" w:cstheme="minorHAnsi"/>
          <w:sz w:val="22"/>
          <w:szCs w:val="22"/>
        </w:rPr>
        <w:t xml:space="preserve"> performance based contract, providers are paid by results, based upon a range of measures. Performance indicators can include outcome, process or cost indicators. Outcome measures are used in Australia’s employment services system for examining provider performance, which have implications with regards to creaming and parking. Outcome based indicators encourage providers to maximise profits by getting the best outcomes as measured by the contract indicators. These incentive payments can encourage providers to focus on </w:t>
      </w:r>
      <w:r w:rsidR="00B44019">
        <w:rPr>
          <w:rFonts w:asciiTheme="minorHAnsi" w:hAnsiTheme="minorHAnsi" w:cstheme="minorHAnsi"/>
          <w:sz w:val="22"/>
          <w:szCs w:val="22"/>
        </w:rPr>
        <w:t>participant</w:t>
      </w:r>
      <w:r w:rsidR="00ED142F" w:rsidRPr="0068288B">
        <w:rPr>
          <w:rFonts w:asciiTheme="minorHAnsi" w:hAnsiTheme="minorHAnsi" w:cstheme="minorHAnsi"/>
          <w:sz w:val="22"/>
          <w:szCs w:val="22"/>
        </w:rPr>
        <w:t xml:space="preserve">s most likely to generate an outcome (creaming) and alternatively to provide little assistance to clients with low employment probabilities (parking). In this context, creaming refers to </w:t>
      </w:r>
      <w:r w:rsidR="00ED142F" w:rsidRPr="0068288B">
        <w:rPr>
          <w:rFonts w:asciiTheme="minorHAnsi" w:hAnsiTheme="minorHAnsi" w:cstheme="minorHAnsi"/>
          <w:sz w:val="22"/>
          <w:szCs w:val="22"/>
        </w:rPr>
        <w:lastRenderedPageBreak/>
        <w:t xml:space="preserve">picking </w:t>
      </w:r>
      <w:r w:rsidR="00B44019">
        <w:rPr>
          <w:rFonts w:asciiTheme="minorHAnsi" w:hAnsiTheme="minorHAnsi" w:cstheme="minorHAnsi"/>
          <w:sz w:val="22"/>
          <w:szCs w:val="22"/>
        </w:rPr>
        <w:t>participants</w:t>
      </w:r>
      <w:r w:rsidR="00ED142F" w:rsidRPr="0068288B">
        <w:rPr>
          <w:rFonts w:asciiTheme="minorHAnsi" w:hAnsiTheme="minorHAnsi" w:cstheme="minorHAnsi"/>
          <w:sz w:val="22"/>
          <w:szCs w:val="22"/>
        </w:rPr>
        <w:t xml:space="preserve"> most likely to generate an outcome after being placed with a provider, as a provider does not have the option of selecting </w:t>
      </w:r>
      <w:r w:rsidR="00B44019">
        <w:rPr>
          <w:rFonts w:asciiTheme="minorHAnsi" w:hAnsiTheme="minorHAnsi" w:cstheme="minorHAnsi"/>
          <w:sz w:val="22"/>
          <w:szCs w:val="22"/>
        </w:rPr>
        <w:t>participants</w:t>
      </w:r>
      <w:r w:rsidR="00ED142F" w:rsidRPr="0068288B">
        <w:rPr>
          <w:rFonts w:asciiTheme="minorHAnsi" w:hAnsiTheme="minorHAnsi" w:cstheme="minorHAnsi"/>
          <w:sz w:val="22"/>
          <w:szCs w:val="22"/>
        </w:rPr>
        <w:t xml:space="preserve">. </w:t>
      </w:r>
    </w:p>
    <w:p w14:paraId="11E7847E" w14:textId="77777777" w:rsidR="00B91DCA" w:rsidRPr="0068288B" w:rsidRDefault="00B91DCA" w:rsidP="00B91DCA">
      <w:pPr>
        <w:pStyle w:val="Default"/>
        <w:rPr>
          <w:rFonts w:asciiTheme="minorHAnsi" w:hAnsiTheme="minorHAnsi" w:cstheme="minorHAnsi"/>
          <w:sz w:val="22"/>
          <w:szCs w:val="22"/>
        </w:rPr>
      </w:pPr>
    </w:p>
    <w:p w14:paraId="79D2904A" w14:textId="134D61D5" w:rsidR="00155123" w:rsidRPr="0068288B" w:rsidRDefault="00155123" w:rsidP="0068288B">
      <w:pPr>
        <w:spacing w:line="240" w:lineRule="auto"/>
        <w:rPr>
          <w:rFonts w:cstheme="minorHAnsi"/>
          <w:color w:val="000000"/>
        </w:rPr>
      </w:pPr>
      <w:r w:rsidRPr="0068288B">
        <w:rPr>
          <w:rFonts w:cstheme="minorHAnsi"/>
          <w:color w:val="000000"/>
        </w:rPr>
        <w:t xml:space="preserve">The </w:t>
      </w:r>
      <w:r w:rsidR="007957F5" w:rsidRPr="0068288B">
        <w:rPr>
          <w:rFonts w:cstheme="minorHAnsi"/>
          <w:color w:val="000000"/>
        </w:rPr>
        <w:t>Star Rating</w:t>
      </w:r>
      <w:r w:rsidRPr="0068288B">
        <w:rPr>
          <w:rFonts w:cstheme="minorHAnsi"/>
          <w:color w:val="000000"/>
        </w:rPr>
        <w:t xml:space="preserve">s model encourages providers to focus on disadvantaged </w:t>
      </w:r>
      <w:r w:rsidR="00877FCC">
        <w:rPr>
          <w:rFonts w:cstheme="minorHAnsi"/>
          <w:color w:val="000000"/>
        </w:rPr>
        <w:t>participants</w:t>
      </w:r>
      <w:r w:rsidRPr="0068288B">
        <w:rPr>
          <w:rFonts w:cstheme="minorHAnsi"/>
          <w:color w:val="000000"/>
        </w:rPr>
        <w:t xml:space="preserve">. </w:t>
      </w:r>
      <w:r w:rsidR="00456870" w:rsidRPr="0068288B">
        <w:rPr>
          <w:rFonts w:cstheme="minorHAnsi"/>
          <w:color w:val="000000"/>
        </w:rPr>
        <w:t xml:space="preserve">A provider has an incentive to park </w:t>
      </w:r>
      <w:r w:rsidR="00877FCC">
        <w:rPr>
          <w:rFonts w:cstheme="minorHAnsi"/>
          <w:color w:val="000000"/>
        </w:rPr>
        <w:t>hard to place participants, in a benchmark model, if that portion of their</w:t>
      </w:r>
      <w:r w:rsidR="00456870" w:rsidRPr="0068288B">
        <w:rPr>
          <w:rFonts w:cstheme="minorHAnsi"/>
          <w:color w:val="000000"/>
        </w:rPr>
        <w:t xml:space="preserve"> </w:t>
      </w:r>
      <w:r w:rsidR="007957F5" w:rsidRPr="0068288B">
        <w:rPr>
          <w:rFonts w:cstheme="minorHAnsi"/>
          <w:color w:val="000000"/>
        </w:rPr>
        <w:t>caseload</w:t>
      </w:r>
      <w:r w:rsidR="00456870" w:rsidRPr="0068288B">
        <w:rPr>
          <w:rFonts w:cstheme="minorHAnsi"/>
          <w:color w:val="000000"/>
        </w:rPr>
        <w:t xml:space="preserve"> handicaps their performance relative to </w:t>
      </w:r>
      <w:r w:rsidR="000A2152">
        <w:rPr>
          <w:rFonts w:cstheme="minorHAnsi"/>
          <w:color w:val="000000"/>
        </w:rPr>
        <w:t>other</w:t>
      </w:r>
      <w:r w:rsidR="00456870" w:rsidRPr="0068288B">
        <w:rPr>
          <w:rFonts w:cstheme="minorHAnsi"/>
          <w:color w:val="000000"/>
        </w:rPr>
        <w:t xml:space="preserve"> providers. </w:t>
      </w:r>
      <w:r w:rsidR="006A1281">
        <w:rPr>
          <w:rFonts w:cstheme="minorHAnsi"/>
          <w:color w:val="000000"/>
        </w:rPr>
        <w:t>In the calculation of Star Ratings h</w:t>
      </w:r>
      <w:r w:rsidR="00456870" w:rsidRPr="0068288B">
        <w:rPr>
          <w:rFonts w:cstheme="minorHAnsi"/>
          <w:color w:val="000000"/>
        </w:rPr>
        <w:t xml:space="preserve">owever, </w:t>
      </w:r>
      <w:r w:rsidRPr="0068288B">
        <w:rPr>
          <w:rFonts w:cstheme="minorHAnsi"/>
          <w:color w:val="000000"/>
        </w:rPr>
        <w:t xml:space="preserve">the actual outcome of each participant is compared to their expected performance based upon participant characteristics and labour market factors. This means that a participant in an area with poor labour market conditions has a lower expected probability of achieving an employment outcome. </w:t>
      </w:r>
      <w:r w:rsidR="001C1805" w:rsidRPr="0068288B">
        <w:rPr>
          <w:rFonts w:cstheme="minorHAnsi"/>
          <w:color w:val="000000"/>
        </w:rPr>
        <w:t xml:space="preserve">As a result, </w:t>
      </w:r>
      <w:r w:rsidR="005761A3" w:rsidRPr="0068288B">
        <w:rPr>
          <w:rFonts w:cstheme="minorHAnsi"/>
          <w:color w:val="000000"/>
        </w:rPr>
        <w:t>a provider</w:t>
      </w:r>
      <w:r w:rsidR="001C1805" w:rsidRPr="0068288B">
        <w:rPr>
          <w:rFonts w:cstheme="minorHAnsi"/>
          <w:color w:val="000000"/>
        </w:rPr>
        <w:t xml:space="preserve"> with a caseload of </w:t>
      </w:r>
      <w:r w:rsidR="005761A3" w:rsidRPr="0068288B">
        <w:rPr>
          <w:rFonts w:cstheme="minorHAnsi"/>
          <w:color w:val="000000"/>
        </w:rPr>
        <w:t>hard to place</w:t>
      </w:r>
      <w:r w:rsidR="001C1805" w:rsidRPr="0068288B">
        <w:rPr>
          <w:rFonts w:cstheme="minorHAnsi"/>
          <w:color w:val="000000"/>
        </w:rPr>
        <w:t xml:space="preserve"> </w:t>
      </w:r>
      <w:r w:rsidR="00877FCC">
        <w:rPr>
          <w:rFonts w:cstheme="minorHAnsi"/>
          <w:color w:val="000000"/>
        </w:rPr>
        <w:t>participants</w:t>
      </w:r>
      <w:r w:rsidR="001C1805" w:rsidRPr="0068288B">
        <w:rPr>
          <w:rFonts w:cstheme="minorHAnsi"/>
          <w:color w:val="000000"/>
        </w:rPr>
        <w:t xml:space="preserve"> will have a low</w:t>
      </w:r>
      <w:r w:rsidR="005761A3" w:rsidRPr="0068288B">
        <w:rPr>
          <w:rFonts w:cstheme="minorHAnsi"/>
          <w:color w:val="000000"/>
        </w:rPr>
        <w:t xml:space="preserve">er expected outcome rate relative to a provider with a caseload of easy to place </w:t>
      </w:r>
      <w:r w:rsidR="00877FCC">
        <w:rPr>
          <w:rFonts w:cstheme="minorHAnsi"/>
          <w:color w:val="000000"/>
        </w:rPr>
        <w:t>participants</w:t>
      </w:r>
      <w:r w:rsidR="005761A3" w:rsidRPr="0068288B">
        <w:rPr>
          <w:rFonts w:cstheme="minorHAnsi"/>
          <w:color w:val="000000"/>
        </w:rPr>
        <w:t xml:space="preserve">. The former provider can therefore have a lower actual outcome rate and still achieve </w:t>
      </w:r>
      <w:r w:rsidR="00265E83" w:rsidRPr="0068288B">
        <w:rPr>
          <w:rFonts w:cstheme="minorHAnsi"/>
          <w:color w:val="000000"/>
        </w:rPr>
        <w:t>5</w:t>
      </w:r>
      <w:r w:rsidR="00795EF0" w:rsidRPr="0068288B">
        <w:rPr>
          <w:rFonts w:cstheme="minorHAnsi"/>
          <w:color w:val="000000"/>
        </w:rPr>
        <w:t>-</w:t>
      </w:r>
      <w:r w:rsidR="00265E83" w:rsidRPr="0068288B">
        <w:rPr>
          <w:rFonts w:cstheme="minorHAnsi"/>
          <w:color w:val="000000"/>
        </w:rPr>
        <w:t>Stars</w:t>
      </w:r>
      <w:r w:rsidR="005761A3" w:rsidRPr="0068288B">
        <w:rPr>
          <w:rFonts w:cstheme="minorHAnsi"/>
          <w:color w:val="000000"/>
        </w:rPr>
        <w:t xml:space="preserve"> despite its case-mix of participants. Because the provider is not disadvantaged in the model, </w:t>
      </w:r>
      <w:r w:rsidR="00265E83" w:rsidRPr="0068288B">
        <w:rPr>
          <w:rFonts w:cstheme="minorHAnsi"/>
          <w:color w:val="000000"/>
        </w:rPr>
        <w:t>it acts as a disincentive</w:t>
      </w:r>
      <w:r w:rsidR="005761A3" w:rsidRPr="0068288B">
        <w:rPr>
          <w:rFonts w:cstheme="minorHAnsi"/>
          <w:color w:val="000000"/>
        </w:rPr>
        <w:t xml:space="preserve"> </w:t>
      </w:r>
      <w:r w:rsidR="00456870" w:rsidRPr="0068288B">
        <w:rPr>
          <w:rFonts w:cstheme="minorHAnsi"/>
          <w:color w:val="000000"/>
        </w:rPr>
        <w:t xml:space="preserve">for the provider </w:t>
      </w:r>
      <w:r w:rsidR="005761A3" w:rsidRPr="0068288B">
        <w:rPr>
          <w:rFonts w:cstheme="minorHAnsi"/>
          <w:color w:val="000000"/>
        </w:rPr>
        <w:t>t</w:t>
      </w:r>
      <w:r w:rsidR="00456870" w:rsidRPr="0068288B">
        <w:rPr>
          <w:rFonts w:cstheme="minorHAnsi"/>
          <w:color w:val="000000"/>
        </w:rPr>
        <w:t>o cherry pick job ready clients.</w:t>
      </w:r>
    </w:p>
    <w:p w14:paraId="1DF661C5" w14:textId="77777777" w:rsidR="00155123" w:rsidRPr="00E4024E" w:rsidRDefault="00B85B88" w:rsidP="00E4024E">
      <w:pPr>
        <w:pStyle w:val="Heading2"/>
        <w:keepNext/>
        <w:numPr>
          <w:ilvl w:val="1"/>
          <w:numId w:val="16"/>
        </w:numPr>
        <w:spacing w:before="240" w:beforeAutospacing="0" w:after="240" w:afterAutospacing="0"/>
        <w:ind w:left="0" w:firstLine="0"/>
        <w:rPr>
          <w:rFonts w:ascii="Calibri" w:hAnsi="Calibri" w:cs="Arial"/>
          <w:i/>
          <w:iCs/>
          <w:sz w:val="28"/>
          <w:szCs w:val="28"/>
        </w:rPr>
      </w:pPr>
      <w:bookmarkStart w:id="8" w:name="_Toc365872628"/>
      <w:r w:rsidRPr="00E4024E">
        <w:rPr>
          <w:rFonts w:ascii="Calibri" w:hAnsi="Calibri" w:cs="Arial"/>
          <w:i/>
          <w:iCs/>
          <w:sz w:val="28"/>
          <w:szCs w:val="28"/>
        </w:rPr>
        <w:t>Business Reallocation</w:t>
      </w:r>
      <w:bookmarkEnd w:id="8"/>
    </w:p>
    <w:p w14:paraId="101171D9" w14:textId="5AF733CA" w:rsidR="00F63696" w:rsidRDefault="00A77EA7" w:rsidP="0068288B">
      <w:pPr>
        <w:spacing w:after="0" w:line="240" w:lineRule="auto"/>
        <w:rPr>
          <w:rFonts w:cstheme="minorHAnsi"/>
        </w:rPr>
      </w:pPr>
      <w:r w:rsidRPr="0068288B">
        <w:rPr>
          <w:rFonts w:cstheme="minorHAnsi"/>
        </w:rPr>
        <w:t xml:space="preserve">A key use of the </w:t>
      </w:r>
      <w:r w:rsidR="007957F5" w:rsidRPr="0068288B">
        <w:rPr>
          <w:rFonts w:cstheme="minorHAnsi"/>
        </w:rPr>
        <w:t>Star Rating</w:t>
      </w:r>
      <w:r w:rsidRPr="0068288B">
        <w:rPr>
          <w:rFonts w:cstheme="minorHAnsi"/>
        </w:rPr>
        <w:t xml:space="preserve">s is to act as a performance measurement tool for the purpose of </w:t>
      </w:r>
      <w:r w:rsidR="00256A80" w:rsidRPr="0068288B">
        <w:rPr>
          <w:rFonts w:cstheme="minorHAnsi"/>
        </w:rPr>
        <w:t xml:space="preserve">assisting </w:t>
      </w:r>
      <w:r w:rsidRPr="0068288B">
        <w:rPr>
          <w:rFonts w:cstheme="minorHAnsi"/>
        </w:rPr>
        <w:t>business reallocation</w:t>
      </w:r>
      <w:r w:rsidR="00256A80" w:rsidRPr="0068288B">
        <w:rPr>
          <w:rFonts w:cstheme="minorHAnsi"/>
        </w:rPr>
        <w:t>s</w:t>
      </w:r>
      <w:r w:rsidRPr="0068288B">
        <w:rPr>
          <w:rFonts w:cstheme="minorHAnsi"/>
        </w:rPr>
        <w:t>.</w:t>
      </w:r>
      <w:r w:rsidR="001C1805" w:rsidRPr="0068288B">
        <w:rPr>
          <w:rFonts w:cstheme="minorHAnsi"/>
        </w:rPr>
        <w:t xml:space="preserve"> The purpose of business reallocation is to</w:t>
      </w:r>
      <w:r w:rsidR="00795EF0" w:rsidRPr="0068288B">
        <w:rPr>
          <w:rFonts w:cstheme="minorHAnsi"/>
        </w:rPr>
        <w:t xml:space="preserve"> focus the market on continuous improvement and assist </w:t>
      </w:r>
      <w:r w:rsidR="00877FCC">
        <w:rPr>
          <w:rFonts w:cstheme="minorHAnsi"/>
        </w:rPr>
        <w:t>participants</w:t>
      </w:r>
      <w:r w:rsidR="00322B4A">
        <w:rPr>
          <w:rFonts w:cstheme="minorHAnsi"/>
        </w:rPr>
        <w:t xml:space="preserve"> by moving them from</w:t>
      </w:r>
      <w:r w:rsidR="001C1805" w:rsidRPr="0068288B">
        <w:rPr>
          <w:rFonts w:cstheme="minorHAnsi"/>
        </w:rPr>
        <w:t xml:space="preserve"> </w:t>
      </w:r>
      <w:r w:rsidR="00315A3B" w:rsidRPr="0068288B">
        <w:rPr>
          <w:rFonts w:cstheme="minorHAnsi"/>
        </w:rPr>
        <w:t>low performing providers to high performing providers.</w:t>
      </w:r>
      <w:r w:rsidR="00F27EA0" w:rsidRPr="0068288B">
        <w:rPr>
          <w:rFonts w:cstheme="minorHAnsi"/>
        </w:rPr>
        <w:t xml:space="preserve"> In</w:t>
      </w:r>
      <w:r w:rsidR="000F0839" w:rsidRPr="0068288B">
        <w:rPr>
          <w:rFonts w:cstheme="minorHAnsi"/>
        </w:rPr>
        <w:t xml:space="preserve"> </w:t>
      </w:r>
      <w:r w:rsidR="00F27EA0" w:rsidRPr="0068288B">
        <w:rPr>
          <w:rFonts w:cstheme="minorHAnsi"/>
        </w:rPr>
        <w:t xml:space="preserve">determining who the high performing providers are, it </w:t>
      </w:r>
      <w:r w:rsidR="000F0839" w:rsidRPr="0068288B">
        <w:rPr>
          <w:rFonts w:cstheme="minorHAnsi"/>
        </w:rPr>
        <w:t>is imperative that provider performance is accurately assessed.</w:t>
      </w:r>
      <w:r w:rsidRPr="0068288B">
        <w:rPr>
          <w:rFonts w:cstheme="minorHAnsi"/>
        </w:rPr>
        <w:t xml:space="preserve"> </w:t>
      </w:r>
      <w:r w:rsidR="00F27EA0" w:rsidRPr="0068288B">
        <w:rPr>
          <w:rFonts w:cstheme="minorHAnsi"/>
        </w:rPr>
        <w:t xml:space="preserve">Because the </w:t>
      </w:r>
      <w:r w:rsidR="007957F5" w:rsidRPr="0068288B">
        <w:rPr>
          <w:rFonts w:cstheme="minorHAnsi"/>
        </w:rPr>
        <w:t>Star Rating</w:t>
      </w:r>
      <w:r w:rsidR="00F27EA0" w:rsidRPr="0068288B">
        <w:rPr>
          <w:rFonts w:cstheme="minorHAnsi"/>
        </w:rPr>
        <w:t>s properly reflect the different circumstances that providers operate in</w:t>
      </w:r>
      <w:r w:rsidR="00FB0670" w:rsidRPr="0068288B">
        <w:rPr>
          <w:rFonts w:cstheme="minorHAnsi"/>
        </w:rPr>
        <w:t>,</w:t>
      </w:r>
      <w:r w:rsidR="00F27EA0" w:rsidRPr="0068288B">
        <w:rPr>
          <w:rFonts w:cstheme="minorHAnsi"/>
        </w:rPr>
        <w:t xml:space="preserve"> it more accurately estimates provider performance</w:t>
      </w:r>
      <w:r w:rsidR="00FB0670" w:rsidRPr="0068288B">
        <w:rPr>
          <w:rFonts w:cstheme="minorHAnsi"/>
        </w:rPr>
        <w:t xml:space="preserve"> relative to raw measures</w:t>
      </w:r>
      <w:r w:rsidR="00F27EA0" w:rsidRPr="0068288B">
        <w:rPr>
          <w:rFonts w:cstheme="minorHAnsi"/>
        </w:rPr>
        <w:t xml:space="preserve">. </w:t>
      </w:r>
      <w:r w:rsidR="001C1805" w:rsidRPr="0068288B">
        <w:rPr>
          <w:rFonts w:cstheme="minorHAnsi"/>
        </w:rPr>
        <w:t>The</w:t>
      </w:r>
      <w:r w:rsidR="00B85B88" w:rsidRPr="0068288B">
        <w:rPr>
          <w:rFonts w:cstheme="minorHAnsi"/>
        </w:rPr>
        <w:t xml:space="preserve"> advantage</w:t>
      </w:r>
      <w:r w:rsidR="001C1805" w:rsidRPr="0068288B">
        <w:rPr>
          <w:rFonts w:cstheme="minorHAnsi"/>
        </w:rPr>
        <w:t xml:space="preserve"> of business reallocation</w:t>
      </w:r>
      <w:r w:rsidR="00B85B88" w:rsidRPr="0068288B">
        <w:rPr>
          <w:rFonts w:cstheme="minorHAnsi"/>
        </w:rPr>
        <w:t xml:space="preserve"> from a service delivery perspective is that, under the current </w:t>
      </w:r>
      <w:r w:rsidR="007957F5" w:rsidRPr="0068288B">
        <w:rPr>
          <w:rFonts w:cstheme="minorHAnsi"/>
        </w:rPr>
        <w:t>Star Rating</w:t>
      </w:r>
      <w:r w:rsidR="00B85B88" w:rsidRPr="0068288B">
        <w:rPr>
          <w:rFonts w:cstheme="minorHAnsi"/>
        </w:rPr>
        <w:t xml:space="preserve">s system, providers are given sufficient incentive to continually improve performance in line with the policy priorities set out by the Government. </w:t>
      </w:r>
      <w:r w:rsidR="00D46EC2" w:rsidRPr="0068288B">
        <w:rPr>
          <w:rFonts w:cstheme="minorHAnsi"/>
        </w:rPr>
        <w:t>A good rating is crucial for a provider to be included in the next round of tenders</w:t>
      </w:r>
      <w:r w:rsidR="00877FCC">
        <w:rPr>
          <w:rFonts w:cstheme="minorHAnsi"/>
        </w:rPr>
        <w:t xml:space="preserve"> (or other purchasing process</w:t>
      </w:r>
      <w:r w:rsidR="00D05390">
        <w:rPr>
          <w:rFonts w:cstheme="minorHAnsi"/>
        </w:rPr>
        <w:t>)</w:t>
      </w:r>
      <w:r w:rsidR="00D46EC2" w:rsidRPr="0068288B">
        <w:rPr>
          <w:rFonts w:cstheme="minorHAnsi"/>
        </w:rPr>
        <w:t xml:space="preserve"> and thereby stay in the market. </w:t>
      </w:r>
      <w:r w:rsidR="00B85B88" w:rsidRPr="0068288B">
        <w:rPr>
          <w:rFonts w:cstheme="minorHAnsi"/>
        </w:rPr>
        <w:t>If a provider is able to sufficiently raise performance from period to period, not only does it stand to benefit from the financial trans</w:t>
      </w:r>
      <w:r w:rsidR="00D05390">
        <w:rPr>
          <w:rFonts w:cstheme="minorHAnsi"/>
        </w:rPr>
        <w:t>actions</w:t>
      </w:r>
      <w:r w:rsidR="00B85B88" w:rsidRPr="0068288B">
        <w:rPr>
          <w:rFonts w:cstheme="minorHAnsi"/>
        </w:rPr>
        <w:t xml:space="preserve"> associated with achieving outcomes, but it may also attract additional clients </w:t>
      </w:r>
      <w:r w:rsidR="00FB0670" w:rsidRPr="0068288B">
        <w:rPr>
          <w:rFonts w:cstheme="minorHAnsi"/>
        </w:rPr>
        <w:t>as a result of being allocated new business</w:t>
      </w:r>
      <w:r w:rsidR="00D05390">
        <w:rPr>
          <w:rFonts w:cstheme="minorHAnsi"/>
        </w:rPr>
        <w:t xml:space="preserve"> or participant choice</w:t>
      </w:r>
      <w:r w:rsidR="00B85B88" w:rsidRPr="0068288B">
        <w:rPr>
          <w:rFonts w:cstheme="minorHAnsi"/>
        </w:rPr>
        <w:t>.</w:t>
      </w:r>
      <w:r w:rsidR="00FB0670" w:rsidRPr="0068288B">
        <w:rPr>
          <w:rFonts w:cstheme="minorHAnsi"/>
        </w:rPr>
        <w:t xml:space="preserve"> </w:t>
      </w:r>
    </w:p>
    <w:p w14:paraId="08495CEA" w14:textId="77777777" w:rsidR="0068288B" w:rsidRPr="0068288B" w:rsidRDefault="0068288B" w:rsidP="0068288B">
      <w:pPr>
        <w:spacing w:after="0" w:line="240" w:lineRule="auto"/>
        <w:rPr>
          <w:rFonts w:cstheme="minorHAnsi"/>
        </w:rPr>
      </w:pPr>
    </w:p>
    <w:p w14:paraId="017E30A3" w14:textId="77777777" w:rsidR="00B70EBF" w:rsidRPr="0068288B" w:rsidRDefault="00FB0670" w:rsidP="0068288B">
      <w:pPr>
        <w:spacing w:after="0" w:line="240" w:lineRule="auto"/>
        <w:rPr>
          <w:rFonts w:cstheme="minorHAnsi"/>
          <w:color w:val="000000"/>
        </w:rPr>
      </w:pPr>
      <w:r w:rsidRPr="0068288B">
        <w:rPr>
          <w:rFonts w:cstheme="minorHAnsi"/>
        </w:rPr>
        <w:t>This process results in providers competing to maximise performance, with the best performing provider</w:t>
      </w:r>
      <w:r w:rsidR="00F63696" w:rsidRPr="0068288B">
        <w:rPr>
          <w:rFonts w:cstheme="minorHAnsi"/>
        </w:rPr>
        <w:t>s</w:t>
      </w:r>
      <w:r w:rsidRPr="0068288B">
        <w:rPr>
          <w:rFonts w:cstheme="minorHAnsi"/>
        </w:rPr>
        <w:t xml:space="preserve"> receiving new business while poor performing</w:t>
      </w:r>
      <w:r w:rsidR="00EB0BFB" w:rsidRPr="0068288B">
        <w:rPr>
          <w:rFonts w:cstheme="minorHAnsi"/>
        </w:rPr>
        <w:t xml:space="preserve"> providers exit</w:t>
      </w:r>
      <w:r w:rsidRPr="0068288B">
        <w:rPr>
          <w:rFonts w:cstheme="minorHAnsi"/>
        </w:rPr>
        <w:t xml:space="preserve"> the market. </w:t>
      </w:r>
      <w:r w:rsidR="00B85B88" w:rsidRPr="0068288B">
        <w:rPr>
          <w:rFonts w:cstheme="minorHAnsi"/>
        </w:rPr>
        <w:t xml:space="preserve">Further, </w:t>
      </w:r>
      <w:r w:rsidR="00F63696" w:rsidRPr="0068288B">
        <w:rPr>
          <w:rFonts w:cstheme="minorHAnsi"/>
          <w:color w:val="000000"/>
        </w:rPr>
        <w:t xml:space="preserve">because providers make profits from their business, there can be large benefits in promoting performance by using these profits to further drive performance. If future profits (through future business share) are dependent on performance in the current period (as measured by the </w:t>
      </w:r>
      <w:r w:rsidR="007957F5" w:rsidRPr="0068288B">
        <w:rPr>
          <w:rFonts w:cstheme="minorHAnsi"/>
          <w:color w:val="000000"/>
        </w:rPr>
        <w:t>Star Rating</w:t>
      </w:r>
      <w:r w:rsidR="00F63696" w:rsidRPr="0068288B">
        <w:rPr>
          <w:rFonts w:cstheme="minorHAnsi"/>
          <w:color w:val="000000"/>
        </w:rPr>
        <w:t xml:space="preserve">s), then future profits can act an incentive to promote performance over and above the payments received in the current period. </w:t>
      </w:r>
    </w:p>
    <w:p w14:paraId="611C9675" w14:textId="77777777" w:rsidR="00397C4F" w:rsidRPr="00E4024E" w:rsidRDefault="00397C4F" w:rsidP="00E4024E">
      <w:pPr>
        <w:pStyle w:val="Heading2"/>
        <w:keepNext/>
        <w:numPr>
          <w:ilvl w:val="1"/>
          <w:numId w:val="16"/>
        </w:numPr>
        <w:spacing w:before="240" w:beforeAutospacing="0" w:after="240" w:afterAutospacing="0"/>
        <w:ind w:left="0" w:firstLine="0"/>
        <w:rPr>
          <w:rFonts w:ascii="Calibri" w:hAnsi="Calibri" w:cs="Arial"/>
          <w:i/>
          <w:iCs/>
          <w:sz w:val="28"/>
          <w:szCs w:val="28"/>
        </w:rPr>
      </w:pPr>
      <w:bookmarkStart w:id="9" w:name="_Toc365872629"/>
      <w:r w:rsidRPr="00E4024E">
        <w:rPr>
          <w:rFonts w:ascii="Calibri" w:hAnsi="Calibri" w:cs="Arial"/>
          <w:i/>
          <w:iCs/>
          <w:sz w:val="28"/>
          <w:szCs w:val="28"/>
        </w:rPr>
        <w:t xml:space="preserve">Issues with the </w:t>
      </w:r>
      <w:r w:rsidR="007957F5">
        <w:rPr>
          <w:rFonts w:ascii="Calibri" w:hAnsi="Calibri" w:cs="Arial"/>
          <w:i/>
          <w:iCs/>
          <w:sz w:val="28"/>
          <w:szCs w:val="28"/>
        </w:rPr>
        <w:t>Star Rating</w:t>
      </w:r>
      <w:r w:rsidRPr="00E4024E">
        <w:rPr>
          <w:rFonts w:ascii="Calibri" w:hAnsi="Calibri" w:cs="Arial"/>
          <w:i/>
          <w:iCs/>
          <w:sz w:val="28"/>
          <w:szCs w:val="28"/>
        </w:rPr>
        <w:t>s Model</w:t>
      </w:r>
      <w:bookmarkEnd w:id="9"/>
    </w:p>
    <w:p w14:paraId="20C4FE05" w14:textId="77777777" w:rsidR="00397C4F" w:rsidRPr="00DB7CB2" w:rsidRDefault="00256A80" w:rsidP="00DB7CB2">
      <w:pPr>
        <w:autoSpaceDE w:val="0"/>
        <w:autoSpaceDN w:val="0"/>
        <w:adjustRightInd w:val="0"/>
        <w:spacing w:after="120" w:line="240" w:lineRule="auto"/>
        <w:rPr>
          <w:rFonts w:cstheme="minorHAnsi"/>
        </w:rPr>
      </w:pPr>
      <w:r w:rsidRPr="00DB7CB2">
        <w:rPr>
          <w:rFonts w:cstheme="minorHAnsi"/>
        </w:rPr>
        <w:t>Conversely</w:t>
      </w:r>
      <w:r w:rsidR="00397C4F" w:rsidRPr="00DB7CB2">
        <w:rPr>
          <w:rFonts w:cstheme="minorHAnsi"/>
        </w:rPr>
        <w:t xml:space="preserve">, stakeholders suggest that the </w:t>
      </w:r>
      <w:r w:rsidR="007957F5" w:rsidRPr="00DB7CB2">
        <w:rPr>
          <w:rFonts w:cstheme="minorHAnsi"/>
        </w:rPr>
        <w:t>Star Rating</w:t>
      </w:r>
      <w:r w:rsidR="00397C4F" w:rsidRPr="00DB7CB2">
        <w:rPr>
          <w:rFonts w:cstheme="minorHAnsi"/>
        </w:rPr>
        <w:t>s model may suffer from a number of problems. These issues include:</w:t>
      </w:r>
    </w:p>
    <w:p w14:paraId="4051B9E4" w14:textId="77777777" w:rsidR="00397C4F" w:rsidRPr="00DB7CB2" w:rsidRDefault="00397C4F" w:rsidP="00DB7CB2">
      <w:pPr>
        <w:pStyle w:val="ListParagraph"/>
        <w:numPr>
          <w:ilvl w:val="0"/>
          <w:numId w:val="37"/>
        </w:numPr>
        <w:spacing w:after="0" w:line="240" w:lineRule="auto"/>
        <w:ind w:left="714" w:hanging="357"/>
        <w:contextualSpacing w:val="0"/>
        <w:rPr>
          <w:rFonts w:cstheme="minorHAnsi"/>
        </w:rPr>
      </w:pPr>
      <w:r w:rsidRPr="00DB7CB2">
        <w:rPr>
          <w:rFonts w:cstheme="minorHAnsi"/>
        </w:rPr>
        <w:t>Providers do not have certainty over expected performan</w:t>
      </w:r>
      <w:r w:rsidR="004A7BA0">
        <w:rPr>
          <w:rFonts w:cstheme="minorHAnsi"/>
        </w:rPr>
        <w:t>ce levels (</w:t>
      </w:r>
      <w:r w:rsidR="004A7BA0" w:rsidRPr="004A7BA0">
        <w:rPr>
          <w:rFonts w:cstheme="minorHAnsi"/>
        </w:rPr>
        <w:t>Flentje, Cull and Giuliani 2010)</w:t>
      </w:r>
      <w:r w:rsidR="0081318C">
        <w:rPr>
          <w:rFonts w:cstheme="minorHAnsi"/>
        </w:rPr>
        <w:t xml:space="preserve">. As the </w:t>
      </w:r>
      <w:r w:rsidR="0081318C" w:rsidRPr="00666790">
        <w:rPr>
          <w:rFonts w:cstheme="minorHAnsi"/>
        </w:rPr>
        <w:t>Star Ratings model is a relative model, it cannot provide an expected performance that the provider needs to achieve.</w:t>
      </w:r>
    </w:p>
    <w:p w14:paraId="1A5542E3" w14:textId="77777777" w:rsidR="00397C4F" w:rsidRPr="00DB7CB2" w:rsidRDefault="00397C4F" w:rsidP="00DB7CB2">
      <w:pPr>
        <w:pStyle w:val="ListParagraph"/>
        <w:numPr>
          <w:ilvl w:val="0"/>
          <w:numId w:val="37"/>
        </w:numPr>
        <w:spacing w:after="0" w:line="240" w:lineRule="auto"/>
        <w:ind w:left="714" w:hanging="357"/>
        <w:contextualSpacing w:val="0"/>
        <w:rPr>
          <w:rFonts w:cstheme="minorHAnsi"/>
        </w:rPr>
      </w:pPr>
      <w:r w:rsidRPr="00DB7CB2">
        <w:rPr>
          <w:rFonts w:cstheme="minorHAnsi"/>
        </w:rPr>
        <w:t>Lack of transparency over the calculations used to assess provider performance</w:t>
      </w:r>
      <w:r w:rsidR="004A7BA0">
        <w:rPr>
          <w:rFonts w:cstheme="minorHAnsi"/>
        </w:rPr>
        <w:t xml:space="preserve"> </w:t>
      </w:r>
      <w:r w:rsidR="00DC1C87" w:rsidRPr="00081D71">
        <w:rPr>
          <w:rFonts w:cstheme="minorHAnsi"/>
        </w:rPr>
        <w:t>(</w:t>
      </w:r>
      <w:r w:rsidR="00DC1C87" w:rsidRPr="00D91E34">
        <w:rPr>
          <w:rFonts w:cstheme="minorHAnsi"/>
        </w:rPr>
        <w:t>Shulock, 1999</w:t>
      </w:r>
      <w:r w:rsidR="00DC1C87">
        <w:rPr>
          <w:rFonts w:cstheme="minorHAnsi"/>
        </w:rPr>
        <w:t>)</w:t>
      </w:r>
      <w:r w:rsidR="0081318C">
        <w:rPr>
          <w:rFonts w:cstheme="minorHAnsi"/>
        </w:rPr>
        <w:t xml:space="preserve">. </w:t>
      </w:r>
      <w:r w:rsidR="0081318C" w:rsidRPr="00081D71">
        <w:rPr>
          <w:rFonts w:cstheme="minorHAnsi"/>
        </w:rPr>
        <w:t>The Star Ratings adjusts for differences in external factors that affect the provider performance</w:t>
      </w:r>
      <w:r w:rsidR="0081318C">
        <w:rPr>
          <w:rFonts w:cstheme="minorHAnsi"/>
        </w:rPr>
        <w:t xml:space="preserve"> using regression analysis</w:t>
      </w:r>
      <w:r w:rsidR="0081318C" w:rsidRPr="00081D71">
        <w:rPr>
          <w:rFonts w:cstheme="minorHAnsi"/>
        </w:rPr>
        <w:t>.</w:t>
      </w:r>
      <w:r w:rsidR="0081318C">
        <w:rPr>
          <w:rFonts w:cstheme="minorHAnsi"/>
        </w:rPr>
        <w:t xml:space="preserve"> </w:t>
      </w:r>
      <w:r w:rsidR="0081318C" w:rsidRPr="00081D71">
        <w:rPr>
          <w:rFonts w:cstheme="minorHAnsi"/>
        </w:rPr>
        <w:t>This methodologically demanding proce</w:t>
      </w:r>
      <w:r w:rsidR="0081318C">
        <w:rPr>
          <w:rFonts w:cstheme="minorHAnsi"/>
        </w:rPr>
        <w:t>ss may be</w:t>
      </w:r>
      <w:r w:rsidR="0081318C" w:rsidRPr="00081D71">
        <w:rPr>
          <w:rFonts w:cstheme="minorHAnsi"/>
        </w:rPr>
        <w:t xml:space="preserve"> difficult to understand by </w:t>
      </w:r>
      <w:r w:rsidR="0081318C">
        <w:rPr>
          <w:rFonts w:cstheme="minorHAnsi"/>
        </w:rPr>
        <w:t>providers and the public.</w:t>
      </w:r>
    </w:p>
    <w:p w14:paraId="53F3B6E3" w14:textId="77777777" w:rsidR="00397C4F" w:rsidRPr="00DB7CB2" w:rsidRDefault="00397C4F" w:rsidP="00DB7CB2">
      <w:pPr>
        <w:pStyle w:val="ListParagraph"/>
        <w:numPr>
          <w:ilvl w:val="0"/>
          <w:numId w:val="37"/>
        </w:numPr>
        <w:spacing w:after="0" w:line="240" w:lineRule="auto"/>
        <w:ind w:left="714" w:hanging="357"/>
        <w:contextualSpacing w:val="0"/>
        <w:rPr>
          <w:rFonts w:cstheme="minorHAnsi"/>
        </w:rPr>
      </w:pPr>
      <w:r w:rsidRPr="00DB7CB2">
        <w:rPr>
          <w:rFonts w:cstheme="minorHAnsi"/>
        </w:rPr>
        <w:lastRenderedPageBreak/>
        <w:t>Regression models are subject to measurement error</w:t>
      </w:r>
      <w:r w:rsidR="00DC1C87">
        <w:rPr>
          <w:rFonts w:cstheme="minorHAnsi"/>
        </w:rPr>
        <w:t xml:space="preserve"> </w:t>
      </w:r>
      <w:r w:rsidR="00251E87">
        <w:rPr>
          <w:rFonts w:cstheme="minorHAnsi"/>
        </w:rPr>
        <w:t>(</w:t>
      </w:r>
      <w:r w:rsidR="00251E87" w:rsidRPr="00D91E34">
        <w:rPr>
          <w:rFonts w:cstheme="minorHAnsi"/>
        </w:rPr>
        <w:t>Brooks 2000)</w:t>
      </w:r>
      <w:r w:rsidR="0081318C" w:rsidRPr="00D91E34">
        <w:rPr>
          <w:rFonts w:cstheme="minorHAnsi"/>
        </w:rPr>
        <w:t xml:space="preserve">. </w:t>
      </w:r>
      <w:r w:rsidR="00363416" w:rsidRPr="0016556B">
        <w:rPr>
          <w:rFonts w:cstheme="minorHAnsi"/>
        </w:rPr>
        <w:t>Regression-based performance adjustment models have been criticized for having low explanatory power and flawed specifications, suggesting that sometimes adjustments may be biased or unreliable</w:t>
      </w:r>
      <w:r w:rsidR="00363416">
        <w:rPr>
          <w:rFonts w:cstheme="minorHAnsi"/>
        </w:rPr>
        <w:t>.</w:t>
      </w:r>
    </w:p>
    <w:p w14:paraId="47BBF3B0" w14:textId="77777777" w:rsidR="00397C4F" w:rsidRPr="00DB7CB2" w:rsidRDefault="00397C4F" w:rsidP="00DB7CB2">
      <w:pPr>
        <w:pStyle w:val="ListParagraph"/>
        <w:numPr>
          <w:ilvl w:val="0"/>
          <w:numId w:val="37"/>
        </w:numPr>
        <w:spacing w:after="0" w:line="240" w:lineRule="auto"/>
        <w:ind w:left="714" w:hanging="357"/>
        <w:contextualSpacing w:val="0"/>
        <w:rPr>
          <w:rFonts w:cstheme="minorHAnsi"/>
        </w:rPr>
      </w:pPr>
      <w:r w:rsidRPr="00DB7CB2">
        <w:rPr>
          <w:rFonts w:cstheme="minorHAnsi"/>
        </w:rPr>
        <w:t xml:space="preserve">Adjustments for economic conditions does not provide for equity in outcomes </w:t>
      </w:r>
      <w:r w:rsidR="00251E87" w:rsidRPr="0016556B">
        <w:rPr>
          <w:rFonts w:cstheme="minorHAnsi"/>
        </w:rPr>
        <w:t>(</w:t>
      </w:r>
      <w:r w:rsidR="00251E87" w:rsidRPr="00D91E34">
        <w:rPr>
          <w:rFonts w:cstheme="minorHAnsi"/>
        </w:rPr>
        <w:t>Barnow and Heinrich, 2010</w:t>
      </w:r>
      <w:r w:rsidR="00251E87" w:rsidRPr="0016556B">
        <w:rPr>
          <w:rFonts w:cstheme="minorHAnsi"/>
        </w:rPr>
        <w:t>)</w:t>
      </w:r>
      <w:r w:rsidR="00363416">
        <w:rPr>
          <w:rFonts w:cstheme="minorHAnsi"/>
        </w:rPr>
        <w:t xml:space="preserve">. </w:t>
      </w:r>
    </w:p>
    <w:p w14:paraId="10807CE2" w14:textId="77777777" w:rsidR="00397C4F" w:rsidRPr="00DB7CB2" w:rsidRDefault="00397C4F" w:rsidP="00DB7CB2">
      <w:pPr>
        <w:pStyle w:val="ListParagraph"/>
        <w:numPr>
          <w:ilvl w:val="0"/>
          <w:numId w:val="37"/>
        </w:numPr>
        <w:spacing w:after="0" w:line="240" w:lineRule="auto"/>
        <w:ind w:left="714" w:hanging="357"/>
        <w:contextualSpacing w:val="0"/>
        <w:rPr>
          <w:rFonts w:cstheme="minorHAnsi"/>
        </w:rPr>
      </w:pPr>
      <w:r w:rsidRPr="00DB7CB2">
        <w:rPr>
          <w:rFonts w:cstheme="minorHAnsi"/>
        </w:rPr>
        <w:t xml:space="preserve">A high rating is not indicative of </w:t>
      </w:r>
      <w:r w:rsidR="00661186">
        <w:rPr>
          <w:rFonts w:cstheme="minorHAnsi"/>
        </w:rPr>
        <w:t xml:space="preserve">a </w:t>
      </w:r>
      <w:r w:rsidRPr="00DB7CB2">
        <w:rPr>
          <w:rFonts w:cstheme="minorHAnsi"/>
        </w:rPr>
        <w:t>high quality of service</w:t>
      </w:r>
      <w:r w:rsidR="00251E87">
        <w:rPr>
          <w:rFonts w:cstheme="minorHAnsi"/>
        </w:rPr>
        <w:t xml:space="preserve"> </w:t>
      </w:r>
      <w:r w:rsidR="00D764B1">
        <w:rPr>
          <w:rFonts w:cstheme="minorHAnsi"/>
        </w:rPr>
        <w:t>(</w:t>
      </w:r>
      <w:r w:rsidR="00826B69">
        <w:rPr>
          <w:rFonts w:cstheme="minorHAnsi"/>
        </w:rPr>
        <w:t>Ben-Tovim et al., 2009</w:t>
      </w:r>
      <w:r w:rsidR="0081318C">
        <w:rPr>
          <w:rFonts w:cstheme="minorHAnsi"/>
        </w:rPr>
        <w:t>)</w:t>
      </w:r>
      <w:r w:rsidR="00363416">
        <w:rPr>
          <w:rFonts w:cstheme="minorHAnsi"/>
        </w:rPr>
        <w:t xml:space="preserve">. </w:t>
      </w:r>
      <w:r w:rsidR="0012686D">
        <w:rPr>
          <w:rFonts w:cstheme="minorHAnsi"/>
        </w:rPr>
        <w:t>D</w:t>
      </w:r>
      <w:r w:rsidR="0012686D" w:rsidRPr="0016556B">
        <w:rPr>
          <w:rFonts w:cstheme="minorHAnsi"/>
        </w:rPr>
        <w:t xml:space="preserve">ifferences in performance between providers </w:t>
      </w:r>
      <w:r w:rsidR="0012686D">
        <w:rPr>
          <w:rFonts w:cstheme="minorHAnsi"/>
        </w:rPr>
        <w:t>may</w:t>
      </w:r>
      <w:r w:rsidR="0012686D" w:rsidRPr="0016556B">
        <w:rPr>
          <w:rFonts w:cstheme="minorHAnsi"/>
        </w:rPr>
        <w:t xml:space="preserve"> not reflect differences in quality</w:t>
      </w:r>
      <w:r w:rsidR="0012686D">
        <w:rPr>
          <w:rFonts w:cstheme="minorHAnsi"/>
        </w:rPr>
        <w:t xml:space="preserve"> between them but is a result of other factors affecting performance. </w:t>
      </w:r>
    </w:p>
    <w:p w14:paraId="2C43AAB1" w14:textId="77777777" w:rsidR="00397C4F" w:rsidRPr="00DB7CB2" w:rsidRDefault="00397C4F" w:rsidP="00DB7CB2">
      <w:pPr>
        <w:pStyle w:val="ListParagraph"/>
        <w:numPr>
          <w:ilvl w:val="0"/>
          <w:numId w:val="37"/>
        </w:numPr>
        <w:spacing w:after="0" w:line="240" w:lineRule="auto"/>
        <w:ind w:left="714" w:hanging="357"/>
        <w:contextualSpacing w:val="0"/>
        <w:rPr>
          <w:rFonts w:cstheme="minorHAnsi"/>
        </w:rPr>
      </w:pPr>
      <w:r w:rsidRPr="00DB7CB2">
        <w:rPr>
          <w:rFonts w:cstheme="minorHAnsi"/>
        </w:rPr>
        <w:t>Does not promote continuous improvement in performance</w:t>
      </w:r>
      <w:r w:rsidR="00D764B1">
        <w:rPr>
          <w:rFonts w:cstheme="minorHAnsi"/>
        </w:rPr>
        <w:t xml:space="preserve"> (Waghorn 2011)</w:t>
      </w:r>
    </w:p>
    <w:p w14:paraId="3AF811CE" w14:textId="77777777" w:rsidR="00397C4F" w:rsidRPr="00DB7CB2" w:rsidRDefault="00397C4F" w:rsidP="00DB7CB2">
      <w:pPr>
        <w:pStyle w:val="ListParagraph"/>
        <w:numPr>
          <w:ilvl w:val="0"/>
          <w:numId w:val="37"/>
        </w:numPr>
        <w:spacing w:after="0" w:line="240" w:lineRule="auto"/>
        <w:ind w:left="714" w:hanging="357"/>
        <w:contextualSpacing w:val="0"/>
        <w:rPr>
          <w:rFonts w:cstheme="minorHAnsi"/>
        </w:rPr>
      </w:pPr>
      <w:r w:rsidRPr="00DB7CB2">
        <w:rPr>
          <w:rFonts w:cstheme="minorHAnsi"/>
        </w:rPr>
        <w:t>For one provider to ‘succeed’ another must ‘fail’, creating competition leading to opportunistic behaviour and risk selection</w:t>
      </w:r>
      <w:r w:rsidR="00251E87">
        <w:rPr>
          <w:rFonts w:cstheme="minorHAnsi"/>
        </w:rPr>
        <w:t xml:space="preserve"> </w:t>
      </w:r>
      <w:r w:rsidR="00D764B1">
        <w:rPr>
          <w:rFonts w:cstheme="minorHAnsi"/>
        </w:rPr>
        <w:t>(Bredgaard and Larsen 2008)</w:t>
      </w:r>
    </w:p>
    <w:p w14:paraId="59CFECF1" w14:textId="77777777" w:rsidR="00397C4F" w:rsidRPr="00DB7CB2" w:rsidRDefault="00397C4F" w:rsidP="00DB7CB2">
      <w:pPr>
        <w:pStyle w:val="ListParagraph"/>
        <w:numPr>
          <w:ilvl w:val="0"/>
          <w:numId w:val="37"/>
        </w:numPr>
        <w:spacing w:after="0" w:line="240" w:lineRule="auto"/>
        <w:ind w:left="714" w:hanging="357"/>
        <w:contextualSpacing w:val="0"/>
        <w:rPr>
          <w:rFonts w:cstheme="minorHAnsi"/>
        </w:rPr>
      </w:pPr>
      <w:r w:rsidRPr="00DB7CB2">
        <w:rPr>
          <w:rFonts w:cstheme="minorHAnsi"/>
        </w:rPr>
        <w:t>Reduced scope for collaboration and cooperation among providers</w:t>
      </w:r>
      <w:r w:rsidR="0081318C">
        <w:rPr>
          <w:rFonts w:cstheme="minorHAnsi"/>
        </w:rPr>
        <w:t xml:space="preserve"> (Bowman and Horn 2010)</w:t>
      </w:r>
      <w:r w:rsidRPr="00DB7CB2">
        <w:rPr>
          <w:rFonts w:cstheme="minorHAnsi"/>
        </w:rPr>
        <w:t>.</w:t>
      </w:r>
      <w:r w:rsidR="0012686D">
        <w:rPr>
          <w:rFonts w:cstheme="minorHAnsi"/>
        </w:rPr>
        <w:t xml:space="preserve"> A</w:t>
      </w:r>
      <w:r w:rsidR="0012686D" w:rsidRPr="007265DE">
        <w:rPr>
          <w:rFonts w:cstheme="minorHAnsi"/>
        </w:rPr>
        <w:t xml:space="preserve"> reduction in collaboration between providers may hinder the level of innovation in the sector and hence the long-term performance of the sector as a whole.</w:t>
      </w:r>
    </w:p>
    <w:p w14:paraId="18C1C2FA" w14:textId="77777777" w:rsidR="00DB7CB2" w:rsidRDefault="00DB7CB2" w:rsidP="00DB7CB2">
      <w:pPr>
        <w:spacing w:after="0" w:line="240" w:lineRule="auto"/>
        <w:rPr>
          <w:rFonts w:cstheme="minorHAnsi"/>
          <w:color w:val="000000"/>
        </w:rPr>
      </w:pPr>
    </w:p>
    <w:p w14:paraId="5C61BA19" w14:textId="77777777" w:rsidR="00397C4F" w:rsidRPr="00DB7CB2" w:rsidRDefault="0012686D" w:rsidP="00DB7CB2">
      <w:pPr>
        <w:spacing w:after="0" w:line="240" w:lineRule="auto"/>
        <w:rPr>
          <w:rFonts w:cstheme="minorHAnsi"/>
          <w:color w:val="000000"/>
        </w:rPr>
      </w:pPr>
      <w:r>
        <w:rPr>
          <w:rFonts w:cstheme="minorHAnsi"/>
          <w:color w:val="000000"/>
        </w:rPr>
        <w:t xml:space="preserve">If these </w:t>
      </w:r>
      <w:r w:rsidR="00D91E34">
        <w:rPr>
          <w:rFonts w:cstheme="minorHAnsi"/>
          <w:color w:val="000000"/>
        </w:rPr>
        <w:t>issues</w:t>
      </w:r>
      <w:r>
        <w:rPr>
          <w:rFonts w:cstheme="minorHAnsi"/>
          <w:color w:val="000000"/>
        </w:rPr>
        <w:t xml:space="preserve"> are a significant problem in Australia’s employment services, this may offset the advantages that the Star Ratings model affords. </w:t>
      </w:r>
      <w:r w:rsidR="00397C4F" w:rsidRPr="00DB7CB2">
        <w:rPr>
          <w:rFonts w:cstheme="minorHAnsi"/>
          <w:color w:val="000000"/>
        </w:rPr>
        <w:t xml:space="preserve">A detailed examination of these concerns and an in-depth analysis of whether benchmarking </w:t>
      </w:r>
      <w:r w:rsidR="00CD146D" w:rsidRPr="00DB7CB2">
        <w:rPr>
          <w:rFonts w:cstheme="minorHAnsi"/>
          <w:color w:val="000000"/>
        </w:rPr>
        <w:t>provides</w:t>
      </w:r>
      <w:r w:rsidR="00397C4F" w:rsidRPr="00DB7CB2">
        <w:rPr>
          <w:rFonts w:cstheme="minorHAnsi"/>
          <w:color w:val="000000"/>
        </w:rPr>
        <w:t xml:space="preserve"> solution</w:t>
      </w:r>
      <w:r w:rsidR="00CD146D" w:rsidRPr="00DB7CB2">
        <w:rPr>
          <w:rFonts w:cstheme="minorHAnsi"/>
          <w:color w:val="000000"/>
        </w:rPr>
        <w:t>s</w:t>
      </w:r>
      <w:r w:rsidR="00397C4F" w:rsidRPr="00DB7CB2">
        <w:rPr>
          <w:rFonts w:cstheme="minorHAnsi"/>
          <w:color w:val="000000"/>
        </w:rPr>
        <w:t xml:space="preserve"> </w:t>
      </w:r>
      <w:r w:rsidR="00CD146D" w:rsidRPr="00DB7CB2">
        <w:rPr>
          <w:rFonts w:cstheme="minorHAnsi"/>
          <w:color w:val="000000"/>
        </w:rPr>
        <w:t>is</w:t>
      </w:r>
      <w:r w:rsidR="00397C4F" w:rsidRPr="00DB7CB2">
        <w:rPr>
          <w:rFonts w:cstheme="minorHAnsi"/>
          <w:color w:val="000000"/>
        </w:rPr>
        <w:t xml:space="preserve"> conducted in </w:t>
      </w:r>
      <w:r w:rsidR="00CD146D" w:rsidRPr="00DB7CB2">
        <w:rPr>
          <w:rFonts w:cstheme="minorHAnsi"/>
          <w:color w:val="000000"/>
        </w:rPr>
        <w:t>S</w:t>
      </w:r>
      <w:r w:rsidR="00397C4F" w:rsidRPr="00DB7CB2">
        <w:rPr>
          <w:rFonts w:cstheme="minorHAnsi"/>
          <w:color w:val="000000"/>
        </w:rPr>
        <w:t xml:space="preserve">ection 5. </w:t>
      </w:r>
    </w:p>
    <w:p w14:paraId="2C2D43A6" w14:textId="77777777" w:rsidR="00CD146D" w:rsidRDefault="00CD146D" w:rsidP="00B70EBF">
      <w:pPr>
        <w:spacing w:line="240" w:lineRule="auto"/>
        <w:jc w:val="both"/>
        <w:rPr>
          <w:rFonts w:cstheme="minorHAnsi"/>
          <w:color w:val="000000"/>
          <w:sz w:val="24"/>
          <w:szCs w:val="24"/>
        </w:rPr>
      </w:pPr>
    </w:p>
    <w:p w14:paraId="5F8906BA" w14:textId="77777777" w:rsidR="00795EF0" w:rsidRDefault="00795EF0" w:rsidP="00E4024E">
      <w:pPr>
        <w:pStyle w:val="Heading1"/>
        <w:keepLines w:val="0"/>
        <w:numPr>
          <w:ilvl w:val="0"/>
          <w:numId w:val="16"/>
        </w:numPr>
        <w:spacing w:before="240" w:after="240" w:line="240" w:lineRule="auto"/>
        <w:ind w:left="0" w:firstLine="0"/>
        <w:rPr>
          <w:rFonts w:ascii="Calibri" w:eastAsia="Times New Roman" w:hAnsi="Calibri" w:cs="Arial"/>
          <w:color w:val="auto"/>
          <w:kern w:val="32"/>
          <w:sz w:val="32"/>
          <w:szCs w:val="32"/>
          <w:lang w:eastAsia="en-AU"/>
        </w:rPr>
        <w:sectPr w:rsidR="00795EF0">
          <w:pgSz w:w="11906" w:h="16838"/>
          <w:pgMar w:top="1440" w:right="1440" w:bottom="1440" w:left="1440" w:header="708" w:footer="708" w:gutter="0"/>
          <w:cols w:space="708"/>
          <w:docGrid w:linePitch="360"/>
        </w:sectPr>
      </w:pPr>
    </w:p>
    <w:p w14:paraId="26D3FC17" w14:textId="77777777" w:rsidR="00C91EA7" w:rsidRPr="00E4024E" w:rsidRDefault="00EA52BE" w:rsidP="00E4024E">
      <w:pPr>
        <w:pStyle w:val="Heading1"/>
        <w:keepLines w:val="0"/>
        <w:numPr>
          <w:ilvl w:val="0"/>
          <w:numId w:val="16"/>
        </w:numPr>
        <w:spacing w:before="240" w:after="240" w:line="240" w:lineRule="auto"/>
        <w:ind w:left="0" w:firstLine="0"/>
        <w:rPr>
          <w:rFonts w:ascii="Calibri" w:eastAsia="Times New Roman" w:hAnsi="Calibri" w:cs="Arial"/>
          <w:color w:val="auto"/>
          <w:kern w:val="32"/>
          <w:sz w:val="32"/>
          <w:szCs w:val="32"/>
          <w:lang w:eastAsia="en-AU"/>
        </w:rPr>
      </w:pPr>
      <w:bookmarkStart w:id="10" w:name="_Toc365872630"/>
      <w:r w:rsidRPr="00E4024E">
        <w:rPr>
          <w:rFonts w:ascii="Calibri" w:eastAsia="Times New Roman" w:hAnsi="Calibri" w:cs="Arial"/>
          <w:color w:val="auto"/>
          <w:kern w:val="32"/>
          <w:sz w:val="32"/>
          <w:szCs w:val="32"/>
          <w:lang w:eastAsia="en-AU"/>
        </w:rPr>
        <w:lastRenderedPageBreak/>
        <w:t>Benchmarking</w:t>
      </w:r>
      <w:r w:rsidR="004E1084" w:rsidRPr="00E4024E">
        <w:rPr>
          <w:rFonts w:ascii="Calibri" w:eastAsia="Times New Roman" w:hAnsi="Calibri" w:cs="Arial"/>
          <w:color w:val="auto"/>
          <w:kern w:val="32"/>
          <w:sz w:val="32"/>
          <w:szCs w:val="32"/>
          <w:lang w:eastAsia="en-AU"/>
        </w:rPr>
        <w:t xml:space="preserve"> </w:t>
      </w:r>
      <w:r w:rsidR="00FE380B">
        <w:rPr>
          <w:rFonts w:ascii="Calibri" w:eastAsia="Times New Roman" w:hAnsi="Calibri" w:cs="Arial"/>
          <w:color w:val="auto"/>
          <w:kern w:val="32"/>
          <w:sz w:val="32"/>
          <w:szCs w:val="32"/>
          <w:lang w:eastAsia="en-AU"/>
        </w:rPr>
        <w:t>Models</w:t>
      </w:r>
      <w:bookmarkEnd w:id="10"/>
    </w:p>
    <w:p w14:paraId="2D7AD520" w14:textId="77777777" w:rsidR="00172EE6" w:rsidRPr="00DB7CB2" w:rsidRDefault="004E1084" w:rsidP="00DB7CB2">
      <w:pPr>
        <w:spacing w:after="120" w:line="240" w:lineRule="auto"/>
        <w:rPr>
          <w:rFonts w:eastAsia="Times New Roman" w:cstheme="minorHAnsi"/>
        </w:rPr>
      </w:pPr>
      <w:r w:rsidRPr="00DB7CB2">
        <w:rPr>
          <w:rFonts w:cstheme="minorHAnsi"/>
        </w:rPr>
        <w:t xml:space="preserve">An alternative performance measurement system used to assess provider performance is </w:t>
      </w:r>
      <w:r w:rsidR="00F83492" w:rsidRPr="00DB7CB2">
        <w:rPr>
          <w:rFonts w:cstheme="minorHAnsi"/>
        </w:rPr>
        <w:t xml:space="preserve">the </w:t>
      </w:r>
      <w:r w:rsidRPr="00DB7CB2">
        <w:rPr>
          <w:rFonts w:cstheme="minorHAnsi"/>
        </w:rPr>
        <w:t>benchmarking</w:t>
      </w:r>
      <w:r w:rsidR="00F83492" w:rsidRPr="00DB7CB2">
        <w:rPr>
          <w:rFonts w:cstheme="minorHAnsi"/>
        </w:rPr>
        <w:t xml:space="preserve"> model</w:t>
      </w:r>
      <w:r w:rsidRPr="00DB7CB2">
        <w:rPr>
          <w:rFonts w:cstheme="minorHAnsi"/>
        </w:rPr>
        <w:t xml:space="preserve">. </w:t>
      </w:r>
      <w:r w:rsidR="006345F7" w:rsidRPr="00D05390">
        <w:rPr>
          <w:rFonts w:cstheme="minorHAnsi"/>
        </w:rPr>
        <w:t>Cowper and Samuels (1997: 11)</w:t>
      </w:r>
      <w:r w:rsidR="006345F7" w:rsidRPr="00DB7CB2">
        <w:rPr>
          <w:rFonts w:cstheme="minorHAnsi"/>
        </w:rPr>
        <w:t xml:space="preserve"> define benchmarking as ‘an efficie</w:t>
      </w:r>
      <w:r w:rsidR="00957FB3" w:rsidRPr="00DB7CB2">
        <w:rPr>
          <w:rFonts w:cstheme="minorHAnsi"/>
        </w:rPr>
        <w:t>ncy tool</w:t>
      </w:r>
      <w:r w:rsidR="006345F7" w:rsidRPr="00DB7CB2">
        <w:rPr>
          <w:rFonts w:cstheme="minorHAnsi"/>
        </w:rPr>
        <w:t xml:space="preserve"> based on the principle of measuring the performance of one organisation against a standard’.</w:t>
      </w:r>
      <w:r w:rsidRPr="00DB7CB2">
        <w:rPr>
          <w:rFonts w:cstheme="minorHAnsi"/>
        </w:rPr>
        <w:t xml:space="preserve"> </w:t>
      </w:r>
      <w:r w:rsidR="00D33238" w:rsidRPr="00DB7CB2">
        <w:rPr>
          <w:rFonts w:cstheme="minorHAnsi"/>
        </w:rPr>
        <w:t xml:space="preserve">In employment services, this equates to setting targets for different performance indicators that a provider is expected to achieve. </w:t>
      </w:r>
      <w:r w:rsidR="009D21B3" w:rsidRPr="00DB7CB2">
        <w:rPr>
          <w:rFonts w:cstheme="minorHAnsi"/>
        </w:rPr>
        <w:t xml:space="preserve">For example, the department may </w:t>
      </w:r>
      <w:r w:rsidR="00DB7CB2">
        <w:rPr>
          <w:rFonts w:cstheme="minorHAnsi"/>
        </w:rPr>
        <w:t xml:space="preserve">set a provider </w:t>
      </w:r>
      <w:r w:rsidR="009D21B3" w:rsidRPr="00DB7CB2">
        <w:rPr>
          <w:rFonts w:cstheme="minorHAnsi"/>
        </w:rPr>
        <w:t>a 13-week outcome target of 20</w:t>
      </w:r>
      <w:r w:rsidR="00DB7CB2">
        <w:rPr>
          <w:rFonts w:cstheme="minorHAnsi"/>
        </w:rPr>
        <w:t xml:space="preserve"> per cent</w:t>
      </w:r>
      <w:r w:rsidR="009D21B3" w:rsidRPr="00DB7CB2">
        <w:rPr>
          <w:rFonts w:cstheme="minorHAnsi"/>
        </w:rPr>
        <w:t xml:space="preserve">. The performance of the provider is compared to this target. This the </w:t>
      </w:r>
      <w:r w:rsidR="00F83492" w:rsidRPr="00DB7CB2">
        <w:rPr>
          <w:rFonts w:cstheme="minorHAnsi"/>
        </w:rPr>
        <w:t xml:space="preserve">key </w:t>
      </w:r>
      <w:r w:rsidRPr="00DB7CB2">
        <w:rPr>
          <w:rFonts w:cstheme="minorHAnsi"/>
        </w:rPr>
        <w:t xml:space="preserve">difference between </w:t>
      </w:r>
      <w:r w:rsidR="00F83492" w:rsidRPr="00DB7CB2">
        <w:rPr>
          <w:rFonts w:cstheme="minorHAnsi"/>
        </w:rPr>
        <w:t>a benchmark model</w:t>
      </w:r>
      <w:r w:rsidRPr="00DB7CB2">
        <w:rPr>
          <w:rFonts w:cstheme="minorHAnsi"/>
        </w:rPr>
        <w:t xml:space="preserve"> and</w:t>
      </w:r>
      <w:r w:rsidR="00F83492" w:rsidRPr="00DB7CB2">
        <w:rPr>
          <w:rFonts w:cstheme="minorHAnsi"/>
        </w:rPr>
        <w:t xml:space="preserve"> the </w:t>
      </w:r>
      <w:r w:rsidR="007957F5" w:rsidRPr="00DB7CB2">
        <w:rPr>
          <w:rFonts w:cstheme="minorHAnsi"/>
        </w:rPr>
        <w:t>Star Rating</w:t>
      </w:r>
      <w:r w:rsidR="00F83492" w:rsidRPr="00DB7CB2">
        <w:rPr>
          <w:rFonts w:cstheme="minorHAnsi"/>
        </w:rPr>
        <w:t>s model</w:t>
      </w:r>
      <w:r w:rsidR="009D21B3" w:rsidRPr="00DB7CB2">
        <w:rPr>
          <w:rFonts w:cstheme="minorHAnsi"/>
        </w:rPr>
        <w:t xml:space="preserve"> as</w:t>
      </w:r>
      <w:r w:rsidR="00957FB3" w:rsidRPr="00DB7CB2">
        <w:rPr>
          <w:rFonts w:cstheme="minorHAnsi"/>
        </w:rPr>
        <w:t xml:space="preserve"> </w:t>
      </w:r>
      <w:r w:rsidR="00F83492" w:rsidRPr="00DB7CB2">
        <w:rPr>
          <w:rFonts w:cstheme="minorHAnsi"/>
        </w:rPr>
        <w:t>benchmarks</w:t>
      </w:r>
      <w:r w:rsidRPr="00DB7CB2">
        <w:rPr>
          <w:rFonts w:cstheme="minorHAnsi"/>
        </w:rPr>
        <w:t xml:space="preserve"> </w:t>
      </w:r>
      <w:r w:rsidR="00957FB3" w:rsidRPr="00DB7CB2">
        <w:rPr>
          <w:rFonts w:cstheme="minorHAnsi"/>
        </w:rPr>
        <w:t>give</w:t>
      </w:r>
      <w:r w:rsidRPr="00DB7CB2">
        <w:rPr>
          <w:rFonts w:cstheme="minorHAnsi"/>
        </w:rPr>
        <w:t xml:space="preserve"> providers a predetermined required performance level that </w:t>
      </w:r>
      <w:r w:rsidR="00DB7CB2">
        <w:rPr>
          <w:rFonts w:cstheme="minorHAnsi"/>
        </w:rPr>
        <w:t xml:space="preserve">they </w:t>
      </w:r>
      <w:r w:rsidRPr="00DB7CB2">
        <w:rPr>
          <w:rFonts w:cstheme="minorHAnsi"/>
        </w:rPr>
        <w:t>needs to achieve over the performance period. The performance</w:t>
      </w:r>
      <w:r w:rsidR="00DC2CA4" w:rsidRPr="00DB7CB2">
        <w:rPr>
          <w:rFonts w:cstheme="minorHAnsi"/>
        </w:rPr>
        <w:t xml:space="preserve"> of the provider is</w:t>
      </w:r>
      <w:r w:rsidRPr="00DB7CB2">
        <w:rPr>
          <w:rFonts w:cstheme="minorHAnsi"/>
        </w:rPr>
        <w:t xml:space="preserve"> then compared to this target.</w:t>
      </w:r>
      <w:r w:rsidR="008465F8" w:rsidRPr="00DB7CB2">
        <w:rPr>
          <w:rFonts w:cstheme="minorHAnsi"/>
        </w:rPr>
        <w:t xml:space="preserve"> </w:t>
      </w:r>
      <w:r w:rsidR="008465F8" w:rsidRPr="00DB7CB2">
        <w:rPr>
          <w:rFonts w:eastAsia="Times New Roman" w:cstheme="minorHAnsi"/>
        </w:rPr>
        <w:t xml:space="preserve">There are three </w:t>
      </w:r>
      <w:r w:rsidR="00D33238" w:rsidRPr="00DB7CB2">
        <w:rPr>
          <w:rFonts w:eastAsia="Times New Roman" w:cstheme="minorHAnsi"/>
        </w:rPr>
        <w:t xml:space="preserve">broad </w:t>
      </w:r>
      <w:r w:rsidR="008465F8" w:rsidRPr="00DB7CB2">
        <w:rPr>
          <w:rFonts w:eastAsia="Times New Roman" w:cstheme="minorHAnsi"/>
        </w:rPr>
        <w:t xml:space="preserve">types of benchmarking systems that can be employed to assess provider performance; absolute, negotiated and </w:t>
      </w:r>
      <w:r w:rsidR="008D3516" w:rsidRPr="00DB7CB2">
        <w:rPr>
          <w:rFonts w:eastAsia="Times New Roman" w:cstheme="minorHAnsi"/>
        </w:rPr>
        <w:t>adjusted</w:t>
      </w:r>
      <w:r w:rsidR="008465F8" w:rsidRPr="00DB7CB2">
        <w:rPr>
          <w:rFonts w:eastAsia="Times New Roman" w:cstheme="minorHAnsi"/>
        </w:rPr>
        <w:t xml:space="preserve"> benchmarking (Industry Reference Group, 2009). </w:t>
      </w:r>
    </w:p>
    <w:p w14:paraId="5C4EED23" w14:textId="77777777" w:rsidR="00172EE6" w:rsidRPr="00DB7CB2" w:rsidRDefault="008465F8" w:rsidP="00DB7CB2">
      <w:pPr>
        <w:pStyle w:val="ListParagraph"/>
        <w:numPr>
          <w:ilvl w:val="0"/>
          <w:numId w:val="26"/>
        </w:numPr>
        <w:spacing w:after="0" w:line="240" w:lineRule="auto"/>
        <w:rPr>
          <w:rFonts w:eastAsia="Times New Roman" w:cstheme="minorHAnsi"/>
        </w:rPr>
      </w:pPr>
      <w:r w:rsidRPr="00DB7CB2">
        <w:rPr>
          <w:rFonts w:eastAsia="Times New Roman" w:cstheme="minorHAnsi"/>
          <w:u w:val="single"/>
        </w:rPr>
        <w:t>An absolute benchmarking</w:t>
      </w:r>
      <w:r w:rsidRPr="00DB7CB2">
        <w:rPr>
          <w:rFonts w:eastAsia="Times New Roman" w:cstheme="minorHAnsi"/>
        </w:rPr>
        <w:t xml:space="preserve"> model consists of expressing one or more simple, nationally consistent pre-determined performance measures and required performance levels. </w:t>
      </w:r>
    </w:p>
    <w:p w14:paraId="5AEC409D" w14:textId="77777777" w:rsidR="00172EE6" w:rsidRPr="00DB7CB2" w:rsidRDefault="008465F8" w:rsidP="00DB7CB2">
      <w:pPr>
        <w:pStyle w:val="ListParagraph"/>
        <w:numPr>
          <w:ilvl w:val="0"/>
          <w:numId w:val="26"/>
        </w:numPr>
        <w:spacing w:after="0" w:line="240" w:lineRule="auto"/>
        <w:rPr>
          <w:rFonts w:eastAsia="Times New Roman" w:cstheme="minorHAnsi"/>
        </w:rPr>
      </w:pPr>
      <w:r w:rsidRPr="00DB7CB2">
        <w:rPr>
          <w:rFonts w:eastAsia="Times New Roman" w:cstheme="minorHAnsi"/>
          <w:u w:val="single"/>
        </w:rPr>
        <w:t>A negotiated benchmarking</w:t>
      </w:r>
      <w:r w:rsidRPr="00DB7CB2">
        <w:rPr>
          <w:rFonts w:eastAsia="Times New Roman" w:cstheme="minorHAnsi"/>
        </w:rPr>
        <w:t xml:space="preserve"> system is where performance targets are negotiated between the </w:t>
      </w:r>
      <w:r w:rsidR="00DB7CB2">
        <w:rPr>
          <w:rFonts w:eastAsia="Times New Roman" w:cstheme="minorHAnsi"/>
        </w:rPr>
        <w:t>department</w:t>
      </w:r>
      <w:r w:rsidRPr="00DB7CB2">
        <w:rPr>
          <w:rFonts w:eastAsia="Times New Roman" w:cstheme="minorHAnsi"/>
        </w:rPr>
        <w:t xml:space="preserve"> and each individual provider, taking into account</w:t>
      </w:r>
      <w:r w:rsidR="009D21B3" w:rsidRPr="00DB7CB2">
        <w:rPr>
          <w:rFonts w:eastAsia="Times New Roman" w:cstheme="minorHAnsi"/>
        </w:rPr>
        <w:t xml:space="preserve"> </w:t>
      </w:r>
      <w:r w:rsidR="00BD2376" w:rsidRPr="00DB7CB2">
        <w:rPr>
          <w:rFonts w:eastAsia="Times New Roman" w:cstheme="minorHAnsi"/>
        </w:rPr>
        <w:t>differences</w:t>
      </w:r>
      <w:r w:rsidR="009D21B3" w:rsidRPr="00DB7CB2">
        <w:rPr>
          <w:rFonts w:eastAsia="Times New Roman" w:cstheme="minorHAnsi"/>
        </w:rPr>
        <w:t xml:space="preserve"> in economic conditions and</w:t>
      </w:r>
      <w:r w:rsidRPr="00DB7CB2">
        <w:rPr>
          <w:rFonts w:eastAsia="Times New Roman" w:cstheme="minorHAnsi"/>
        </w:rPr>
        <w:t xml:space="preserve"> changes in the characteristics of the participants served by the program. </w:t>
      </w:r>
    </w:p>
    <w:p w14:paraId="3477AC44" w14:textId="77777777" w:rsidR="008465F8" w:rsidRPr="00DB7CB2" w:rsidRDefault="008465F8" w:rsidP="00DB7CB2">
      <w:pPr>
        <w:pStyle w:val="ListParagraph"/>
        <w:numPr>
          <w:ilvl w:val="0"/>
          <w:numId w:val="26"/>
        </w:numPr>
        <w:spacing w:after="0" w:line="240" w:lineRule="auto"/>
        <w:rPr>
          <w:rFonts w:cstheme="minorHAnsi"/>
        </w:rPr>
      </w:pPr>
      <w:r w:rsidRPr="00DB7CB2">
        <w:rPr>
          <w:rFonts w:eastAsia="Times New Roman" w:cstheme="minorHAnsi"/>
          <w:u w:val="single"/>
        </w:rPr>
        <w:t>A</w:t>
      </w:r>
      <w:r w:rsidR="00862FC2" w:rsidRPr="00DB7CB2">
        <w:rPr>
          <w:rFonts w:eastAsia="Times New Roman" w:cstheme="minorHAnsi"/>
          <w:u w:val="single"/>
        </w:rPr>
        <w:t xml:space="preserve">n adjusted </w:t>
      </w:r>
      <w:r w:rsidRPr="00DB7CB2">
        <w:rPr>
          <w:rFonts w:eastAsia="Times New Roman" w:cstheme="minorHAnsi"/>
          <w:u w:val="single"/>
        </w:rPr>
        <w:t>benchmarking</w:t>
      </w:r>
      <w:r w:rsidRPr="00DB7CB2">
        <w:rPr>
          <w:rFonts w:eastAsia="Times New Roman" w:cstheme="minorHAnsi"/>
        </w:rPr>
        <w:t xml:space="preserve"> system also takes account of </w:t>
      </w:r>
      <w:r w:rsidRPr="00DB7CB2">
        <w:rPr>
          <w:rFonts w:cstheme="minorHAnsi"/>
        </w:rPr>
        <w:t xml:space="preserve">local labour market conditions and individual </w:t>
      </w:r>
      <w:r w:rsidR="007957F5" w:rsidRPr="00DB7CB2">
        <w:rPr>
          <w:rFonts w:cstheme="minorHAnsi"/>
        </w:rPr>
        <w:t>job seeker</w:t>
      </w:r>
      <w:r w:rsidRPr="00DB7CB2">
        <w:rPr>
          <w:rFonts w:cstheme="minorHAnsi"/>
        </w:rPr>
        <w:t xml:space="preserve"> characteristics across providers. However, adjustments are calculated on a consistent basis across the national network of providers </w:t>
      </w:r>
      <w:r w:rsidR="00BD2376" w:rsidRPr="00DB7CB2">
        <w:rPr>
          <w:rFonts w:cstheme="minorHAnsi"/>
        </w:rPr>
        <w:t xml:space="preserve">techniques, such as </w:t>
      </w:r>
      <w:r w:rsidRPr="00DB7CB2">
        <w:rPr>
          <w:rFonts w:cstheme="minorHAnsi"/>
        </w:rPr>
        <w:t xml:space="preserve">regression </w:t>
      </w:r>
      <w:r w:rsidR="00BD2376" w:rsidRPr="00DB7CB2">
        <w:rPr>
          <w:rFonts w:cstheme="minorHAnsi"/>
        </w:rPr>
        <w:t>modelling</w:t>
      </w:r>
      <w:r w:rsidRPr="00DB7CB2">
        <w:rPr>
          <w:rFonts w:cstheme="minorHAnsi"/>
        </w:rPr>
        <w:t xml:space="preserve">. </w:t>
      </w:r>
    </w:p>
    <w:p w14:paraId="6E186F63" w14:textId="77777777" w:rsidR="00DB7CB2" w:rsidRDefault="00DB7CB2" w:rsidP="00DB7CB2">
      <w:pPr>
        <w:autoSpaceDE w:val="0"/>
        <w:autoSpaceDN w:val="0"/>
        <w:adjustRightInd w:val="0"/>
        <w:spacing w:after="0" w:line="240" w:lineRule="auto"/>
        <w:rPr>
          <w:rFonts w:cstheme="minorHAnsi"/>
        </w:rPr>
      </w:pPr>
    </w:p>
    <w:p w14:paraId="3A761C21" w14:textId="77777777" w:rsidR="00D71306" w:rsidRPr="00DB7CB2" w:rsidRDefault="00172EE6" w:rsidP="00DB7CB2">
      <w:pPr>
        <w:autoSpaceDE w:val="0"/>
        <w:autoSpaceDN w:val="0"/>
        <w:adjustRightInd w:val="0"/>
        <w:spacing w:after="0" w:line="240" w:lineRule="auto"/>
        <w:rPr>
          <w:rFonts w:eastAsia="Times New Roman" w:cstheme="minorHAnsi"/>
        </w:rPr>
      </w:pPr>
      <w:r w:rsidRPr="00DB7CB2">
        <w:rPr>
          <w:rFonts w:cstheme="minorHAnsi"/>
        </w:rPr>
        <w:t>A</w:t>
      </w:r>
      <w:r w:rsidR="00D71306" w:rsidRPr="00DB7CB2">
        <w:rPr>
          <w:rFonts w:cstheme="minorHAnsi"/>
        </w:rPr>
        <w:t>n in-depth analysis is conducted on the three different types of benchmarking</w:t>
      </w:r>
      <w:r w:rsidR="00D71306" w:rsidRPr="00DB7CB2">
        <w:rPr>
          <w:rFonts w:eastAsia="Times New Roman" w:cstheme="minorHAnsi"/>
        </w:rPr>
        <w:t xml:space="preserve"> systems. This includes the </w:t>
      </w:r>
      <w:r w:rsidR="00764B29" w:rsidRPr="00DB7CB2">
        <w:rPr>
          <w:rFonts w:eastAsia="Times New Roman" w:cstheme="minorHAnsi"/>
        </w:rPr>
        <w:t>issues involved in implementing a benchmarking model</w:t>
      </w:r>
      <w:r w:rsidRPr="00DB7CB2">
        <w:rPr>
          <w:rFonts w:eastAsia="Times New Roman" w:cstheme="minorHAnsi"/>
        </w:rPr>
        <w:t>, whether they possess the features that a performance framework should possess</w:t>
      </w:r>
      <w:r w:rsidR="00764B29" w:rsidRPr="00DB7CB2">
        <w:rPr>
          <w:rFonts w:eastAsia="Times New Roman" w:cstheme="minorHAnsi"/>
        </w:rPr>
        <w:t xml:space="preserve"> as well</w:t>
      </w:r>
      <w:r w:rsidR="00D71306" w:rsidRPr="00DB7CB2">
        <w:rPr>
          <w:rFonts w:eastAsia="Times New Roman" w:cstheme="minorHAnsi"/>
        </w:rPr>
        <w:t xml:space="preserve"> as international case studies showing how each system has been implemented in </w:t>
      </w:r>
      <w:r w:rsidR="00BD2376" w:rsidRPr="00DB7CB2">
        <w:rPr>
          <w:rFonts w:eastAsia="Times New Roman" w:cstheme="minorHAnsi"/>
        </w:rPr>
        <w:t>areas of</w:t>
      </w:r>
      <w:r w:rsidR="00D71306" w:rsidRPr="00DB7CB2">
        <w:rPr>
          <w:rFonts w:eastAsia="Times New Roman" w:cstheme="minorHAnsi"/>
        </w:rPr>
        <w:t xml:space="preserve"> public </w:t>
      </w:r>
      <w:r w:rsidR="00BD2376" w:rsidRPr="00DB7CB2">
        <w:rPr>
          <w:rFonts w:eastAsia="Times New Roman" w:cstheme="minorHAnsi"/>
        </w:rPr>
        <w:t>policy</w:t>
      </w:r>
      <w:r w:rsidR="00D71306" w:rsidRPr="00DB7CB2">
        <w:rPr>
          <w:rFonts w:eastAsia="Times New Roman" w:cstheme="minorHAnsi"/>
        </w:rPr>
        <w:t>.</w:t>
      </w:r>
    </w:p>
    <w:p w14:paraId="6021FEDE" w14:textId="77777777" w:rsidR="00321B37" w:rsidRPr="00E4024E" w:rsidRDefault="00321B37" w:rsidP="00E4024E">
      <w:pPr>
        <w:pStyle w:val="Heading2"/>
        <w:keepNext/>
        <w:numPr>
          <w:ilvl w:val="1"/>
          <w:numId w:val="16"/>
        </w:numPr>
        <w:spacing w:before="240" w:beforeAutospacing="0" w:after="240" w:afterAutospacing="0"/>
        <w:ind w:left="0" w:firstLine="0"/>
        <w:rPr>
          <w:rFonts w:ascii="Calibri" w:hAnsi="Calibri" w:cs="Arial"/>
          <w:i/>
          <w:iCs/>
          <w:sz w:val="28"/>
          <w:szCs w:val="28"/>
        </w:rPr>
      </w:pPr>
      <w:bookmarkStart w:id="11" w:name="_Toc365872631"/>
      <w:r w:rsidRPr="00E4024E">
        <w:rPr>
          <w:rFonts w:ascii="Calibri" w:hAnsi="Calibri" w:cs="Arial"/>
          <w:i/>
          <w:iCs/>
          <w:sz w:val="28"/>
          <w:szCs w:val="28"/>
        </w:rPr>
        <w:t>Absolute Benchmarking</w:t>
      </w:r>
      <w:r w:rsidR="00957C27" w:rsidRPr="00E4024E">
        <w:rPr>
          <w:rFonts w:ascii="Calibri" w:hAnsi="Calibri" w:cs="Arial"/>
          <w:i/>
          <w:iCs/>
          <w:sz w:val="28"/>
          <w:szCs w:val="28"/>
        </w:rPr>
        <w:t xml:space="preserve"> Model</w:t>
      </w:r>
      <w:bookmarkEnd w:id="11"/>
    </w:p>
    <w:p w14:paraId="133B8589" w14:textId="75B5C3E5" w:rsidR="0097727F" w:rsidRPr="00DB7CB2" w:rsidRDefault="00E92931" w:rsidP="00DB7CB2">
      <w:pPr>
        <w:autoSpaceDE w:val="0"/>
        <w:autoSpaceDN w:val="0"/>
        <w:adjustRightInd w:val="0"/>
        <w:spacing w:after="0" w:line="240" w:lineRule="auto"/>
        <w:rPr>
          <w:rFonts w:eastAsia="Times New Roman" w:cstheme="minorHAnsi"/>
        </w:rPr>
      </w:pPr>
      <w:r w:rsidRPr="00DB7CB2">
        <w:rPr>
          <w:rFonts w:eastAsia="Times New Roman" w:cstheme="minorHAnsi"/>
        </w:rPr>
        <w:t xml:space="preserve">An </w:t>
      </w:r>
      <w:r w:rsidR="00321B37" w:rsidRPr="00DB7CB2">
        <w:rPr>
          <w:rFonts w:eastAsia="Times New Roman" w:cstheme="minorHAnsi"/>
        </w:rPr>
        <w:t xml:space="preserve">absolute benchmarking </w:t>
      </w:r>
      <w:r w:rsidRPr="00DB7CB2">
        <w:rPr>
          <w:rFonts w:eastAsia="Times New Roman" w:cstheme="minorHAnsi"/>
        </w:rPr>
        <w:t xml:space="preserve">model </w:t>
      </w:r>
      <w:r w:rsidR="00321B37" w:rsidRPr="00DB7CB2">
        <w:rPr>
          <w:rFonts w:eastAsia="Times New Roman" w:cstheme="minorHAnsi"/>
        </w:rPr>
        <w:t>consists of expressing one or more simple, nationally consistent pre-determined performance measures and required perfor</w:t>
      </w:r>
      <w:r w:rsidR="00D05390">
        <w:rPr>
          <w:rFonts w:eastAsia="Times New Roman" w:cstheme="minorHAnsi"/>
        </w:rPr>
        <w:t>mance levels. For example, DSS</w:t>
      </w:r>
      <w:r w:rsidR="00321B37" w:rsidRPr="00DB7CB2">
        <w:rPr>
          <w:rFonts w:eastAsia="Times New Roman" w:cstheme="minorHAnsi"/>
        </w:rPr>
        <w:t xml:space="preserve"> may institute a target of 40</w:t>
      </w:r>
      <w:r w:rsidR="00DB7CB2">
        <w:rPr>
          <w:rFonts w:eastAsia="Times New Roman" w:cstheme="minorHAnsi"/>
        </w:rPr>
        <w:t xml:space="preserve"> </w:t>
      </w:r>
      <w:r w:rsidR="00DB7CB2" w:rsidRPr="00DB7CB2">
        <w:rPr>
          <w:rFonts w:eastAsia="Times New Roman" w:cstheme="minorHAnsi"/>
        </w:rPr>
        <w:t>per cent</w:t>
      </w:r>
      <w:r w:rsidR="00321B37" w:rsidRPr="00DB7CB2">
        <w:rPr>
          <w:rFonts w:eastAsia="Times New Roman" w:cstheme="minorHAnsi"/>
        </w:rPr>
        <w:t xml:space="preserve"> for </w:t>
      </w:r>
      <w:r w:rsidR="007A0827" w:rsidRPr="00DB7CB2">
        <w:rPr>
          <w:rFonts w:eastAsia="Times New Roman" w:cstheme="minorHAnsi"/>
        </w:rPr>
        <w:t xml:space="preserve">payable </w:t>
      </w:r>
      <w:r w:rsidR="00321B37" w:rsidRPr="00DB7CB2">
        <w:rPr>
          <w:rFonts w:eastAsia="Times New Roman" w:cstheme="minorHAnsi"/>
        </w:rPr>
        <w:t xml:space="preserve">13 week full outcomes. This means that over the performance period, all providers are required </w:t>
      </w:r>
      <w:r w:rsidR="00957C27" w:rsidRPr="00DB7CB2">
        <w:rPr>
          <w:rFonts w:eastAsia="Times New Roman" w:cstheme="minorHAnsi"/>
        </w:rPr>
        <w:t>to place a minimum 40</w:t>
      </w:r>
      <w:r w:rsidR="007B2B78">
        <w:rPr>
          <w:rFonts w:eastAsia="Times New Roman" w:cstheme="minorHAnsi"/>
        </w:rPr>
        <w:t xml:space="preserve"> </w:t>
      </w:r>
      <w:r w:rsidR="00DB7CB2" w:rsidRPr="00DB7CB2">
        <w:rPr>
          <w:rFonts w:eastAsia="Times New Roman" w:cstheme="minorHAnsi"/>
        </w:rPr>
        <w:t>per cent</w:t>
      </w:r>
      <w:r w:rsidR="00957C27" w:rsidRPr="00DB7CB2">
        <w:rPr>
          <w:rFonts w:eastAsia="Times New Roman" w:cstheme="minorHAnsi"/>
        </w:rPr>
        <w:t xml:space="preserve"> of eligible </w:t>
      </w:r>
      <w:r w:rsidR="00BD2376" w:rsidRPr="00DB7CB2">
        <w:rPr>
          <w:rFonts w:eastAsia="Times New Roman" w:cstheme="minorHAnsi"/>
        </w:rPr>
        <w:t>participants</w:t>
      </w:r>
      <w:r w:rsidR="00957C27" w:rsidRPr="00DB7CB2">
        <w:rPr>
          <w:rFonts w:eastAsia="Times New Roman" w:cstheme="minorHAnsi"/>
        </w:rPr>
        <w:t xml:space="preserve"> into employment for a minimum of 13 weeks. </w:t>
      </w:r>
      <w:r w:rsidR="00172EE6" w:rsidRPr="00DB7CB2">
        <w:rPr>
          <w:rFonts w:eastAsia="Times New Roman" w:cstheme="minorHAnsi"/>
        </w:rPr>
        <w:t xml:space="preserve">Proponents of absolute benchmarking suggest a number of advantages in using this type of model. </w:t>
      </w:r>
    </w:p>
    <w:p w14:paraId="6D7E880C" w14:textId="77777777" w:rsidR="0097727F" w:rsidRPr="00DB7CB2" w:rsidRDefault="0097727F" w:rsidP="00DB7CB2">
      <w:pPr>
        <w:autoSpaceDE w:val="0"/>
        <w:autoSpaceDN w:val="0"/>
        <w:adjustRightInd w:val="0"/>
        <w:spacing w:after="0" w:line="240" w:lineRule="auto"/>
        <w:rPr>
          <w:rFonts w:eastAsia="Times New Roman" w:cstheme="minorHAnsi"/>
        </w:rPr>
      </w:pPr>
    </w:p>
    <w:p w14:paraId="2A3625CD" w14:textId="77777777" w:rsidR="0097727F" w:rsidRPr="00DB7CB2" w:rsidRDefault="0097727F" w:rsidP="00DB7CB2">
      <w:pPr>
        <w:pStyle w:val="ListParagraph"/>
        <w:numPr>
          <w:ilvl w:val="0"/>
          <w:numId w:val="27"/>
        </w:numPr>
        <w:autoSpaceDE w:val="0"/>
        <w:autoSpaceDN w:val="0"/>
        <w:adjustRightInd w:val="0"/>
        <w:spacing w:after="0" w:line="240" w:lineRule="auto"/>
        <w:rPr>
          <w:rFonts w:cstheme="minorHAnsi"/>
        </w:rPr>
      </w:pPr>
      <w:r w:rsidRPr="00DB7CB2">
        <w:rPr>
          <w:rFonts w:eastAsia="Times New Roman" w:cstheme="minorHAnsi"/>
          <w:u w:val="single"/>
        </w:rPr>
        <w:t>Certainty of performance:</w:t>
      </w:r>
      <w:r w:rsidRPr="00DB7CB2">
        <w:rPr>
          <w:rFonts w:eastAsia="Times New Roman" w:cstheme="minorHAnsi"/>
        </w:rPr>
        <w:t xml:space="preserve"> </w:t>
      </w:r>
      <w:r w:rsidR="00907285" w:rsidRPr="00DB7CB2">
        <w:rPr>
          <w:rFonts w:cstheme="minorHAnsi"/>
        </w:rPr>
        <w:t>The key argument in favour of establishing an absolute benchmark</w:t>
      </w:r>
      <w:r w:rsidR="001D04A7">
        <w:rPr>
          <w:rFonts w:cstheme="minorHAnsi"/>
        </w:rPr>
        <w:t>ing</w:t>
      </w:r>
      <w:r w:rsidR="00907285" w:rsidRPr="00DB7CB2">
        <w:rPr>
          <w:rFonts w:cstheme="minorHAnsi"/>
        </w:rPr>
        <w:t xml:space="preserve"> system is greater transparency for providers. It provides the greatest level of certainty for providers about the level of performance required to achieve certain ratings. </w:t>
      </w:r>
      <w:r w:rsidRPr="00DB7CB2">
        <w:rPr>
          <w:rFonts w:cstheme="minorHAnsi"/>
        </w:rPr>
        <w:t xml:space="preserve">Ultimately, the department would relieve providers of the risks involved in forecasting future acceptable performance standards. By knowing in advance what performance level is required to achieve the benchmark it allows providers to plan ahead to </w:t>
      </w:r>
      <w:r w:rsidR="007B2B78">
        <w:rPr>
          <w:rFonts w:cstheme="minorHAnsi"/>
        </w:rPr>
        <w:t>work towards achieving these targets</w:t>
      </w:r>
      <w:r w:rsidRPr="00DB7CB2">
        <w:rPr>
          <w:rFonts w:cstheme="minorHAnsi"/>
        </w:rPr>
        <w:t>.</w:t>
      </w:r>
    </w:p>
    <w:p w14:paraId="7A55039C" w14:textId="77777777" w:rsidR="00BD2376" w:rsidRPr="00DB7CB2" w:rsidRDefault="00BD2376" w:rsidP="00DB7CB2">
      <w:pPr>
        <w:pStyle w:val="ListParagraph"/>
        <w:numPr>
          <w:ilvl w:val="0"/>
          <w:numId w:val="27"/>
        </w:numPr>
        <w:autoSpaceDE w:val="0"/>
        <w:autoSpaceDN w:val="0"/>
        <w:adjustRightInd w:val="0"/>
        <w:spacing w:after="0" w:line="240" w:lineRule="auto"/>
        <w:rPr>
          <w:rFonts w:eastAsia="Times New Roman" w:cstheme="minorHAnsi"/>
        </w:rPr>
      </w:pPr>
      <w:r w:rsidRPr="00DB7CB2">
        <w:rPr>
          <w:rFonts w:eastAsia="Times New Roman" w:cstheme="minorHAnsi"/>
          <w:u w:val="single"/>
        </w:rPr>
        <w:t>Collaboration:</w:t>
      </w:r>
      <w:r w:rsidRPr="00DB7CB2">
        <w:rPr>
          <w:rFonts w:eastAsia="Times New Roman" w:cstheme="minorHAnsi"/>
        </w:rPr>
        <w:t xml:space="preserve"> It allows for setting a target based on best practice, which would encourage collaboration amongst providers to share information that can improve each other’s performance in</w:t>
      </w:r>
      <w:r w:rsidR="007B2B78">
        <w:rPr>
          <w:rFonts w:eastAsia="Times New Roman" w:cstheme="minorHAnsi"/>
        </w:rPr>
        <w:t xml:space="preserve"> order to achieve the targets.</w:t>
      </w:r>
    </w:p>
    <w:p w14:paraId="2A786538" w14:textId="77777777" w:rsidR="0097727F" w:rsidRPr="00DB7CB2" w:rsidRDefault="0097727F" w:rsidP="00DB7CB2">
      <w:pPr>
        <w:pStyle w:val="ListParagraph"/>
        <w:numPr>
          <w:ilvl w:val="0"/>
          <w:numId w:val="27"/>
        </w:numPr>
        <w:autoSpaceDE w:val="0"/>
        <w:autoSpaceDN w:val="0"/>
        <w:adjustRightInd w:val="0"/>
        <w:spacing w:after="0" w:line="240" w:lineRule="auto"/>
        <w:rPr>
          <w:rFonts w:cstheme="minorHAnsi"/>
        </w:rPr>
      </w:pPr>
      <w:r w:rsidRPr="00DB7CB2">
        <w:rPr>
          <w:rFonts w:cstheme="minorHAnsi"/>
          <w:u w:val="single"/>
        </w:rPr>
        <w:t>Transparency:</w:t>
      </w:r>
      <w:r w:rsidRPr="00DB7CB2">
        <w:rPr>
          <w:rFonts w:cstheme="minorHAnsi"/>
        </w:rPr>
        <w:t xml:space="preserve"> </w:t>
      </w:r>
      <w:r w:rsidR="00907285" w:rsidRPr="00DB7CB2">
        <w:rPr>
          <w:rFonts w:cstheme="minorHAnsi"/>
        </w:rPr>
        <w:t xml:space="preserve">Under absolute benchmark systems, providers would </w:t>
      </w:r>
      <w:r w:rsidR="00172EE6" w:rsidRPr="00DB7CB2">
        <w:rPr>
          <w:rFonts w:cstheme="minorHAnsi"/>
        </w:rPr>
        <w:t>have a better</w:t>
      </w:r>
      <w:r w:rsidR="00907285" w:rsidRPr="00DB7CB2">
        <w:rPr>
          <w:rFonts w:cstheme="minorHAnsi"/>
        </w:rPr>
        <w:t xml:space="preserve"> understanding of the process </w:t>
      </w:r>
      <w:r w:rsidR="001D04A7">
        <w:rPr>
          <w:rFonts w:cstheme="minorHAnsi"/>
        </w:rPr>
        <w:t>used to determine their</w:t>
      </w:r>
      <w:r w:rsidR="007B2B78">
        <w:rPr>
          <w:rFonts w:cstheme="minorHAnsi"/>
        </w:rPr>
        <w:t xml:space="preserve"> performance assessment or rating</w:t>
      </w:r>
      <w:r w:rsidR="00907285" w:rsidRPr="00DB7CB2">
        <w:rPr>
          <w:rFonts w:cstheme="minorHAnsi"/>
        </w:rPr>
        <w:t xml:space="preserve">. </w:t>
      </w:r>
    </w:p>
    <w:p w14:paraId="67CFDE66" w14:textId="110A8BBA" w:rsidR="0097727F" w:rsidRDefault="0097727F" w:rsidP="00DB7CB2">
      <w:pPr>
        <w:pStyle w:val="ListParagraph"/>
        <w:numPr>
          <w:ilvl w:val="0"/>
          <w:numId w:val="27"/>
        </w:numPr>
        <w:autoSpaceDE w:val="0"/>
        <w:autoSpaceDN w:val="0"/>
        <w:adjustRightInd w:val="0"/>
        <w:spacing w:after="0" w:line="240" w:lineRule="auto"/>
        <w:rPr>
          <w:rFonts w:eastAsia="Times New Roman" w:cstheme="minorHAnsi"/>
        </w:rPr>
      </w:pPr>
      <w:r w:rsidRPr="00DB7CB2">
        <w:rPr>
          <w:rFonts w:cstheme="minorHAnsi"/>
          <w:u w:val="single"/>
        </w:rPr>
        <w:lastRenderedPageBreak/>
        <w:t xml:space="preserve">Reduced Administration </w:t>
      </w:r>
      <w:r w:rsidR="001D04A7">
        <w:rPr>
          <w:rFonts w:cstheme="minorHAnsi"/>
          <w:u w:val="single"/>
        </w:rPr>
        <w:t xml:space="preserve">for </w:t>
      </w:r>
      <w:r w:rsidRPr="00DB7CB2">
        <w:rPr>
          <w:rFonts w:cstheme="minorHAnsi"/>
          <w:u w:val="single"/>
        </w:rPr>
        <w:t>providers:</w:t>
      </w:r>
      <w:r w:rsidRPr="00DB7CB2">
        <w:rPr>
          <w:rFonts w:cstheme="minorHAnsi"/>
        </w:rPr>
        <w:t xml:space="preserve"> </w:t>
      </w:r>
      <w:r w:rsidRPr="00DB7CB2">
        <w:rPr>
          <w:rFonts w:eastAsia="Times New Roman" w:cstheme="minorHAnsi"/>
        </w:rPr>
        <w:t>An absolute benchmark</w:t>
      </w:r>
      <w:r w:rsidR="00957C27" w:rsidRPr="00DB7CB2">
        <w:rPr>
          <w:rFonts w:eastAsia="Times New Roman" w:cstheme="minorHAnsi"/>
        </w:rPr>
        <w:t xml:space="preserve"> is easy to apply as the performance targets are consistent across providers. </w:t>
      </w:r>
      <w:r w:rsidR="00907285" w:rsidRPr="00DB7CB2">
        <w:rPr>
          <w:rFonts w:eastAsia="Times New Roman" w:cstheme="minorHAnsi"/>
        </w:rPr>
        <w:t xml:space="preserve">This can reduce the Department’s administration costs in implementing the performance framework. </w:t>
      </w:r>
    </w:p>
    <w:p w14:paraId="5C9F235A" w14:textId="74459EC3" w:rsidR="00121F38" w:rsidRDefault="00121F38" w:rsidP="00121F38">
      <w:pPr>
        <w:autoSpaceDE w:val="0"/>
        <w:autoSpaceDN w:val="0"/>
        <w:adjustRightInd w:val="0"/>
        <w:spacing w:after="0" w:line="240" w:lineRule="auto"/>
        <w:rPr>
          <w:rFonts w:eastAsia="Times New Roman" w:cstheme="minorHAnsi"/>
        </w:rPr>
      </w:pPr>
    </w:p>
    <w:p w14:paraId="233BD457" w14:textId="77777777" w:rsidR="00121F38" w:rsidRPr="00DB7CB2" w:rsidRDefault="00121F38" w:rsidP="00121F38">
      <w:pPr>
        <w:pBdr>
          <w:top w:val="single" w:sz="4" w:space="1" w:color="auto"/>
          <w:left w:val="single" w:sz="4" w:space="4" w:color="auto"/>
          <w:right w:val="single" w:sz="4" w:space="1" w:color="auto"/>
        </w:pBdr>
        <w:autoSpaceDE w:val="0"/>
        <w:autoSpaceDN w:val="0"/>
        <w:adjustRightInd w:val="0"/>
        <w:rPr>
          <w:rFonts w:cstheme="minorHAnsi"/>
          <w:b/>
        </w:rPr>
      </w:pPr>
      <w:r w:rsidRPr="00DB7CB2">
        <w:rPr>
          <w:rFonts w:cstheme="minorHAnsi"/>
          <w:b/>
        </w:rPr>
        <w:t>International Case Study on Absolute Benchmarking: United Kingdom Work Programme</w:t>
      </w:r>
    </w:p>
    <w:p w14:paraId="4BAF3DDB" w14:textId="77777777" w:rsidR="00121F38" w:rsidRPr="00DB7CB2" w:rsidRDefault="00121F38" w:rsidP="00121F38">
      <w:pPr>
        <w:pBdr>
          <w:left w:val="single" w:sz="4" w:space="4" w:color="auto"/>
          <w:right w:val="single" w:sz="4" w:space="1" w:color="auto"/>
        </w:pBdr>
        <w:autoSpaceDE w:val="0"/>
        <w:autoSpaceDN w:val="0"/>
        <w:adjustRightInd w:val="0"/>
        <w:rPr>
          <w:rFonts w:cstheme="minorHAnsi"/>
        </w:rPr>
      </w:pPr>
      <w:r w:rsidRPr="00DB7CB2">
        <w:rPr>
          <w:rFonts w:cstheme="minorHAnsi"/>
        </w:rPr>
        <w:t>The United Kingdom (U.K.) Work Programme (WP) is an integrated welfare-to-work program implemented across England, Wales and Scotland by the UK Government in June 2011. It replaces a range of predecessor programs, including Pathways to Work and the Flexible New Deal (FND) (</w:t>
      </w:r>
      <w:r w:rsidRPr="00D05390">
        <w:rPr>
          <w:rFonts w:cstheme="minorHAnsi"/>
        </w:rPr>
        <w:t>Newton et al., 2012). Similar to DES and JSA, it is a welfare-to-work program contracted through private and voluntary sector contractors (DWP, 2008</w:t>
      </w:r>
      <w:r w:rsidRPr="00DB7CB2">
        <w:rPr>
          <w:rFonts w:cstheme="minorHAnsi"/>
        </w:rPr>
        <w:t xml:space="preserve">). </w:t>
      </w:r>
    </w:p>
    <w:p w14:paraId="10594E61" w14:textId="77777777" w:rsidR="00121F38" w:rsidRPr="00DB7CB2" w:rsidRDefault="00121F38" w:rsidP="00121F38">
      <w:pPr>
        <w:pStyle w:val="Default"/>
        <w:pBdr>
          <w:left w:val="single" w:sz="4" w:space="4" w:color="auto"/>
          <w:right w:val="single" w:sz="4" w:space="1" w:color="auto"/>
        </w:pBdr>
        <w:spacing w:after="120"/>
        <w:rPr>
          <w:rFonts w:asciiTheme="minorHAnsi" w:hAnsiTheme="minorHAnsi" w:cstheme="minorHAnsi"/>
          <w:sz w:val="22"/>
          <w:szCs w:val="22"/>
        </w:rPr>
      </w:pPr>
      <w:r w:rsidRPr="00DB7CB2">
        <w:rPr>
          <w:rFonts w:asciiTheme="minorHAnsi" w:hAnsiTheme="minorHAnsi" w:cstheme="minorHAnsi"/>
          <w:sz w:val="22"/>
          <w:szCs w:val="22"/>
        </w:rPr>
        <w:t xml:space="preserve">The contract is paid through a payment model focussing on rewarding outcomes. This includes: </w:t>
      </w:r>
    </w:p>
    <w:p w14:paraId="4D209230" w14:textId="3B119681" w:rsidR="00121F38" w:rsidRPr="00DB7CB2" w:rsidRDefault="004022AF" w:rsidP="007F34D5">
      <w:pPr>
        <w:pStyle w:val="Default"/>
        <w:pBdr>
          <w:left w:val="single" w:sz="4" w:space="4" w:color="auto"/>
          <w:right w:val="single" w:sz="4" w:space="1" w:color="auto"/>
        </w:pBdr>
        <w:tabs>
          <w:tab w:val="left" w:pos="709"/>
        </w:tabs>
        <w:ind w:firstLine="284"/>
        <w:rPr>
          <w:rFonts w:asciiTheme="minorHAnsi" w:hAnsiTheme="minorHAnsi" w:cstheme="minorHAnsi"/>
          <w:color w:val="auto"/>
          <w:sz w:val="22"/>
          <w:szCs w:val="22"/>
        </w:rPr>
      </w:pPr>
      <w:r w:rsidRPr="004022AF">
        <w:rPr>
          <w:rFonts w:asciiTheme="minorHAnsi" w:hAnsiTheme="minorHAnsi" w:cstheme="minorHAnsi"/>
          <w:color w:val="auto"/>
          <w:sz w:val="22"/>
          <w:szCs w:val="22"/>
        </w:rPr>
        <w:t>1)</w:t>
      </w:r>
      <w:r>
        <w:rPr>
          <w:rFonts w:asciiTheme="minorHAnsi" w:hAnsiTheme="minorHAnsi" w:cstheme="minorHAnsi"/>
          <w:color w:val="auto"/>
          <w:sz w:val="22"/>
          <w:szCs w:val="22"/>
        </w:rPr>
        <w:t xml:space="preserve"> </w:t>
      </w:r>
      <w:r>
        <w:rPr>
          <w:rFonts w:asciiTheme="minorHAnsi" w:hAnsiTheme="minorHAnsi" w:cstheme="minorHAnsi"/>
          <w:color w:val="auto"/>
          <w:sz w:val="22"/>
          <w:szCs w:val="22"/>
        </w:rPr>
        <w:tab/>
      </w:r>
      <w:r w:rsidR="00121F38" w:rsidRPr="00DB7CB2">
        <w:rPr>
          <w:rFonts w:asciiTheme="minorHAnsi" w:hAnsiTheme="minorHAnsi" w:cstheme="minorHAnsi"/>
          <w:color w:val="auto"/>
          <w:sz w:val="22"/>
          <w:szCs w:val="22"/>
        </w:rPr>
        <w:t>Attachment fees</w:t>
      </w:r>
    </w:p>
    <w:p w14:paraId="7595290E" w14:textId="6D42B952" w:rsidR="00121F38" w:rsidRPr="00DB7CB2" w:rsidRDefault="004022AF" w:rsidP="007F34D5">
      <w:pPr>
        <w:pStyle w:val="Default"/>
        <w:pBdr>
          <w:left w:val="single" w:sz="4" w:space="4" w:color="auto"/>
          <w:right w:val="single" w:sz="4" w:space="1" w:color="auto"/>
        </w:pBdr>
        <w:tabs>
          <w:tab w:val="left" w:pos="709"/>
        </w:tabs>
        <w:ind w:firstLine="284"/>
        <w:rPr>
          <w:rFonts w:asciiTheme="minorHAnsi" w:hAnsiTheme="minorHAnsi" w:cstheme="minorHAnsi"/>
          <w:color w:val="auto"/>
          <w:sz w:val="22"/>
          <w:szCs w:val="22"/>
        </w:rPr>
      </w:pPr>
      <w:r>
        <w:rPr>
          <w:rFonts w:asciiTheme="minorHAnsi" w:hAnsiTheme="minorHAnsi" w:cstheme="minorHAnsi"/>
          <w:color w:val="auto"/>
          <w:sz w:val="22"/>
          <w:szCs w:val="22"/>
        </w:rPr>
        <w:t>2)</w:t>
      </w:r>
      <w:r>
        <w:rPr>
          <w:rFonts w:asciiTheme="minorHAnsi" w:hAnsiTheme="minorHAnsi" w:cstheme="minorHAnsi"/>
          <w:color w:val="auto"/>
          <w:sz w:val="22"/>
          <w:szCs w:val="22"/>
        </w:rPr>
        <w:tab/>
      </w:r>
      <w:r w:rsidR="00121F38" w:rsidRPr="00DB7CB2">
        <w:rPr>
          <w:rFonts w:asciiTheme="minorHAnsi" w:hAnsiTheme="minorHAnsi" w:cstheme="minorHAnsi"/>
          <w:color w:val="auto"/>
          <w:sz w:val="22"/>
          <w:szCs w:val="22"/>
        </w:rPr>
        <w:t>Job Outcome payments</w:t>
      </w:r>
    </w:p>
    <w:p w14:paraId="7654F452" w14:textId="2C3ADFB6" w:rsidR="00121F38" w:rsidRPr="00DB7CB2" w:rsidRDefault="004022AF" w:rsidP="007F34D5">
      <w:pPr>
        <w:pStyle w:val="Default"/>
        <w:pBdr>
          <w:left w:val="single" w:sz="4" w:space="4" w:color="auto"/>
          <w:right w:val="single" w:sz="4" w:space="1" w:color="auto"/>
        </w:pBdr>
        <w:tabs>
          <w:tab w:val="left" w:pos="709"/>
        </w:tabs>
        <w:ind w:firstLine="284"/>
        <w:rPr>
          <w:rFonts w:asciiTheme="minorHAnsi" w:hAnsiTheme="minorHAnsi" w:cstheme="minorHAnsi"/>
          <w:color w:val="auto"/>
          <w:sz w:val="22"/>
          <w:szCs w:val="22"/>
        </w:rPr>
      </w:pPr>
      <w:r>
        <w:rPr>
          <w:rFonts w:asciiTheme="minorHAnsi" w:hAnsiTheme="minorHAnsi" w:cstheme="minorHAnsi"/>
          <w:color w:val="auto"/>
          <w:sz w:val="22"/>
          <w:szCs w:val="22"/>
        </w:rPr>
        <w:t>3)</w:t>
      </w:r>
      <w:r>
        <w:rPr>
          <w:rFonts w:asciiTheme="minorHAnsi" w:hAnsiTheme="minorHAnsi" w:cstheme="minorHAnsi"/>
          <w:color w:val="auto"/>
          <w:sz w:val="22"/>
          <w:szCs w:val="22"/>
        </w:rPr>
        <w:tab/>
      </w:r>
      <w:r w:rsidR="00121F38" w:rsidRPr="00DB7CB2">
        <w:rPr>
          <w:rFonts w:asciiTheme="minorHAnsi" w:hAnsiTheme="minorHAnsi" w:cstheme="minorHAnsi"/>
          <w:color w:val="auto"/>
          <w:sz w:val="22"/>
          <w:szCs w:val="22"/>
        </w:rPr>
        <w:t xml:space="preserve">Sustainment Outcome payments and </w:t>
      </w:r>
    </w:p>
    <w:p w14:paraId="342DDFE8" w14:textId="7C64B553" w:rsidR="00121F38" w:rsidRPr="00DB7CB2" w:rsidRDefault="004022AF" w:rsidP="007F34D5">
      <w:pPr>
        <w:pStyle w:val="Default"/>
        <w:pBdr>
          <w:left w:val="single" w:sz="4" w:space="4" w:color="auto"/>
          <w:right w:val="single" w:sz="4" w:space="1" w:color="auto"/>
        </w:pBdr>
        <w:tabs>
          <w:tab w:val="left" w:pos="709"/>
        </w:tabs>
        <w:spacing w:after="120"/>
        <w:ind w:firstLine="284"/>
        <w:rPr>
          <w:rFonts w:asciiTheme="minorHAnsi" w:hAnsiTheme="minorHAnsi" w:cstheme="minorHAnsi"/>
          <w:color w:val="auto"/>
          <w:sz w:val="22"/>
          <w:szCs w:val="22"/>
        </w:rPr>
      </w:pPr>
      <w:r>
        <w:rPr>
          <w:rFonts w:asciiTheme="minorHAnsi" w:hAnsiTheme="minorHAnsi" w:cstheme="minorHAnsi"/>
          <w:color w:val="auto"/>
          <w:sz w:val="22"/>
          <w:szCs w:val="22"/>
        </w:rPr>
        <w:t>4)</w:t>
      </w:r>
      <w:r>
        <w:rPr>
          <w:rFonts w:asciiTheme="minorHAnsi" w:hAnsiTheme="minorHAnsi" w:cstheme="minorHAnsi"/>
          <w:color w:val="auto"/>
          <w:sz w:val="22"/>
          <w:szCs w:val="22"/>
        </w:rPr>
        <w:tab/>
      </w:r>
      <w:r w:rsidR="00121F38" w:rsidRPr="00DB7CB2">
        <w:rPr>
          <w:rFonts w:asciiTheme="minorHAnsi" w:hAnsiTheme="minorHAnsi" w:cstheme="minorHAnsi"/>
          <w:color w:val="auto"/>
          <w:sz w:val="22"/>
          <w:szCs w:val="22"/>
        </w:rPr>
        <w:t xml:space="preserve">Incentive payments. </w:t>
      </w:r>
    </w:p>
    <w:p w14:paraId="2DE89C0C" w14:textId="41680BBB" w:rsidR="00121F38" w:rsidRPr="00121F38" w:rsidRDefault="00121F38" w:rsidP="00121F38">
      <w:pPr>
        <w:pBdr>
          <w:left w:val="single" w:sz="4" w:space="4" w:color="auto"/>
          <w:bottom w:val="single" w:sz="4" w:space="1" w:color="auto"/>
          <w:right w:val="single" w:sz="4" w:space="1" w:color="auto"/>
        </w:pBdr>
        <w:autoSpaceDE w:val="0"/>
        <w:autoSpaceDN w:val="0"/>
        <w:adjustRightInd w:val="0"/>
        <w:spacing w:after="0" w:line="240" w:lineRule="auto"/>
        <w:rPr>
          <w:rFonts w:eastAsia="Times New Roman" w:cstheme="minorHAnsi"/>
        </w:rPr>
      </w:pPr>
      <w:r w:rsidRPr="00DB7CB2">
        <w:rPr>
          <w:rFonts w:cstheme="minorHAnsi"/>
          <w:color w:val="000000"/>
        </w:rPr>
        <w:t>In assessing the performance of the providers,</w:t>
      </w:r>
      <w:r>
        <w:rPr>
          <w:rFonts w:cstheme="minorHAnsi"/>
          <w:color w:val="000000"/>
        </w:rPr>
        <w:t xml:space="preserve"> the</w:t>
      </w:r>
      <w:r w:rsidRPr="00DB7CB2">
        <w:rPr>
          <w:rFonts w:cstheme="minorHAnsi"/>
          <w:color w:val="000000"/>
        </w:rPr>
        <w:t xml:space="preserve"> U.K. Department of Work and Pension</w:t>
      </w:r>
      <w:r>
        <w:rPr>
          <w:rFonts w:cstheme="minorHAnsi"/>
          <w:color w:val="000000"/>
        </w:rPr>
        <w:t>s</w:t>
      </w:r>
      <w:r w:rsidRPr="00DB7CB2">
        <w:rPr>
          <w:rFonts w:cstheme="minorHAnsi"/>
          <w:color w:val="000000"/>
        </w:rPr>
        <w:t xml:space="preserve"> (DWP) employs an absolute benchmarking model. The Key Performance Measure employed to assess their performance is the job outcome rate. According to the Invitation to Tender (ITT), the job outcome rate is calculated by comparing job outcomes achieved in the previous twelve months to the number of job seekers referred to providers in the same period. The job outcome rate of each provider is compared to a minimum performance standard. The minimum performance standard sets the lowest performance that providers must achieve if they are to meet their contractual obligations. The DWP calculated the non-intervention performance level based on an analysis of historical job entry rates. The minimum performance standard is defined as the non-intervention performance level plus 10 per cent. For the first twelve months of the program (</w:t>
      </w:r>
      <w:r>
        <w:rPr>
          <w:rFonts w:cstheme="minorHAnsi"/>
          <w:color w:val="000000"/>
        </w:rPr>
        <w:t>July 2011 to June 2012</w:t>
      </w:r>
      <w:r w:rsidRPr="00DB7CB2">
        <w:rPr>
          <w:rFonts w:cstheme="minorHAnsi"/>
          <w:color w:val="000000"/>
        </w:rPr>
        <w:t>), the DWP expected providers to achieve a minimum performance level of 5.5 per cent for the main group of job seekers (Job seekers Allowance 25+). The performance level increases to 27.5</w:t>
      </w:r>
      <w:r>
        <w:rPr>
          <w:rFonts w:cstheme="minorHAnsi"/>
          <w:color w:val="000000"/>
        </w:rPr>
        <w:t xml:space="preserve"> </w:t>
      </w:r>
      <w:r w:rsidRPr="00DB7CB2">
        <w:rPr>
          <w:rFonts w:cstheme="minorHAnsi"/>
          <w:color w:val="000000"/>
        </w:rPr>
        <w:t>per cent in year two, 33</w:t>
      </w:r>
      <w:r>
        <w:rPr>
          <w:rFonts w:cstheme="minorHAnsi"/>
          <w:color w:val="000000"/>
        </w:rPr>
        <w:t xml:space="preserve"> </w:t>
      </w:r>
      <w:r w:rsidRPr="00DB7CB2">
        <w:rPr>
          <w:rFonts w:cstheme="minorHAnsi"/>
          <w:color w:val="000000"/>
        </w:rPr>
        <w:t>per cent in year three and 40</w:t>
      </w:r>
      <w:r>
        <w:rPr>
          <w:rFonts w:cstheme="minorHAnsi"/>
          <w:color w:val="000000"/>
        </w:rPr>
        <w:t xml:space="preserve"> </w:t>
      </w:r>
      <w:r w:rsidRPr="00DB7CB2">
        <w:rPr>
          <w:rFonts w:cstheme="minorHAnsi"/>
          <w:color w:val="000000"/>
        </w:rPr>
        <w:t>per cent in year 4 onwards.</w:t>
      </w:r>
      <w:r w:rsidRPr="00DB7CB2">
        <w:rPr>
          <w:rFonts w:cstheme="minorHAnsi"/>
          <w:vertAlign w:val="superscript"/>
        </w:rPr>
        <w:footnoteReference w:id="3"/>
      </w:r>
    </w:p>
    <w:p w14:paraId="2C93CCB7" w14:textId="77777777" w:rsidR="00385100" w:rsidRPr="00DB7CB2" w:rsidRDefault="00385100" w:rsidP="00DB7CB2">
      <w:pPr>
        <w:autoSpaceDE w:val="0"/>
        <w:autoSpaceDN w:val="0"/>
        <w:adjustRightInd w:val="0"/>
        <w:spacing w:after="0" w:line="240" w:lineRule="auto"/>
        <w:rPr>
          <w:rFonts w:eastAsia="Times New Roman" w:cstheme="minorHAnsi"/>
        </w:rPr>
      </w:pPr>
    </w:p>
    <w:p w14:paraId="40CB8757" w14:textId="77777777" w:rsidR="0042480C" w:rsidRPr="00085A64" w:rsidRDefault="0042480C" w:rsidP="00FE380B">
      <w:pPr>
        <w:pStyle w:val="Sub-SubTitle"/>
        <w:numPr>
          <w:ilvl w:val="2"/>
          <w:numId w:val="16"/>
        </w:numPr>
        <w:ind w:left="851" w:hanging="851"/>
        <w:rPr>
          <w:rFonts w:asciiTheme="minorHAnsi" w:hAnsiTheme="minorHAnsi" w:cstheme="minorHAnsi"/>
          <w:color w:val="auto"/>
          <w:sz w:val="26"/>
          <w:szCs w:val="26"/>
        </w:rPr>
      </w:pPr>
      <w:bookmarkStart w:id="12" w:name="_Toc365872632"/>
      <w:r w:rsidRPr="00085A64">
        <w:rPr>
          <w:rFonts w:asciiTheme="minorHAnsi" w:hAnsiTheme="minorHAnsi" w:cstheme="minorHAnsi"/>
          <w:color w:val="auto"/>
          <w:sz w:val="26"/>
          <w:szCs w:val="26"/>
        </w:rPr>
        <w:t>Target Setting</w:t>
      </w:r>
      <w:bookmarkEnd w:id="12"/>
    </w:p>
    <w:p w14:paraId="5B13FD34" w14:textId="77777777" w:rsidR="0042480C" w:rsidRPr="004D3146" w:rsidRDefault="007B72D5" w:rsidP="007B72D5">
      <w:pPr>
        <w:pStyle w:val="ListParagraph"/>
        <w:numPr>
          <w:ilvl w:val="3"/>
          <w:numId w:val="16"/>
        </w:numPr>
        <w:spacing w:after="240"/>
        <w:jc w:val="both"/>
        <w:rPr>
          <w:rFonts w:cs="Calibri"/>
          <w:i/>
          <w:sz w:val="24"/>
          <w:szCs w:val="24"/>
        </w:rPr>
      </w:pPr>
      <w:r>
        <w:rPr>
          <w:rFonts w:cs="Calibri"/>
          <w:i/>
          <w:sz w:val="24"/>
          <w:szCs w:val="24"/>
        </w:rPr>
        <w:t>Past Provider Performance</w:t>
      </w:r>
    </w:p>
    <w:p w14:paraId="28E5A39C" w14:textId="77777777" w:rsidR="00367C5E" w:rsidRDefault="0018468F" w:rsidP="00DF603B">
      <w:pPr>
        <w:autoSpaceDE w:val="0"/>
        <w:autoSpaceDN w:val="0"/>
        <w:adjustRightInd w:val="0"/>
        <w:spacing w:after="0" w:line="240" w:lineRule="auto"/>
        <w:rPr>
          <w:rFonts w:eastAsia="Times New Roman" w:cstheme="minorHAnsi"/>
        </w:rPr>
      </w:pPr>
      <w:r w:rsidRPr="00DF603B">
        <w:rPr>
          <w:rFonts w:eastAsia="Times New Roman" w:cstheme="minorHAnsi"/>
        </w:rPr>
        <w:t xml:space="preserve">One </w:t>
      </w:r>
      <w:r w:rsidR="00B52499" w:rsidRPr="00DF603B">
        <w:rPr>
          <w:rFonts w:eastAsia="Times New Roman" w:cstheme="minorHAnsi"/>
        </w:rPr>
        <w:t xml:space="preserve">of the </w:t>
      </w:r>
      <w:r w:rsidRPr="00DF603B">
        <w:rPr>
          <w:rFonts w:eastAsia="Times New Roman" w:cstheme="minorHAnsi"/>
        </w:rPr>
        <w:t xml:space="preserve">major </w:t>
      </w:r>
      <w:r w:rsidR="00B52499" w:rsidRPr="00DF603B">
        <w:rPr>
          <w:rFonts w:eastAsia="Times New Roman" w:cstheme="minorHAnsi"/>
        </w:rPr>
        <w:t>challenges</w:t>
      </w:r>
      <w:r w:rsidR="00D269C6" w:rsidRPr="00DF603B">
        <w:rPr>
          <w:rFonts w:eastAsia="Times New Roman" w:cstheme="minorHAnsi"/>
        </w:rPr>
        <w:t xml:space="preserve"> is how to estimate an appropriate benchmark for providers. There exist a number of possible approaches for this. </w:t>
      </w:r>
      <w:r w:rsidR="004770D5" w:rsidRPr="00DF603B">
        <w:rPr>
          <w:rFonts w:eastAsia="Times New Roman" w:cstheme="minorHAnsi"/>
        </w:rPr>
        <w:t xml:space="preserve">The first is to use </w:t>
      </w:r>
      <w:r w:rsidR="00733695" w:rsidRPr="00DF603B">
        <w:rPr>
          <w:rFonts w:eastAsia="Times New Roman" w:cstheme="minorHAnsi"/>
        </w:rPr>
        <w:t xml:space="preserve">the </w:t>
      </w:r>
      <w:r w:rsidR="004770D5" w:rsidRPr="00DF603B">
        <w:rPr>
          <w:rFonts w:eastAsia="Times New Roman" w:cstheme="minorHAnsi"/>
        </w:rPr>
        <w:t xml:space="preserve">past performance of each provider as a baseline performance level and require a certain percentage increase in </w:t>
      </w:r>
      <w:r w:rsidR="005E21AC" w:rsidRPr="00DF603B">
        <w:rPr>
          <w:rFonts w:eastAsia="Times New Roman" w:cstheme="minorHAnsi"/>
        </w:rPr>
        <w:t>the benchmark</w:t>
      </w:r>
      <w:r w:rsidR="004770D5" w:rsidRPr="00DF603B">
        <w:rPr>
          <w:rFonts w:eastAsia="Times New Roman" w:cstheme="minorHAnsi"/>
        </w:rPr>
        <w:t xml:space="preserve"> over the next performance period</w:t>
      </w:r>
      <w:r w:rsidR="00B52499" w:rsidRPr="00DF603B">
        <w:rPr>
          <w:rFonts w:eastAsia="Times New Roman" w:cstheme="minorHAnsi"/>
        </w:rPr>
        <w:t xml:space="preserve"> to reflect the focus on continuous improvement</w:t>
      </w:r>
      <w:r w:rsidR="004770D5" w:rsidRPr="00DF603B">
        <w:rPr>
          <w:rFonts w:eastAsia="Times New Roman" w:cstheme="minorHAnsi"/>
        </w:rPr>
        <w:t xml:space="preserve">. </w:t>
      </w:r>
      <w:r w:rsidR="00914199" w:rsidRPr="00DF603B">
        <w:rPr>
          <w:rFonts w:eastAsia="Times New Roman" w:cstheme="minorHAnsi"/>
        </w:rPr>
        <w:t xml:space="preserve">Using the past performance of providers is problematic however as it is not </w:t>
      </w:r>
      <w:r w:rsidR="00ED142F" w:rsidRPr="00DF603B">
        <w:rPr>
          <w:rFonts w:eastAsia="Times New Roman" w:cstheme="minorHAnsi"/>
        </w:rPr>
        <w:t>necessarily</w:t>
      </w:r>
      <w:r w:rsidR="00914199" w:rsidRPr="00DF603B">
        <w:rPr>
          <w:rFonts w:eastAsia="Times New Roman" w:cstheme="minorHAnsi"/>
        </w:rPr>
        <w:t xml:space="preserve"> reflective of the organisation’s true performance</w:t>
      </w:r>
      <w:r w:rsidR="004770D5" w:rsidRPr="00DF603B">
        <w:rPr>
          <w:rFonts w:eastAsia="Times New Roman" w:cstheme="minorHAnsi"/>
        </w:rPr>
        <w:t>.</w:t>
      </w:r>
      <w:r w:rsidR="003A726C" w:rsidRPr="00DF603B">
        <w:rPr>
          <w:rFonts w:eastAsia="Times New Roman" w:cstheme="minorHAnsi"/>
        </w:rPr>
        <w:t xml:space="preserve"> This has been demonstrated in the work of</w:t>
      </w:r>
      <w:r w:rsidR="004770D5" w:rsidRPr="00DF603B">
        <w:rPr>
          <w:rFonts w:eastAsia="Times New Roman" w:cstheme="minorHAnsi"/>
        </w:rPr>
        <w:t xml:space="preserve"> </w:t>
      </w:r>
      <w:r w:rsidR="00BE791D" w:rsidRPr="00B76B08">
        <w:rPr>
          <w:rFonts w:eastAsia="Times New Roman" w:cstheme="minorHAnsi"/>
        </w:rPr>
        <w:t>Courty, Heinrich and Marschke (2011)</w:t>
      </w:r>
      <w:r w:rsidR="003A726C" w:rsidRPr="00DF603B">
        <w:rPr>
          <w:rFonts w:eastAsia="Times New Roman" w:cstheme="minorHAnsi"/>
        </w:rPr>
        <w:t xml:space="preserve"> who</w:t>
      </w:r>
      <w:r w:rsidR="00BE791D" w:rsidRPr="00DF603B">
        <w:rPr>
          <w:rFonts w:eastAsia="Times New Roman" w:cstheme="minorHAnsi"/>
        </w:rPr>
        <w:t xml:space="preserve"> develop</w:t>
      </w:r>
      <w:r w:rsidR="003A726C" w:rsidRPr="00DF603B">
        <w:rPr>
          <w:rFonts w:eastAsia="Times New Roman" w:cstheme="minorHAnsi"/>
        </w:rPr>
        <w:t>ed</w:t>
      </w:r>
      <w:r w:rsidR="00BE791D" w:rsidRPr="00DF603B">
        <w:rPr>
          <w:rFonts w:eastAsia="Times New Roman" w:cstheme="minorHAnsi"/>
        </w:rPr>
        <w:t xml:space="preserve"> a principal-agent model incorporating performance standards.</w:t>
      </w:r>
      <w:r w:rsidR="00C81E81" w:rsidRPr="00DF603B">
        <w:rPr>
          <w:rFonts w:eastAsia="Times New Roman" w:cstheme="minorHAnsi"/>
        </w:rPr>
        <w:t xml:space="preserve"> </w:t>
      </w:r>
      <w:r w:rsidR="003A726C" w:rsidRPr="00DF603B">
        <w:rPr>
          <w:rFonts w:eastAsia="Times New Roman" w:cstheme="minorHAnsi"/>
        </w:rPr>
        <w:t>Conceptually, this model involves the</w:t>
      </w:r>
      <w:r w:rsidR="00733695" w:rsidRPr="00DF603B">
        <w:rPr>
          <w:rFonts w:eastAsia="Times New Roman" w:cstheme="minorHAnsi"/>
        </w:rPr>
        <w:t xml:space="preserve"> party who designs the measurement system </w:t>
      </w:r>
      <w:r w:rsidR="003A726C" w:rsidRPr="00DF603B">
        <w:rPr>
          <w:rFonts w:eastAsia="Times New Roman" w:cstheme="minorHAnsi"/>
        </w:rPr>
        <w:t>a</w:t>
      </w:r>
      <w:r w:rsidR="00733695" w:rsidRPr="00DF603B">
        <w:rPr>
          <w:rFonts w:eastAsia="Times New Roman" w:cstheme="minorHAnsi"/>
        </w:rPr>
        <w:t xml:space="preserve">s the principal and the party who is subject to the </w:t>
      </w:r>
      <w:r w:rsidR="00B10320">
        <w:rPr>
          <w:rFonts w:eastAsia="Times New Roman" w:cstheme="minorHAnsi"/>
        </w:rPr>
        <w:t>performance measurement system a</w:t>
      </w:r>
      <w:r w:rsidR="00733695" w:rsidRPr="00DF603B">
        <w:rPr>
          <w:rFonts w:eastAsia="Times New Roman" w:cstheme="minorHAnsi"/>
        </w:rPr>
        <w:t xml:space="preserve">s the agent. </w:t>
      </w:r>
      <w:r w:rsidR="00BE791D" w:rsidRPr="00DF603B">
        <w:rPr>
          <w:rFonts w:eastAsia="Times New Roman" w:cstheme="minorHAnsi"/>
        </w:rPr>
        <w:t>The authors assume that the agent has some control over the performance outcome and that effort constitutes the agent</w:t>
      </w:r>
      <w:r w:rsidR="00733695" w:rsidRPr="00DF603B">
        <w:rPr>
          <w:rFonts w:eastAsia="Times New Roman" w:cstheme="minorHAnsi"/>
        </w:rPr>
        <w:t>’s</w:t>
      </w:r>
      <w:r w:rsidR="00BE791D" w:rsidRPr="00DF603B">
        <w:rPr>
          <w:rFonts w:eastAsia="Times New Roman" w:cstheme="minorHAnsi"/>
        </w:rPr>
        <w:t xml:space="preserve"> choices and influences the performance outcome. The authors further assume that the </w:t>
      </w:r>
      <w:r w:rsidR="00BE791D" w:rsidRPr="00DF603B">
        <w:rPr>
          <w:rFonts w:eastAsia="Times New Roman" w:cstheme="minorHAnsi"/>
        </w:rPr>
        <w:lastRenderedPageBreak/>
        <w:t>performance</w:t>
      </w:r>
      <w:r w:rsidR="00941065" w:rsidRPr="00DF603B">
        <w:rPr>
          <w:rFonts w:eastAsia="Times New Roman" w:cstheme="minorHAnsi"/>
        </w:rPr>
        <w:t xml:space="preserve"> standard determines the level </w:t>
      </w:r>
      <w:r w:rsidR="00BE791D" w:rsidRPr="00DF603B">
        <w:rPr>
          <w:rFonts w:eastAsia="Times New Roman" w:cstheme="minorHAnsi"/>
        </w:rPr>
        <w:t xml:space="preserve">of acceptable performance below which sanctions are imposed. In the model, the agent receives a level of compensation independent of performance. In an efficiently functioning system, </w:t>
      </w:r>
      <w:r w:rsidR="00657701" w:rsidRPr="00DF603B">
        <w:rPr>
          <w:rFonts w:eastAsia="Times New Roman" w:cstheme="minorHAnsi"/>
        </w:rPr>
        <w:t xml:space="preserve">prevailing competitive forces determine </w:t>
      </w:r>
      <w:r w:rsidR="00BE791D" w:rsidRPr="00DF603B">
        <w:rPr>
          <w:rFonts w:eastAsia="Times New Roman" w:cstheme="minorHAnsi"/>
        </w:rPr>
        <w:t xml:space="preserve">the level of effort that </w:t>
      </w:r>
      <w:r w:rsidR="00657701" w:rsidRPr="00DF603B">
        <w:rPr>
          <w:rFonts w:eastAsia="Times New Roman" w:cstheme="minorHAnsi"/>
        </w:rPr>
        <w:t>a representative agent</w:t>
      </w:r>
      <w:r w:rsidR="00BE791D" w:rsidRPr="00DF603B">
        <w:rPr>
          <w:rFonts w:eastAsia="Times New Roman" w:cstheme="minorHAnsi"/>
        </w:rPr>
        <w:t xml:space="preserve"> would expect from that base com</w:t>
      </w:r>
      <w:r w:rsidR="00657701" w:rsidRPr="00DF603B">
        <w:rPr>
          <w:rFonts w:eastAsia="Times New Roman" w:cstheme="minorHAnsi"/>
        </w:rPr>
        <w:t>p</w:t>
      </w:r>
      <w:r w:rsidR="00BE791D" w:rsidRPr="00DF603B">
        <w:rPr>
          <w:rFonts w:eastAsia="Times New Roman" w:cstheme="minorHAnsi"/>
        </w:rPr>
        <w:t>ensation</w:t>
      </w:r>
      <w:r w:rsidR="00657701" w:rsidRPr="00DF603B">
        <w:rPr>
          <w:rFonts w:eastAsia="Times New Roman" w:cstheme="minorHAnsi"/>
        </w:rPr>
        <w:t>. The performance standard is set at the level of performance that occurs when the agent provides the c</w:t>
      </w:r>
      <w:r w:rsidR="00DD66BE" w:rsidRPr="00DF603B">
        <w:rPr>
          <w:rFonts w:eastAsia="Times New Roman" w:cstheme="minorHAnsi"/>
        </w:rPr>
        <w:t xml:space="preserve">ompetitive level of effort. </w:t>
      </w:r>
    </w:p>
    <w:p w14:paraId="0CC26AD9" w14:textId="77777777" w:rsidR="00DF603B" w:rsidRPr="00DF603B" w:rsidRDefault="00DF603B" w:rsidP="00DF603B">
      <w:pPr>
        <w:autoSpaceDE w:val="0"/>
        <w:autoSpaceDN w:val="0"/>
        <w:adjustRightInd w:val="0"/>
        <w:spacing w:after="0" w:line="240" w:lineRule="auto"/>
        <w:rPr>
          <w:rFonts w:eastAsia="Times New Roman" w:cstheme="minorHAnsi"/>
        </w:rPr>
      </w:pPr>
    </w:p>
    <w:p w14:paraId="1989ABC6" w14:textId="77777777" w:rsidR="00E762EF" w:rsidRPr="00DF603B" w:rsidRDefault="003A726C" w:rsidP="00DF603B">
      <w:pPr>
        <w:autoSpaceDE w:val="0"/>
        <w:autoSpaceDN w:val="0"/>
        <w:adjustRightInd w:val="0"/>
        <w:spacing w:after="0" w:line="240" w:lineRule="auto"/>
        <w:rPr>
          <w:rFonts w:eastAsia="Times New Roman" w:cstheme="minorHAnsi"/>
        </w:rPr>
      </w:pPr>
      <w:r w:rsidRPr="00DF603B">
        <w:rPr>
          <w:rFonts w:eastAsia="Times New Roman" w:cstheme="minorHAnsi"/>
        </w:rPr>
        <w:t>Applying this framework</w:t>
      </w:r>
      <w:r w:rsidR="000E7666" w:rsidRPr="00DF603B">
        <w:rPr>
          <w:rFonts w:eastAsia="Times New Roman" w:cstheme="minorHAnsi"/>
        </w:rPr>
        <w:t>, a provider’s benchmark should be measured by calculating the outcome rates of their caseload without the help from the provider</w:t>
      </w:r>
      <w:r w:rsidR="007A0827" w:rsidRPr="00DF603B">
        <w:rPr>
          <w:rFonts w:eastAsia="Times New Roman" w:cstheme="minorHAnsi"/>
        </w:rPr>
        <w:t>, referred to as a counterfactual outcome rate</w:t>
      </w:r>
      <w:r w:rsidR="000E7666" w:rsidRPr="00DF603B">
        <w:rPr>
          <w:rFonts w:eastAsia="Times New Roman" w:cstheme="minorHAnsi"/>
        </w:rPr>
        <w:t xml:space="preserve">. </w:t>
      </w:r>
      <w:r w:rsidR="007A0827" w:rsidRPr="00B76B08">
        <w:rPr>
          <w:rFonts w:eastAsia="Times New Roman" w:cstheme="minorHAnsi"/>
        </w:rPr>
        <w:t>Courty</w:t>
      </w:r>
      <w:r w:rsidR="00FB265B" w:rsidRPr="00B76B08">
        <w:rPr>
          <w:rFonts w:eastAsia="Times New Roman" w:cstheme="minorHAnsi"/>
        </w:rPr>
        <w:t>,</w:t>
      </w:r>
      <w:r w:rsidR="007A0827" w:rsidRPr="00B76B08">
        <w:rPr>
          <w:rFonts w:eastAsia="Times New Roman" w:cstheme="minorHAnsi"/>
        </w:rPr>
        <w:t xml:space="preserve"> </w:t>
      </w:r>
      <w:r w:rsidR="00FB265B" w:rsidRPr="00B76B08">
        <w:rPr>
          <w:rFonts w:eastAsia="Times New Roman" w:cstheme="minorHAnsi"/>
        </w:rPr>
        <w:t xml:space="preserve">Heinrich and Marschke </w:t>
      </w:r>
      <w:r w:rsidR="007A0827" w:rsidRPr="00B76B08">
        <w:rPr>
          <w:rFonts w:eastAsia="Times New Roman" w:cstheme="minorHAnsi"/>
        </w:rPr>
        <w:t>(2011)</w:t>
      </w:r>
      <w:r w:rsidR="007A0827" w:rsidRPr="00DF603B">
        <w:rPr>
          <w:rFonts w:eastAsia="Times New Roman" w:cstheme="minorHAnsi"/>
        </w:rPr>
        <w:t xml:space="preserve"> note that counterfactual experiments are practical in a few occupations typically involving manual work. Many work situations</w:t>
      </w:r>
      <w:r w:rsidR="00E762EF" w:rsidRPr="00DF603B">
        <w:rPr>
          <w:rFonts w:eastAsia="Times New Roman" w:cstheme="minorHAnsi"/>
        </w:rPr>
        <w:t>, however,</w:t>
      </w:r>
      <w:r w:rsidR="007A0827" w:rsidRPr="00DF603B">
        <w:rPr>
          <w:rFonts w:eastAsia="Times New Roman" w:cstheme="minorHAnsi"/>
        </w:rPr>
        <w:t xml:space="preserve"> involve non</w:t>
      </w:r>
      <w:r w:rsidRPr="00DF603B">
        <w:rPr>
          <w:rFonts w:eastAsia="Times New Roman" w:cstheme="minorHAnsi"/>
        </w:rPr>
        <w:t>-</w:t>
      </w:r>
      <w:r w:rsidR="007A0827" w:rsidRPr="00DF603B">
        <w:rPr>
          <w:rFonts w:eastAsia="Times New Roman" w:cstheme="minorHAnsi"/>
        </w:rPr>
        <w:t>manual work, group projects, non</w:t>
      </w:r>
      <w:r w:rsidR="00362AE7" w:rsidRPr="00DF603B">
        <w:rPr>
          <w:rFonts w:eastAsia="Times New Roman" w:cstheme="minorHAnsi"/>
        </w:rPr>
        <w:t>-</w:t>
      </w:r>
      <w:r w:rsidR="007A0827" w:rsidRPr="00DF603B">
        <w:rPr>
          <w:rFonts w:eastAsia="Times New Roman" w:cstheme="minorHAnsi"/>
        </w:rPr>
        <w:t>standardised outputs and unstable production processes. In addition, the agent often works in multiple environments or the principal manages multiple agents with different work conditions. Australia’s employment services involve these</w:t>
      </w:r>
      <w:r w:rsidR="00E762EF" w:rsidRPr="00DF603B">
        <w:rPr>
          <w:rFonts w:eastAsia="Times New Roman" w:cstheme="minorHAnsi"/>
        </w:rPr>
        <w:t xml:space="preserve"> types of</w:t>
      </w:r>
      <w:r w:rsidR="007A0827" w:rsidRPr="00DF603B">
        <w:rPr>
          <w:rFonts w:eastAsia="Times New Roman" w:cstheme="minorHAnsi"/>
        </w:rPr>
        <w:t xml:space="preserve"> work situations, making experimental and statistical studies to construct counterfactual performance benchmarks impractical</w:t>
      </w:r>
      <w:r w:rsidR="00DF603B">
        <w:rPr>
          <w:rFonts w:eastAsia="Times New Roman" w:cstheme="minorHAnsi"/>
        </w:rPr>
        <w:t xml:space="preserve"> (</w:t>
      </w:r>
      <w:r w:rsidR="00DF603B" w:rsidRPr="00AD6BCA">
        <w:rPr>
          <w:rFonts w:eastAsia="Times New Roman" w:cstheme="minorHAnsi"/>
        </w:rPr>
        <w:t>Bray, 2013</w:t>
      </w:r>
      <w:r w:rsidR="00DF603B">
        <w:rPr>
          <w:rFonts w:eastAsia="Times New Roman" w:cstheme="minorHAnsi"/>
        </w:rPr>
        <w:t>)</w:t>
      </w:r>
      <w:r w:rsidR="007A0827" w:rsidRPr="00DF603B">
        <w:rPr>
          <w:rFonts w:eastAsia="Times New Roman" w:cstheme="minorHAnsi"/>
        </w:rPr>
        <w:t xml:space="preserve">. </w:t>
      </w:r>
    </w:p>
    <w:p w14:paraId="518F9376" w14:textId="77777777" w:rsidR="00E762EF" w:rsidRPr="00DF603B" w:rsidRDefault="00E762EF" w:rsidP="00DF603B">
      <w:pPr>
        <w:autoSpaceDE w:val="0"/>
        <w:autoSpaceDN w:val="0"/>
        <w:adjustRightInd w:val="0"/>
        <w:spacing w:after="0" w:line="240" w:lineRule="auto"/>
        <w:rPr>
          <w:rFonts w:eastAsia="Times New Roman" w:cstheme="minorHAnsi"/>
        </w:rPr>
      </w:pPr>
    </w:p>
    <w:p w14:paraId="0C18E91E" w14:textId="77777777" w:rsidR="00733695" w:rsidRPr="00DF603B" w:rsidRDefault="007A0827" w:rsidP="00DF603B">
      <w:pPr>
        <w:autoSpaceDE w:val="0"/>
        <w:autoSpaceDN w:val="0"/>
        <w:adjustRightInd w:val="0"/>
        <w:spacing w:after="0" w:line="240" w:lineRule="auto"/>
        <w:rPr>
          <w:rFonts w:eastAsia="Times New Roman" w:cstheme="minorHAnsi"/>
        </w:rPr>
      </w:pPr>
      <w:r w:rsidRPr="00DF603B">
        <w:rPr>
          <w:rFonts w:eastAsia="Times New Roman" w:cstheme="minorHAnsi"/>
        </w:rPr>
        <w:t xml:space="preserve">Because of this, </w:t>
      </w:r>
      <w:r w:rsidR="005B4F89" w:rsidRPr="00DF603B">
        <w:rPr>
          <w:rFonts w:eastAsia="Times New Roman" w:cstheme="minorHAnsi"/>
        </w:rPr>
        <w:t xml:space="preserve">the approach typically used in determining the organisations base level of performance is examining what it has achieved in the past. </w:t>
      </w:r>
      <w:r w:rsidR="00906166" w:rsidRPr="00DF603B">
        <w:rPr>
          <w:rFonts w:eastAsia="Times New Roman" w:cstheme="minorHAnsi"/>
        </w:rPr>
        <w:t xml:space="preserve">However, determining performance standards using the past performance of each provider raises equity concerns, as poor performing providers will find it easier to improve performance relative to currently high performing providers. </w:t>
      </w:r>
    </w:p>
    <w:p w14:paraId="32B3CFCF" w14:textId="77777777" w:rsidR="00BA4693" w:rsidRPr="00DF603B" w:rsidRDefault="00BA4693" w:rsidP="00DF603B">
      <w:pPr>
        <w:autoSpaceDE w:val="0"/>
        <w:autoSpaceDN w:val="0"/>
        <w:adjustRightInd w:val="0"/>
        <w:spacing w:after="0" w:line="240" w:lineRule="auto"/>
        <w:rPr>
          <w:rFonts w:eastAsia="Times New Roman" w:cstheme="minorHAnsi"/>
        </w:rPr>
      </w:pPr>
    </w:p>
    <w:p w14:paraId="3737FC9C" w14:textId="77777777" w:rsidR="00BA4693" w:rsidRDefault="00BA4693" w:rsidP="00DF603B">
      <w:pPr>
        <w:spacing w:after="0" w:line="240" w:lineRule="auto"/>
        <w:rPr>
          <w:rFonts w:ascii="Calibri" w:hAnsi="Calibri"/>
        </w:rPr>
      </w:pPr>
      <w:r w:rsidRPr="00DF603B">
        <w:rPr>
          <w:rFonts w:eastAsia="Times New Roman" w:cstheme="minorHAnsi"/>
        </w:rPr>
        <w:t>This problem is highlighted</w:t>
      </w:r>
      <w:r w:rsidR="00DF603B">
        <w:rPr>
          <w:rFonts w:eastAsia="Times New Roman" w:cstheme="minorHAnsi"/>
        </w:rPr>
        <w:t xml:space="preserve"> in the performance management and progress reporting in relation to the</w:t>
      </w:r>
      <w:r w:rsidRPr="00DF603B">
        <w:rPr>
          <w:rFonts w:eastAsia="Times New Roman" w:cstheme="minorHAnsi"/>
        </w:rPr>
        <w:t xml:space="preserve"> </w:t>
      </w:r>
      <w:r w:rsidRPr="00DF603B">
        <w:rPr>
          <w:rFonts w:ascii="Calibri" w:hAnsi="Calibri"/>
          <w:i/>
        </w:rPr>
        <w:t>No Child Left Behind Act</w:t>
      </w:r>
      <w:r w:rsidR="00EE7FFA" w:rsidRPr="00DF603B">
        <w:rPr>
          <w:rFonts w:ascii="Calibri" w:hAnsi="Calibri"/>
        </w:rPr>
        <w:t xml:space="preserve"> of 2001 (NCLB)</w:t>
      </w:r>
      <w:r w:rsidR="00E762EF" w:rsidRPr="00DF603B">
        <w:rPr>
          <w:rFonts w:ascii="Calibri" w:hAnsi="Calibri"/>
        </w:rPr>
        <w:t xml:space="preserve"> – the headline education reform package of the 2001–2009 United States Administration</w:t>
      </w:r>
      <w:r w:rsidR="00EE7FFA" w:rsidRPr="00DF603B">
        <w:rPr>
          <w:rFonts w:ascii="Calibri" w:hAnsi="Calibri"/>
        </w:rPr>
        <w:t>. The NCLB</w:t>
      </w:r>
      <w:r w:rsidRPr="00DF603B">
        <w:rPr>
          <w:rFonts w:ascii="Calibri" w:hAnsi="Calibri"/>
        </w:rPr>
        <w:t xml:space="preserve"> mandates that 100</w:t>
      </w:r>
      <w:r w:rsidR="00E762EF" w:rsidRPr="00DF603B">
        <w:rPr>
          <w:rFonts w:ascii="Calibri" w:hAnsi="Calibri"/>
        </w:rPr>
        <w:t xml:space="preserve"> per cent</w:t>
      </w:r>
      <w:r w:rsidRPr="00DF603B">
        <w:rPr>
          <w:rFonts w:ascii="Calibri" w:hAnsi="Calibri"/>
        </w:rPr>
        <w:t xml:space="preserve"> of American students will be proficient in English Language Arts (ELA) and mathematics by the year 2014 (</w:t>
      </w:r>
      <w:r w:rsidRPr="00AD6BCA">
        <w:rPr>
          <w:rFonts w:ascii="Calibri" w:hAnsi="Calibri"/>
        </w:rPr>
        <w:t>Rosenberg, 2004</w:t>
      </w:r>
      <w:r w:rsidRPr="00DF603B">
        <w:rPr>
          <w:rFonts w:ascii="Calibri" w:hAnsi="Calibri"/>
        </w:rPr>
        <w:t xml:space="preserve">). The system champions standards-based education; a system where high standards are set and measurable goals are defined to achieve better individual education outcomes. Rather than implementing a nation-wide performance framework, NCLB is administered by individual </w:t>
      </w:r>
      <w:r w:rsidR="00DF603B">
        <w:rPr>
          <w:rFonts w:ascii="Calibri" w:hAnsi="Calibri"/>
        </w:rPr>
        <w:t>S</w:t>
      </w:r>
      <w:r w:rsidRPr="00DF603B">
        <w:rPr>
          <w:rFonts w:ascii="Calibri" w:hAnsi="Calibri"/>
        </w:rPr>
        <w:t>tates which develop annual measurable objectives (AMOs) to determine whether or not a school, district or entire state is making adequate yearly progress (AYP) toward the 2014 projection (</w:t>
      </w:r>
      <w:r w:rsidRPr="00AD6BCA">
        <w:rPr>
          <w:rFonts w:ascii="Calibri" w:hAnsi="Calibri"/>
        </w:rPr>
        <w:t>Cronin et al, 2007</w:t>
      </w:r>
      <w:r w:rsidRPr="00DF603B">
        <w:rPr>
          <w:rFonts w:ascii="Calibri" w:hAnsi="Calibri"/>
        </w:rPr>
        <w:t>). States are fundamentally responsible for calculating AYP and determining the AMOs that feed into the calculation. The academic standards for what students should know and be able to do at each g</w:t>
      </w:r>
      <w:r w:rsidR="00DF603B">
        <w:rPr>
          <w:rFonts w:ascii="Calibri" w:hAnsi="Calibri"/>
        </w:rPr>
        <w:t>rade level are set out in each S</w:t>
      </w:r>
      <w:r w:rsidRPr="00DF603B">
        <w:rPr>
          <w:rFonts w:ascii="Calibri" w:hAnsi="Calibri"/>
        </w:rPr>
        <w:t xml:space="preserve">tate’s Consolidated State Accountability Workbook. States then design or purchase a standardised testing system and establish a cut-off score for each test that indicates whether a student is deemed proficient in the subject matter. Yearly benchmarks are set out in a Timeline to Proficiency that documents a </w:t>
      </w:r>
      <w:r w:rsidR="00DF603B">
        <w:rPr>
          <w:rFonts w:ascii="Calibri" w:hAnsi="Calibri"/>
        </w:rPr>
        <w:t>S</w:t>
      </w:r>
      <w:r w:rsidRPr="00DF603B">
        <w:rPr>
          <w:rFonts w:ascii="Calibri" w:hAnsi="Calibri"/>
        </w:rPr>
        <w:t>tate’s intended progress toward the 100</w:t>
      </w:r>
      <w:r w:rsidR="00E762EF" w:rsidRPr="00DF603B">
        <w:rPr>
          <w:rFonts w:ascii="Calibri" w:hAnsi="Calibri"/>
        </w:rPr>
        <w:t xml:space="preserve"> per cent</w:t>
      </w:r>
      <w:r w:rsidRPr="00DF603B">
        <w:rPr>
          <w:rFonts w:ascii="Calibri" w:hAnsi="Calibri"/>
        </w:rPr>
        <w:t xml:space="preserve"> goal on a year to year basis.</w:t>
      </w:r>
      <w:r w:rsidR="00B847FB">
        <w:rPr>
          <w:rFonts w:ascii="Calibri" w:hAnsi="Calibri"/>
        </w:rPr>
        <w:t xml:space="preserve"> </w:t>
      </w:r>
    </w:p>
    <w:p w14:paraId="79E2C04A" w14:textId="77777777" w:rsidR="00DF603B" w:rsidRPr="00DF603B" w:rsidRDefault="00DF603B" w:rsidP="00DF603B">
      <w:pPr>
        <w:spacing w:after="0" w:line="240" w:lineRule="auto"/>
        <w:rPr>
          <w:rFonts w:ascii="Calibri" w:hAnsi="Calibri"/>
        </w:rPr>
      </w:pPr>
    </w:p>
    <w:p w14:paraId="0AF7CC00" w14:textId="7441CB9B" w:rsidR="00DF603B" w:rsidRDefault="00BA4693" w:rsidP="00DF603B">
      <w:pPr>
        <w:spacing w:after="0" w:line="240" w:lineRule="auto"/>
        <w:rPr>
          <w:rFonts w:ascii="Calibri" w:hAnsi="Calibri"/>
        </w:rPr>
      </w:pPr>
      <w:r w:rsidRPr="00DF603B">
        <w:rPr>
          <w:rFonts w:ascii="Calibri" w:hAnsi="Calibri"/>
        </w:rPr>
        <w:t>A vita</w:t>
      </w:r>
      <w:r w:rsidR="00DF603B">
        <w:rPr>
          <w:rFonts w:ascii="Calibri" w:hAnsi="Calibri"/>
        </w:rPr>
        <w:t>l distinction here is that all S</w:t>
      </w:r>
      <w:r w:rsidRPr="00DF603B">
        <w:rPr>
          <w:rFonts w:ascii="Calibri" w:hAnsi="Calibri"/>
        </w:rPr>
        <w:t>tates have different, self-calculated starting points of proficiency. Given the nature of the NCLB system, the proficiency stand</w:t>
      </w:r>
      <w:r w:rsidR="00DF603B">
        <w:rPr>
          <w:rFonts w:ascii="Calibri" w:hAnsi="Calibri"/>
        </w:rPr>
        <w:t>ards and results of individual S</w:t>
      </w:r>
      <w:r w:rsidRPr="00DF603B">
        <w:rPr>
          <w:rFonts w:ascii="Calibri" w:hAnsi="Calibri"/>
        </w:rPr>
        <w:t>tates are not directly comparable. Thus, there is no standardised benchmark of proficiency for school grades across the United States, but rather a series of different profi</w:t>
      </w:r>
      <w:r w:rsidR="00DF603B">
        <w:rPr>
          <w:rFonts w:ascii="Calibri" w:hAnsi="Calibri"/>
        </w:rPr>
        <w:t>ciency levels according to the S</w:t>
      </w:r>
      <w:r w:rsidRPr="00DF603B">
        <w:rPr>
          <w:rFonts w:ascii="Calibri" w:hAnsi="Calibri"/>
        </w:rPr>
        <w:t>tates. Under NCLB,</w:t>
      </w:r>
      <w:r w:rsidR="00DF603B">
        <w:rPr>
          <w:rFonts w:ascii="Calibri" w:hAnsi="Calibri"/>
        </w:rPr>
        <w:t xml:space="preserve"> a student relocating from one S</w:t>
      </w:r>
      <w:r w:rsidRPr="00DF603B">
        <w:rPr>
          <w:rFonts w:ascii="Calibri" w:hAnsi="Calibri"/>
        </w:rPr>
        <w:t xml:space="preserve">tate, in which </w:t>
      </w:r>
      <w:r w:rsidR="00DF603B">
        <w:rPr>
          <w:rFonts w:ascii="Calibri" w:hAnsi="Calibri"/>
        </w:rPr>
        <w:t xml:space="preserve">they </w:t>
      </w:r>
      <w:r w:rsidRPr="00DF603B">
        <w:rPr>
          <w:rFonts w:ascii="Calibri" w:hAnsi="Calibri"/>
        </w:rPr>
        <w:t>ha</w:t>
      </w:r>
      <w:r w:rsidR="00DF603B">
        <w:rPr>
          <w:rFonts w:ascii="Calibri" w:hAnsi="Calibri"/>
        </w:rPr>
        <w:t>ve</w:t>
      </w:r>
      <w:r w:rsidRPr="00DF603B">
        <w:rPr>
          <w:rFonts w:ascii="Calibri" w:hAnsi="Calibri"/>
        </w:rPr>
        <w:t xml:space="preserve"> been deemed proficient f</w:t>
      </w:r>
      <w:r w:rsidR="00DF603B">
        <w:rPr>
          <w:rFonts w:ascii="Calibri" w:hAnsi="Calibri"/>
        </w:rPr>
        <w:t>or the grade level, to another S</w:t>
      </w:r>
      <w:r w:rsidRPr="00DF603B">
        <w:rPr>
          <w:rFonts w:ascii="Calibri" w:hAnsi="Calibri"/>
        </w:rPr>
        <w:t>tate with different proficiency standards, may be severely advantaged or disadvantaged when it comes to the next testing period.</w:t>
      </w:r>
      <w:r w:rsidR="00DF603B">
        <w:rPr>
          <w:rFonts w:ascii="Calibri" w:hAnsi="Calibri"/>
        </w:rPr>
        <w:t xml:space="preserve"> The outcome of allowing S</w:t>
      </w:r>
      <w:r w:rsidR="005A44FB" w:rsidRPr="00DF603B">
        <w:rPr>
          <w:rFonts w:ascii="Calibri" w:hAnsi="Calibri"/>
        </w:rPr>
        <w:t>tates to choose their own</w:t>
      </w:r>
      <w:r w:rsidR="00DF603B">
        <w:rPr>
          <w:rFonts w:ascii="Calibri" w:hAnsi="Calibri"/>
        </w:rPr>
        <w:t xml:space="preserve"> performance </w:t>
      </w:r>
      <w:r w:rsidR="00AD6BCA">
        <w:rPr>
          <w:rFonts w:ascii="Calibri" w:hAnsi="Calibri"/>
        </w:rPr>
        <w:t>standards</w:t>
      </w:r>
      <w:r w:rsidR="00DF603B">
        <w:rPr>
          <w:rFonts w:ascii="Calibri" w:hAnsi="Calibri"/>
        </w:rPr>
        <w:t xml:space="preserve"> is that </w:t>
      </w:r>
      <w:r w:rsidR="00AD6BCA">
        <w:rPr>
          <w:rFonts w:ascii="Calibri" w:hAnsi="Calibri"/>
        </w:rPr>
        <w:t xml:space="preserve">some </w:t>
      </w:r>
      <w:r w:rsidR="00DF603B">
        <w:rPr>
          <w:rFonts w:ascii="Calibri" w:hAnsi="Calibri"/>
        </w:rPr>
        <w:t>S</w:t>
      </w:r>
      <w:r w:rsidR="005A44FB" w:rsidRPr="00DF603B">
        <w:rPr>
          <w:rFonts w:ascii="Calibri" w:hAnsi="Calibri"/>
        </w:rPr>
        <w:t>tates that set artificially low scores inflate</w:t>
      </w:r>
      <w:r w:rsidR="00DF603B">
        <w:rPr>
          <w:rFonts w:ascii="Calibri" w:hAnsi="Calibri"/>
        </w:rPr>
        <w:t xml:space="preserve"> their performance relative to</w:t>
      </w:r>
      <w:r w:rsidR="00AD6BCA">
        <w:rPr>
          <w:rFonts w:ascii="Calibri" w:hAnsi="Calibri"/>
        </w:rPr>
        <w:t xml:space="preserve"> other</w:t>
      </w:r>
      <w:r w:rsidR="00DF603B">
        <w:rPr>
          <w:rFonts w:ascii="Calibri" w:hAnsi="Calibri"/>
        </w:rPr>
        <w:t xml:space="preserve"> S</w:t>
      </w:r>
      <w:r w:rsidR="005A44FB" w:rsidRPr="00DF603B">
        <w:rPr>
          <w:rFonts w:ascii="Calibri" w:hAnsi="Calibri"/>
        </w:rPr>
        <w:t xml:space="preserve">tates that set more </w:t>
      </w:r>
      <w:r w:rsidR="00E762EF" w:rsidRPr="00DF603B">
        <w:rPr>
          <w:rFonts w:ascii="Calibri" w:hAnsi="Calibri"/>
        </w:rPr>
        <w:t>rigorous</w:t>
      </w:r>
      <w:r w:rsidR="005A44FB" w:rsidRPr="00DF603B">
        <w:rPr>
          <w:rFonts w:ascii="Calibri" w:hAnsi="Calibri"/>
        </w:rPr>
        <w:t xml:space="preserve"> requirements. </w:t>
      </w:r>
    </w:p>
    <w:p w14:paraId="5F59CBE1" w14:textId="77777777" w:rsidR="00DF603B" w:rsidRDefault="00DF603B" w:rsidP="00DF603B">
      <w:pPr>
        <w:spacing w:after="0" w:line="240" w:lineRule="auto"/>
        <w:rPr>
          <w:rFonts w:ascii="Calibri" w:hAnsi="Calibri"/>
        </w:rPr>
      </w:pPr>
    </w:p>
    <w:p w14:paraId="12EF5334" w14:textId="77777777" w:rsidR="005D68E8" w:rsidRDefault="005A44FB" w:rsidP="00DF603B">
      <w:pPr>
        <w:spacing w:after="0" w:line="240" w:lineRule="auto"/>
        <w:rPr>
          <w:rFonts w:ascii="Calibri" w:hAnsi="Calibri"/>
        </w:rPr>
      </w:pPr>
      <w:r w:rsidRPr="00DF603B">
        <w:rPr>
          <w:rFonts w:ascii="Calibri" w:hAnsi="Calibri"/>
        </w:rPr>
        <w:t xml:space="preserve">To illustrate, </w:t>
      </w:r>
      <w:r w:rsidR="005D68E8" w:rsidRPr="00DF603B">
        <w:rPr>
          <w:rFonts w:ascii="Calibri" w:hAnsi="Calibri"/>
        </w:rPr>
        <w:t>over the 2004-2005 period the proportion</w:t>
      </w:r>
      <w:r w:rsidR="00DF603B">
        <w:rPr>
          <w:rFonts w:ascii="Calibri" w:hAnsi="Calibri"/>
        </w:rPr>
        <w:t xml:space="preserve"> of schools meeting AYP in the S</w:t>
      </w:r>
      <w:r w:rsidR="005D68E8" w:rsidRPr="00DF603B">
        <w:rPr>
          <w:rFonts w:ascii="Calibri" w:hAnsi="Calibri"/>
        </w:rPr>
        <w:t>tate of Wisconsin was 98</w:t>
      </w:r>
      <w:r w:rsidR="00955517" w:rsidRPr="00DF603B">
        <w:rPr>
          <w:rFonts w:ascii="Calibri" w:hAnsi="Calibri"/>
        </w:rPr>
        <w:t xml:space="preserve"> per cent</w:t>
      </w:r>
      <w:r w:rsidR="005D68E8" w:rsidRPr="00DF603B">
        <w:rPr>
          <w:rFonts w:ascii="Calibri" w:hAnsi="Calibri"/>
        </w:rPr>
        <w:t>. In contrast, the propo</w:t>
      </w:r>
      <w:r w:rsidR="009B4B0C" w:rsidRPr="00DF603B">
        <w:rPr>
          <w:rFonts w:ascii="Calibri" w:hAnsi="Calibri"/>
        </w:rPr>
        <w:t>rtion of schools meeting AYP in</w:t>
      </w:r>
      <w:r w:rsidR="005D68E8" w:rsidRPr="00DF603B">
        <w:rPr>
          <w:rFonts w:ascii="Calibri" w:hAnsi="Calibri"/>
        </w:rPr>
        <w:t xml:space="preserve"> th</w:t>
      </w:r>
      <w:r w:rsidR="00DF603B">
        <w:rPr>
          <w:rFonts w:ascii="Calibri" w:hAnsi="Calibri"/>
        </w:rPr>
        <w:t>e S</w:t>
      </w:r>
      <w:r w:rsidR="00955517" w:rsidRPr="00DF603B">
        <w:rPr>
          <w:rFonts w:ascii="Calibri" w:hAnsi="Calibri"/>
        </w:rPr>
        <w:t>tate of Massachusetts was 57 per cent</w:t>
      </w:r>
      <w:r w:rsidR="005D68E8" w:rsidRPr="00DF603B">
        <w:rPr>
          <w:rFonts w:ascii="Calibri" w:hAnsi="Calibri"/>
        </w:rPr>
        <w:t>. It is gen</w:t>
      </w:r>
      <w:r w:rsidR="00DF603B">
        <w:rPr>
          <w:rFonts w:ascii="Calibri" w:hAnsi="Calibri"/>
        </w:rPr>
        <w:t>erally accepted that the S</w:t>
      </w:r>
      <w:r w:rsidR="005D68E8" w:rsidRPr="00DF603B">
        <w:rPr>
          <w:rFonts w:ascii="Calibri" w:hAnsi="Calibri"/>
        </w:rPr>
        <w:t xml:space="preserve">tate of Wisconsin has among the </w:t>
      </w:r>
      <w:r w:rsidR="005D68E8" w:rsidRPr="00DF603B">
        <w:rPr>
          <w:rFonts w:ascii="Calibri" w:hAnsi="Calibri"/>
        </w:rPr>
        <w:lastRenderedPageBreak/>
        <w:t>lowest standards for proficiency and sets cut-off scores well b</w:t>
      </w:r>
      <w:r w:rsidR="00DF603B">
        <w:rPr>
          <w:rFonts w:ascii="Calibri" w:hAnsi="Calibri"/>
        </w:rPr>
        <w:t>elow the average for all other S</w:t>
      </w:r>
      <w:r w:rsidR="005D68E8" w:rsidRPr="00DF603B">
        <w:rPr>
          <w:rFonts w:ascii="Calibri" w:hAnsi="Calibri"/>
        </w:rPr>
        <w:t>tates (</w:t>
      </w:r>
      <w:r w:rsidR="005D68E8" w:rsidRPr="00E46B5A">
        <w:rPr>
          <w:rFonts w:ascii="Calibri" w:hAnsi="Calibri"/>
        </w:rPr>
        <w:t>Cronin et al, 2007). Thus, its schools and students do not necessarily have to perform as highly</w:t>
      </w:r>
      <w:r w:rsidR="00DF603B" w:rsidRPr="00E46B5A">
        <w:rPr>
          <w:rFonts w:ascii="Calibri" w:hAnsi="Calibri"/>
        </w:rPr>
        <w:t xml:space="preserve"> as those in other S</w:t>
      </w:r>
      <w:r w:rsidR="005D68E8" w:rsidRPr="00E46B5A">
        <w:rPr>
          <w:rFonts w:ascii="Calibri" w:hAnsi="Calibri"/>
        </w:rPr>
        <w:t xml:space="preserve">tates in order to meet AYP. This is clearly reflected in its soaring percentage of schools meeting </w:t>
      </w:r>
      <w:r w:rsidR="00B847FB" w:rsidRPr="00E46B5A">
        <w:rPr>
          <w:rFonts w:ascii="Calibri" w:hAnsi="Calibri"/>
        </w:rPr>
        <w:t xml:space="preserve">the </w:t>
      </w:r>
      <w:r w:rsidR="005D68E8" w:rsidRPr="00E46B5A">
        <w:rPr>
          <w:rFonts w:ascii="Calibri" w:hAnsi="Calibri"/>
        </w:rPr>
        <w:t xml:space="preserve">AYP figure. Conversely, it is generally accepted that Massachusetts has the highest proficiency standards in the United States and sets cut-off scores well above average (Cronin et al, 2007). The </w:t>
      </w:r>
      <w:r w:rsidR="00DF603B" w:rsidRPr="00E46B5A">
        <w:rPr>
          <w:rFonts w:ascii="Calibri" w:hAnsi="Calibri"/>
        </w:rPr>
        <w:t>S</w:t>
      </w:r>
      <w:r w:rsidR="005D68E8" w:rsidRPr="00E46B5A">
        <w:rPr>
          <w:rFonts w:ascii="Calibri" w:hAnsi="Calibri"/>
        </w:rPr>
        <w:t>tate also provides more funding per student and has a lower student to teacher ratio than Wisconsin (PBS Newshour, 2010). The</w:t>
      </w:r>
      <w:r w:rsidR="005D68E8" w:rsidRPr="00DF603B">
        <w:rPr>
          <w:rFonts w:ascii="Calibri" w:hAnsi="Calibri"/>
        </w:rPr>
        <w:t xml:space="preserve"> impact of the relatively more difficul</w:t>
      </w:r>
      <w:r w:rsidR="00DF603B">
        <w:rPr>
          <w:rFonts w:ascii="Calibri" w:hAnsi="Calibri"/>
        </w:rPr>
        <w:t>t standards is captured in the S</w:t>
      </w:r>
      <w:r w:rsidR="005D68E8" w:rsidRPr="00DF603B">
        <w:rPr>
          <w:rFonts w:ascii="Calibri" w:hAnsi="Calibri"/>
        </w:rPr>
        <w:t>tate’s percentage of schools meeting AYP figure. Even though Massachusetts allocates more funding and teacher interaction per student relative to Wisconsin, its higher proficiency standards mean that less students are able to meet the benchmark.</w:t>
      </w:r>
    </w:p>
    <w:p w14:paraId="0257AAEA" w14:textId="77777777" w:rsidR="00DF603B" w:rsidRPr="00DF603B" w:rsidRDefault="00DF603B" w:rsidP="00DF603B">
      <w:pPr>
        <w:spacing w:after="0" w:line="240" w:lineRule="auto"/>
        <w:rPr>
          <w:rFonts w:ascii="Calibri" w:hAnsi="Calibri"/>
        </w:rPr>
      </w:pPr>
    </w:p>
    <w:p w14:paraId="78448F3F" w14:textId="77777777" w:rsidR="00955517" w:rsidRDefault="00955517" w:rsidP="00DF603B">
      <w:pPr>
        <w:spacing w:after="0" w:line="240" w:lineRule="auto"/>
        <w:rPr>
          <w:rFonts w:ascii="Calibri" w:hAnsi="Calibri"/>
        </w:rPr>
      </w:pPr>
      <w:r w:rsidRPr="00DF603B">
        <w:rPr>
          <w:rFonts w:ascii="Calibri" w:hAnsi="Calibri"/>
        </w:rPr>
        <w:t>What the example of NCLB demonstrates is the challenge around setting the target</w:t>
      </w:r>
      <w:r w:rsidR="00AA0722" w:rsidRPr="00DF603B">
        <w:rPr>
          <w:rFonts w:ascii="Calibri" w:hAnsi="Calibri"/>
        </w:rPr>
        <w:t xml:space="preserve"> and how that can influence behaviours</w:t>
      </w:r>
      <w:r w:rsidRPr="00DF603B">
        <w:rPr>
          <w:rFonts w:ascii="Calibri" w:hAnsi="Calibri"/>
        </w:rPr>
        <w:t>. Beyond the autonomy for each State to set their own target (and measure their performance how they chose)</w:t>
      </w:r>
      <w:r w:rsidR="00B847FB">
        <w:rPr>
          <w:rFonts w:ascii="Calibri" w:hAnsi="Calibri"/>
        </w:rPr>
        <w:t>,</w:t>
      </w:r>
      <w:r w:rsidRPr="00DF603B">
        <w:rPr>
          <w:rFonts w:ascii="Calibri" w:hAnsi="Calibri"/>
        </w:rPr>
        <w:t xml:space="preserve"> </w:t>
      </w:r>
      <w:r w:rsidR="00AA0722" w:rsidRPr="00DF603B">
        <w:rPr>
          <w:rFonts w:ascii="Calibri" w:hAnsi="Calibri"/>
        </w:rPr>
        <w:t xml:space="preserve">the need and desire to achieve a specific performance level led to sub-optimal behaviours – relative to the intent of the public policy – </w:t>
      </w:r>
      <w:r w:rsidR="00B847FB">
        <w:rPr>
          <w:rFonts w:ascii="Calibri" w:hAnsi="Calibri"/>
        </w:rPr>
        <w:t>on the part of the States</w:t>
      </w:r>
      <w:r w:rsidR="00AA0722" w:rsidRPr="00DF603B">
        <w:rPr>
          <w:rFonts w:ascii="Calibri" w:hAnsi="Calibri"/>
        </w:rPr>
        <w:t>.</w:t>
      </w:r>
    </w:p>
    <w:p w14:paraId="79386596" w14:textId="77777777" w:rsidR="00DF603B" w:rsidRPr="00DF603B" w:rsidRDefault="00DF603B" w:rsidP="00DF603B">
      <w:pPr>
        <w:spacing w:after="0" w:line="240" w:lineRule="auto"/>
        <w:rPr>
          <w:rFonts w:ascii="Calibri" w:hAnsi="Calibri"/>
        </w:rPr>
      </w:pPr>
    </w:p>
    <w:p w14:paraId="039E2C73" w14:textId="77777777" w:rsidR="007B72D5" w:rsidRPr="004D3146" w:rsidRDefault="007B72D5" w:rsidP="007B72D5">
      <w:pPr>
        <w:pStyle w:val="ListParagraph"/>
        <w:numPr>
          <w:ilvl w:val="3"/>
          <w:numId w:val="16"/>
        </w:numPr>
        <w:spacing w:after="240"/>
        <w:jc w:val="both"/>
        <w:rPr>
          <w:rFonts w:cs="Calibri"/>
          <w:i/>
          <w:sz w:val="24"/>
          <w:szCs w:val="24"/>
        </w:rPr>
      </w:pPr>
      <w:r>
        <w:rPr>
          <w:rFonts w:cs="Calibri"/>
          <w:i/>
          <w:sz w:val="24"/>
          <w:szCs w:val="24"/>
        </w:rPr>
        <w:t>Average Provider Performance</w:t>
      </w:r>
    </w:p>
    <w:p w14:paraId="661BDC1E" w14:textId="3E103767" w:rsidR="00DF227D" w:rsidRPr="006A76C4" w:rsidRDefault="0018468F" w:rsidP="006A76C4">
      <w:pPr>
        <w:autoSpaceDE w:val="0"/>
        <w:autoSpaceDN w:val="0"/>
        <w:adjustRightInd w:val="0"/>
        <w:spacing w:after="0" w:line="240" w:lineRule="auto"/>
        <w:rPr>
          <w:rFonts w:eastAsia="Times New Roman" w:cstheme="minorHAnsi"/>
        </w:rPr>
      </w:pPr>
      <w:r w:rsidRPr="006A76C4">
        <w:rPr>
          <w:rFonts w:eastAsia="Times New Roman" w:cstheme="minorHAnsi"/>
        </w:rPr>
        <w:t>Another approach is to use the current average performance of all providers as a baseline performance level and require all providers to meet that target plus a certain percentage increase in performance.</w:t>
      </w:r>
      <w:r w:rsidR="00E7258C" w:rsidRPr="006A76C4">
        <w:rPr>
          <w:rFonts w:eastAsia="Times New Roman" w:cstheme="minorHAnsi"/>
        </w:rPr>
        <w:t xml:space="preserve"> </w:t>
      </w:r>
      <w:r w:rsidRPr="006A76C4">
        <w:rPr>
          <w:rFonts w:eastAsia="Times New Roman" w:cstheme="minorHAnsi"/>
        </w:rPr>
        <w:t>The principal concern here is that is does not adjust for factors outside the provider’s control in evaluating and managing performance (</w:t>
      </w:r>
      <w:r w:rsidRPr="00E46B5A">
        <w:rPr>
          <w:rFonts w:eastAsia="Times New Roman" w:cstheme="minorHAnsi"/>
        </w:rPr>
        <w:t>Deming, 1986</w:t>
      </w:r>
      <w:r w:rsidRPr="006A76C4">
        <w:rPr>
          <w:rFonts w:eastAsia="Times New Roman" w:cstheme="minorHAnsi"/>
        </w:rPr>
        <w:t xml:space="preserve">). </w:t>
      </w:r>
      <w:r w:rsidR="00D807FD" w:rsidRPr="006A76C4">
        <w:rPr>
          <w:rFonts w:eastAsia="Times New Roman" w:cstheme="minorHAnsi"/>
        </w:rPr>
        <w:t xml:space="preserve">For example, two providers may have different performance but this may be due to differences in the labour market that they operate in. </w:t>
      </w:r>
      <w:r w:rsidR="00685DEA" w:rsidRPr="006A76C4">
        <w:rPr>
          <w:rFonts w:eastAsia="Times New Roman" w:cstheme="minorHAnsi"/>
        </w:rPr>
        <w:t>I</w:t>
      </w:r>
      <w:r w:rsidR="00A72F06" w:rsidRPr="006A76C4">
        <w:rPr>
          <w:rFonts w:eastAsia="Times New Roman" w:cstheme="minorHAnsi"/>
        </w:rPr>
        <w:t xml:space="preserve">f a performance standard for providers does not take into account differences in individual </w:t>
      </w:r>
      <w:r w:rsidR="00E46B5A">
        <w:rPr>
          <w:rFonts w:eastAsia="Times New Roman" w:cstheme="minorHAnsi"/>
        </w:rPr>
        <w:t xml:space="preserve">participant </w:t>
      </w:r>
      <w:r w:rsidR="00A72F06" w:rsidRPr="006A76C4">
        <w:rPr>
          <w:rFonts w:eastAsia="Times New Roman" w:cstheme="minorHAnsi"/>
        </w:rPr>
        <w:t xml:space="preserve">characteristics and labour market factors, variation in provider performance relative to the performance standard will </w:t>
      </w:r>
      <w:r w:rsidR="006A76C4">
        <w:rPr>
          <w:rFonts w:eastAsia="Times New Roman" w:cstheme="minorHAnsi"/>
        </w:rPr>
        <w:t xml:space="preserve">potentially </w:t>
      </w:r>
      <w:r w:rsidR="00A72F06" w:rsidRPr="006A76C4">
        <w:rPr>
          <w:rFonts w:eastAsia="Times New Roman" w:cstheme="minorHAnsi"/>
        </w:rPr>
        <w:t xml:space="preserve">be </w:t>
      </w:r>
      <w:r w:rsidR="006A76C4">
        <w:rPr>
          <w:rFonts w:eastAsia="Times New Roman" w:cstheme="minorHAnsi"/>
        </w:rPr>
        <w:t xml:space="preserve">predominately </w:t>
      </w:r>
      <w:r w:rsidR="00A72F06" w:rsidRPr="006A76C4">
        <w:rPr>
          <w:rFonts w:eastAsia="Times New Roman" w:cstheme="minorHAnsi"/>
        </w:rPr>
        <w:t xml:space="preserve">attributable to uncontrollable factors. </w:t>
      </w:r>
    </w:p>
    <w:p w14:paraId="55D84868" w14:textId="77777777" w:rsidR="00DF227D" w:rsidRPr="006A76C4" w:rsidRDefault="00DF227D" w:rsidP="006A76C4">
      <w:pPr>
        <w:autoSpaceDE w:val="0"/>
        <w:autoSpaceDN w:val="0"/>
        <w:adjustRightInd w:val="0"/>
        <w:spacing w:after="0" w:line="240" w:lineRule="auto"/>
        <w:rPr>
          <w:rFonts w:eastAsia="Times New Roman" w:cstheme="minorHAnsi"/>
        </w:rPr>
      </w:pPr>
    </w:p>
    <w:p w14:paraId="655EB1FE" w14:textId="008170A5" w:rsidR="00733695" w:rsidRPr="006A76C4" w:rsidRDefault="006F5CA6" w:rsidP="006A76C4">
      <w:pPr>
        <w:autoSpaceDE w:val="0"/>
        <w:autoSpaceDN w:val="0"/>
        <w:adjustRightInd w:val="0"/>
        <w:spacing w:after="0" w:line="240" w:lineRule="auto"/>
        <w:rPr>
          <w:rFonts w:eastAsia="Times New Roman" w:cstheme="minorHAnsi"/>
        </w:rPr>
      </w:pPr>
      <w:r w:rsidRPr="006A76C4">
        <w:rPr>
          <w:rFonts w:eastAsia="Times New Roman" w:cstheme="minorHAnsi"/>
        </w:rPr>
        <w:t xml:space="preserve">Two concerns that arise from this are risk aversion and fairness. A benchmark that does not control for outside risks </w:t>
      </w:r>
      <w:r w:rsidR="00102939" w:rsidRPr="006A76C4">
        <w:rPr>
          <w:rFonts w:eastAsia="Times New Roman" w:cstheme="minorHAnsi"/>
        </w:rPr>
        <w:t>encourages creaming by increasing</w:t>
      </w:r>
      <w:r w:rsidRPr="006A76C4">
        <w:rPr>
          <w:rFonts w:eastAsia="Times New Roman" w:cstheme="minorHAnsi"/>
        </w:rPr>
        <w:t xml:space="preserve"> the probability that providers will become risk averse and refuse to help harder-to-place </w:t>
      </w:r>
      <w:r w:rsidR="007957F5" w:rsidRPr="006A76C4">
        <w:rPr>
          <w:rFonts w:eastAsia="Times New Roman" w:cstheme="minorHAnsi"/>
        </w:rPr>
        <w:t xml:space="preserve">job </w:t>
      </w:r>
      <w:r w:rsidR="0095178F" w:rsidRPr="006A76C4">
        <w:rPr>
          <w:rFonts w:eastAsia="Times New Roman" w:cstheme="minorHAnsi"/>
        </w:rPr>
        <w:t>seekers,</w:t>
      </w:r>
      <w:r w:rsidRPr="006A76C4">
        <w:rPr>
          <w:rFonts w:eastAsia="Times New Roman" w:cstheme="minorHAnsi"/>
        </w:rPr>
        <w:t xml:space="preserve"> as </w:t>
      </w:r>
      <w:r w:rsidR="00B847FB">
        <w:rPr>
          <w:rFonts w:eastAsia="Times New Roman" w:cstheme="minorHAnsi"/>
        </w:rPr>
        <w:t>not doing so</w:t>
      </w:r>
      <w:r w:rsidR="00D807FD" w:rsidRPr="006A76C4">
        <w:rPr>
          <w:rFonts w:eastAsia="Times New Roman" w:cstheme="minorHAnsi"/>
        </w:rPr>
        <w:t xml:space="preserve"> will lower their performance.</w:t>
      </w:r>
      <w:r w:rsidR="00A72F06" w:rsidRPr="006A76C4">
        <w:rPr>
          <w:rFonts w:eastAsia="Times New Roman" w:cstheme="minorHAnsi"/>
        </w:rPr>
        <w:t xml:space="preserve"> </w:t>
      </w:r>
      <w:r w:rsidRPr="006A76C4">
        <w:rPr>
          <w:rFonts w:eastAsia="Times New Roman" w:cstheme="minorHAnsi"/>
        </w:rPr>
        <w:t xml:space="preserve">Second, </w:t>
      </w:r>
      <w:r w:rsidR="00E95FEB" w:rsidRPr="006A76C4">
        <w:rPr>
          <w:rFonts w:eastAsia="Times New Roman" w:cstheme="minorHAnsi"/>
        </w:rPr>
        <w:t xml:space="preserve">provider comparisons based on the benchmark can foster concerns about fairness as differences in </w:t>
      </w:r>
      <w:r w:rsidR="00E46B5A">
        <w:rPr>
          <w:rFonts w:eastAsia="Times New Roman" w:cstheme="minorHAnsi"/>
        </w:rPr>
        <w:t>participant characteristics</w:t>
      </w:r>
      <w:r w:rsidR="00E95FEB" w:rsidRPr="006A76C4">
        <w:rPr>
          <w:rFonts w:eastAsia="Times New Roman" w:cstheme="minorHAnsi"/>
        </w:rPr>
        <w:t xml:space="preserve"> and labour market factors can generate different ratings of providers who otherwise behaved identically in terms of effort</w:t>
      </w:r>
      <w:r w:rsidR="006A76C4">
        <w:rPr>
          <w:rFonts w:eastAsia="Times New Roman" w:cstheme="minorHAnsi"/>
        </w:rPr>
        <w:t xml:space="preserve"> and quality of assistance</w:t>
      </w:r>
      <w:r w:rsidR="00E95FEB" w:rsidRPr="006A76C4">
        <w:rPr>
          <w:rFonts w:eastAsia="Times New Roman" w:cstheme="minorHAnsi"/>
        </w:rPr>
        <w:t xml:space="preserve">. </w:t>
      </w:r>
    </w:p>
    <w:p w14:paraId="7CDF52E8" w14:textId="77777777" w:rsidR="000B1BFD" w:rsidRPr="006A76C4" w:rsidRDefault="000B1BFD" w:rsidP="006A76C4">
      <w:pPr>
        <w:autoSpaceDE w:val="0"/>
        <w:autoSpaceDN w:val="0"/>
        <w:adjustRightInd w:val="0"/>
        <w:spacing w:after="0" w:line="240" w:lineRule="auto"/>
        <w:rPr>
          <w:rFonts w:eastAsia="Times New Roman" w:cstheme="minorHAnsi"/>
        </w:rPr>
      </w:pPr>
    </w:p>
    <w:p w14:paraId="1E7C953B" w14:textId="77777777" w:rsidR="007B72D5" w:rsidRPr="004D3146" w:rsidRDefault="007B72D5" w:rsidP="007B72D5">
      <w:pPr>
        <w:pStyle w:val="ListParagraph"/>
        <w:numPr>
          <w:ilvl w:val="3"/>
          <w:numId w:val="16"/>
        </w:numPr>
        <w:spacing w:after="240"/>
        <w:jc w:val="both"/>
        <w:rPr>
          <w:rFonts w:cs="Calibri"/>
          <w:i/>
          <w:sz w:val="24"/>
          <w:szCs w:val="24"/>
        </w:rPr>
      </w:pPr>
      <w:r>
        <w:rPr>
          <w:rFonts w:cs="Calibri"/>
          <w:i/>
          <w:sz w:val="24"/>
          <w:szCs w:val="24"/>
        </w:rPr>
        <w:t>Best Provider Performance</w:t>
      </w:r>
    </w:p>
    <w:p w14:paraId="2C75B128" w14:textId="77777777" w:rsidR="003D65B7" w:rsidRDefault="0018468F" w:rsidP="003D65B7">
      <w:pPr>
        <w:autoSpaceDE w:val="0"/>
        <w:autoSpaceDN w:val="0"/>
        <w:adjustRightInd w:val="0"/>
        <w:spacing w:after="0" w:line="240" w:lineRule="auto"/>
        <w:rPr>
          <w:rFonts w:cstheme="minorHAnsi"/>
        </w:rPr>
      </w:pPr>
      <w:r w:rsidRPr="003D65B7">
        <w:rPr>
          <w:rFonts w:eastAsia="Times New Roman" w:cstheme="minorHAnsi"/>
        </w:rPr>
        <w:t>An alternative method is to set a target based on the performance o</w:t>
      </w:r>
      <w:r w:rsidR="00367750" w:rsidRPr="003D65B7">
        <w:rPr>
          <w:rFonts w:eastAsia="Times New Roman" w:cstheme="minorHAnsi"/>
        </w:rPr>
        <w:t>f the best performing providers</w:t>
      </w:r>
      <w:r w:rsidRPr="003D65B7">
        <w:rPr>
          <w:rFonts w:eastAsia="Times New Roman" w:cstheme="minorHAnsi"/>
        </w:rPr>
        <w:t xml:space="preserve">. </w:t>
      </w:r>
      <w:r w:rsidR="00DC4B1B" w:rsidRPr="003D65B7">
        <w:rPr>
          <w:rFonts w:eastAsia="Times New Roman" w:cstheme="minorHAnsi"/>
        </w:rPr>
        <w:t>In this si</w:t>
      </w:r>
      <w:r w:rsidR="00367750" w:rsidRPr="003D65B7">
        <w:rPr>
          <w:rFonts w:eastAsia="Times New Roman" w:cstheme="minorHAnsi"/>
        </w:rPr>
        <w:t>tuation,</w:t>
      </w:r>
      <w:r w:rsidR="003D65B7">
        <w:rPr>
          <w:rFonts w:eastAsia="Times New Roman" w:cstheme="minorHAnsi"/>
        </w:rPr>
        <w:t xml:space="preserve"> for the purpose of demonstration, </w:t>
      </w:r>
      <w:r w:rsidR="00367750" w:rsidRPr="003D65B7">
        <w:rPr>
          <w:rFonts w:eastAsia="Times New Roman" w:cstheme="minorHAnsi"/>
        </w:rPr>
        <w:t>if it is believed that only the top 10 per</w:t>
      </w:r>
      <w:r w:rsidR="00DF227D" w:rsidRPr="003D65B7">
        <w:rPr>
          <w:rFonts w:eastAsia="Times New Roman" w:cstheme="minorHAnsi"/>
        </w:rPr>
        <w:t xml:space="preserve"> </w:t>
      </w:r>
      <w:r w:rsidR="00367750" w:rsidRPr="003D65B7">
        <w:rPr>
          <w:rFonts w:eastAsia="Times New Roman" w:cstheme="minorHAnsi"/>
        </w:rPr>
        <w:t xml:space="preserve">cent of providers </w:t>
      </w:r>
      <w:r w:rsidR="008133B5" w:rsidRPr="003D65B7">
        <w:rPr>
          <w:rFonts w:eastAsia="Times New Roman" w:cstheme="minorHAnsi"/>
        </w:rPr>
        <w:t>were high performing providers</w:t>
      </w:r>
      <w:r w:rsidR="00367750" w:rsidRPr="003D65B7">
        <w:rPr>
          <w:rFonts w:eastAsia="Times New Roman" w:cstheme="minorHAnsi"/>
        </w:rPr>
        <w:t xml:space="preserve">, then the performance standard </w:t>
      </w:r>
      <w:r w:rsidR="00850D8E" w:rsidRPr="003D65B7">
        <w:rPr>
          <w:rFonts w:eastAsia="Times New Roman" w:cstheme="minorHAnsi"/>
        </w:rPr>
        <w:t>may for instance</w:t>
      </w:r>
      <w:r w:rsidR="00367750" w:rsidRPr="003D65B7">
        <w:rPr>
          <w:rFonts w:eastAsia="Times New Roman" w:cstheme="minorHAnsi"/>
        </w:rPr>
        <w:t xml:space="preserve"> be set at the 90</w:t>
      </w:r>
      <w:r w:rsidR="00367750" w:rsidRPr="003D65B7">
        <w:rPr>
          <w:rFonts w:eastAsia="Times New Roman" w:cstheme="minorHAnsi"/>
          <w:vertAlign w:val="superscript"/>
        </w:rPr>
        <w:t>th</w:t>
      </w:r>
      <w:r w:rsidR="00367750" w:rsidRPr="003D65B7">
        <w:rPr>
          <w:rFonts w:eastAsia="Times New Roman" w:cstheme="minorHAnsi"/>
        </w:rPr>
        <w:t xml:space="preserve"> percentile of the distribution of past performance. The advantage of this approach is that it </w:t>
      </w:r>
      <w:r w:rsidR="00FD7F3E" w:rsidRPr="003D65B7">
        <w:rPr>
          <w:rFonts w:cstheme="minorHAnsi"/>
        </w:rPr>
        <w:t xml:space="preserve">motivates </w:t>
      </w:r>
      <w:r w:rsidR="008133B5" w:rsidRPr="003D65B7">
        <w:rPr>
          <w:rFonts w:cstheme="minorHAnsi"/>
        </w:rPr>
        <w:t>poor performing providers</w:t>
      </w:r>
      <w:r w:rsidR="00FD7F3E" w:rsidRPr="003D65B7">
        <w:rPr>
          <w:rFonts w:cstheme="minorHAnsi"/>
        </w:rPr>
        <w:t xml:space="preserve"> to change their ways and aspire </w:t>
      </w:r>
      <w:r w:rsidR="00E95FEB" w:rsidRPr="003D65B7">
        <w:rPr>
          <w:rFonts w:cstheme="minorHAnsi"/>
        </w:rPr>
        <w:t xml:space="preserve">them </w:t>
      </w:r>
      <w:r w:rsidR="00FD7F3E" w:rsidRPr="003D65B7">
        <w:rPr>
          <w:rFonts w:cstheme="minorHAnsi"/>
        </w:rPr>
        <w:t xml:space="preserve">to achieve </w:t>
      </w:r>
      <w:r w:rsidR="00B847FB">
        <w:rPr>
          <w:rFonts w:cstheme="minorHAnsi"/>
        </w:rPr>
        <w:t>higher standards of performance. It</w:t>
      </w:r>
      <w:r w:rsidR="00FD7F3E" w:rsidRPr="003D65B7">
        <w:rPr>
          <w:rFonts w:cstheme="minorHAnsi"/>
        </w:rPr>
        <w:t xml:space="preserve"> </w:t>
      </w:r>
      <w:r w:rsidR="00FD7F3E" w:rsidRPr="003D65B7">
        <w:rPr>
          <w:rFonts w:eastAsia="Times New Roman" w:cstheme="minorHAnsi"/>
        </w:rPr>
        <w:t>may also encourage</w:t>
      </w:r>
      <w:r w:rsidR="00B847FB">
        <w:rPr>
          <w:rFonts w:eastAsia="Times New Roman" w:cstheme="minorHAnsi"/>
        </w:rPr>
        <w:t xml:space="preserve"> the</w:t>
      </w:r>
      <w:r w:rsidR="00FD7F3E" w:rsidRPr="003D65B7">
        <w:rPr>
          <w:rFonts w:eastAsia="Times New Roman" w:cstheme="minorHAnsi"/>
        </w:rPr>
        <w:t xml:space="preserve"> sharing of best practices amongst providers in order for providers to meet this demanding target</w:t>
      </w:r>
      <w:r w:rsidR="00FD7F3E" w:rsidRPr="003D65B7">
        <w:rPr>
          <w:rFonts w:cstheme="minorHAnsi"/>
        </w:rPr>
        <w:t xml:space="preserve">. </w:t>
      </w:r>
    </w:p>
    <w:p w14:paraId="3A1A1244" w14:textId="77777777" w:rsidR="003D65B7" w:rsidRDefault="003D65B7" w:rsidP="003D65B7">
      <w:pPr>
        <w:autoSpaceDE w:val="0"/>
        <w:autoSpaceDN w:val="0"/>
        <w:adjustRightInd w:val="0"/>
        <w:spacing w:after="0" w:line="240" w:lineRule="auto"/>
        <w:rPr>
          <w:rFonts w:cstheme="minorHAnsi"/>
        </w:rPr>
      </w:pPr>
    </w:p>
    <w:p w14:paraId="153B802A" w14:textId="3C968970" w:rsidR="00FD7F3E" w:rsidRPr="003D65B7" w:rsidRDefault="00FD7F3E" w:rsidP="003D65B7">
      <w:pPr>
        <w:autoSpaceDE w:val="0"/>
        <w:autoSpaceDN w:val="0"/>
        <w:adjustRightInd w:val="0"/>
        <w:spacing w:after="0" w:line="240" w:lineRule="auto"/>
        <w:rPr>
          <w:rFonts w:eastAsia="Times New Roman" w:cstheme="minorHAnsi"/>
        </w:rPr>
      </w:pPr>
      <w:r w:rsidRPr="003D65B7">
        <w:rPr>
          <w:rFonts w:cstheme="minorHAnsi"/>
        </w:rPr>
        <w:t>For instance, one U</w:t>
      </w:r>
      <w:r w:rsidR="003D65B7">
        <w:rPr>
          <w:rFonts w:cstheme="minorHAnsi"/>
        </w:rPr>
        <w:t xml:space="preserve">nited </w:t>
      </w:r>
      <w:r w:rsidRPr="003D65B7">
        <w:rPr>
          <w:rFonts w:cstheme="minorHAnsi"/>
        </w:rPr>
        <w:t>S</w:t>
      </w:r>
      <w:r w:rsidR="003D65B7">
        <w:rPr>
          <w:rFonts w:cstheme="minorHAnsi"/>
        </w:rPr>
        <w:t>tates</w:t>
      </w:r>
      <w:r w:rsidRPr="003D65B7">
        <w:rPr>
          <w:rFonts w:cstheme="minorHAnsi"/>
        </w:rPr>
        <w:t xml:space="preserve"> government program, Temporary Assistance for Needy Families</w:t>
      </w:r>
      <w:r w:rsidR="00850D8E" w:rsidRPr="003D65B7">
        <w:rPr>
          <w:rFonts w:cstheme="minorHAnsi"/>
        </w:rPr>
        <w:t xml:space="preserve"> (TANF)</w:t>
      </w:r>
      <w:r w:rsidR="00853B4F" w:rsidRPr="003D65B7">
        <w:rPr>
          <w:rFonts w:cstheme="minorHAnsi"/>
        </w:rPr>
        <w:t>, provided</w:t>
      </w:r>
      <w:r w:rsidRPr="003D65B7">
        <w:rPr>
          <w:rFonts w:cstheme="minorHAnsi"/>
        </w:rPr>
        <w:t xml:space="preserve"> cash assistance to indigent</w:t>
      </w:r>
      <w:r w:rsidR="00E46B5A">
        <w:rPr>
          <w:rFonts w:cstheme="minorHAnsi"/>
        </w:rPr>
        <w:t xml:space="preserve"> (i.e. poor)</w:t>
      </w:r>
      <w:r w:rsidRPr="003D65B7">
        <w:rPr>
          <w:rFonts w:cstheme="minorHAnsi"/>
        </w:rPr>
        <w:t xml:space="preserve"> American families with dependent children through the </w:t>
      </w:r>
      <w:hyperlink r:id="rId10" w:tooltip="United States Department of Health and Human Services" w:history="1">
        <w:r w:rsidRPr="003D65B7">
          <w:rPr>
            <w:rFonts w:cstheme="minorHAnsi"/>
          </w:rPr>
          <w:t>United States Department of Health and Human Services</w:t>
        </w:r>
      </w:hyperlink>
      <w:r w:rsidRPr="003D65B7">
        <w:rPr>
          <w:rFonts w:cstheme="minorHAnsi"/>
        </w:rPr>
        <w:t>. In the TANF high performance bonus system, states that in the past had invested little to help clients achieve self-sufficiency had to work harder to meet performance requirements for client work participation, job entry, retention, and earnings gains (</w:t>
      </w:r>
      <w:r w:rsidRPr="006B1899">
        <w:rPr>
          <w:rFonts w:cstheme="minorHAnsi"/>
        </w:rPr>
        <w:t>Barnow and Heinrich, 2010</w:t>
      </w:r>
      <w:r w:rsidRPr="003D65B7">
        <w:rPr>
          <w:rFonts w:cstheme="minorHAnsi"/>
        </w:rPr>
        <w:t xml:space="preserve">). </w:t>
      </w:r>
      <w:r w:rsidRPr="003D65B7">
        <w:rPr>
          <w:rFonts w:eastAsia="Times New Roman" w:cstheme="minorHAnsi"/>
        </w:rPr>
        <w:t>T</w:t>
      </w:r>
      <w:r w:rsidR="00850D8E" w:rsidRPr="003D65B7">
        <w:rPr>
          <w:rFonts w:eastAsia="Times New Roman" w:cstheme="minorHAnsi"/>
        </w:rPr>
        <w:t>he</w:t>
      </w:r>
      <w:r w:rsidR="00367750" w:rsidRPr="003D65B7">
        <w:rPr>
          <w:rFonts w:eastAsia="Times New Roman" w:cstheme="minorHAnsi"/>
        </w:rPr>
        <w:t xml:space="preserve"> </w:t>
      </w:r>
      <w:r w:rsidR="00E95FEB" w:rsidRPr="003D65B7">
        <w:rPr>
          <w:rFonts w:eastAsia="Times New Roman" w:cstheme="minorHAnsi"/>
        </w:rPr>
        <w:t xml:space="preserve">concern here </w:t>
      </w:r>
      <w:r w:rsidR="00367750" w:rsidRPr="003D65B7">
        <w:rPr>
          <w:rFonts w:eastAsia="Times New Roman" w:cstheme="minorHAnsi"/>
        </w:rPr>
        <w:t xml:space="preserve">again though </w:t>
      </w:r>
      <w:r w:rsidR="00E95FEB" w:rsidRPr="003D65B7">
        <w:rPr>
          <w:rFonts w:eastAsia="Times New Roman" w:cstheme="minorHAnsi"/>
        </w:rPr>
        <w:t>is</w:t>
      </w:r>
      <w:r w:rsidR="00367750" w:rsidRPr="003D65B7">
        <w:rPr>
          <w:rFonts w:eastAsia="Times New Roman" w:cstheme="minorHAnsi"/>
        </w:rPr>
        <w:t xml:space="preserve"> that</w:t>
      </w:r>
      <w:r w:rsidRPr="003D65B7">
        <w:rPr>
          <w:rFonts w:eastAsia="Times New Roman" w:cstheme="minorHAnsi"/>
        </w:rPr>
        <w:t xml:space="preserve"> no </w:t>
      </w:r>
      <w:r w:rsidRPr="003D65B7">
        <w:rPr>
          <w:rFonts w:eastAsia="Times New Roman" w:cstheme="minorHAnsi"/>
        </w:rPr>
        <w:lastRenderedPageBreak/>
        <w:t xml:space="preserve">adjustment is made for differences in </w:t>
      </w:r>
      <w:r w:rsidR="006B1899">
        <w:rPr>
          <w:rFonts w:eastAsia="Times New Roman" w:cstheme="minorHAnsi"/>
        </w:rPr>
        <w:t xml:space="preserve">client </w:t>
      </w:r>
      <w:r w:rsidRPr="003D65B7">
        <w:rPr>
          <w:rFonts w:eastAsia="Times New Roman" w:cstheme="minorHAnsi"/>
        </w:rPr>
        <w:t>characteristics and labo</w:t>
      </w:r>
      <w:r w:rsidR="0073734F" w:rsidRPr="003D65B7">
        <w:rPr>
          <w:rFonts w:eastAsia="Times New Roman" w:cstheme="minorHAnsi"/>
        </w:rPr>
        <w:t>ur market factors that affect provider performance and hence</w:t>
      </w:r>
      <w:r w:rsidR="00994B89" w:rsidRPr="003D65B7">
        <w:rPr>
          <w:rFonts w:eastAsia="Times New Roman" w:cstheme="minorHAnsi"/>
        </w:rPr>
        <w:t xml:space="preserve"> can overestimate the level of performance providers can reasonably achieve.</w:t>
      </w:r>
      <w:r w:rsidR="00367750" w:rsidRPr="003D65B7">
        <w:rPr>
          <w:rFonts w:eastAsia="Times New Roman" w:cstheme="minorHAnsi"/>
        </w:rPr>
        <w:t xml:space="preserve"> </w:t>
      </w:r>
    </w:p>
    <w:p w14:paraId="26B08D59" w14:textId="77777777" w:rsidR="00765652" w:rsidRDefault="00765652" w:rsidP="00E117C5">
      <w:pPr>
        <w:autoSpaceDE w:val="0"/>
        <w:autoSpaceDN w:val="0"/>
        <w:adjustRightInd w:val="0"/>
        <w:spacing w:after="0" w:line="240" w:lineRule="auto"/>
        <w:jc w:val="both"/>
        <w:rPr>
          <w:rFonts w:eastAsia="Times New Roman" w:cstheme="minorHAnsi"/>
          <w:sz w:val="24"/>
          <w:szCs w:val="24"/>
        </w:rPr>
      </w:pPr>
    </w:p>
    <w:p w14:paraId="5E2B4AC0" w14:textId="77777777" w:rsidR="007B72D5" w:rsidRPr="004D3146" w:rsidRDefault="00761F15" w:rsidP="007B72D5">
      <w:pPr>
        <w:pStyle w:val="ListParagraph"/>
        <w:numPr>
          <w:ilvl w:val="3"/>
          <w:numId w:val="16"/>
        </w:numPr>
        <w:spacing w:after="240"/>
        <w:jc w:val="both"/>
        <w:rPr>
          <w:rFonts w:cs="Calibri"/>
          <w:i/>
          <w:sz w:val="24"/>
          <w:szCs w:val="24"/>
        </w:rPr>
      </w:pPr>
      <w:r>
        <w:rPr>
          <w:rFonts w:cs="Calibri"/>
          <w:i/>
          <w:sz w:val="24"/>
          <w:szCs w:val="24"/>
        </w:rPr>
        <w:t xml:space="preserve">Other Labour Market </w:t>
      </w:r>
      <w:r w:rsidR="007B72D5">
        <w:rPr>
          <w:rFonts w:cs="Calibri"/>
          <w:i/>
          <w:sz w:val="24"/>
          <w:szCs w:val="24"/>
        </w:rPr>
        <w:t>Programs</w:t>
      </w:r>
    </w:p>
    <w:p w14:paraId="3DDF832A" w14:textId="77777777" w:rsidR="00821965" w:rsidRDefault="000B7F7F" w:rsidP="00821965">
      <w:pPr>
        <w:autoSpaceDE w:val="0"/>
        <w:autoSpaceDN w:val="0"/>
        <w:adjustRightInd w:val="0"/>
        <w:spacing w:after="0" w:line="240" w:lineRule="auto"/>
        <w:rPr>
          <w:rFonts w:eastAsia="Times New Roman" w:cstheme="minorHAnsi"/>
        </w:rPr>
      </w:pPr>
      <w:r w:rsidRPr="00821965">
        <w:rPr>
          <w:rFonts w:eastAsia="Times New Roman" w:cstheme="minorHAnsi"/>
        </w:rPr>
        <w:t>A final methodological approach is to employ a target based on the performance achieved in other similar programs, either domestically or international</w:t>
      </w:r>
      <w:r w:rsidR="00143503" w:rsidRPr="00821965">
        <w:rPr>
          <w:rFonts w:eastAsia="Times New Roman" w:cstheme="minorHAnsi"/>
        </w:rPr>
        <w:t>ly</w:t>
      </w:r>
      <w:r w:rsidRPr="00821965">
        <w:rPr>
          <w:rFonts w:eastAsia="Times New Roman" w:cstheme="minorHAnsi"/>
        </w:rPr>
        <w:t xml:space="preserve">. </w:t>
      </w:r>
      <w:r w:rsidR="00761F15" w:rsidRPr="00821965">
        <w:rPr>
          <w:rFonts w:eastAsia="Times New Roman" w:cstheme="minorHAnsi"/>
        </w:rPr>
        <w:t xml:space="preserve">Studies examining outcome rates in other labour market programs provide a basis for setting targets in Australia’s employment services system. </w:t>
      </w:r>
      <w:r w:rsidRPr="00821965">
        <w:rPr>
          <w:rFonts w:eastAsia="Times New Roman" w:cstheme="minorHAnsi"/>
        </w:rPr>
        <w:t xml:space="preserve">The concern generated here </w:t>
      </w:r>
      <w:r w:rsidR="003039E2" w:rsidRPr="00821965">
        <w:rPr>
          <w:rFonts w:eastAsia="Times New Roman" w:cstheme="minorHAnsi"/>
        </w:rPr>
        <w:t>is that the performance</w:t>
      </w:r>
      <w:r w:rsidR="00143503" w:rsidRPr="00821965">
        <w:rPr>
          <w:rFonts w:eastAsia="Times New Roman" w:cstheme="minorHAnsi"/>
        </w:rPr>
        <w:t xml:space="preserve"> of these other programs may not be </w:t>
      </w:r>
      <w:r w:rsidR="00733695" w:rsidRPr="00821965">
        <w:rPr>
          <w:rFonts w:eastAsia="Times New Roman" w:cstheme="minorHAnsi"/>
        </w:rPr>
        <w:t xml:space="preserve">an </w:t>
      </w:r>
      <w:r w:rsidR="005462BA" w:rsidRPr="00821965">
        <w:rPr>
          <w:rFonts w:eastAsia="Times New Roman" w:cstheme="minorHAnsi"/>
        </w:rPr>
        <w:t>appropriate benchmark, due to</w:t>
      </w:r>
      <w:r w:rsidR="003039E2" w:rsidRPr="00821965">
        <w:rPr>
          <w:rFonts w:eastAsia="Times New Roman" w:cstheme="minorHAnsi"/>
        </w:rPr>
        <w:t xml:space="preserve"> differences in program design, performance indicators, </w:t>
      </w:r>
      <w:r w:rsidR="00143503" w:rsidRPr="00821965">
        <w:rPr>
          <w:rFonts w:eastAsia="Times New Roman" w:cstheme="minorHAnsi"/>
        </w:rPr>
        <w:t xml:space="preserve">economic conditions, demographic profile and characteristics of the </w:t>
      </w:r>
      <w:r w:rsidR="007957F5" w:rsidRPr="00821965">
        <w:rPr>
          <w:rFonts w:eastAsia="Times New Roman" w:cstheme="minorHAnsi"/>
        </w:rPr>
        <w:t>job seeker</w:t>
      </w:r>
      <w:r w:rsidR="00143503" w:rsidRPr="00821965">
        <w:rPr>
          <w:rFonts w:eastAsia="Times New Roman" w:cstheme="minorHAnsi"/>
        </w:rPr>
        <w:t>s in these programs.</w:t>
      </w:r>
      <w:r w:rsidR="00A3471D" w:rsidRPr="00821965">
        <w:rPr>
          <w:rFonts w:eastAsia="Times New Roman" w:cstheme="minorHAnsi"/>
        </w:rPr>
        <w:t xml:space="preserve"> </w:t>
      </w:r>
    </w:p>
    <w:p w14:paraId="42B7ACD0" w14:textId="77777777" w:rsidR="00821965" w:rsidRDefault="00821965" w:rsidP="00821965">
      <w:pPr>
        <w:autoSpaceDE w:val="0"/>
        <w:autoSpaceDN w:val="0"/>
        <w:adjustRightInd w:val="0"/>
        <w:spacing w:after="0" w:line="240" w:lineRule="auto"/>
        <w:rPr>
          <w:rFonts w:eastAsia="Times New Roman" w:cstheme="minorHAnsi"/>
        </w:rPr>
      </w:pPr>
    </w:p>
    <w:p w14:paraId="1B6D7724" w14:textId="77777777" w:rsidR="005462BA" w:rsidRPr="00821965" w:rsidRDefault="00C7619C" w:rsidP="00821965">
      <w:pPr>
        <w:autoSpaceDE w:val="0"/>
        <w:autoSpaceDN w:val="0"/>
        <w:adjustRightInd w:val="0"/>
        <w:spacing w:after="0" w:line="240" w:lineRule="auto"/>
        <w:rPr>
          <w:rFonts w:eastAsia="Times New Roman" w:cstheme="minorHAnsi"/>
        </w:rPr>
      </w:pPr>
      <w:r w:rsidRPr="00821965">
        <w:rPr>
          <w:rFonts w:eastAsia="Times New Roman" w:cstheme="minorHAnsi"/>
        </w:rPr>
        <w:t xml:space="preserve">To illustrate, </w:t>
      </w:r>
      <w:r w:rsidRPr="006B1899">
        <w:rPr>
          <w:rFonts w:eastAsia="Times New Roman" w:cstheme="minorHAnsi"/>
        </w:rPr>
        <w:t>Waghorn</w:t>
      </w:r>
      <w:r w:rsidR="00B42ACB" w:rsidRPr="006B1899">
        <w:rPr>
          <w:rFonts w:eastAsia="Times New Roman" w:cstheme="minorHAnsi"/>
        </w:rPr>
        <w:t xml:space="preserve"> (2011)</w:t>
      </w:r>
      <w:r w:rsidRPr="00821965">
        <w:rPr>
          <w:rFonts w:eastAsia="Times New Roman" w:cstheme="minorHAnsi"/>
        </w:rPr>
        <w:t xml:space="preserve"> recommends that the </w:t>
      </w:r>
      <w:r w:rsidR="007957F5" w:rsidRPr="00821965">
        <w:rPr>
          <w:rFonts w:eastAsia="Times New Roman" w:cstheme="minorHAnsi"/>
        </w:rPr>
        <w:t>Star Rating</w:t>
      </w:r>
      <w:r w:rsidRPr="00821965">
        <w:rPr>
          <w:rFonts w:eastAsia="Times New Roman" w:cstheme="minorHAnsi"/>
        </w:rPr>
        <w:t xml:space="preserve"> system be anchored to a fixed level of performance based upon high quality international studies. These studies document the performance that can be achieved by employment services when following best practices to support job seekers into employment. </w:t>
      </w:r>
      <w:r w:rsidRPr="006B1899">
        <w:rPr>
          <w:rFonts w:eastAsia="Times New Roman" w:cstheme="minorHAnsi"/>
        </w:rPr>
        <w:t>Waghorn</w:t>
      </w:r>
      <w:r w:rsidR="00FB265B" w:rsidRPr="006B1899">
        <w:rPr>
          <w:rFonts w:eastAsia="Times New Roman" w:cstheme="minorHAnsi"/>
        </w:rPr>
        <w:t>,</w:t>
      </w:r>
      <w:r w:rsidRPr="006B1899">
        <w:rPr>
          <w:rFonts w:eastAsia="Times New Roman" w:cstheme="minorHAnsi"/>
        </w:rPr>
        <w:t xml:space="preserve"> </w:t>
      </w:r>
      <w:r w:rsidR="00FB265B" w:rsidRPr="006B1899">
        <w:rPr>
          <w:rFonts w:eastAsia="Times New Roman" w:cstheme="minorHAnsi"/>
        </w:rPr>
        <w:t xml:space="preserve">Stephenson Browne </w:t>
      </w:r>
      <w:r w:rsidR="002C2832" w:rsidRPr="006B1899">
        <w:rPr>
          <w:rFonts w:eastAsia="Times New Roman" w:cstheme="minorHAnsi"/>
        </w:rPr>
        <w:t>(2011)</w:t>
      </w:r>
      <w:r w:rsidR="002C2832" w:rsidRPr="00821965">
        <w:rPr>
          <w:rFonts w:eastAsia="Times New Roman" w:cstheme="minorHAnsi"/>
        </w:rPr>
        <w:t xml:space="preserve"> </w:t>
      </w:r>
      <w:r w:rsidR="00821965">
        <w:rPr>
          <w:rFonts w:eastAsia="Times New Roman" w:cstheme="minorHAnsi"/>
        </w:rPr>
        <w:t xml:space="preserve">further </w:t>
      </w:r>
      <w:r w:rsidRPr="00821965">
        <w:rPr>
          <w:rFonts w:eastAsia="Times New Roman" w:cstheme="minorHAnsi"/>
        </w:rPr>
        <w:t>argues that</w:t>
      </w:r>
      <w:r w:rsidR="003039E2" w:rsidRPr="00821965">
        <w:rPr>
          <w:rFonts w:eastAsia="Times New Roman" w:cstheme="minorHAnsi"/>
        </w:rPr>
        <w:t xml:space="preserve"> the most effective form of supported employment for people with severe mental illness as demonstrated in the literature is the In</w:t>
      </w:r>
      <w:r w:rsidR="00EE7FFA" w:rsidRPr="00821965">
        <w:rPr>
          <w:rFonts w:eastAsia="Times New Roman" w:cstheme="minorHAnsi"/>
        </w:rPr>
        <w:t>dividual Placement and Support m</w:t>
      </w:r>
      <w:r w:rsidR="003039E2" w:rsidRPr="00821965">
        <w:rPr>
          <w:rFonts w:eastAsia="Times New Roman" w:cstheme="minorHAnsi"/>
        </w:rPr>
        <w:t>odel</w:t>
      </w:r>
      <w:r w:rsidR="00FB1A1F" w:rsidRPr="00821965">
        <w:rPr>
          <w:rFonts w:eastAsia="Times New Roman" w:cstheme="minorHAnsi"/>
        </w:rPr>
        <w:t xml:space="preserve"> (IPS</w:t>
      </w:r>
      <w:r w:rsidR="00EE7FFA" w:rsidRPr="00821965">
        <w:rPr>
          <w:rFonts w:eastAsia="Times New Roman" w:cstheme="minorHAnsi"/>
        </w:rPr>
        <w:t>)</w:t>
      </w:r>
      <w:r w:rsidR="002C2832" w:rsidRPr="00821965">
        <w:rPr>
          <w:rFonts w:eastAsia="Times New Roman" w:cstheme="minorHAnsi"/>
        </w:rPr>
        <w:t>. This model has a number of principles that should be practiced by providers to maximise employment outcomes based upon empirical evidence. This includes focusing on competitive employment, rapid job searching, int</w:t>
      </w:r>
      <w:r w:rsidR="00C17294" w:rsidRPr="00821965">
        <w:rPr>
          <w:rFonts w:eastAsia="Times New Roman" w:cstheme="minorHAnsi"/>
        </w:rPr>
        <w:t xml:space="preserve">ensive assistance, </w:t>
      </w:r>
      <w:r w:rsidR="002C2832" w:rsidRPr="00821965">
        <w:rPr>
          <w:rFonts w:eastAsia="Times New Roman" w:cstheme="minorHAnsi"/>
        </w:rPr>
        <w:t>individualised</w:t>
      </w:r>
      <w:r w:rsidR="00C17294" w:rsidRPr="00821965">
        <w:rPr>
          <w:rFonts w:eastAsia="Times New Roman" w:cstheme="minorHAnsi"/>
        </w:rPr>
        <w:t xml:space="preserve"> assistance</w:t>
      </w:r>
      <w:r w:rsidR="002C2832" w:rsidRPr="00821965">
        <w:rPr>
          <w:rFonts w:eastAsia="Times New Roman" w:cstheme="minorHAnsi"/>
        </w:rPr>
        <w:t>,</w:t>
      </w:r>
      <w:r w:rsidR="005462BA" w:rsidRPr="00821965">
        <w:rPr>
          <w:rFonts w:eastAsia="Times New Roman" w:cstheme="minorHAnsi"/>
        </w:rPr>
        <w:t xml:space="preserve"> maintaining follow-on support</w:t>
      </w:r>
      <w:r w:rsidR="002C2832" w:rsidRPr="00821965">
        <w:rPr>
          <w:rFonts w:eastAsia="Times New Roman" w:cstheme="minorHAnsi"/>
        </w:rPr>
        <w:t xml:space="preserve">, </w:t>
      </w:r>
      <w:r w:rsidR="00EE7FFA" w:rsidRPr="00821965">
        <w:rPr>
          <w:rFonts w:eastAsia="Times New Roman" w:cstheme="minorHAnsi"/>
        </w:rPr>
        <w:t>integrating</w:t>
      </w:r>
      <w:r w:rsidR="005462BA" w:rsidRPr="00821965">
        <w:rPr>
          <w:rFonts w:eastAsia="Times New Roman" w:cstheme="minorHAnsi"/>
        </w:rPr>
        <w:t xml:space="preserve"> the employment program </w:t>
      </w:r>
      <w:r w:rsidR="002C2832" w:rsidRPr="00821965">
        <w:rPr>
          <w:rFonts w:eastAsia="Times New Roman" w:cstheme="minorHAnsi"/>
        </w:rPr>
        <w:t xml:space="preserve">with mental health treatment and </w:t>
      </w:r>
      <w:r w:rsidR="005462BA" w:rsidRPr="00821965">
        <w:rPr>
          <w:rFonts w:eastAsia="Times New Roman" w:cstheme="minorHAnsi"/>
        </w:rPr>
        <w:t xml:space="preserve">providing </w:t>
      </w:r>
      <w:r w:rsidR="002C2832" w:rsidRPr="00821965">
        <w:rPr>
          <w:rFonts w:eastAsia="Times New Roman" w:cstheme="minorHAnsi"/>
        </w:rPr>
        <w:t xml:space="preserve">financial counselling. </w:t>
      </w:r>
      <w:r w:rsidR="002C2832" w:rsidRPr="006B1899">
        <w:rPr>
          <w:rFonts w:eastAsia="Times New Roman" w:cstheme="minorHAnsi"/>
        </w:rPr>
        <w:t xml:space="preserve">Bond (2004) reports that </w:t>
      </w:r>
      <w:r w:rsidR="00765652" w:rsidRPr="006B1899">
        <w:rPr>
          <w:rFonts w:eastAsia="Times New Roman" w:cstheme="minorHAnsi"/>
        </w:rPr>
        <w:t>on average 56</w:t>
      </w:r>
      <w:r w:rsidR="002F6A3D" w:rsidRPr="006B1899">
        <w:rPr>
          <w:rFonts w:eastAsia="Times New Roman" w:cstheme="minorHAnsi"/>
        </w:rPr>
        <w:t xml:space="preserve"> per cent</w:t>
      </w:r>
      <w:r w:rsidR="002C2832" w:rsidRPr="006B1899">
        <w:rPr>
          <w:rFonts w:eastAsia="Times New Roman" w:cstheme="minorHAnsi"/>
        </w:rPr>
        <w:t xml:space="preserve"> of people with mental illness receiving evidenced-based </w:t>
      </w:r>
      <w:r w:rsidR="00C17294" w:rsidRPr="006B1899">
        <w:rPr>
          <w:rFonts w:eastAsia="Times New Roman" w:cstheme="minorHAnsi"/>
        </w:rPr>
        <w:t>supported assistance</w:t>
      </w:r>
      <w:r w:rsidR="002C2832" w:rsidRPr="006B1899">
        <w:rPr>
          <w:rFonts w:eastAsia="Times New Roman" w:cstheme="minorHAnsi"/>
        </w:rPr>
        <w:t xml:space="preserve"> manage</w:t>
      </w:r>
      <w:r w:rsidR="00765652" w:rsidRPr="006B1899">
        <w:rPr>
          <w:rFonts w:eastAsia="Times New Roman" w:cstheme="minorHAnsi"/>
        </w:rPr>
        <w:t>d</w:t>
      </w:r>
      <w:r w:rsidR="002C2832" w:rsidRPr="006B1899">
        <w:rPr>
          <w:rFonts w:eastAsia="Times New Roman" w:cstheme="minorHAnsi"/>
        </w:rPr>
        <w:t xml:space="preserve"> to commence competitive </w:t>
      </w:r>
      <w:r w:rsidR="00C17294" w:rsidRPr="006B1899">
        <w:rPr>
          <w:rFonts w:eastAsia="Times New Roman" w:cstheme="minorHAnsi"/>
        </w:rPr>
        <w:t>employment</w:t>
      </w:r>
      <w:r w:rsidR="002C2832" w:rsidRPr="006B1899">
        <w:rPr>
          <w:rFonts w:eastAsia="Times New Roman" w:cstheme="minorHAnsi"/>
        </w:rPr>
        <w:t xml:space="preserve"> relative to average outcomes of 24</w:t>
      </w:r>
      <w:r w:rsidR="002F6A3D" w:rsidRPr="006B1899">
        <w:rPr>
          <w:rFonts w:eastAsia="Times New Roman" w:cstheme="minorHAnsi"/>
        </w:rPr>
        <w:t xml:space="preserve"> per cent</w:t>
      </w:r>
      <w:r w:rsidR="002C2832" w:rsidRPr="006B1899">
        <w:rPr>
          <w:rFonts w:eastAsia="Times New Roman" w:cstheme="minorHAnsi"/>
        </w:rPr>
        <w:t xml:space="preserve"> for other types or rehabilitation. </w:t>
      </w:r>
      <w:r w:rsidR="005462BA" w:rsidRPr="006B1899">
        <w:rPr>
          <w:rFonts w:eastAsia="Times New Roman" w:cstheme="minorHAnsi"/>
        </w:rPr>
        <w:t xml:space="preserve">In response </w:t>
      </w:r>
      <w:r w:rsidR="00FB265B" w:rsidRPr="006B1899">
        <w:rPr>
          <w:rFonts w:eastAsia="Times New Roman" w:cstheme="minorHAnsi"/>
        </w:rPr>
        <w:t>Waghorn, Stephenson Browne (2011)</w:t>
      </w:r>
      <w:r w:rsidR="00FB265B" w:rsidRPr="00821965">
        <w:rPr>
          <w:rFonts w:eastAsia="Times New Roman" w:cstheme="minorHAnsi"/>
        </w:rPr>
        <w:t xml:space="preserve"> </w:t>
      </w:r>
      <w:r w:rsidR="005462BA" w:rsidRPr="00821965">
        <w:rPr>
          <w:rFonts w:eastAsia="Times New Roman" w:cstheme="minorHAnsi"/>
        </w:rPr>
        <w:t>states that ‘a key success criterion is the proportion attaining competitive employment. If this falls below the average 60</w:t>
      </w:r>
      <w:r w:rsidR="002F6A3D" w:rsidRPr="00821965">
        <w:rPr>
          <w:rFonts w:eastAsia="Times New Roman" w:cstheme="minorHAnsi"/>
        </w:rPr>
        <w:t xml:space="preserve"> per cent</w:t>
      </w:r>
      <w:r w:rsidR="005462BA" w:rsidRPr="00821965">
        <w:rPr>
          <w:rFonts w:eastAsia="Times New Roman" w:cstheme="minorHAnsi"/>
        </w:rPr>
        <w:t xml:space="preserve"> reported in the research, more program development is indicated.’</w:t>
      </w:r>
    </w:p>
    <w:p w14:paraId="51804FCF" w14:textId="77777777" w:rsidR="00765652" w:rsidRPr="00821965" w:rsidRDefault="00765652" w:rsidP="00821965">
      <w:pPr>
        <w:autoSpaceDE w:val="0"/>
        <w:autoSpaceDN w:val="0"/>
        <w:adjustRightInd w:val="0"/>
        <w:spacing w:after="0" w:line="240" w:lineRule="auto"/>
        <w:rPr>
          <w:rFonts w:eastAsia="Times New Roman" w:cstheme="minorHAnsi"/>
        </w:rPr>
      </w:pPr>
    </w:p>
    <w:p w14:paraId="428286B9" w14:textId="77777777" w:rsidR="002F6A3D" w:rsidRPr="00821965" w:rsidRDefault="005462BA" w:rsidP="00821965">
      <w:pPr>
        <w:autoSpaceDE w:val="0"/>
        <w:autoSpaceDN w:val="0"/>
        <w:adjustRightInd w:val="0"/>
        <w:spacing w:after="0" w:line="240" w:lineRule="auto"/>
        <w:rPr>
          <w:rFonts w:eastAsia="Times New Roman" w:cstheme="minorHAnsi"/>
        </w:rPr>
      </w:pPr>
      <w:r w:rsidRPr="00821965">
        <w:rPr>
          <w:rFonts w:eastAsia="Times New Roman" w:cstheme="minorHAnsi"/>
        </w:rPr>
        <w:t xml:space="preserve">Using this as an example </w:t>
      </w:r>
      <w:r w:rsidR="003106A9">
        <w:rPr>
          <w:rFonts w:eastAsia="Times New Roman" w:cstheme="minorHAnsi"/>
        </w:rPr>
        <w:t xml:space="preserve">though, there are </w:t>
      </w:r>
      <w:r w:rsidR="009971CB" w:rsidRPr="00821965">
        <w:rPr>
          <w:rFonts w:eastAsia="Times New Roman" w:cstheme="minorHAnsi"/>
        </w:rPr>
        <w:t>four significant</w:t>
      </w:r>
      <w:r w:rsidRPr="00821965">
        <w:rPr>
          <w:rFonts w:eastAsia="Times New Roman" w:cstheme="minorHAnsi"/>
        </w:rPr>
        <w:t xml:space="preserve"> issues </w:t>
      </w:r>
      <w:r w:rsidR="002D7416">
        <w:rPr>
          <w:rFonts w:eastAsia="Times New Roman" w:cstheme="minorHAnsi"/>
        </w:rPr>
        <w:t xml:space="preserve">that arise </w:t>
      </w:r>
      <w:r w:rsidRPr="00821965">
        <w:rPr>
          <w:rFonts w:eastAsia="Times New Roman" w:cstheme="minorHAnsi"/>
        </w:rPr>
        <w:t xml:space="preserve">from using </w:t>
      </w:r>
      <w:r w:rsidR="003106A9">
        <w:rPr>
          <w:rFonts w:eastAsia="Times New Roman" w:cstheme="minorHAnsi"/>
        </w:rPr>
        <w:t>such an approach</w:t>
      </w:r>
      <w:r w:rsidR="002D7416">
        <w:rPr>
          <w:rFonts w:eastAsia="Times New Roman" w:cstheme="minorHAnsi"/>
        </w:rPr>
        <w:t xml:space="preserve"> to</w:t>
      </w:r>
      <w:r w:rsidRPr="00821965">
        <w:rPr>
          <w:rFonts w:eastAsia="Times New Roman" w:cstheme="minorHAnsi"/>
        </w:rPr>
        <w:t xml:space="preserve"> benchmark</w:t>
      </w:r>
      <w:r w:rsidR="00C17294" w:rsidRPr="00821965">
        <w:rPr>
          <w:rFonts w:eastAsia="Times New Roman" w:cstheme="minorHAnsi"/>
        </w:rPr>
        <w:t xml:space="preserve"> </w:t>
      </w:r>
      <w:r w:rsidR="002D7416">
        <w:rPr>
          <w:rFonts w:eastAsia="Times New Roman" w:cstheme="minorHAnsi"/>
        </w:rPr>
        <w:t xml:space="preserve">performance </w:t>
      </w:r>
      <w:r w:rsidR="00C17294" w:rsidRPr="00821965">
        <w:rPr>
          <w:rFonts w:eastAsia="Times New Roman" w:cstheme="minorHAnsi"/>
        </w:rPr>
        <w:t>in Australia’s employment services</w:t>
      </w:r>
      <w:r w:rsidRPr="00821965">
        <w:rPr>
          <w:rFonts w:eastAsia="Times New Roman" w:cstheme="minorHAnsi"/>
        </w:rPr>
        <w:t xml:space="preserve">. The first problem is that </w:t>
      </w:r>
      <w:r w:rsidR="00765652" w:rsidRPr="00821965">
        <w:rPr>
          <w:rFonts w:eastAsia="Times New Roman" w:cstheme="minorHAnsi"/>
        </w:rPr>
        <w:t xml:space="preserve">outcome rates of being placed into employment are not consistent across studies. </w:t>
      </w:r>
      <w:r w:rsidR="00765652" w:rsidRPr="006B1899">
        <w:rPr>
          <w:rFonts w:eastAsia="Times New Roman" w:cstheme="minorHAnsi"/>
        </w:rPr>
        <w:t>Bond (2004)</w:t>
      </w:r>
      <w:r w:rsidR="00765652" w:rsidRPr="00821965">
        <w:rPr>
          <w:rFonts w:eastAsia="Times New Roman" w:cstheme="minorHAnsi"/>
        </w:rPr>
        <w:t xml:space="preserve"> examined the effectiveness of evidence-based supported employment based on converging findings of the conversion of day treatment to supported employment and </w:t>
      </w:r>
      <w:r w:rsidR="002F6A3D" w:rsidRPr="00821965">
        <w:rPr>
          <w:rFonts w:eastAsia="Times New Roman" w:cstheme="minorHAnsi"/>
        </w:rPr>
        <w:t>nine</w:t>
      </w:r>
      <w:r w:rsidR="00765652" w:rsidRPr="00821965">
        <w:rPr>
          <w:rFonts w:eastAsia="Times New Roman" w:cstheme="minorHAnsi"/>
        </w:rPr>
        <w:t xml:space="preserve"> randomised controlled trials comparing supported employment to a variety of alternative approaches. The outcome rates differed substantially across studies with</w:t>
      </w:r>
      <w:r w:rsidR="00B42ACB" w:rsidRPr="00821965">
        <w:rPr>
          <w:rFonts w:eastAsia="Times New Roman" w:cstheme="minorHAnsi"/>
        </w:rPr>
        <w:t xml:space="preserve"> between 40</w:t>
      </w:r>
      <w:r w:rsidR="002F6A3D" w:rsidRPr="00821965">
        <w:rPr>
          <w:rFonts w:eastAsia="Times New Roman" w:cstheme="minorHAnsi"/>
        </w:rPr>
        <w:t xml:space="preserve"> per cent and 60 per cent</w:t>
      </w:r>
      <w:r w:rsidR="00B42ACB" w:rsidRPr="00821965">
        <w:rPr>
          <w:rFonts w:eastAsia="Times New Roman" w:cstheme="minorHAnsi"/>
        </w:rPr>
        <w:t xml:space="preserve"> of participants receiving assistance achieving employment. </w:t>
      </w:r>
      <w:r w:rsidR="00B42ACB" w:rsidRPr="006B1899">
        <w:rPr>
          <w:rFonts w:eastAsia="Times New Roman" w:cstheme="minorHAnsi"/>
        </w:rPr>
        <w:t>Bond</w:t>
      </w:r>
      <w:r w:rsidR="00FB265B" w:rsidRPr="006B1899">
        <w:rPr>
          <w:rFonts w:eastAsia="Times New Roman" w:cstheme="minorHAnsi"/>
        </w:rPr>
        <w:t>,</w:t>
      </w:r>
      <w:r w:rsidR="00B42ACB" w:rsidRPr="006B1899">
        <w:rPr>
          <w:rFonts w:eastAsia="Times New Roman" w:cstheme="minorHAnsi"/>
        </w:rPr>
        <w:t xml:space="preserve"> </w:t>
      </w:r>
      <w:r w:rsidR="00FB265B" w:rsidRPr="006B1899">
        <w:rPr>
          <w:rFonts w:eastAsia="Times New Roman" w:cstheme="minorHAnsi"/>
        </w:rPr>
        <w:t xml:space="preserve">Drake and Becker </w:t>
      </w:r>
      <w:r w:rsidR="00B42ACB" w:rsidRPr="006B1899">
        <w:rPr>
          <w:rFonts w:eastAsia="Times New Roman" w:cstheme="minorHAnsi"/>
        </w:rPr>
        <w:t>(2012)</w:t>
      </w:r>
      <w:r w:rsidR="00B42ACB" w:rsidRPr="00821965">
        <w:rPr>
          <w:rFonts w:eastAsia="Times New Roman" w:cstheme="minorHAnsi"/>
        </w:rPr>
        <w:t xml:space="preserve"> find that outcome rates </w:t>
      </w:r>
      <w:r w:rsidR="00C17294" w:rsidRPr="00821965">
        <w:rPr>
          <w:rFonts w:eastAsia="Times New Roman" w:cstheme="minorHAnsi"/>
        </w:rPr>
        <w:t xml:space="preserve">also </w:t>
      </w:r>
      <w:r w:rsidR="00B42ACB" w:rsidRPr="00821965">
        <w:rPr>
          <w:rFonts w:eastAsia="Times New Roman" w:cstheme="minorHAnsi"/>
        </w:rPr>
        <w:t xml:space="preserve">differed significantly across countries. Comparing the effectiveness of IPS in studies in the US to studies outside the US, the employment rate was significantly higher in the US studies than </w:t>
      </w:r>
      <w:r w:rsidR="00C17294" w:rsidRPr="00821965">
        <w:rPr>
          <w:rFonts w:eastAsia="Times New Roman" w:cstheme="minorHAnsi"/>
        </w:rPr>
        <w:t>in non-US studies (62</w:t>
      </w:r>
      <w:r w:rsidR="002F6A3D" w:rsidRPr="00821965">
        <w:rPr>
          <w:rFonts w:eastAsia="Times New Roman" w:cstheme="minorHAnsi"/>
        </w:rPr>
        <w:t xml:space="preserve"> per cent compared to</w:t>
      </w:r>
      <w:r w:rsidR="00C17294" w:rsidRPr="00821965">
        <w:rPr>
          <w:rFonts w:eastAsia="Times New Roman" w:cstheme="minorHAnsi"/>
        </w:rPr>
        <w:t xml:space="preserve"> 47</w:t>
      </w:r>
      <w:r w:rsidR="002F6A3D" w:rsidRPr="00821965">
        <w:rPr>
          <w:rFonts w:eastAsia="Times New Roman" w:cstheme="minorHAnsi"/>
        </w:rPr>
        <w:t xml:space="preserve"> per cent</w:t>
      </w:r>
      <w:r w:rsidR="00C17294" w:rsidRPr="00821965">
        <w:rPr>
          <w:rFonts w:eastAsia="Times New Roman" w:cstheme="minorHAnsi"/>
        </w:rPr>
        <w:t>).</w:t>
      </w:r>
      <w:r w:rsidR="00B42ACB" w:rsidRPr="00821965">
        <w:rPr>
          <w:rFonts w:eastAsia="Times New Roman" w:cstheme="minorHAnsi"/>
        </w:rPr>
        <w:t xml:space="preserve"> </w:t>
      </w:r>
    </w:p>
    <w:p w14:paraId="24774ED6" w14:textId="77777777" w:rsidR="002F6A3D" w:rsidRPr="00821965" w:rsidRDefault="002F6A3D" w:rsidP="00821965">
      <w:pPr>
        <w:autoSpaceDE w:val="0"/>
        <w:autoSpaceDN w:val="0"/>
        <w:adjustRightInd w:val="0"/>
        <w:spacing w:after="0" w:line="240" w:lineRule="auto"/>
        <w:rPr>
          <w:rFonts w:eastAsia="Times New Roman" w:cstheme="minorHAnsi"/>
        </w:rPr>
      </w:pPr>
    </w:p>
    <w:p w14:paraId="1018233D" w14:textId="69E3FBBA" w:rsidR="00935AC6" w:rsidRPr="00821965" w:rsidRDefault="009971CB" w:rsidP="00821965">
      <w:pPr>
        <w:autoSpaceDE w:val="0"/>
        <w:autoSpaceDN w:val="0"/>
        <w:adjustRightInd w:val="0"/>
        <w:spacing w:after="0" w:line="240" w:lineRule="auto"/>
        <w:rPr>
          <w:rFonts w:eastAsia="Times New Roman" w:cstheme="minorHAnsi"/>
        </w:rPr>
      </w:pPr>
      <w:r w:rsidRPr="00821965">
        <w:rPr>
          <w:rFonts w:eastAsia="Times New Roman" w:cstheme="minorHAnsi"/>
        </w:rPr>
        <w:t xml:space="preserve">The second issue is that the </w:t>
      </w:r>
      <w:r w:rsidR="00C17294" w:rsidRPr="00821965">
        <w:rPr>
          <w:rFonts w:eastAsia="Times New Roman" w:cstheme="minorHAnsi"/>
        </w:rPr>
        <w:t xml:space="preserve">measurement framework </w:t>
      </w:r>
      <w:r w:rsidRPr="00821965">
        <w:rPr>
          <w:rFonts w:eastAsia="Times New Roman" w:cstheme="minorHAnsi"/>
        </w:rPr>
        <w:t xml:space="preserve">employed in the literature </w:t>
      </w:r>
      <w:r w:rsidR="00C17294" w:rsidRPr="00821965">
        <w:rPr>
          <w:rFonts w:eastAsia="Times New Roman" w:cstheme="minorHAnsi"/>
        </w:rPr>
        <w:t xml:space="preserve">differs to the performance indicators used by the department. </w:t>
      </w:r>
      <w:r w:rsidR="00FB265B" w:rsidRPr="006B1899">
        <w:rPr>
          <w:rFonts w:eastAsia="Times New Roman" w:cstheme="minorHAnsi"/>
        </w:rPr>
        <w:t>Bond, Drake and Becker (2012)</w:t>
      </w:r>
      <w:r w:rsidR="00FB265B" w:rsidRPr="00821965">
        <w:rPr>
          <w:rFonts w:eastAsia="Times New Roman" w:cstheme="minorHAnsi"/>
        </w:rPr>
        <w:t xml:space="preserve"> </w:t>
      </w:r>
      <w:r w:rsidR="00C17294" w:rsidRPr="00821965">
        <w:rPr>
          <w:rFonts w:eastAsia="Times New Roman" w:cstheme="minorHAnsi"/>
        </w:rPr>
        <w:t>notes that some indicators are common across studies including measures</w:t>
      </w:r>
      <w:r w:rsidR="006B1899">
        <w:rPr>
          <w:rFonts w:eastAsia="Times New Roman" w:cstheme="minorHAnsi"/>
        </w:rPr>
        <w:t>;</w:t>
      </w:r>
      <w:r w:rsidR="00C17294" w:rsidRPr="00821965">
        <w:rPr>
          <w:rFonts w:eastAsia="Times New Roman" w:cstheme="minorHAnsi"/>
        </w:rPr>
        <w:t xml:space="preserve"> of job acquisition (e.g. percentage of clients obtaining competitive employment and time from study entry to f</w:t>
      </w:r>
      <w:r w:rsidR="006B1899">
        <w:rPr>
          <w:rFonts w:eastAsia="Times New Roman" w:cstheme="minorHAnsi"/>
        </w:rPr>
        <w:t>irst job start), duration (e.g. </w:t>
      </w:r>
      <w:r w:rsidR="00C17294" w:rsidRPr="00821965">
        <w:rPr>
          <w:rFonts w:eastAsia="Times New Roman" w:cstheme="minorHAnsi"/>
        </w:rPr>
        <w:t>cumulative number of weeks worked in all jobs), intensity (e.g. percentage working at least 20 hours a wee</w:t>
      </w:r>
      <w:r w:rsidR="0095178F">
        <w:rPr>
          <w:rFonts w:eastAsia="Times New Roman" w:cstheme="minorHAnsi"/>
        </w:rPr>
        <w:t>k) and productivity (e.g.</w:t>
      </w:r>
      <w:r w:rsidR="00C17294" w:rsidRPr="00821965">
        <w:rPr>
          <w:rFonts w:eastAsia="Times New Roman" w:cstheme="minorHAnsi"/>
        </w:rPr>
        <w:t xml:space="preserve"> total hours worked/wages)</w:t>
      </w:r>
      <w:r w:rsidR="001D3D97" w:rsidRPr="00821965">
        <w:rPr>
          <w:rFonts w:eastAsia="Times New Roman" w:cstheme="minorHAnsi"/>
        </w:rPr>
        <w:t xml:space="preserve">. </w:t>
      </w:r>
      <w:r w:rsidRPr="00821965">
        <w:rPr>
          <w:rFonts w:eastAsia="Times New Roman" w:cstheme="minorHAnsi"/>
        </w:rPr>
        <w:t xml:space="preserve">However, the performance framework used in employment services is used to support program goals. </w:t>
      </w:r>
      <w:r w:rsidR="00AB426B" w:rsidRPr="00821965">
        <w:rPr>
          <w:rFonts w:eastAsia="Times New Roman" w:cstheme="minorHAnsi"/>
        </w:rPr>
        <w:t xml:space="preserve">There will therefore be some performance indicators that should be measured by the </w:t>
      </w:r>
      <w:r w:rsidR="0095178F" w:rsidRPr="00821965">
        <w:rPr>
          <w:rFonts w:eastAsia="Times New Roman" w:cstheme="minorHAnsi"/>
        </w:rPr>
        <w:t>department that</w:t>
      </w:r>
      <w:r w:rsidR="00AB426B" w:rsidRPr="00821965">
        <w:rPr>
          <w:rFonts w:eastAsia="Times New Roman" w:cstheme="minorHAnsi"/>
        </w:rPr>
        <w:t xml:space="preserve"> will not be identified in the literature. </w:t>
      </w:r>
      <w:r w:rsidRPr="00821965">
        <w:rPr>
          <w:rFonts w:eastAsia="Times New Roman" w:cstheme="minorHAnsi"/>
        </w:rPr>
        <w:t xml:space="preserve">For </w:t>
      </w:r>
      <w:r w:rsidR="00AB426B" w:rsidRPr="00821965">
        <w:rPr>
          <w:rFonts w:eastAsia="Times New Roman" w:cstheme="minorHAnsi"/>
        </w:rPr>
        <w:t xml:space="preserve">these </w:t>
      </w:r>
      <w:r w:rsidRPr="00821965">
        <w:rPr>
          <w:rFonts w:eastAsia="Times New Roman" w:cstheme="minorHAnsi"/>
        </w:rPr>
        <w:t xml:space="preserve">performance indicators it is impossible to know what benchmark to apply. </w:t>
      </w:r>
    </w:p>
    <w:p w14:paraId="090C972E" w14:textId="77777777" w:rsidR="00935AC6" w:rsidRPr="00821965" w:rsidRDefault="00935AC6" w:rsidP="00821965">
      <w:pPr>
        <w:autoSpaceDE w:val="0"/>
        <w:autoSpaceDN w:val="0"/>
        <w:adjustRightInd w:val="0"/>
        <w:spacing w:after="0" w:line="240" w:lineRule="auto"/>
        <w:rPr>
          <w:rFonts w:eastAsia="Times New Roman" w:cstheme="minorHAnsi"/>
        </w:rPr>
      </w:pPr>
    </w:p>
    <w:p w14:paraId="43108625" w14:textId="77777777" w:rsidR="002F6A3D" w:rsidRPr="00821965" w:rsidRDefault="009971CB" w:rsidP="00821965">
      <w:pPr>
        <w:autoSpaceDE w:val="0"/>
        <w:autoSpaceDN w:val="0"/>
        <w:adjustRightInd w:val="0"/>
        <w:spacing w:after="0" w:line="240" w:lineRule="auto"/>
        <w:rPr>
          <w:rFonts w:eastAsia="Times New Roman" w:cstheme="minorHAnsi"/>
        </w:rPr>
      </w:pPr>
      <w:r w:rsidRPr="00821965">
        <w:rPr>
          <w:rFonts w:eastAsia="Times New Roman" w:cstheme="minorHAnsi"/>
        </w:rPr>
        <w:t xml:space="preserve">Third </w:t>
      </w:r>
      <w:r w:rsidRPr="006B1899">
        <w:rPr>
          <w:rFonts w:eastAsia="Times New Roman" w:cstheme="minorHAnsi"/>
        </w:rPr>
        <w:t xml:space="preserve">as Waghorn (2011) points out, </w:t>
      </w:r>
      <w:r w:rsidR="00170498" w:rsidRPr="006B1899">
        <w:rPr>
          <w:rFonts w:eastAsia="Times New Roman" w:cstheme="minorHAnsi"/>
        </w:rPr>
        <w:t xml:space="preserve">the </w:t>
      </w:r>
      <w:r w:rsidRPr="006B1899">
        <w:rPr>
          <w:rFonts w:eastAsia="Times New Roman" w:cstheme="minorHAnsi"/>
        </w:rPr>
        <w:t xml:space="preserve">evidence-based practices identified (Bond, 2004; </w:t>
      </w:r>
      <w:r w:rsidR="00FB265B" w:rsidRPr="006B1899">
        <w:rPr>
          <w:rFonts w:eastAsia="Times New Roman" w:cstheme="minorHAnsi"/>
        </w:rPr>
        <w:t xml:space="preserve">Bond, Drake and Becker, </w:t>
      </w:r>
      <w:r w:rsidRPr="006B1899">
        <w:rPr>
          <w:rFonts w:eastAsia="Times New Roman" w:cstheme="minorHAnsi"/>
        </w:rPr>
        <w:t>2008)</w:t>
      </w:r>
      <w:r w:rsidRPr="00821965">
        <w:rPr>
          <w:rFonts w:eastAsia="Times New Roman" w:cstheme="minorHAnsi"/>
        </w:rPr>
        <w:t xml:space="preserve"> apply to volunteers not </w:t>
      </w:r>
      <w:r w:rsidR="00761F15" w:rsidRPr="00821965">
        <w:rPr>
          <w:rFonts w:eastAsia="Times New Roman" w:cstheme="minorHAnsi"/>
        </w:rPr>
        <w:t>non-volunteers</w:t>
      </w:r>
      <w:r w:rsidRPr="00821965">
        <w:rPr>
          <w:rFonts w:eastAsia="Times New Roman" w:cstheme="minorHAnsi"/>
        </w:rPr>
        <w:t xml:space="preserve">. </w:t>
      </w:r>
      <w:r w:rsidR="00170498" w:rsidRPr="00821965">
        <w:rPr>
          <w:rFonts w:eastAsia="Times New Roman" w:cstheme="minorHAnsi"/>
        </w:rPr>
        <w:t xml:space="preserve">These practices that work for volunteers might not apply to </w:t>
      </w:r>
      <w:r w:rsidR="00761F15" w:rsidRPr="00821965">
        <w:rPr>
          <w:rFonts w:eastAsia="Times New Roman" w:cstheme="minorHAnsi"/>
        </w:rPr>
        <w:t>non-volunteers</w:t>
      </w:r>
      <w:r w:rsidR="00170498" w:rsidRPr="00821965">
        <w:rPr>
          <w:rFonts w:eastAsia="Times New Roman" w:cstheme="minorHAnsi"/>
        </w:rPr>
        <w:t xml:space="preserve">, meaning the outcome rate reported in the literature might not be meaningful. </w:t>
      </w:r>
      <w:r w:rsidR="002F6A3D" w:rsidRPr="00821965">
        <w:rPr>
          <w:rFonts w:eastAsia="Times New Roman" w:cstheme="minorHAnsi"/>
        </w:rPr>
        <w:t>In the Australian context, universal access to, and participation requirements in, employment services means that there</w:t>
      </w:r>
      <w:r w:rsidR="002D7416">
        <w:rPr>
          <w:rFonts w:eastAsia="Times New Roman" w:cstheme="minorHAnsi"/>
        </w:rPr>
        <w:t xml:space="preserve"> are significant differences between participants in Australia’s employment services and the sample of people examined in these international studies</w:t>
      </w:r>
      <w:r w:rsidR="002F6A3D" w:rsidRPr="00821965">
        <w:rPr>
          <w:rFonts w:eastAsia="Times New Roman" w:cstheme="minorHAnsi"/>
        </w:rPr>
        <w:t xml:space="preserve">. </w:t>
      </w:r>
      <w:r w:rsidR="0027179A" w:rsidRPr="00821965">
        <w:rPr>
          <w:rFonts w:eastAsia="Times New Roman" w:cstheme="minorHAnsi"/>
        </w:rPr>
        <w:t>Currently, the best example of a volunteer program</w:t>
      </w:r>
      <w:r w:rsidR="002D7416">
        <w:rPr>
          <w:rFonts w:eastAsia="Times New Roman" w:cstheme="minorHAnsi"/>
        </w:rPr>
        <w:t xml:space="preserve"> in Australia’s employment services</w:t>
      </w:r>
      <w:r w:rsidR="0027179A" w:rsidRPr="00821965">
        <w:rPr>
          <w:rFonts w:eastAsia="Times New Roman" w:cstheme="minorHAnsi"/>
        </w:rPr>
        <w:t xml:space="preserve"> </w:t>
      </w:r>
      <w:r w:rsidR="002F6A3D" w:rsidRPr="00821965">
        <w:rPr>
          <w:rFonts w:eastAsia="Times New Roman" w:cstheme="minorHAnsi"/>
        </w:rPr>
        <w:t>is the New Enterprise Incentive Scheme, a small business training and support program. Given that participants have to nominate for the support, and then have their small business plan approved before entry into the program, the selection processes at the start are an important contributing factor to its high employment outcomes results.</w:t>
      </w:r>
      <w:r w:rsidR="002F6A3D" w:rsidRPr="00821965">
        <w:rPr>
          <w:rStyle w:val="FootnoteReference"/>
          <w:rFonts w:eastAsia="Times New Roman" w:cstheme="minorHAnsi"/>
          <w:vertAlign w:val="superscript"/>
        </w:rPr>
        <w:footnoteReference w:id="4"/>
      </w:r>
    </w:p>
    <w:p w14:paraId="6BF70963" w14:textId="77777777" w:rsidR="002F6A3D" w:rsidRPr="00821965" w:rsidRDefault="002F6A3D" w:rsidP="00821965">
      <w:pPr>
        <w:autoSpaceDE w:val="0"/>
        <w:autoSpaceDN w:val="0"/>
        <w:adjustRightInd w:val="0"/>
        <w:spacing w:after="0" w:line="240" w:lineRule="auto"/>
        <w:rPr>
          <w:rFonts w:eastAsia="Times New Roman" w:cstheme="minorHAnsi"/>
        </w:rPr>
      </w:pPr>
    </w:p>
    <w:p w14:paraId="7F3013E5" w14:textId="5EA38E20" w:rsidR="00994B89" w:rsidRPr="00821965" w:rsidRDefault="00170498" w:rsidP="00821965">
      <w:pPr>
        <w:autoSpaceDE w:val="0"/>
        <w:autoSpaceDN w:val="0"/>
        <w:adjustRightInd w:val="0"/>
        <w:spacing w:after="0" w:line="240" w:lineRule="auto"/>
        <w:rPr>
          <w:rFonts w:eastAsia="Times New Roman" w:cstheme="minorHAnsi"/>
        </w:rPr>
      </w:pPr>
      <w:r w:rsidRPr="00821965">
        <w:rPr>
          <w:rFonts w:eastAsia="Times New Roman" w:cstheme="minorHAnsi"/>
        </w:rPr>
        <w:t xml:space="preserve">Finally, these practices apply to individuals with </w:t>
      </w:r>
      <w:r w:rsidR="006B1899">
        <w:rPr>
          <w:rFonts w:eastAsia="Times New Roman" w:cstheme="minorHAnsi"/>
        </w:rPr>
        <w:t xml:space="preserve">a </w:t>
      </w:r>
      <w:r w:rsidRPr="00821965">
        <w:rPr>
          <w:rFonts w:eastAsia="Times New Roman" w:cstheme="minorHAnsi"/>
        </w:rPr>
        <w:t xml:space="preserve">mental health </w:t>
      </w:r>
      <w:r w:rsidR="006B1899">
        <w:rPr>
          <w:rFonts w:eastAsia="Times New Roman" w:cstheme="minorHAnsi"/>
        </w:rPr>
        <w:t>condition</w:t>
      </w:r>
      <w:r w:rsidRPr="00821965">
        <w:rPr>
          <w:rFonts w:eastAsia="Times New Roman" w:cstheme="minorHAnsi"/>
        </w:rPr>
        <w:t xml:space="preserve">. There are numerous other types of </w:t>
      </w:r>
      <w:r w:rsidR="0095178F" w:rsidRPr="00821965">
        <w:rPr>
          <w:rFonts w:eastAsia="Times New Roman" w:cstheme="minorHAnsi"/>
        </w:rPr>
        <w:t>disadvantage that</w:t>
      </w:r>
      <w:r w:rsidRPr="00821965">
        <w:rPr>
          <w:rFonts w:eastAsia="Times New Roman" w:cstheme="minorHAnsi"/>
        </w:rPr>
        <w:t xml:space="preserve"> may require different types of evidence-based practices to best overcome those barriers. People with other types of disadvantages may therefore have different outcomes rates compared to what is reported in the above studies. This example shows that se</w:t>
      </w:r>
      <w:r w:rsidR="00935AC6" w:rsidRPr="00821965">
        <w:rPr>
          <w:rFonts w:eastAsia="Times New Roman" w:cstheme="minorHAnsi"/>
        </w:rPr>
        <w:t>tting benchmarks</w:t>
      </w:r>
      <w:r w:rsidR="00AB426B" w:rsidRPr="00821965">
        <w:rPr>
          <w:rFonts w:eastAsia="Times New Roman" w:cstheme="minorHAnsi"/>
        </w:rPr>
        <w:t xml:space="preserve"> based upon</w:t>
      </w:r>
      <w:r w:rsidR="00935AC6" w:rsidRPr="00821965">
        <w:rPr>
          <w:rFonts w:eastAsia="Times New Roman" w:cstheme="minorHAnsi"/>
        </w:rPr>
        <w:t xml:space="preserve"> results reported in the academic literature is fraught with difficulties. This is not to say that these evidence-based practices do not have value. However, their applicability rests in informing program design, not in the performance framework that measures program success.</w:t>
      </w:r>
    </w:p>
    <w:p w14:paraId="72783EFC" w14:textId="77777777" w:rsidR="00994B89" w:rsidRPr="00821965" w:rsidRDefault="00994B89" w:rsidP="00821965">
      <w:pPr>
        <w:autoSpaceDE w:val="0"/>
        <w:autoSpaceDN w:val="0"/>
        <w:adjustRightInd w:val="0"/>
        <w:spacing w:after="0" w:line="240" w:lineRule="auto"/>
        <w:rPr>
          <w:rFonts w:eastAsia="Times New Roman" w:cstheme="minorHAnsi"/>
        </w:rPr>
      </w:pPr>
    </w:p>
    <w:p w14:paraId="0A154110" w14:textId="77777777" w:rsidR="00761F15" w:rsidRPr="00761F15" w:rsidRDefault="00761F15" w:rsidP="00761F15">
      <w:pPr>
        <w:pStyle w:val="ListParagraph"/>
        <w:numPr>
          <w:ilvl w:val="3"/>
          <w:numId w:val="16"/>
        </w:numPr>
        <w:spacing w:after="240"/>
        <w:jc w:val="both"/>
        <w:rPr>
          <w:rFonts w:cs="Calibri"/>
          <w:i/>
          <w:sz w:val="24"/>
          <w:szCs w:val="24"/>
        </w:rPr>
      </w:pPr>
      <w:r w:rsidRPr="00761F15">
        <w:rPr>
          <w:rFonts w:cs="Calibri"/>
          <w:i/>
          <w:sz w:val="24"/>
          <w:szCs w:val="24"/>
        </w:rPr>
        <w:t>Continuous Improvement</w:t>
      </w:r>
    </w:p>
    <w:p w14:paraId="6C6DAB7F" w14:textId="77777777" w:rsidR="003106A9" w:rsidRDefault="00757796" w:rsidP="003106A9">
      <w:pPr>
        <w:autoSpaceDE w:val="0"/>
        <w:autoSpaceDN w:val="0"/>
        <w:adjustRightInd w:val="0"/>
        <w:spacing w:after="0" w:line="240" w:lineRule="auto"/>
        <w:rPr>
          <w:rFonts w:eastAsia="Times New Roman" w:cstheme="minorHAnsi"/>
        </w:rPr>
      </w:pPr>
      <w:r w:rsidRPr="003106A9">
        <w:rPr>
          <w:rFonts w:eastAsia="Times New Roman" w:cstheme="minorHAnsi"/>
        </w:rPr>
        <w:t xml:space="preserve">In addition to </w:t>
      </w:r>
      <w:r w:rsidR="002B75AB" w:rsidRPr="003106A9">
        <w:rPr>
          <w:rFonts w:eastAsia="Times New Roman" w:cstheme="minorHAnsi"/>
        </w:rPr>
        <w:t>determining the target</w:t>
      </w:r>
      <w:r w:rsidRPr="003106A9">
        <w:rPr>
          <w:rFonts w:eastAsia="Times New Roman" w:cstheme="minorHAnsi"/>
        </w:rPr>
        <w:t>,</w:t>
      </w:r>
      <w:r w:rsidR="002B75AB" w:rsidRPr="003106A9">
        <w:rPr>
          <w:rFonts w:eastAsia="Times New Roman" w:cstheme="minorHAnsi"/>
        </w:rPr>
        <w:t xml:space="preserve"> a further issue is how to ensure continuous improvement in provider performance. </w:t>
      </w:r>
      <w:r w:rsidR="00BE4505">
        <w:rPr>
          <w:rFonts w:eastAsia="Times New Roman" w:cstheme="minorHAnsi"/>
        </w:rPr>
        <w:t>In performance management systems using a benchmarking model, t</w:t>
      </w:r>
      <w:r w:rsidR="002B75AB" w:rsidRPr="003106A9">
        <w:rPr>
          <w:rFonts w:eastAsia="Times New Roman" w:cstheme="minorHAnsi"/>
        </w:rPr>
        <w:t>he approach used is to add</w:t>
      </w:r>
      <w:r w:rsidRPr="003106A9">
        <w:rPr>
          <w:rFonts w:eastAsia="Times New Roman" w:cstheme="minorHAnsi"/>
        </w:rPr>
        <w:t xml:space="preserve"> a premium to the base target each performance period determined by a subjective assessment</w:t>
      </w:r>
      <w:r w:rsidR="005A059D" w:rsidRPr="003106A9">
        <w:rPr>
          <w:rFonts w:eastAsia="Times New Roman" w:cstheme="minorHAnsi"/>
        </w:rPr>
        <w:t xml:space="preserve"> about how much </w:t>
      </w:r>
      <w:r w:rsidR="00994B89" w:rsidRPr="003106A9">
        <w:rPr>
          <w:rFonts w:eastAsia="Times New Roman" w:cstheme="minorHAnsi"/>
        </w:rPr>
        <w:t>p</w:t>
      </w:r>
      <w:r w:rsidR="005A059D" w:rsidRPr="003106A9">
        <w:rPr>
          <w:rFonts w:eastAsia="Times New Roman" w:cstheme="minorHAnsi"/>
        </w:rPr>
        <w:t>rovider performance should improve</w:t>
      </w:r>
      <w:r w:rsidR="002B75AB" w:rsidRPr="003106A9">
        <w:rPr>
          <w:rFonts w:eastAsia="Times New Roman" w:cstheme="minorHAnsi"/>
        </w:rPr>
        <w:t xml:space="preserve"> </w:t>
      </w:r>
      <w:r w:rsidR="00BE4505">
        <w:rPr>
          <w:rFonts w:eastAsia="Times New Roman" w:cstheme="minorHAnsi"/>
        </w:rPr>
        <w:t>(</w:t>
      </w:r>
      <w:r w:rsidR="00BE4505" w:rsidRPr="00094833">
        <w:rPr>
          <w:rFonts w:eastAsia="Times New Roman" w:cstheme="minorHAnsi"/>
        </w:rPr>
        <w:t xml:space="preserve">Courty, Heinrich and Marschke </w:t>
      </w:r>
      <w:r w:rsidR="00FB265B" w:rsidRPr="00094833">
        <w:rPr>
          <w:rFonts w:eastAsia="Times New Roman" w:cstheme="minorHAnsi"/>
        </w:rPr>
        <w:t>2011)</w:t>
      </w:r>
      <w:r w:rsidR="00FB265B" w:rsidRPr="003106A9">
        <w:rPr>
          <w:rFonts w:eastAsia="Times New Roman" w:cstheme="minorHAnsi"/>
        </w:rPr>
        <w:t xml:space="preserve">. </w:t>
      </w:r>
      <w:r w:rsidR="00994B89" w:rsidRPr="003106A9">
        <w:rPr>
          <w:rFonts w:eastAsia="Times New Roman" w:cstheme="minorHAnsi"/>
        </w:rPr>
        <w:t>Setting the premium too</w:t>
      </w:r>
      <w:r w:rsidR="00E21317" w:rsidRPr="003106A9">
        <w:rPr>
          <w:rFonts w:eastAsia="Times New Roman" w:cstheme="minorHAnsi"/>
        </w:rPr>
        <w:t xml:space="preserve"> low</w:t>
      </w:r>
      <w:r w:rsidR="00994B89" w:rsidRPr="003106A9">
        <w:rPr>
          <w:rFonts w:eastAsia="Times New Roman" w:cstheme="minorHAnsi"/>
        </w:rPr>
        <w:t xml:space="preserve"> can result in provider performance being sub-standard over the long term. However, setting it too high can also perversely lead to reduced performance</w:t>
      </w:r>
      <w:r w:rsidR="00E21317" w:rsidRPr="003106A9">
        <w:rPr>
          <w:rFonts w:eastAsia="Times New Roman" w:cstheme="minorHAnsi"/>
        </w:rPr>
        <w:t xml:space="preserve"> as a result of the dynamic interaction between the performance premium and the actions of providers. </w:t>
      </w:r>
    </w:p>
    <w:p w14:paraId="4659192D" w14:textId="77777777" w:rsidR="003106A9" w:rsidRDefault="003106A9" w:rsidP="003106A9">
      <w:pPr>
        <w:autoSpaceDE w:val="0"/>
        <w:autoSpaceDN w:val="0"/>
        <w:adjustRightInd w:val="0"/>
        <w:spacing w:after="0" w:line="240" w:lineRule="auto"/>
        <w:rPr>
          <w:rFonts w:eastAsia="Times New Roman" w:cstheme="minorHAnsi"/>
        </w:rPr>
      </w:pPr>
    </w:p>
    <w:p w14:paraId="6327BEDE" w14:textId="77777777" w:rsidR="003106A9" w:rsidRDefault="005D52E8" w:rsidP="003106A9">
      <w:pPr>
        <w:autoSpaceDE w:val="0"/>
        <w:autoSpaceDN w:val="0"/>
        <w:adjustRightInd w:val="0"/>
        <w:spacing w:after="0" w:line="240" w:lineRule="auto"/>
        <w:rPr>
          <w:rFonts w:eastAsia="Times New Roman" w:cstheme="minorHAnsi"/>
        </w:rPr>
      </w:pPr>
      <w:r w:rsidRPr="003106A9">
        <w:rPr>
          <w:rFonts w:eastAsia="Times New Roman" w:cstheme="minorHAnsi"/>
        </w:rPr>
        <w:t>With the use of benchmarking, providers will take into account the possibility of future changes</w:t>
      </w:r>
      <w:r w:rsidR="00A72F06" w:rsidRPr="003106A9">
        <w:rPr>
          <w:rFonts w:eastAsia="Times New Roman" w:cstheme="minorHAnsi"/>
        </w:rPr>
        <w:t xml:space="preserve"> in the benchmark</w:t>
      </w:r>
      <w:r w:rsidRPr="003106A9">
        <w:rPr>
          <w:rFonts w:eastAsia="Times New Roman" w:cstheme="minorHAnsi"/>
        </w:rPr>
        <w:t xml:space="preserve"> and that current perf</w:t>
      </w:r>
      <w:r w:rsidR="0064197A" w:rsidRPr="003106A9">
        <w:rPr>
          <w:rFonts w:eastAsia="Times New Roman" w:cstheme="minorHAnsi"/>
        </w:rPr>
        <w:t>ormance outcomes will be used in</w:t>
      </w:r>
      <w:r w:rsidRPr="003106A9">
        <w:rPr>
          <w:rFonts w:eastAsia="Times New Roman" w:cstheme="minorHAnsi"/>
        </w:rPr>
        <w:t xml:space="preserve"> setting future standards. Assume for example that in the performance measurement system, a “stretch target” is set where providers have to significantly increase their performance over the period. Further assume that a provider systematically outperforms t</w:t>
      </w:r>
      <w:r w:rsidR="00472EBD">
        <w:rPr>
          <w:rFonts w:eastAsia="Times New Roman" w:cstheme="minorHAnsi"/>
        </w:rPr>
        <w:t>he standard</w:t>
      </w:r>
      <w:r w:rsidRPr="003106A9">
        <w:rPr>
          <w:rFonts w:eastAsia="Times New Roman" w:cstheme="minorHAnsi"/>
        </w:rPr>
        <w:t xml:space="preserve"> and hence the standard for that provid</w:t>
      </w:r>
      <w:r w:rsidR="00853B4F" w:rsidRPr="003106A9">
        <w:rPr>
          <w:rFonts w:eastAsia="Times New Roman" w:cstheme="minorHAnsi"/>
        </w:rPr>
        <w:t>er is consequently increased. Their high performance</w:t>
      </w:r>
      <w:r w:rsidRPr="003106A9">
        <w:rPr>
          <w:rFonts w:eastAsia="Times New Roman" w:cstheme="minorHAnsi"/>
        </w:rPr>
        <w:t xml:space="preserve"> may be </w:t>
      </w:r>
      <w:r w:rsidR="00853B4F" w:rsidRPr="003106A9">
        <w:rPr>
          <w:rFonts w:eastAsia="Times New Roman" w:cstheme="minorHAnsi"/>
        </w:rPr>
        <w:t>because they are</w:t>
      </w:r>
      <w:r w:rsidRPr="003106A9">
        <w:rPr>
          <w:rFonts w:eastAsia="Times New Roman" w:cstheme="minorHAnsi"/>
        </w:rPr>
        <w:t xml:space="preserve"> providing exceptional levels of effort. The provider, anticipating that their current performance influences future standards</w:t>
      </w:r>
      <w:r w:rsidR="00E95FEB" w:rsidRPr="003106A9">
        <w:rPr>
          <w:rFonts w:eastAsia="Times New Roman" w:cstheme="minorHAnsi"/>
        </w:rPr>
        <w:t>,</w:t>
      </w:r>
      <w:r w:rsidRPr="003106A9">
        <w:rPr>
          <w:rFonts w:eastAsia="Times New Roman" w:cstheme="minorHAnsi"/>
        </w:rPr>
        <w:t xml:space="preserve"> </w:t>
      </w:r>
      <w:r w:rsidR="0027788C" w:rsidRPr="003106A9">
        <w:rPr>
          <w:rFonts w:cstheme="minorHAnsi"/>
        </w:rPr>
        <w:t>has the incentive to purposefully under-perform in order to ensure less stringent future performance targets</w:t>
      </w:r>
      <w:r w:rsidR="006752C1" w:rsidRPr="003106A9">
        <w:rPr>
          <w:rFonts w:eastAsia="Times New Roman" w:cstheme="minorHAnsi"/>
        </w:rPr>
        <w:t xml:space="preserve"> (</w:t>
      </w:r>
      <w:r w:rsidR="00FB265B" w:rsidRPr="00094833">
        <w:rPr>
          <w:rFonts w:eastAsia="Times New Roman" w:cstheme="minorHAnsi"/>
        </w:rPr>
        <w:t>Bouckaert and Halligan</w:t>
      </w:r>
      <w:r w:rsidR="006752C1" w:rsidRPr="00094833">
        <w:rPr>
          <w:rFonts w:eastAsia="Times New Roman" w:cstheme="minorHAnsi"/>
        </w:rPr>
        <w:t>, 2010)</w:t>
      </w:r>
      <w:r w:rsidRPr="00094833">
        <w:rPr>
          <w:rFonts w:eastAsia="Times New Roman" w:cstheme="minorHAnsi"/>
        </w:rPr>
        <w:t xml:space="preserve">. This phenomenon is known as the ratchet effect </w:t>
      </w:r>
      <w:r w:rsidR="00E95FEB" w:rsidRPr="00094833">
        <w:rPr>
          <w:rFonts w:eastAsia="Times New Roman" w:cstheme="minorHAnsi"/>
        </w:rPr>
        <w:t>(Holmstrom and Milgrom, 1987; Miller, 1992)</w:t>
      </w:r>
      <w:r w:rsidR="00E95FEB" w:rsidRPr="003106A9">
        <w:rPr>
          <w:rFonts w:eastAsia="Times New Roman" w:cstheme="minorHAnsi"/>
        </w:rPr>
        <w:t xml:space="preserve">. </w:t>
      </w:r>
    </w:p>
    <w:p w14:paraId="06D23D98" w14:textId="77777777" w:rsidR="003106A9" w:rsidRDefault="003106A9" w:rsidP="003106A9">
      <w:pPr>
        <w:autoSpaceDE w:val="0"/>
        <w:autoSpaceDN w:val="0"/>
        <w:adjustRightInd w:val="0"/>
        <w:spacing w:after="0" w:line="240" w:lineRule="auto"/>
        <w:rPr>
          <w:rFonts w:eastAsia="Times New Roman" w:cstheme="minorHAnsi"/>
        </w:rPr>
      </w:pPr>
    </w:p>
    <w:p w14:paraId="4A9195C2" w14:textId="682543EB" w:rsidR="005D52E8" w:rsidRPr="003106A9" w:rsidRDefault="00F91064" w:rsidP="003106A9">
      <w:pPr>
        <w:autoSpaceDE w:val="0"/>
        <w:autoSpaceDN w:val="0"/>
        <w:adjustRightInd w:val="0"/>
        <w:spacing w:after="0" w:line="240" w:lineRule="auto"/>
        <w:rPr>
          <w:rFonts w:ascii="TimesNewRomanPSMT" w:hAnsi="TimesNewRomanPSMT" w:cs="TimesNewRomanPSMT"/>
        </w:rPr>
      </w:pPr>
      <w:r w:rsidRPr="003106A9">
        <w:rPr>
          <w:rFonts w:eastAsia="Times New Roman" w:cstheme="minorHAnsi"/>
        </w:rPr>
        <w:t xml:space="preserve">The way to eliminate the ratchet effect is to not change the standard, or to commit to strict rules for changing the standard, </w:t>
      </w:r>
      <w:r w:rsidR="00094833" w:rsidRPr="003106A9">
        <w:rPr>
          <w:rFonts w:eastAsia="Times New Roman" w:cstheme="minorHAnsi"/>
        </w:rPr>
        <w:t>i.e.</w:t>
      </w:r>
      <w:r w:rsidRPr="003106A9">
        <w:rPr>
          <w:rFonts w:eastAsia="Times New Roman" w:cstheme="minorHAnsi"/>
        </w:rPr>
        <w:t xml:space="preserve"> adjusting the benchmark to take into account changes in economic conditions. </w:t>
      </w:r>
      <w:r w:rsidR="00194A64" w:rsidRPr="003106A9">
        <w:rPr>
          <w:rFonts w:eastAsia="Times New Roman" w:cstheme="minorHAnsi"/>
        </w:rPr>
        <w:t>Not adjusting the standard each performance period</w:t>
      </w:r>
      <w:r w:rsidRPr="003106A9">
        <w:rPr>
          <w:rFonts w:eastAsia="Times New Roman" w:cstheme="minorHAnsi"/>
        </w:rPr>
        <w:t xml:space="preserve"> however negates continuous improvement in provider performance. </w:t>
      </w:r>
      <w:r w:rsidR="006752C1" w:rsidRPr="003106A9">
        <w:rPr>
          <w:rFonts w:eastAsia="Times New Roman" w:cstheme="minorHAnsi"/>
        </w:rPr>
        <w:t>Target setting thus becomes a complex process that involves technical calculations of performance</w:t>
      </w:r>
      <w:r w:rsidR="00472EBD">
        <w:rPr>
          <w:rFonts w:eastAsia="Times New Roman" w:cstheme="minorHAnsi"/>
        </w:rPr>
        <w:t xml:space="preserve"> improvement</w:t>
      </w:r>
      <w:r w:rsidR="006752C1" w:rsidRPr="003106A9">
        <w:rPr>
          <w:rFonts w:eastAsia="Times New Roman" w:cstheme="minorHAnsi"/>
        </w:rPr>
        <w:t xml:space="preserve"> that are both achievable and challenging</w:t>
      </w:r>
      <w:r w:rsidRPr="003106A9">
        <w:rPr>
          <w:rFonts w:eastAsia="Times New Roman" w:cstheme="minorHAnsi"/>
        </w:rPr>
        <w:t>.</w:t>
      </w:r>
    </w:p>
    <w:p w14:paraId="4E2B0D64" w14:textId="77777777" w:rsidR="00190051" w:rsidRPr="003106A9" w:rsidRDefault="00190051" w:rsidP="003106A9">
      <w:pPr>
        <w:autoSpaceDE w:val="0"/>
        <w:autoSpaceDN w:val="0"/>
        <w:adjustRightInd w:val="0"/>
        <w:spacing w:after="0" w:line="240" w:lineRule="auto"/>
        <w:rPr>
          <w:rFonts w:eastAsia="Times New Roman" w:cstheme="minorHAnsi"/>
        </w:rPr>
      </w:pPr>
    </w:p>
    <w:p w14:paraId="23EFEC5D" w14:textId="77777777" w:rsidR="00E0514A" w:rsidRPr="003106A9" w:rsidRDefault="00E0514A" w:rsidP="00E0514A">
      <w:pPr>
        <w:pBdr>
          <w:top w:val="single" w:sz="4" w:space="1" w:color="auto"/>
          <w:left w:val="single" w:sz="4" w:space="4" w:color="auto"/>
          <w:bottom w:val="single" w:sz="4" w:space="1" w:color="auto"/>
          <w:right w:val="single" w:sz="4" w:space="4" w:color="auto"/>
        </w:pBdr>
        <w:autoSpaceDE w:val="0"/>
        <w:autoSpaceDN w:val="0"/>
        <w:adjustRightInd w:val="0"/>
        <w:rPr>
          <w:rFonts w:cstheme="minorHAnsi"/>
          <w:b/>
          <w:bCs/>
          <w:color w:val="000000"/>
        </w:rPr>
      </w:pPr>
      <w:r w:rsidRPr="003106A9">
        <w:rPr>
          <w:rFonts w:cstheme="minorHAnsi"/>
          <w:b/>
          <w:bCs/>
          <w:color w:val="000000"/>
        </w:rPr>
        <w:lastRenderedPageBreak/>
        <w:t xml:space="preserve">Case Study: Estimating An Absolute Benchmark Under The Work Programme </w:t>
      </w:r>
    </w:p>
    <w:p w14:paraId="599A2513" w14:textId="03FA50E1" w:rsidR="00E0514A" w:rsidRDefault="00E0514A" w:rsidP="00E0514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E0514A">
        <w:rPr>
          <w:rFonts w:cstheme="minorHAnsi"/>
          <w:color w:val="000000"/>
        </w:rPr>
        <w:t xml:space="preserve">The WP highlights the challenge in ensuring that the performance targets are set at an appropriate level that can be reasonably achieved by providers. This is important, as providers’ contracts can be cancelled due to underperformance. A benchmark set too high can threaten the viability of the program as an inordinate number of contracts get cancelled, as well as being unfair to providers who have had their contracts removed due to overly ambitious performance expectations. </w:t>
      </w:r>
    </w:p>
    <w:p w14:paraId="34FD7200" w14:textId="77777777" w:rsidR="00E0514A" w:rsidRPr="00E0514A" w:rsidRDefault="00E0514A" w:rsidP="00E0514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p>
    <w:p w14:paraId="75E1308C" w14:textId="77777777" w:rsidR="00E0514A" w:rsidRDefault="00E0514A" w:rsidP="00E0514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E0514A">
        <w:rPr>
          <w:rFonts w:cstheme="minorHAnsi"/>
          <w:color w:val="000000"/>
        </w:rPr>
        <w:t>In the ITT, the DWP made clear that it may cancel contracts of provider who do not meet the minimum performance standards. Given that contracts can be cancelled due to underperformance, Mulheirn (2011) examines the appropriateness of DWP’s performance standards and hence the viability of the scheme through forecasting the likely performance of the providers during the first three years. This is done through examining the actual performance achieved under FND, which has strong similarities in the job seekers it served and the way providers were renumerated.</w:t>
      </w:r>
    </w:p>
    <w:p w14:paraId="05D7CAC1" w14:textId="554C9446" w:rsidR="00E0514A" w:rsidRPr="00E0514A" w:rsidRDefault="00E0514A" w:rsidP="00E0514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E0514A">
        <w:rPr>
          <w:rFonts w:cstheme="minorHAnsi"/>
          <w:color w:val="000000"/>
        </w:rPr>
        <w:t xml:space="preserve"> </w:t>
      </w:r>
    </w:p>
    <w:p w14:paraId="5287AFBD" w14:textId="77777777" w:rsidR="00E0514A" w:rsidRDefault="00E0514A" w:rsidP="00E0514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E0514A">
        <w:rPr>
          <w:rFonts w:cstheme="minorHAnsi"/>
          <w:color w:val="000000"/>
        </w:rPr>
        <w:t>FND operated over the period October 2009 to May 2011, with performance data available up to April 2011. Using actual performance data, the author forecasts the performance of the FND over the period of the WP based on forecasted referral numbers and assesses that forecasted performance against the minimum performance standards for the ‘JSA 25 and Over group’ in the WP.</w:t>
      </w:r>
    </w:p>
    <w:p w14:paraId="4097701E" w14:textId="4D7D147C" w:rsidR="00E0514A" w:rsidRPr="00E0514A" w:rsidRDefault="00E0514A" w:rsidP="00E0514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E0514A">
        <w:rPr>
          <w:rFonts w:cstheme="minorHAnsi"/>
          <w:color w:val="000000"/>
        </w:rPr>
        <w:t xml:space="preserve"> </w:t>
      </w:r>
    </w:p>
    <w:p w14:paraId="18734874" w14:textId="72AA78AB" w:rsidR="00E0514A" w:rsidRDefault="00E0514A" w:rsidP="00E0514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E0514A">
        <w:rPr>
          <w:rFonts w:cstheme="minorHAnsi"/>
          <w:color w:val="000000"/>
        </w:rPr>
        <w:t xml:space="preserve">The results show that the predicted performance of the WP over the first three years of the program lags significantly behind the minimum performance expected by the DWP. Over the three years, expected performance is 4.1 per cent (Yr 1), 20.5 per cent (Yr 2) and 27.8 per cent (Yr 3). This compares to the required performance standard over the same period of 5.5 per cent, 27.5 per cent and 33 per cent, respectively. This suggests that the performance benchmarks have been based on unrealistic performance benchmarks that providers are unlikely to achieve. This evidence indicates the significant problem in estimating a reasonable benchmark that seeks to improve provider performance and ensure that a provider’s targets are nevertheless achievable. </w:t>
      </w:r>
    </w:p>
    <w:p w14:paraId="10E439FA" w14:textId="77777777" w:rsidR="00E0514A" w:rsidRPr="00E0514A" w:rsidRDefault="00E0514A" w:rsidP="00E0514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p>
    <w:p w14:paraId="7742755F" w14:textId="77777777" w:rsidR="00E0514A" w:rsidRPr="003106A9" w:rsidRDefault="00E0514A" w:rsidP="00BD3140">
      <w:pPr>
        <w:pBdr>
          <w:top w:val="single" w:sz="4" w:space="1" w:color="auto"/>
          <w:left w:val="single" w:sz="4" w:space="4" w:color="auto"/>
          <w:bottom w:val="single" w:sz="4" w:space="1" w:color="auto"/>
          <w:right w:val="single" w:sz="4" w:space="4" w:color="auto"/>
        </w:pBdr>
        <w:autoSpaceDE w:val="0"/>
        <w:autoSpaceDN w:val="0"/>
        <w:adjustRightInd w:val="0"/>
        <w:spacing w:after="1920" w:line="240" w:lineRule="auto"/>
        <w:rPr>
          <w:rFonts w:cstheme="minorHAnsi"/>
        </w:rPr>
      </w:pPr>
      <w:r>
        <w:rPr>
          <w:rFonts w:cstheme="minorHAnsi"/>
          <w:color w:val="000000"/>
        </w:rPr>
        <w:t>P</w:t>
      </w:r>
      <w:r w:rsidRPr="003106A9">
        <w:rPr>
          <w:rFonts w:cstheme="minorHAnsi"/>
          <w:color w:val="000000"/>
        </w:rPr>
        <w:t>erformance results</w:t>
      </w:r>
      <w:r>
        <w:rPr>
          <w:rFonts w:cstheme="minorHAnsi"/>
          <w:color w:val="000000"/>
        </w:rPr>
        <w:t xml:space="preserve"> from the first year of the program</w:t>
      </w:r>
      <w:r w:rsidRPr="003106A9">
        <w:rPr>
          <w:rFonts w:cstheme="minorHAnsi"/>
          <w:color w:val="000000"/>
        </w:rPr>
        <w:t xml:space="preserve"> show that no provider has currently met the minimum performance standard. </w:t>
      </w:r>
      <w:r w:rsidRPr="003106A9">
        <w:rPr>
          <w:rFonts w:cstheme="minorHAnsi"/>
          <w:bCs/>
          <w:color w:val="000000"/>
        </w:rPr>
        <w:t xml:space="preserve">Using the DWP’s methodology to calculate the minimum performance standards, the </w:t>
      </w:r>
      <w:r w:rsidRPr="001C0EB2">
        <w:rPr>
          <w:rFonts w:cstheme="minorHAnsi"/>
          <w:bCs/>
          <w:color w:val="000000"/>
        </w:rPr>
        <w:t xml:space="preserve">Comptroller and Auditor General (2012) estimates the minimum performance level to be 9.7 per cent </w:t>
      </w:r>
      <w:r>
        <w:rPr>
          <w:rFonts w:cstheme="minorHAnsi"/>
          <w:color w:val="000000"/>
        </w:rPr>
        <w:t>for the period 1 June</w:t>
      </w:r>
      <w:r w:rsidRPr="001C0EB2">
        <w:rPr>
          <w:rFonts w:cstheme="minorHAnsi"/>
          <w:color w:val="000000"/>
        </w:rPr>
        <w:t xml:space="preserve"> 2011 to 31 July 2012</w:t>
      </w:r>
      <w:r w:rsidRPr="001C0EB2">
        <w:rPr>
          <w:rFonts w:cstheme="minorHAnsi"/>
          <w:bCs/>
          <w:color w:val="000000"/>
        </w:rPr>
        <w:t xml:space="preserve">. Over this same period, </w:t>
      </w:r>
      <w:r w:rsidRPr="001C0EB2">
        <w:rPr>
          <w:rFonts w:cstheme="minorHAnsi"/>
          <w:color w:val="000000"/>
        </w:rPr>
        <w:t xml:space="preserve">a total of 31,000 job outcome payments were paid to WP providers, </w:t>
      </w:r>
      <w:r w:rsidRPr="001C0EB2">
        <w:rPr>
          <w:rFonts w:cstheme="minorHAnsi"/>
          <w:bCs/>
          <w:color w:val="000000"/>
        </w:rPr>
        <w:t>equivalent to 3.2 per cent of individuals referred</w:t>
      </w:r>
      <w:r w:rsidRPr="001C0EB2">
        <w:rPr>
          <w:rFonts w:cstheme="minorHAnsi"/>
          <w:color w:val="000000"/>
        </w:rPr>
        <w:t xml:space="preserve"> to the programme in the three main groups achieving a job outcome. </w:t>
      </w:r>
      <w:r w:rsidRPr="001C0EB2">
        <w:rPr>
          <w:rFonts w:cstheme="minorHAnsi"/>
          <w:bCs/>
          <w:color w:val="000000"/>
        </w:rPr>
        <w:t xml:space="preserve">The outcome rate for all participant groups is 3.5 per cent. </w:t>
      </w:r>
      <w:r w:rsidRPr="001C0EB2">
        <w:rPr>
          <w:rFonts w:cstheme="minorHAnsi"/>
          <w:color w:val="000000"/>
        </w:rPr>
        <w:t>The figure below</w:t>
      </w:r>
      <w:r w:rsidRPr="001C0EB2">
        <w:rPr>
          <w:rFonts w:cstheme="minorHAnsi"/>
        </w:rPr>
        <w:t xml:space="preserve"> shows the performance of the 18 prime providers relative to the minimum performan</w:t>
      </w:r>
      <w:r>
        <w:rPr>
          <w:rFonts w:cstheme="minorHAnsi"/>
        </w:rPr>
        <w:t>ce level over the period 1 June</w:t>
      </w:r>
      <w:r w:rsidRPr="001C0EB2">
        <w:rPr>
          <w:rFonts w:cstheme="minorHAnsi"/>
        </w:rPr>
        <w:t xml:space="preserve"> 2011 to 31 July 2012. The best performing provider moved 5 per cent of people off benefit and into sustained employment, the lowest performing provider managing only 2.2 per cent (C&amp;AG, 2012)</w:t>
      </w:r>
      <w:r w:rsidRPr="003106A9">
        <w:rPr>
          <w:rFonts w:cstheme="minorHAnsi"/>
        </w:rPr>
        <w:t>. This is significantly below the required 9.7</w:t>
      </w:r>
      <w:r>
        <w:rPr>
          <w:rFonts w:cstheme="minorHAnsi"/>
        </w:rPr>
        <w:t xml:space="preserve"> </w:t>
      </w:r>
      <w:r w:rsidRPr="003106A9">
        <w:rPr>
          <w:rFonts w:cstheme="minorHAnsi"/>
        </w:rPr>
        <w:t xml:space="preserve">per cent outcome rate providers were required to achieve. </w:t>
      </w:r>
      <w:bookmarkStart w:id="13" w:name="_GoBack"/>
      <w:bookmarkEnd w:id="13"/>
    </w:p>
    <w:p w14:paraId="5E534F8E" w14:textId="15FD8267" w:rsidR="00E0514A" w:rsidRDefault="00E0514A" w:rsidP="00E0514A">
      <w:pPr>
        <w:pBdr>
          <w:top w:val="single" w:sz="4" w:space="1" w:color="auto"/>
          <w:left w:val="single" w:sz="4" w:space="4" w:color="auto"/>
          <w:bottom w:val="single" w:sz="4" w:space="1" w:color="auto"/>
          <w:right w:val="single" w:sz="4" w:space="4" w:color="auto"/>
        </w:pBdr>
        <w:autoSpaceDE w:val="0"/>
        <w:autoSpaceDN w:val="0"/>
        <w:adjustRightInd w:val="0"/>
        <w:rPr>
          <w:rFonts w:cstheme="minorHAnsi"/>
        </w:rPr>
      </w:pPr>
    </w:p>
    <w:p w14:paraId="3D1FE55C" w14:textId="77777777" w:rsidR="00E0514A" w:rsidRPr="003106A9" w:rsidRDefault="00E0514A" w:rsidP="003106A9">
      <w:pPr>
        <w:autoSpaceDE w:val="0"/>
        <w:autoSpaceDN w:val="0"/>
        <w:adjustRightInd w:val="0"/>
        <w:rPr>
          <w:rFonts w:cstheme="minorHAnsi"/>
        </w:rPr>
      </w:pPr>
      <w:r w:rsidRPr="003106A9">
        <w:rPr>
          <w:rFonts w:cstheme="minorHAnsi"/>
          <w:b/>
        </w:rPr>
        <w:lastRenderedPageBreak/>
        <w:t>Figure 1:</w:t>
      </w:r>
      <w:r>
        <w:rPr>
          <w:rFonts w:cstheme="minorHAnsi"/>
        </w:rPr>
        <w:t xml:space="preserve"> Outcome rates by Organisation</w:t>
      </w:r>
    </w:p>
    <w:p w14:paraId="0BAECE0C" w14:textId="77777777" w:rsidR="00E0514A" w:rsidRPr="003106A9" w:rsidRDefault="00E0514A" w:rsidP="003106A9">
      <w:pPr>
        <w:autoSpaceDE w:val="0"/>
        <w:autoSpaceDN w:val="0"/>
        <w:adjustRightInd w:val="0"/>
        <w:rPr>
          <w:rFonts w:eastAsia="Times New Roman" w:cstheme="minorHAnsi"/>
        </w:rPr>
      </w:pPr>
      <w:r w:rsidRPr="003106A9">
        <w:rPr>
          <w:rFonts w:cstheme="minorHAnsi"/>
          <w:noProof/>
          <w:lang w:eastAsia="en-AU"/>
        </w:rPr>
        <w:drawing>
          <wp:inline distT="0" distB="0" distL="0" distR="0" wp14:anchorId="4C234ABF" wp14:editId="0E92756C">
            <wp:extent cx="5722536" cy="5019152"/>
            <wp:effectExtent l="0" t="0" r="0" b="0"/>
            <wp:docPr id="1" name="Chart 1" descr="This is a bar chart that is referred to in the previous paragraphs.  The Y-axis is percetage and the x-axis has provider names with a total and Minimum Performance at the end as a comparison." title="Outcomes rates by Organis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3106A9">
        <w:rPr>
          <w:rFonts w:cstheme="minorHAnsi"/>
        </w:rPr>
        <w:t xml:space="preserve"> </w:t>
      </w:r>
    </w:p>
    <w:p w14:paraId="5E5B7EBE" w14:textId="77777777" w:rsidR="00D64282" w:rsidRPr="00FC03F0" w:rsidRDefault="00D64282" w:rsidP="00E117C5">
      <w:pPr>
        <w:autoSpaceDE w:val="0"/>
        <w:autoSpaceDN w:val="0"/>
        <w:adjustRightInd w:val="0"/>
        <w:spacing w:after="0" w:line="240" w:lineRule="auto"/>
        <w:jc w:val="both"/>
        <w:rPr>
          <w:rFonts w:eastAsia="Times New Roman" w:cstheme="minorHAnsi"/>
          <w:sz w:val="24"/>
          <w:szCs w:val="24"/>
        </w:rPr>
      </w:pPr>
    </w:p>
    <w:p w14:paraId="771A242C" w14:textId="77777777" w:rsidR="00B87E04" w:rsidRPr="00FE380B" w:rsidRDefault="00B87E04" w:rsidP="00FE380B">
      <w:pPr>
        <w:pStyle w:val="Sub-SubTitle"/>
        <w:numPr>
          <w:ilvl w:val="2"/>
          <w:numId w:val="16"/>
        </w:numPr>
        <w:ind w:left="851" w:hanging="851"/>
        <w:rPr>
          <w:rFonts w:asciiTheme="minorHAnsi" w:hAnsiTheme="minorHAnsi" w:cstheme="minorHAnsi"/>
          <w:i/>
          <w:color w:val="auto"/>
          <w:sz w:val="26"/>
          <w:szCs w:val="26"/>
        </w:rPr>
      </w:pPr>
      <w:bookmarkStart w:id="14" w:name="_Toc365872633"/>
      <w:r w:rsidRPr="00FE380B">
        <w:rPr>
          <w:rFonts w:asciiTheme="minorHAnsi" w:hAnsiTheme="minorHAnsi" w:cstheme="minorHAnsi"/>
          <w:i/>
          <w:color w:val="auto"/>
          <w:sz w:val="26"/>
          <w:szCs w:val="26"/>
        </w:rPr>
        <w:t>External Factor Adjustment</w:t>
      </w:r>
      <w:bookmarkEnd w:id="14"/>
    </w:p>
    <w:p w14:paraId="40EAB46E" w14:textId="41C178E8" w:rsidR="001848D8" w:rsidRDefault="00A859F6" w:rsidP="00C0088A">
      <w:pPr>
        <w:autoSpaceDE w:val="0"/>
        <w:autoSpaceDN w:val="0"/>
        <w:adjustRightInd w:val="0"/>
        <w:spacing w:after="0" w:line="240" w:lineRule="auto"/>
        <w:rPr>
          <w:rFonts w:eastAsia="Times New Roman" w:cstheme="minorHAnsi"/>
        </w:rPr>
      </w:pPr>
      <w:r w:rsidRPr="00C0088A">
        <w:rPr>
          <w:rFonts w:eastAsia="Times New Roman" w:cstheme="minorHAnsi"/>
        </w:rPr>
        <w:t xml:space="preserve">One challenge with an </w:t>
      </w:r>
      <w:r w:rsidR="00143503" w:rsidRPr="00C0088A">
        <w:rPr>
          <w:rFonts w:eastAsia="Times New Roman" w:cstheme="minorHAnsi"/>
        </w:rPr>
        <w:t xml:space="preserve">absolute benchmark </w:t>
      </w:r>
      <w:r w:rsidRPr="00C0088A">
        <w:rPr>
          <w:rFonts w:eastAsia="Times New Roman" w:cstheme="minorHAnsi"/>
        </w:rPr>
        <w:t xml:space="preserve">is that it </w:t>
      </w:r>
      <w:r w:rsidR="00B105DD" w:rsidRPr="00C0088A">
        <w:rPr>
          <w:rFonts w:eastAsia="Times New Roman" w:cstheme="minorHAnsi"/>
        </w:rPr>
        <w:t xml:space="preserve">cannot single out program </w:t>
      </w:r>
      <w:r w:rsidR="008769BB" w:rsidRPr="00C0088A">
        <w:rPr>
          <w:rFonts w:eastAsia="Times New Roman" w:cstheme="minorHAnsi"/>
        </w:rPr>
        <w:t>outcomes that</w:t>
      </w:r>
      <w:r w:rsidR="00B105DD" w:rsidRPr="00C0088A">
        <w:rPr>
          <w:rFonts w:eastAsia="Times New Roman" w:cstheme="minorHAnsi"/>
        </w:rPr>
        <w:t xml:space="preserve"> are generated by providers’ efforts from </w:t>
      </w:r>
      <w:r w:rsidR="008769BB" w:rsidRPr="00C0088A">
        <w:rPr>
          <w:rFonts w:eastAsia="Times New Roman" w:cstheme="minorHAnsi"/>
        </w:rPr>
        <w:t>outcomes that</w:t>
      </w:r>
      <w:r w:rsidR="00B105DD" w:rsidRPr="00C0088A">
        <w:rPr>
          <w:rFonts w:eastAsia="Times New Roman" w:cstheme="minorHAnsi"/>
        </w:rPr>
        <w:t xml:space="preserve"> are generated by providers’ environments</w:t>
      </w:r>
      <w:r w:rsidRPr="00C0088A">
        <w:rPr>
          <w:rFonts w:eastAsia="Times New Roman" w:cstheme="minorHAnsi"/>
        </w:rPr>
        <w:t>. This</w:t>
      </w:r>
      <w:r w:rsidR="000A5EFC" w:rsidRPr="00C0088A">
        <w:rPr>
          <w:rFonts w:eastAsia="Times New Roman" w:cstheme="minorHAnsi"/>
        </w:rPr>
        <w:t xml:space="preserve"> </w:t>
      </w:r>
      <w:r w:rsidRPr="00C0088A">
        <w:rPr>
          <w:rFonts w:eastAsia="Times New Roman" w:cstheme="minorHAnsi"/>
        </w:rPr>
        <w:t xml:space="preserve">potentially penalises providers for subpar performance that </w:t>
      </w:r>
      <w:r w:rsidR="00EB07A4" w:rsidRPr="00C0088A">
        <w:rPr>
          <w:rFonts w:eastAsia="Times New Roman" w:cstheme="minorHAnsi"/>
        </w:rPr>
        <w:t>is</w:t>
      </w:r>
      <w:r w:rsidRPr="00C0088A">
        <w:rPr>
          <w:rFonts w:eastAsia="Times New Roman" w:cstheme="minorHAnsi"/>
        </w:rPr>
        <w:t xml:space="preserve"> as a result of </w:t>
      </w:r>
      <w:r w:rsidR="00B105DD" w:rsidRPr="00C0088A">
        <w:rPr>
          <w:rFonts w:eastAsia="Times New Roman" w:cstheme="minorHAnsi"/>
        </w:rPr>
        <w:t xml:space="preserve">the provider’s </w:t>
      </w:r>
      <w:r w:rsidR="0047555F" w:rsidRPr="00C0088A">
        <w:rPr>
          <w:rFonts w:eastAsia="Times New Roman" w:cstheme="minorHAnsi"/>
        </w:rPr>
        <w:t>environment</w:t>
      </w:r>
      <w:r w:rsidR="000A5EFC" w:rsidRPr="00C0088A">
        <w:rPr>
          <w:rFonts w:eastAsia="Times New Roman" w:cstheme="minorHAnsi"/>
        </w:rPr>
        <w:t>.</w:t>
      </w:r>
      <w:r w:rsidRPr="00C0088A">
        <w:rPr>
          <w:rFonts w:eastAsia="Times New Roman" w:cstheme="minorHAnsi"/>
        </w:rPr>
        <w:t xml:space="preserve"> If government policies are to be </w:t>
      </w:r>
      <w:r w:rsidR="00EB07A4" w:rsidRPr="00C0088A">
        <w:rPr>
          <w:rFonts w:eastAsia="Times New Roman" w:cstheme="minorHAnsi"/>
        </w:rPr>
        <w:t xml:space="preserve">assessed through </w:t>
      </w:r>
      <w:r w:rsidRPr="00C0088A">
        <w:rPr>
          <w:rFonts w:eastAsia="Times New Roman" w:cstheme="minorHAnsi"/>
        </w:rPr>
        <w:t>evidence</w:t>
      </w:r>
      <w:r w:rsidR="00EB07A4" w:rsidRPr="00C0088A">
        <w:rPr>
          <w:rFonts w:eastAsia="Times New Roman" w:cstheme="minorHAnsi"/>
        </w:rPr>
        <w:t xml:space="preserve"> of their effectiveness</w:t>
      </w:r>
      <w:r w:rsidRPr="00C0088A">
        <w:rPr>
          <w:rFonts w:eastAsia="Times New Roman" w:cstheme="minorHAnsi"/>
        </w:rPr>
        <w:t>, then it is imperative that Australia’s employment services system statistically models the relationship between the activities of providers and performance outcomes. This necessarily entails that factors that influence outcomes</w:t>
      </w:r>
      <w:r w:rsidR="008769BB">
        <w:rPr>
          <w:rFonts w:eastAsia="Times New Roman" w:cstheme="minorHAnsi"/>
        </w:rPr>
        <w:t>,</w:t>
      </w:r>
      <w:r w:rsidRPr="00C0088A">
        <w:rPr>
          <w:rFonts w:eastAsia="Times New Roman" w:cstheme="minorHAnsi"/>
        </w:rPr>
        <w:t xml:space="preserve"> but are not controlled by providers</w:t>
      </w:r>
      <w:r w:rsidR="008769BB">
        <w:rPr>
          <w:rFonts w:eastAsia="Times New Roman" w:cstheme="minorHAnsi"/>
        </w:rPr>
        <w:t>,</w:t>
      </w:r>
      <w:r w:rsidRPr="00C0088A">
        <w:rPr>
          <w:rFonts w:eastAsia="Times New Roman" w:cstheme="minorHAnsi"/>
        </w:rPr>
        <w:t xml:space="preserve"> are adjusted for in the performance framework. </w:t>
      </w:r>
      <w:r w:rsidR="00441956" w:rsidRPr="00C0088A">
        <w:rPr>
          <w:rFonts w:eastAsia="Times New Roman" w:cstheme="minorHAnsi"/>
        </w:rPr>
        <w:t xml:space="preserve">By adjusting for these external factors, performance estimates are more likely to reflect the provider’s true performance. </w:t>
      </w:r>
    </w:p>
    <w:p w14:paraId="0718B0F6" w14:textId="77777777" w:rsidR="001848D8" w:rsidRDefault="001848D8" w:rsidP="00C0088A">
      <w:pPr>
        <w:autoSpaceDE w:val="0"/>
        <w:autoSpaceDN w:val="0"/>
        <w:adjustRightInd w:val="0"/>
        <w:spacing w:after="0" w:line="240" w:lineRule="auto"/>
        <w:rPr>
          <w:rFonts w:eastAsia="Times New Roman" w:cstheme="minorHAnsi"/>
        </w:rPr>
      </w:pPr>
    </w:p>
    <w:p w14:paraId="59498E67" w14:textId="77777777" w:rsidR="00441956" w:rsidRPr="00C0088A" w:rsidRDefault="00EA52BE" w:rsidP="00C0088A">
      <w:pPr>
        <w:autoSpaceDE w:val="0"/>
        <w:autoSpaceDN w:val="0"/>
        <w:adjustRightInd w:val="0"/>
        <w:spacing w:after="0" w:line="240" w:lineRule="auto"/>
        <w:rPr>
          <w:rFonts w:cstheme="minorHAnsi"/>
        </w:rPr>
      </w:pPr>
      <w:r w:rsidRPr="008769BB">
        <w:rPr>
          <w:rFonts w:eastAsia="Times New Roman" w:cstheme="minorHAnsi"/>
        </w:rPr>
        <w:t xml:space="preserve">Brooks (2000) </w:t>
      </w:r>
      <w:r w:rsidR="00B51056" w:rsidRPr="008769BB">
        <w:rPr>
          <w:rFonts w:eastAsia="Times New Roman" w:cstheme="minorHAnsi"/>
        </w:rPr>
        <w:t>examines</w:t>
      </w:r>
      <w:r w:rsidRPr="008769BB">
        <w:rPr>
          <w:rFonts w:eastAsia="Times New Roman" w:cstheme="minorHAnsi"/>
        </w:rPr>
        <w:t xml:space="preserve"> whether </w:t>
      </w:r>
      <w:r w:rsidR="00D93C9F" w:rsidRPr="008769BB">
        <w:rPr>
          <w:rFonts w:eastAsia="Times New Roman" w:cstheme="minorHAnsi"/>
        </w:rPr>
        <w:t>adjusted</w:t>
      </w:r>
      <w:r w:rsidRPr="008769BB">
        <w:rPr>
          <w:rFonts w:eastAsia="Times New Roman" w:cstheme="minorHAnsi"/>
        </w:rPr>
        <w:t xml:space="preserve"> performance measures </w:t>
      </w:r>
      <w:r w:rsidR="00441956" w:rsidRPr="008769BB">
        <w:rPr>
          <w:rFonts w:eastAsia="Times New Roman" w:cstheme="minorHAnsi"/>
        </w:rPr>
        <w:t>more accurately reflect true performance relative</w:t>
      </w:r>
      <w:r w:rsidR="00B51056" w:rsidRPr="008769BB">
        <w:rPr>
          <w:rFonts w:eastAsia="Times New Roman" w:cstheme="minorHAnsi"/>
        </w:rPr>
        <w:t xml:space="preserve"> to unadjusted measures</w:t>
      </w:r>
      <w:r w:rsidRPr="008769BB">
        <w:rPr>
          <w:rFonts w:cstheme="minorHAnsi"/>
        </w:rPr>
        <w:t xml:space="preserve">. </w:t>
      </w:r>
      <w:r w:rsidR="00804261" w:rsidRPr="008769BB">
        <w:rPr>
          <w:rFonts w:cstheme="minorHAnsi"/>
        </w:rPr>
        <w:t>The author finds that</w:t>
      </w:r>
      <w:r w:rsidR="00385100" w:rsidRPr="008769BB">
        <w:rPr>
          <w:rFonts w:cstheme="minorHAnsi"/>
        </w:rPr>
        <w:t xml:space="preserve"> e</w:t>
      </w:r>
      <w:r w:rsidRPr="008769BB">
        <w:rPr>
          <w:rFonts w:cstheme="minorHAnsi"/>
        </w:rPr>
        <w:t xml:space="preserve">stimates of performance may </w:t>
      </w:r>
      <w:r w:rsidR="000E1F24" w:rsidRPr="008769BB">
        <w:rPr>
          <w:rFonts w:cstheme="minorHAnsi"/>
        </w:rPr>
        <w:t xml:space="preserve">be </w:t>
      </w:r>
      <w:r w:rsidR="004B7985" w:rsidRPr="008769BB">
        <w:rPr>
          <w:rFonts w:cstheme="minorHAnsi"/>
        </w:rPr>
        <w:t>distorted unless the specification is very accurate. For policy</w:t>
      </w:r>
      <w:r w:rsidR="00EB07A4" w:rsidRPr="008769BB">
        <w:rPr>
          <w:rFonts w:cstheme="minorHAnsi"/>
        </w:rPr>
        <w:t xml:space="preserve"> makers however an</w:t>
      </w:r>
      <w:r w:rsidR="004B7985" w:rsidRPr="008769BB">
        <w:rPr>
          <w:rFonts w:cstheme="minorHAnsi"/>
        </w:rPr>
        <w:t xml:space="preserve"> adjusted model estimates can </w:t>
      </w:r>
      <w:r w:rsidR="009752F5" w:rsidRPr="008769BB">
        <w:rPr>
          <w:rFonts w:cstheme="minorHAnsi"/>
        </w:rPr>
        <w:t xml:space="preserve">still </w:t>
      </w:r>
      <w:r w:rsidR="00EB07A4" w:rsidRPr="008769BB">
        <w:rPr>
          <w:rFonts w:cstheme="minorHAnsi"/>
        </w:rPr>
        <w:t xml:space="preserve">be </w:t>
      </w:r>
      <w:r w:rsidR="009752F5" w:rsidRPr="008769BB">
        <w:rPr>
          <w:rFonts w:cstheme="minorHAnsi"/>
        </w:rPr>
        <w:t>an improvement</w:t>
      </w:r>
      <w:r w:rsidR="00456870" w:rsidRPr="008769BB">
        <w:rPr>
          <w:rFonts w:cstheme="minorHAnsi"/>
        </w:rPr>
        <w:t xml:space="preserve"> over an absolute benchmark</w:t>
      </w:r>
      <w:r w:rsidR="009752F5" w:rsidRPr="008769BB">
        <w:rPr>
          <w:rFonts w:cstheme="minorHAnsi"/>
        </w:rPr>
        <w:t xml:space="preserve"> even if estimates are</w:t>
      </w:r>
      <w:r w:rsidR="004B7985" w:rsidRPr="008769BB">
        <w:rPr>
          <w:rFonts w:cstheme="minorHAnsi"/>
        </w:rPr>
        <w:t xml:space="preserve"> biased. Bartik, Eberts and Kline</w:t>
      </w:r>
      <w:r w:rsidR="009752F5" w:rsidRPr="008769BB">
        <w:rPr>
          <w:rFonts w:cstheme="minorHAnsi"/>
        </w:rPr>
        <w:t xml:space="preserve"> (2004) develop</w:t>
      </w:r>
      <w:r w:rsidR="009752F5" w:rsidRPr="00C0088A">
        <w:rPr>
          <w:rFonts w:cstheme="minorHAnsi"/>
        </w:rPr>
        <w:t xml:space="preserve"> an adjustment model for workforce performance standards for local workforce areas (LWAs) </w:t>
      </w:r>
      <w:r w:rsidR="00EB07A4" w:rsidRPr="00C0088A">
        <w:rPr>
          <w:rFonts w:cstheme="minorHAnsi"/>
        </w:rPr>
        <w:t xml:space="preserve">in the US which </w:t>
      </w:r>
      <w:r w:rsidR="009752F5" w:rsidRPr="00C0088A">
        <w:rPr>
          <w:rFonts w:cstheme="minorHAnsi"/>
        </w:rPr>
        <w:t xml:space="preserve">they suggest provides a better estimate of value </w:t>
      </w:r>
      <w:r w:rsidR="009752F5" w:rsidRPr="00C0088A">
        <w:rPr>
          <w:rFonts w:cstheme="minorHAnsi"/>
        </w:rPr>
        <w:lastRenderedPageBreak/>
        <w:t>added. The authors contend that</w:t>
      </w:r>
      <w:r w:rsidR="004B7985" w:rsidRPr="00C0088A">
        <w:rPr>
          <w:rFonts w:cstheme="minorHAnsi"/>
        </w:rPr>
        <w:t xml:space="preserve"> even </w:t>
      </w:r>
      <w:r w:rsidR="00804261" w:rsidRPr="00C0088A">
        <w:rPr>
          <w:rFonts w:cstheme="minorHAnsi"/>
        </w:rPr>
        <w:t>if the model is not perfectly specified</w:t>
      </w:r>
      <w:r w:rsidR="00EB07A4" w:rsidRPr="00C0088A">
        <w:rPr>
          <w:rFonts w:cstheme="minorHAnsi"/>
        </w:rPr>
        <w:t>,</w:t>
      </w:r>
      <w:r w:rsidR="004B7985" w:rsidRPr="00C0088A">
        <w:rPr>
          <w:rFonts w:cstheme="minorHAnsi"/>
        </w:rPr>
        <w:t xml:space="preserve"> “the relevant issue is whether these estimates are still closer to the true relative value added than the estimates one would obtain by simply comparing </w:t>
      </w:r>
      <w:r w:rsidR="00EB07A4" w:rsidRPr="00C0088A">
        <w:rPr>
          <w:rFonts w:cstheme="minorHAnsi"/>
        </w:rPr>
        <w:t>LWA means on the common measures” (2004, 8).</w:t>
      </w:r>
      <w:r w:rsidR="004B7985" w:rsidRPr="00C0088A">
        <w:rPr>
          <w:rFonts w:cstheme="minorHAnsi"/>
        </w:rPr>
        <w:t xml:space="preserve"> </w:t>
      </w:r>
      <w:r w:rsidR="001848D8">
        <w:rPr>
          <w:rFonts w:cstheme="minorHAnsi"/>
        </w:rPr>
        <w:t>This is</w:t>
      </w:r>
      <w:r w:rsidR="00472EBD">
        <w:rPr>
          <w:rFonts w:cstheme="minorHAnsi"/>
        </w:rPr>
        <w:t xml:space="preserve"> an observation also made by the</w:t>
      </w:r>
      <w:r w:rsidR="001848D8">
        <w:rPr>
          <w:rFonts w:cstheme="minorHAnsi"/>
        </w:rPr>
        <w:t xml:space="preserve"> OECD when looking at Australia and the Star Ratings model (OECD 2012, 2013).</w:t>
      </w:r>
    </w:p>
    <w:p w14:paraId="75E8F8BB" w14:textId="77777777" w:rsidR="00D776E8" w:rsidRPr="00C0088A" w:rsidRDefault="00D776E8" w:rsidP="00C0088A">
      <w:pPr>
        <w:autoSpaceDE w:val="0"/>
        <w:autoSpaceDN w:val="0"/>
        <w:adjustRightInd w:val="0"/>
        <w:spacing w:after="0" w:line="240" w:lineRule="auto"/>
        <w:rPr>
          <w:rFonts w:cstheme="minorHAnsi"/>
        </w:rPr>
      </w:pPr>
    </w:p>
    <w:p w14:paraId="059B0CAE" w14:textId="75255E20" w:rsidR="00D776E8" w:rsidRPr="00C0088A" w:rsidRDefault="00804261" w:rsidP="00DE5DD1">
      <w:pPr>
        <w:autoSpaceDE w:val="0"/>
        <w:autoSpaceDN w:val="0"/>
        <w:adjustRightInd w:val="0"/>
        <w:spacing w:after="240" w:line="240" w:lineRule="auto"/>
        <w:rPr>
          <w:rFonts w:cstheme="minorHAnsi"/>
        </w:rPr>
      </w:pPr>
      <w:r w:rsidRPr="00C0088A">
        <w:rPr>
          <w:rFonts w:cstheme="minorHAnsi"/>
        </w:rPr>
        <w:t>The evidence indicates that a</w:t>
      </w:r>
      <w:r w:rsidR="00D776E8" w:rsidRPr="00C0088A">
        <w:rPr>
          <w:rFonts w:cstheme="minorHAnsi"/>
        </w:rPr>
        <w:t>djusting performance across providers has even greater importance for peo</w:t>
      </w:r>
      <w:r w:rsidRPr="00C0088A">
        <w:rPr>
          <w:rFonts w:cstheme="minorHAnsi"/>
        </w:rPr>
        <w:t xml:space="preserve">ple with </w:t>
      </w:r>
      <w:r w:rsidR="008769BB">
        <w:rPr>
          <w:rFonts w:cstheme="minorHAnsi"/>
        </w:rPr>
        <w:t xml:space="preserve">a </w:t>
      </w:r>
      <w:r w:rsidRPr="00C0088A">
        <w:rPr>
          <w:rFonts w:cstheme="minorHAnsi"/>
        </w:rPr>
        <w:t>disabilit</w:t>
      </w:r>
      <w:r w:rsidR="008769BB">
        <w:rPr>
          <w:rFonts w:cstheme="minorHAnsi"/>
        </w:rPr>
        <w:t>y</w:t>
      </w:r>
      <w:r w:rsidRPr="00C0088A">
        <w:rPr>
          <w:rFonts w:cstheme="minorHAnsi"/>
        </w:rPr>
        <w:t>. It has</w:t>
      </w:r>
      <w:r w:rsidR="00D776E8" w:rsidRPr="00C0088A">
        <w:rPr>
          <w:rFonts w:cstheme="minorHAnsi"/>
        </w:rPr>
        <w:t xml:space="preserve"> be</w:t>
      </w:r>
      <w:r w:rsidRPr="00C0088A">
        <w:rPr>
          <w:rFonts w:cstheme="minorHAnsi"/>
        </w:rPr>
        <w:t>en</w:t>
      </w:r>
      <w:r w:rsidR="00D776E8" w:rsidRPr="00C0088A">
        <w:rPr>
          <w:rFonts w:cstheme="minorHAnsi"/>
        </w:rPr>
        <w:t xml:space="preserve"> argued that if people have an impairment making them unable to work </w:t>
      </w:r>
      <w:r w:rsidR="00BF1B1F" w:rsidRPr="00C0088A">
        <w:rPr>
          <w:rFonts w:cstheme="minorHAnsi"/>
        </w:rPr>
        <w:t>or</w:t>
      </w:r>
      <w:r w:rsidR="00D776E8" w:rsidRPr="00C0088A">
        <w:rPr>
          <w:rFonts w:cstheme="minorHAnsi"/>
        </w:rPr>
        <w:t xml:space="preserve"> persuade </w:t>
      </w:r>
      <w:r w:rsidR="008D706F" w:rsidRPr="00C0088A">
        <w:rPr>
          <w:rFonts w:cstheme="minorHAnsi"/>
        </w:rPr>
        <w:t>an</w:t>
      </w:r>
      <w:r w:rsidR="00D776E8" w:rsidRPr="00C0088A">
        <w:rPr>
          <w:rFonts w:cstheme="minorHAnsi"/>
        </w:rPr>
        <w:t xml:space="preserve"> employer to hire them, then they would always be disadvantaged regardless of the economic conditions in the place they lived. </w:t>
      </w:r>
      <w:r w:rsidRPr="00C0088A">
        <w:rPr>
          <w:rFonts w:cstheme="minorHAnsi"/>
        </w:rPr>
        <w:t>If this situation exists then differences in labour market conditions will make little difference to their probability of finding employment</w:t>
      </w:r>
      <w:r w:rsidRPr="008769BB">
        <w:rPr>
          <w:rFonts w:cstheme="minorHAnsi"/>
        </w:rPr>
        <w:t xml:space="preserve">. </w:t>
      </w:r>
      <w:r w:rsidR="00971003" w:rsidRPr="008769BB">
        <w:rPr>
          <w:rFonts w:cstheme="minorHAnsi"/>
        </w:rPr>
        <w:t>Berthoud (2011) finds that in Britain, the employment rate of disabled people is highly sensitive to differences</w:t>
      </w:r>
      <w:r w:rsidR="00971003" w:rsidRPr="00C0088A">
        <w:rPr>
          <w:rFonts w:cstheme="minorHAnsi"/>
        </w:rPr>
        <w:t xml:space="preserve"> in labour demand across regions. Using data from the Gen</w:t>
      </w:r>
      <w:r w:rsidR="00153B50" w:rsidRPr="00C0088A">
        <w:rPr>
          <w:rFonts w:cstheme="minorHAnsi"/>
        </w:rPr>
        <w:t>eral Household Surveys over 1996</w:t>
      </w:r>
      <w:r w:rsidR="00971003" w:rsidRPr="00C0088A">
        <w:rPr>
          <w:rFonts w:cstheme="minorHAnsi"/>
        </w:rPr>
        <w:t xml:space="preserve"> to 2005</w:t>
      </w:r>
      <w:r w:rsidR="00153B50" w:rsidRPr="00C0088A">
        <w:rPr>
          <w:rFonts w:cstheme="minorHAnsi"/>
        </w:rPr>
        <w:t xml:space="preserve">, the authors estimate a logistics regression of employment probabilities of the general population. The control variables of interest include the average unemployment rate across regions, a dummy variable that takes the value of </w:t>
      </w:r>
      <w:r w:rsidR="008769BB">
        <w:rPr>
          <w:rFonts w:cstheme="minorHAnsi"/>
        </w:rPr>
        <w:t>one</w:t>
      </w:r>
      <w:r w:rsidR="00153B50" w:rsidRPr="00C0088A">
        <w:rPr>
          <w:rFonts w:cstheme="minorHAnsi"/>
        </w:rPr>
        <w:t xml:space="preserve"> if the person has a disabil</w:t>
      </w:r>
      <w:r w:rsidR="008769BB">
        <w:rPr>
          <w:rFonts w:cstheme="minorHAnsi"/>
        </w:rPr>
        <w:t>ity and zero</w:t>
      </w:r>
      <w:r w:rsidR="00CF1A9F" w:rsidRPr="00C0088A">
        <w:rPr>
          <w:rFonts w:cstheme="minorHAnsi"/>
        </w:rPr>
        <w:t xml:space="preserve"> otherwise and a</w:t>
      </w:r>
      <w:r w:rsidR="00153B50" w:rsidRPr="00C0088A">
        <w:rPr>
          <w:rFonts w:cstheme="minorHAnsi"/>
        </w:rPr>
        <w:t xml:space="preserve">n interaction term </w:t>
      </w:r>
      <w:r w:rsidR="00CF1A9F" w:rsidRPr="00C0088A">
        <w:rPr>
          <w:rFonts w:cstheme="minorHAnsi"/>
        </w:rPr>
        <w:t xml:space="preserve">between the unemployment rate variable and </w:t>
      </w:r>
      <w:r w:rsidR="0047555F" w:rsidRPr="00C0088A">
        <w:rPr>
          <w:rFonts w:cstheme="minorHAnsi"/>
        </w:rPr>
        <w:t xml:space="preserve">the </w:t>
      </w:r>
      <w:r w:rsidR="0089167E" w:rsidRPr="00C0088A">
        <w:rPr>
          <w:rFonts w:cstheme="minorHAnsi"/>
        </w:rPr>
        <w:t xml:space="preserve">dummy variable. The authors model the interaction between the unemployment rate and whether a person is disabled. They find a significant and negative effect of this interaction term on employment probability, </w:t>
      </w:r>
      <w:r w:rsidR="00CF1A9F" w:rsidRPr="00C0088A">
        <w:rPr>
          <w:rFonts w:cstheme="minorHAnsi"/>
        </w:rPr>
        <w:t xml:space="preserve">suggesting the employment probabilities of disabled people are strongly affected by regional variations. Further, the effect of regional variations in labour demand on the employment probabilities of disabled people is greater relative to non-disabled people. </w:t>
      </w:r>
      <w:r w:rsidR="00CC3842" w:rsidRPr="00C0088A">
        <w:rPr>
          <w:rFonts w:cstheme="minorHAnsi"/>
        </w:rPr>
        <w:t>These results suggest that the importance of adjusting for differences in economic conditions is even higher for providers catering to job seekers</w:t>
      </w:r>
      <w:r w:rsidR="00DC6C44" w:rsidRPr="00C0088A">
        <w:rPr>
          <w:rFonts w:cstheme="minorHAnsi"/>
        </w:rPr>
        <w:t xml:space="preserve"> with </w:t>
      </w:r>
      <w:r w:rsidR="008769BB">
        <w:rPr>
          <w:rFonts w:cstheme="minorHAnsi"/>
        </w:rPr>
        <w:t xml:space="preserve">a </w:t>
      </w:r>
      <w:r w:rsidR="00DC6C44" w:rsidRPr="00C0088A">
        <w:rPr>
          <w:rFonts w:cstheme="minorHAnsi"/>
        </w:rPr>
        <w:t>disabilit</w:t>
      </w:r>
      <w:r w:rsidR="008769BB">
        <w:rPr>
          <w:rFonts w:cstheme="minorHAnsi"/>
        </w:rPr>
        <w:t>y</w:t>
      </w:r>
      <w:r w:rsidR="00CC3842" w:rsidRPr="00C0088A">
        <w:rPr>
          <w:rFonts w:cstheme="minorHAnsi"/>
        </w:rPr>
        <w:t xml:space="preserve">.  </w:t>
      </w:r>
    </w:p>
    <w:p w14:paraId="5A70B5FE" w14:textId="77777777" w:rsidR="000F4593" w:rsidRPr="00C0088A" w:rsidRDefault="000F4593" w:rsidP="00DE5DD1">
      <w:pPr>
        <w:pBdr>
          <w:top w:val="single" w:sz="4" w:space="1" w:color="auto"/>
          <w:left w:val="single" w:sz="4" w:space="4" w:color="auto"/>
          <w:right w:val="single" w:sz="4" w:space="4" w:color="auto"/>
        </w:pBdr>
        <w:autoSpaceDE w:val="0"/>
        <w:autoSpaceDN w:val="0"/>
        <w:adjustRightInd w:val="0"/>
        <w:rPr>
          <w:rFonts w:cstheme="minorHAnsi"/>
          <w:b/>
        </w:rPr>
      </w:pPr>
      <w:r w:rsidRPr="00C0088A">
        <w:rPr>
          <w:rFonts w:cstheme="minorHAnsi"/>
          <w:b/>
        </w:rPr>
        <w:t xml:space="preserve">Case study: Risk adjustment and the relative performance of hospitals </w:t>
      </w:r>
    </w:p>
    <w:p w14:paraId="521A1ECA" w14:textId="77777777" w:rsidR="000F4593" w:rsidRPr="008769BB" w:rsidRDefault="000F4593" w:rsidP="00DE5DD1">
      <w:pPr>
        <w:pBdr>
          <w:top w:val="single" w:sz="4" w:space="1" w:color="auto"/>
          <w:left w:val="single" w:sz="4" w:space="4" w:color="auto"/>
          <w:right w:val="single" w:sz="4" w:space="4" w:color="auto"/>
        </w:pBdr>
        <w:autoSpaceDE w:val="0"/>
        <w:autoSpaceDN w:val="0"/>
        <w:adjustRightInd w:val="0"/>
        <w:spacing w:after="240" w:line="240" w:lineRule="auto"/>
        <w:rPr>
          <w:rFonts w:cstheme="minorHAnsi"/>
        </w:rPr>
      </w:pPr>
      <w:r w:rsidRPr="00C0088A">
        <w:rPr>
          <w:rFonts w:cstheme="minorHAnsi"/>
        </w:rPr>
        <w:t xml:space="preserve">Research on hospital performance provides important insights for employment services. Similar to providers serving clients with different characteristics in different labour market environments, the patients served by hospitals differ significantly in terms of their characteristics and socio-economic background. As stated by </w:t>
      </w:r>
      <w:r w:rsidRPr="008769BB">
        <w:rPr>
          <w:rFonts w:cstheme="minorHAnsi"/>
        </w:rPr>
        <w:t>Iezzoni (2009 p253-245)</w:t>
      </w:r>
    </w:p>
    <w:p w14:paraId="6A853E68" w14:textId="77777777" w:rsidR="00DE5DD1" w:rsidRDefault="000F4593" w:rsidP="00DE5DD1">
      <w:pPr>
        <w:pBdr>
          <w:left w:val="single" w:sz="4" w:space="4" w:color="auto"/>
          <w:right w:val="single" w:sz="4" w:space="4" w:color="auto"/>
        </w:pBdr>
        <w:autoSpaceDE w:val="0"/>
        <w:autoSpaceDN w:val="0"/>
        <w:adjustRightInd w:val="0"/>
        <w:spacing w:after="0" w:line="240" w:lineRule="auto"/>
        <w:ind w:firstLine="720"/>
        <w:rPr>
          <w:rFonts w:cstheme="minorHAnsi"/>
        </w:rPr>
      </w:pPr>
      <w:r w:rsidRPr="008769BB">
        <w:rPr>
          <w:rFonts w:cstheme="minorHAnsi"/>
        </w:rPr>
        <w:t>‘Health plans, hospitals, general practitioner practices or other healthcare providers are not</w:t>
      </w:r>
    </w:p>
    <w:p w14:paraId="1D08FA44" w14:textId="77777777" w:rsidR="00DE5DD1" w:rsidRDefault="000F4593" w:rsidP="00DE5DD1">
      <w:pPr>
        <w:pBdr>
          <w:left w:val="single" w:sz="4" w:space="4" w:color="auto"/>
          <w:right w:val="single" w:sz="4" w:space="4" w:color="auto"/>
        </w:pBdr>
        <w:autoSpaceDE w:val="0"/>
        <w:autoSpaceDN w:val="0"/>
        <w:adjustRightInd w:val="0"/>
        <w:spacing w:after="0" w:line="240" w:lineRule="auto"/>
        <w:ind w:firstLine="720"/>
        <w:rPr>
          <w:rFonts w:cstheme="minorHAnsi"/>
        </w:rPr>
      </w:pPr>
      <w:r w:rsidRPr="008769BB">
        <w:rPr>
          <w:rFonts w:cstheme="minorHAnsi"/>
        </w:rPr>
        <w:t xml:space="preserve"> selected randomly. Many factors affect the way people link with their sources of care,</w:t>
      </w:r>
    </w:p>
    <w:p w14:paraId="0D079369" w14:textId="77777777" w:rsidR="00DE5DD1" w:rsidRDefault="000F4593" w:rsidP="00DE5DD1">
      <w:pPr>
        <w:pBdr>
          <w:left w:val="single" w:sz="4" w:space="4" w:color="auto"/>
          <w:right w:val="single" w:sz="4" w:space="4" w:color="auto"/>
        </w:pBdr>
        <w:autoSpaceDE w:val="0"/>
        <w:autoSpaceDN w:val="0"/>
        <w:adjustRightInd w:val="0"/>
        <w:spacing w:after="0" w:line="240" w:lineRule="auto"/>
        <w:ind w:firstLine="720"/>
        <w:rPr>
          <w:rFonts w:cstheme="minorHAnsi"/>
        </w:rPr>
      </w:pPr>
      <w:r w:rsidRPr="008769BB">
        <w:rPr>
          <w:rFonts w:cstheme="minorHAnsi"/>
        </w:rPr>
        <w:t xml:space="preserve"> including the nature of their health needs (e.g. acuity and severity of illness); financial </w:t>
      </w:r>
    </w:p>
    <w:p w14:paraId="46B0E5BF" w14:textId="77777777" w:rsidR="00DE5DD1" w:rsidRDefault="000F4593" w:rsidP="00DE5DD1">
      <w:pPr>
        <w:pBdr>
          <w:left w:val="single" w:sz="4" w:space="4" w:color="auto"/>
          <w:right w:val="single" w:sz="4" w:space="4" w:color="auto"/>
        </w:pBdr>
        <w:autoSpaceDE w:val="0"/>
        <w:autoSpaceDN w:val="0"/>
        <w:adjustRightInd w:val="0"/>
        <w:spacing w:after="0" w:line="240" w:lineRule="auto"/>
        <w:ind w:firstLine="720"/>
        <w:rPr>
          <w:rFonts w:cstheme="minorHAnsi"/>
        </w:rPr>
      </w:pPr>
      <w:r w:rsidRPr="008769BB">
        <w:rPr>
          <w:rFonts w:cstheme="minorHAnsi"/>
        </w:rPr>
        <w:t xml:space="preserve">resources; geography; previous health-care experiences; and their preferences, values and </w:t>
      </w:r>
    </w:p>
    <w:p w14:paraId="30341B7F" w14:textId="77777777" w:rsidR="00DE5DD1" w:rsidRDefault="000F4593" w:rsidP="00DE5DD1">
      <w:pPr>
        <w:pBdr>
          <w:left w:val="single" w:sz="4" w:space="4" w:color="auto"/>
          <w:right w:val="single" w:sz="4" w:space="4" w:color="auto"/>
        </w:pBdr>
        <w:autoSpaceDE w:val="0"/>
        <w:autoSpaceDN w:val="0"/>
        <w:adjustRightInd w:val="0"/>
        <w:spacing w:after="0" w:line="240" w:lineRule="auto"/>
        <w:ind w:firstLine="720"/>
        <w:rPr>
          <w:rFonts w:cstheme="minorHAnsi"/>
        </w:rPr>
      </w:pPr>
      <w:r w:rsidRPr="008769BB">
        <w:rPr>
          <w:rFonts w:cstheme="minorHAnsi"/>
        </w:rPr>
        <w:t xml:space="preserve">expectations of health services. Not surprisingly, there may be wide variations in the mix of </w:t>
      </w:r>
    </w:p>
    <w:p w14:paraId="519C4827" w14:textId="4AD6DEF4" w:rsidR="00DE5DD1" w:rsidRDefault="000F4593" w:rsidP="00DE5DD1">
      <w:pPr>
        <w:pBdr>
          <w:left w:val="single" w:sz="4" w:space="4" w:color="auto"/>
          <w:right w:val="single" w:sz="4" w:space="4" w:color="auto"/>
        </w:pBdr>
        <w:autoSpaceDE w:val="0"/>
        <w:autoSpaceDN w:val="0"/>
        <w:adjustRightInd w:val="0"/>
        <w:spacing w:after="0" w:line="240" w:lineRule="auto"/>
        <w:ind w:firstLine="720"/>
        <w:rPr>
          <w:rFonts w:cstheme="minorHAnsi"/>
        </w:rPr>
      </w:pPr>
      <w:r w:rsidRPr="008769BB">
        <w:rPr>
          <w:rFonts w:cstheme="minorHAnsi"/>
        </w:rPr>
        <w:t xml:space="preserve">persons covered by different health plans, hospitals, general practitioner practices or other </w:t>
      </w:r>
    </w:p>
    <w:p w14:paraId="50E524BB" w14:textId="77777777" w:rsidR="00DE5DD1" w:rsidRDefault="000F4593" w:rsidP="00DE5DD1">
      <w:pPr>
        <w:pBdr>
          <w:left w:val="single" w:sz="4" w:space="4" w:color="auto"/>
          <w:right w:val="single" w:sz="4" w:space="4" w:color="auto"/>
        </w:pBdr>
        <w:autoSpaceDE w:val="0"/>
        <w:autoSpaceDN w:val="0"/>
        <w:adjustRightInd w:val="0"/>
        <w:spacing w:after="0" w:line="240" w:lineRule="auto"/>
        <w:ind w:firstLine="720"/>
        <w:rPr>
          <w:rFonts w:cstheme="minorHAnsi"/>
        </w:rPr>
      </w:pPr>
      <w:r w:rsidRPr="008769BB">
        <w:rPr>
          <w:rFonts w:cstheme="minorHAnsi"/>
        </w:rPr>
        <w:t xml:space="preserve">healthcare providers. These differences can have consequences…..Most importantly from a </w:t>
      </w:r>
    </w:p>
    <w:p w14:paraId="3858A8D4" w14:textId="77777777" w:rsidR="00DE5DD1" w:rsidRDefault="000F4593" w:rsidP="00DE5DD1">
      <w:pPr>
        <w:pBdr>
          <w:left w:val="single" w:sz="4" w:space="4" w:color="auto"/>
          <w:right w:val="single" w:sz="4" w:space="4" w:color="auto"/>
        </w:pBdr>
        <w:autoSpaceDE w:val="0"/>
        <w:autoSpaceDN w:val="0"/>
        <w:adjustRightInd w:val="0"/>
        <w:spacing w:after="0" w:line="240" w:lineRule="auto"/>
        <w:ind w:firstLine="720"/>
        <w:rPr>
          <w:rFonts w:cstheme="minorHAnsi"/>
        </w:rPr>
      </w:pPr>
      <w:r w:rsidRPr="008769BB">
        <w:rPr>
          <w:rFonts w:cstheme="minorHAnsi"/>
        </w:rPr>
        <w:t xml:space="preserve">quality measurement perspective, persons with complex illnesses, multiple coexisting </w:t>
      </w:r>
    </w:p>
    <w:p w14:paraId="0C8F055E" w14:textId="77777777" w:rsidR="00DE5DD1" w:rsidRDefault="000F4593" w:rsidP="00DE5DD1">
      <w:pPr>
        <w:pBdr>
          <w:left w:val="single" w:sz="4" w:space="4" w:color="auto"/>
          <w:right w:val="single" w:sz="4" w:space="4" w:color="auto"/>
        </w:pBdr>
        <w:autoSpaceDE w:val="0"/>
        <w:autoSpaceDN w:val="0"/>
        <w:adjustRightInd w:val="0"/>
        <w:spacing w:after="0" w:line="240" w:lineRule="auto"/>
        <w:ind w:firstLine="720"/>
        <w:rPr>
          <w:rFonts w:cstheme="minorHAnsi"/>
        </w:rPr>
      </w:pPr>
      <w:r w:rsidRPr="008769BB">
        <w:rPr>
          <w:rFonts w:cstheme="minorHAnsi"/>
        </w:rPr>
        <w:t xml:space="preserve">conditions or other significant risk factors are more likely to do poorly than healthier </w:t>
      </w:r>
    </w:p>
    <w:p w14:paraId="7F96FDAC" w14:textId="7A40371B" w:rsidR="000F4593" w:rsidRPr="008769BB" w:rsidRDefault="000F4593" w:rsidP="00DE5DD1">
      <w:pPr>
        <w:pBdr>
          <w:left w:val="single" w:sz="4" w:space="4" w:color="auto"/>
          <w:right w:val="single" w:sz="4" w:space="4" w:color="auto"/>
        </w:pBdr>
        <w:autoSpaceDE w:val="0"/>
        <w:autoSpaceDN w:val="0"/>
        <w:adjustRightInd w:val="0"/>
        <w:spacing w:line="240" w:lineRule="auto"/>
        <w:ind w:firstLine="720"/>
        <w:rPr>
          <w:rFonts w:cstheme="minorHAnsi"/>
        </w:rPr>
      </w:pPr>
      <w:r w:rsidRPr="008769BB">
        <w:rPr>
          <w:rFonts w:cstheme="minorHAnsi"/>
        </w:rPr>
        <w:t>individuals, even with the best possible care.’</w:t>
      </w:r>
    </w:p>
    <w:p w14:paraId="28E8DE3D" w14:textId="77777777" w:rsidR="00DE5DD1" w:rsidRDefault="000F4593" w:rsidP="00DE5DD1">
      <w:pPr>
        <w:pBdr>
          <w:left w:val="single" w:sz="4" w:space="4" w:color="auto"/>
          <w:bottom w:val="single" w:sz="4" w:space="1" w:color="auto"/>
          <w:right w:val="single" w:sz="4" w:space="4" w:color="auto"/>
        </w:pBdr>
        <w:autoSpaceDE w:val="0"/>
        <w:autoSpaceDN w:val="0"/>
        <w:adjustRightInd w:val="0"/>
        <w:rPr>
          <w:rFonts w:cstheme="minorHAnsi"/>
        </w:rPr>
      </w:pPr>
      <w:r w:rsidRPr="008769BB">
        <w:rPr>
          <w:rFonts w:cstheme="minorHAnsi"/>
        </w:rPr>
        <w:t>As a result, risk adjustment has been used to adjust hospital performance for variations in patient characteristics. The evidence shows the importance of adjusting for factors outside the control of hospitals when assessing their performance. For instance, Pok et al. (2011)</w:t>
      </w:r>
      <w:r w:rsidRPr="00C0088A">
        <w:rPr>
          <w:rFonts w:cstheme="minorHAnsi"/>
        </w:rPr>
        <w:t xml:space="preserve"> examine the results of operative treatment of patients with colorectal carcinoma within the context of hospital benchmarking. The results of resection of oncological surgery such as colorectal carcinoma can vary greatly from one hospital to another. However, this does not necessarily reflect differences in the quality of treatment. The patient’s demographic details, </w:t>
      </w:r>
      <w:r>
        <w:rPr>
          <w:rFonts w:cstheme="minorHAnsi"/>
        </w:rPr>
        <w:t>their</w:t>
      </w:r>
      <w:r w:rsidRPr="00C0088A">
        <w:rPr>
          <w:rFonts w:cstheme="minorHAnsi"/>
        </w:rPr>
        <w:t xml:space="preserve"> general state of health (comorbidities) and the stage of the patient’s tumour at the time of diagnosis can vary greatly between groups of </w:t>
      </w:r>
    </w:p>
    <w:p w14:paraId="2039643E" w14:textId="08A28B6D" w:rsidR="000F4593" w:rsidRPr="00C0088A" w:rsidRDefault="000F4593" w:rsidP="00DE5DD1">
      <w:pPr>
        <w:pBdr>
          <w:top w:val="single" w:sz="4" w:space="1" w:color="auto"/>
          <w:left w:val="single" w:sz="4" w:space="4" w:color="auto"/>
          <w:right w:val="single" w:sz="4" w:space="4" w:color="auto"/>
        </w:pBdr>
        <w:autoSpaceDE w:val="0"/>
        <w:autoSpaceDN w:val="0"/>
        <w:adjustRightInd w:val="0"/>
        <w:spacing w:line="240" w:lineRule="auto"/>
        <w:rPr>
          <w:rFonts w:ascii="Sabon-Roman" w:eastAsia="Sabon-Roman" w:cs="Sabon-Roman"/>
        </w:rPr>
      </w:pPr>
      <w:r w:rsidRPr="00C0088A">
        <w:rPr>
          <w:rFonts w:cstheme="minorHAnsi"/>
        </w:rPr>
        <w:lastRenderedPageBreak/>
        <w:t xml:space="preserve">patients. The authors examine the use of risk adjustment in comparing treatment outcomes between hospitals after colon carcinoma resection. To do this, a survey questionnaire was completed where the patient was treated that recorded information about the patient, the tumour, the operations and the postoperative course to discharge from the hospital. </w:t>
      </w:r>
      <w:r>
        <w:rPr>
          <w:rFonts w:cstheme="minorHAnsi"/>
        </w:rPr>
        <w:t>Three hundred and forty-six</w:t>
      </w:r>
      <w:r w:rsidRPr="00C0088A">
        <w:rPr>
          <w:rFonts w:cstheme="minorHAnsi"/>
        </w:rPr>
        <w:t xml:space="preserve"> hospitals and 48, 894 patients with colon carcinoma participated in the survey. The primary variable of interest was in-hospital mortality. Of the participating institutions, two hospitals were selected based on a significant difference in postoperative mortality and postoperative morbidity. A univariate comparison of hospitals A and B showed a statistically significant difference (at the 5 per</w:t>
      </w:r>
      <w:r>
        <w:rPr>
          <w:rFonts w:cstheme="minorHAnsi"/>
        </w:rPr>
        <w:t xml:space="preserve"> </w:t>
      </w:r>
      <w:r w:rsidRPr="00C0088A">
        <w:rPr>
          <w:rFonts w:cstheme="minorHAnsi"/>
        </w:rPr>
        <w:t>cent level) for postoperative mortality, being 2.9</w:t>
      </w:r>
      <w:r>
        <w:rPr>
          <w:rFonts w:cstheme="minorHAnsi"/>
        </w:rPr>
        <w:t xml:space="preserve"> </w:t>
      </w:r>
      <w:r w:rsidRPr="00C0088A">
        <w:rPr>
          <w:rFonts w:cstheme="minorHAnsi"/>
        </w:rPr>
        <w:t>per cent for A and 6.4</w:t>
      </w:r>
      <w:r>
        <w:rPr>
          <w:rFonts w:cstheme="minorHAnsi"/>
        </w:rPr>
        <w:t xml:space="preserve"> </w:t>
      </w:r>
      <w:r w:rsidRPr="00C0088A">
        <w:rPr>
          <w:rFonts w:cstheme="minorHAnsi"/>
        </w:rPr>
        <w:t xml:space="preserve">per cent for B. This would suggest that the quality of surgical treatment of patients with colon cancer is significantly different across the two hospitals. </w:t>
      </w:r>
    </w:p>
    <w:p w14:paraId="7FD22273" w14:textId="77777777" w:rsidR="000F4593" w:rsidRPr="00C0088A" w:rsidRDefault="000F4593" w:rsidP="00DE5DD1">
      <w:pPr>
        <w:pBdr>
          <w:left w:val="single" w:sz="4" w:space="4" w:color="auto"/>
          <w:bottom w:val="single" w:sz="4" w:space="1" w:color="auto"/>
          <w:right w:val="single" w:sz="4" w:space="4" w:color="auto"/>
        </w:pBdr>
        <w:autoSpaceDE w:val="0"/>
        <w:autoSpaceDN w:val="0"/>
        <w:adjustRightInd w:val="0"/>
        <w:rPr>
          <w:rFonts w:cstheme="minorHAnsi"/>
        </w:rPr>
      </w:pPr>
      <w:r w:rsidRPr="00C0088A">
        <w:rPr>
          <w:rFonts w:cstheme="minorHAnsi"/>
        </w:rPr>
        <w:t>The authors then examined if the hospital a</w:t>
      </w:r>
      <w:r>
        <w:rPr>
          <w:rFonts w:cstheme="minorHAnsi"/>
        </w:rPr>
        <w:t>nd patient</w:t>
      </w:r>
      <w:r w:rsidRPr="00C0088A">
        <w:rPr>
          <w:rFonts w:cstheme="minorHAnsi"/>
        </w:rPr>
        <w:t xml:space="preserve"> locat</w:t>
      </w:r>
      <w:r>
        <w:rPr>
          <w:rFonts w:cstheme="minorHAnsi"/>
        </w:rPr>
        <w:t>ion</w:t>
      </w:r>
      <w:r w:rsidRPr="00C0088A">
        <w:rPr>
          <w:rFonts w:cstheme="minorHAnsi"/>
        </w:rPr>
        <w:t xml:space="preserve"> affected the performance of postoperative mortality after risk adjustment. In a univariate comparison, patient populations differed significantly in terms of age, body mass index, American Society of Anaesthesiologists score, the frequency of pulmonary and renal concomitant disor</w:t>
      </w:r>
      <w:r>
        <w:rPr>
          <w:rFonts w:cstheme="minorHAnsi"/>
        </w:rPr>
        <w:t>ders</w:t>
      </w:r>
      <w:r w:rsidRPr="00C0088A">
        <w:rPr>
          <w:rFonts w:cstheme="minorHAnsi"/>
        </w:rPr>
        <w:t xml:space="preserve"> and the proportion of patients with insulin-requiring diabetes mellitus. No significant difference was found with respect to tumour-related variables. In assessing the effect of risk adjustment on hospital performance, logistic regression, propensity score analysis and the CR-POSSUM score was used. The results show that the significant difference in postoperative mortality in the univariate comparison did not hold under the risk adjusted analyses. This suggests that raw scores can give misleading conclusions of provider performance if factors outside a provider’s control are not taken into account. </w:t>
      </w:r>
    </w:p>
    <w:p w14:paraId="49BC0DBE" w14:textId="77777777" w:rsidR="00385100" w:rsidRPr="00FE380B" w:rsidRDefault="00B87E04" w:rsidP="00FE380B">
      <w:pPr>
        <w:pStyle w:val="Sub-SubTitle"/>
        <w:numPr>
          <w:ilvl w:val="2"/>
          <w:numId w:val="16"/>
        </w:numPr>
        <w:ind w:left="851" w:hanging="851"/>
        <w:rPr>
          <w:rFonts w:asciiTheme="minorHAnsi" w:hAnsiTheme="minorHAnsi" w:cstheme="minorHAnsi"/>
          <w:i/>
          <w:color w:val="auto"/>
          <w:sz w:val="26"/>
          <w:szCs w:val="26"/>
        </w:rPr>
      </w:pPr>
      <w:bookmarkStart w:id="15" w:name="_Toc365872634"/>
      <w:r w:rsidRPr="00FE380B">
        <w:rPr>
          <w:rFonts w:asciiTheme="minorHAnsi" w:hAnsiTheme="minorHAnsi" w:cstheme="minorHAnsi"/>
          <w:i/>
          <w:color w:val="auto"/>
          <w:sz w:val="26"/>
          <w:szCs w:val="26"/>
        </w:rPr>
        <w:t>Forecasting</w:t>
      </w:r>
      <w:bookmarkEnd w:id="15"/>
      <w:r w:rsidRPr="00FE380B">
        <w:rPr>
          <w:rFonts w:asciiTheme="minorHAnsi" w:hAnsiTheme="minorHAnsi" w:cstheme="minorHAnsi"/>
          <w:i/>
          <w:color w:val="auto"/>
          <w:sz w:val="26"/>
          <w:szCs w:val="26"/>
        </w:rPr>
        <w:t xml:space="preserve"> </w:t>
      </w:r>
    </w:p>
    <w:p w14:paraId="4E67FDA0" w14:textId="32417871" w:rsidR="001848D8" w:rsidRDefault="007216C5" w:rsidP="001848D8">
      <w:pPr>
        <w:spacing w:after="0" w:line="240" w:lineRule="auto"/>
        <w:rPr>
          <w:rFonts w:eastAsia="Times New Roman" w:cstheme="minorHAnsi"/>
        </w:rPr>
      </w:pPr>
      <w:r w:rsidRPr="00C0088A">
        <w:rPr>
          <w:rFonts w:cstheme="minorHAnsi"/>
          <w:color w:val="000000"/>
        </w:rPr>
        <w:t xml:space="preserve">The suitability of an absolute benchmark is affected by unexpected changes in economic conditions. To illustrate, assume that </w:t>
      </w:r>
      <w:r w:rsidRPr="00C0088A">
        <w:rPr>
          <w:rFonts w:eastAsia="Times New Roman" w:cstheme="minorHAnsi"/>
        </w:rPr>
        <w:t>a target of 50</w:t>
      </w:r>
      <w:r w:rsidR="00C214F2">
        <w:rPr>
          <w:rFonts w:eastAsia="Times New Roman" w:cstheme="minorHAnsi"/>
        </w:rPr>
        <w:t xml:space="preserve"> </w:t>
      </w:r>
      <w:r w:rsidR="00DB7CB2" w:rsidRPr="00C0088A">
        <w:rPr>
          <w:rFonts w:eastAsia="Times New Roman" w:cstheme="minorHAnsi"/>
        </w:rPr>
        <w:t>per cent</w:t>
      </w:r>
      <w:r w:rsidRPr="00C0088A">
        <w:rPr>
          <w:rFonts w:eastAsia="Times New Roman" w:cstheme="minorHAnsi"/>
        </w:rPr>
        <w:t xml:space="preserve"> is set for the job outcome rate over the next year. The calculation of this target will depend on expectations of economic growth, unemployment and other macroeconomic factors affecting the probability of job outcomes.</w:t>
      </w:r>
      <w:r w:rsidRPr="00C0088A">
        <w:rPr>
          <w:rFonts w:cstheme="minorHAnsi"/>
          <w:color w:val="000000"/>
        </w:rPr>
        <w:t xml:space="preserve"> Changes in economic conditions different to what is </w:t>
      </w:r>
      <w:r w:rsidRPr="00C0088A">
        <w:rPr>
          <w:rFonts w:eastAsia="Times New Roman" w:cstheme="minorHAnsi"/>
        </w:rPr>
        <w:t xml:space="preserve">forecasted however will affect job outcome rates and hence the appropriateness of the benchmark. The worst case scenario is a situation in which labour market conditions deteriorate significantly in the performance period leading to poorer outcomes for affected providers in the area. Such sites would be disadvantaged by having their actual outcome rates compared to predicted outcome </w:t>
      </w:r>
      <w:r w:rsidR="0095178F" w:rsidRPr="00C0088A">
        <w:rPr>
          <w:rFonts w:eastAsia="Times New Roman" w:cstheme="minorHAnsi"/>
        </w:rPr>
        <w:t>rates that</w:t>
      </w:r>
      <w:r w:rsidRPr="00C0088A">
        <w:rPr>
          <w:rFonts w:eastAsia="Times New Roman" w:cstheme="minorHAnsi"/>
        </w:rPr>
        <w:t xml:space="preserve"> were forecast in times of more favourable labour market conditions. </w:t>
      </w:r>
    </w:p>
    <w:p w14:paraId="0679C788" w14:textId="77777777" w:rsidR="001848D8" w:rsidRDefault="001848D8" w:rsidP="001848D8">
      <w:pPr>
        <w:spacing w:after="0" w:line="240" w:lineRule="auto"/>
        <w:rPr>
          <w:rFonts w:eastAsia="Times New Roman" w:cstheme="minorHAnsi"/>
        </w:rPr>
      </w:pPr>
    </w:p>
    <w:p w14:paraId="08E86F2C" w14:textId="77777777" w:rsidR="007216C5" w:rsidRPr="00347D89" w:rsidRDefault="007216C5" w:rsidP="001848D8">
      <w:pPr>
        <w:spacing w:after="0" w:line="240" w:lineRule="auto"/>
        <w:rPr>
          <w:rFonts w:cstheme="minorHAnsi"/>
          <w:color w:val="000000"/>
        </w:rPr>
      </w:pPr>
      <w:r w:rsidRPr="00C0088A">
        <w:rPr>
          <w:rFonts w:eastAsia="Times New Roman" w:cstheme="minorHAnsi"/>
        </w:rPr>
        <w:t>Prior research suggests forecasting is subject to significant uncertainty. For instance</w:t>
      </w:r>
      <w:r w:rsidRPr="00C0088A">
        <w:rPr>
          <w:rFonts w:cstheme="minorHAnsi"/>
          <w:color w:val="000000"/>
        </w:rPr>
        <w:t xml:space="preserve">, each quarter the </w:t>
      </w:r>
      <w:r w:rsidR="001848D8">
        <w:rPr>
          <w:rFonts w:cstheme="minorHAnsi"/>
          <w:color w:val="000000"/>
        </w:rPr>
        <w:t>Reserve Bank of Australia (</w:t>
      </w:r>
      <w:r w:rsidRPr="00C0088A">
        <w:rPr>
          <w:rFonts w:cstheme="minorHAnsi"/>
          <w:color w:val="000000"/>
        </w:rPr>
        <w:t>RBA</w:t>
      </w:r>
      <w:r w:rsidR="001848D8">
        <w:rPr>
          <w:rFonts w:cstheme="minorHAnsi"/>
          <w:color w:val="000000"/>
        </w:rPr>
        <w:t>)</w:t>
      </w:r>
      <w:r w:rsidRPr="00C0088A">
        <w:rPr>
          <w:rFonts w:cstheme="minorHAnsi"/>
          <w:color w:val="000000"/>
        </w:rPr>
        <w:t xml:space="preserve"> releases its forecasts for key economic variables in its Statement of Monetary Policy. </w:t>
      </w:r>
      <w:r w:rsidRPr="00347D89">
        <w:rPr>
          <w:rFonts w:cstheme="minorHAnsi"/>
          <w:color w:val="000000"/>
        </w:rPr>
        <w:t xml:space="preserve">Tulip and Wallace (2012) examine the uncertainty around the Reserve Bank of Australia’s (RBA) forecasts. The authors evaluate the RBA’s forecasts through constructing confidence intervals for forecasts of CPI inflation, underlying inflation, relative GDP growth, and the unemployment rate. The estimated confidence intervals span a wide range of outcomes, indicating significant uncertainty regarding the forecasts. Further, RBA forecasts have significant explanatory power for inflation over the first forecast year but do not significantly explain variations in GDP growth or medium-term changes in unemployment. </w:t>
      </w:r>
    </w:p>
    <w:p w14:paraId="57FD9864" w14:textId="77777777" w:rsidR="001848D8" w:rsidRPr="00347D89" w:rsidRDefault="001848D8" w:rsidP="001848D8">
      <w:pPr>
        <w:spacing w:after="0" w:line="240" w:lineRule="auto"/>
      </w:pPr>
    </w:p>
    <w:p w14:paraId="36CC1104" w14:textId="79DDB283" w:rsidR="007216C5" w:rsidRPr="00C0088A" w:rsidRDefault="007216C5" w:rsidP="001848D8">
      <w:pPr>
        <w:autoSpaceDE w:val="0"/>
        <w:autoSpaceDN w:val="0"/>
        <w:adjustRightInd w:val="0"/>
        <w:spacing w:after="0" w:line="240" w:lineRule="auto"/>
        <w:rPr>
          <w:rFonts w:cstheme="minorHAnsi"/>
          <w:color w:val="000000"/>
        </w:rPr>
      </w:pPr>
      <w:r w:rsidRPr="00347D89">
        <w:rPr>
          <w:rFonts w:cstheme="minorHAnsi"/>
          <w:color w:val="000000"/>
        </w:rPr>
        <w:t>Forecasts of economic conditions offer particular challenges for disability employment services. This is because the effect of future economic conditions on employment rates of people with disabilities is itself affected by government policies. Burkhauser</w:t>
      </w:r>
      <w:r w:rsidR="00FB265B" w:rsidRPr="00347D89">
        <w:rPr>
          <w:rFonts w:cstheme="minorHAnsi"/>
          <w:color w:val="000000"/>
        </w:rPr>
        <w:t>,</w:t>
      </w:r>
      <w:r w:rsidR="001D1C5D" w:rsidRPr="00347D89">
        <w:rPr>
          <w:rFonts w:cstheme="minorHAnsi"/>
          <w:color w:val="000000"/>
        </w:rPr>
        <w:t xml:space="preserve"> </w:t>
      </w:r>
      <w:r w:rsidR="00FB265B" w:rsidRPr="00347D89">
        <w:rPr>
          <w:rFonts w:cstheme="minorHAnsi"/>
        </w:rPr>
        <w:t>Daly and Houtenville</w:t>
      </w:r>
      <w:r w:rsidR="001D1C5D" w:rsidRPr="00347D89">
        <w:rPr>
          <w:rFonts w:cstheme="minorHAnsi"/>
          <w:color w:val="000000"/>
        </w:rPr>
        <w:t xml:space="preserve"> (2002</w:t>
      </w:r>
      <w:r w:rsidRPr="00347D89">
        <w:rPr>
          <w:rFonts w:cstheme="minorHAnsi"/>
          <w:color w:val="000000"/>
        </w:rPr>
        <w:t>)</w:t>
      </w:r>
      <w:r w:rsidRPr="00C0088A">
        <w:rPr>
          <w:rFonts w:cstheme="minorHAnsi"/>
          <w:color w:val="000000"/>
        </w:rPr>
        <w:t xml:space="preserve"> examine the employment rate and household income of the working age population (25-61</w:t>
      </w:r>
      <w:r w:rsidR="00AE772C">
        <w:rPr>
          <w:rFonts w:cstheme="minorHAnsi"/>
          <w:color w:val="000000"/>
        </w:rPr>
        <w:t xml:space="preserve"> </w:t>
      </w:r>
      <w:r w:rsidRPr="00C0088A">
        <w:rPr>
          <w:rFonts w:cstheme="minorHAnsi"/>
          <w:color w:val="000000"/>
        </w:rPr>
        <w:t>y</w:t>
      </w:r>
      <w:r w:rsidR="00AE772C">
        <w:rPr>
          <w:rFonts w:cstheme="minorHAnsi"/>
          <w:color w:val="000000"/>
        </w:rPr>
        <w:t>ea</w:t>
      </w:r>
      <w:r w:rsidRPr="00C0088A">
        <w:rPr>
          <w:rFonts w:cstheme="minorHAnsi"/>
          <w:color w:val="000000"/>
        </w:rPr>
        <w:t xml:space="preserve">rs) with and </w:t>
      </w:r>
      <w:r w:rsidRPr="00C0088A">
        <w:rPr>
          <w:rFonts w:cstheme="minorHAnsi"/>
          <w:color w:val="000000"/>
        </w:rPr>
        <w:lastRenderedPageBreak/>
        <w:t>without disabilities over the business cycles of the 1980s and 1990s</w:t>
      </w:r>
      <w:r w:rsidR="00042DB1">
        <w:rPr>
          <w:rFonts w:cstheme="minorHAnsi"/>
          <w:color w:val="000000"/>
        </w:rPr>
        <w:t xml:space="preserve"> in the United States</w:t>
      </w:r>
      <w:r w:rsidRPr="00C0088A">
        <w:rPr>
          <w:rFonts w:cstheme="minorHAnsi"/>
          <w:color w:val="000000"/>
        </w:rPr>
        <w:t>. Th</w:t>
      </w:r>
      <w:r w:rsidR="00C214F2">
        <w:rPr>
          <w:rFonts w:cstheme="minorHAnsi"/>
          <w:color w:val="000000"/>
        </w:rPr>
        <w:t>e authors find</w:t>
      </w:r>
      <w:r w:rsidRPr="00C0088A">
        <w:rPr>
          <w:rFonts w:cstheme="minorHAnsi"/>
          <w:color w:val="000000"/>
        </w:rPr>
        <w:t xml:space="preserve"> that the employment rate and household income of working age people with disabilities are more adversely affected by economic downturns relative to those people without disabilities. This contrasts to their findings regarding economic expansions, where employment and household income rose for both groups during the 1980s but only increased for working age people without disabilities during the 1990s. </w:t>
      </w:r>
      <w:r w:rsidRPr="00347D89">
        <w:rPr>
          <w:rFonts w:cstheme="minorHAnsi"/>
          <w:color w:val="000000"/>
        </w:rPr>
        <w:t>Stapleton and Burkhauser (2003)</w:t>
      </w:r>
      <w:r w:rsidRPr="00C0088A">
        <w:rPr>
          <w:rFonts w:cstheme="minorHAnsi"/>
          <w:color w:val="000000"/>
        </w:rPr>
        <w:t xml:space="preserve"> review the evidence examining the reason for the decline in the employment rate of the 1990s and conclude that it was a result of public policies implemented in the late 1980s to early 1990s. This is due to the evidence showing that the decline occurred across all demographic, education and health groups. The change in public policy was an expansion of the Social Security Disability Insurance and Supplemental Security Income programs. This included both eligibility expansions and expansion in the value of benefits relative to wages for low-wage workers. These results suggest that estimating a benchmark for disability employment services has the challenge of both forecasting future economic conditions and determining structural breaks in the relationship between employment rates for people with disabilities and future macroeconomic factors. </w:t>
      </w:r>
    </w:p>
    <w:p w14:paraId="4DB59461" w14:textId="77777777" w:rsidR="007216C5" w:rsidRPr="00C0088A" w:rsidRDefault="007216C5" w:rsidP="00C0088A">
      <w:pPr>
        <w:autoSpaceDE w:val="0"/>
        <w:autoSpaceDN w:val="0"/>
        <w:adjustRightInd w:val="0"/>
        <w:spacing w:after="0" w:line="240" w:lineRule="auto"/>
        <w:rPr>
          <w:rFonts w:cstheme="minorHAnsi"/>
          <w:color w:val="000000"/>
        </w:rPr>
      </w:pPr>
    </w:p>
    <w:p w14:paraId="72211675" w14:textId="77777777" w:rsidR="00000134" w:rsidRPr="00C0088A" w:rsidRDefault="00000134" w:rsidP="00000134">
      <w:pPr>
        <w:pBdr>
          <w:top w:val="single" w:sz="4" w:space="1" w:color="auto"/>
          <w:left w:val="single" w:sz="4" w:space="4" w:color="auto"/>
          <w:right w:val="single" w:sz="4" w:space="4" w:color="auto"/>
        </w:pBdr>
        <w:autoSpaceDE w:val="0"/>
        <w:autoSpaceDN w:val="0"/>
        <w:adjustRightInd w:val="0"/>
        <w:rPr>
          <w:rFonts w:cstheme="minorHAnsi"/>
          <w:b/>
          <w:bCs/>
          <w:color w:val="000000"/>
        </w:rPr>
      </w:pPr>
      <w:r w:rsidRPr="00C0088A">
        <w:rPr>
          <w:rFonts w:cstheme="minorHAnsi"/>
          <w:b/>
          <w:bCs/>
          <w:color w:val="000000"/>
        </w:rPr>
        <w:t>Case Study: Forecasting Economic Conditions in The Work Programme</w:t>
      </w:r>
    </w:p>
    <w:p w14:paraId="6C52116B" w14:textId="77777777" w:rsidR="00000134" w:rsidRPr="00385E56" w:rsidRDefault="00000134" w:rsidP="00000134">
      <w:pPr>
        <w:pBdr>
          <w:left w:val="single" w:sz="4" w:space="4" w:color="auto"/>
          <w:right w:val="single" w:sz="4" w:space="4" w:color="auto"/>
        </w:pBdr>
        <w:autoSpaceDE w:val="0"/>
        <w:autoSpaceDN w:val="0"/>
        <w:adjustRightInd w:val="0"/>
        <w:rPr>
          <w:rFonts w:cstheme="minorHAnsi"/>
          <w:bCs/>
          <w:color w:val="000000"/>
        </w:rPr>
      </w:pPr>
      <w:r w:rsidRPr="00C0088A">
        <w:rPr>
          <w:rFonts w:cstheme="minorHAnsi"/>
          <w:bCs/>
          <w:color w:val="000000"/>
        </w:rPr>
        <w:t xml:space="preserve">Another issue that the current performance of the WP highlights is that unexpected changes in economic conditions can alter the suitability of the absolute benchmark currently in place to assess provider performance. As pointed out by </w:t>
      </w:r>
      <w:r w:rsidRPr="00385E56">
        <w:rPr>
          <w:rFonts w:cstheme="minorHAnsi"/>
          <w:bCs/>
          <w:color w:val="000000"/>
        </w:rPr>
        <w:t>CESI (2012), official growth forecasts are integral to the design of the WP because the funding of the WP is determined by outcomes. When the expected performance levels and the size of payment outcomes were being set in December 2010, the DWP and bidders (potential providers) needed to assess the future state of the economy in order to determine the likely level of job outcomes that could be reasonably achieved. As seen from growth forecasts by the Office for Budget Responsibility (OBR), growth expectations differed significantly to actual GDP growth. OBR forecasts for GDP were 2.1 per cent in 2010 and 2.6 per cent in 2011 and 2012, respectively. This compares to significantly lower actual GDP growth of 1.8 per cent in 2010, 0.8 per cent in 2011 and 0.3 per cent in 2012. The change in economic conditions has a significant effect on the appropriateness of the WP’s benchmarks. CESI (2012) document a significant positive correlation between GDP growth and job entry rates. They estimate a simple linear regression model of the form:</w:t>
      </w:r>
    </w:p>
    <w:p w14:paraId="13D7A0B5" w14:textId="77777777" w:rsidR="00000134" w:rsidRPr="00385E56" w:rsidRDefault="00BD3140" w:rsidP="00000134">
      <w:pPr>
        <w:pBdr>
          <w:left w:val="single" w:sz="4" w:space="4" w:color="auto"/>
          <w:right w:val="single" w:sz="4" w:space="4" w:color="auto"/>
        </w:pBdr>
        <w:autoSpaceDE w:val="0"/>
        <w:autoSpaceDN w:val="0"/>
        <w:adjustRightInd w:val="0"/>
        <w:rPr>
          <w:rFonts w:eastAsiaTheme="minorEastAsia"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t</m:t>
              </m:r>
            </m:sub>
          </m:sSub>
          <m:r>
            <w:rPr>
              <w:rFonts w:ascii="Cambria Math" w:hAnsi="Cambria Math" w:cstheme="minorHAnsi"/>
            </w:rPr>
            <m:t>= α+ β</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t</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ε</m:t>
              </m:r>
            </m:e>
            <m:sub>
              <m:r>
                <w:rPr>
                  <w:rFonts w:ascii="Cambria Math" w:hAnsi="Cambria Math" w:cstheme="minorHAnsi"/>
                </w:rPr>
                <m:t>t</m:t>
              </m:r>
            </m:sub>
          </m:sSub>
        </m:oMath>
      </m:oMathPara>
    </w:p>
    <w:p w14:paraId="69B3C9EC" w14:textId="17996697" w:rsidR="00262E98" w:rsidRPr="00C0088A" w:rsidRDefault="00000134" w:rsidP="00262E98">
      <w:pPr>
        <w:pBdr>
          <w:left w:val="single" w:sz="4" w:space="4" w:color="auto"/>
          <w:bottom w:val="single" w:sz="4" w:space="1" w:color="auto"/>
          <w:right w:val="single" w:sz="4" w:space="4" w:color="auto"/>
        </w:pBdr>
        <w:autoSpaceDE w:val="0"/>
        <w:autoSpaceDN w:val="0"/>
        <w:adjustRightInd w:val="0"/>
        <w:rPr>
          <w:rFonts w:eastAsiaTheme="minorEastAsia" w:cstheme="minorHAnsi"/>
        </w:rPr>
      </w:pPr>
      <w:r w:rsidRPr="00385E56">
        <w:rPr>
          <w:rFonts w:cstheme="minorHAnsi"/>
        </w:rPr>
        <w:t xml:space="preserve">where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t</m:t>
            </m:r>
          </m:sub>
        </m:sSub>
      </m:oMath>
      <w:r w:rsidRPr="00385E56">
        <w:rPr>
          <w:rFonts w:cstheme="minorHAnsi"/>
          <w:bCs/>
          <w:color w:val="000000"/>
        </w:rPr>
        <w:t xml:space="preserve"> is the Jobcentre Plus outcome rate and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t</m:t>
            </m:r>
          </m:sub>
        </m:sSub>
      </m:oMath>
      <w:r w:rsidRPr="00385E56">
        <w:rPr>
          <w:rFonts w:cstheme="minorHAnsi"/>
          <w:bCs/>
          <w:color w:val="000000"/>
        </w:rPr>
        <w:t xml:space="preserve"> is the annual change in GDP. CESI (2012) find that the coefficient estimate </w:t>
      </w:r>
      <m:oMath>
        <m:r>
          <w:rPr>
            <w:rFonts w:ascii="Cambria Math" w:hAnsi="Cambria Math" w:cstheme="minorHAnsi"/>
          </w:rPr>
          <m:t>β</m:t>
        </m:r>
      </m:oMath>
      <w:r w:rsidRPr="00385E56">
        <w:rPr>
          <w:rFonts w:eastAsiaTheme="minorEastAsia" w:cstheme="minorHAnsi"/>
        </w:rPr>
        <w:t xml:space="preserve"> is approximately 5.2, meaning that annual changes in job-entry rates are circa 5.2 times the change in GDP. For instance, if the job entry rate for long-term JSA claimants is 40 per cent and GDP falls by one per cent, there is a reduction in the job entry rate to 38 per cent. Although a simple model, the regression explains almost 75 per cent of the variation in job entry rates for long-term claimants. The positive relationship between GDP growth and job entry rates and the associated reduction in GDP growth relative to that forecasted lead the CESI (2012) to conclude that the minimum performance standards of the DWP were no longer applicable to appropriately assess provider performance.</w:t>
      </w:r>
      <w:r w:rsidRPr="00C0088A">
        <w:rPr>
          <w:rFonts w:eastAsiaTheme="minorEastAsia" w:cstheme="minorHAnsi"/>
        </w:rPr>
        <w:t xml:space="preserve"> They estimate that the minimum performance standards for the three main groups need to fall by 15</w:t>
      </w:r>
      <w:r>
        <w:rPr>
          <w:rFonts w:eastAsiaTheme="minorEastAsia" w:cstheme="minorHAnsi"/>
        </w:rPr>
        <w:t xml:space="preserve"> </w:t>
      </w:r>
      <w:r w:rsidRPr="00C0088A">
        <w:rPr>
          <w:rFonts w:eastAsiaTheme="minorEastAsia" w:cstheme="minorHAnsi"/>
        </w:rPr>
        <w:t xml:space="preserve">per cent to accurately take into account the change in GDP growth. This highlights a significant problem with an absolute benchmark: it does not take accurately take into account external factors affecting provider performance. </w:t>
      </w:r>
      <w:r w:rsidR="00262E98">
        <w:rPr>
          <w:rFonts w:eastAsiaTheme="minorEastAsia" w:cstheme="minorHAnsi"/>
        </w:rPr>
        <w:br/>
      </w:r>
    </w:p>
    <w:p w14:paraId="0F93B547" w14:textId="77777777" w:rsidR="00B87E04" w:rsidRPr="00FE380B" w:rsidRDefault="00B87E04" w:rsidP="00FE380B">
      <w:pPr>
        <w:pStyle w:val="Sub-SubTitle"/>
        <w:numPr>
          <w:ilvl w:val="2"/>
          <w:numId w:val="16"/>
        </w:numPr>
        <w:ind w:left="851" w:hanging="851"/>
        <w:rPr>
          <w:rFonts w:asciiTheme="minorHAnsi" w:hAnsiTheme="minorHAnsi" w:cstheme="minorHAnsi"/>
          <w:i/>
          <w:color w:val="auto"/>
          <w:sz w:val="26"/>
          <w:szCs w:val="26"/>
        </w:rPr>
      </w:pPr>
      <w:bookmarkStart w:id="16" w:name="_Toc365872635"/>
      <w:r w:rsidRPr="00FE380B">
        <w:rPr>
          <w:rFonts w:asciiTheme="minorHAnsi" w:hAnsiTheme="minorHAnsi" w:cstheme="minorHAnsi"/>
          <w:i/>
          <w:color w:val="auto"/>
          <w:sz w:val="26"/>
          <w:szCs w:val="26"/>
        </w:rPr>
        <w:lastRenderedPageBreak/>
        <w:t>Creaming and Parking</w:t>
      </w:r>
      <w:bookmarkEnd w:id="16"/>
    </w:p>
    <w:p w14:paraId="309E2FA6" w14:textId="02F506CA" w:rsidR="001848D8" w:rsidRPr="00385E56" w:rsidRDefault="00103D67" w:rsidP="00C0088A">
      <w:pPr>
        <w:autoSpaceDE w:val="0"/>
        <w:autoSpaceDN w:val="0"/>
        <w:adjustRightInd w:val="0"/>
        <w:spacing w:after="0" w:line="240" w:lineRule="auto"/>
        <w:rPr>
          <w:rFonts w:cstheme="minorHAnsi"/>
        </w:rPr>
      </w:pPr>
      <w:r w:rsidRPr="00C0088A">
        <w:rPr>
          <w:rFonts w:cstheme="minorHAnsi"/>
        </w:rPr>
        <w:t>A</w:t>
      </w:r>
      <w:r w:rsidR="004028D6" w:rsidRPr="00C0088A">
        <w:rPr>
          <w:rFonts w:cstheme="minorHAnsi"/>
        </w:rPr>
        <w:t>nother</w:t>
      </w:r>
      <w:r w:rsidRPr="00C0088A">
        <w:rPr>
          <w:rFonts w:cstheme="minorHAnsi"/>
        </w:rPr>
        <w:t xml:space="preserve"> issue with absolute benchmarks </w:t>
      </w:r>
      <w:r w:rsidR="0070041D" w:rsidRPr="00C0088A">
        <w:rPr>
          <w:rFonts w:cstheme="minorHAnsi"/>
        </w:rPr>
        <w:t>is that it</w:t>
      </w:r>
      <w:r w:rsidR="00450348" w:rsidRPr="00C0088A">
        <w:rPr>
          <w:rFonts w:cstheme="minorHAnsi"/>
        </w:rPr>
        <w:t xml:space="preserve"> may</w:t>
      </w:r>
      <w:r w:rsidR="00536445" w:rsidRPr="00C0088A">
        <w:rPr>
          <w:rFonts w:cstheme="minorHAnsi"/>
        </w:rPr>
        <w:t xml:space="preserve"> encourage</w:t>
      </w:r>
      <w:r w:rsidR="0070041D" w:rsidRPr="00C0088A">
        <w:rPr>
          <w:rFonts w:cstheme="minorHAnsi"/>
        </w:rPr>
        <w:t xml:space="preserve"> program</w:t>
      </w:r>
      <w:r w:rsidR="00450348" w:rsidRPr="00C0088A">
        <w:rPr>
          <w:rFonts w:cstheme="minorHAnsi"/>
        </w:rPr>
        <w:t xml:space="preserve"> operators to engage in parking</w:t>
      </w:r>
      <w:r w:rsidR="0070041D" w:rsidRPr="00C0088A">
        <w:rPr>
          <w:rFonts w:cstheme="minorHAnsi"/>
        </w:rPr>
        <w:t xml:space="preserve">. This refers to </w:t>
      </w:r>
      <w:r w:rsidR="00311F62" w:rsidRPr="00C0088A">
        <w:rPr>
          <w:rFonts w:cstheme="minorHAnsi"/>
        </w:rPr>
        <w:t>focusing on particular clients on the basis of performance on measured outcomes instead of value added according to the program’s stated objectives</w:t>
      </w:r>
      <w:r w:rsidR="00535428" w:rsidRPr="00C0088A">
        <w:rPr>
          <w:rFonts w:cstheme="minorHAnsi"/>
        </w:rPr>
        <w:t xml:space="preserve">, resulting in the most disadvantaged </w:t>
      </w:r>
      <w:r w:rsidR="00385E56">
        <w:rPr>
          <w:rFonts w:cstheme="minorHAnsi"/>
        </w:rPr>
        <w:t>participants receiving minimal service or</w:t>
      </w:r>
      <w:r w:rsidR="00535428" w:rsidRPr="00C0088A">
        <w:rPr>
          <w:rFonts w:cstheme="minorHAnsi"/>
        </w:rPr>
        <w:t xml:space="preserve"> not getting serviced</w:t>
      </w:r>
      <w:r w:rsidR="00311F62" w:rsidRPr="00C0088A">
        <w:rPr>
          <w:rFonts w:cstheme="minorHAnsi"/>
        </w:rPr>
        <w:t xml:space="preserve"> </w:t>
      </w:r>
      <w:r w:rsidR="00311F62" w:rsidRPr="00385E56">
        <w:rPr>
          <w:rFonts w:cstheme="minorHAnsi"/>
        </w:rPr>
        <w:t>(Anderson, Burkhauser, and Raymond, 1993; Cragg, 1997; Heckman, Heinrich, and Smith, 2002). Under absolute benchmarking, c</w:t>
      </w:r>
      <w:r w:rsidR="0070041D" w:rsidRPr="00385E56">
        <w:rPr>
          <w:rFonts w:cstheme="minorHAnsi"/>
        </w:rPr>
        <w:t xml:space="preserve">reaming is encouraged </w:t>
      </w:r>
      <w:r w:rsidR="000F79AC" w:rsidRPr="00385E56">
        <w:rPr>
          <w:rFonts w:cstheme="minorHAnsi"/>
        </w:rPr>
        <w:t xml:space="preserve">because performance outcomes </w:t>
      </w:r>
      <w:r w:rsidR="00A2508A" w:rsidRPr="00385E56">
        <w:rPr>
          <w:rFonts w:cstheme="minorHAnsi"/>
        </w:rPr>
        <w:t>are based on success</w:t>
      </w:r>
      <w:r w:rsidR="008B5DCA" w:rsidRPr="00385E56">
        <w:rPr>
          <w:rFonts w:cstheme="minorHAnsi"/>
        </w:rPr>
        <w:t>.</w:t>
      </w:r>
      <w:r w:rsidR="000F79AC" w:rsidRPr="00385E56">
        <w:rPr>
          <w:rFonts w:cstheme="minorHAnsi"/>
        </w:rPr>
        <w:t xml:space="preserve"> </w:t>
      </w:r>
      <w:r w:rsidR="008B5DCA" w:rsidRPr="00385E56">
        <w:rPr>
          <w:rFonts w:cstheme="minorHAnsi"/>
        </w:rPr>
        <w:t>T</w:t>
      </w:r>
      <w:r w:rsidR="000F79AC" w:rsidRPr="00385E56">
        <w:rPr>
          <w:rFonts w:cstheme="minorHAnsi"/>
        </w:rPr>
        <w:t xml:space="preserve">he difficulty in </w:t>
      </w:r>
      <w:r w:rsidR="0070041D" w:rsidRPr="00385E56">
        <w:rPr>
          <w:rFonts w:cstheme="minorHAnsi"/>
        </w:rPr>
        <w:t xml:space="preserve">meeting the measured performance target is </w:t>
      </w:r>
      <w:r w:rsidR="000F79AC" w:rsidRPr="00385E56">
        <w:rPr>
          <w:rFonts w:cstheme="minorHAnsi"/>
        </w:rPr>
        <w:t>reduced when</w:t>
      </w:r>
      <w:r w:rsidR="0070041D" w:rsidRPr="00385E56">
        <w:rPr>
          <w:rFonts w:cstheme="minorHAnsi"/>
        </w:rPr>
        <w:t xml:space="preserve"> servic</w:t>
      </w:r>
      <w:r w:rsidR="000F79AC" w:rsidRPr="00385E56">
        <w:rPr>
          <w:rFonts w:cstheme="minorHAnsi"/>
        </w:rPr>
        <w:t>ing</w:t>
      </w:r>
      <w:r w:rsidR="0070041D" w:rsidRPr="00385E56">
        <w:rPr>
          <w:rFonts w:cstheme="minorHAnsi"/>
        </w:rPr>
        <w:t xml:space="preserve"> </w:t>
      </w:r>
      <w:r w:rsidR="000F79AC" w:rsidRPr="00385E56">
        <w:rPr>
          <w:rFonts w:cstheme="minorHAnsi"/>
        </w:rPr>
        <w:t>clients with low employment barriers</w:t>
      </w:r>
      <w:r w:rsidR="00C74D2C" w:rsidRPr="00385E56">
        <w:rPr>
          <w:rFonts w:cstheme="minorHAnsi"/>
        </w:rPr>
        <w:t xml:space="preserve">, allowing providers to maintain their </w:t>
      </w:r>
      <w:r w:rsidR="001848D8" w:rsidRPr="00385E56">
        <w:rPr>
          <w:rFonts w:cstheme="minorHAnsi"/>
        </w:rPr>
        <w:t>relatively higher performance</w:t>
      </w:r>
      <w:r w:rsidR="0070041D" w:rsidRPr="00385E56">
        <w:rPr>
          <w:rFonts w:cstheme="minorHAnsi"/>
        </w:rPr>
        <w:t>.</w:t>
      </w:r>
      <w:r w:rsidR="00A2508A" w:rsidRPr="00385E56">
        <w:rPr>
          <w:rFonts w:cstheme="minorHAnsi"/>
        </w:rPr>
        <w:t xml:space="preserve"> Furthermore, providers are constrained by</w:t>
      </w:r>
      <w:r w:rsidR="0070041D" w:rsidRPr="00385E56">
        <w:rPr>
          <w:rFonts w:cstheme="minorHAnsi"/>
        </w:rPr>
        <w:t xml:space="preserve"> </w:t>
      </w:r>
      <w:r w:rsidR="00A2508A" w:rsidRPr="00385E56">
        <w:rPr>
          <w:rFonts w:cstheme="minorHAnsi"/>
        </w:rPr>
        <w:t xml:space="preserve">environmental conditions that interfere with outcomes (e.g. a high unemployment rate or an economically disadvantaged population), and thus providers in difficult employment areas would find it more necessary to target clients with good job prospects. </w:t>
      </w:r>
    </w:p>
    <w:p w14:paraId="3F96B864" w14:textId="77777777" w:rsidR="001848D8" w:rsidRPr="00385E56" w:rsidRDefault="001848D8" w:rsidP="00C0088A">
      <w:pPr>
        <w:autoSpaceDE w:val="0"/>
        <w:autoSpaceDN w:val="0"/>
        <w:adjustRightInd w:val="0"/>
        <w:spacing w:after="0" w:line="240" w:lineRule="auto"/>
        <w:rPr>
          <w:rFonts w:cstheme="minorHAnsi"/>
        </w:rPr>
      </w:pPr>
    </w:p>
    <w:p w14:paraId="142C99F1" w14:textId="77777777" w:rsidR="00A2508A" w:rsidRPr="00C0088A" w:rsidRDefault="0056186F" w:rsidP="00C0088A">
      <w:pPr>
        <w:autoSpaceDE w:val="0"/>
        <w:autoSpaceDN w:val="0"/>
        <w:adjustRightInd w:val="0"/>
        <w:spacing w:after="0" w:line="240" w:lineRule="auto"/>
        <w:rPr>
          <w:rFonts w:cstheme="minorHAnsi"/>
        </w:rPr>
      </w:pPr>
      <w:r w:rsidRPr="00385E56">
        <w:rPr>
          <w:rFonts w:cstheme="minorHAnsi"/>
        </w:rPr>
        <w:t xml:space="preserve">This is illustrated in the significant incidence of creaming </w:t>
      </w:r>
      <w:r w:rsidR="00450348" w:rsidRPr="00385E56">
        <w:rPr>
          <w:rFonts w:cstheme="minorHAnsi"/>
        </w:rPr>
        <w:t>during the beginning of the</w:t>
      </w:r>
      <w:r w:rsidRPr="00385E56">
        <w:rPr>
          <w:rFonts w:cstheme="minorHAnsi"/>
        </w:rPr>
        <w:t xml:space="preserve"> Job Training Partnership Act</w:t>
      </w:r>
      <w:r w:rsidR="009E016B" w:rsidRPr="00385E56">
        <w:rPr>
          <w:rFonts w:cstheme="minorHAnsi"/>
        </w:rPr>
        <w:t xml:space="preserve"> (JTPA)</w:t>
      </w:r>
      <w:r w:rsidRPr="00385E56">
        <w:rPr>
          <w:rFonts w:cstheme="minorHAnsi"/>
        </w:rPr>
        <w:t xml:space="preserve">, the primary workforce development program in the US </w:t>
      </w:r>
      <w:r w:rsidR="001848D8" w:rsidRPr="00385E56">
        <w:rPr>
          <w:rFonts w:cstheme="minorHAnsi"/>
        </w:rPr>
        <w:t>from</w:t>
      </w:r>
      <w:r w:rsidRPr="00385E56">
        <w:rPr>
          <w:rFonts w:cstheme="minorHAnsi"/>
        </w:rPr>
        <w:t xml:space="preserve"> 1982 to </w:t>
      </w:r>
      <w:r w:rsidR="001848D8" w:rsidRPr="00385E56">
        <w:rPr>
          <w:rFonts w:cstheme="minorHAnsi"/>
        </w:rPr>
        <w:br/>
      </w:r>
      <w:r w:rsidRPr="00385E56">
        <w:rPr>
          <w:rFonts w:cstheme="minorHAnsi"/>
        </w:rPr>
        <w:t xml:space="preserve">June 2000. </w:t>
      </w:r>
      <w:r w:rsidR="00906E07" w:rsidRPr="00385E56">
        <w:rPr>
          <w:rFonts w:cstheme="minorHAnsi"/>
        </w:rPr>
        <w:t>At the start of the program</w:t>
      </w:r>
      <w:r w:rsidR="00FC74C7" w:rsidRPr="00385E56">
        <w:rPr>
          <w:rFonts w:cstheme="minorHAnsi"/>
        </w:rPr>
        <w:t>, many states used the secretary of labour’s performance standards without adjustments. By the 1990s, a majority realised that failing to adjust for economic conditions and participant characteristics lead to the enrolment of the easiest-to-place individuals</w:t>
      </w:r>
      <w:r w:rsidR="009A27CF" w:rsidRPr="00385E56">
        <w:rPr>
          <w:rFonts w:cstheme="minorHAnsi"/>
        </w:rPr>
        <w:t xml:space="preserve"> (Barnow, 1992)</w:t>
      </w:r>
      <w:r w:rsidR="00FC74C7" w:rsidRPr="00385E56">
        <w:rPr>
          <w:rFonts w:cstheme="minorHAnsi"/>
        </w:rPr>
        <w:t>.</w:t>
      </w:r>
      <w:r w:rsidR="00FC74C7" w:rsidRPr="00C0088A">
        <w:rPr>
          <w:rFonts w:cstheme="minorHAnsi"/>
        </w:rPr>
        <w:t xml:space="preserve"> </w:t>
      </w:r>
    </w:p>
    <w:p w14:paraId="0E1A5C37" w14:textId="77777777" w:rsidR="00A2508A" w:rsidRPr="00C0088A" w:rsidRDefault="00A2508A" w:rsidP="00C0088A">
      <w:pPr>
        <w:autoSpaceDE w:val="0"/>
        <w:autoSpaceDN w:val="0"/>
        <w:adjustRightInd w:val="0"/>
        <w:spacing w:after="0" w:line="240" w:lineRule="auto"/>
        <w:rPr>
          <w:rFonts w:cstheme="minorHAnsi"/>
        </w:rPr>
      </w:pPr>
    </w:p>
    <w:p w14:paraId="24505D29" w14:textId="7E3A3DB5" w:rsidR="001848D8" w:rsidRDefault="00FB265B" w:rsidP="00C0088A">
      <w:pPr>
        <w:autoSpaceDE w:val="0"/>
        <w:autoSpaceDN w:val="0"/>
        <w:adjustRightInd w:val="0"/>
        <w:spacing w:after="0" w:line="240" w:lineRule="auto"/>
        <w:rPr>
          <w:rFonts w:cstheme="minorHAnsi"/>
        </w:rPr>
      </w:pPr>
      <w:r w:rsidRPr="00385E56">
        <w:rPr>
          <w:rFonts w:cstheme="minorHAnsi"/>
        </w:rPr>
        <w:t xml:space="preserve">Courty, Heinrich and Marschke </w:t>
      </w:r>
      <w:r w:rsidR="00074579" w:rsidRPr="00385E56">
        <w:rPr>
          <w:rFonts w:cstheme="minorHAnsi"/>
        </w:rPr>
        <w:t>(2011</w:t>
      </w:r>
      <w:r w:rsidR="00C74D2C" w:rsidRPr="00385E56">
        <w:rPr>
          <w:rFonts w:cstheme="minorHAnsi"/>
        </w:rPr>
        <w:t xml:space="preserve">) </w:t>
      </w:r>
      <w:r w:rsidR="009E016B" w:rsidRPr="00385E56">
        <w:rPr>
          <w:rFonts w:cstheme="minorHAnsi"/>
        </w:rPr>
        <w:t xml:space="preserve">empirically </w:t>
      </w:r>
      <w:r w:rsidR="00311F62" w:rsidRPr="00385E56">
        <w:rPr>
          <w:rFonts w:cstheme="minorHAnsi"/>
        </w:rPr>
        <w:t>investigate</w:t>
      </w:r>
      <w:r w:rsidR="009E016B" w:rsidRPr="00385E56">
        <w:rPr>
          <w:rFonts w:cstheme="minorHAnsi"/>
        </w:rPr>
        <w:t>d</w:t>
      </w:r>
      <w:r w:rsidR="00311F62" w:rsidRPr="00385E56">
        <w:rPr>
          <w:rFonts w:cstheme="minorHAnsi"/>
        </w:rPr>
        <w:t xml:space="preserve"> whether </w:t>
      </w:r>
      <w:r w:rsidR="009E016B" w:rsidRPr="00385E56">
        <w:rPr>
          <w:rFonts w:cstheme="minorHAnsi"/>
        </w:rPr>
        <w:t xml:space="preserve">in the JTPA </w:t>
      </w:r>
      <w:r w:rsidR="00311F62" w:rsidRPr="00385E56">
        <w:rPr>
          <w:rFonts w:cstheme="minorHAnsi"/>
        </w:rPr>
        <w:t>adjusted performance measures for different socio-economic subgroups of enrolees influence case workers’ choice of intake population.</w:t>
      </w:r>
      <w:r w:rsidR="008B5DCA" w:rsidRPr="00385E56">
        <w:rPr>
          <w:rFonts w:cstheme="minorHAnsi"/>
        </w:rPr>
        <w:t xml:space="preserve"> Under JTPA, job training services were administered by over 620 semi-autonomous </w:t>
      </w:r>
      <w:r w:rsidR="00EB7741">
        <w:rPr>
          <w:rFonts w:cstheme="minorHAnsi"/>
        </w:rPr>
        <w:t>sub-</w:t>
      </w:r>
      <w:r w:rsidR="00EB7741" w:rsidRPr="00385E56">
        <w:rPr>
          <w:rFonts w:cstheme="minorHAnsi"/>
        </w:rPr>
        <w:t>state</w:t>
      </w:r>
      <w:r w:rsidR="008B5DCA" w:rsidRPr="00385E56">
        <w:rPr>
          <w:rFonts w:cstheme="minorHAnsi"/>
        </w:rPr>
        <w:t xml:space="preserve"> training agencies each evaluated</w:t>
      </w:r>
      <w:r w:rsidR="008B5DCA" w:rsidRPr="00C0088A">
        <w:rPr>
          <w:rFonts w:cstheme="minorHAnsi"/>
        </w:rPr>
        <w:t xml:space="preserve"> according to a set of performance</w:t>
      </w:r>
      <w:r w:rsidR="00C54D86" w:rsidRPr="00C0088A">
        <w:rPr>
          <w:rFonts w:cstheme="minorHAnsi"/>
        </w:rPr>
        <w:t xml:space="preserve"> measures</w:t>
      </w:r>
      <w:r w:rsidR="008B5DCA" w:rsidRPr="00C0088A">
        <w:rPr>
          <w:rFonts w:cstheme="minorHAnsi"/>
        </w:rPr>
        <w:t xml:space="preserve">. </w:t>
      </w:r>
      <w:r w:rsidR="00C54D86" w:rsidRPr="00C0088A">
        <w:rPr>
          <w:rFonts w:cstheme="minorHAnsi"/>
        </w:rPr>
        <w:t xml:space="preserve">Job training agencies in this program are rewarded for improving the labour market performance of the clients they serve but the reward function also depends on the enrolment choice. </w:t>
      </w:r>
      <w:r w:rsidR="00951BE3" w:rsidRPr="00C0088A">
        <w:rPr>
          <w:rFonts w:cstheme="minorHAnsi"/>
        </w:rPr>
        <w:t>A</w:t>
      </w:r>
      <w:r w:rsidR="00C54D86" w:rsidRPr="00C0088A">
        <w:rPr>
          <w:rFonts w:cstheme="minorHAnsi"/>
        </w:rPr>
        <w:t xml:space="preserve"> training agency enrolling less able applicants has to meet a lower level of performance, effectively setting a system of shadow prices that correct for the challenge that each demographic subgroup presents. </w:t>
      </w:r>
    </w:p>
    <w:p w14:paraId="3A12A3B2" w14:textId="77777777" w:rsidR="001848D8" w:rsidRDefault="001848D8" w:rsidP="00C0088A">
      <w:pPr>
        <w:autoSpaceDE w:val="0"/>
        <w:autoSpaceDN w:val="0"/>
        <w:adjustRightInd w:val="0"/>
        <w:spacing w:after="0" w:line="240" w:lineRule="auto"/>
        <w:rPr>
          <w:rFonts w:cstheme="minorHAnsi"/>
        </w:rPr>
      </w:pPr>
    </w:p>
    <w:p w14:paraId="781EA72C" w14:textId="77777777" w:rsidR="004C511B" w:rsidRPr="00C0088A" w:rsidRDefault="00D04156" w:rsidP="00C0088A">
      <w:pPr>
        <w:autoSpaceDE w:val="0"/>
        <w:autoSpaceDN w:val="0"/>
        <w:adjustRightInd w:val="0"/>
        <w:spacing w:after="0" w:line="240" w:lineRule="auto"/>
        <w:rPr>
          <w:rFonts w:cstheme="minorHAnsi"/>
        </w:rPr>
      </w:pPr>
      <w:r w:rsidRPr="00C0088A">
        <w:rPr>
          <w:rFonts w:cstheme="minorHAnsi"/>
        </w:rPr>
        <w:t>If</w:t>
      </w:r>
      <w:r w:rsidR="001848D8">
        <w:rPr>
          <w:rFonts w:cstheme="minorHAnsi"/>
        </w:rPr>
        <w:t xml:space="preserve"> for the purpose of demonstration it is</w:t>
      </w:r>
      <w:r w:rsidRPr="00C0088A">
        <w:rPr>
          <w:rFonts w:cstheme="minorHAnsi"/>
        </w:rPr>
        <w:t xml:space="preserve"> a</w:t>
      </w:r>
      <w:r w:rsidR="001848D8">
        <w:rPr>
          <w:rFonts w:cstheme="minorHAnsi"/>
        </w:rPr>
        <w:t>ssumed</w:t>
      </w:r>
      <w:r w:rsidR="00B23ED9" w:rsidRPr="00C0088A">
        <w:rPr>
          <w:rFonts w:cstheme="minorHAnsi"/>
        </w:rPr>
        <w:t xml:space="preserve"> that an agency enrolled just two demographic subgroups, t</w:t>
      </w:r>
      <w:r w:rsidR="00951BE3" w:rsidRPr="00C0088A">
        <w:rPr>
          <w:rFonts w:cstheme="minorHAnsi"/>
        </w:rPr>
        <w:t>his results</w:t>
      </w:r>
      <w:r w:rsidR="003D5588" w:rsidRPr="00C0088A">
        <w:rPr>
          <w:rFonts w:cstheme="minorHAnsi"/>
        </w:rPr>
        <w:t xml:space="preserve"> in a an adjusted performance model of the type </w:t>
      </w:r>
    </w:p>
    <w:p w14:paraId="4B003613" w14:textId="77777777" w:rsidR="00D04156" w:rsidRPr="00C0088A" w:rsidRDefault="00D04156" w:rsidP="00C0088A">
      <w:pPr>
        <w:autoSpaceDE w:val="0"/>
        <w:autoSpaceDN w:val="0"/>
        <w:adjustRightInd w:val="0"/>
        <w:spacing w:after="0" w:line="240" w:lineRule="auto"/>
        <w:rPr>
          <w:rFonts w:cstheme="minorHAnsi"/>
        </w:rPr>
      </w:pPr>
    </w:p>
    <w:p w14:paraId="622750BD" w14:textId="77777777" w:rsidR="004C511B" w:rsidRPr="00C0088A" w:rsidRDefault="00BD3140" w:rsidP="00C0088A">
      <w:pPr>
        <w:autoSpaceDE w:val="0"/>
        <w:autoSpaceDN w:val="0"/>
        <w:adjustRightInd w:val="0"/>
        <w:spacing w:after="0" w:line="240" w:lineRule="auto"/>
        <w:rPr>
          <w:rFonts w:cstheme="minorHAnsi"/>
        </w:rPr>
      </w:pPr>
      <m:oMathPara>
        <m:oMath>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0</m:t>
              </m:r>
            </m:sub>
          </m:sSub>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j</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0</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i</m:t>
              </m:r>
            </m:sub>
          </m:sSub>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j</m:t>
              </m:r>
            </m:sub>
          </m:sSub>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j</m:t>
              </m:r>
            </m:sub>
          </m:sSub>
          <m:r>
            <w:rPr>
              <w:rFonts w:ascii="Cambria Math" w:hAnsi="Cambria Math" w:cstheme="minorHAnsi"/>
            </w:rPr>
            <m:t>)</m:t>
          </m:r>
        </m:oMath>
      </m:oMathPara>
    </w:p>
    <w:p w14:paraId="19515AB3" w14:textId="77777777" w:rsidR="004C511B" w:rsidRPr="00C0088A" w:rsidRDefault="004C511B" w:rsidP="00C0088A">
      <w:pPr>
        <w:autoSpaceDE w:val="0"/>
        <w:autoSpaceDN w:val="0"/>
        <w:adjustRightInd w:val="0"/>
        <w:spacing w:after="0" w:line="240" w:lineRule="auto"/>
        <w:rPr>
          <w:rFonts w:cstheme="minorHAnsi"/>
        </w:rPr>
      </w:pPr>
    </w:p>
    <w:p w14:paraId="6111380D" w14:textId="643BC5F6" w:rsidR="00C74D2C" w:rsidRPr="00C0088A" w:rsidRDefault="00D04156" w:rsidP="00C0088A">
      <w:pPr>
        <w:autoSpaceDE w:val="0"/>
        <w:autoSpaceDN w:val="0"/>
        <w:adjustRightInd w:val="0"/>
        <w:spacing w:after="0" w:line="240" w:lineRule="auto"/>
        <w:rPr>
          <w:rFonts w:cstheme="minorHAnsi"/>
        </w:rPr>
      </w:pPr>
      <w:r w:rsidRPr="00C0088A">
        <w:rPr>
          <w:rFonts w:cstheme="minorHAnsi"/>
        </w:rPr>
        <w:t xml:space="preserve">where </w:t>
      </w:r>
      <m:oMath>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0</m:t>
            </m:r>
          </m:sub>
        </m:sSub>
      </m:oMath>
      <w:r w:rsidR="00786388" w:rsidRPr="00C0088A">
        <w:rPr>
          <w:rFonts w:cstheme="minorHAnsi"/>
        </w:rPr>
        <w:t xml:space="preserve"> is the adjusted performance standard,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oMath>
      <w:r w:rsidR="003D5588" w:rsidRPr="00C0088A">
        <w:rPr>
          <w:rFonts w:cstheme="minorHAnsi"/>
        </w:rPr>
        <w:t xml:space="preserve"> </w:t>
      </w:r>
      <m:oMath>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j</m:t>
            </m:r>
          </m:sub>
        </m:sSub>
        <m:r>
          <w:rPr>
            <w:rFonts w:ascii="Cambria Math" w:hAnsi="Cambria Math" w:cstheme="minorHAnsi"/>
          </w:rPr>
          <m:t>)</m:t>
        </m:r>
      </m:oMath>
      <w:r w:rsidRPr="00C0088A">
        <w:rPr>
          <w:rFonts w:cstheme="minorHAnsi"/>
        </w:rPr>
        <w:t xml:space="preserve"> </w:t>
      </w:r>
      <w:r w:rsidR="003D5588" w:rsidRPr="00C0088A">
        <w:rPr>
          <w:rFonts w:cstheme="minorHAnsi"/>
        </w:rPr>
        <w:t>is the per</w:t>
      </w:r>
      <w:r w:rsidR="001848D8">
        <w:rPr>
          <w:rFonts w:cstheme="minorHAnsi"/>
        </w:rPr>
        <w:t xml:space="preserve"> </w:t>
      </w:r>
      <w:r w:rsidR="003D5588" w:rsidRPr="00C0088A">
        <w:rPr>
          <w:rFonts w:cstheme="minorHAnsi"/>
        </w:rPr>
        <w:t xml:space="preserve">cent of </w:t>
      </w:r>
      <w:r w:rsidR="00786388" w:rsidRPr="00C0088A">
        <w:rPr>
          <w:rFonts w:cstheme="minorHAnsi"/>
        </w:rPr>
        <w:t xml:space="preserve">the subgroup j enrolled at the agency and βj </w:t>
      </w:r>
      <m:oMath>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j</m:t>
            </m:r>
          </m:sub>
        </m:sSub>
        <m:r>
          <w:rPr>
            <w:rFonts w:ascii="Cambria Math" w:hAnsi="Cambria Math" w:cstheme="minorHAnsi"/>
          </w:rPr>
          <m:t>)</m:t>
        </m:r>
      </m:oMath>
      <w:r w:rsidRPr="00C0088A">
        <w:rPr>
          <w:rFonts w:cstheme="minorHAnsi"/>
        </w:rPr>
        <w:t xml:space="preserve"> </w:t>
      </w:r>
      <w:r w:rsidR="00786388" w:rsidRPr="00C0088A">
        <w:rPr>
          <w:rFonts w:cstheme="minorHAnsi"/>
        </w:rPr>
        <w:t>is the adjustment weight for demographic characteristic j. I</w:t>
      </w:r>
      <w:r w:rsidR="003D5588" w:rsidRPr="00C0088A">
        <w:rPr>
          <w:rFonts w:cstheme="minorHAnsi"/>
        </w:rPr>
        <w:t xml:space="preserve">f the adjustment factor is positive for subgroup </w:t>
      </w:r>
      <w:r w:rsidR="00786388" w:rsidRPr="00C0088A">
        <w:rPr>
          <w:rFonts w:cstheme="minorHAnsi"/>
        </w:rPr>
        <w:t>j</w:t>
      </w:r>
      <w:r w:rsidR="003D5588" w:rsidRPr="00C0088A">
        <w:rPr>
          <w:rFonts w:cstheme="minorHAnsi"/>
        </w:rPr>
        <w:t xml:space="preserve">, then the agency is more likely to receive an award, ceteris paribus, if it </w:t>
      </w:r>
      <w:r w:rsidR="00385E56" w:rsidRPr="00C0088A">
        <w:rPr>
          <w:rFonts w:cstheme="minorHAnsi"/>
        </w:rPr>
        <w:t>enrols</w:t>
      </w:r>
      <w:r w:rsidR="003D5588" w:rsidRPr="00C0088A">
        <w:rPr>
          <w:rFonts w:cstheme="minorHAnsi"/>
        </w:rPr>
        <w:t xml:space="preserve"> more </w:t>
      </w:r>
      <w:r w:rsidR="00786388" w:rsidRPr="00C0088A">
        <w:rPr>
          <w:rFonts w:cstheme="minorHAnsi"/>
        </w:rPr>
        <w:t>of that subgroup</w:t>
      </w:r>
      <w:r w:rsidR="003D5588" w:rsidRPr="00C0088A">
        <w:rPr>
          <w:rFonts w:cstheme="minorHAnsi"/>
        </w:rPr>
        <w:t xml:space="preserve">. </w:t>
      </w:r>
      <w:r w:rsidR="00C54D86" w:rsidRPr="00C0088A">
        <w:rPr>
          <w:rFonts w:cstheme="minorHAnsi"/>
        </w:rPr>
        <w:t xml:space="preserve">The authors find that increases in the incentive for enrolling members of a subgroup significantly increase the fraction of </w:t>
      </w:r>
      <w:r w:rsidR="00EB7741" w:rsidRPr="00C0088A">
        <w:rPr>
          <w:rFonts w:cstheme="minorHAnsi"/>
        </w:rPr>
        <w:t>enrolees</w:t>
      </w:r>
      <w:r w:rsidR="00C54D86" w:rsidRPr="00C0088A">
        <w:rPr>
          <w:rFonts w:cstheme="minorHAnsi"/>
        </w:rPr>
        <w:t xml:space="preserve"> from this subgroup. Adjusting the performance benchmark reduces the incidence of </w:t>
      </w:r>
      <w:r w:rsidR="005968D1" w:rsidRPr="00C0088A">
        <w:rPr>
          <w:rFonts w:cstheme="minorHAnsi"/>
        </w:rPr>
        <w:t>creaming</w:t>
      </w:r>
      <w:r w:rsidR="00C54D86" w:rsidRPr="00C0088A">
        <w:rPr>
          <w:rFonts w:cstheme="minorHAnsi"/>
        </w:rPr>
        <w:t xml:space="preserve"> by </w:t>
      </w:r>
      <w:r w:rsidR="00951BE3" w:rsidRPr="00C0088A">
        <w:rPr>
          <w:rFonts w:cstheme="minorHAnsi"/>
        </w:rPr>
        <w:t xml:space="preserve">ensuring that providers do not just focus on easier-to-place clients across multiple subgroups. </w:t>
      </w:r>
      <w:r w:rsidR="005968D1" w:rsidRPr="00C0088A">
        <w:rPr>
          <w:rFonts w:cstheme="minorHAnsi"/>
        </w:rPr>
        <w:t xml:space="preserve">Providers under </w:t>
      </w:r>
      <w:r w:rsidRPr="00C0088A">
        <w:rPr>
          <w:rFonts w:cstheme="minorHAnsi"/>
        </w:rPr>
        <w:t>Australia’s employment services</w:t>
      </w:r>
      <w:r w:rsidR="005968D1" w:rsidRPr="00C0088A">
        <w:rPr>
          <w:rFonts w:cstheme="minorHAnsi"/>
        </w:rPr>
        <w:t xml:space="preserve"> do not have the ability to choose which </w:t>
      </w:r>
      <w:r w:rsidR="007957F5" w:rsidRPr="00C0088A">
        <w:rPr>
          <w:rFonts w:cstheme="minorHAnsi"/>
        </w:rPr>
        <w:t>job seeker</w:t>
      </w:r>
      <w:r w:rsidR="005968D1" w:rsidRPr="00C0088A">
        <w:rPr>
          <w:rFonts w:cstheme="minorHAnsi"/>
        </w:rPr>
        <w:t xml:space="preserve">s are referred to them. However, it is possible for them to focus on the easiest-to-place </w:t>
      </w:r>
      <w:r w:rsidR="007957F5" w:rsidRPr="00C0088A">
        <w:rPr>
          <w:rFonts w:cstheme="minorHAnsi"/>
        </w:rPr>
        <w:t>job seeker</w:t>
      </w:r>
      <w:r w:rsidR="005968D1" w:rsidRPr="00C0088A">
        <w:rPr>
          <w:rFonts w:cstheme="minorHAnsi"/>
        </w:rPr>
        <w:t xml:space="preserve">s they are managing. In this situation as suggested by </w:t>
      </w:r>
      <w:r w:rsidR="00F720E9" w:rsidRPr="00385E56">
        <w:rPr>
          <w:rFonts w:cstheme="minorHAnsi"/>
        </w:rPr>
        <w:t>Courty, Heinrich and Marschke</w:t>
      </w:r>
      <w:r w:rsidR="00F720E9" w:rsidRPr="00385E56">
        <w:rPr>
          <w:rFonts w:eastAsiaTheme="minorEastAsia" w:cstheme="minorHAnsi"/>
        </w:rPr>
        <w:t xml:space="preserve"> (2011)</w:t>
      </w:r>
      <w:r w:rsidR="005968D1" w:rsidRPr="00385E56">
        <w:rPr>
          <w:rFonts w:cstheme="minorHAnsi"/>
        </w:rPr>
        <w:t>,</w:t>
      </w:r>
      <w:r w:rsidR="005968D1" w:rsidRPr="00C0088A">
        <w:rPr>
          <w:rFonts w:cstheme="minorHAnsi"/>
        </w:rPr>
        <w:t xml:space="preserve"> an absolute benchmarking model does not act as a disincentive to stop this situation from occurring. </w:t>
      </w:r>
    </w:p>
    <w:p w14:paraId="6CA03F4F" w14:textId="77777777" w:rsidR="00C74D2C" w:rsidRPr="00C0088A" w:rsidRDefault="00C74D2C" w:rsidP="00C0088A">
      <w:pPr>
        <w:autoSpaceDE w:val="0"/>
        <w:autoSpaceDN w:val="0"/>
        <w:adjustRightInd w:val="0"/>
        <w:spacing w:after="0" w:line="240" w:lineRule="auto"/>
        <w:rPr>
          <w:rFonts w:cstheme="minorHAnsi"/>
        </w:rPr>
      </w:pPr>
    </w:p>
    <w:p w14:paraId="5AA9ABD0" w14:textId="797A985B" w:rsidR="00AF4E62" w:rsidRPr="00C0088A" w:rsidRDefault="005803E9" w:rsidP="00262E98">
      <w:pPr>
        <w:autoSpaceDE w:val="0"/>
        <w:autoSpaceDN w:val="0"/>
        <w:adjustRightInd w:val="0"/>
        <w:spacing w:after="240" w:line="240" w:lineRule="auto"/>
        <w:rPr>
          <w:rFonts w:cstheme="minorHAnsi"/>
        </w:rPr>
      </w:pPr>
      <w:r w:rsidRPr="00453A84">
        <w:rPr>
          <w:rFonts w:cstheme="minorHAnsi"/>
        </w:rPr>
        <w:t xml:space="preserve">Koning and </w:t>
      </w:r>
      <w:r w:rsidR="005551D8" w:rsidRPr="00453A84">
        <w:rPr>
          <w:rFonts w:cstheme="minorHAnsi"/>
        </w:rPr>
        <w:t xml:space="preserve">Heinrich (2010) examine the impact </w:t>
      </w:r>
      <w:r w:rsidR="007025E7" w:rsidRPr="00453A84">
        <w:rPr>
          <w:rFonts w:cstheme="minorHAnsi"/>
        </w:rPr>
        <w:t xml:space="preserve">of </w:t>
      </w:r>
      <w:r w:rsidR="005551D8" w:rsidRPr="00453A84">
        <w:rPr>
          <w:rFonts w:cstheme="minorHAnsi"/>
        </w:rPr>
        <w:t>100</w:t>
      </w:r>
      <w:r w:rsidR="001848D8" w:rsidRPr="00453A84">
        <w:rPr>
          <w:rFonts w:cstheme="minorHAnsi"/>
        </w:rPr>
        <w:t xml:space="preserve"> </w:t>
      </w:r>
      <w:r w:rsidR="00DB7CB2" w:rsidRPr="00453A84">
        <w:rPr>
          <w:rFonts w:cstheme="minorHAnsi"/>
        </w:rPr>
        <w:t>per cent</w:t>
      </w:r>
      <w:r w:rsidR="005551D8" w:rsidRPr="00453A84">
        <w:rPr>
          <w:rFonts w:cstheme="minorHAnsi"/>
        </w:rPr>
        <w:t xml:space="preserve">-performance contingent reward schemes </w:t>
      </w:r>
      <w:r w:rsidR="007025E7" w:rsidRPr="00453A84">
        <w:rPr>
          <w:rFonts w:cstheme="minorHAnsi"/>
        </w:rPr>
        <w:t xml:space="preserve">on provider job placement rates. The authors utilise </w:t>
      </w:r>
      <w:r w:rsidR="00DB5D4C" w:rsidRPr="00453A84">
        <w:rPr>
          <w:rFonts w:cstheme="minorHAnsi"/>
        </w:rPr>
        <w:t xml:space="preserve">a </w:t>
      </w:r>
      <w:r w:rsidR="007025E7" w:rsidRPr="00453A84">
        <w:rPr>
          <w:rFonts w:cstheme="minorHAnsi"/>
        </w:rPr>
        <w:t>unique data</w:t>
      </w:r>
      <w:r w:rsidR="00DB5D4C" w:rsidRPr="00453A84">
        <w:rPr>
          <w:rFonts w:cstheme="minorHAnsi"/>
        </w:rPr>
        <w:t>set on</w:t>
      </w:r>
      <w:r w:rsidR="007025E7" w:rsidRPr="00453A84">
        <w:rPr>
          <w:rFonts w:cstheme="minorHAnsi"/>
        </w:rPr>
        <w:t xml:space="preserve"> Dutch cohorts of unemployed and disabled workers that were assigned to private welfare-to-work providers i</w:t>
      </w:r>
      <w:r w:rsidR="00E53460" w:rsidRPr="00453A84">
        <w:rPr>
          <w:rFonts w:cstheme="minorHAnsi"/>
        </w:rPr>
        <w:t xml:space="preserve">n </w:t>
      </w:r>
      <w:r w:rsidR="00E53460" w:rsidRPr="00453A84">
        <w:rPr>
          <w:rFonts w:cstheme="minorHAnsi"/>
        </w:rPr>
        <w:lastRenderedPageBreak/>
        <w:t>performance-based contracts over</w:t>
      </w:r>
      <w:r w:rsidR="007025E7" w:rsidRPr="00453A84">
        <w:rPr>
          <w:rFonts w:cstheme="minorHAnsi"/>
        </w:rPr>
        <w:t xml:space="preserve"> 2002-2005. Over this period, procured contracts gradually moved from No Cure Less Pay (NCLP) to No Cure No Pay (NCNP) reward schemes, the latter of which constituted a fully (100</w:t>
      </w:r>
      <w:r w:rsidR="001848D8" w:rsidRPr="00453A84">
        <w:rPr>
          <w:rFonts w:cstheme="minorHAnsi"/>
        </w:rPr>
        <w:t xml:space="preserve"> </w:t>
      </w:r>
      <w:r w:rsidR="00DB7CB2" w:rsidRPr="00453A84">
        <w:rPr>
          <w:rFonts w:cstheme="minorHAnsi"/>
        </w:rPr>
        <w:t>per cent</w:t>
      </w:r>
      <w:r w:rsidR="007025E7" w:rsidRPr="00453A84">
        <w:rPr>
          <w:rFonts w:cstheme="minorHAnsi"/>
        </w:rPr>
        <w:t>) performance contingent contract, with payments made only for clients placed in jobs.</w:t>
      </w:r>
      <w:r w:rsidR="00A2508A" w:rsidRPr="00453A84">
        <w:rPr>
          <w:rFonts w:cstheme="minorHAnsi"/>
        </w:rPr>
        <w:t xml:space="preserve"> </w:t>
      </w:r>
      <w:r w:rsidR="00E53460" w:rsidRPr="00453A84">
        <w:rPr>
          <w:rFonts w:cstheme="minorHAnsi"/>
        </w:rPr>
        <w:t>T</w:t>
      </w:r>
      <w:r w:rsidR="00C74D2C" w:rsidRPr="00453A84">
        <w:rPr>
          <w:rFonts w:cstheme="minorHAnsi"/>
        </w:rPr>
        <w:t>he selection of easie</w:t>
      </w:r>
      <w:r w:rsidR="000257F7" w:rsidRPr="00453A84">
        <w:rPr>
          <w:rFonts w:cstheme="minorHAnsi"/>
        </w:rPr>
        <w:t>r-to-place clients by providers</w:t>
      </w:r>
      <w:r w:rsidR="00C74D2C" w:rsidRPr="00453A84">
        <w:rPr>
          <w:rFonts w:cstheme="minorHAnsi"/>
        </w:rPr>
        <w:t xml:space="preserve"> are expected to increase if payments or rewards are performance-based, as workers with bad a priori job prospects will increase the risk of no (or lower) payments (Heckman</w:t>
      </w:r>
      <w:r w:rsidR="00F720E9" w:rsidRPr="00453A84">
        <w:rPr>
          <w:rFonts w:cstheme="minorHAnsi"/>
        </w:rPr>
        <w:t>,</w:t>
      </w:r>
      <w:r w:rsidR="00C74D2C" w:rsidRPr="00453A84">
        <w:rPr>
          <w:rFonts w:cstheme="minorHAnsi"/>
        </w:rPr>
        <w:t xml:space="preserve"> </w:t>
      </w:r>
      <w:r w:rsidR="00F720E9" w:rsidRPr="00453A84">
        <w:rPr>
          <w:rFonts w:cstheme="minorHAnsi"/>
        </w:rPr>
        <w:t>Heinrich and Smith,</w:t>
      </w:r>
      <w:r w:rsidR="00C74D2C" w:rsidRPr="00453A84">
        <w:rPr>
          <w:rFonts w:cstheme="minorHAnsi"/>
        </w:rPr>
        <w:t xml:space="preserve"> 2002).</w:t>
      </w:r>
      <w:r w:rsidR="00951BE3" w:rsidRPr="00C0088A">
        <w:rPr>
          <w:rFonts w:cstheme="minorHAnsi"/>
        </w:rPr>
        <w:t xml:space="preserve"> </w:t>
      </w:r>
      <w:r w:rsidR="000257F7" w:rsidRPr="00C0088A">
        <w:rPr>
          <w:rFonts w:cstheme="minorHAnsi"/>
        </w:rPr>
        <w:t>Their results show that incentives are most likely to work when the financial risks of performance-contingent payments for providers are not too large to induce creaming behaviour. That is, for larger cohorts where the risk of failing to place clients in jobs is spread o</w:t>
      </w:r>
      <w:r w:rsidR="00453A84">
        <w:rPr>
          <w:rFonts w:cstheme="minorHAnsi"/>
        </w:rPr>
        <w:t>ver a broader client base (i.e.</w:t>
      </w:r>
      <w:r w:rsidR="000257F7" w:rsidRPr="00C0088A">
        <w:rPr>
          <w:rFonts w:cstheme="minorHAnsi"/>
        </w:rPr>
        <w:t xml:space="preserve"> the per-client risk is smaller), the authors find less of an effect of NCNP incentives on creaming. Conversely, for smaller contracted cohorts with greater risks of non-payment due to performance, the evidence points to greater levels of creaming. This indicates that the significant financial risk associated with failing to meet an absolute benchmark (i.e. non-renewal of the provider’s contr</w:t>
      </w:r>
      <w:r w:rsidR="001F4320" w:rsidRPr="00C0088A">
        <w:rPr>
          <w:rFonts w:cstheme="minorHAnsi"/>
        </w:rPr>
        <w:t xml:space="preserve">act) may induce providers to </w:t>
      </w:r>
      <w:r w:rsidR="00EB7741">
        <w:rPr>
          <w:rFonts w:cstheme="minorHAnsi"/>
        </w:rPr>
        <w:t xml:space="preserve">largely </w:t>
      </w:r>
      <w:r w:rsidR="001F4320" w:rsidRPr="00C0088A">
        <w:rPr>
          <w:rFonts w:cstheme="minorHAnsi"/>
        </w:rPr>
        <w:t xml:space="preserve">ignore harder-to-place clients. </w:t>
      </w:r>
    </w:p>
    <w:p w14:paraId="2794EDCB" w14:textId="77777777" w:rsidR="00E87009" w:rsidRPr="00C0088A" w:rsidRDefault="00E87009" w:rsidP="00262E98">
      <w:pPr>
        <w:pBdr>
          <w:top w:val="single" w:sz="4" w:space="1" w:color="auto"/>
          <w:left w:val="single" w:sz="4" w:space="4" w:color="auto"/>
          <w:right w:val="single" w:sz="4" w:space="4" w:color="auto"/>
        </w:pBdr>
        <w:autoSpaceDE w:val="0"/>
        <w:autoSpaceDN w:val="0"/>
        <w:adjustRightInd w:val="0"/>
        <w:spacing w:after="120"/>
        <w:rPr>
          <w:rFonts w:eastAsiaTheme="minorEastAsia" w:cstheme="minorHAnsi"/>
          <w:b/>
        </w:rPr>
      </w:pPr>
      <w:r w:rsidRPr="00C0088A">
        <w:rPr>
          <w:rFonts w:eastAsiaTheme="minorEastAsia" w:cstheme="minorHAnsi"/>
          <w:b/>
        </w:rPr>
        <w:t xml:space="preserve">Case Study: Creaming and Parking in the Work Programme </w:t>
      </w:r>
    </w:p>
    <w:p w14:paraId="3A96F080" w14:textId="493145D8" w:rsidR="00E87009" w:rsidRPr="00C0088A" w:rsidRDefault="00E87009" w:rsidP="00262E98">
      <w:pPr>
        <w:pBdr>
          <w:left w:val="single" w:sz="4" w:space="4" w:color="auto"/>
          <w:right w:val="single" w:sz="4" w:space="4" w:color="auto"/>
        </w:pBdr>
        <w:autoSpaceDE w:val="0"/>
        <w:autoSpaceDN w:val="0"/>
        <w:adjustRightInd w:val="0"/>
        <w:spacing w:after="240" w:line="240" w:lineRule="auto"/>
        <w:rPr>
          <w:rFonts w:eastAsiaTheme="minorEastAsia" w:cstheme="minorHAnsi"/>
        </w:rPr>
      </w:pPr>
      <w:r w:rsidRPr="00C0088A">
        <w:rPr>
          <w:rFonts w:eastAsiaTheme="minorEastAsia" w:cstheme="minorHAnsi"/>
        </w:rPr>
        <w:t>The WP highlights the difficulty in an absolute benchmarking model restricting incidences of creaming and parking. Initial evaluations of the WP suggest that creaming and parking is occurring within the program. Comparing the performance of the Employment Support Allowance groups (which includes claimants with disabilities) with those on Job seeker’s Allowance (representing easier to help groups), show that the outcome rate of the Employment Support Allowance groups is further below the DWP’s performance expectations relative to the Job seeker’s Allowance Category. It is expected that the outcome rate of the group with greater barriers to employment will be low relative to the group with fewer barriers to employment. However, the DWP takes this difference into account by having different minimum performance levels across the two groups. Results show that the best performing Employment Support Allowance group achieved 20</w:t>
      </w:r>
      <w:r>
        <w:rPr>
          <w:rFonts w:eastAsiaTheme="minorEastAsia" w:cstheme="minorHAnsi"/>
        </w:rPr>
        <w:t xml:space="preserve"> </w:t>
      </w:r>
      <w:r w:rsidRPr="00C0088A">
        <w:rPr>
          <w:rFonts w:eastAsiaTheme="minorEastAsia" w:cstheme="minorHAnsi"/>
        </w:rPr>
        <w:t>per cent of the expected outcome rate set by the DWP, whereas the worst performing Job seeker’s allowance category achieved 24</w:t>
      </w:r>
      <w:r>
        <w:rPr>
          <w:rFonts w:eastAsiaTheme="minorEastAsia" w:cstheme="minorHAnsi"/>
        </w:rPr>
        <w:t xml:space="preserve"> </w:t>
      </w:r>
      <w:r w:rsidRPr="00C0088A">
        <w:rPr>
          <w:rFonts w:eastAsiaTheme="minorEastAsia" w:cstheme="minorHAnsi"/>
        </w:rPr>
        <w:t xml:space="preserve">per cent </w:t>
      </w:r>
      <w:r w:rsidRPr="00EB7741">
        <w:rPr>
          <w:rFonts w:eastAsiaTheme="minorEastAsia" w:cstheme="minorHAnsi"/>
        </w:rPr>
        <w:t>(C&amp;AG, 2012).</w:t>
      </w:r>
    </w:p>
    <w:p w14:paraId="354642CC" w14:textId="7ED8D81E" w:rsidR="00E87009" w:rsidRDefault="00E87009" w:rsidP="00262E98">
      <w:pPr>
        <w:pBdr>
          <w:left w:val="single" w:sz="4" w:space="4" w:color="auto"/>
          <w:right w:val="single" w:sz="4" w:space="4" w:color="auto"/>
        </w:pBdr>
        <w:autoSpaceDE w:val="0"/>
        <w:autoSpaceDN w:val="0"/>
        <w:adjustRightInd w:val="0"/>
        <w:spacing w:after="240" w:line="240" w:lineRule="auto"/>
        <w:rPr>
          <w:rFonts w:eastAsiaTheme="minorEastAsia" w:cstheme="minorHAnsi"/>
        </w:rPr>
      </w:pPr>
      <w:r w:rsidRPr="00C0088A">
        <w:rPr>
          <w:rFonts w:eastAsiaTheme="minorEastAsia" w:cstheme="minorHAnsi"/>
        </w:rPr>
        <w:t>DWP has put in place a differential payment regime where the level of payments made will vary between customer groups, based on the benefit they are receiving when they enter the programme, which is deemed to reflect the barriers they face to work. This is designed to restrict the incidence of creaming and parking. However, the DWP published preliminary findings from its first phase of qualitative research as part of its evaluation of the WP</w:t>
      </w:r>
      <w:r>
        <w:rPr>
          <w:rFonts w:eastAsiaTheme="minorEastAsia" w:cstheme="minorHAnsi"/>
        </w:rPr>
        <w:t xml:space="preserve">, which </w:t>
      </w:r>
      <w:r w:rsidRPr="00C0088A">
        <w:rPr>
          <w:rFonts w:eastAsiaTheme="minorEastAsia" w:cstheme="minorHAnsi"/>
        </w:rPr>
        <w:t>concluded that ‘the available evidence to date suggest that providers are engaging in creaming an</w:t>
      </w:r>
      <w:r>
        <w:rPr>
          <w:rFonts w:eastAsiaTheme="minorEastAsia" w:cstheme="minorHAnsi"/>
        </w:rPr>
        <w:t>d</w:t>
      </w:r>
      <w:r w:rsidRPr="00C0088A">
        <w:rPr>
          <w:rFonts w:eastAsiaTheme="minorEastAsia" w:cstheme="minorHAnsi"/>
        </w:rPr>
        <w:t xml:space="preserve"> parking, despite the differential payment regime’ and that ‘those assessed as hardest to help are in many cases left with infrequent routine contact with advisers, and often with little to or no likelihood of referral to specialist (and possibly costly) support, which might help address their specific barriers to work.’ In addition, the report noted that ‘some providers at least, took the view that (perhaps surprisingly, given the design and remit of the Work Programme) that it was inappropriate for the hardest to help to be referred to their services at all’ (</w:t>
      </w:r>
      <w:r w:rsidRPr="00EB7741">
        <w:rPr>
          <w:rFonts w:eastAsiaTheme="minorEastAsia" w:cstheme="minorHAnsi"/>
        </w:rPr>
        <w:t>Newton et al., 2012</w:t>
      </w:r>
      <w:r w:rsidR="00262E98">
        <w:rPr>
          <w:rFonts w:eastAsiaTheme="minorEastAsia" w:cstheme="minorHAnsi"/>
        </w:rPr>
        <w:t>).</w:t>
      </w:r>
    </w:p>
    <w:p w14:paraId="504C7FE0" w14:textId="77777777" w:rsidR="00262E98" w:rsidRDefault="00E87009" w:rsidP="00262E98">
      <w:pPr>
        <w:pBdr>
          <w:left w:val="single" w:sz="4" w:space="4" w:color="auto"/>
          <w:bottom w:val="single" w:sz="4" w:space="1" w:color="auto"/>
          <w:right w:val="single" w:sz="4" w:space="4" w:color="auto"/>
        </w:pBdr>
        <w:autoSpaceDE w:val="0"/>
        <w:autoSpaceDN w:val="0"/>
        <w:adjustRightInd w:val="0"/>
        <w:spacing w:line="240" w:lineRule="auto"/>
        <w:rPr>
          <w:rFonts w:eastAsiaTheme="minorEastAsia" w:cstheme="minorHAnsi"/>
        </w:rPr>
      </w:pPr>
      <w:r w:rsidRPr="00C0088A">
        <w:rPr>
          <w:rFonts w:eastAsiaTheme="minorEastAsia" w:cstheme="minorHAnsi"/>
        </w:rPr>
        <w:t xml:space="preserve">A number of measures exist to help reduce the incidence of creaming and parking in the WP including the use of differential payments. Other measures are the use of minimum service standards (though these are set by providers) and contract design to ensure providers cannot remain profitable unless they help claimants beyond those that could be categorised as those easy to help </w:t>
      </w:r>
      <w:r w:rsidRPr="00EB7741">
        <w:rPr>
          <w:rFonts w:eastAsiaTheme="minorEastAsia" w:cstheme="minorHAnsi"/>
        </w:rPr>
        <w:t xml:space="preserve">(Committee of Public Accounts, 2012). Interestingly, the latter measure is reminiscent of the JTPA examined by </w:t>
      </w:r>
      <w:r w:rsidRPr="00EB7741">
        <w:rPr>
          <w:rFonts w:cstheme="minorHAnsi"/>
        </w:rPr>
        <w:t>Courty, Heinrich and Marschke</w:t>
      </w:r>
      <w:r w:rsidRPr="00EB7741">
        <w:rPr>
          <w:rFonts w:eastAsiaTheme="minorEastAsia" w:cstheme="minorHAnsi"/>
        </w:rPr>
        <w:t xml:space="preserve"> (2011), where there was an incentive to enrol more people from the same cohort, which was found to reduce</w:t>
      </w:r>
      <w:r w:rsidRPr="00C0088A">
        <w:rPr>
          <w:rFonts w:eastAsiaTheme="minorEastAsia" w:cstheme="minorHAnsi"/>
        </w:rPr>
        <w:t xml:space="preserve"> the incidence of creaming. The absolute benchmarking model works against these measures however. Although minimum </w:t>
      </w:r>
    </w:p>
    <w:p w14:paraId="5C0AB4F7" w14:textId="6C749A33" w:rsidR="00E87009" w:rsidRPr="00C0088A" w:rsidRDefault="00E87009" w:rsidP="00262E98">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theme="minorHAnsi"/>
        </w:rPr>
      </w:pPr>
      <w:r w:rsidRPr="00C0088A">
        <w:rPr>
          <w:rFonts w:eastAsiaTheme="minorEastAsia" w:cstheme="minorHAnsi"/>
        </w:rPr>
        <w:lastRenderedPageBreak/>
        <w:t>performance standards vary across cohorts, there is the risk that creaming and parking will occur within the groups. This is because there is significant variation in characteristics within those groups that are not taken into account when assessing provider performance against those benchmarks. Thus, providers have an incentive to cherry-pick the easiest-to-place job seekers within each group to maximise its performance relative to the benchmark, leading to harder-to-place job seekers and the providers catering to these individuals being disadvantaged.</w:t>
      </w:r>
    </w:p>
    <w:p w14:paraId="1590554D" w14:textId="77777777" w:rsidR="000E410D" w:rsidRPr="00FE380B" w:rsidRDefault="000E410D" w:rsidP="00FE380B">
      <w:pPr>
        <w:pStyle w:val="Sub-SubTitle"/>
        <w:numPr>
          <w:ilvl w:val="2"/>
          <w:numId w:val="16"/>
        </w:numPr>
        <w:ind w:left="851" w:hanging="851"/>
        <w:rPr>
          <w:rFonts w:asciiTheme="minorHAnsi" w:hAnsiTheme="minorHAnsi" w:cstheme="minorHAnsi"/>
          <w:i/>
          <w:color w:val="auto"/>
          <w:sz w:val="26"/>
          <w:szCs w:val="26"/>
        </w:rPr>
      </w:pPr>
      <w:bookmarkStart w:id="17" w:name="_Toc365872636"/>
      <w:r w:rsidRPr="00FE380B">
        <w:rPr>
          <w:rFonts w:asciiTheme="minorHAnsi" w:hAnsiTheme="minorHAnsi" w:cstheme="minorHAnsi"/>
          <w:i/>
          <w:color w:val="auto"/>
          <w:sz w:val="26"/>
          <w:szCs w:val="26"/>
        </w:rPr>
        <w:t>Certainty of Performance</w:t>
      </w:r>
      <w:bookmarkEnd w:id="17"/>
    </w:p>
    <w:p w14:paraId="5D253A65" w14:textId="4EE50675" w:rsidR="00A77EA7" w:rsidRPr="00C0088A" w:rsidRDefault="00A90C68" w:rsidP="00C0088A">
      <w:pPr>
        <w:spacing w:after="240" w:line="240" w:lineRule="auto"/>
        <w:rPr>
          <w:rFonts w:cstheme="minorHAnsi"/>
        </w:rPr>
      </w:pPr>
      <w:r w:rsidRPr="00C0088A">
        <w:rPr>
          <w:rFonts w:cstheme="minorHAnsi"/>
        </w:rPr>
        <w:t xml:space="preserve">A final point is that </w:t>
      </w:r>
      <w:r w:rsidR="009407BA" w:rsidRPr="00C0088A">
        <w:rPr>
          <w:rFonts w:cstheme="minorHAnsi"/>
        </w:rPr>
        <w:t xml:space="preserve">absolute </w:t>
      </w:r>
      <w:r w:rsidRPr="00C0088A">
        <w:rPr>
          <w:rFonts w:cstheme="minorHAnsi"/>
        </w:rPr>
        <w:t xml:space="preserve">benchmarking </w:t>
      </w:r>
      <w:r w:rsidR="00EB7741">
        <w:rPr>
          <w:rFonts w:cstheme="minorHAnsi"/>
        </w:rPr>
        <w:t>may</w:t>
      </w:r>
      <w:r w:rsidR="009B4B0C" w:rsidRPr="00C0088A">
        <w:rPr>
          <w:rFonts w:cstheme="minorHAnsi"/>
        </w:rPr>
        <w:t xml:space="preserve"> be used as a relative model </w:t>
      </w:r>
      <w:r w:rsidR="007F3AEA">
        <w:rPr>
          <w:rFonts w:cstheme="minorHAnsi"/>
        </w:rPr>
        <w:t>in reallocating</w:t>
      </w:r>
      <w:r w:rsidR="00A77EA7" w:rsidRPr="00C0088A">
        <w:rPr>
          <w:rFonts w:cstheme="minorHAnsi"/>
        </w:rPr>
        <w:t xml:space="preserve"> business. If an absolute benchmark was used in business allocation then some providers would lose and some would gain bu</w:t>
      </w:r>
      <w:r w:rsidR="009B4B0C" w:rsidRPr="00C0088A">
        <w:rPr>
          <w:rFonts w:cstheme="minorHAnsi"/>
        </w:rPr>
        <w:t>siness based on that benchmark.</w:t>
      </w:r>
      <w:r w:rsidR="00A77EA7" w:rsidRPr="00C0088A">
        <w:rPr>
          <w:rFonts w:cstheme="minorHAnsi"/>
        </w:rPr>
        <w:t xml:space="preserve"> If such a benchmark did not properly reflect the different circumstances that providers operate in (as the current </w:t>
      </w:r>
      <w:r w:rsidR="007957F5" w:rsidRPr="00C0088A">
        <w:rPr>
          <w:rFonts w:cstheme="minorHAnsi"/>
        </w:rPr>
        <w:t>Star Rating</w:t>
      </w:r>
      <w:r w:rsidR="00A77EA7" w:rsidRPr="00C0088A">
        <w:rPr>
          <w:rFonts w:cstheme="minorHAnsi"/>
        </w:rPr>
        <w:t xml:space="preserve">s do) then such a benchmark may cause more, not less concerns, because it would less accurately reflect performance. </w:t>
      </w:r>
      <w:r w:rsidRPr="00C0088A">
        <w:rPr>
          <w:rFonts w:cstheme="minorHAnsi"/>
        </w:rPr>
        <w:t>As stated before in regards to the WP, a provider that performs below the minimum threshold is in danger of losing the cont</w:t>
      </w:r>
      <w:r w:rsidR="00EB7741">
        <w:rPr>
          <w:rFonts w:cstheme="minorHAnsi"/>
        </w:rPr>
        <w:t>ract from the beginning of June</w:t>
      </w:r>
      <w:r w:rsidRPr="00C0088A">
        <w:rPr>
          <w:rFonts w:cstheme="minorHAnsi"/>
        </w:rPr>
        <w:t xml:space="preserve"> 2013. From June 2013 thereafter, the DWP’s contracts with the providers allows them to switch referrals from the poorer performing provider to the better performing provider in each of the 18 regions the WP is divided into.</w:t>
      </w:r>
      <w:r w:rsidR="00E81F49" w:rsidRPr="00C0088A">
        <w:rPr>
          <w:rFonts w:cstheme="minorHAnsi"/>
        </w:rPr>
        <w:t xml:space="preserve"> </w:t>
      </w:r>
      <w:r w:rsidR="00022CD8" w:rsidRPr="00C0088A">
        <w:rPr>
          <w:rFonts w:cstheme="minorHAnsi"/>
        </w:rPr>
        <w:t xml:space="preserve">A determination therefore needs to be made as </w:t>
      </w:r>
      <w:r w:rsidR="007F3AEA">
        <w:rPr>
          <w:rFonts w:cstheme="minorHAnsi"/>
        </w:rPr>
        <w:t xml:space="preserve">to </w:t>
      </w:r>
      <w:r w:rsidR="00022CD8" w:rsidRPr="00C0088A">
        <w:rPr>
          <w:rFonts w:cstheme="minorHAnsi"/>
        </w:rPr>
        <w:t xml:space="preserve">who is the better performing provider. In the current </w:t>
      </w:r>
      <w:r w:rsidR="007957F5" w:rsidRPr="00C0088A">
        <w:rPr>
          <w:rFonts w:cstheme="minorHAnsi"/>
        </w:rPr>
        <w:t>Star Rating</w:t>
      </w:r>
      <w:r w:rsidR="00022CD8" w:rsidRPr="00C0088A">
        <w:rPr>
          <w:rFonts w:cstheme="minorHAnsi"/>
        </w:rPr>
        <w:t xml:space="preserve">s model, </w:t>
      </w:r>
      <w:r w:rsidR="007F3AEA">
        <w:rPr>
          <w:rFonts w:cstheme="minorHAnsi"/>
        </w:rPr>
        <w:t>top performing providers receive</w:t>
      </w:r>
      <w:r w:rsidR="00022CD8" w:rsidRPr="00C0088A">
        <w:rPr>
          <w:rFonts w:cstheme="minorHAnsi"/>
        </w:rPr>
        <w:t xml:space="preserve"> 5</w:t>
      </w:r>
      <w:r w:rsidR="001848D8">
        <w:rPr>
          <w:rFonts w:cstheme="minorHAnsi"/>
        </w:rPr>
        <w:t>-</w:t>
      </w:r>
      <w:r w:rsidR="007957F5" w:rsidRPr="00C0088A">
        <w:rPr>
          <w:rFonts w:cstheme="minorHAnsi"/>
        </w:rPr>
        <w:t>Star</w:t>
      </w:r>
      <w:r w:rsidR="001848D8">
        <w:rPr>
          <w:rFonts w:cstheme="minorHAnsi"/>
        </w:rPr>
        <w:t>s</w:t>
      </w:r>
      <w:r w:rsidR="007957F5" w:rsidRPr="00C0088A">
        <w:rPr>
          <w:rFonts w:cstheme="minorHAnsi"/>
        </w:rPr>
        <w:t xml:space="preserve"> </w:t>
      </w:r>
      <w:r w:rsidR="00022CD8" w:rsidRPr="00C0088A">
        <w:rPr>
          <w:rFonts w:cstheme="minorHAnsi"/>
        </w:rPr>
        <w:t xml:space="preserve">based on their measured outcomes after taking into account a number of factors that may affect their performance. Using an absolute benchmark, this would be determined </w:t>
      </w:r>
      <w:r w:rsidR="007F3AEA">
        <w:rPr>
          <w:rFonts w:cstheme="minorHAnsi"/>
        </w:rPr>
        <w:t>using</w:t>
      </w:r>
      <w:r w:rsidR="00022CD8" w:rsidRPr="00C0088A">
        <w:rPr>
          <w:rFonts w:cstheme="minorHAnsi"/>
        </w:rPr>
        <w:t xml:space="preserve"> raw outcomes. </w:t>
      </w:r>
    </w:p>
    <w:p w14:paraId="783E2335" w14:textId="172B8B66" w:rsidR="00A90C68" w:rsidRPr="00C0088A" w:rsidRDefault="00EB472C" w:rsidP="00C0088A">
      <w:pPr>
        <w:spacing w:after="240" w:line="240" w:lineRule="auto"/>
        <w:rPr>
          <w:rFonts w:cstheme="minorHAnsi"/>
        </w:rPr>
      </w:pPr>
      <w:r>
        <w:rPr>
          <w:rFonts w:cstheme="minorHAnsi"/>
        </w:rPr>
        <w:t xml:space="preserve">The use of raw outcomes in determining the relative performance of providers has two drawbacks. </w:t>
      </w:r>
      <w:r w:rsidR="00AF7297" w:rsidRPr="00C0088A">
        <w:rPr>
          <w:rFonts w:cstheme="minorHAnsi"/>
        </w:rPr>
        <w:t>First, although an absolute benchmark tells providers the minimum requirement they need to achieve, it does not provide any guidance as to how well a provider needs to perform in order to increase their business share</w:t>
      </w:r>
      <w:r w:rsidR="00AD079E">
        <w:rPr>
          <w:rFonts w:cstheme="minorHAnsi"/>
        </w:rPr>
        <w:t xml:space="preserve"> or receive new business</w:t>
      </w:r>
      <w:r w:rsidR="00AF7297" w:rsidRPr="00C0088A">
        <w:rPr>
          <w:rFonts w:cstheme="minorHAnsi"/>
        </w:rPr>
        <w:t>. Second</w:t>
      </w:r>
      <w:r w:rsidR="00022CD8" w:rsidRPr="00C0088A">
        <w:rPr>
          <w:rFonts w:cstheme="minorHAnsi"/>
        </w:rPr>
        <w:t>, the provider who receives these referrals</w:t>
      </w:r>
      <w:r w:rsidR="007F3AEA">
        <w:rPr>
          <w:rFonts w:cstheme="minorHAnsi"/>
        </w:rPr>
        <w:t xml:space="preserve"> (</w:t>
      </w:r>
      <w:r w:rsidR="00AD079E">
        <w:rPr>
          <w:rFonts w:cstheme="minorHAnsi"/>
        </w:rPr>
        <w:t>i.e.</w:t>
      </w:r>
      <w:r w:rsidR="007F3AEA">
        <w:rPr>
          <w:rFonts w:cstheme="minorHAnsi"/>
        </w:rPr>
        <w:t xml:space="preserve"> greater business allocation)</w:t>
      </w:r>
      <w:r w:rsidR="00022CD8" w:rsidRPr="00C0088A">
        <w:rPr>
          <w:rFonts w:cstheme="minorHAnsi"/>
        </w:rPr>
        <w:t xml:space="preserve"> will presumably be the one with the best outcome rate. Theoretically, a provider may be performing at a high level but </w:t>
      </w:r>
      <w:r w:rsidR="00A624F3" w:rsidRPr="00C0088A">
        <w:rPr>
          <w:rFonts w:cstheme="minorHAnsi"/>
        </w:rPr>
        <w:t>be poorly rated based on raw outcomes as a result of</w:t>
      </w:r>
      <w:r w:rsidR="008B362E" w:rsidRPr="00C0088A">
        <w:rPr>
          <w:rFonts w:cstheme="minorHAnsi"/>
        </w:rPr>
        <w:t xml:space="preserve"> external factors</w:t>
      </w:r>
      <w:r w:rsidR="00AF7297" w:rsidRPr="00C0088A">
        <w:rPr>
          <w:rFonts w:cstheme="minorHAnsi"/>
        </w:rPr>
        <w:t>,</w:t>
      </w:r>
      <w:r w:rsidR="008B362E" w:rsidRPr="00C0088A">
        <w:rPr>
          <w:rFonts w:cstheme="minorHAnsi"/>
        </w:rPr>
        <w:t xml:space="preserve"> such as </w:t>
      </w:r>
      <w:r w:rsidR="00A624F3" w:rsidRPr="00C0088A">
        <w:rPr>
          <w:rFonts w:cstheme="minorHAnsi"/>
        </w:rPr>
        <w:t xml:space="preserve">their client mix consisting of a </w:t>
      </w:r>
      <w:r w:rsidR="008B362E" w:rsidRPr="00C0088A">
        <w:rPr>
          <w:rFonts w:cstheme="minorHAnsi"/>
        </w:rPr>
        <w:t xml:space="preserve">high proportion of hard to place </w:t>
      </w:r>
      <w:r w:rsidR="007957F5" w:rsidRPr="00C0088A">
        <w:rPr>
          <w:rFonts w:cstheme="minorHAnsi"/>
        </w:rPr>
        <w:t>job seeker</w:t>
      </w:r>
      <w:r w:rsidR="008B362E" w:rsidRPr="00C0088A">
        <w:rPr>
          <w:rFonts w:cstheme="minorHAnsi"/>
        </w:rPr>
        <w:t xml:space="preserve">s and </w:t>
      </w:r>
      <w:r w:rsidR="00AF7297" w:rsidRPr="00C0088A">
        <w:rPr>
          <w:rFonts w:cstheme="minorHAnsi"/>
        </w:rPr>
        <w:t xml:space="preserve">that they </w:t>
      </w:r>
      <w:r w:rsidR="00A624F3" w:rsidRPr="00C0088A">
        <w:rPr>
          <w:rFonts w:cstheme="minorHAnsi"/>
        </w:rPr>
        <w:t xml:space="preserve">are </w:t>
      </w:r>
      <w:r w:rsidR="00AF7297" w:rsidRPr="00C0088A">
        <w:rPr>
          <w:rFonts w:cstheme="minorHAnsi"/>
        </w:rPr>
        <w:t xml:space="preserve">operating </w:t>
      </w:r>
      <w:r w:rsidR="00A624F3" w:rsidRPr="00C0088A">
        <w:rPr>
          <w:rFonts w:cstheme="minorHAnsi"/>
        </w:rPr>
        <w:t xml:space="preserve">in an area with </w:t>
      </w:r>
      <w:r w:rsidR="008B362E" w:rsidRPr="00C0088A">
        <w:rPr>
          <w:rFonts w:cstheme="minorHAnsi"/>
        </w:rPr>
        <w:t xml:space="preserve">difficult labour market conditions. At the same time, a provider may be performing at a low level yet be rated highly on a raw outcomes basis due to external factors positively affecting their performance. </w:t>
      </w:r>
      <w:r w:rsidR="00A624F3" w:rsidRPr="00C0088A">
        <w:rPr>
          <w:rFonts w:cstheme="minorHAnsi"/>
        </w:rPr>
        <w:t xml:space="preserve">From this, a perverse situation may arise where a highly performing provider loses their contract, with referrals switched to the subpar </w:t>
      </w:r>
      <w:r w:rsidR="00AD079E" w:rsidRPr="00C0088A">
        <w:rPr>
          <w:rFonts w:cstheme="minorHAnsi"/>
        </w:rPr>
        <w:t>performer,</w:t>
      </w:r>
      <w:r w:rsidR="00A624F3" w:rsidRPr="00C0088A">
        <w:rPr>
          <w:rFonts w:cstheme="minorHAnsi"/>
        </w:rPr>
        <w:t xml:space="preserve"> as factors affecting provider performance </w:t>
      </w:r>
      <w:r w:rsidR="00AF7297" w:rsidRPr="00C0088A">
        <w:rPr>
          <w:rFonts w:cstheme="minorHAnsi"/>
        </w:rPr>
        <w:t>are</w:t>
      </w:r>
      <w:r w:rsidR="00A624F3" w:rsidRPr="00C0088A">
        <w:rPr>
          <w:rFonts w:cstheme="minorHAnsi"/>
        </w:rPr>
        <w:t xml:space="preserve"> not taken into account.</w:t>
      </w:r>
    </w:p>
    <w:p w14:paraId="17B4103A" w14:textId="77777777" w:rsidR="002C00A1" w:rsidRPr="00C0088A" w:rsidRDefault="002C00A1" w:rsidP="002C00A1">
      <w:pPr>
        <w:pBdr>
          <w:top w:val="single" w:sz="4" w:space="1" w:color="auto"/>
          <w:left w:val="single" w:sz="4" w:space="4" w:color="auto"/>
          <w:right w:val="single" w:sz="4" w:space="4" w:color="auto"/>
        </w:pBdr>
        <w:spacing w:after="240"/>
        <w:rPr>
          <w:rFonts w:cstheme="minorHAnsi"/>
          <w:b/>
        </w:rPr>
      </w:pPr>
      <w:r w:rsidRPr="00C0088A">
        <w:rPr>
          <w:rFonts w:cstheme="minorHAnsi"/>
          <w:b/>
        </w:rPr>
        <w:t>Case Study: England’s National Health Service</w:t>
      </w:r>
    </w:p>
    <w:p w14:paraId="17C0C00B" w14:textId="77777777" w:rsidR="002C00A1" w:rsidRDefault="002C00A1" w:rsidP="002C00A1">
      <w:pPr>
        <w:pBdr>
          <w:left w:val="single" w:sz="4" w:space="4" w:color="auto"/>
          <w:bottom w:val="single" w:sz="4" w:space="1" w:color="auto"/>
          <w:right w:val="single" w:sz="4" w:space="4" w:color="auto"/>
        </w:pBdr>
        <w:autoSpaceDE w:val="0"/>
        <w:autoSpaceDN w:val="0"/>
        <w:adjustRightInd w:val="0"/>
        <w:spacing w:line="240" w:lineRule="auto"/>
        <w:rPr>
          <w:rFonts w:cstheme="minorHAnsi"/>
        </w:rPr>
      </w:pPr>
      <w:r w:rsidRPr="00AD079E">
        <w:rPr>
          <w:rFonts w:cstheme="minorHAnsi"/>
        </w:rPr>
        <w:t>England’s National Health Service (NHS) illustrate the problems in using benchmarking to compare provider performance. Significant problems were claimed to plague the NHS in the 1980’s, due to its hierarchical structure and lack of incentives (Enthoven, 1985).  Enthoven (1985) recommended the introduction of incentives by requiring providers to compete in an internal market. This internal market based on the principal of provider competition was implemented between 1991 and 1997, where hospital performance information was made available to the public. The perception was that patients would act as consumers, shifting from low performing to high performing providers, forcing hospitals to improve performance to attract clients. The evidence indicated however that this did not occur with waiting times remaining a significant problem (Marshall, Shekelle, Davies, and Smith, 2003; Fung, Lim, Mattke, Damberg, and Shekelle, 2008). As a result, a new policy was introduced in 2000 with the goal of reducing waiting times for patients. This was completed though a system of Star Ratings, applying to NHS trusts over 2001 to 2005. Under this system, a star between zero and</w:t>
      </w:r>
    </w:p>
    <w:p w14:paraId="71DF3F1C" w14:textId="4AAADBD8" w:rsidR="002C00A1" w:rsidRPr="00AD079E" w:rsidRDefault="002C00A1" w:rsidP="0039746B">
      <w:pPr>
        <w:pBdr>
          <w:top w:val="single" w:sz="4" w:space="1" w:color="auto"/>
          <w:left w:val="single" w:sz="4" w:space="4" w:color="auto"/>
          <w:right w:val="single" w:sz="4" w:space="4" w:color="auto"/>
        </w:pBdr>
        <w:autoSpaceDE w:val="0"/>
        <w:autoSpaceDN w:val="0"/>
        <w:adjustRightInd w:val="0"/>
        <w:spacing w:line="240" w:lineRule="auto"/>
        <w:rPr>
          <w:rFonts w:ascii="TimesNewRomanPSMT" w:hAnsi="TimesNewRomanPSMT" w:cs="TimesNewRomanPSMT"/>
        </w:rPr>
      </w:pPr>
      <w:r w:rsidRPr="00AD079E">
        <w:rPr>
          <w:rFonts w:cstheme="minorHAnsi"/>
        </w:rPr>
        <w:lastRenderedPageBreak/>
        <w:t xml:space="preserve"> three was given based on performance against ‘key targets’ and performance indicators in a balanced scorecard. The key targets reflect the minimum standards that all organisations are expected to achieve. At its introduction, the targets comprised various waiting time indicators, hospital cleanliness, cancelled operations, the financial state of the trust and the demonstration of a commitment to improve working conditions. Three sets of subsidiary indicators were also assessed, including those with a clinical focus (such as emergency re-admission rates); those with a patient focus (such as the resolution of written complaints) and those with a staff focus (such as junior doctors’ hours). An example of a key target was the target for category A calls (life threatening emergencies) applying to ambulance trusts. The target was that at least 75</w:t>
      </w:r>
      <w:r>
        <w:rPr>
          <w:rFonts w:cstheme="minorHAnsi"/>
        </w:rPr>
        <w:t xml:space="preserve"> </w:t>
      </w:r>
      <w:r w:rsidRPr="00AD079E">
        <w:rPr>
          <w:rFonts w:cstheme="minorHAnsi"/>
        </w:rPr>
        <w:t>per cent of calls be met within 8 minutes. The performance of NHS trusts against the targets lead them to be ranked in the following manner:</w:t>
      </w:r>
    </w:p>
    <w:p w14:paraId="1C7A1CD8" w14:textId="0EB6950B" w:rsidR="002C00A1" w:rsidRDefault="00241210" w:rsidP="00241210">
      <w:pPr>
        <w:pBdr>
          <w:left w:val="single" w:sz="4" w:space="4" w:color="auto"/>
          <w:right w:val="single" w:sz="4" w:space="4" w:color="auto"/>
        </w:pBdr>
        <w:spacing w:after="0" w:line="240" w:lineRule="auto"/>
        <w:ind w:firstLine="426"/>
        <w:rPr>
          <w:rFonts w:cstheme="minorHAnsi"/>
        </w:rPr>
      </w:pPr>
      <w:r>
        <w:rPr>
          <w:rFonts w:cstheme="minorHAnsi"/>
        </w:rPr>
        <w:sym w:font="Wingdings" w:char="F09F"/>
      </w:r>
      <w:r>
        <w:rPr>
          <w:rFonts w:cstheme="minorHAnsi"/>
        </w:rPr>
        <w:tab/>
      </w:r>
      <w:r w:rsidR="002C00A1" w:rsidRPr="002C00A1">
        <w:rPr>
          <w:rFonts w:cstheme="minorHAnsi"/>
        </w:rPr>
        <w:t xml:space="preserve">trusts with the highest levels of performance in the measured areas are awarded a rating of </w:t>
      </w:r>
      <w:r w:rsidR="002C00A1">
        <w:rPr>
          <w:rFonts w:cstheme="minorHAnsi"/>
        </w:rPr>
        <w:br/>
      </w:r>
      <w:r w:rsidR="002C00A1">
        <w:rPr>
          <w:rFonts w:cstheme="minorHAnsi"/>
        </w:rPr>
        <w:tab/>
      </w:r>
      <w:r w:rsidR="002C00A1" w:rsidRPr="002C00A1">
        <w:rPr>
          <w:rFonts w:cstheme="minorHAnsi"/>
        </w:rPr>
        <w:t>three stars</w:t>
      </w:r>
    </w:p>
    <w:p w14:paraId="2105AECC" w14:textId="0FEB7CB1" w:rsidR="002C00A1" w:rsidRPr="002C00A1" w:rsidRDefault="00241210" w:rsidP="00241210">
      <w:pPr>
        <w:pBdr>
          <w:left w:val="single" w:sz="4" w:space="4" w:color="auto"/>
          <w:right w:val="single" w:sz="4" w:space="4" w:color="auto"/>
        </w:pBdr>
        <w:spacing w:after="0" w:line="240" w:lineRule="auto"/>
        <w:ind w:firstLine="426"/>
        <w:rPr>
          <w:rFonts w:cstheme="minorHAnsi"/>
        </w:rPr>
      </w:pPr>
      <w:r>
        <w:rPr>
          <w:rFonts w:cstheme="minorHAnsi"/>
        </w:rPr>
        <w:sym w:font="Wingdings" w:char="F09F"/>
      </w:r>
      <w:r>
        <w:rPr>
          <w:rFonts w:cstheme="minorHAnsi"/>
        </w:rPr>
        <w:tab/>
      </w:r>
      <w:r w:rsidR="002C00A1" w:rsidRPr="002C00A1">
        <w:rPr>
          <w:rFonts w:cstheme="minorHAnsi"/>
        </w:rPr>
        <w:t>trusts with mostly high levels of performance, but not consistent across all measured areas,</w:t>
      </w:r>
      <w:r w:rsidR="002C00A1">
        <w:rPr>
          <w:rFonts w:cstheme="minorHAnsi"/>
        </w:rPr>
        <w:br/>
      </w:r>
      <w:r w:rsidR="002C00A1">
        <w:rPr>
          <w:rFonts w:cstheme="minorHAnsi"/>
        </w:rPr>
        <w:tab/>
      </w:r>
      <w:r w:rsidR="002C00A1" w:rsidRPr="002C00A1">
        <w:rPr>
          <w:rFonts w:cstheme="minorHAnsi"/>
        </w:rPr>
        <w:t>are awarded a rating of two stars</w:t>
      </w:r>
    </w:p>
    <w:p w14:paraId="720F91E9" w14:textId="16A47634" w:rsidR="002C00A1" w:rsidRPr="002C00A1" w:rsidRDefault="00241210" w:rsidP="00241210">
      <w:pPr>
        <w:pBdr>
          <w:left w:val="single" w:sz="4" w:space="4" w:color="auto"/>
          <w:right w:val="single" w:sz="4" w:space="4" w:color="auto"/>
        </w:pBdr>
        <w:spacing w:after="0" w:line="240" w:lineRule="auto"/>
        <w:ind w:firstLine="426"/>
        <w:rPr>
          <w:rFonts w:cstheme="minorHAnsi"/>
        </w:rPr>
      </w:pPr>
      <w:r>
        <w:rPr>
          <w:rFonts w:cstheme="minorHAnsi"/>
        </w:rPr>
        <w:sym w:font="Wingdings" w:char="F09F"/>
      </w:r>
      <w:r>
        <w:rPr>
          <w:rFonts w:cstheme="minorHAnsi"/>
        </w:rPr>
        <w:tab/>
      </w:r>
      <w:r w:rsidR="002C00A1" w:rsidRPr="002C00A1">
        <w:rPr>
          <w:rFonts w:cstheme="minorHAnsi"/>
        </w:rPr>
        <w:t>trusts where there is some cause for concern regarding particular areas of measured</w:t>
      </w:r>
      <w:r w:rsidR="002C00A1">
        <w:rPr>
          <w:rFonts w:cstheme="minorHAnsi"/>
        </w:rPr>
        <w:br/>
      </w:r>
      <w:r w:rsidR="002C00A1">
        <w:rPr>
          <w:rFonts w:cstheme="minorHAnsi"/>
        </w:rPr>
        <w:tab/>
      </w:r>
      <w:r w:rsidR="002C00A1" w:rsidRPr="002C00A1">
        <w:rPr>
          <w:rFonts w:cstheme="minorHAnsi"/>
        </w:rPr>
        <w:t>performance are awarded a rating of one star</w:t>
      </w:r>
    </w:p>
    <w:p w14:paraId="5A5D94A0" w14:textId="4472B96A" w:rsidR="002C00A1" w:rsidRPr="002C00A1" w:rsidRDefault="00241210" w:rsidP="00241210">
      <w:pPr>
        <w:pBdr>
          <w:left w:val="single" w:sz="4" w:space="4" w:color="auto"/>
          <w:right w:val="single" w:sz="4" w:space="4" w:color="auto"/>
        </w:pBdr>
        <w:spacing w:line="240" w:lineRule="auto"/>
        <w:ind w:firstLine="426"/>
        <w:rPr>
          <w:rFonts w:cstheme="minorHAnsi"/>
        </w:rPr>
      </w:pPr>
      <w:r>
        <w:rPr>
          <w:rFonts w:cstheme="minorHAnsi"/>
        </w:rPr>
        <w:sym w:font="Wingdings" w:char="F09F"/>
      </w:r>
      <w:r>
        <w:rPr>
          <w:rFonts w:cstheme="minorHAnsi"/>
        </w:rPr>
        <w:tab/>
      </w:r>
      <w:r w:rsidR="002C00A1" w:rsidRPr="002C00A1">
        <w:rPr>
          <w:rFonts w:cstheme="minorHAnsi"/>
        </w:rPr>
        <w:t>trusts that have shown the poorest levels of measured performance or little progress in</w:t>
      </w:r>
      <w:r>
        <w:rPr>
          <w:rFonts w:cstheme="minorHAnsi"/>
        </w:rPr>
        <w:br/>
      </w:r>
      <w:r>
        <w:rPr>
          <w:rFonts w:cstheme="minorHAnsi"/>
        </w:rPr>
        <w:tab/>
      </w:r>
      <w:r w:rsidR="002C00A1" w:rsidRPr="002C00A1">
        <w:rPr>
          <w:rFonts w:cstheme="minorHAnsi"/>
        </w:rPr>
        <w:t>implementing clinical governance receive a rating of zero stars</w:t>
      </w:r>
    </w:p>
    <w:p w14:paraId="647F31F4" w14:textId="77777777" w:rsidR="002C00A1" w:rsidRPr="00C0088A" w:rsidRDefault="002C00A1" w:rsidP="00241210">
      <w:pPr>
        <w:pBdr>
          <w:left w:val="single" w:sz="4" w:space="4" w:color="auto"/>
          <w:bottom w:val="single" w:sz="4" w:space="1" w:color="auto"/>
          <w:right w:val="single" w:sz="4" w:space="4" w:color="auto"/>
        </w:pBdr>
        <w:autoSpaceDE w:val="0"/>
        <w:autoSpaceDN w:val="0"/>
        <w:adjustRightInd w:val="0"/>
        <w:spacing w:line="240" w:lineRule="auto"/>
        <w:rPr>
          <w:rFonts w:cstheme="minorHAnsi"/>
        </w:rPr>
      </w:pPr>
      <w:r w:rsidRPr="00AD079E">
        <w:rPr>
          <w:rFonts w:cstheme="minorHAnsi"/>
        </w:rPr>
        <w:t>NHS trusts were penalised or rewarded based on their performance relative to their benchmarks (Beverley and Haynes, 2005). Organisations that failed against key targets were zero-rated and named and shamed as failing, with their chief executives at risk of losing their job. Those that received three stars were rewarded by being publicly celebrated for being high performing and given earned autonomy, which provided them with more operational freedom and reduced monitoring (Bevan and Hood, 2006). However, failing to take into account local variations in the socio-economic composition of the populations served by the trusts created problems in assessing the comparative performance of trusts. For instance, four key targets in the focus area improving health for primary care trusts (PCTs) were</w:t>
      </w:r>
      <w:r>
        <w:rPr>
          <w:rFonts w:cstheme="minorHAnsi"/>
        </w:rPr>
        <w:t>;</w:t>
      </w:r>
      <w:r w:rsidRPr="00AD079E">
        <w:rPr>
          <w:rFonts w:cstheme="minorHAnsi"/>
        </w:rPr>
        <w:t xml:space="preserve"> mortality rates from circulatory diseases, accidents, cancer and rates of teenage pregnancy (Bevan, 2006). Assessing performance based upon raw outcomes would mean that PCTs in affluent areas would have fared better than poorer areas. Star Ratings sought to reduce the influence of socio-economic effects on performance by examining the change in outcomes across these four targets. This seemed to have little effect on ranking though, with all PCTs in areas of high material deprivation all awarded one star (Commission for Health Improvement, 2004).</w:t>
      </w:r>
    </w:p>
    <w:p w14:paraId="1AA2D5D8" w14:textId="77777777" w:rsidR="00757796" w:rsidRPr="00E4024E" w:rsidRDefault="00757796" w:rsidP="00E4024E">
      <w:pPr>
        <w:pStyle w:val="Heading2"/>
        <w:keepNext/>
        <w:numPr>
          <w:ilvl w:val="1"/>
          <w:numId w:val="16"/>
        </w:numPr>
        <w:spacing w:before="240" w:beforeAutospacing="0" w:after="240" w:afterAutospacing="0"/>
        <w:ind w:left="0" w:firstLine="0"/>
        <w:rPr>
          <w:rFonts w:ascii="Calibri" w:hAnsi="Calibri" w:cs="Arial"/>
          <w:i/>
          <w:iCs/>
          <w:sz w:val="28"/>
          <w:szCs w:val="28"/>
        </w:rPr>
      </w:pPr>
      <w:bookmarkStart w:id="18" w:name="_Toc365872637"/>
      <w:r w:rsidRPr="00E4024E">
        <w:rPr>
          <w:rFonts w:ascii="Calibri" w:hAnsi="Calibri" w:cs="Arial"/>
          <w:i/>
          <w:iCs/>
          <w:sz w:val="28"/>
          <w:szCs w:val="28"/>
        </w:rPr>
        <w:t>Negotiated</w:t>
      </w:r>
      <w:r w:rsidR="00FE380B">
        <w:rPr>
          <w:rFonts w:ascii="Calibri" w:hAnsi="Calibri" w:cs="Arial"/>
          <w:i/>
          <w:iCs/>
          <w:sz w:val="28"/>
          <w:szCs w:val="28"/>
        </w:rPr>
        <w:t xml:space="preserve"> Benchmarking Model</w:t>
      </w:r>
      <w:bookmarkEnd w:id="18"/>
    </w:p>
    <w:p w14:paraId="36EB82B1" w14:textId="7BDE71A6" w:rsidR="001848D8" w:rsidRDefault="008D3516" w:rsidP="00AD079E">
      <w:pPr>
        <w:spacing w:after="240" w:line="240" w:lineRule="auto"/>
      </w:pPr>
      <w:r w:rsidRPr="001848D8">
        <w:rPr>
          <w:rFonts w:eastAsia="Times New Roman" w:cstheme="minorHAnsi"/>
        </w:rPr>
        <w:t>A negotiated benchmarking system is where performance targets are negotiated bet</w:t>
      </w:r>
      <w:r w:rsidR="000E410D" w:rsidRPr="001848D8">
        <w:rPr>
          <w:rFonts w:eastAsia="Times New Roman" w:cstheme="minorHAnsi"/>
        </w:rPr>
        <w:t>ween the g</w:t>
      </w:r>
      <w:r w:rsidRPr="001848D8">
        <w:rPr>
          <w:rFonts w:eastAsia="Times New Roman" w:cstheme="minorHAnsi"/>
        </w:rPr>
        <w:t xml:space="preserve">overnment and each individual provider, taking into account </w:t>
      </w:r>
      <w:r w:rsidR="000E410D" w:rsidRPr="001848D8">
        <w:rPr>
          <w:rFonts w:eastAsia="Times New Roman" w:cstheme="minorHAnsi"/>
        </w:rPr>
        <w:t>differences</w:t>
      </w:r>
      <w:r w:rsidRPr="001848D8">
        <w:rPr>
          <w:rFonts w:eastAsia="Times New Roman" w:cstheme="minorHAnsi"/>
        </w:rPr>
        <w:t xml:space="preserve"> in economic conditions </w:t>
      </w:r>
      <w:r w:rsidR="00EB472C">
        <w:rPr>
          <w:rFonts w:eastAsia="Times New Roman" w:cstheme="minorHAnsi"/>
        </w:rPr>
        <w:t xml:space="preserve">and </w:t>
      </w:r>
      <w:r w:rsidRPr="001848D8">
        <w:rPr>
          <w:rFonts w:eastAsia="Times New Roman" w:cstheme="minorHAnsi"/>
        </w:rPr>
        <w:t>the characteristics of the participants served by the program</w:t>
      </w:r>
      <w:r w:rsidR="000E410D" w:rsidRPr="001848D8">
        <w:rPr>
          <w:rFonts w:eastAsia="Times New Roman" w:cstheme="minorHAnsi"/>
        </w:rPr>
        <w:t>.</w:t>
      </w:r>
      <w:r w:rsidRPr="001848D8">
        <w:rPr>
          <w:rFonts w:eastAsia="Times New Roman" w:cstheme="minorHAnsi"/>
        </w:rPr>
        <w:t xml:space="preserve"> </w:t>
      </w:r>
      <w:r w:rsidR="007E2E5B" w:rsidRPr="001848D8">
        <w:rPr>
          <w:rFonts w:eastAsia="Times New Roman" w:cstheme="minorHAnsi"/>
        </w:rPr>
        <w:t xml:space="preserve">There exist a number of advantages to a negotiated benchmark. First, providers know how well they have to perform in order to have the contract renewed. Second, it </w:t>
      </w:r>
      <w:r w:rsidR="007E2E5B" w:rsidRPr="001848D8">
        <w:rPr>
          <w:rFonts w:cstheme="minorHAnsi"/>
          <w:color w:val="000000"/>
        </w:rPr>
        <w:t xml:space="preserve">allows </w:t>
      </w:r>
      <w:r w:rsidR="00956AED">
        <w:rPr>
          <w:rFonts w:cstheme="minorHAnsi"/>
          <w:color w:val="000000"/>
        </w:rPr>
        <w:t xml:space="preserve">for </w:t>
      </w:r>
      <w:r w:rsidR="007E2E5B" w:rsidRPr="001848D8">
        <w:rPr>
          <w:rFonts w:cstheme="minorHAnsi"/>
          <w:color w:val="000000"/>
        </w:rPr>
        <w:t>labour market factors, job seeker characteristics and expected economic conditions to be taken into account when determining the performance standard. Third, it allows for shared ac</w:t>
      </w:r>
      <w:r w:rsidR="007B750D" w:rsidRPr="001848D8">
        <w:rPr>
          <w:rFonts w:cstheme="minorHAnsi"/>
          <w:color w:val="000000"/>
        </w:rPr>
        <w:t>countability, in which the provider is aware of how its performance target was set and can take greater ownership of the performance required as they agreed to it.</w:t>
      </w:r>
      <w:r w:rsidR="007E2E5B" w:rsidRPr="001848D8">
        <w:rPr>
          <w:rFonts w:cstheme="minorHAnsi"/>
          <w:color w:val="000000"/>
        </w:rPr>
        <w:t xml:space="preserve"> </w:t>
      </w:r>
      <w:r w:rsidR="000E410D" w:rsidRPr="001848D8">
        <w:rPr>
          <w:rFonts w:cstheme="minorHAnsi"/>
          <w:color w:val="000000"/>
        </w:rPr>
        <w:t>Finally</w:t>
      </w:r>
      <w:r w:rsidR="007E2E5B" w:rsidRPr="001848D8">
        <w:rPr>
          <w:rFonts w:cstheme="minorHAnsi"/>
          <w:color w:val="000000"/>
        </w:rPr>
        <w:t>, it allows for setting a target based on best practice, which would encourage collaboration amongst providers to share information that can improve each other’s performance in order to achieve the targets.</w:t>
      </w:r>
      <w:r w:rsidR="007E2E5B" w:rsidRPr="001848D8">
        <w:rPr>
          <w:rFonts w:eastAsia="Times New Roman" w:cstheme="minorHAnsi"/>
        </w:rPr>
        <w:t xml:space="preserve"> </w:t>
      </w:r>
      <w:r w:rsidR="000E410D" w:rsidRPr="001848D8">
        <w:rPr>
          <w:rFonts w:eastAsia="Times New Roman" w:cstheme="minorHAnsi"/>
        </w:rPr>
        <w:t xml:space="preserve">The case study below </w:t>
      </w:r>
      <w:r w:rsidR="00956AED">
        <w:rPr>
          <w:rFonts w:eastAsia="Times New Roman" w:cstheme="minorHAnsi"/>
        </w:rPr>
        <w:t>of</w:t>
      </w:r>
      <w:r w:rsidR="000E410D" w:rsidRPr="001848D8">
        <w:rPr>
          <w:rFonts w:eastAsia="Times New Roman" w:cstheme="minorHAnsi"/>
        </w:rPr>
        <w:t xml:space="preserve"> the US Workforce Investment Act provides a detailed account of the negotiation process involved in</w:t>
      </w:r>
      <w:r w:rsidR="00AD079E">
        <w:rPr>
          <w:rFonts w:eastAsia="Times New Roman" w:cstheme="minorHAnsi"/>
        </w:rPr>
        <w:t xml:space="preserve"> setting performance standards.</w:t>
      </w:r>
      <w:r w:rsidR="001848D8">
        <w:br w:type="page"/>
      </w:r>
    </w:p>
    <w:p w14:paraId="4680D061" w14:textId="77777777" w:rsidR="0039746B" w:rsidRPr="00C16CA9" w:rsidRDefault="0039746B" w:rsidP="00C16CA9">
      <w:pPr>
        <w:pBdr>
          <w:top w:val="single" w:sz="4" w:space="1" w:color="auto"/>
          <w:left w:val="single" w:sz="4" w:space="4" w:color="auto"/>
          <w:right w:val="single" w:sz="4" w:space="4" w:color="auto"/>
        </w:pBdr>
        <w:autoSpaceDE w:val="0"/>
        <w:autoSpaceDN w:val="0"/>
        <w:adjustRightInd w:val="0"/>
        <w:spacing w:after="120"/>
        <w:jc w:val="both"/>
        <w:rPr>
          <w:rFonts w:cstheme="minorHAnsi"/>
          <w:b/>
        </w:rPr>
      </w:pPr>
      <w:r w:rsidRPr="00C16CA9">
        <w:rPr>
          <w:rFonts w:cstheme="minorHAnsi"/>
          <w:b/>
        </w:rPr>
        <w:lastRenderedPageBreak/>
        <w:t>Case Study on Negotiated Benchmarking: US Workforce Investment Act</w:t>
      </w:r>
    </w:p>
    <w:p w14:paraId="56C6E3CA" w14:textId="5B8DD520" w:rsidR="0039746B" w:rsidRPr="00C16CA9" w:rsidRDefault="0039746B" w:rsidP="00C16CA9">
      <w:pPr>
        <w:pStyle w:val="Default"/>
        <w:pBdr>
          <w:left w:val="single" w:sz="4" w:space="4" w:color="auto"/>
          <w:right w:val="single" w:sz="4" w:space="4" w:color="auto"/>
        </w:pBdr>
        <w:spacing w:after="200"/>
        <w:rPr>
          <w:rFonts w:asciiTheme="minorHAnsi" w:hAnsiTheme="minorHAnsi" w:cstheme="minorHAnsi"/>
          <w:sz w:val="22"/>
          <w:szCs w:val="22"/>
        </w:rPr>
      </w:pPr>
      <w:r w:rsidRPr="00C16CA9">
        <w:rPr>
          <w:rFonts w:asciiTheme="minorHAnsi" w:hAnsiTheme="minorHAnsi" w:cstheme="minorHAnsi"/>
          <w:sz w:val="22"/>
          <w:szCs w:val="22"/>
        </w:rPr>
        <w:t>In 1998, the US Congress passed the Workforce Investment Act (WIA) to unify a fragmented employment and training system and to better serve job seekers and employers. The Act required states and localities to bring together most federally funded employment and training services into a single system, called the one-stop centre system. Three of the programs providing services to adults, dislocated workers and youth, replace those previously funded under the Job Training Partnership Act (JTPA). Performance indicators are required to be produced by states and localities to show the effectiveness of the three programs. States are held accountable for performance, possibly suffering financial sanctions should they fail to meet their expected performance level, or receive incentive grants (additional funds) should they meet or exceed their benchmark. WIA is designed to provide for greater accountability than the accountability provided for under JTPA. The performance data collected from the states in support of the measures are intended to be comparable across states in order to objectively determine incentives and sanctions. They are also intended to provide information to support the U.S. Department of Labor’s (DOL) performance goals under the Government Performance and Results Act (GPRA). GPRA was intended to focus government decision-making, management, and accountability on the results and outcomes achieved by federal programs.</w:t>
      </w:r>
      <w:r w:rsidRPr="00C16CA9">
        <w:rPr>
          <w:rStyle w:val="FootnoteReference"/>
          <w:rFonts w:asciiTheme="minorHAnsi" w:hAnsiTheme="minorHAnsi" w:cstheme="minorHAnsi"/>
          <w:sz w:val="22"/>
          <w:szCs w:val="22"/>
          <w:vertAlign w:val="superscript"/>
        </w:rPr>
        <w:footnoteReference w:id="5"/>
      </w:r>
      <w:r w:rsidRPr="00C16CA9">
        <w:rPr>
          <w:rFonts w:asciiTheme="minorHAnsi" w:hAnsiTheme="minorHAnsi" w:cstheme="minorHAnsi"/>
          <w:sz w:val="22"/>
          <w:szCs w:val="22"/>
          <w:vertAlign w:val="superscript"/>
        </w:rPr>
        <w:t xml:space="preserve"> </w:t>
      </w:r>
      <w:r w:rsidRPr="00C16CA9">
        <w:rPr>
          <w:rFonts w:asciiTheme="minorHAnsi" w:hAnsiTheme="minorHAnsi" w:cstheme="minorHAnsi"/>
          <w:sz w:val="22"/>
          <w:szCs w:val="22"/>
        </w:rPr>
        <w:t xml:space="preserve">These performance indicators measure program results in the areas of job placement, employment retention and earnings change, as well as skill attainment and customer satisfaction. The States are required to calculate 20 performance measures. Table outlines the measures for each of the three programs. </w:t>
      </w:r>
    </w:p>
    <w:p w14:paraId="086F3801" w14:textId="5035FF1E" w:rsidR="0039746B" w:rsidRPr="00C16CA9" w:rsidRDefault="0039746B" w:rsidP="0039746B">
      <w:pPr>
        <w:pStyle w:val="Default"/>
        <w:pBdr>
          <w:left w:val="single" w:sz="4" w:space="4" w:color="auto"/>
          <w:right w:val="single" w:sz="4" w:space="4" w:color="auto"/>
        </w:pBdr>
        <w:spacing w:after="200"/>
        <w:rPr>
          <w:rFonts w:asciiTheme="minorHAnsi" w:hAnsiTheme="minorHAnsi" w:cstheme="minorHAnsi"/>
        </w:rPr>
      </w:pPr>
      <w:r w:rsidRPr="00C16CA9">
        <w:rPr>
          <w:rFonts w:asciiTheme="minorHAnsi" w:hAnsiTheme="minorHAnsi" w:cstheme="minorHAnsi"/>
          <w:b/>
        </w:rPr>
        <w:t xml:space="preserve">Table 1: </w:t>
      </w:r>
      <w:r w:rsidRPr="00C16CA9">
        <w:rPr>
          <w:rFonts w:asciiTheme="minorHAnsi" w:hAnsiTheme="minorHAnsi" w:cstheme="minorHAnsi"/>
        </w:rPr>
        <w:t>Performance Measures for the Three WIA-Funded Programs</w:t>
      </w:r>
    </w:p>
    <w:tbl>
      <w:tblPr>
        <w:tblStyle w:val="TableGrid"/>
        <w:tblW w:w="0" w:type="auto"/>
        <w:tblLook w:val="04A0" w:firstRow="1" w:lastRow="0" w:firstColumn="1" w:lastColumn="0" w:noHBand="0" w:noVBand="1"/>
        <w:tblCaption w:val="Performance Measures for  the Three WIA Funded Programs"/>
        <w:tblDescription w:val="This table correspondence to the previous paragraph.  It is divided into two sections.  The first section shows the WIA Fudning Stream with it's peformance measures and the second section shows Wagner-Peyser with it's Peformance Measures. "/>
      </w:tblPr>
      <w:tblGrid>
        <w:gridCol w:w="4621"/>
        <w:gridCol w:w="4621"/>
      </w:tblGrid>
      <w:tr w:rsidR="0039746B" w14:paraId="379DD003" w14:textId="77777777" w:rsidTr="00BD3140">
        <w:trPr>
          <w:trHeight w:val="300"/>
          <w:tblHeader/>
        </w:trPr>
        <w:tc>
          <w:tcPr>
            <w:tcW w:w="4621" w:type="dxa"/>
            <w:tcBorders>
              <w:bottom w:val="single" w:sz="4" w:space="0" w:color="auto"/>
              <w:right w:val="nil"/>
            </w:tcBorders>
            <w:vAlign w:val="center"/>
          </w:tcPr>
          <w:p w14:paraId="4F7641BA" w14:textId="2457C0AB" w:rsidR="0039746B" w:rsidRPr="0039746B" w:rsidRDefault="0039746B" w:rsidP="00D40EDF">
            <w:pPr>
              <w:rPr>
                <w:rFonts w:cstheme="minorHAnsi"/>
              </w:rPr>
            </w:pPr>
            <w:r w:rsidRPr="0039746B">
              <w:rPr>
                <w:rFonts w:eastAsia="Times New Roman" w:cstheme="minorHAnsi"/>
                <w:color w:val="000000"/>
                <w:sz w:val="20"/>
                <w:szCs w:val="20"/>
                <w:lang w:eastAsia="en-AU"/>
              </w:rPr>
              <w:t>WIA funding stream</w:t>
            </w:r>
          </w:p>
        </w:tc>
        <w:tc>
          <w:tcPr>
            <w:tcW w:w="4621" w:type="dxa"/>
            <w:tcBorders>
              <w:left w:val="nil"/>
              <w:bottom w:val="single" w:sz="4" w:space="0" w:color="auto"/>
            </w:tcBorders>
            <w:vAlign w:val="center"/>
          </w:tcPr>
          <w:p w14:paraId="06C46686" w14:textId="55872714" w:rsidR="0039746B" w:rsidRPr="0039746B" w:rsidRDefault="0039746B" w:rsidP="00D40EDF">
            <w:pPr>
              <w:rPr>
                <w:rFonts w:cstheme="minorHAnsi"/>
              </w:rPr>
            </w:pPr>
            <w:r w:rsidRPr="0039746B">
              <w:rPr>
                <w:rFonts w:eastAsia="Times New Roman" w:cstheme="minorHAnsi"/>
                <w:color w:val="000000"/>
                <w:sz w:val="20"/>
                <w:szCs w:val="20"/>
                <w:lang w:eastAsia="en-AU"/>
              </w:rPr>
              <w:t>Performance measure</w:t>
            </w:r>
          </w:p>
        </w:tc>
      </w:tr>
      <w:tr w:rsidR="0039746B" w14:paraId="64CE3CF8" w14:textId="77777777" w:rsidTr="00264B03">
        <w:trPr>
          <w:trHeight w:val="300"/>
        </w:trPr>
        <w:tc>
          <w:tcPr>
            <w:tcW w:w="4621" w:type="dxa"/>
            <w:tcBorders>
              <w:bottom w:val="nil"/>
              <w:right w:val="nil"/>
            </w:tcBorders>
            <w:vAlign w:val="center"/>
          </w:tcPr>
          <w:p w14:paraId="02A012C4" w14:textId="30890F4D" w:rsidR="0039746B" w:rsidRPr="00D40EDF" w:rsidRDefault="0039746B" w:rsidP="00D40EDF">
            <w:pPr>
              <w:rPr>
                <w:rFonts w:eastAsia="Times New Roman" w:cstheme="minorHAnsi"/>
                <w:color w:val="000000"/>
                <w:sz w:val="20"/>
                <w:szCs w:val="20"/>
                <w:lang w:eastAsia="en-AU"/>
              </w:rPr>
            </w:pPr>
            <w:r w:rsidRPr="00D40EDF">
              <w:rPr>
                <w:rFonts w:eastAsia="Times New Roman" w:cstheme="minorHAnsi"/>
                <w:color w:val="000000"/>
                <w:sz w:val="20"/>
                <w:szCs w:val="20"/>
                <w:lang w:eastAsia="en-AU"/>
              </w:rPr>
              <w:t>Adult</w:t>
            </w:r>
          </w:p>
        </w:tc>
        <w:tc>
          <w:tcPr>
            <w:tcW w:w="4621" w:type="dxa"/>
            <w:tcBorders>
              <w:left w:val="nil"/>
              <w:bottom w:val="nil"/>
            </w:tcBorders>
            <w:vAlign w:val="center"/>
          </w:tcPr>
          <w:p w14:paraId="51FCA838" w14:textId="1483921F" w:rsidR="0039746B" w:rsidRPr="00D40EDF" w:rsidRDefault="0039746B" w:rsidP="00D40EDF">
            <w:pPr>
              <w:rPr>
                <w:rFonts w:eastAsia="Times New Roman" w:cstheme="minorHAnsi"/>
                <w:color w:val="000000"/>
                <w:sz w:val="20"/>
                <w:szCs w:val="20"/>
                <w:lang w:eastAsia="en-AU"/>
              </w:rPr>
            </w:pPr>
            <w:r w:rsidRPr="00D40EDF">
              <w:rPr>
                <w:rFonts w:eastAsia="Times New Roman" w:cstheme="minorHAnsi"/>
                <w:color w:val="000000"/>
                <w:sz w:val="20"/>
                <w:szCs w:val="20"/>
                <w:lang w:eastAsia="en-AU"/>
              </w:rPr>
              <w:t>1. Entered employment rate</w:t>
            </w:r>
          </w:p>
        </w:tc>
      </w:tr>
      <w:tr w:rsidR="0039746B" w14:paraId="1F7AC81F" w14:textId="77777777" w:rsidTr="00264B03">
        <w:trPr>
          <w:trHeight w:val="300"/>
        </w:trPr>
        <w:tc>
          <w:tcPr>
            <w:tcW w:w="4621" w:type="dxa"/>
            <w:tcBorders>
              <w:top w:val="nil"/>
              <w:bottom w:val="nil"/>
              <w:right w:val="nil"/>
            </w:tcBorders>
            <w:vAlign w:val="center"/>
          </w:tcPr>
          <w:p w14:paraId="77EBEE69" w14:textId="77777777" w:rsidR="0039746B" w:rsidRPr="00D40EDF" w:rsidRDefault="0039746B" w:rsidP="00D40EDF">
            <w:pPr>
              <w:rPr>
                <w:rFonts w:eastAsia="Times New Roman" w:cstheme="minorHAnsi"/>
                <w:color w:val="000000"/>
                <w:sz w:val="20"/>
                <w:szCs w:val="20"/>
                <w:lang w:eastAsia="en-AU"/>
              </w:rPr>
            </w:pPr>
          </w:p>
        </w:tc>
        <w:tc>
          <w:tcPr>
            <w:tcW w:w="4621" w:type="dxa"/>
            <w:tcBorders>
              <w:top w:val="nil"/>
              <w:left w:val="nil"/>
              <w:bottom w:val="nil"/>
            </w:tcBorders>
            <w:vAlign w:val="center"/>
          </w:tcPr>
          <w:p w14:paraId="31262589" w14:textId="420444CE" w:rsidR="0039746B" w:rsidRPr="00D40EDF" w:rsidRDefault="0039746B" w:rsidP="00D40EDF">
            <w:pPr>
              <w:rPr>
                <w:rFonts w:eastAsia="Times New Roman" w:cstheme="minorHAnsi"/>
                <w:color w:val="000000"/>
                <w:sz w:val="20"/>
                <w:szCs w:val="20"/>
                <w:lang w:eastAsia="en-AU"/>
              </w:rPr>
            </w:pPr>
            <w:r w:rsidRPr="00D40EDF">
              <w:rPr>
                <w:rFonts w:eastAsia="Times New Roman" w:cstheme="minorHAnsi"/>
                <w:color w:val="000000"/>
                <w:sz w:val="20"/>
                <w:szCs w:val="20"/>
                <w:lang w:eastAsia="en-AU"/>
              </w:rPr>
              <w:t>2. Employment retention rate</w:t>
            </w:r>
          </w:p>
        </w:tc>
      </w:tr>
      <w:tr w:rsidR="0039746B" w14:paraId="4DBEE30B" w14:textId="77777777" w:rsidTr="00264B03">
        <w:trPr>
          <w:trHeight w:val="300"/>
        </w:trPr>
        <w:tc>
          <w:tcPr>
            <w:tcW w:w="4621" w:type="dxa"/>
            <w:tcBorders>
              <w:top w:val="nil"/>
              <w:bottom w:val="nil"/>
              <w:right w:val="nil"/>
            </w:tcBorders>
            <w:vAlign w:val="center"/>
          </w:tcPr>
          <w:p w14:paraId="15D689BC" w14:textId="77777777" w:rsidR="0039746B" w:rsidRPr="00D40EDF" w:rsidRDefault="0039746B" w:rsidP="00D40EDF">
            <w:pPr>
              <w:rPr>
                <w:rFonts w:eastAsia="Times New Roman" w:cstheme="minorHAnsi"/>
                <w:color w:val="000000"/>
                <w:sz w:val="20"/>
                <w:szCs w:val="20"/>
                <w:lang w:eastAsia="en-AU"/>
              </w:rPr>
            </w:pPr>
          </w:p>
        </w:tc>
        <w:tc>
          <w:tcPr>
            <w:tcW w:w="4621" w:type="dxa"/>
            <w:tcBorders>
              <w:top w:val="nil"/>
              <w:left w:val="nil"/>
              <w:bottom w:val="nil"/>
            </w:tcBorders>
            <w:vAlign w:val="center"/>
          </w:tcPr>
          <w:p w14:paraId="626EBFBF" w14:textId="72CD5963" w:rsidR="0039746B" w:rsidRPr="00D40EDF" w:rsidRDefault="0039746B" w:rsidP="00D40EDF">
            <w:pPr>
              <w:rPr>
                <w:rFonts w:eastAsia="Times New Roman" w:cstheme="minorHAnsi"/>
                <w:color w:val="000000"/>
                <w:sz w:val="20"/>
                <w:szCs w:val="20"/>
                <w:lang w:eastAsia="en-AU"/>
              </w:rPr>
            </w:pPr>
            <w:r w:rsidRPr="00D40EDF">
              <w:rPr>
                <w:rFonts w:eastAsia="Times New Roman" w:cstheme="minorHAnsi"/>
                <w:color w:val="000000"/>
                <w:sz w:val="20"/>
                <w:szCs w:val="20"/>
                <w:lang w:eastAsia="en-AU"/>
              </w:rPr>
              <w:t>3. Average six month earnings</w:t>
            </w:r>
          </w:p>
        </w:tc>
      </w:tr>
      <w:tr w:rsidR="0039746B" w14:paraId="13AFBC08" w14:textId="77777777" w:rsidTr="00264B03">
        <w:trPr>
          <w:trHeight w:val="300"/>
        </w:trPr>
        <w:tc>
          <w:tcPr>
            <w:tcW w:w="4621" w:type="dxa"/>
            <w:tcBorders>
              <w:top w:val="nil"/>
              <w:bottom w:val="single" w:sz="4" w:space="0" w:color="auto"/>
              <w:right w:val="nil"/>
            </w:tcBorders>
            <w:vAlign w:val="center"/>
          </w:tcPr>
          <w:p w14:paraId="39699DCB" w14:textId="77777777" w:rsidR="0039746B" w:rsidRPr="00D40EDF" w:rsidRDefault="0039746B" w:rsidP="00D40EDF">
            <w:pPr>
              <w:rPr>
                <w:rFonts w:eastAsia="Times New Roman" w:cstheme="minorHAnsi"/>
                <w:color w:val="000000"/>
                <w:sz w:val="20"/>
                <w:szCs w:val="20"/>
                <w:lang w:eastAsia="en-AU"/>
              </w:rPr>
            </w:pPr>
          </w:p>
        </w:tc>
        <w:tc>
          <w:tcPr>
            <w:tcW w:w="4621" w:type="dxa"/>
            <w:tcBorders>
              <w:top w:val="nil"/>
              <w:left w:val="nil"/>
              <w:bottom w:val="single" w:sz="4" w:space="0" w:color="auto"/>
            </w:tcBorders>
            <w:vAlign w:val="center"/>
          </w:tcPr>
          <w:p w14:paraId="23D73F9A" w14:textId="46689192" w:rsidR="0039746B" w:rsidRPr="00D40EDF" w:rsidRDefault="0039746B" w:rsidP="00D40EDF">
            <w:pPr>
              <w:rPr>
                <w:rFonts w:eastAsia="Times New Roman" w:cstheme="minorHAnsi"/>
                <w:color w:val="000000"/>
                <w:sz w:val="20"/>
                <w:szCs w:val="20"/>
                <w:lang w:eastAsia="en-AU"/>
              </w:rPr>
            </w:pPr>
            <w:r w:rsidRPr="00D40EDF">
              <w:rPr>
                <w:rFonts w:eastAsia="Times New Roman" w:cstheme="minorHAnsi"/>
                <w:color w:val="000000"/>
                <w:sz w:val="20"/>
                <w:szCs w:val="20"/>
                <w:lang w:eastAsia="en-AU"/>
              </w:rPr>
              <w:t>4. Employment and credential rate</w:t>
            </w:r>
          </w:p>
        </w:tc>
      </w:tr>
      <w:tr w:rsidR="00D40EDF" w14:paraId="3E8590A8" w14:textId="77777777" w:rsidTr="00264B03">
        <w:trPr>
          <w:trHeight w:val="300"/>
        </w:trPr>
        <w:tc>
          <w:tcPr>
            <w:tcW w:w="4621" w:type="dxa"/>
            <w:tcBorders>
              <w:top w:val="single" w:sz="4" w:space="0" w:color="auto"/>
              <w:bottom w:val="nil"/>
              <w:right w:val="nil"/>
            </w:tcBorders>
            <w:vAlign w:val="center"/>
          </w:tcPr>
          <w:p w14:paraId="0C2FD105" w14:textId="7766F58C" w:rsidR="00D40EDF" w:rsidRPr="00D40EDF" w:rsidRDefault="00D40EDF" w:rsidP="00D40EDF">
            <w:pPr>
              <w:rPr>
                <w:rFonts w:eastAsia="Times New Roman" w:cstheme="minorHAnsi"/>
                <w:color w:val="000000"/>
                <w:sz w:val="20"/>
                <w:szCs w:val="20"/>
                <w:lang w:eastAsia="en-AU"/>
              </w:rPr>
            </w:pPr>
            <w:r w:rsidRPr="00FC03F0">
              <w:rPr>
                <w:rFonts w:eastAsia="Times New Roman" w:cstheme="minorHAnsi"/>
                <w:color w:val="000000"/>
                <w:sz w:val="20"/>
                <w:szCs w:val="20"/>
                <w:lang w:eastAsia="en-AU"/>
              </w:rPr>
              <w:t>Dislocated worker</w:t>
            </w:r>
          </w:p>
        </w:tc>
        <w:tc>
          <w:tcPr>
            <w:tcW w:w="4621" w:type="dxa"/>
            <w:tcBorders>
              <w:top w:val="single" w:sz="4" w:space="0" w:color="auto"/>
              <w:left w:val="nil"/>
              <w:bottom w:val="nil"/>
            </w:tcBorders>
            <w:vAlign w:val="center"/>
          </w:tcPr>
          <w:p w14:paraId="217271D4" w14:textId="43E6E210" w:rsidR="00D40EDF" w:rsidRPr="00D40EDF" w:rsidRDefault="00D40EDF" w:rsidP="00D40EDF">
            <w:pPr>
              <w:rPr>
                <w:rFonts w:eastAsia="Times New Roman" w:cstheme="minorHAnsi"/>
                <w:color w:val="000000"/>
                <w:sz w:val="20"/>
                <w:szCs w:val="20"/>
                <w:lang w:eastAsia="en-AU"/>
              </w:rPr>
            </w:pPr>
            <w:r w:rsidRPr="00FC03F0">
              <w:rPr>
                <w:rFonts w:eastAsia="Times New Roman" w:cstheme="minorHAnsi"/>
                <w:color w:val="000000"/>
                <w:sz w:val="20"/>
                <w:szCs w:val="20"/>
                <w:lang w:eastAsia="en-AU"/>
              </w:rPr>
              <w:t>1. Entered employment rate</w:t>
            </w:r>
          </w:p>
        </w:tc>
      </w:tr>
      <w:tr w:rsidR="00D40EDF" w14:paraId="60312C23" w14:textId="77777777" w:rsidTr="00264B03">
        <w:trPr>
          <w:trHeight w:val="300"/>
        </w:trPr>
        <w:tc>
          <w:tcPr>
            <w:tcW w:w="4621" w:type="dxa"/>
            <w:tcBorders>
              <w:top w:val="nil"/>
              <w:bottom w:val="nil"/>
              <w:right w:val="nil"/>
            </w:tcBorders>
            <w:vAlign w:val="bottom"/>
          </w:tcPr>
          <w:p w14:paraId="1E910121" w14:textId="77777777" w:rsidR="00D40EDF" w:rsidRPr="00D40EDF" w:rsidRDefault="00D40EDF" w:rsidP="00D40EDF">
            <w:pPr>
              <w:rPr>
                <w:rFonts w:eastAsia="Times New Roman" w:cstheme="minorHAnsi"/>
                <w:color w:val="000000"/>
                <w:sz w:val="20"/>
                <w:szCs w:val="20"/>
                <w:lang w:eastAsia="en-AU"/>
              </w:rPr>
            </w:pPr>
          </w:p>
        </w:tc>
        <w:tc>
          <w:tcPr>
            <w:tcW w:w="4621" w:type="dxa"/>
            <w:tcBorders>
              <w:top w:val="nil"/>
              <w:left w:val="nil"/>
              <w:bottom w:val="nil"/>
            </w:tcBorders>
            <w:vAlign w:val="center"/>
          </w:tcPr>
          <w:p w14:paraId="3BE52109" w14:textId="0B7B505D" w:rsidR="00D40EDF" w:rsidRPr="00D40EDF" w:rsidRDefault="00D40EDF" w:rsidP="00D40EDF">
            <w:pPr>
              <w:rPr>
                <w:rFonts w:eastAsia="Times New Roman" w:cstheme="minorHAnsi"/>
                <w:color w:val="000000"/>
                <w:sz w:val="20"/>
                <w:szCs w:val="20"/>
                <w:lang w:eastAsia="en-AU"/>
              </w:rPr>
            </w:pPr>
            <w:r w:rsidRPr="00FC03F0">
              <w:rPr>
                <w:rFonts w:eastAsia="Times New Roman" w:cstheme="minorHAnsi"/>
                <w:color w:val="000000"/>
                <w:sz w:val="20"/>
                <w:szCs w:val="20"/>
                <w:lang w:eastAsia="en-AU"/>
              </w:rPr>
              <w:t>2. Employment retention rate</w:t>
            </w:r>
          </w:p>
        </w:tc>
      </w:tr>
      <w:tr w:rsidR="00D40EDF" w14:paraId="2C997BE8" w14:textId="77777777" w:rsidTr="00264B03">
        <w:trPr>
          <w:trHeight w:val="300"/>
        </w:trPr>
        <w:tc>
          <w:tcPr>
            <w:tcW w:w="4621" w:type="dxa"/>
            <w:tcBorders>
              <w:top w:val="nil"/>
              <w:bottom w:val="nil"/>
              <w:right w:val="nil"/>
            </w:tcBorders>
            <w:vAlign w:val="bottom"/>
          </w:tcPr>
          <w:p w14:paraId="64074CA5" w14:textId="77777777" w:rsidR="00D40EDF" w:rsidRPr="00D40EDF" w:rsidRDefault="00D40EDF" w:rsidP="00D40EDF">
            <w:pPr>
              <w:rPr>
                <w:rFonts w:eastAsia="Times New Roman" w:cstheme="minorHAnsi"/>
                <w:color w:val="000000"/>
                <w:sz w:val="20"/>
                <w:szCs w:val="20"/>
                <w:lang w:eastAsia="en-AU"/>
              </w:rPr>
            </w:pPr>
          </w:p>
        </w:tc>
        <w:tc>
          <w:tcPr>
            <w:tcW w:w="4621" w:type="dxa"/>
            <w:tcBorders>
              <w:top w:val="nil"/>
              <w:left w:val="nil"/>
              <w:bottom w:val="nil"/>
            </w:tcBorders>
            <w:vAlign w:val="center"/>
          </w:tcPr>
          <w:p w14:paraId="0714309C" w14:textId="14C6BD61" w:rsidR="00D40EDF" w:rsidRPr="00D40EDF" w:rsidRDefault="00D40EDF" w:rsidP="00D40EDF">
            <w:pPr>
              <w:rPr>
                <w:rFonts w:eastAsia="Times New Roman" w:cstheme="minorHAnsi"/>
                <w:color w:val="000000"/>
                <w:sz w:val="20"/>
                <w:szCs w:val="20"/>
                <w:lang w:eastAsia="en-AU"/>
              </w:rPr>
            </w:pPr>
            <w:r w:rsidRPr="00FC03F0">
              <w:rPr>
                <w:rFonts w:eastAsia="Times New Roman" w:cstheme="minorHAnsi"/>
                <w:color w:val="000000"/>
                <w:sz w:val="20"/>
                <w:szCs w:val="20"/>
                <w:lang w:eastAsia="en-AU"/>
              </w:rPr>
              <w:t>3. Average six month earnings</w:t>
            </w:r>
          </w:p>
        </w:tc>
      </w:tr>
      <w:tr w:rsidR="00D40EDF" w14:paraId="41D87DA1" w14:textId="77777777" w:rsidTr="00264B03">
        <w:trPr>
          <w:trHeight w:val="300"/>
        </w:trPr>
        <w:tc>
          <w:tcPr>
            <w:tcW w:w="4621" w:type="dxa"/>
            <w:tcBorders>
              <w:top w:val="nil"/>
              <w:bottom w:val="single" w:sz="4" w:space="0" w:color="auto"/>
              <w:right w:val="nil"/>
            </w:tcBorders>
            <w:vAlign w:val="bottom"/>
          </w:tcPr>
          <w:p w14:paraId="67CC1B9F" w14:textId="2082FA40" w:rsidR="00D40EDF" w:rsidRPr="00D40EDF" w:rsidRDefault="00D40EDF" w:rsidP="00D40EDF">
            <w:pPr>
              <w:rPr>
                <w:rFonts w:eastAsia="Times New Roman" w:cstheme="minorHAnsi"/>
                <w:color w:val="000000"/>
                <w:sz w:val="20"/>
                <w:szCs w:val="20"/>
                <w:lang w:eastAsia="en-AU"/>
              </w:rPr>
            </w:pPr>
          </w:p>
        </w:tc>
        <w:tc>
          <w:tcPr>
            <w:tcW w:w="4621" w:type="dxa"/>
            <w:tcBorders>
              <w:top w:val="nil"/>
              <w:left w:val="nil"/>
              <w:bottom w:val="single" w:sz="4" w:space="0" w:color="auto"/>
            </w:tcBorders>
            <w:vAlign w:val="center"/>
          </w:tcPr>
          <w:p w14:paraId="1C4C9AB9" w14:textId="0D4E9AB9" w:rsidR="00D40EDF" w:rsidRPr="00D40EDF" w:rsidRDefault="00D40EDF" w:rsidP="00D40EDF">
            <w:pPr>
              <w:rPr>
                <w:rFonts w:eastAsia="Times New Roman" w:cstheme="minorHAnsi"/>
                <w:color w:val="000000"/>
                <w:sz w:val="20"/>
                <w:szCs w:val="20"/>
                <w:lang w:eastAsia="en-AU"/>
              </w:rPr>
            </w:pPr>
            <w:r w:rsidRPr="00FC03F0">
              <w:rPr>
                <w:rFonts w:eastAsia="Times New Roman" w:cstheme="minorHAnsi"/>
                <w:color w:val="000000"/>
                <w:sz w:val="20"/>
                <w:szCs w:val="20"/>
                <w:lang w:eastAsia="en-AU"/>
              </w:rPr>
              <w:t>4. Employment and credential rate</w:t>
            </w:r>
          </w:p>
        </w:tc>
      </w:tr>
      <w:tr w:rsidR="00D40EDF" w14:paraId="34A63A4A" w14:textId="77777777" w:rsidTr="00264B03">
        <w:trPr>
          <w:trHeight w:val="300"/>
        </w:trPr>
        <w:tc>
          <w:tcPr>
            <w:tcW w:w="4621" w:type="dxa"/>
            <w:tcBorders>
              <w:top w:val="single" w:sz="4" w:space="0" w:color="auto"/>
              <w:bottom w:val="nil"/>
              <w:right w:val="nil"/>
            </w:tcBorders>
            <w:vAlign w:val="bottom"/>
          </w:tcPr>
          <w:p w14:paraId="333C3AC4" w14:textId="0F254A92" w:rsidR="00D40EDF" w:rsidRPr="00D40EDF" w:rsidRDefault="00D40EDF" w:rsidP="00D40EDF">
            <w:pPr>
              <w:rPr>
                <w:rFonts w:eastAsia="Times New Roman" w:cstheme="minorHAnsi"/>
                <w:color w:val="000000"/>
                <w:sz w:val="20"/>
                <w:szCs w:val="20"/>
                <w:lang w:eastAsia="en-AU"/>
              </w:rPr>
            </w:pPr>
            <w:r w:rsidRPr="003439C6">
              <w:rPr>
                <w:rFonts w:eastAsia="Times New Roman" w:cstheme="minorHAnsi"/>
                <w:color w:val="000000"/>
                <w:sz w:val="20"/>
                <w:szCs w:val="20"/>
                <w:lang w:eastAsia="en-AU"/>
              </w:rPr>
              <w:t>Older youth (age 19-21)</w:t>
            </w:r>
          </w:p>
        </w:tc>
        <w:tc>
          <w:tcPr>
            <w:tcW w:w="4621" w:type="dxa"/>
            <w:tcBorders>
              <w:top w:val="single" w:sz="4" w:space="0" w:color="auto"/>
              <w:left w:val="nil"/>
              <w:bottom w:val="nil"/>
            </w:tcBorders>
            <w:vAlign w:val="center"/>
          </w:tcPr>
          <w:p w14:paraId="28A748F2" w14:textId="24AA7B50" w:rsidR="00D40EDF" w:rsidRPr="00FC03F0" w:rsidRDefault="00D40EDF" w:rsidP="00D40EDF">
            <w:pPr>
              <w:rPr>
                <w:rFonts w:eastAsia="Times New Roman" w:cstheme="minorHAnsi"/>
                <w:color w:val="000000"/>
                <w:sz w:val="20"/>
                <w:szCs w:val="20"/>
                <w:lang w:eastAsia="en-AU"/>
              </w:rPr>
            </w:pPr>
            <w:r w:rsidRPr="00FC03F0">
              <w:rPr>
                <w:rFonts w:eastAsia="Times New Roman" w:cstheme="minorHAnsi"/>
                <w:color w:val="000000"/>
                <w:sz w:val="20"/>
                <w:szCs w:val="20"/>
                <w:lang w:eastAsia="en-AU"/>
              </w:rPr>
              <w:t xml:space="preserve">9. Older youth entered employment rate </w:t>
            </w:r>
          </w:p>
        </w:tc>
      </w:tr>
      <w:tr w:rsidR="00D40EDF" w14:paraId="3CAFFEC7" w14:textId="77777777" w:rsidTr="00264B03">
        <w:trPr>
          <w:trHeight w:val="300"/>
        </w:trPr>
        <w:tc>
          <w:tcPr>
            <w:tcW w:w="4621" w:type="dxa"/>
            <w:tcBorders>
              <w:top w:val="nil"/>
              <w:bottom w:val="nil"/>
              <w:right w:val="nil"/>
            </w:tcBorders>
            <w:vAlign w:val="bottom"/>
          </w:tcPr>
          <w:p w14:paraId="7093E609" w14:textId="77777777" w:rsidR="00D40EDF" w:rsidRPr="00D40EDF" w:rsidRDefault="00D40EDF" w:rsidP="00D40EDF">
            <w:pPr>
              <w:rPr>
                <w:rFonts w:eastAsia="Times New Roman" w:cstheme="minorHAnsi"/>
                <w:color w:val="000000"/>
                <w:sz w:val="20"/>
                <w:szCs w:val="20"/>
                <w:lang w:eastAsia="en-AU"/>
              </w:rPr>
            </w:pPr>
          </w:p>
        </w:tc>
        <w:tc>
          <w:tcPr>
            <w:tcW w:w="4621" w:type="dxa"/>
            <w:tcBorders>
              <w:top w:val="nil"/>
              <w:left w:val="nil"/>
              <w:bottom w:val="nil"/>
            </w:tcBorders>
            <w:vAlign w:val="center"/>
          </w:tcPr>
          <w:p w14:paraId="74ECD4E3" w14:textId="3B496F59" w:rsidR="00D40EDF" w:rsidRPr="00FC03F0" w:rsidRDefault="00D40EDF" w:rsidP="00D40EDF">
            <w:pPr>
              <w:rPr>
                <w:rFonts w:eastAsia="Times New Roman" w:cstheme="minorHAnsi"/>
                <w:color w:val="000000"/>
                <w:sz w:val="20"/>
                <w:szCs w:val="20"/>
                <w:lang w:eastAsia="en-AU"/>
              </w:rPr>
            </w:pPr>
            <w:r w:rsidRPr="00FC03F0">
              <w:rPr>
                <w:rFonts w:eastAsia="Times New Roman" w:cstheme="minorHAnsi"/>
                <w:color w:val="000000"/>
                <w:sz w:val="20"/>
                <w:szCs w:val="20"/>
                <w:lang w:eastAsia="en-AU"/>
              </w:rPr>
              <w:t>10 Older youth employment retention rate</w:t>
            </w:r>
          </w:p>
        </w:tc>
      </w:tr>
      <w:tr w:rsidR="00D40EDF" w14:paraId="132D2A09" w14:textId="77777777" w:rsidTr="00264B03">
        <w:trPr>
          <w:trHeight w:val="300"/>
        </w:trPr>
        <w:tc>
          <w:tcPr>
            <w:tcW w:w="4621" w:type="dxa"/>
            <w:tcBorders>
              <w:top w:val="nil"/>
              <w:bottom w:val="nil"/>
              <w:right w:val="nil"/>
            </w:tcBorders>
            <w:vAlign w:val="bottom"/>
          </w:tcPr>
          <w:p w14:paraId="45E0A4FC" w14:textId="77777777" w:rsidR="00D40EDF" w:rsidRPr="00D40EDF" w:rsidRDefault="00D40EDF" w:rsidP="00D40EDF">
            <w:pPr>
              <w:rPr>
                <w:rFonts w:eastAsia="Times New Roman" w:cstheme="minorHAnsi"/>
                <w:color w:val="000000"/>
                <w:sz w:val="20"/>
                <w:szCs w:val="20"/>
                <w:lang w:eastAsia="en-AU"/>
              </w:rPr>
            </w:pPr>
          </w:p>
        </w:tc>
        <w:tc>
          <w:tcPr>
            <w:tcW w:w="4621" w:type="dxa"/>
            <w:tcBorders>
              <w:top w:val="nil"/>
              <w:left w:val="nil"/>
              <w:bottom w:val="nil"/>
            </w:tcBorders>
            <w:vAlign w:val="center"/>
          </w:tcPr>
          <w:p w14:paraId="56263787" w14:textId="0B418785" w:rsidR="00D40EDF" w:rsidRPr="00FC03F0" w:rsidRDefault="00D40EDF" w:rsidP="00D40EDF">
            <w:pPr>
              <w:rPr>
                <w:rFonts w:eastAsia="Times New Roman" w:cstheme="minorHAnsi"/>
                <w:color w:val="000000"/>
                <w:sz w:val="20"/>
                <w:szCs w:val="20"/>
                <w:lang w:eastAsia="en-AU"/>
              </w:rPr>
            </w:pPr>
            <w:r w:rsidRPr="00FC03F0">
              <w:rPr>
                <w:rFonts w:eastAsia="Times New Roman" w:cstheme="minorHAnsi"/>
                <w:color w:val="000000"/>
                <w:sz w:val="20"/>
                <w:szCs w:val="20"/>
                <w:lang w:eastAsia="en-AU"/>
              </w:rPr>
              <w:t>11. Older youth earnings Change</w:t>
            </w:r>
          </w:p>
        </w:tc>
      </w:tr>
      <w:tr w:rsidR="00D40EDF" w14:paraId="17FAF160" w14:textId="77777777" w:rsidTr="00264B03">
        <w:trPr>
          <w:trHeight w:val="300"/>
        </w:trPr>
        <w:tc>
          <w:tcPr>
            <w:tcW w:w="4621" w:type="dxa"/>
            <w:tcBorders>
              <w:top w:val="nil"/>
              <w:bottom w:val="single" w:sz="4" w:space="0" w:color="auto"/>
              <w:right w:val="nil"/>
            </w:tcBorders>
            <w:vAlign w:val="bottom"/>
          </w:tcPr>
          <w:p w14:paraId="211286E5" w14:textId="22D03D58" w:rsidR="00D40EDF" w:rsidRPr="00D40EDF" w:rsidRDefault="00D40EDF" w:rsidP="00D40EDF">
            <w:pPr>
              <w:rPr>
                <w:rFonts w:eastAsia="Times New Roman" w:cstheme="minorHAnsi"/>
                <w:color w:val="000000"/>
                <w:sz w:val="20"/>
                <w:szCs w:val="20"/>
                <w:lang w:eastAsia="en-AU"/>
              </w:rPr>
            </w:pPr>
          </w:p>
        </w:tc>
        <w:tc>
          <w:tcPr>
            <w:tcW w:w="4621" w:type="dxa"/>
            <w:tcBorders>
              <w:top w:val="nil"/>
              <w:left w:val="nil"/>
              <w:bottom w:val="single" w:sz="4" w:space="0" w:color="auto"/>
            </w:tcBorders>
            <w:vAlign w:val="center"/>
          </w:tcPr>
          <w:p w14:paraId="5ECDCB3E" w14:textId="3FE40414" w:rsidR="00D40EDF" w:rsidRPr="00FC03F0" w:rsidRDefault="00D40EDF" w:rsidP="00D40EDF">
            <w:pPr>
              <w:rPr>
                <w:rFonts w:eastAsia="Times New Roman" w:cstheme="minorHAnsi"/>
                <w:color w:val="000000"/>
                <w:sz w:val="20"/>
                <w:szCs w:val="20"/>
                <w:lang w:eastAsia="en-AU"/>
              </w:rPr>
            </w:pPr>
            <w:r w:rsidRPr="00FC03F0">
              <w:rPr>
                <w:rFonts w:eastAsia="Times New Roman" w:cstheme="minorHAnsi"/>
                <w:color w:val="000000"/>
                <w:sz w:val="20"/>
                <w:szCs w:val="20"/>
                <w:lang w:eastAsia="en-AU"/>
              </w:rPr>
              <w:t>12. Older youth credential rate</w:t>
            </w:r>
          </w:p>
        </w:tc>
      </w:tr>
      <w:tr w:rsidR="00D40EDF" w14:paraId="2C494936" w14:textId="77777777" w:rsidTr="00264B03">
        <w:trPr>
          <w:trHeight w:val="300"/>
        </w:trPr>
        <w:tc>
          <w:tcPr>
            <w:tcW w:w="4621" w:type="dxa"/>
            <w:tcBorders>
              <w:top w:val="single" w:sz="4" w:space="0" w:color="auto"/>
              <w:bottom w:val="nil"/>
              <w:right w:val="nil"/>
            </w:tcBorders>
            <w:vAlign w:val="center"/>
          </w:tcPr>
          <w:p w14:paraId="3D88BA24" w14:textId="0B88D2CD" w:rsidR="00D40EDF" w:rsidRPr="00FC03F0" w:rsidRDefault="00D40EDF" w:rsidP="00D40EDF">
            <w:pPr>
              <w:rPr>
                <w:rFonts w:eastAsia="Times New Roman" w:cstheme="minorHAnsi"/>
                <w:color w:val="000000"/>
                <w:lang w:eastAsia="en-AU"/>
              </w:rPr>
            </w:pPr>
            <w:r w:rsidRPr="00FC03F0">
              <w:rPr>
                <w:rFonts w:eastAsia="Times New Roman" w:cstheme="minorHAnsi"/>
                <w:color w:val="000000"/>
                <w:sz w:val="20"/>
                <w:szCs w:val="20"/>
                <w:lang w:eastAsia="en-AU"/>
              </w:rPr>
              <w:t>Younger youth (age 14-18)</w:t>
            </w:r>
          </w:p>
        </w:tc>
        <w:tc>
          <w:tcPr>
            <w:tcW w:w="4621" w:type="dxa"/>
            <w:tcBorders>
              <w:top w:val="single" w:sz="4" w:space="0" w:color="auto"/>
              <w:left w:val="nil"/>
              <w:bottom w:val="nil"/>
            </w:tcBorders>
            <w:vAlign w:val="center"/>
          </w:tcPr>
          <w:p w14:paraId="4159C78D" w14:textId="1B0BC7C9" w:rsidR="00D40EDF" w:rsidRPr="00FC03F0" w:rsidRDefault="00D40EDF" w:rsidP="00D40EDF">
            <w:pPr>
              <w:rPr>
                <w:rFonts w:eastAsia="Times New Roman" w:cstheme="minorHAnsi"/>
                <w:color w:val="000000"/>
                <w:sz w:val="20"/>
                <w:szCs w:val="20"/>
                <w:lang w:eastAsia="en-AU"/>
              </w:rPr>
            </w:pPr>
            <w:r w:rsidRPr="00FC03F0">
              <w:rPr>
                <w:rFonts w:eastAsia="Times New Roman" w:cstheme="minorHAnsi"/>
                <w:color w:val="000000"/>
                <w:sz w:val="20"/>
                <w:szCs w:val="20"/>
                <w:lang w:eastAsia="en-AU"/>
              </w:rPr>
              <w:t>13. Younger youth skill attainment rate</w:t>
            </w:r>
          </w:p>
        </w:tc>
      </w:tr>
      <w:tr w:rsidR="00D40EDF" w14:paraId="207932C7" w14:textId="77777777" w:rsidTr="00264B03">
        <w:trPr>
          <w:trHeight w:val="300"/>
        </w:trPr>
        <w:tc>
          <w:tcPr>
            <w:tcW w:w="4621" w:type="dxa"/>
            <w:tcBorders>
              <w:top w:val="nil"/>
              <w:bottom w:val="nil"/>
              <w:right w:val="nil"/>
            </w:tcBorders>
            <w:vAlign w:val="bottom"/>
          </w:tcPr>
          <w:p w14:paraId="269CA737" w14:textId="77777777" w:rsidR="00D40EDF" w:rsidRPr="00FC03F0" w:rsidRDefault="00D40EDF" w:rsidP="00D40EDF">
            <w:pPr>
              <w:rPr>
                <w:rFonts w:eastAsia="Times New Roman" w:cstheme="minorHAnsi"/>
                <w:color w:val="000000"/>
                <w:lang w:eastAsia="en-AU"/>
              </w:rPr>
            </w:pPr>
          </w:p>
        </w:tc>
        <w:tc>
          <w:tcPr>
            <w:tcW w:w="4621" w:type="dxa"/>
            <w:tcBorders>
              <w:top w:val="nil"/>
              <w:left w:val="nil"/>
              <w:bottom w:val="nil"/>
            </w:tcBorders>
            <w:vAlign w:val="center"/>
          </w:tcPr>
          <w:p w14:paraId="62C7A7B2" w14:textId="2DFC1E2C" w:rsidR="00D40EDF" w:rsidRPr="00FC03F0" w:rsidRDefault="00D40EDF" w:rsidP="00D40EDF">
            <w:pPr>
              <w:rPr>
                <w:rFonts w:eastAsia="Times New Roman" w:cstheme="minorHAnsi"/>
                <w:color w:val="000000"/>
                <w:sz w:val="20"/>
                <w:szCs w:val="20"/>
                <w:lang w:eastAsia="en-AU"/>
              </w:rPr>
            </w:pPr>
            <w:r w:rsidRPr="00FC03F0">
              <w:rPr>
                <w:rFonts w:eastAsia="Times New Roman" w:cstheme="minorHAnsi"/>
                <w:color w:val="000000"/>
                <w:sz w:val="20"/>
                <w:szCs w:val="20"/>
                <w:lang w:eastAsia="en-AU"/>
              </w:rPr>
              <w:t>14. Younger youth diploma or equivalent rate</w:t>
            </w:r>
          </w:p>
        </w:tc>
      </w:tr>
      <w:tr w:rsidR="00D40EDF" w14:paraId="4594E6FF" w14:textId="77777777" w:rsidTr="00264B03">
        <w:trPr>
          <w:trHeight w:val="300"/>
        </w:trPr>
        <w:tc>
          <w:tcPr>
            <w:tcW w:w="4621" w:type="dxa"/>
            <w:tcBorders>
              <w:top w:val="nil"/>
              <w:bottom w:val="single" w:sz="4" w:space="0" w:color="auto"/>
              <w:right w:val="nil"/>
            </w:tcBorders>
            <w:vAlign w:val="bottom"/>
          </w:tcPr>
          <w:p w14:paraId="6AB3993E" w14:textId="4F7A6730" w:rsidR="00D40EDF" w:rsidRPr="00FC03F0" w:rsidRDefault="00D40EDF" w:rsidP="00D40EDF">
            <w:pPr>
              <w:rPr>
                <w:rFonts w:eastAsia="Times New Roman" w:cstheme="minorHAnsi"/>
                <w:color w:val="000000"/>
                <w:lang w:eastAsia="en-AU"/>
              </w:rPr>
            </w:pPr>
          </w:p>
        </w:tc>
        <w:tc>
          <w:tcPr>
            <w:tcW w:w="4621" w:type="dxa"/>
            <w:tcBorders>
              <w:top w:val="nil"/>
              <w:left w:val="nil"/>
              <w:bottom w:val="single" w:sz="4" w:space="0" w:color="auto"/>
            </w:tcBorders>
            <w:vAlign w:val="center"/>
          </w:tcPr>
          <w:p w14:paraId="070AD4DD" w14:textId="6FC9319A" w:rsidR="00D40EDF" w:rsidRPr="00FC03F0" w:rsidRDefault="00D40EDF" w:rsidP="00D40EDF">
            <w:pPr>
              <w:rPr>
                <w:rFonts w:eastAsia="Times New Roman" w:cstheme="minorHAnsi"/>
                <w:color w:val="000000"/>
                <w:sz w:val="20"/>
                <w:szCs w:val="20"/>
                <w:lang w:eastAsia="en-AU"/>
              </w:rPr>
            </w:pPr>
            <w:r w:rsidRPr="00FC03F0">
              <w:rPr>
                <w:rFonts w:eastAsia="Times New Roman" w:cstheme="minorHAnsi"/>
                <w:color w:val="000000"/>
                <w:sz w:val="20"/>
                <w:szCs w:val="20"/>
                <w:lang w:eastAsia="en-AU"/>
              </w:rPr>
              <w:t>15. Younger youth retention rate</w:t>
            </w:r>
          </w:p>
        </w:tc>
      </w:tr>
      <w:tr w:rsidR="00D40EDF" w14:paraId="5EBD9138" w14:textId="77777777" w:rsidTr="00264B03">
        <w:trPr>
          <w:trHeight w:val="300"/>
        </w:trPr>
        <w:tc>
          <w:tcPr>
            <w:tcW w:w="4621" w:type="dxa"/>
            <w:tcBorders>
              <w:top w:val="single" w:sz="4" w:space="0" w:color="auto"/>
              <w:bottom w:val="nil"/>
              <w:right w:val="nil"/>
            </w:tcBorders>
            <w:vAlign w:val="bottom"/>
          </w:tcPr>
          <w:p w14:paraId="6F05CD5E" w14:textId="5ECE7F09" w:rsidR="00D40EDF" w:rsidRPr="00D40EDF" w:rsidRDefault="00D40EDF" w:rsidP="00D40EDF">
            <w:pPr>
              <w:rPr>
                <w:rFonts w:eastAsia="Times New Roman" w:cstheme="minorHAnsi"/>
                <w:color w:val="000000"/>
                <w:sz w:val="20"/>
                <w:szCs w:val="20"/>
                <w:lang w:eastAsia="en-AU"/>
              </w:rPr>
            </w:pPr>
            <w:r w:rsidRPr="00D40EDF">
              <w:rPr>
                <w:rFonts w:eastAsia="Times New Roman" w:cstheme="minorHAnsi"/>
                <w:color w:val="000000"/>
                <w:sz w:val="20"/>
                <w:szCs w:val="20"/>
                <w:lang w:eastAsia="en-AU"/>
              </w:rPr>
              <w:t>Customer satisfaction</w:t>
            </w:r>
          </w:p>
        </w:tc>
        <w:tc>
          <w:tcPr>
            <w:tcW w:w="4621" w:type="dxa"/>
            <w:tcBorders>
              <w:top w:val="single" w:sz="4" w:space="0" w:color="auto"/>
              <w:left w:val="nil"/>
              <w:bottom w:val="nil"/>
            </w:tcBorders>
            <w:vAlign w:val="center"/>
          </w:tcPr>
          <w:p w14:paraId="4CA48636" w14:textId="62CD4866" w:rsidR="00D40EDF" w:rsidRPr="00FC03F0" w:rsidRDefault="00D40EDF" w:rsidP="00D40EDF">
            <w:pPr>
              <w:rPr>
                <w:rFonts w:eastAsia="Times New Roman" w:cstheme="minorHAnsi"/>
                <w:color w:val="000000"/>
                <w:sz w:val="20"/>
                <w:szCs w:val="20"/>
                <w:lang w:eastAsia="en-AU"/>
              </w:rPr>
            </w:pPr>
            <w:r w:rsidRPr="00FC03F0">
              <w:rPr>
                <w:rFonts w:eastAsia="Times New Roman" w:cstheme="minorHAnsi"/>
                <w:color w:val="000000"/>
                <w:sz w:val="20"/>
                <w:szCs w:val="20"/>
                <w:lang w:eastAsia="en-AU"/>
              </w:rPr>
              <w:t>16. Participant American customer satisfaction index</w:t>
            </w:r>
          </w:p>
        </w:tc>
      </w:tr>
      <w:tr w:rsidR="00C16CA9" w14:paraId="79F79F22" w14:textId="77777777" w:rsidTr="00264B03">
        <w:trPr>
          <w:trHeight w:val="300"/>
        </w:trPr>
        <w:tc>
          <w:tcPr>
            <w:tcW w:w="4621" w:type="dxa"/>
            <w:tcBorders>
              <w:top w:val="nil"/>
              <w:bottom w:val="single" w:sz="4" w:space="0" w:color="auto"/>
              <w:right w:val="nil"/>
            </w:tcBorders>
            <w:vAlign w:val="bottom"/>
          </w:tcPr>
          <w:p w14:paraId="159B29E1" w14:textId="77777777" w:rsidR="00C16CA9" w:rsidRPr="00D40EDF" w:rsidRDefault="00C16CA9" w:rsidP="00D40EDF">
            <w:pPr>
              <w:rPr>
                <w:rFonts w:eastAsia="Times New Roman" w:cstheme="minorHAnsi"/>
                <w:color w:val="000000"/>
                <w:sz w:val="20"/>
                <w:szCs w:val="20"/>
                <w:lang w:eastAsia="en-AU"/>
              </w:rPr>
            </w:pPr>
          </w:p>
        </w:tc>
        <w:tc>
          <w:tcPr>
            <w:tcW w:w="4621" w:type="dxa"/>
            <w:tcBorders>
              <w:top w:val="nil"/>
              <w:left w:val="nil"/>
              <w:bottom w:val="single" w:sz="4" w:space="0" w:color="auto"/>
            </w:tcBorders>
            <w:vAlign w:val="center"/>
          </w:tcPr>
          <w:p w14:paraId="7CA25083" w14:textId="6821739F" w:rsidR="00C16CA9" w:rsidRPr="00FC03F0" w:rsidRDefault="00C16CA9" w:rsidP="00D40EDF">
            <w:pPr>
              <w:rPr>
                <w:rFonts w:eastAsia="Times New Roman" w:cstheme="minorHAnsi"/>
                <w:color w:val="000000"/>
                <w:sz w:val="20"/>
                <w:szCs w:val="20"/>
                <w:lang w:eastAsia="en-AU"/>
              </w:rPr>
            </w:pPr>
            <w:r w:rsidRPr="00FC03F0">
              <w:rPr>
                <w:rFonts w:eastAsia="Times New Roman" w:cstheme="minorHAnsi"/>
                <w:color w:val="000000"/>
                <w:sz w:val="20"/>
                <w:szCs w:val="20"/>
                <w:lang w:eastAsia="en-AU"/>
              </w:rPr>
              <w:t>17. Employer American cust</w:t>
            </w:r>
            <w:r>
              <w:rPr>
                <w:rFonts w:eastAsia="Times New Roman" w:cstheme="minorHAnsi"/>
                <w:color w:val="000000"/>
                <w:sz w:val="20"/>
                <w:szCs w:val="20"/>
                <w:lang w:eastAsia="en-AU"/>
              </w:rPr>
              <w:t>o</w:t>
            </w:r>
            <w:r w:rsidRPr="00FC03F0">
              <w:rPr>
                <w:rFonts w:eastAsia="Times New Roman" w:cstheme="minorHAnsi"/>
                <w:color w:val="000000"/>
                <w:sz w:val="20"/>
                <w:szCs w:val="20"/>
                <w:lang w:eastAsia="en-AU"/>
              </w:rPr>
              <w:t>mer satisfaction index</w:t>
            </w:r>
          </w:p>
        </w:tc>
      </w:tr>
      <w:tr w:rsidR="00C16CA9" w14:paraId="509003C0" w14:textId="77777777" w:rsidTr="00264B03">
        <w:trPr>
          <w:trHeight w:val="300"/>
        </w:trPr>
        <w:tc>
          <w:tcPr>
            <w:tcW w:w="4621" w:type="dxa"/>
            <w:tcBorders>
              <w:top w:val="single" w:sz="4" w:space="0" w:color="auto"/>
              <w:bottom w:val="single" w:sz="4" w:space="0" w:color="auto"/>
              <w:right w:val="nil"/>
            </w:tcBorders>
          </w:tcPr>
          <w:p w14:paraId="0F29C7A8" w14:textId="1B709E91" w:rsidR="00C16CA9" w:rsidRPr="00D40EDF" w:rsidRDefault="00C16CA9" w:rsidP="00C16CA9">
            <w:pPr>
              <w:rPr>
                <w:rFonts w:eastAsia="Times New Roman" w:cstheme="minorHAnsi"/>
                <w:color w:val="000000"/>
                <w:sz w:val="20"/>
                <w:szCs w:val="20"/>
                <w:lang w:eastAsia="en-AU"/>
              </w:rPr>
            </w:pPr>
            <w:r w:rsidRPr="00FC03F0">
              <w:rPr>
                <w:rFonts w:eastAsia="Times New Roman" w:cstheme="minorHAnsi"/>
                <w:color w:val="000000"/>
                <w:sz w:val="20"/>
                <w:szCs w:val="20"/>
                <w:lang w:eastAsia="en-AU"/>
              </w:rPr>
              <w:t>Wagner-Peyser</w:t>
            </w:r>
          </w:p>
        </w:tc>
        <w:tc>
          <w:tcPr>
            <w:tcW w:w="4621" w:type="dxa"/>
            <w:tcBorders>
              <w:top w:val="single" w:sz="4" w:space="0" w:color="auto"/>
              <w:left w:val="nil"/>
              <w:bottom w:val="single" w:sz="4" w:space="0" w:color="auto"/>
            </w:tcBorders>
          </w:tcPr>
          <w:p w14:paraId="50DD303A" w14:textId="5010A599" w:rsidR="00C16CA9" w:rsidRPr="00FC03F0" w:rsidRDefault="00C16CA9" w:rsidP="00C16CA9">
            <w:pPr>
              <w:rPr>
                <w:rFonts w:eastAsia="Times New Roman" w:cstheme="minorHAnsi"/>
                <w:color w:val="000000"/>
                <w:sz w:val="20"/>
                <w:szCs w:val="20"/>
                <w:lang w:eastAsia="en-AU"/>
              </w:rPr>
            </w:pPr>
            <w:r w:rsidRPr="00FC03F0">
              <w:rPr>
                <w:rFonts w:eastAsia="Times New Roman" w:cstheme="minorHAnsi"/>
                <w:color w:val="000000"/>
                <w:sz w:val="20"/>
                <w:szCs w:val="20"/>
                <w:lang w:eastAsia="en-AU"/>
              </w:rPr>
              <w:t>Performance Measure</w:t>
            </w:r>
          </w:p>
        </w:tc>
      </w:tr>
      <w:tr w:rsidR="00C16CA9" w14:paraId="5C6D52E5" w14:textId="77777777" w:rsidTr="00264B03">
        <w:trPr>
          <w:trHeight w:val="300"/>
        </w:trPr>
        <w:tc>
          <w:tcPr>
            <w:tcW w:w="4621" w:type="dxa"/>
            <w:tcBorders>
              <w:top w:val="single" w:sz="4" w:space="0" w:color="auto"/>
              <w:bottom w:val="nil"/>
              <w:right w:val="nil"/>
            </w:tcBorders>
          </w:tcPr>
          <w:p w14:paraId="2989A02A" w14:textId="77777777" w:rsidR="00C16CA9" w:rsidRPr="00FC03F0" w:rsidRDefault="00C16CA9" w:rsidP="00C16CA9">
            <w:pPr>
              <w:rPr>
                <w:rFonts w:eastAsia="Times New Roman" w:cstheme="minorHAnsi"/>
                <w:color w:val="000000"/>
                <w:sz w:val="20"/>
                <w:szCs w:val="20"/>
                <w:lang w:eastAsia="en-AU"/>
              </w:rPr>
            </w:pPr>
          </w:p>
        </w:tc>
        <w:tc>
          <w:tcPr>
            <w:tcW w:w="4621" w:type="dxa"/>
            <w:tcBorders>
              <w:top w:val="single" w:sz="4" w:space="0" w:color="auto"/>
              <w:left w:val="nil"/>
              <w:bottom w:val="nil"/>
            </w:tcBorders>
          </w:tcPr>
          <w:p w14:paraId="1FD228A0" w14:textId="33B3C1EE" w:rsidR="00C16CA9" w:rsidRPr="00FC03F0" w:rsidRDefault="00C16CA9" w:rsidP="00C16CA9">
            <w:pPr>
              <w:rPr>
                <w:rFonts w:eastAsia="Times New Roman" w:cstheme="minorHAnsi"/>
                <w:color w:val="000000"/>
                <w:sz w:val="20"/>
                <w:szCs w:val="20"/>
                <w:lang w:eastAsia="en-AU"/>
              </w:rPr>
            </w:pPr>
            <w:r w:rsidRPr="00FC03F0">
              <w:rPr>
                <w:rFonts w:eastAsia="Times New Roman" w:cstheme="minorHAnsi"/>
                <w:color w:val="000000"/>
                <w:sz w:val="20"/>
                <w:szCs w:val="20"/>
                <w:lang w:eastAsia="en-AU"/>
              </w:rPr>
              <w:t>Entered employment rate for total exiters</w:t>
            </w:r>
          </w:p>
        </w:tc>
      </w:tr>
      <w:tr w:rsidR="00C16CA9" w14:paraId="5EE5142E" w14:textId="77777777" w:rsidTr="00264B03">
        <w:trPr>
          <w:trHeight w:val="300"/>
        </w:trPr>
        <w:tc>
          <w:tcPr>
            <w:tcW w:w="4621" w:type="dxa"/>
            <w:tcBorders>
              <w:top w:val="nil"/>
              <w:bottom w:val="double" w:sz="4" w:space="0" w:color="auto"/>
              <w:right w:val="nil"/>
            </w:tcBorders>
          </w:tcPr>
          <w:p w14:paraId="5521CB7C" w14:textId="77777777" w:rsidR="00C16CA9" w:rsidRPr="00FC03F0" w:rsidRDefault="00C16CA9" w:rsidP="00C16CA9">
            <w:pPr>
              <w:rPr>
                <w:rFonts w:eastAsia="Times New Roman" w:cstheme="minorHAnsi"/>
                <w:color w:val="000000"/>
                <w:sz w:val="20"/>
                <w:szCs w:val="20"/>
                <w:lang w:eastAsia="en-AU"/>
              </w:rPr>
            </w:pPr>
          </w:p>
        </w:tc>
        <w:tc>
          <w:tcPr>
            <w:tcW w:w="4621" w:type="dxa"/>
            <w:tcBorders>
              <w:top w:val="nil"/>
              <w:left w:val="nil"/>
              <w:bottom w:val="double" w:sz="4" w:space="0" w:color="auto"/>
            </w:tcBorders>
          </w:tcPr>
          <w:p w14:paraId="0C882AF8" w14:textId="107D337E" w:rsidR="00C16CA9" w:rsidRPr="00FC03F0" w:rsidRDefault="00C16CA9" w:rsidP="00C16CA9">
            <w:pPr>
              <w:rPr>
                <w:rFonts w:eastAsia="Times New Roman" w:cstheme="minorHAnsi"/>
                <w:color w:val="000000"/>
                <w:sz w:val="20"/>
                <w:szCs w:val="20"/>
                <w:lang w:eastAsia="en-AU"/>
              </w:rPr>
            </w:pPr>
            <w:r w:rsidRPr="00FC03F0">
              <w:rPr>
                <w:rFonts w:eastAsia="Times New Roman" w:cstheme="minorHAnsi"/>
                <w:color w:val="000000"/>
                <w:sz w:val="20"/>
                <w:szCs w:val="20"/>
                <w:lang w:eastAsia="en-AU"/>
              </w:rPr>
              <w:t>Employment retention rate for total exiters</w:t>
            </w:r>
          </w:p>
        </w:tc>
      </w:tr>
      <w:tr w:rsidR="00C16CA9" w14:paraId="5F8B8765" w14:textId="77777777" w:rsidTr="00264B03">
        <w:tc>
          <w:tcPr>
            <w:tcW w:w="9242" w:type="dxa"/>
            <w:gridSpan w:val="2"/>
            <w:tcBorders>
              <w:top w:val="double" w:sz="4" w:space="0" w:color="auto"/>
              <w:bottom w:val="single" w:sz="4" w:space="0" w:color="auto"/>
            </w:tcBorders>
          </w:tcPr>
          <w:p w14:paraId="29B35333" w14:textId="450B0BBA" w:rsidR="00C16CA9" w:rsidRPr="00C16CA9" w:rsidRDefault="00C16CA9" w:rsidP="00C16CA9">
            <w:pPr>
              <w:pStyle w:val="Default"/>
              <w:rPr>
                <w:rFonts w:eastAsia="Times New Roman" w:cstheme="minorHAnsi"/>
                <w:sz w:val="16"/>
                <w:szCs w:val="16"/>
                <w:lang w:eastAsia="en-AU"/>
              </w:rPr>
            </w:pPr>
            <w:r w:rsidRPr="00C16CA9">
              <w:rPr>
                <w:rFonts w:asciiTheme="minorHAnsi" w:hAnsiTheme="minorHAnsi" w:cstheme="minorHAnsi"/>
                <w:sz w:val="16"/>
                <w:szCs w:val="16"/>
              </w:rPr>
              <w:t xml:space="preserve">Source: U.S. Department of Labor Employment and Training Administration, Training and Employment Guidance Letter No. 29-10 (Jun. 1, 2011). </w:t>
            </w:r>
          </w:p>
        </w:tc>
      </w:tr>
    </w:tbl>
    <w:p w14:paraId="5D909A50" w14:textId="77777777" w:rsidR="00803C0F" w:rsidRDefault="00803C0F" w:rsidP="00803C0F">
      <w:pPr>
        <w:pBdr>
          <w:top w:val="single" w:sz="4" w:space="1" w:color="auto"/>
          <w:left w:val="single" w:sz="4" w:space="4" w:color="auto"/>
          <w:right w:val="single" w:sz="4" w:space="4" w:color="auto"/>
        </w:pBdr>
        <w:autoSpaceDE w:val="0"/>
        <w:autoSpaceDN w:val="0"/>
        <w:adjustRightInd w:val="0"/>
        <w:spacing w:after="0" w:line="240" w:lineRule="auto"/>
        <w:rPr>
          <w:rFonts w:cstheme="minorHAnsi"/>
          <w:color w:val="000000"/>
        </w:rPr>
      </w:pPr>
    </w:p>
    <w:p w14:paraId="0B401819" w14:textId="635C0DF7" w:rsidR="0039746B" w:rsidRDefault="0039746B" w:rsidP="00C16CA9">
      <w:pPr>
        <w:pBdr>
          <w:left w:val="single" w:sz="4" w:space="4" w:color="auto"/>
          <w:right w:val="single" w:sz="4" w:space="4" w:color="auto"/>
        </w:pBdr>
        <w:autoSpaceDE w:val="0"/>
        <w:autoSpaceDN w:val="0"/>
        <w:adjustRightInd w:val="0"/>
        <w:spacing w:line="240" w:lineRule="auto"/>
        <w:rPr>
          <w:rFonts w:cstheme="minorHAnsi"/>
        </w:rPr>
      </w:pPr>
      <w:r w:rsidRPr="00EF5052">
        <w:rPr>
          <w:rFonts w:cstheme="minorHAnsi"/>
          <w:color w:val="000000"/>
        </w:rPr>
        <w:t xml:space="preserve">Furthermore, Section 136 of the WIA requires that specific core indicators of performance and the levels of performance for these indicators be set for both states and local areas through a negotiation process. States, in turn, must negotiate performance levels with each local area. </w:t>
      </w:r>
      <w:r w:rsidRPr="00EF5052">
        <w:rPr>
          <w:rFonts w:cstheme="minorHAnsi"/>
        </w:rPr>
        <w:t>According to the regulations, these negotiations entail (</w:t>
      </w:r>
      <w:r w:rsidRPr="003439C6">
        <w:rPr>
          <w:rFonts w:cstheme="minorHAnsi"/>
        </w:rPr>
        <w:t>U.S. DOL, 2012</w:t>
      </w:r>
      <w:r w:rsidRPr="00EF5052">
        <w:rPr>
          <w:rFonts w:cstheme="minorHAnsi"/>
        </w:rPr>
        <w:t>):</w:t>
      </w:r>
    </w:p>
    <w:p w14:paraId="70B93A1E" w14:textId="57A7716D" w:rsidR="0039746B" w:rsidRPr="00803C0F" w:rsidRDefault="00803C0F" w:rsidP="00803C0F">
      <w:pPr>
        <w:pBdr>
          <w:left w:val="single" w:sz="4" w:space="4" w:color="auto"/>
          <w:right w:val="single" w:sz="4" w:space="4" w:color="auto"/>
        </w:pBdr>
        <w:spacing w:after="0" w:line="240" w:lineRule="auto"/>
        <w:ind w:firstLine="426"/>
        <w:rPr>
          <w:rFonts w:cstheme="minorHAnsi"/>
        </w:rPr>
      </w:pPr>
      <w:r>
        <w:rPr>
          <w:rFonts w:cstheme="minorHAnsi"/>
        </w:rPr>
        <w:sym w:font="Wingdings" w:char="F09F"/>
      </w:r>
      <w:r>
        <w:rPr>
          <w:rFonts w:cstheme="minorHAnsi"/>
        </w:rPr>
        <w:tab/>
      </w:r>
      <w:r w:rsidR="0039746B" w:rsidRPr="00803C0F">
        <w:rPr>
          <w:rFonts w:cstheme="minorHAnsi"/>
        </w:rPr>
        <w:t>State performance targets must be expressed in an “objective, quantifiable, and</w:t>
      </w:r>
      <w:r w:rsidRPr="00803C0F">
        <w:rPr>
          <w:rFonts w:cstheme="minorHAnsi"/>
        </w:rPr>
        <w:br/>
      </w:r>
      <w:r>
        <w:rPr>
          <w:rFonts w:cstheme="minorHAnsi"/>
        </w:rPr>
        <w:tab/>
      </w:r>
      <w:r w:rsidR="0039746B" w:rsidRPr="00803C0F">
        <w:rPr>
          <w:rFonts w:cstheme="minorHAnsi"/>
        </w:rPr>
        <w:t>measurable” form and show the progress of the state toward continuously improving</w:t>
      </w:r>
      <w:r w:rsidRPr="00803C0F">
        <w:rPr>
          <w:rFonts w:cstheme="minorHAnsi"/>
        </w:rPr>
        <w:br/>
      </w:r>
      <w:r>
        <w:rPr>
          <w:rFonts w:cstheme="minorHAnsi"/>
        </w:rPr>
        <w:tab/>
      </w:r>
      <w:r w:rsidR="0039746B" w:rsidRPr="00803C0F">
        <w:rPr>
          <w:rFonts w:cstheme="minorHAnsi"/>
        </w:rPr>
        <w:t xml:space="preserve">performance. </w:t>
      </w:r>
    </w:p>
    <w:p w14:paraId="06538906" w14:textId="3DCEDBDB" w:rsidR="00803C0F" w:rsidRPr="00803C0F" w:rsidRDefault="00803C0F" w:rsidP="00803C0F">
      <w:pPr>
        <w:pBdr>
          <w:left w:val="single" w:sz="4" w:space="4" w:color="auto"/>
          <w:right w:val="single" w:sz="4" w:space="4" w:color="auto"/>
        </w:pBdr>
        <w:spacing w:after="0" w:line="240" w:lineRule="auto"/>
        <w:ind w:firstLine="426"/>
        <w:rPr>
          <w:rFonts w:cstheme="minorHAnsi"/>
        </w:rPr>
      </w:pPr>
      <w:r>
        <w:rPr>
          <w:rFonts w:cstheme="minorHAnsi"/>
        </w:rPr>
        <w:sym w:font="Wingdings" w:char="F09F"/>
      </w:r>
      <w:r>
        <w:rPr>
          <w:rFonts w:cstheme="minorHAnsi"/>
        </w:rPr>
        <w:tab/>
      </w:r>
      <w:r w:rsidR="0039746B" w:rsidRPr="00803C0F">
        <w:rPr>
          <w:rFonts w:cstheme="minorHAnsi"/>
        </w:rPr>
        <w:t>Negotiations must take into account five factors: how the benchmark compares with the</w:t>
      </w:r>
      <w:r>
        <w:rPr>
          <w:rFonts w:cstheme="minorHAnsi"/>
        </w:rPr>
        <w:br/>
      </w:r>
      <w:r w:rsidR="0039746B" w:rsidRPr="00803C0F">
        <w:rPr>
          <w:rFonts w:cstheme="minorHAnsi"/>
        </w:rPr>
        <w:t xml:space="preserve"> </w:t>
      </w:r>
      <w:r>
        <w:rPr>
          <w:rFonts w:cstheme="minorHAnsi"/>
        </w:rPr>
        <w:tab/>
      </w:r>
      <w:r w:rsidR="0039746B" w:rsidRPr="00803C0F">
        <w:rPr>
          <w:rFonts w:cstheme="minorHAnsi"/>
        </w:rPr>
        <w:t>performance benchmarks of other states, differences in economic conditions, participant</w:t>
      </w:r>
      <w:r>
        <w:rPr>
          <w:rFonts w:cstheme="minorHAnsi"/>
        </w:rPr>
        <w:br/>
      </w:r>
      <w:r w:rsidR="0039746B" w:rsidRPr="00803C0F">
        <w:rPr>
          <w:rFonts w:cstheme="minorHAnsi"/>
        </w:rPr>
        <w:t xml:space="preserve"> </w:t>
      </w:r>
      <w:r>
        <w:rPr>
          <w:rFonts w:cstheme="minorHAnsi"/>
        </w:rPr>
        <w:tab/>
      </w:r>
      <w:r w:rsidR="0039746B" w:rsidRPr="00803C0F">
        <w:rPr>
          <w:rFonts w:cstheme="minorHAnsi"/>
        </w:rPr>
        <w:t>characteristics, services provided and how the benchmark promotes continuous</w:t>
      </w:r>
      <w:r>
        <w:rPr>
          <w:rFonts w:cstheme="minorHAnsi"/>
        </w:rPr>
        <w:br/>
      </w:r>
      <w:r>
        <w:rPr>
          <w:rFonts w:cstheme="minorHAnsi"/>
        </w:rPr>
        <w:tab/>
        <w:t>improvement</w:t>
      </w:r>
      <w:r w:rsidRPr="00803C0F">
        <w:rPr>
          <w:rFonts w:cstheme="minorHAnsi"/>
        </w:rPr>
        <w:t xml:space="preserve">. </w:t>
      </w:r>
    </w:p>
    <w:p w14:paraId="0F21F43B" w14:textId="3DD0A637" w:rsidR="0039746B" w:rsidRPr="00803C0F" w:rsidRDefault="00803C0F" w:rsidP="00803C0F">
      <w:pPr>
        <w:pBdr>
          <w:left w:val="single" w:sz="4" w:space="4" w:color="auto"/>
          <w:right w:val="single" w:sz="4" w:space="4" w:color="auto"/>
        </w:pBdr>
        <w:spacing w:after="0" w:line="240" w:lineRule="auto"/>
        <w:ind w:firstLine="426"/>
        <w:rPr>
          <w:rFonts w:cstheme="minorHAnsi"/>
        </w:rPr>
      </w:pPr>
      <w:r>
        <w:rPr>
          <w:rFonts w:cstheme="minorHAnsi"/>
        </w:rPr>
        <w:sym w:font="Wingdings" w:char="F09F"/>
      </w:r>
      <w:r>
        <w:rPr>
          <w:rFonts w:cstheme="minorHAnsi"/>
        </w:rPr>
        <w:tab/>
      </w:r>
      <w:r w:rsidR="0039746B" w:rsidRPr="00803C0F">
        <w:rPr>
          <w:rFonts w:cstheme="minorHAnsi"/>
        </w:rPr>
        <w:t>In determining performance targets, there are a number of steps in the negotiation process</w:t>
      </w:r>
      <w:r>
        <w:rPr>
          <w:rFonts w:cstheme="minorHAnsi"/>
        </w:rPr>
        <w:br/>
      </w:r>
      <w:r w:rsidR="0039746B" w:rsidRPr="00803C0F">
        <w:rPr>
          <w:rFonts w:cstheme="minorHAnsi"/>
        </w:rPr>
        <w:t xml:space="preserve"> </w:t>
      </w:r>
      <w:r>
        <w:rPr>
          <w:rFonts w:cstheme="minorHAnsi"/>
        </w:rPr>
        <w:tab/>
      </w:r>
      <w:r w:rsidR="0039746B" w:rsidRPr="00803C0F">
        <w:rPr>
          <w:rFonts w:cstheme="minorHAnsi"/>
        </w:rPr>
        <w:t>to determine performance targets. The U.S. DOL recommend a number of tools and</w:t>
      </w:r>
      <w:r>
        <w:rPr>
          <w:rFonts w:cstheme="minorHAnsi"/>
        </w:rPr>
        <w:br/>
      </w:r>
      <w:r w:rsidR="0039746B" w:rsidRPr="00803C0F">
        <w:rPr>
          <w:rFonts w:cstheme="minorHAnsi"/>
        </w:rPr>
        <w:t xml:space="preserve"> </w:t>
      </w:r>
      <w:r>
        <w:rPr>
          <w:rFonts w:cstheme="minorHAnsi"/>
        </w:rPr>
        <w:tab/>
      </w:r>
      <w:r w:rsidR="0039746B" w:rsidRPr="00803C0F">
        <w:rPr>
          <w:rFonts w:cstheme="minorHAnsi"/>
        </w:rPr>
        <w:t>resources states should review prior to negotiations to ensure these factors have been</w:t>
      </w:r>
      <w:r>
        <w:rPr>
          <w:rFonts w:cstheme="minorHAnsi"/>
        </w:rPr>
        <w:br/>
      </w:r>
      <w:r w:rsidR="0039746B" w:rsidRPr="00803C0F">
        <w:rPr>
          <w:rFonts w:cstheme="minorHAnsi"/>
        </w:rPr>
        <w:t xml:space="preserve"> </w:t>
      </w:r>
      <w:r>
        <w:rPr>
          <w:rFonts w:cstheme="minorHAnsi"/>
        </w:rPr>
        <w:tab/>
      </w:r>
      <w:r w:rsidR="0039746B" w:rsidRPr="00803C0F">
        <w:rPr>
          <w:rFonts w:cstheme="minorHAnsi"/>
        </w:rPr>
        <w:t>considered in determining their proposed level and that there is a sound rationale for their</w:t>
      </w:r>
      <w:r>
        <w:rPr>
          <w:rFonts w:cstheme="minorHAnsi"/>
        </w:rPr>
        <w:br/>
      </w:r>
      <w:r w:rsidR="0039746B" w:rsidRPr="00803C0F">
        <w:rPr>
          <w:rFonts w:cstheme="minorHAnsi"/>
        </w:rPr>
        <w:t xml:space="preserve"> </w:t>
      </w:r>
      <w:r>
        <w:rPr>
          <w:rFonts w:cstheme="minorHAnsi"/>
        </w:rPr>
        <w:tab/>
      </w:r>
      <w:r w:rsidR="0039746B" w:rsidRPr="00803C0F">
        <w:rPr>
          <w:rFonts w:cstheme="minorHAnsi"/>
        </w:rPr>
        <w:t xml:space="preserve">proposed levels of performance. </w:t>
      </w:r>
    </w:p>
    <w:p w14:paraId="24A341B8" w14:textId="4F021B2D" w:rsidR="0039746B" w:rsidRPr="00803C0F" w:rsidRDefault="00803C0F" w:rsidP="00803C0F">
      <w:pPr>
        <w:pBdr>
          <w:left w:val="single" w:sz="4" w:space="4" w:color="auto"/>
          <w:right w:val="single" w:sz="4" w:space="4" w:color="auto"/>
        </w:pBdr>
        <w:spacing w:after="0" w:line="240" w:lineRule="auto"/>
        <w:ind w:firstLine="426"/>
        <w:rPr>
          <w:rFonts w:cstheme="minorHAnsi"/>
        </w:rPr>
      </w:pPr>
      <w:r>
        <w:rPr>
          <w:rFonts w:cstheme="minorHAnsi"/>
        </w:rPr>
        <w:sym w:font="Wingdings" w:char="F09F"/>
      </w:r>
      <w:r>
        <w:rPr>
          <w:rFonts w:cstheme="minorHAnsi"/>
        </w:rPr>
        <w:tab/>
      </w:r>
      <w:r w:rsidR="0039746B" w:rsidRPr="00803C0F">
        <w:rPr>
          <w:rFonts w:cstheme="minorHAnsi"/>
        </w:rPr>
        <w:t>The U.S. DOL advises states to use their historical, annual performance information to</w:t>
      </w:r>
      <w:r>
        <w:rPr>
          <w:rFonts w:cstheme="minorHAnsi"/>
        </w:rPr>
        <w:br/>
      </w:r>
      <w:r w:rsidR="0039746B" w:rsidRPr="00803C0F">
        <w:rPr>
          <w:rFonts w:cstheme="minorHAnsi"/>
        </w:rPr>
        <w:t xml:space="preserve"> </w:t>
      </w:r>
      <w:r>
        <w:rPr>
          <w:rFonts w:cstheme="minorHAnsi"/>
        </w:rPr>
        <w:tab/>
      </w:r>
      <w:r w:rsidR="0039746B" w:rsidRPr="00803C0F">
        <w:rPr>
          <w:rFonts w:cstheme="minorHAnsi"/>
        </w:rPr>
        <w:t xml:space="preserve">inform projected levels of performance. </w:t>
      </w:r>
    </w:p>
    <w:p w14:paraId="261CF1DC" w14:textId="4B37D588" w:rsidR="0039746B" w:rsidRPr="00803C0F" w:rsidRDefault="00803C0F" w:rsidP="00803C0F">
      <w:pPr>
        <w:pBdr>
          <w:left w:val="single" w:sz="4" w:space="4" w:color="auto"/>
          <w:right w:val="single" w:sz="4" w:space="4" w:color="auto"/>
        </w:pBdr>
        <w:spacing w:after="0" w:line="240" w:lineRule="auto"/>
        <w:ind w:firstLine="426"/>
        <w:rPr>
          <w:rFonts w:cstheme="minorHAnsi"/>
        </w:rPr>
      </w:pPr>
      <w:r>
        <w:rPr>
          <w:rFonts w:cstheme="minorHAnsi"/>
        </w:rPr>
        <w:sym w:font="Wingdings" w:char="F09F"/>
      </w:r>
      <w:r>
        <w:rPr>
          <w:rFonts w:cstheme="minorHAnsi"/>
        </w:rPr>
        <w:tab/>
      </w:r>
      <w:r w:rsidR="0039746B" w:rsidRPr="00803C0F">
        <w:rPr>
          <w:rFonts w:cstheme="minorHAnsi"/>
        </w:rPr>
        <w:t>In addition, the states should be aware of the GPRA goals of the U.S. DOL. These are the</w:t>
      </w:r>
      <w:r>
        <w:rPr>
          <w:rFonts w:cstheme="minorHAnsi"/>
        </w:rPr>
        <w:br/>
      </w:r>
      <w:r w:rsidR="0039746B" w:rsidRPr="00803C0F">
        <w:rPr>
          <w:rFonts w:cstheme="minorHAnsi"/>
        </w:rPr>
        <w:t xml:space="preserve"> </w:t>
      </w:r>
      <w:r>
        <w:rPr>
          <w:rFonts w:cstheme="minorHAnsi"/>
        </w:rPr>
        <w:tab/>
      </w:r>
      <w:r w:rsidR="0039746B" w:rsidRPr="00803C0F">
        <w:rPr>
          <w:rFonts w:cstheme="minorHAnsi"/>
        </w:rPr>
        <w:t>performance goals established at the national level across all 20 measures, based upon the</w:t>
      </w:r>
      <w:r>
        <w:rPr>
          <w:rFonts w:cstheme="minorHAnsi"/>
        </w:rPr>
        <w:br/>
      </w:r>
      <w:r w:rsidR="0039746B" w:rsidRPr="00803C0F">
        <w:rPr>
          <w:rFonts w:cstheme="minorHAnsi"/>
        </w:rPr>
        <w:t xml:space="preserve"> </w:t>
      </w:r>
      <w:r>
        <w:rPr>
          <w:rFonts w:cstheme="minorHAnsi"/>
        </w:rPr>
        <w:tab/>
      </w:r>
      <w:r w:rsidR="0039746B" w:rsidRPr="00803C0F">
        <w:rPr>
          <w:rFonts w:cstheme="minorHAnsi"/>
        </w:rPr>
        <w:t>estimated effect of unemployment rates on program performance outcomes and the Office</w:t>
      </w:r>
      <w:r>
        <w:rPr>
          <w:rFonts w:cstheme="minorHAnsi"/>
        </w:rPr>
        <w:br/>
      </w:r>
      <w:r w:rsidR="0039746B" w:rsidRPr="00803C0F">
        <w:rPr>
          <w:rFonts w:cstheme="minorHAnsi"/>
        </w:rPr>
        <w:t xml:space="preserve"> </w:t>
      </w:r>
      <w:r>
        <w:rPr>
          <w:rFonts w:cstheme="minorHAnsi"/>
        </w:rPr>
        <w:tab/>
      </w:r>
      <w:r w:rsidR="0039746B" w:rsidRPr="00803C0F">
        <w:rPr>
          <w:rFonts w:cstheme="minorHAnsi"/>
        </w:rPr>
        <w:t>of Management and Budget’s (OMB) assumptions about future unemployment rates and the</w:t>
      </w:r>
      <w:r>
        <w:rPr>
          <w:rFonts w:cstheme="minorHAnsi"/>
        </w:rPr>
        <w:br/>
      </w:r>
      <w:r w:rsidR="0039746B" w:rsidRPr="00803C0F">
        <w:rPr>
          <w:rFonts w:cstheme="minorHAnsi"/>
        </w:rPr>
        <w:t xml:space="preserve"> </w:t>
      </w:r>
      <w:r>
        <w:rPr>
          <w:rFonts w:cstheme="minorHAnsi"/>
        </w:rPr>
        <w:tab/>
      </w:r>
      <w:r w:rsidR="0039746B" w:rsidRPr="00803C0F">
        <w:rPr>
          <w:rFonts w:cstheme="minorHAnsi"/>
        </w:rPr>
        <w:t xml:space="preserve">Consumer Price Index-Urban Consumers. </w:t>
      </w:r>
    </w:p>
    <w:p w14:paraId="3F77395F" w14:textId="1EAD4608" w:rsidR="0039746B" w:rsidRPr="00803C0F" w:rsidRDefault="00803C0F" w:rsidP="00803C0F">
      <w:pPr>
        <w:pBdr>
          <w:left w:val="single" w:sz="4" w:space="4" w:color="auto"/>
          <w:right w:val="single" w:sz="4" w:space="4" w:color="auto"/>
        </w:pBdr>
        <w:spacing w:after="0" w:line="240" w:lineRule="auto"/>
        <w:ind w:firstLine="426"/>
        <w:rPr>
          <w:rFonts w:cstheme="minorHAnsi"/>
        </w:rPr>
      </w:pPr>
      <w:r>
        <w:rPr>
          <w:rFonts w:cstheme="minorHAnsi"/>
        </w:rPr>
        <w:sym w:font="Wingdings" w:char="F09F"/>
      </w:r>
      <w:r>
        <w:rPr>
          <w:rFonts w:cstheme="minorHAnsi"/>
        </w:rPr>
        <w:tab/>
      </w:r>
      <w:r w:rsidR="0039746B" w:rsidRPr="00803C0F">
        <w:rPr>
          <w:rFonts w:cstheme="minorHAnsi"/>
        </w:rPr>
        <w:t>The WIA encourages states to serve those individuals with barriers to employment and</w:t>
      </w:r>
      <w:r>
        <w:rPr>
          <w:rFonts w:cstheme="minorHAnsi"/>
        </w:rPr>
        <w:br/>
      </w:r>
      <w:r w:rsidR="0039746B" w:rsidRPr="00803C0F">
        <w:rPr>
          <w:rFonts w:cstheme="minorHAnsi"/>
        </w:rPr>
        <w:t xml:space="preserve"> </w:t>
      </w:r>
      <w:r>
        <w:rPr>
          <w:rFonts w:cstheme="minorHAnsi"/>
        </w:rPr>
        <w:tab/>
      </w:r>
      <w:r w:rsidR="0039746B" w:rsidRPr="00803C0F">
        <w:rPr>
          <w:rFonts w:cstheme="minorHAnsi"/>
        </w:rPr>
        <w:t>individuals more at-risk of not connecting to the labour market, including those who were</w:t>
      </w:r>
      <w:r>
        <w:rPr>
          <w:rFonts w:cstheme="minorHAnsi"/>
        </w:rPr>
        <w:br/>
      </w:r>
      <w:r w:rsidR="0039746B" w:rsidRPr="00803C0F">
        <w:rPr>
          <w:rFonts w:cstheme="minorHAnsi"/>
        </w:rPr>
        <w:t xml:space="preserve"> </w:t>
      </w:r>
      <w:r>
        <w:rPr>
          <w:rFonts w:cstheme="minorHAnsi"/>
        </w:rPr>
        <w:tab/>
      </w:r>
      <w:r w:rsidR="0039746B" w:rsidRPr="00803C0F">
        <w:rPr>
          <w:rFonts w:cstheme="minorHAnsi"/>
        </w:rPr>
        <w:t>formerly incarcerated, the homeless, Veterans, individuals with disabilities and out-of-school</w:t>
      </w:r>
      <w:r>
        <w:rPr>
          <w:rFonts w:cstheme="minorHAnsi"/>
        </w:rPr>
        <w:br/>
      </w:r>
      <w:r w:rsidR="0039746B" w:rsidRPr="00803C0F">
        <w:rPr>
          <w:rFonts w:cstheme="minorHAnsi"/>
        </w:rPr>
        <w:t xml:space="preserve"> </w:t>
      </w:r>
      <w:r>
        <w:rPr>
          <w:rFonts w:cstheme="minorHAnsi"/>
        </w:rPr>
        <w:tab/>
      </w:r>
      <w:r w:rsidR="0039746B" w:rsidRPr="00803C0F">
        <w:rPr>
          <w:rFonts w:cstheme="minorHAnsi"/>
        </w:rPr>
        <w:t>youth. For instance, Section 112 (b)(17)(A)(iv) requires that the State Plan describe how the</w:t>
      </w:r>
      <w:r>
        <w:rPr>
          <w:rFonts w:cstheme="minorHAnsi"/>
        </w:rPr>
        <w:br/>
      </w:r>
      <w:r w:rsidR="0039746B" w:rsidRPr="00803C0F">
        <w:rPr>
          <w:rFonts w:cstheme="minorHAnsi"/>
        </w:rPr>
        <w:t xml:space="preserve"> </w:t>
      </w:r>
      <w:r>
        <w:rPr>
          <w:rFonts w:cstheme="minorHAnsi"/>
        </w:rPr>
        <w:tab/>
      </w:r>
      <w:r w:rsidR="0039746B" w:rsidRPr="00803C0F">
        <w:rPr>
          <w:rFonts w:cstheme="minorHAnsi"/>
        </w:rPr>
        <w:t>state will serve the employment and training needs of dislocated workers, low-income</w:t>
      </w:r>
      <w:r>
        <w:rPr>
          <w:rFonts w:cstheme="minorHAnsi"/>
        </w:rPr>
        <w:br/>
      </w:r>
      <w:r w:rsidR="0039746B" w:rsidRPr="00803C0F">
        <w:rPr>
          <w:rFonts w:cstheme="minorHAnsi"/>
        </w:rPr>
        <w:t xml:space="preserve"> </w:t>
      </w:r>
      <w:r>
        <w:rPr>
          <w:rFonts w:cstheme="minorHAnsi"/>
        </w:rPr>
        <w:tab/>
      </w:r>
      <w:r w:rsidR="0039746B" w:rsidRPr="00803C0F">
        <w:rPr>
          <w:rFonts w:cstheme="minorHAnsi"/>
        </w:rPr>
        <w:t>individuals, individuals training for non-traditional employment and other individuals with</w:t>
      </w:r>
      <w:r>
        <w:rPr>
          <w:rFonts w:cstheme="minorHAnsi"/>
        </w:rPr>
        <w:br/>
      </w:r>
      <w:r w:rsidR="0039746B" w:rsidRPr="00803C0F">
        <w:rPr>
          <w:rFonts w:cstheme="minorHAnsi"/>
        </w:rPr>
        <w:t xml:space="preserve"> </w:t>
      </w:r>
      <w:r>
        <w:rPr>
          <w:rFonts w:cstheme="minorHAnsi"/>
        </w:rPr>
        <w:tab/>
      </w:r>
      <w:r w:rsidR="0039746B" w:rsidRPr="00803C0F">
        <w:rPr>
          <w:rFonts w:cstheme="minorHAnsi"/>
        </w:rPr>
        <w:t>multiple barriers to employment (including older individuals and individuals with</w:t>
      </w:r>
      <w:r>
        <w:rPr>
          <w:rFonts w:cstheme="minorHAnsi"/>
        </w:rPr>
        <w:br/>
      </w:r>
      <w:r w:rsidR="0039746B" w:rsidRPr="00803C0F">
        <w:rPr>
          <w:rFonts w:cstheme="minorHAnsi"/>
        </w:rPr>
        <w:t xml:space="preserve"> </w:t>
      </w:r>
      <w:r>
        <w:rPr>
          <w:rFonts w:cstheme="minorHAnsi"/>
        </w:rPr>
        <w:tab/>
      </w:r>
      <w:r w:rsidR="0039746B" w:rsidRPr="00803C0F">
        <w:rPr>
          <w:rFonts w:cstheme="minorHAnsi"/>
        </w:rPr>
        <w:t>disabilities). Section 134(d)(4)(E) requires that priority must be given to recipients of public</w:t>
      </w:r>
      <w:r>
        <w:rPr>
          <w:rFonts w:cstheme="minorHAnsi"/>
        </w:rPr>
        <w:br/>
      </w:r>
      <w:r w:rsidR="0039746B" w:rsidRPr="00803C0F">
        <w:rPr>
          <w:rFonts w:cstheme="minorHAnsi"/>
        </w:rPr>
        <w:t xml:space="preserve"> </w:t>
      </w:r>
      <w:r>
        <w:rPr>
          <w:rFonts w:cstheme="minorHAnsi"/>
        </w:rPr>
        <w:tab/>
      </w:r>
      <w:r w:rsidR="0039746B" w:rsidRPr="00803C0F">
        <w:rPr>
          <w:rFonts w:cstheme="minorHAnsi"/>
        </w:rPr>
        <w:t>assistance and other low-income individuals for intensive services and training services.</w:t>
      </w:r>
      <w:r>
        <w:rPr>
          <w:rFonts w:cstheme="minorHAnsi"/>
        </w:rPr>
        <w:br/>
      </w:r>
      <w:r w:rsidR="0039746B" w:rsidRPr="00803C0F">
        <w:rPr>
          <w:rFonts w:cstheme="minorHAnsi"/>
        </w:rPr>
        <w:t xml:space="preserve"> </w:t>
      </w:r>
      <w:r>
        <w:rPr>
          <w:rFonts w:cstheme="minorHAnsi"/>
        </w:rPr>
        <w:tab/>
      </w:r>
      <w:r w:rsidR="0039746B" w:rsidRPr="00803C0F">
        <w:rPr>
          <w:rFonts w:cstheme="minorHAnsi"/>
        </w:rPr>
        <w:t>Performance targets can be adjusted to accommodate states serving a high number of</w:t>
      </w:r>
      <w:r>
        <w:rPr>
          <w:rFonts w:cstheme="minorHAnsi"/>
        </w:rPr>
        <w:br/>
      </w:r>
      <w:r w:rsidR="0039746B" w:rsidRPr="00803C0F">
        <w:rPr>
          <w:rFonts w:cstheme="minorHAnsi"/>
        </w:rPr>
        <w:t xml:space="preserve"> </w:t>
      </w:r>
      <w:r>
        <w:rPr>
          <w:rFonts w:cstheme="minorHAnsi"/>
        </w:rPr>
        <w:tab/>
      </w:r>
      <w:r w:rsidR="0039746B" w:rsidRPr="00803C0F">
        <w:rPr>
          <w:rFonts w:cstheme="minorHAnsi"/>
        </w:rPr>
        <w:t>individuals with significant barriers to employment who need greater servicing to achieve a</w:t>
      </w:r>
      <w:r>
        <w:rPr>
          <w:rFonts w:cstheme="minorHAnsi"/>
        </w:rPr>
        <w:br/>
      </w:r>
      <w:r w:rsidR="0039746B" w:rsidRPr="00803C0F">
        <w:rPr>
          <w:rFonts w:cstheme="minorHAnsi"/>
        </w:rPr>
        <w:t xml:space="preserve"> </w:t>
      </w:r>
      <w:r>
        <w:rPr>
          <w:rFonts w:cstheme="minorHAnsi"/>
        </w:rPr>
        <w:tab/>
      </w:r>
      <w:r w:rsidR="0039746B" w:rsidRPr="00803C0F">
        <w:rPr>
          <w:rFonts w:cstheme="minorHAnsi"/>
        </w:rPr>
        <w:t>positive outcome. During the negotiation process, states must provide data to support a</w:t>
      </w:r>
      <w:r>
        <w:rPr>
          <w:rFonts w:cstheme="minorHAnsi"/>
        </w:rPr>
        <w:br/>
      </w:r>
      <w:r w:rsidR="0039746B" w:rsidRPr="00803C0F">
        <w:rPr>
          <w:rFonts w:cstheme="minorHAnsi"/>
        </w:rPr>
        <w:t xml:space="preserve"> </w:t>
      </w:r>
      <w:r>
        <w:rPr>
          <w:rFonts w:cstheme="minorHAnsi"/>
        </w:rPr>
        <w:tab/>
      </w:r>
      <w:r w:rsidR="0039746B" w:rsidRPr="00803C0F">
        <w:rPr>
          <w:rFonts w:cstheme="minorHAnsi"/>
        </w:rPr>
        <w:t xml:space="preserve">target adjustment based on the number of individuals with barriers currently being served. </w:t>
      </w:r>
    </w:p>
    <w:p w14:paraId="5BE0D10B" w14:textId="141DD772" w:rsidR="0039746B" w:rsidRPr="00803C0F" w:rsidRDefault="00803C0F" w:rsidP="00803C0F">
      <w:pPr>
        <w:pBdr>
          <w:left w:val="single" w:sz="4" w:space="4" w:color="auto"/>
          <w:right w:val="single" w:sz="4" w:space="4" w:color="auto"/>
        </w:pBdr>
        <w:spacing w:after="0" w:line="240" w:lineRule="auto"/>
        <w:ind w:firstLine="426"/>
        <w:rPr>
          <w:rFonts w:cstheme="minorHAnsi"/>
        </w:rPr>
      </w:pPr>
      <w:r>
        <w:rPr>
          <w:rFonts w:cstheme="minorHAnsi"/>
        </w:rPr>
        <w:sym w:font="Wingdings" w:char="F09F"/>
      </w:r>
      <w:r>
        <w:rPr>
          <w:rFonts w:cstheme="minorHAnsi"/>
        </w:rPr>
        <w:tab/>
      </w:r>
      <w:r w:rsidR="0039746B" w:rsidRPr="00803C0F">
        <w:rPr>
          <w:rFonts w:cstheme="minorHAnsi"/>
        </w:rPr>
        <w:t>The next step in the process of reaching an agreement on state performance levels is for the</w:t>
      </w:r>
      <w:r>
        <w:rPr>
          <w:rFonts w:cstheme="minorHAnsi"/>
        </w:rPr>
        <w:br/>
      </w:r>
      <w:r w:rsidR="0039746B" w:rsidRPr="00803C0F">
        <w:rPr>
          <w:rFonts w:cstheme="minorHAnsi"/>
        </w:rPr>
        <w:t xml:space="preserve"> </w:t>
      </w:r>
      <w:r>
        <w:rPr>
          <w:rFonts w:cstheme="minorHAnsi"/>
        </w:rPr>
        <w:tab/>
      </w:r>
      <w:r w:rsidR="0039746B" w:rsidRPr="00803C0F">
        <w:rPr>
          <w:rFonts w:cstheme="minorHAnsi"/>
        </w:rPr>
        <w:t>State to submit the proposed levels to the Regional Administrator serving the state. The</w:t>
      </w:r>
      <w:r>
        <w:rPr>
          <w:rFonts w:cstheme="minorHAnsi"/>
        </w:rPr>
        <w:br/>
      </w:r>
      <w:r w:rsidR="0039746B" w:rsidRPr="00803C0F">
        <w:rPr>
          <w:rFonts w:cstheme="minorHAnsi"/>
        </w:rPr>
        <w:t xml:space="preserve"> </w:t>
      </w:r>
      <w:r>
        <w:rPr>
          <w:rFonts w:cstheme="minorHAnsi"/>
        </w:rPr>
        <w:tab/>
      </w:r>
      <w:r w:rsidR="0039746B" w:rsidRPr="00803C0F">
        <w:rPr>
          <w:rFonts w:cstheme="minorHAnsi"/>
        </w:rPr>
        <w:t>state is expected to provide the methodology used for developing the proposed levels of</w:t>
      </w:r>
      <w:r>
        <w:rPr>
          <w:rFonts w:cstheme="minorHAnsi"/>
        </w:rPr>
        <w:br/>
      </w:r>
      <w:r w:rsidR="0039746B" w:rsidRPr="00803C0F">
        <w:rPr>
          <w:rFonts w:cstheme="minorHAnsi"/>
        </w:rPr>
        <w:t xml:space="preserve"> </w:t>
      </w:r>
      <w:r>
        <w:rPr>
          <w:rFonts w:cstheme="minorHAnsi"/>
        </w:rPr>
        <w:tab/>
      </w:r>
      <w:r w:rsidR="0039746B" w:rsidRPr="00803C0F">
        <w:rPr>
          <w:rFonts w:cstheme="minorHAnsi"/>
        </w:rPr>
        <w:t>performance and how the target will promote continuous improvement in state</w:t>
      </w:r>
      <w:r>
        <w:rPr>
          <w:rFonts w:cstheme="minorHAnsi"/>
        </w:rPr>
        <w:br/>
      </w:r>
      <w:r w:rsidR="0039746B" w:rsidRPr="00803C0F">
        <w:rPr>
          <w:rFonts w:cstheme="minorHAnsi"/>
        </w:rPr>
        <w:t xml:space="preserve"> </w:t>
      </w:r>
      <w:r>
        <w:rPr>
          <w:rFonts w:cstheme="minorHAnsi"/>
        </w:rPr>
        <w:tab/>
      </w:r>
      <w:r w:rsidR="0039746B" w:rsidRPr="00803C0F">
        <w:rPr>
          <w:rFonts w:cstheme="minorHAnsi"/>
        </w:rPr>
        <w:t>performance. The adjustments made by the state to its proposed performance standard can</w:t>
      </w:r>
      <w:r>
        <w:rPr>
          <w:rFonts w:cstheme="minorHAnsi"/>
        </w:rPr>
        <w:br/>
      </w:r>
      <w:r w:rsidR="0039746B" w:rsidRPr="00803C0F">
        <w:rPr>
          <w:rFonts w:cstheme="minorHAnsi"/>
        </w:rPr>
        <w:t xml:space="preserve"> </w:t>
      </w:r>
      <w:r>
        <w:rPr>
          <w:rFonts w:cstheme="minorHAnsi"/>
        </w:rPr>
        <w:tab/>
      </w:r>
      <w:r w:rsidR="0039746B" w:rsidRPr="00803C0F">
        <w:rPr>
          <w:rFonts w:cstheme="minorHAnsi"/>
        </w:rPr>
        <w:t>be highly subjective and dependent on the regional office accepting the adjustment</w:t>
      </w:r>
      <w:r>
        <w:rPr>
          <w:rFonts w:cstheme="minorHAnsi"/>
        </w:rPr>
        <w:br/>
      </w:r>
      <w:r w:rsidR="0039746B" w:rsidRPr="00803C0F">
        <w:rPr>
          <w:rFonts w:cstheme="minorHAnsi"/>
        </w:rPr>
        <w:t xml:space="preserve"> </w:t>
      </w:r>
      <w:r>
        <w:rPr>
          <w:rFonts w:cstheme="minorHAnsi"/>
        </w:rPr>
        <w:tab/>
      </w:r>
      <w:r w:rsidR="0039746B" w:rsidRPr="00803C0F">
        <w:rPr>
          <w:rFonts w:cstheme="minorHAnsi"/>
        </w:rPr>
        <w:t xml:space="preserve">procedure. The adjustment methodologies employed are also not consistent across states.  </w:t>
      </w:r>
    </w:p>
    <w:p w14:paraId="5AC08389" w14:textId="5C70C61B" w:rsidR="0039746B" w:rsidRPr="00803C0F" w:rsidRDefault="00803C0F" w:rsidP="00803C0F">
      <w:pPr>
        <w:pBdr>
          <w:left w:val="single" w:sz="4" w:space="4" w:color="auto"/>
          <w:bottom w:val="single" w:sz="4" w:space="1" w:color="auto"/>
          <w:right w:val="single" w:sz="4" w:space="4" w:color="auto"/>
        </w:pBdr>
        <w:spacing w:after="0" w:line="240" w:lineRule="auto"/>
        <w:ind w:firstLine="426"/>
        <w:rPr>
          <w:rFonts w:cstheme="minorHAnsi"/>
        </w:rPr>
      </w:pPr>
      <w:r>
        <w:rPr>
          <w:rFonts w:cstheme="minorHAnsi"/>
        </w:rPr>
        <w:sym w:font="Wingdings" w:char="F09F"/>
      </w:r>
      <w:r>
        <w:rPr>
          <w:rFonts w:cstheme="minorHAnsi"/>
        </w:rPr>
        <w:tab/>
      </w:r>
      <w:r w:rsidR="0039746B" w:rsidRPr="00803C0F">
        <w:rPr>
          <w:rFonts w:cstheme="minorHAnsi"/>
        </w:rPr>
        <w:t>The regional office reviews the analyses used by the state to develop the proposed</w:t>
      </w:r>
      <w:r>
        <w:rPr>
          <w:rFonts w:cstheme="minorHAnsi"/>
        </w:rPr>
        <w:br/>
      </w:r>
      <w:r w:rsidR="0039746B" w:rsidRPr="00803C0F">
        <w:rPr>
          <w:rFonts w:cstheme="minorHAnsi"/>
        </w:rPr>
        <w:t xml:space="preserve"> </w:t>
      </w:r>
      <w:r>
        <w:rPr>
          <w:rFonts w:cstheme="minorHAnsi"/>
        </w:rPr>
        <w:tab/>
      </w:r>
      <w:r w:rsidR="0039746B" w:rsidRPr="00803C0F">
        <w:rPr>
          <w:rFonts w:cstheme="minorHAnsi"/>
        </w:rPr>
        <w:t>performance levels and works with the state to set mutually agreed upon levels of</w:t>
      </w:r>
      <w:r>
        <w:rPr>
          <w:rFonts w:cstheme="minorHAnsi"/>
        </w:rPr>
        <w:br/>
      </w:r>
      <w:r w:rsidR="0039746B" w:rsidRPr="00803C0F">
        <w:rPr>
          <w:rFonts w:cstheme="minorHAnsi"/>
        </w:rPr>
        <w:t xml:space="preserve"> </w:t>
      </w:r>
      <w:r>
        <w:rPr>
          <w:rFonts w:cstheme="minorHAnsi"/>
        </w:rPr>
        <w:tab/>
      </w:r>
      <w:r w:rsidR="0039746B" w:rsidRPr="00803C0F">
        <w:rPr>
          <w:rFonts w:cstheme="minorHAnsi"/>
        </w:rPr>
        <w:t>performance. Regional offices will take into account the environmental factors addressed by</w:t>
      </w:r>
      <w:r>
        <w:rPr>
          <w:rFonts w:cstheme="minorHAnsi"/>
        </w:rPr>
        <w:br/>
      </w:r>
      <w:r w:rsidR="0039746B" w:rsidRPr="00803C0F">
        <w:rPr>
          <w:rFonts w:cstheme="minorHAnsi"/>
        </w:rPr>
        <w:t xml:space="preserve"> </w:t>
      </w:r>
      <w:r>
        <w:rPr>
          <w:rFonts w:cstheme="minorHAnsi"/>
        </w:rPr>
        <w:tab/>
      </w:r>
      <w:r w:rsidR="0039746B" w:rsidRPr="00803C0F">
        <w:rPr>
          <w:rFonts w:cstheme="minorHAnsi"/>
        </w:rPr>
        <w:t>the state, including current and future economic conditions. The regional office will consider</w:t>
      </w:r>
      <w:r>
        <w:rPr>
          <w:rFonts w:cstheme="minorHAnsi"/>
        </w:rPr>
        <w:br/>
      </w:r>
      <w:r w:rsidR="0039746B" w:rsidRPr="00803C0F">
        <w:rPr>
          <w:rFonts w:cstheme="minorHAnsi"/>
        </w:rPr>
        <w:t xml:space="preserve"> </w:t>
      </w:r>
      <w:r>
        <w:rPr>
          <w:rFonts w:cstheme="minorHAnsi"/>
        </w:rPr>
        <w:tab/>
      </w:r>
      <w:r w:rsidR="0039746B" w:rsidRPr="00803C0F">
        <w:rPr>
          <w:rFonts w:cstheme="minorHAnsi"/>
        </w:rPr>
        <w:t>the proposed levels in light of previously negotiated goals, past performance results, and the</w:t>
      </w:r>
      <w:r>
        <w:rPr>
          <w:rFonts w:cstheme="minorHAnsi"/>
        </w:rPr>
        <w:br/>
      </w:r>
      <w:r w:rsidR="0039746B" w:rsidRPr="00803C0F">
        <w:rPr>
          <w:rFonts w:cstheme="minorHAnsi"/>
        </w:rPr>
        <w:t xml:space="preserve"> </w:t>
      </w:r>
      <w:r>
        <w:rPr>
          <w:rFonts w:cstheme="minorHAnsi"/>
        </w:rPr>
        <w:tab/>
      </w:r>
      <w:r w:rsidR="0039746B" w:rsidRPr="00803C0F">
        <w:rPr>
          <w:rFonts w:cstheme="minorHAnsi"/>
        </w:rPr>
        <w:t xml:space="preserve">national GPRA goals. </w:t>
      </w:r>
    </w:p>
    <w:p w14:paraId="2683183B" w14:textId="7053329E" w:rsidR="0039746B" w:rsidRPr="00902727" w:rsidRDefault="00902727" w:rsidP="00902727">
      <w:pPr>
        <w:pBdr>
          <w:top w:val="single" w:sz="4" w:space="1" w:color="auto"/>
          <w:left w:val="single" w:sz="4" w:space="4" w:color="auto"/>
          <w:bottom w:val="single" w:sz="4" w:space="1" w:color="auto"/>
          <w:right w:val="single" w:sz="4" w:space="4" w:color="auto"/>
        </w:pBdr>
        <w:spacing w:after="0" w:line="240" w:lineRule="auto"/>
        <w:ind w:firstLine="426"/>
        <w:rPr>
          <w:rFonts w:cstheme="minorHAnsi"/>
        </w:rPr>
      </w:pPr>
      <w:r>
        <w:rPr>
          <w:rFonts w:cstheme="minorHAnsi"/>
        </w:rPr>
        <w:lastRenderedPageBreak/>
        <w:sym w:font="Wingdings" w:char="F09F"/>
      </w:r>
      <w:r>
        <w:rPr>
          <w:rFonts w:cstheme="minorHAnsi"/>
        </w:rPr>
        <w:tab/>
      </w:r>
      <w:r w:rsidR="0039746B" w:rsidRPr="00803C0F">
        <w:rPr>
          <w:rFonts w:cstheme="minorHAnsi"/>
        </w:rPr>
        <w:t>The negotiations focus on whether each performance level appears appropriate and the</w:t>
      </w:r>
      <w:r>
        <w:rPr>
          <w:rFonts w:cstheme="minorHAnsi"/>
        </w:rPr>
        <w:br/>
      </w:r>
      <w:r w:rsidR="0039746B" w:rsidRPr="00803C0F">
        <w:rPr>
          <w:rFonts w:cstheme="minorHAnsi"/>
        </w:rPr>
        <w:t xml:space="preserve"> </w:t>
      </w:r>
      <w:r>
        <w:rPr>
          <w:rFonts w:cstheme="minorHAnsi"/>
        </w:rPr>
        <w:tab/>
      </w:r>
      <w:r w:rsidR="0039746B" w:rsidRPr="00803C0F">
        <w:rPr>
          <w:rFonts w:cstheme="minorHAnsi"/>
        </w:rPr>
        <w:t>adequacy of any information the state offers to substantiate each level. If regional offices</w:t>
      </w:r>
      <w:r>
        <w:rPr>
          <w:rFonts w:cstheme="minorHAnsi"/>
        </w:rPr>
        <w:br/>
      </w:r>
      <w:r w:rsidR="0039746B" w:rsidRPr="00803C0F">
        <w:rPr>
          <w:rFonts w:cstheme="minorHAnsi"/>
        </w:rPr>
        <w:t xml:space="preserve"> </w:t>
      </w:r>
      <w:r>
        <w:rPr>
          <w:rFonts w:cstheme="minorHAnsi"/>
        </w:rPr>
        <w:tab/>
      </w:r>
      <w:r w:rsidR="0039746B" w:rsidRPr="00803C0F">
        <w:rPr>
          <w:rFonts w:cstheme="minorHAnsi"/>
        </w:rPr>
        <w:t>determine through their analysis that a state could increase its proposed performance levels</w:t>
      </w:r>
      <w:r>
        <w:rPr>
          <w:rFonts w:cstheme="minorHAnsi"/>
        </w:rPr>
        <w:br/>
      </w:r>
      <w:r w:rsidR="0039746B" w:rsidRPr="00803C0F">
        <w:rPr>
          <w:rFonts w:cstheme="minorHAnsi"/>
        </w:rPr>
        <w:t xml:space="preserve"> </w:t>
      </w:r>
      <w:r>
        <w:rPr>
          <w:rFonts w:cstheme="minorHAnsi"/>
        </w:rPr>
        <w:tab/>
      </w:r>
      <w:r w:rsidR="0039746B" w:rsidRPr="00803C0F">
        <w:rPr>
          <w:rFonts w:cstheme="minorHAnsi"/>
        </w:rPr>
        <w:t>to more fully support continuous improvement and customer satisfaction strategies, they</w:t>
      </w:r>
      <w:r>
        <w:rPr>
          <w:rFonts w:cstheme="minorHAnsi"/>
        </w:rPr>
        <w:br/>
      </w:r>
      <w:r w:rsidR="0039746B" w:rsidRPr="00803C0F">
        <w:rPr>
          <w:rFonts w:cstheme="minorHAnsi"/>
        </w:rPr>
        <w:t xml:space="preserve"> </w:t>
      </w:r>
      <w:r>
        <w:rPr>
          <w:rFonts w:cstheme="minorHAnsi"/>
        </w:rPr>
        <w:tab/>
      </w:r>
      <w:r w:rsidR="0039746B" w:rsidRPr="00803C0F">
        <w:rPr>
          <w:rFonts w:cstheme="minorHAnsi"/>
        </w:rPr>
        <w:t>will negotiate with the state to obtain higher mutually agreed-upon performance levels.</w:t>
      </w:r>
    </w:p>
    <w:p w14:paraId="69B6DB74" w14:textId="77777777" w:rsidR="0085142F" w:rsidRPr="00FC03F0" w:rsidRDefault="0085142F" w:rsidP="00C811CC">
      <w:pPr>
        <w:autoSpaceDE w:val="0"/>
        <w:autoSpaceDN w:val="0"/>
        <w:adjustRightInd w:val="0"/>
        <w:spacing w:after="0" w:line="240" w:lineRule="auto"/>
        <w:jc w:val="both"/>
        <w:rPr>
          <w:rFonts w:cstheme="minorHAnsi"/>
          <w:color w:val="000000"/>
          <w:sz w:val="24"/>
          <w:szCs w:val="24"/>
        </w:rPr>
      </w:pPr>
    </w:p>
    <w:p w14:paraId="270DCE5A" w14:textId="77777777" w:rsidR="00CB2277" w:rsidRPr="00FE380B" w:rsidRDefault="00CB2277" w:rsidP="00FE380B">
      <w:pPr>
        <w:pStyle w:val="Sub-SubTitle"/>
        <w:numPr>
          <w:ilvl w:val="2"/>
          <w:numId w:val="16"/>
        </w:numPr>
        <w:ind w:left="851" w:hanging="851"/>
        <w:rPr>
          <w:rFonts w:asciiTheme="minorHAnsi" w:hAnsiTheme="minorHAnsi" w:cstheme="minorHAnsi"/>
          <w:i/>
          <w:color w:val="auto"/>
          <w:sz w:val="26"/>
          <w:szCs w:val="26"/>
        </w:rPr>
      </w:pPr>
      <w:bookmarkStart w:id="19" w:name="_Toc365872638"/>
      <w:r w:rsidRPr="00FE380B">
        <w:rPr>
          <w:rFonts w:asciiTheme="minorHAnsi" w:hAnsiTheme="minorHAnsi" w:cstheme="minorHAnsi"/>
          <w:i/>
          <w:color w:val="auto"/>
          <w:sz w:val="26"/>
          <w:szCs w:val="26"/>
        </w:rPr>
        <w:t>Target Setting</w:t>
      </w:r>
      <w:bookmarkEnd w:id="19"/>
    </w:p>
    <w:p w14:paraId="57B22B09" w14:textId="77777777" w:rsidR="00373338" w:rsidRPr="00EF5052" w:rsidRDefault="0085248B" w:rsidP="004D0C7A">
      <w:pPr>
        <w:autoSpaceDE w:val="0"/>
        <w:autoSpaceDN w:val="0"/>
        <w:adjustRightInd w:val="0"/>
        <w:spacing w:after="0" w:line="240" w:lineRule="auto"/>
        <w:rPr>
          <w:rFonts w:cstheme="minorHAnsi"/>
        </w:rPr>
      </w:pPr>
      <w:r w:rsidRPr="00EF5052">
        <w:rPr>
          <w:rFonts w:cstheme="minorHAnsi"/>
        </w:rPr>
        <w:t>Estimating a negotiated benchmark faces similar difficulties</w:t>
      </w:r>
      <w:r w:rsidR="000E410D" w:rsidRPr="00EF5052">
        <w:rPr>
          <w:rFonts w:cstheme="minorHAnsi"/>
        </w:rPr>
        <w:t xml:space="preserve"> to setting absolute benchmark</w:t>
      </w:r>
      <w:r w:rsidR="00F66144">
        <w:rPr>
          <w:rFonts w:cstheme="minorHAnsi"/>
        </w:rPr>
        <w:t>s</w:t>
      </w:r>
      <w:r w:rsidR="000E410D" w:rsidRPr="00EF5052">
        <w:rPr>
          <w:rFonts w:cstheme="minorHAnsi"/>
        </w:rPr>
        <w:t xml:space="preserve"> (see section 4.1.1)</w:t>
      </w:r>
      <w:r w:rsidRPr="00EF5052">
        <w:rPr>
          <w:rFonts w:cstheme="minorHAnsi"/>
        </w:rPr>
        <w:t xml:space="preserve"> in determining the base level of performance from wh</w:t>
      </w:r>
      <w:r w:rsidR="00692AEC" w:rsidRPr="00EF5052">
        <w:rPr>
          <w:rFonts w:cstheme="minorHAnsi"/>
        </w:rPr>
        <w:t>ich the negotia</w:t>
      </w:r>
      <w:r w:rsidR="00941065" w:rsidRPr="00EF5052">
        <w:rPr>
          <w:rFonts w:cstheme="minorHAnsi"/>
        </w:rPr>
        <w:t>tion process begins. That is,</w:t>
      </w:r>
      <w:r w:rsidRPr="00EF5052">
        <w:rPr>
          <w:rFonts w:cstheme="minorHAnsi"/>
        </w:rPr>
        <w:t xml:space="preserve"> the level of performance that would occur under a competitive level of effort not subject to external factors outsid</w:t>
      </w:r>
      <w:r w:rsidR="000E410D" w:rsidRPr="00EF5052">
        <w:rPr>
          <w:rFonts w:cstheme="minorHAnsi"/>
        </w:rPr>
        <w:t>e the control of providers. These</w:t>
      </w:r>
      <w:r w:rsidRPr="00EF5052">
        <w:rPr>
          <w:rFonts w:cstheme="minorHAnsi"/>
        </w:rPr>
        <w:t xml:space="preserve"> </w:t>
      </w:r>
      <w:r w:rsidR="00FF37FC" w:rsidRPr="00EF5052">
        <w:rPr>
          <w:rFonts w:cstheme="minorHAnsi"/>
        </w:rPr>
        <w:t xml:space="preserve">factors </w:t>
      </w:r>
      <w:r w:rsidR="000E410D" w:rsidRPr="00EF5052">
        <w:rPr>
          <w:rFonts w:cstheme="minorHAnsi"/>
        </w:rPr>
        <w:t>include</w:t>
      </w:r>
      <w:r w:rsidRPr="00EF5052">
        <w:rPr>
          <w:rFonts w:cstheme="minorHAnsi"/>
        </w:rPr>
        <w:t xml:space="preserve"> determining whether to use the past performance of each provider as a baseline performance level, the average performance of all providers, the average performance of the top providers</w:t>
      </w:r>
      <w:r w:rsidR="00FF37FC" w:rsidRPr="00EF5052">
        <w:rPr>
          <w:rFonts w:cstheme="minorHAnsi"/>
        </w:rPr>
        <w:t xml:space="preserve"> and the performance of similar labour market programs</w:t>
      </w:r>
      <w:r w:rsidRPr="00EF5052">
        <w:rPr>
          <w:rFonts w:cstheme="minorHAnsi"/>
        </w:rPr>
        <w:t xml:space="preserve">. </w:t>
      </w:r>
      <w:r w:rsidR="002E45D1" w:rsidRPr="00EF5052">
        <w:rPr>
          <w:rFonts w:cstheme="minorHAnsi"/>
        </w:rPr>
        <w:t xml:space="preserve">A further complication under a negotiated standard is that there may </w:t>
      </w:r>
      <w:r w:rsidR="00C11CA8" w:rsidRPr="00EF5052">
        <w:rPr>
          <w:rFonts w:cstheme="minorHAnsi"/>
        </w:rPr>
        <w:t>be</w:t>
      </w:r>
      <w:r w:rsidR="000E410D" w:rsidRPr="00EF5052">
        <w:rPr>
          <w:rFonts w:cstheme="minorHAnsi"/>
        </w:rPr>
        <w:t xml:space="preserve"> a significant level of</w:t>
      </w:r>
      <w:r w:rsidR="00C11CA8" w:rsidRPr="00EF5052">
        <w:rPr>
          <w:rFonts w:cstheme="minorHAnsi"/>
        </w:rPr>
        <w:t xml:space="preserve"> </w:t>
      </w:r>
      <w:r w:rsidR="002E45D1" w:rsidRPr="00EF5052">
        <w:rPr>
          <w:rFonts w:cstheme="minorHAnsi"/>
        </w:rPr>
        <w:t>discretion in the negotiation process as to what performance information should be applied in setting the base level of performance.</w:t>
      </w:r>
    </w:p>
    <w:p w14:paraId="6929D807" w14:textId="77777777" w:rsidR="000E410D" w:rsidRPr="00EF5052" w:rsidRDefault="000E410D" w:rsidP="00EF5052">
      <w:pPr>
        <w:autoSpaceDE w:val="0"/>
        <w:autoSpaceDN w:val="0"/>
        <w:adjustRightInd w:val="0"/>
        <w:spacing w:after="0" w:line="240" w:lineRule="auto"/>
        <w:jc w:val="center"/>
        <w:rPr>
          <w:rFonts w:cstheme="minorHAnsi"/>
        </w:rPr>
      </w:pPr>
    </w:p>
    <w:p w14:paraId="3265BF81" w14:textId="77777777" w:rsidR="00C16CA9" w:rsidRPr="00FC03F0" w:rsidRDefault="00C16CA9" w:rsidP="00902727">
      <w:pPr>
        <w:pBdr>
          <w:top w:val="single" w:sz="4" w:space="1" w:color="auto"/>
          <w:left w:val="single" w:sz="4" w:space="4" w:color="auto"/>
          <w:right w:val="single" w:sz="4" w:space="4" w:color="auto"/>
          <w:between w:val="single" w:sz="4" w:space="1" w:color="auto"/>
          <w:bar w:val="single" w:sz="4" w:color="auto"/>
        </w:pBdr>
        <w:autoSpaceDE w:val="0"/>
        <w:autoSpaceDN w:val="0"/>
        <w:adjustRightInd w:val="0"/>
        <w:jc w:val="both"/>
        <w:rPr>
          <w:rFonts w:cstheme="minorHAnsi"/>
          <w:b/>
          <w:sz w:val="24"/>
          <w:szCs w:val="24"/>
        </w:rPr>
      </w:pPr>
      <w:r w:rsidRPr="00FC03F0">
        <w:rPr>
          <w:rFonts w:cstheme="minorHAnsi"/>
          <w:b/>
          <w:sz w:val="24"/>
          <w:szCs w:val="24"/>
        </w:rPr>
        <w:t>Case Study on Negotiated Benchmarking: US Workforce Investment Act</w:t>
      </w:r>
    </w:p>
    <w:p w14:paraId="6965282B" w14:textId="656CA516" w:rsidR="00C16CA9" w:rsidRPr="00EF5052" w:rsidRDefault="00C16CA9" w:rsidP="00902727">
      <w:pPr>
        <w:pBdr>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theme="minorHAnsi"/>
        </w:rPr>
      </w:pPr>
      <w:r w:rsidRPr="00902727">
        <w:rPr>
          <w:rFonts w:cstheme="minorHAnsi"/>
        </w:rPr>
        <w:t>Under the WIA, the negotiation process between states and localities saw the process for setting performance standards using past performance information vary widely. Among the majority of states using baseline performance data to determine performance standards, there was considerable difference in the source of data used (Heinrich, 2004). This included using the projected national averages for the negotiated standards provided by the DOL (based upon the experiences of seven early implementation States), federal baseline numbers (available in the federal performance tracking system), unemployment insurance data and the state’s own performance data taken from previous program years. For example, the state of Georgia used their 1998 state performance records and the projected national averages to determine their performance targets. Indiana used its 1999 performance data in setting its standards. In contrast, other states such as New Hampshire and Ohio employed unemployment insurance data from 1994-97 and performance data from DOL to determine their performance standards. Wisconsin reported using its 1997 performance data and the seven-state projected averages in negotiations to set the standard. Further, when Wisconsin’s base level performance was above the projected national averages, the state employed the national average as the benchmark. When their baseline performance was below the national average, the baseline values were set as the benchmark. Washington, Nebraska, South Carolina and others followed a similar process. Texas, Maryland and the District of Columbia reported using statistical models to determine their performance standard. Arkansas set its standard one percentage point above the national averages in the first year. Three states set their performance standards below the national goals. North Carolina for example used its 1997 baseline data in determining its performance standards, with all standards being below the state’s baseline data and national goals. Heinrich (2004) reports descriptive information on the level of negotiated performance standards. The author reports significant variation in the performance standards, indicated by the significant standard deviation of the performance standards and the large</w:t>
      </w:r>
      <w:r w:rsidRPr="00EF5052">
        <w:rPr>
          <w:rFonts w:cstheme="minorHAnsi"/>
        </w:rPr>
        <w:t xml:space="preserve"> difference between the minimum and maximum levels of performance reported across states.</w:t>
      </w:r>
    </w:p>
    <w:p w14:paraId="68C2F7E0" w14:textId="77777777" w:rsidR="00C16CA9" w:rsidRPr="00FC03F0" w:rsidRDefault="00C16CA9" w:rsidP="000E410D">
      <w:pPr>
        <w:autoSpaceDE w:val="0"/>
        <w:autoSpaceDN w:val="0"/>
        <w:adjustRightInd w:val="0"/>
        <w:jc w:val="both"/>
        <w:rPr>
          <w:rFonts w:cstheme="minorHAnsi"/>
          <w:sz w:val="24"/>
          <w:szCs w:val="24"/>
        </w:rPr>
      </w:pPr>
    </w:p>
    <w:p w14:paraId="5F92992E" w14:textId="77777777" w:rsidR="0085248B" w:rsidRPr="00FC03F0" w:rsidRDefault="0085248B" w:rsidP="00C811CC">
      <w:pPr>
        <w:autoSpaceDE w:val="0"/>
        <w:autoSpaceDN w:val="0"/>
        <w:adjustRightInd w:val="0"/>
        <w:spacing w:after="0" w:line="240" w:lineRule="auto"/>
        <w:jc w:val="both"/>
        <w:rPr>
          <w:rFonts w:cstheme="minorHAnsi"/>
          <w:sz w:val="24"/>
          <w:szCs w:val="24"/>
        </w:rPr>
      </w:pPr>
    </w:p>
    <w:p w14:paraId="160B6AA1" w14:textId="77777777" w:rsidR="00CB2277" w:rsidRPr="00FE380B" w:rsidRDefault="00CB2277" w:rsidP="00FE380B">
      <w:pPr>
        <w:pStyle w:val="Sub-SubTitle"/>
        <w:numPr>
          <w:ilvl w:val="2"/>
          <w:numId w:val="16"/>
        </w:numPr>
        <w:ind w:left="851" w:hanging="851"/>
        <w:rPr>
          <w:rFonts w:asciiTheme="minorHAnsi" w:hAnsiTheme="minorHAnsi" w:cstheme="minorHAnsi"/>
          <w:i/>
          <w:color w:val="auto"/>
          <w:sz w:val="26"/>
          <w:szCs w:val="26"/>
        </w:rPr>
      </w:pPr>
      <w:bookmarkStart w:id="20" w:name="_Toc365872639"/>
      <w:r w:rsidRPr="00FE380B">
        <w:rPr>
          <w:rFonts w:asciiTheme="minorHAnsi" w:hAnsiTheme="minorHAnsi" w:cstheme="minorHAnsi"/>
          <w:i/>
          <w:color w:val="auto"/>
          <w:sz w:val="26"/>
          <w:szCs w:val="26"/>
        </w:rPr>
        <w:t>External Factors</w:t>
      </w:r>
      <w:bookmarkEnd w:id="20"/>
    </w:p>
    <w:p w14:paraId="4F067210" w14:textId="77777777" w:rsidR="004A15D9" w:rsidRPr="00EF5052" w:rsidRDefault="00CB2277" w:rsidP="00EF5052">
      <w:pPr>
        <w:spacing w:after="0" w:line="240" w:lineRule="auto"/>
        <w:rPr>
          <w:rFonts w:cstheme="minorHAnsi"/>
        </w:rPr>
      </w:pPr>
      <w:r w:rsidRPr="00EF5052">
        <w:rPr>
          <w:rFonts w:cstheme="minorHAnsi"/>
        </w:rPr>
        <w:t>A</w:t>
      </w:r>
      <w:r w:rsidR="004C4AD1" w:rsidRPr="00EF5052">
        <w:rPr>
          <w:rFonts w:cstheme="minorHAnsi"/>
        </w:rPr>
        <w:t xml:space="preserve"> negotiated benchmark </w:t>
      </w:r>
      <w:r w:rsidRPr="00EF5052">
        <w:rPr>
          <w:rFonts w:cstheme="minorHAnsi"/>
        </w:rPr>
        <w:t>enables the department and provider</w:t>
      </w:r>
      <w:r w:rsidR="004C4AD1" w:rsidRPr="00EF5052">
        <w:rPr>
          <w:rFonts w:cstheme="minorHAnsi"/>
        </w:rPr>
        <w:t xml:space="preserve"> to adjust the performance standard for the </w:t>
      </w:r>
      <w:r w:rsidR="00EC655C" w:rsidRPr="00EF5052">
        <w:rPr>
          <w:rFonts w:cstheme="minorHAnsi"/>
        </w:rPr>
        <w:t xml:space="preserve">provider’s particular client mix and labour market they operate in. For example, if a provider </w:t>
      </w:r>
      <w:r w:rsidR="00375201" w:rsidRPr="00EF5052">
        <w:rPr>
          <w:rFonts w:cstheme="minorHAnsi"/>
        </w:rPr>
        <w:t xml:space="preserve">operates in an area with weak labour market conditions </w:t>
      </w:r>
      <w:r w:rsidR="00692AEC" w:rsidRPr="00EF5052">
        <w:rPr>
          <w:rFonts w:cstheme="minorHAnsi"/>
        </w:rPr>
        <w:t xml:space="preserve">a lower benchmark </w:t>
      </w:r>
      <w:r w:rsidR="00375201" w:rsidRPr="00EF5052">
        <w:rPr>
          <w:rFonts w:cstheme="minorHAnsi"/>
        </w:rPr>
        <w:t xml:space="preserve">could </w:t>
      </w:r>
      <w:r w:rsidR="00692AEC" w:rsidRPr="00EF5052">
        <w:rPr>
          <w:rFonts w:cstheme="minorHAnsi"/>
        </w:rPr>
        <w:t xml:space="preserve">be </w:t>
      </w:r>
      <w:r w:rsidR="00375201" w:rsidRPr="00EF5052">
        <w:rPr>
          <w:rFonts w:cstheme="minorHAnsi"/>
        </w:rPr>
        <w:t>negotiate</w:t>
      </w:r>
      <w:r w:rsidR="00692AEC" w:rsidRPr="00EF5052">
        <w:rPr>
          <w:rFonts w:cstheme="minorHAnsi"/>
        </w:rPr>
        <w:t>d</w:t>
      </w:r>
      <w:r w:rsidR="00375201" w:rsidRPr="00EF5052">
        <w:rPr>
          <w:rFonts w:cstheme="minorHAnsi"/>
        </w:rPr>
        <w:t xml:space="preserve"> to take this factor into account.</w:t>
      </w:r>
      <w:r w:rsidR="002D1219" w:rsidRPr="00EF5052">
        <w:rPr>
          <w:rFonts w:cstheme="minorHAnsi"/>
        </w:rPr>
        <w:t xml:space="preserve"> An issue</w:t>
      </w:r>
      <w:r w:rsidR="00862FF6" w:rsidRPr="00EF5052">
        <w:rPr>
          <w:rFonts w:cstheme="minorHAnsi"/>
        </w:rPr>
        <w:t xml:space="preserve"> with this approach is</w:t>
      </w:r>
      <w:r w:rsidR="00375201" w:rsidRPr="00EF5052">
        <w:rPr>
          <w:rFonts w:cstheme="minorHAnsi"/>
        </w:rPr>
        <w:t xml:space="preserve"> h</w:t>
      </w:r>
      <w:r w:rsidR="00862FF6" w:rsidRPr="00EF5052">
        <w:rPr>
          <w:rFonts w:cstheme="minorHAnsi"/>
        </w:rPr>
        <w:t>ow accurate the adjustment process is</w:t>
      </w:r>
      <w:r w:rsidR="004A15D9" w:rsidRPr="00EF5052">
        <w:rPr>
          <w:rFonts w:cstheme="minorHAnsi"/>
        </w:rPr>
        <w:t xml:space="preserve">. Individually negotiated targets would by definition be subjective and not directly comparable between providers. Without using a regression-based approach, it would be difficult to take into account the multitude of complex factors that would inform the setting of a negotiated target. </w:t>
      </w:r>
      <w:r w:rsidR="004A15D9" w:rsidRPr="00F33784">
        <w:rPr>
          <w:rFonts w:cstheme="minorHAnsi"/>
        </w:rPr>
        <w:t xml:space="preserve">A related issue is how to test the validity of claims by providers that the targets suggested by the department are too high or low. This would be particularly important once the initial negotiated target has been set, as changes to local economic conditions and in the composition of the provider’s caseload may be used by providers to argue that </w:t>
      </w:r>
      <w:r w:rsidR="00862FF6" w:rsidRPr="00F33784">
        <w:rPr>
          <w:rFonts w:cstheme="minorHAnsi"/>
        </w:rPr>
        <w:t xml:space="preserve">the </w:t>
      </w:r>
      <w:r w:rsidR="004A15D9" w:rsidRPr="00F33784">
        <w:rPr>
          <w:rFonts w:cstheme="minorHAnsi"/>
        </w:rPr>
        <w:t>initial target is no longer appropriate.</w:t>
      </w:r>
      <w:r w:rsidR="005E1164" w:rsidRPr="00EF5052">
        <w:rPr>
          <w:rFonts w:cstheme="minorHAnsi"/>
        </w:rPr>
        <w:t xml:space="preserve"> </w:t>
      </w:r>
    </w:p>
    <w:p w14:paraId="4552A5E8" w14:textId="77777777" w:rsidR="00CB2277" w:rsidRPr="00EF5052" w:rsidRDefault="00CB2277" w:rsidP="00EF5052">
      <w:pPr>
        <w:spacing w:after="0" w:line="240" w:lineRule="auto"/>
        <w:rPr>
          <w:rFonts w:cstheme="minorHAnsi"/>
        </w:rPr>
      </w:pPr>
    </w:p>
    <w:p w14:paraId="75C6E31F" w14:textId="77777777" w:rsidR="00902727" w:rsidRPr="00FC03F0" w:rsidRDefault="00902727" w:rsidP="00902727">
      <w:pPr>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b/>
          <w:sz w:val="24"/>
          <w:szCs w:val="24"/>
        </w:rPr>
      </w:pPr>
      <w:r w:rsidRPr="00FC03F0">
        <w:rPr>
          <w:rFonts w:cstheme="minorHAnsi"/>
          <w:b/>
          <w:sz w:val="24"/>
          <w:szCs w:val="24"/>
        </w:rPr>
        <w:t>Case Study on Negotiated Benchmarking: US Workforce Investment Act</w:t>
      </w:r>
    </w:p>
    <w:p w14:paraId="36F37EF3" w14:textId="77777777" w:rsidR="00902727" w:rsidRPr="00396577" w:rsidRDefault="00902727" w:rsidP="00902727">
      <w:pPr>
        <w:pBdr>
          <w:top w:val="single" w:sz="4" w:space="1" w:color="auto"/>
          <w:left w:val="single" w:sz="4" w:space="4" w:color="auto"/>
          <w:bottom w:val="single" w:sz="4" w:space="1" w:color="auto"/>
          <w:right w:val="single" w:sz="4" w:space="4" w:color="auto"/>
        </w:pBdr>
        <w:spacing w:line="240" w:lineRule="auto"/>
        <w:rPr>
          <w:rFonts w:cstheme="minorHAnsi"/>
        </w:rPr>
      </w:pPr>
      <w:r w:rsidRPr="00EF5052">
        <w:rPr>
          <w:rFonts w:cstheme="minorHAnsi"/>
        </w:rPr>
        <w:t>The U.S. Department of Labor in its quarterly reports of GPRA goals and results states that “since program performance goals are nationwide goals, they may not apply in every instance to individual states or grantees where different economic or other circumstances may demand an adjustment in performance expectations.”</w:t>
      </w:r>
      <w:r w:rsidRPr="00EF5052">
        <w:rPr>
          <w:rStyle w:val="FootnoteReference"/>
          <w:rFonts w:cstheme="minorHAnsi"/>
          <w:vertAlign w:val="superscript"/>
        </w:rPr>
        <w:footnoteReference w:id="6"/>
      </w:r>
      <w:r w:rsidRPr="00EF5052">
        <w:rPr>
          <w:rFonts w:cstheme="minorHAnsi"/>
          <w:vertAlign w:val="superscript"/>
        </w:rPr>
        <w:t xml:space="preserve"> </w:t>
      </w:r>
      <w:r w:rsidRPr="00EF5052">
        <w:rPr>
          <w:rFonts w:cstheme="minorHAnsi"/>
        </w:rPr>
        <w:t xml:space="preserve">The negotiation process is designed to take these differences into account when determining performance levels. Analysing WIA </w:t>
      </w:r>
      <w:r>
        <w:rPr>
          <w:rFonts w:cstheme="minorHAnsi"/>
        </w:rPr>
        <w:t>program performance across the S</w:t>
      </w:r>
      <w:r w:rsidRPr="00EF5052">
        <w:rPr>
          <w:rFonts w:cstheme="minorHAnsi"/>
        </w:rPr>
        <w:t xml:space="preserve">tates, </w:t>
      </w:r>
      <w:r w:rsidRPr="00396577">
        <w:rPr>
          <w:rFonts w:cstheme="minorHAnsi"/>
        </w:rPr>
        <w:t xml:space="preserve">Heinrich (2004) assesses the relationship between labour market factors and participant characteristics to measured performance. This is to examine whether the negotiation process in adjusting performance standards accurately accounts for these factors. For instance, States with higher unemployment rates may negotiate to lower their benchmark as a higher unemployment level indicates fewer employment opportunities. The author examines this by estimating a multivariate regression using the performance level and differential between the State’s actual performance level and the negotiated benchmark as the dependent variables. Ordinary least squares regressions estimated separately for each performance standard show significant relationships between the negotiated performance levels and economic and participant characteristics. Factors affecting performance levels include education level, work history, unemployment rates and proportion of Hispanics or participants with limited English proficiency. The evidence suggests that adjustments were being made during negotiations to take account of economic and participant characteristics. </w:t>
      </w:r>
    </w:p>
    <w:p w14:paraId="357FA6E0" w14:textId="77777777" w:rsidR="00902727" w:rsidRPr="00396577" w:rsidRDefault="00902727" w:rsidP="00902727">
      <w:pPr>
        <w:pBdr>
          <w:top w:val="single" w:sz="4" w:space="1" w:color="auto"/>
          <w:left w:val="single" w:sz="4" w:space="4" w:color="auto"/>
          <w:bottom w:val="single" w:sz="4" w:space="1" w:color="auto"/>
          <w:right w:val="single" w:sz="4" w:space="4" w:color="auto"/>
        </w:pBdr>
        <w:spacing w:line="240" w:lineRule="auto"/>
        <w:rPr>
          <w:rFonts w:cstheme="minorHAnsi"/>
        </w:rPr>
      </w:pPr>
      <w:r w:rsidRPr="00396577">
        <w:rPr>
          <w:rFonts w:cstheme="minorHAnsi"/>
        </w:rPr>
        <w:t xml:space="preserve">Subsequent analysis examined how accurately negotiations accounted for these factors. It is expected that states which accurately adjust for these factors during the negotiation process will see fewer or weaker relationships between the performance differentials and labour market factors and participant characteristics. Race, work history, education and unemployment rates continued to be statistically significant predictors of the performance differential, suggesting that adjustments for differences in characteristics were inadequate. </w:t>
      </w:r>
    </w:p>
    <w:p w14:paraId="27AA8CCC" w14:textId="77777777" w:rsidR="00902727" w:rsidRDefault="00902727" w:rsidP="00902727">
      <w:pPr>
        <w:pBdr>
          <w:top w:val="single" w:sz="4" w:space="1" w:color="auto"/>
          <w:left w:val="single" w:sz="4" w:space="4" w:color="auto"/>
          <w:bottom w:val="single" w:sz="4" w:space="1" w:color="auto"/>
          <w:right w:val="single" w:sz="4" w:space="4" w:color="auto"/>
        </w:pBdr>
        <w:spacing w:line="240" w:lineRule="auto"/>
        <w:rPr>
          <w:rFonts w:cstheme="minorHAnsi"/>
        </w:rPr>
      </w:pPr>
      <w:r w:rsidRPr="00396577">
        <w:rPr>
          <w:rFonts w:cstheme="minorHAnsi"/>
        </w:rPr>
        <w:t xml:space="preserve">The results of Heinrich (2004) are further supported by qualitative evidence. Interviewing state officials, Barnow and King (2009) report that most officials indicated that the WIA’s performance management system was a step backwards from the adjusted benchmark model of the JTPA. They criticised the negotiation process as not having an appropriate procedure to adjust for participant characteristics and local economic conditions, resulting in states and local areas not being placed on </w:t>
      </w:r>
    </w:p>
    <w:p w14:paraId="76C3AE59" w14:textId="3DEE19D8" w:rsidR="00902727" w:rsidRPr="006F6B97" w:rsidRDefault="00902727" w:rsidP="00902727">
      <w:pPr>
        <w:pBdr>
          <w:top w:val="single" w:sz="4" w:space="1" w:color="auto"/>
          <w:left w:val="single" w:sz="4" w:space="4" w:color="auto"/>
          <w:bottom w:val="single" w:sz="4" w:space="1" w:color="auto"/>
          <w:right w:val="single" w:sz="4" w:space="4" w:color="auto"/>
        </w:pBdr>
        <w:spacing w:line="240" w:lineRule="auto"/>
        <w:rPr>
          <w:rFonts w:cstheme="minorHAnsi"/>
        </w:rPr>
      </w:pPr>
      <w:r w:rsidRPr="00396577">
        <w:rPr>
          <w:rFonts w:cstheme="minorHAnsi"/>
        </w:rPr>
        <w:lastRenderedPageBreak/>
        <w:t>a level playing field. A 2002 study by the U.S Government Accountability Office (GAO)</w:t>
      </w:r>
      <w:r w:rsidRPr="00EF5052">
        <w:rPr>
          <w:rFonts w:cstheme="minorHAnsi"/>
        </w:rPr>
        <w:t xml:space="preserve"> also report that many states felt the negotiation process did not sufficiently account for participant characteristics</w:t>
      </w:r>
      <w:r w:rsidR="005474D4">
        <w:rPr>
          <w:rFonts w:cstheme="minorHAnsi"/>
        </w:rPr>
        <w:t xml:space="preserve"> and local economic conditions.</w:t>
      </w:r>
    </w:p>
    <w:p w14:paraId="51B56386" w14:textId="77777777" w:rsidR="00CB2277" w:rsidRPr="00FE380B" w:rsidRDefault="00CB2277" w:rsidP="00FE380B">
      <w:pPr>
        <w:pStyle w:val="Sub-SubTitle"/>
        <w:numPr>
          <w:ilvl w:val="2"/>
          <w:numId w:val="16"/>
        </w:numPr>
        <w:spacing w:before="240" w:after="240"/>
        <w:ind w:left="851" w:hanging="851"/>
        <w:rPr>
          <w:rFonts w:cs="Calibri"/>
          <w:i/>
          <w:color w:val="auto"/>
          <w:szCs w:val="24"/>
        </w:rPr>
      </w:pPr>
      <w:bookmarkStart w:id="21" w:name="_Toc365872640"/>
      <w:r w:rsidRPr="00FE380B">
        <w:rPr>
          <w:rFonts w:asciiTheme="minorHAnsi" w:hAnsiTheme="minorHAnsi" w:cstheme="minorHAnsi"/>
          <w:i/>
          <w:color w:val="auto"/>
          <w:sz w:val="26"/>
          <w:szCs w:val="26"/>
        </w:rPr>
        <w:t>Forecasting</w:t>
      </w:r>
      <w:bookmarkEnd w:id="21"/>
    </w:p>
    <w:p w14:paraId="36B7E2E6" w14:textId="369A4F4C" w:rsidR="00E36615" w:rsidRPr="00EF5052" w:rsidRDefault="00EC655C" w:rsidP="00EF5052">
      <w:pPr>
        <w:autoSpaceDE w:val="0"/>
        <w:autoSpaceDN w:val="0"/>
        <w:adjustRightInd w:val="0"/>
        <w:spacing w:before="240" w:after="240" w:line="240" w:lineRule="auto"/>
        <w:rPr>
          <w:rFonts w:cstheme="minorHAnsi"/>
        </w:rPr>
      </w:pPr>
      <w:r w:rsidRPr="00EF5052">
        <w:rPr>
          <w:rFonts w:cstheme="minorHAnsi"/>
        </w:rPr>
        <w:t>In addition to accounting for factors known at the time that the benchmark is established, it is also important to adjust the benchmark to offset future risks</w:t>
      </w:r>
      <w:r w:rsidR="00EC0F47" w:rsidRPr="00EF5052">
        <w:rPr>
          <w:rFonts w:cstheme="minorHAnsi"/>
        </w:rPr>
        <w:t xml:space="preserve"> (</w:t>
      </w:r>
      <w:r w:rsidR="00555FAB" w:rsidRPr="00EF5052">
        <w:rPr>
          <w:rFonts w:cstheme="minorHAnsi"/>
        </w:rPr>
        <w:t>i.e.</w:t>
      </w:r>
      <w:r w:rsidR="00EC0F47" w:rsidRPr="00EF5052">
        <w:rPr>
          <w:rFonts w:cstheme="minorHAnsi"/>
        </w:rPr>
        <w:t xml:space="preserve"> random</w:t>
      </w:r>
      <w:r w:rsidR="00555FAB">
        <w:rPr>
          <w:rFonts w:cstheme="minorHAnsi"/>
        </w:rPr>
        <w:t xml:space="preserve"> economic</w:t>
      </w:r>
      <w:r w:rsidR="00EC0F47" w:rsidRPr="00EF5052">
        <w:rPr>
          <w:rFonts w:cstheme="minorHAnsi"/>
        </w:rPr>
        <w:t xml:space="preserve"> shocks)</w:t>
      </w:r>
      <w:r w:rsidRPr="00EF5052">
        <w:rPr>
          <w:rFonts w:cstheme="minorHAnsi"/>
        </w:rPr>
        <w:t xml:space="preserve"> </w:t>
      </w:r>
      <w:r w:rsidR="00EC0F47" w:rsidRPr="00EF5052">
        <w:rPr>
          <w:rFonts w:cstheme="minorHAnsi"/>
        </w:rPr>
        <w:t xml:space="preserve">to performance that are outside the control of providers. While exceptional performance of a provider is still an unbiased estimator of excess effort even in the presence of a random </w:t>
      </w:r>
      <w:r w:rsidR="003C79DE" w:rsidRPr="00EF5052">
        <w:rPr>
          <w:rFonts w:cstheme="minorHAnsi"/>
        </w:rPr>
        <w:t>shock, this shock introduces noise in the measurement of performance and the ability of the provider to meet the required benchmark (</w:t>
      </w:r>
      <w:r w:rsidR="003C79DE" w:rsidRPr="00555FAB">
        <w:rPr>
          <w:rFonts w:cstheme="minorHAnsi"/>
        </w:rPr>
        <w:t>Courty, Heinrich and Marschke, 2011</w:t>
      </w:r>
      <w:r w:rsidR="003C79DE" w:rsidRPr="00EF5052">
        <w:rPr>
          <w:rFonts w:cstheme="minorHAnsi"/>
        </w:rPr>
        <w:t xml:space="preserve">). </w:t>
      </w:r>
      <w:r w:rsidR="00611146" w:rsidRPr="00EF5052">
        <w:rPr>
          <w:rFonts w:cstheme="minorHAnsi"/>
        </w:rPr>
        <w:t xml:space="preserve">There are two challenges that arise from adjusting for future economic conditions in a negotiated model. The first is that future economic conditions are difficult to forecast, with actual economic performance differing significantly from forecasts. This issue is exacerbated the longer the forecast required. For example, forecasting future unemployment is subject to less accuracy three years in the future relative to three months. </w:t>
      </w:r>
      <w:r w:rsidR="002F3190" w:rsidRPr="00EF5052">
        <w:rPr>
          <w:rFonts w:cstheme="minorHAnsi"/>
        </w:rPr>
        <w:t xml:space="preserve">The second challenge is how well the negotiated model takes into account economic forecasts and how quickly performance standards change in response to changes in the economic environment.  </w:t>
      </w:r>
    </w:p>
    <w:p w14:paraId="44DB67DA" w14:textId="77777777" w:rsidR="00902727" w:rsidRPr="00FC03F0" w:rsidRDefault="00902727" w:rsidP="00902727">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cstheme="minorHAnsi"/>
          <w:b/>
          <w:sz w:val="24"/>
          <w:szCs w:val="24"/>
        </w:rPr>
      </w:pPr>
      <w:r w:rsidRPr="00FC03F0">
        <w:rPr>
          <w:rFonts w:cstheme="minorHAnsi"/>
          <w:b/>
          <w:sz w:val="24"/>
          <w:szCs w:val="24"/>
        </w:rPr>
        <w:t>Case Study on Negotiated Benchmarking: US Workforce Investment Act</w:t>
      </w:r>
    </w:p>
    <w:p w14:paraId="1FE3C39C" w14:textId="77777777" w:rsidR="00902727" w:rsidRPr="00EF5052" w:rsidRDefault="00902727" w:rsidP="00902727">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theme="minorHAnsi"/>
        </w:rPr>
      </w:pPr>
      <w:r w:rsidRPr="00EF5052">
        <w:rPr>
          <w:rFonts w:cstheme="minorHAnsi"/>
        </w:rPr>
        <w:t xml:space="preserve">The negotiation process needs to make adjustments to the benchmarks to offset future unknown risks outside the control of public managers. </w:t>
      </w:r>
      <w:r>
        <w:rPr>
          <w:rFonts w:cstheme="minorHAnsi"/>
        </w:rPr>
        <w:t xml:space="preserve">State performance </w:t>
      </w:r>
      <w:r w:rsidRPr="00EF5052">
        <w:rPr>
          <w:rFonts w:cstheme="minorHAnsi"/>
        </w:rPr>
        <w:t xml:space="preserve">benchmarks </w:t>
      </w:r>
      <w:r>
        <w:rPr>
          <w:rFonts w:cstheme="minorHAnsi"/>
        </w:rPr>
        <w:t xml:space="preserve">under WIA </w:t>
      </w:r>
      <w:r w:rsidRPr="00EF5052">
        <w:rPr>
          <w:rFonts w:cstheme="minorHAnsi"/>
        </w:rPr>
        <w:t xml:space="preserve">were established using baseline performance data from previous years and also built in continuous improvements in performance. For the first </w:t>
      </w:r>
      <w:r>
        <w:rPr>
          <w:rFonts w:cstheme="minorHAnsi"/>
        </w:rPr>
        <w:t>three</w:t>
      </w:r>
      <w:r w:rsidRPr="00EF5052">
        <w:rPr>
          <w:rFonts w:cstheme="minorHAnsi"/>
        </w:rPr>
        <w:t xml:space="preserve"> years of the WIA, the negotiated benchmarks increased an annual 1-2.5</w:t>
      </w:r>
      <w:r>
        <w:rPr>
          <w:rFonts w:cstheme="minorHAnsi"/>
        </w:rPr>
        <w:t xml:space="preserve"> </w:t>
      </w:r>
      <w:r w:rsidRPr="00EF5052">
        <w:rPr>
          <w:rFonts w:cstheme="minorHAnsi"/>
        </w:rPr>
        <w:t>per cent. Furthermore, the increase in performance between PY 2001 and PY 2002 was greater than the increase between PY 2000 and PY 2001. For example, the mean employment rate standard across all states was 66.44</w:t>
      </w:r>
      <w:r>
        <w:rPr>
          <w:rFonts w:cstheme="minorHAnsi"/>
        </w:rPr>
        <w:t xml:space="preserve"> </w:t>
      </w:r>
      <w:r w:rsidRPr="00EF5052">
        <w:rPr>
          <w:rFonts w:cstheme="minorHAnsi"/>
        </w:rPr>
        <w:t>per cent in 2000, 69.17</w:t>
      </w:r>
      <w:r>
        <w:rPr>
          <w:rFonts w:cstheme="minorHAnsi"/>
        </w:rPr>
        <w:t xml:space="preserve"> </w:t>
      </w:r>
      <w:r w:rsidRPr="00EF5052">
        <w:rPr>
          <w:rFonts w:cstheme="minorHAnsi"/>
        </w:rPr>
        <w:t>per cent in 2001 and 70.94</w:t>
      </w:r>
      <w:r>
        <w:rPr>
          <w:rFonts w:cstheme="minorHAnsi"/>
        </w:rPr>
        <w:t xml:space="preserve"> </w:t>
      </w:r>
      <w:r w:rsidRPr="00EF5052">
        <w:rPr>
          <w:rFonts w:cstheme="minorHAnsi"/>
        </w:rPr>
        <w:t>per cent in 2002. After the implementation of the WIA, there was a significant change in economic conditions. Unemployment rates declined over the 1998-1999 period at a median decline of 0.2</w:t>
      </w:r>
      <w:r>
        <w:rPr>
          <w:rFonts w:cstheme="minorHAnsi"/>
        </w:rPr>
        <w:t xml:space="preserve"> </w:t>
      </w:r>
      <w:r w:rsidRPr="00EF5052">
        <w:rPr>
          <w:rFonts w:cstheme="minorHAnsi"/>
        </w:rPr>
        <w:t>per cent. This improvement in employment condition was widespread, with 75</w:t>
      </w:r>
      <w:r>
        <w:rPr>
          <w:rFonts w:cstheme="minorHAnsi"/>
        </w:rPr>
        <w:t xml:space="preserve"> </w:t>
      </w:r>
      <w:r w:rsidRPr="00EF5052">
        <w:rPr>
          <w:rFonts w:cstheme="minorHAnsi"/>
        </w:rPr>
        <w:t>per cent of states reporting a decline. This pattern continued over the 1999-2000 period. The trend in the unemployment rate reversed over 2000 and 2001 with a median increase of 0.7</w:t>
      </w:r>
      <w:r>
        <w:rPr>
          <w:rFonts w:cstheme="minorHAnsi"/>
        </w:rPr>
        <w:t xml:space="preserve"> </w:t>
      </w:r>
      <w:r w:rsidRPr="00EF5052">
        <w:rPr>
          <w:rFonts w:cstheme="minorHAnsi"/>
        </w:rPr>
        <w:t>per cent with 75</w:t>
      </w:r>
      <w:r>
        <w:rPr>
          <w:rFonts w:cstheme="minorHAnsi"/>
        </w:rPr>
        <w:t xml:space="preserve"> </w:t>
      </w:r>
      <w:r w:rsidRPr="00EF5052">
        <w:rPr>
          <w:rFonts w:cstheme="minorHAnsi"/>
        </w:rPr>
        <w:t>per cent of states experiencing an increase. The increase in the unemployment rate was even greater between 2001 (4.59</w:t>
      </w:r>
      <w:r>
        <w:rPr>
          <w:rFonts w:cstheme="minorHAnsi"/>
        </w:rPr>
        <w:t xml:space="preserve"> </w:t>
      </w:r>
      <w:r w:rsidRPr="00EF5052">
        <w:rPr>
          <w:rFonts w:cstheme="minorHAnsi"/>
        </w:rPr>
        <w:t>per cent) and 2002 (5.35</w:t>
      </w:r>
      <w:r>
        <w:rPr>
          <w:rFonts w:cstheme="minorHAnsi"/>
        </w:rPr>
        <w:t xml:space="preserve"> </w:t>
      </w:r>
      <w:r w:rsidRPr="00EF5052">
        <w:rPr>
          <w:rFonts w:cstheme="minorHAnsi"/>
        </w:rPr>
        <w:t xml:space="preserve">per cent) with all </w:t>
      </w:r>
      <w:r>
        <w:rPr>
          <w:rFonts w:cstheme="minorHAnsi"/>
        </w:rPr>
        <w:t>S</w:t>
      </w:r>
      <w:r w:rsidRPr="00EF5052">
        <w:rPr>
          <w:rFonts w:cstheme="minorHAnsi"/>
        </w:rPr>
        <w:t xml:space="preserve">tates except one experiencing an increase. Thus while the performance standards were increasing over this period, economic conditions were worsening and creating an adverse labour market environment. </w:t>
      </w:r>
    </w:p>
    <w:p w14:paraId="62251C59" w14:textId="77777777" w:rsidR="00902727" w:rsidRDefault="00902727" w:rsidP="00902727">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theme="minorHAnsi"/>
        </w:rPr>
      </w:pPr>
      <w:r w:rsidRPr="00EF5052">
        <w:rPr>
          <w:rFonts w:cstheme="minorHAnsi"/>
        </w:rPr>
        <w:t>The difficulty in accurately estimating future economic conditions and incorporating these expectations into the negotiated benchmark can be seen in the number of states failing to achieve the negotiated performance standards. Making appropriate adjustments are important</w:t>
      </w:r>
      <w:r>
        <w:rPr>
          <w:rFonts w:cstheme="minorHAnsi"/>
        </w:rPr>
        <w:t>,</w:t>
      </w:r>
      <w:r w:rsidRPr="00EF5052">
        <w:rPr>
          <w:rFonts w:cstheme="minorHAnsi"/>
        </w:rPr>
        <w:t xml:space="preserve"> as states are required to achieve 80</w:t>
      </w:r>
      <w:r>
        <w:rPr>
          <w:rFonts w:cstheme="minorHAnsi"/>
        </w:rPr>
        <w:t xml:space="preserve"> </w:t>
      </w:r>
      <w:r w:rsidRPr="00EF5052">
        <w:rPr>
          <w:rFonts w:cstheme="minorHAnsi"/>
        </w:rPr>
        <w:t>per cent of the negotiated performance benchmark across all performance measures in order to be eligible for an incentive grant. In addition, states may be subject to a 5</w:t>
      </w:r>
      <w:r>
        <w:rPr>
          <w:rFonts w:cstheme="minorHAnsi"/>
        </w:rPr>
        <w:t xml:space="preserve"> </w:t>
      </w:r>
      <w:r w:rsidRPr="00EF5052">
        <w:rPr>
          <w:rFonts w:cstheme="minorHAnsi"/>
        </w:rPr>
        <w:t xml:space="preserve">per cent reduction in their WIA grant for not meeting their performance goals two years in a row. </w:t>
      </w:r>
      <w:r w:rsidRPr="00555FAB">
        <w:rPr>
          <w:rFonts w:cstheme="minorHAnsi"/>
        </w:rPr>
        <w:t>Heinrich (2004)</w:t>
      </w:r>
      <w:r w:rsidRPr="00EF5052">
        <w:rPr>
          <w:rFonts w:cstheme="minorHAnsi"/>
        </w:rPr>
        <w:t xml:space="preserve"> calculates the difference between a state’s performance level attained and the performance target for that particular program year for each performance measure. A negative differential indicates that states were on average performing below their benchmark. The results show a negative turn in performance differentials from PY 2001 to the first quarter of PY 2002, in line with the downturn in the general economy. Further evidence of the impact of economic conditions on performance is shown in the 21 per</w:t>
      </w:r>
      <w:r>
        <w:rPr>
          <w:rFonts w:cstheme="minorHAnsi"/>
        </w:rPr>
        <w:t xml:space="preserve"> </w:t>
      </w:r>
      <w:r w:rsidRPr="00EF5052">
        <w:rPr>
          <w:rFonts w:cstheme="minorHAnsi"/>
        </w:rPr>
        <w:t xml:space="preserve">cent decrease in the proportion of states meeting </w:t>
      </w:r>
    </w:p>
    <w:p w14:paraId="0101F632" w14:textId="793ADC5F" w:rsidR="00902727" w:rsidRPr="00FC03F0" w:rsidRDefault="00902727" w:rsidP="00902727">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theme="minorHAnsi"/>
          <w:sz w:val="24"/>
          <w:szCs w:val="24"/>
        </w:rPr>
      </w:pPr>
      <w:r w:rsidRPr="00EF5052">
        <w:rPr>
          <w:rFonts w:cstheme="minorHAnsi"/>
        </w:rPr>
        <w:lastRenderedPageBreak/>
        <w:t xml:space="preserve">their older youth entered unemployment rates. </w:t>
      </w:r>
    </w:p>
    <w:p w14:paraId="12E9A9E4" w14:textId="77777777" w:rsidR="002F3190" w:rsidRPr="001E5F7C" w:rsidRDefault="002F3190" w:rsidP="001E5F7C">
      <w:pPr>
        <w:spacing w:line="240" w:lineRule="auto"/>
        <w:rPr>
          <w:rFonts w:cstheme="minorHAnsi"/>
        </w:rPr>
      </w:pPr>
      <w:r w:rsidRPr="001E5F7C">
        <w:rPr>
          <w:rFonts w:cstheme="minorHAnsi"/>
        </w:rPr>
        <w:t xml:space="preserve">The creaming and parking of participants can be exacerbated by a negotiated benchmark model. When external factors have not been properly accounted for in the performance standards, meeting targets is harder with harder to serve clients and in areas with poor labour markets. </w:t>
      </w:r>
      <w:r w:rsidR="002302F6" w:rsidRPr="001E5F7C">
        <w:rPr>
          <w:rFonts w:cstheme="minorHAnsi"/>
        </w:rPr>
        <w:t>Adjusting the benchmark for differences in labour market conditions and participant characteristics offsets the incentives to cream an</w:t>
      </w:r>
      <w:r w:rsidR="00286777" w:rsidRPr="001E5F7C">
        <w:rPr>
          <w:rFonts w:cstheme="minorHAnsi"/>
        </w:rPr>
        <w:t>d</w:t>
      </w:r>
      <w:r w:rsidR="002302F6" w:rsidRPr="001E5F7C">
        <w:rPr>
          <w:rFonts w:cstheme="minorHAnsi"/>
        </w:rPr>
        <w:t xml:space="preserve"> park participants. For example, a provider may increase their employment outcomes by </w:t>
      </w:r>
      <w:r w:rsidR="00286777" w:rsidRPr="001E5F7C">
        <w:rPr>
          <w:rFonts w:cstheme="minorHAnsi"/>
        </w:rPr>
        <w:t>focusing</w:t>
      </w:r>
      <w:r w:rsidR="002302F6" w:rsidRPr="001E5F7C">
        <w:rPr>
          <w:rFonts w:cstheme="minorHAnsi"/>
        </w:rPr>
        <w:t xml:space="preserve"> on </w:t>
      </w:r>
      <w:r w:rsidR="001E5F7C">
        <w:rPr>
          <w:rFonts w:cstheme="minorHAnsi"/>
        </w:rPr>
        <w:t xml:space="preserve">those with a higher completed level of education </w:t>
      </w:r>
      <w:r w:rsidR="002302F6" w:rsidRPr="001E5F7C">
        <w:rPr>
          <w:rFonts w:cstheme="minorHAnsi"/>
        </w:rPr>
        <w:t xml:space="preserve">relative to </w:t>
      </w:r>
      <w:r w:rsidR="001E5F7C">
        <w:rPr>
          <w:rFonts w:cstheme="minorHAnsi"/>
        </w:rPr>
        <w:t xml:space="preserve">those with less </w:t>
      </w:r>
      <w:r w:rsidR="002302F6" w:rsidRPr="001E5F7C">
        <w:rPr>
          <w:rFonts w:cstheme="minorHAnsi"/>
        </w:rPr>
        <w:t xml:space="preserve">(where </w:t>
      </w:r>
      <w:r w:rsidR="001E5F7C">
        <w:rPr>
          <w:rFonts w:cstheme="minorHAnsi"/>
        </w:rPr>
        <w:t>those with a lower level</w:t>
      </w:r>
      <w:r w:rsidR="002302F6" w:rsidRPr="001E5F7C">
        <w:rPr>
          <w:rFonts w:cstheme="minorHAnsi"/>
        </w:rPr>
        <w:t xml:space="preserve"> hav</w:t>
      </w:r>
      <w:r w:rsidR="001E5F7C">
        <w:rPr>
          <w:rFonts w:cstheme="minorHAnsi"/>
        </w:rPr>
        <w:t xml:space="preserve">ing </w:t>
      </w:r>
      <w:r w:rsidR="002302F6" w:rsidRPr="001E5F7C">
        <w:rPr>
          <w:rFonts w:cstheme="minorHAnsi"/>
        </w:rPr>
        <w:t xml:space="preserve">lower employment outcomes), leading to the parking of </w:t>
      </w:r>
      <w:r w:rsidR="001E5F7C">
        <w:rPr>
          <w:rFonts w:cstheme="minorHAnsi"/>
        </w:rPr>
        <w:t>these</w:t>
      </w:r>
      <w:r w:rsidR="002302F6" w:rsidRPr="001E5F7C">
        <w:rPr>
          <w:rFonts w:cstheme="minorHAnsi"/>
        </w:rPr>
        <w:t xml:space="preserve"> participants. However, a negotiated model could increase the performance standard for providers who have a high proportion of male clients, offsetting the advantage of focussing on males. </w:t>
      </w:r>
      <w:r w:rsidR="00286777" w:rsidRPr="001E5F7C">
        <w:rPr>
          <w:rFonts w:cstheme="minorHAnsi"/>
        </w:rPr>
        <w:t xml:space="preserve">Providers should therefore be indifferent between the participants. This however is dependent on a negotiated benchmark accurately adjusting </w:t>
      </w:r>
      <w:r w:rsidR="001C57A7" w:rsidRPr="001E5F7C">
        <w:rPr>
          <w:rFonts w:cstheme="minorHAnsi"/>
        </w:rPr>
        <w:t xml:space="preserve">for differences in client characteristics and labour market conditions, which the above evidence indicates is difficult to achieve. </w:t>
      </w:r>
    </w:p>
    <w:p w14:paraId="6287BAB3" w14:textId="77777777" w:rsidR="00902727" w:rsidRPr="00555FAB" w:rsidRDefault="00902727" w:rsidP="00902727">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cstheme="minorHAnsi"/>
          <w:b/>
          <w:sz w:val="24"/>
          <w:szCs w:val="24"/>
        </w:rPr>
      </w:pPr>
      <w:r w:rsidRPr="00555FAB">
        <w:rPr>
          <w:rFonts w:cstheme="minorHAnsi"/>
          <w:b/>
          <w:sz w:val="24"/>
          <w:szCs w:val="24"/>
        </w:rPr>
        <w:t>Case Study: The U.S. Workforce Investment Act</w:t>
      </w:r>
    </w:p>
    <w:p w14:paraId="381301FF" w14:textId="77777777" w:rsidR="00902727" w:rsidRPr="00555FAB" w:rsidRDefault="00902727" w:rsidP="00902727">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theme="minorHAnsi"/>
        </w:rPr>
      </w:pPr>
      <w:r w:rsidRPr="00555FAB">
        <w:rPr>
          <w:rFonts w:cstheme="minorHAnsi"/>
        </w:rPr>
        <w:t xml:space="preserve">The evidence indicates that the negotiated benchmark model has contributed to the creaming and parking of participants. Since the introduction of the WIA, the share of adults receiving training who are low-income or disadvantaged has declined. Frank and Minoff (2005) report that the share of low-income adults receiving training declined 14 per cent over 2000 to 2003. An internal (U.S. DOL, 2002) study corroborates these findings. A survey of states by the U.S. DOL’s Chicago Regional Office indicated that registrations occurred at half the rate of enrolment of its predecessor program the Job Training Partnership Act. The survey found that some local areas were basing their decision on whether to register a person based on their likelihood of success as opposed to their level of need. The study suggests that this was driven by concerns over meeting performance levels. The 2002 General Accountability Office study also found that the need to meet performance levels contributed to the creaming and parking of program participants:  </w:t>
      </w:r>
    </w:p>
    <w:p w14:paraId="6B4DB0C8" w14:textId="77777777" w:rsidR="00902727" w:rsidRDefault="00902727" w:rsidP="0090272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567"/>
        <w:rPr>
          <w:rFonts w:cstheme="minorHAnsi"/>
        </w:rPr>
      </w:pPr>
      <w:r w:rsidRPr="00555FAB">
        <w:rPr>
          <w:rFonts w:cstheme="minorHAnsi"/>
        </w:rPr>
        <w:t>‘</w:t>
      </w:r>
      <w:r w:rsidRPr="00902727">
        <w:rPr>
          <w:rFonts w:cstheme="minorHAnsi"/>
        </w:rPr>
        <w:t xml:space="preserve">Many states reported that the need to meet performance levels may be the driving factor in </w:t>
      </w:r>
    </w:p>
    <w:p w14:paraId="0388F799" w14:textId="77777777" w:rsidR="00902727" w:rsidRDefault="00902727" w:rsidP="0090272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567"/>
        <w:rPr>
          <w:rFonts w:cstheme="minorHAnsi"/>
        </w:rPr>
      </w:pPr>
      <w:r w:rsidRPr="00902727">
        <w:rPr>
          <w:rFonts w:cstheme="minorHAnsi"/>
        </w:rPr>
        <w:t xml:space="preserve">deciding who receives WIA-funded services at the local level. All the states we visited told us </w:t>
      </w:r>
    </w:p>
    <w:p w14:paraId="0D0D3A7A" w14:textId="77777777" w:rsidR="00902727" w:rsidRDefault="00902727" w:rsidP="0090272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567"/>
        <w:rPr>
          <w:rFonts w:cstheme="minorHAnsi"/>
        </w:rPr>
      </w:pPr>
      <w:r w:rsidRPr="00902727">
        <w:rPr>
          <w:rFonts w:cstheme="minorHAnsi"/>
        </w:rPr>
        <w:t xml:space="preserve">that local areas are not registering many WIA participants, largely attributing the low number </w:t>
      </w:r>
    </w:p>
    <w:p w14:paraId="7D490451" w14:textId="77777777" w:rsidR="00902727" w:rsidRDefault="00902727" w:rsidP="0090272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567"/>
        <w:rPr>
          <w:rFonts w:cstheme="minorHAnsi"/>
        </w:rPr>
      </w:pPr>
      <w:r w:rsidRPr="00902727">
        <w:rPr>
          <w:rFonts w:cstheme="minorHAnsi"/>
        </w:rPr>
        <w:t xml:space="preserve">of WIA participants to concerns by local staff about meeting performance levels. </w:t>
      </w:r>
      <w:r w:rsidRPr="00555FAB">
        <w:rPr>
          <w:rFonts w:cstheme="minorHAnsi"/>
        </w:rPr>
        <w:t xml:space="preserve">Local staff </w:t>
      </w:r>
    </w:p>
    <w:p w14:paraId="6FCDF540" w14:textId="77777777" w:rsidR="00902727" w:rsidRDefault="00902727" w:rsidP="0090272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567"/>
        <w:rPr>
          <w:rFonts w:cstheme="minorHAnsi"/>
        </w:rPr>
      </w:pPr>
      <w:r w:rsidRPr="00555FAB">
        <w:rPr>
          <w:rFonts w:cstheme="minorHAnsi"/>
        </w:rPr>
        <w:t xml:space="preserve">are reluctant to provide WIA-funded services to job seekers who may be less likely to get and </w:t>
      </w:r>
    </w:p>
    <w:p w14:paraId="7625E6DB" w14:textId="77777777" w:rsidR="00902727" w:rsidRDefault="00902727" w:rsidP="0090272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567"/>
        <w:rPr>
          <w:rFonts w:cstheme="minorHAnsi"/>
        </w:rPr>
      </w:pPr>
      <w:r w:rsidRPr="00555FAB">
        <w:rPr>
          <w:rFonts w:cstheme="minorHAnsi"/>
        </w:rPr>
        <w:t xml:space="preserve">keep a job. One state official described how local areas were carefully screening potential </w:t>
      </w:r>
    </w:p>
    <w:p w14:paraId="32B00C0A" w14:textId="77777777" w:rsidR="00902727" w:rsidRDefault="00902727" w:rsidP="0090272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567"/>
        <w:rPr>
          <w:rFonts w:cstheme="minorHAnsi"/>
        </w:rPr>
      </w:pPr>
      <w:r w:rsidRPr="00555FAB">
        <w:rPr>
          <w:rFonts w:cstheme="minorHAnsi"/>
        </w:rPr>
        <w:t xml:space="preserve">participants and holding meetings to decide whether to register them. As a result, individuals </w:t>
      </w:r>
    </w:p>
    <w:p w14:paraId="5236E728" w14:textId="77777777" w:rsidR="00902727" w:rsidRDefault="00902727" w:rsidP="0090272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567"/>
        <w:rPr>
          <w:rFonts w:cstheme="minorHAnsi"/>
        </w:rPr>
      </w:pPr>
      <w:r w:rsidRPr="00555FAB">
        <w:rPr>
          <w:rFonts w:cstheme="minorHAnsi"/>
        </w:rPr>
        <w:t xml:space="preserve">who are eligible for and may benefit from WIA-funded services may not be receiving services </w:t>
      </w:r>
    </w:p>
    <w:p w14:paraId="5C113162" w14:textId="79A25723" w:rsidR="00902727" w:rsidRDefault="00902727" w:rsidP="0090272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567"/>
        <w:rPr>
          <w:rFonts w:cstheme="minorHAnsi"/>
        </w:rPr>
      </w:pPr>
      <w:r w:rsidRPr="00555FAB">
        <w:rPr>
          <w:rFonts w:cstheme="minorHAnsi"/>
        </w:rPr>
        <w:t>that are tracked under WIA.’</w:t>
      </w:r>
    </w:p>
    <w:p w14:paraId="63F5E022" w14:textId="77777777" w:rsidR="00902727" w:rsidRPr="00555FAB" w:rsidRDefault="00902727" w:rsidP="0090272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567"/>
        <w:rPr>
          <w:rFonts w:cstheme="minorHAnsi"/>
        </w:rPr>
      </w:pPr>
    </w:p>
    <w:p w14:paraId="15770F56" w14:textId="77777777" w:rsidR="00902727" w:rsidRPr="00555FAB" w:rsidRDefault="00902727" w:rsidP="00902727">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theme="minorHAnsi"/>
          <w:sz w:val="24"/>
          <w:szCs w:val="24"/>
        </w:rPr>
      </w:pPr>
      <w:r w:rsidRPr="00555FAB">
        <w:rPr>
          <w:rFonts w:cstheme="minorHAnsi"/>
        </w:rPr>
        <w:t>The use of creaming to meet performance standards arises from the inability of the negotiation process to sufficiently account for variations in economic conditions or populations served (GAO, 2002).</w:t>
      </w:r>
    </w:p>
    <w:p w14:paraId="7E945DB9" w14:textId="77777777" w:rsidR="00CB2277" w:rsidRPr="00FE380B" w:rsidRDefault="00CB2277" w:rsidP="00FE380B">
      <w:pPr>
        <w:pStyle w:val="Sub-SubTitle"/>
        <w:numPr>
          <w:ilvl w:val="2"/>
          <w:numId w:val="16"/>
        </w:numPr>
        <w:spacing w:before="240" w:after="240"/>
        <w:ind w:left="851" w:hanging="851"/>
        <w:rPr>
          <w:rFonts w:asciiTheme="minorHAnsi" w:hAnsiTheme="minorHAnsi" w:cstheme="minorHAnsi"/>
          <w:i/>
          <w:color w:val="auto"/>
          <w:sz w:val="26"/>
          <w:szCs w:val="26"/>
        </w:rPr>
      </w:pPr>
      <w:bookmarkStart w:id="22" w:name="_Toc365872641"/>
      <w:r w:rsidRPr="00FE380B">
        <w:rPr>
          <w:rFonts w:asciiTheme="minorHAnsi" w:hAnsiTheme="minorHAnsi" w:cstheme="minorHAnsi"/>
          <w:i/>
          <w:color w:val="auto"/>
          <w:sz w:val="26"/>
          <w:szCs w:val="26"/>
        </w:rPr>
        <w:t>Resourcing Impost</w:t>
      </w:r>
      <w:bookmarkEnd w:id="22"/>
    </w:p>
    <w:p w14:paraId="1CDC8A0E" w14:textId="769DD310" w:rsidR="00257F82" w:rsidRDefault="00EF3D62" w:rsidP="00D94E80">
      <w:pPr>
        <w:autoSpaceDE w:val="0"/>
        <w:autoSpaceDN w:val="0"/>
        <w:adjustRightInd w:val="0"/>
        <w:spacing w:after="0" w:line="240" w:lineRule="auto"/>
        <w:rPr>
          <w:rFonts w:cstheme="minorHAnsi"/>
          <w:color w:val="000000"/>
        </w:rPr>
      </w:pPr>
      <w:r w:rsidRPr="0068554C">
        <w:rPr>
          <w:rFonts w:cstheme="minorHAnsi"/>
        </w:rPr>
        <w:t xml:space="preserve">A particular challenge in negotiating performance targets is the significant resource requirements this entails. </w:t>
      </w:r>
      <w:r w:rsidR="00042B59" w:rsidRPr="0068554C">
        <w:rPr>
          <w:rFonts w:cstheme="minorHAnsi"/>
        </w:rPr>
        <w:t xml:space="preserve">Under a negotiated model, the Department would need to negotiate each performance measure across every site in Australia. </w:t>
      </w:r>
      <w:r w:rsidR="00A03DC0" w:rsidRPr="0068554C">
        <w:rPr>
          <w:rFonts w:cstheme="minorHAnsi"/>
        </w:rPr>
        <w:t xml:space="preserve">There are currently </w:t>
      </w:r>
      <w:r w:rsidR="00042B59" w:rsidRPr="0068554C">
        <w:rPr>
          <w:rFonts w:cstheme="minorHAnsi"/>
        </w:rPr>
        <w:t xml:space="preserve">11 </w:t>
      </w:r>
      <w:r w:rsidR="00A03DC0" w:rsidRPr="0068554C">
        <w:rPr>
          <w:rFonts w:cstheme="minorHAnsi"/>
        </w:rPr>
        <w:t>performance measu</w:t>
      </w:r>
      <w:r w:rsidR="00042B59" w:rsidRPr="0068554C">
        <w:rPr>
          <w:rFonts w:cstheme="minorHAnsi"/>
        </w:rPr>
        <w:t>res in JSA and 9 in</w:t>
      </w:r>
      <w:r w:rsidR="00A03DC0" w:rsidRPr="0068554C">
        <w:rPr>
          <w:rFonts w:cstheme="minorHAnsi"/>
        </w:rPr>
        <w:t xml:space="preserve"> DES. </w:t>
      </w:r>
      <w:r w:rsidR="00042B59" w:rsidRPr="0068554C">
        <w:rPr>
          <w:rFonts w:cstheme="minorHAnsi"/>
        </w:rPr>
        <w:t xml:space="preserve">In </w:t>
      </w:r>
      <w:r w:rsidR="00CE42A2" w:rsidRPr="0068554C">
        <w:rPr>
          <w:rFonts w:cstheme="minorHAnsi"/>
        </w:rPr>
        <w:t>JSA,</w:t>
      </w:r>
      <w:r w:rsidR="00042B59" w:rsidRPr="0068554C">
        <w:rPr>
          <w:rFonts w:cstheme="minorHAnsi"/>
        </w:rPr>
        <w:t xml:space="preserve"> the performance measures also apply to four different streams. According to the March 2013 Start Ratings release there were </w:t>
      </w:r>
      <w:r w:rsidR="00257F82" w:rsidRPr="0068554C">
        <w:rPr>
          <w:rFonts w:cstheme="minorHAnsi"/>
        </w:rPr>
        <w:t xml:space="preserve">555 contracts and </w:t>
      </w:r>
      <w:r w:rsidR="00042B59" w:rsidRPr="0068554C">
        <w:rPr>
          <w:rFonts w:cstheme="minorHAnsi"/>
        </w:rPr>
        <w:t>2</w:t>
      </w:r>
      <w:r w:rsidR="00383B3D">
        <w:rPr>
          <w:rFonts w:cstheme="minorHAnsi"/>
        </w:rPr>
        <w:t>,</w:t>
      </w:r>
      <w:r w:rsidR="00042B59" w:rsidRPr="0068554C">
        <w:rPr>
          <w:rFonts w:cstheme="minorHAnsi"/>
        </w:rPr>
        <w:t xml:space="preserve">240 sites awarded a </w:t>
      </w:r>
      <w:r w:rsidR="007957F5" w:rsidRPr="0068554C">
        <w:rPr>
          <w:rFonts w:cstheme="minorHAnsi"/>
        </w:rPr>
        <w:t>Star Rating</w:t>
      </w:r>
      <w:r w:rsidR="00042B59" w:rsidRPr="0068554C">
        <w:rPr>
          <w:rFonts w:cstheme="minorHAnsi"/>
        </w:rPr>
        <w:t xml:space="preserve"> in JSA. For DES there </w:t>
      </w:r>
      <w:r w:rsidR="00257F82" w:rsidRPr="0068554C">
        <w:rPr>
          <w:rFonts w:cstheme="minorHAnsi"/>
        </w:rPr>
        <w:t>were</w:t>
      </w:r>
      <w:r w:rsidR="00042B59" w:rsidRPr="0068554C">
        <w:rPr>
          <w:rFonts w:cstheme="minorHAnsi"/>
        </w:rPr>
        <w:t xml:space="preserve"> </w:t>
      </w:r>
      <w:r w:rsidR="00257F82" w:rsidRPr="0068554C">
        <w:rPr>
          <w:rFonts w:cstheme="minorHAnsi"/>
        </w:rPr>
        <w:t xml:space="preserve">1000 contracts and </w:t>
      </w:r>
      <w:r w:rsidR="00042B59" w:rsidRPr="0068554C">
        <w:rPr>
          <w:rFonts w:cstheme="minorHAnsi"/>
        </w:rPr>
        <w:t>2</w:t>
      </w:r>
      <w:r w:rsidR="00383B3D">
        <w:rPr>
          <w:rFonts w:cstheme="minorHAnsi"/>
        </w:rPr>
        <w:t>,</w:t>
      </w:r>
      <w:r w:rsidR="00042B59" w:rsidRPr="0068554C">
        <w:rPr>
          <w:rFonts w:cstheme="minorHAnsi"/>
        </w:rPr>
        <w:t xml:space="preserve">494 sites according to the December 2012 </w:t>
      </w:r>
      <w:r w:rsidR="007957F5" w:rsidRPr="0068554C">
        <w:rPr>
          <w:rFonts w:cstheme="minorHAnsi"/>
        </w:rPr>
        <w:t>Star Rating</w:t>
      </w:r>
      <w:r w:rsidR="00C969DE" w:rsidRPr="0068554C">
        <w:rPr>
          <w:rFonts w:cstheme="minorHAnsi"/>
        </w:rPr>
        <w:t xml:space="preserve">s </w:t>
      </w:r>
      <w:r w:rsidR="00042B59" w:rsidRPr="0068554C">
        <w:rPr>
          <w:rFonts w:cstheme="minorHAnsi"/>
        </w:rPr>
        <w:t>release.</w:t>
      </w:r>
      <w:r w:rsidR="00A03DC0" w:rsidRPr="0068554C">
        <w:rPr>
          <w:rFonts w:cstheme="minorHAnsi"/>
        </w:rPr>
        <w:t xml:space="preserve"> </w:t>
      </w:r>
      <w:r w:rsidR="00257F82" w:rsidRPr="0068554C">
        <w:rPr>
          <w:rFonts w:cstheme="minorHAnsi"/>
        </w:rPr>
        <w:t>Undertaking negotiations</w:t>
      </w:r>
      <w:r w:rsidR="00A03DC0" w:rsidRPr="0068554C">
        <w:rPr>
          <w:rFonts w:cstheme="minorHAnsi"/>
        </w:rPr>
        <w:t xml:space="preserve"> </w:t>
      </w:r>
      <w:r w:rsidR="00257F82" w:rsidRPr="0068554C">
        <w:rPr>
          <w:rFonts w:cstheme="minorHAnsi"/>
        </w:rPr>
        <w:t xml:space="preserve">for every single contract or </w:t>
      </w:r>
      <w:r w:rsidRPr="0068554C">
        <w:rPr>
          <w:rFonts w:cstheme="minorHAnsi"/>
        </w:rPr>
        <w:t xml:space="preserve">site would be an enormous workload for each </w:t>
      </w:r>
      <w:r w:rsidRPr="0068554C">
        <w:rPr>
          <w:rFonts w:cstheme="minorHAnsi"/>
        </w:rPr>
        <w:lastRenderedPageBreak/>
        <w:t>of th</w:t>
      </w:r>
      <w:r w:rsidR="00C969DE" w:rsidRPr="0068554C">
        <w:rPr>
          <w:rFonts w:cstheme="minorHAnsi"/>
        </w:rPr>
        <w:t xml:space="preserve">e providers and the department, which would </w:t>
      </w:r>
      <w:r w:rsidRPr="0068554C">
        <w:rPr>
          <w:rFonts w:cstheme="minorHAnsi"/>
        </w:rPr>
        <w:t>involve setting tens of thousands of individual performance measure benchmarks.</w:t>
      </w:r>
      <w:r w:rsidR="00257F82" w:rsidRPr="0068554C">
        <w:rPr>
          <w:rFonts w:cstheme="minorHAnsi"/>
        </w:rPr>
        <w:t xml:space="preserve"> </w:t>
      </w:r>
      <w:r w:rsidR="00102939" w:rsidRPr="0068554C">
        <w:rPr>
          <w:rFonts w:cstheme="minorHAnsi"/>
        </w:rPr>
        <w:t>For example</w:t>
      </w:r>
      <w:r w:rsidR="00A349DB" w:rsidRPr="0068554C">
        <w:rPr>
          <w:rFonts w:cstheme="minorHAnsi"/>
        </w:rPr>
        <w:t xml:space="preserve">, the Department may provide </w:t>
      </w:r>
      <w:r w:rsidR="00CE42A2" w:rsidRPr="0068554C">
        <w:rPr>
          <w:rFonts w:cstheme="minorHAnsi"/>
        </w:rPr>
        <w:t>five</w:t>
      </w:r>
      <w:r w:rsidR="00A349DB" w:rsidRPr="0068554C">
        <w:rPr>
          <w:rFonts w:cstheme="minorHAnsi"/>
        </w:rPr>
        <w:t xml:space="preserve"> </w:t>
      </w:r>
      <w:r w:rsidR="00102939" w:rsidRPr="0068554C">
        <w:rPr>
          <w:rFonts w:cstheme="minorHAnsi"/>
        </w:rPr>
        <w:t>benchmark</w:t>
      </w:r>
      <w:r w:rsidR="00A349DB" w:rsidRPr="0068554C">
        <w:rPr>
          <w:rFonts w:cstheme="minorHAnsi"/>
        </w:rPr>
        <w:t>s</w:t>
      </w:r>
      <w:r w:rsidR="00102939" w:rsidRPr="0068554C">
        <w:rPr>
          <w:rFonts w:cstheme="minorHAnsi"/>
        </w:rPr>
        <w:t xml:space="preserve"> for each performance indicator </w:t>
      </w:r>
      <w:r w:rsidR="00A349DB" w:rsidRPr="0068554C">
        <w:rPr>
          <w:rFonts w:cstheme="minorHAnsi"/>
        </w:rPr>
        <w:t xml:space="preserve">showing the performance a provider needs to achieve to obtain a particular </w:t>
      </w:r>
      <w:r w:rsidR="007957F5" w:rsidRPr="0068554C">
        <w:rPr>
          <w:rFonts w:cstheme="minorHAnsi"/>
        </w:rPr>
        <w:t>Star Rating</w:t>
      </w:r>
      <w:r w:rsidR="00A349DB" w:rsidRPr="0068554C">
        <w:rPr>
          <w:rFonts w:cstheme="minorHAnsi"/>
        </w:rPr>
        <w:t>.</w:t>
      </w:r>
      <w:r w:rsidR="00102939" w:rsidRPr="0068554C">
        <w:rPr>
          <w:rFonts w:cstheme="minorHAnsi"/>
        </w:rPr>
        <w:t xml:space="preserve"> </w:t>
      </w:r>
      <w:r w:rsidR="00397C4F" w:rsidRPr="0068554C">
        <w:rPr>
          <w:rFonts w:cstheme="minorHAnsi"/>
        </w:rPr>
        <w:t>With</w:t>
      </w:r>
      <w:r w:rsidR="00A349DB" w:rsidRPr="0068554C">
        <w:rPr>
          <w:rFonts w:cstheme="minorHAnsi"/>
        </w:rPr>
        <w:t xml:space="preserve"> 31 indicators for JSA, this would equate </w:t>
      </w:r>
      <w:r w:rsidR="00397C4F" w:rsidRPr="0068554C">
        <w:rPr>
          <w:rFonts w:cstheme="minorHAnsi"/>
        </w:rPr>
        <w:t xml:space="preserve">to </w:t>
      </w:r>
      <w:r w:rsidR="00A349DB" w:rsidRPr="0068554C">
        <w:rPr>
          <w:rFonts w:cstheme="minorHAnsi"/>
        </w:rPr>
        <w:t xml:space="preserve">86,025 individual </w:t>
      </w:r>
      <w:r w:rsidR="00397C4F" w:rsidRPr="0068554C">
        <w:rPr>
          <w:rFonts w:cstheme="minorHAnsi"/>
        </w:rPr>
        <w:t>benchmarks</w:t>
      </w:r>
      <w:r w:rsidR="00A349DB" w:rsidRPr="0068554C">
        <w:rPr>
          <w:rFonts w:cstheme="minorHAnsi"/>
        </w:rPr>
        <w:t xml:space="preserve"> that would need to be </w:t>
      </w:r>
      <w:r w:rsidR="00397C4F" w:rsidRPr="0068554C">
        <w:rPr>
          <w:rFonts w:cstheme="minorHAnsi"/>
        </w:rPr>
        <w:t>negotiated</w:t>
      </w:r>
      <w:r w:rsidR="00A349DB" w:rsidRPr="0068554C">
        <w:rPr>
          <w:rFonts w:cstheme="minorHAnsi"/>
        </w:rPr>
        <w:t xml:space="preserve"> by the Department at the contract level and 347,200 benchmarks at the site level. </w:t>
      </w:r>
      <w:r w:rsidR="00397C4F" w:rsidRPr="0068554C">
        <w:rPr>
          <w:rFonts w:cstheme="minorHAnsi"/>
        </w:rPr>
        <w:t xml:space="preserve">With 10 indicators for DES, this equates to 50,000 benchmarks at the contract level and 124,700 benchmarks at the site level. </w:t>
      </w:r>
      <w:r w:rsidR="00257F82" w:rsidRPr="0068554C">
        <w:rPr>
          <w:rFonts w:cstheme="minorHAnsi"/>
        </w:rPr>
        <w:t xml:space="preserve">Furthermore, a negotiated model would require the ability to renegotiate benchmarks during the performance period to take into account unexpected changes in economic conditions. As discussed </w:t>
      </w:r>
      <w:r w:rsidR="00257F82" w:rsidRPr="00383B3D">
        <w:rPr>
          <w:rFonts w:cstheme="minorHAnsi"/>
        </w:rPr>
        <w:t xml:space="preserve">by </w:t>
      </w:r>
      <w:r w:rsidR="00257F82" w:rsidRPr="00383B3D">
        <w:rPr>
          <w:rFonts w:cstheme="minorHAnsi"/>
          <w:color w:val="000000"/>
        </w:rPr>
        <w:t>Tulip and Wallace (2012)</w:t>
      </w:r>
      <w:r w:rsidR="00BD3C9A" w:rsidRPr="00383B3D">
        <w:rPr>
          <w:rFonts w:cstheme="minorHAnsi"/>
          <w:color w:val="000000"/>
        </w:rPr>
        <w:t>,</w:t>
      </w:r>
      <w:r w:rsidR="00BD3C9A" w:rsidRPr="0068554C">
        <w:rPr>
          <w:rFonts w:cstheme="minorHAnsi"/>
          <w:color w:val="000000"/>
        </w:rPr>
        <w:t xml:space="preserve"> forecasts of Australia’s key macroeconomic variables are</w:t>
      </w:r>
      <w:r w:rsidR="00C00068" w:rsidRPr="0068554C">
        <w:rPr>
          <w:rFonts w:cstheme="minorHAnsi"/>
          <w:color w:val="000000"/>
        </w:rPr>
        <w:t xml:space="preserve"> subjected to significant uncertainty</w:t>
      </w:r>
      <w:r w:rsidR="00C969DE" w:rsidRPr="0068554C">
        <w:rPr>
          <w:rFonts w:cstheme="minorHAnsi"/>
          <w:color w:val="000000"/>
        </w:rPr>
        <w:t xml:space="preserve">. Performance standards will need to be renegotiated when actual economic conditions differ to that forecasted. </w:t>
      </w:r>
    </w:p>
    <w:p w14:paraId="1FB70EBE" w14:textId="77777777" w:rsidR="00D94E80" w:rsidRDefault="00D94E80" w:rsidP="00D94E80">
      <w:pPr>
        <w:autoSpaceDE w:val="0"/>
        <w:autoSpaceDN w:val="0"/>
        <w:adjustRightInd w:val="0"/>
        <w:spacing w:line="240" w:lineRule="auto"/>
        <w:rPr>
          <w:rFonts w:cstheme="minorHAnsi"/>
          <w:color w:val="000000"/>
        </w:rPr>
      </w:pPr>
    </w:p>
    <w:p w14:paraId="42CEA73C" w14:textId="77777777" w:rsidR="00D94E80" w:rsidRPr="00FC03F0" w:rsidRDefault="00D94E80" w:rsidP="00D94E80">
      <w:pPr>
        <w:pBdr>
          <w:top w:val="single" w:sz="4" w:space="1" w:color="auto"/>
          <w:left w:val="single" w:sz="4" w:space="4" w:color="auto"/>
          <w:right w:val="single" w:sz="4" w:space="4" w:color="auto"/>
        </w:pBdr>
        <w:autoSpaceDE w:val="0"/>
        <w:autoSpaceDN w:val="0"/>
        <w:adjustRightInd w:val="0"/>
        <w:spacing w:line="240" w:lineRule="auto"/>
        <w:jc w:val="both"/>
        <w:rPr>
          <w:rFonts w:cstheme="minorHAnsi"/>
          <w:b/>
          <w:sz w:val="24"/>
          <w:szCs w:val="24"/>
        </w:rPr>
      </w:pPr>
      <w:r w:rsidRPr="00FC03F0">
        <w:rPr>
          <w:rFonts w:cstheme="minorHAnsi"/>
          <w:b/>
          <w:sz w:val="24"/>
          <w:szCs w:val="24"/>
        </w:rPr>
        <w:t>Case Study on Negotiated Benchmarking: US Workforce Investment Act</w:t>
      </w:r>
    </w:p>
    <w:p w14:paraId="4F45507B" w14:textId="77777777" w:rsidR="00D94E80" w:rsidRPr="0068554C" w:rsidRDefault="00D94E80" w:rsidP="00D94E80">
      <w:pPr>
        <w:pBdr>
          <w:left w:val="single" w:sz="4" w:space="4" w:color="auto"/>
          <w:right w:val="single" w:sz="4" w:space="4" w:color="auto"/>
        </w:pBdr>
        <w:autoSpaceDE w:val="0"/>
        <w:autoSpaceDN w:val="0"/>
        <w:adjustRightInd w:val="0"/>
        <w:spacing w:line="240" w:lineRule="auto"/>
        <w:rPr>
          <w:rFonts w:cstheme="minorHAnsi"/>
        </w:rPr>
      </w:pPr>
      <w:r w:rsidRPr="0068554C">
        <w:rPr>
          <w:rFonts w:cstheme="minorHAnsi"/>
        </w:rPr>
        <w:t>In Austria’s Public Employment Services (PES) a negotiated model is used for setting performance targets. The Austrian PES had eight headline targets as of 2011 (</w:t>
      </w:r>
      <w:r w:rsidRPr="00383B3D">
        <w:rPr>
          <w:rFonts w:cstheme="minorHAnsi"/>
        </w:rPr>
        <w:t>Ecorys, 2011</w:t>
      </w:r>
      <w:r w:rsidRPr="0068554C">
        <w:rPr>
          <w:rFonts w:cstheme="minorHAnsi"/>
        </w:rPr>
        <w:t xml:space="preserve">). </w:t>
      </w:r>
    </w:p>
    <w:p w14:paraId="33B27DF7" w14:textId="06EC384D" w:rsidR="00D94E80" w:rsidRPr="0068554C" w:rsidRDefault="00D94E80" w:rsidP="00D94E80">
      <w:pPr>
        <w:pStyle w:val="Default"/>
        <w:pBdr>
          <w:left w:val="single" w:sz="4" w:space="4" w:color="auto"/>
          <w:right w:val="single" w:sz="4" w:space="4" w:color="auto"/>
        </w:pBdr>
        <w:ind w:firstLine="426"/>
        <w:rPr>
          <w:rFonts w:asciiTheme="minorHAnsi" w:hAnsiTheme="minorHAnsi" w:cstheme="minorHAnsi"/>
          <w:color w:val="auto"/>
          <w:sz w:val="22"/>
          <w:szCs w:val="22"/>
        </w:rPr>
      </w:pPr>
      <w:r>
        <w:rPr>
          <w:rFonts w:cstheme="minorHAnsi"/>
        </w:rPr>
        <w:sym w:font="Wingdings" w:char="F09F"/>
      </w:r>
      <w:r>
        <w:rPr>
          <w:rFonts w:cstheme="minorHAnsi"/>
        </w:rPr>
        <w:tab/>
      </w:r>
      <w:r w:rsidRPr="0068554C">
        <w:rPr>
          <w:rFonts w:asciiTheme="minorHAnsi" w:hAnsiTheme="minorHAnsi" w:cstheme="minorHAnsi"/>
          <w:color w:val="auto"/>
          <w:sz w:val="22"/>
          <w:szCs w:val="22"/>
        </w:rPr>
        <w:t xml:space="preserve">Transitions into employment of older persons within six months of unemployment; </w:t>
      </w:r>
    </w:p>
    <w:p w14:paraId="619739C1" w14:textId="39303719" w:rsidR="00D94E80" w:rsidRPr="0068554C" w:rsidRDefault="00D94E80" w:rsidP="00D94E80">
      <w:pPr>
        <w:pStyle w:val="Default"/>
        <w:pBdr>
          <w:left w:val="single" w:sz="4" w:space="4" w:color="auto"/>
          <w:right w:val="single" w:sz="4" w:space="4" w:color="auto"/>
        </w:pBdr>
        <w:ind w:firstLine="426"/>
        <w:rPr>
          <w:rFonts w:asciiTheme="minorHAnsi" w:hAnsiTheme="minorHAnsi" w:cstheme="minorHAnsi"/>
          <w:color w:val="auto"/>
          <w:sz w:val="22"/>
          <w:szCs w:val="22"/>
        </w:rPr>
      </w:pPr>
      <w:r>
        <w:rPr>
          <w:rFonts w:cstheme="minorHAnsi"/>
        </w:rPr>
        <w:sym w:font="Wingdings" w:char="F09F"/>
      </w:r>
      <w:r>
        <w:rPr>
          <w:rFonts w:cstheme="minorHAnsi"/>
        </w:rPr>
        <w:tab/>
      </w:r>
      <w:r w:rsidRPr="0068554C">
        <w:rPr>
          <w:rFonts w:asciiTheme="minorHAnsi" w:hAnsiTheme="minorHAnsi" w:cstheme="minorHAnsi"/>
          <w:color w:val="auto"/>
          <w:sz w:val="22"/>
          <w:szCs w:val="22"/>
        </w:rPr>
        <w:t xml:space="preserve">Transitions of youth within six months of unemployment into long-term-unemployment; </w:t>
      </w:r>
    </w:p>
    <w:p w14:paraId="34906AB0" w14:textId="77777777" w:rsidR="00D94E80" w:rsidRDefault="00D94E80" w:rsidP="00D94E80">
      <w:pPr>
        <w:pStyle w:val="Default"/>
        <w:pBdr>
          <w:left w:val="single" w:sz="4" w:space="4" w:color="auto"/>
          <w:right w:val="single" w:sz="4" w:space="4" w:color="auto"/>
        </w:pBdr>
        <w:ind w:firstLine="426"/>
        <w:rPr>
          <w:rFonts w:asciiTheme="minorHAnsi" w:hAnsiTheme="minorHAnsi" w:cstheme="minorHAnsi"/>
          <w:color w:val="auto"/>
          <w:sz w:val="22"/>
          <w:szCs w:val="22"/>
        </w:rPr>
      </w:pPr>
      <w:r>
        <w:rPr>
          <w:rFonts w:cstheme="minorHAnsi"/>
        </w:rPr>
        <w:sym w:font="Wingdings" w:char="F09F"/>
      </w:r>
      <w:r>
        <w:rPr>
          <w:rFonts w:cstheme="minorHAnsi"/>
        </w:rPr>
        <w:tab/>
      </w:r>
      <w:r w:rsidRPr="0068554C">
        <w:rPr>
          <w:rFonts w:asciiTheme="minorHAnsi" w:hAnsiTheme="minorHAnsi" w:cstheme="minorHAnsi"/>
          <w:color w:val="auto"/>
          <w:sz w:val="22"/>
          <w:szCs w:val="22"/>
        </w:rPr>
        <w:t xml:space="preserve">Transitions into employment of people with less than two months employment in the last </w:t>
      </w:r>
    </w:p>
    <w:p w14:paraId="018F96D4" w14:textId="65D870B8" w:rsidR="00D94E80" w:rsidRPr="0068554C" w:rsidRDefault="00D94E80" w:rsidP="00D94E80">
      <w:pPr>
        <w:pStyle w:val="Default"/>
        <w:pBdr>
          <w:left w:val="single" w:sz="4" w:space="4" w:color="auto"/>
          <w:right w:val="single" w:sz="4" w:space="4" w:color="auto"/>
        </w:pBdr>
        <w:ind w:firstLine="426"/>
        <w:rPr>
          <w:rFonts w:asciiTheme="minorHAnsi" w:hAnsiTheme="minorHAnsi" w:cstheme="minorHAnsi"/>
          <w:color w:val="auto"/>
          <w:sz w:val="22"/>
          <w:szCs w:val="22"/>
        </w:rPr>
      </w:pPr>
      <w:r>
        <w:rPr>
          <w:rFonts w:asciiTheme="minorHAnsi" w:hAnsiTheme="minorHAnsi" w:cstheme="minorHAnsi"/>
          <w:color w:val="auto"/>
          <w:sz w:val="22"/>
          <w:szCs w:val="22"/>
        </w:rPr>
        <w:tab/>
      </w:r>
      <w:r w:rsidRPr="0068554C">
        <w:rPr>
          <w:rFonts w:asciiTheme="minorHAnsi" w:hAnsiTheme="minorHAnsi" w:cstheme="minorHAnsi"/>
          <w:color w:val="auto"/>
          <w:sz w:val="22"/>
          <w:szCs w:val="22"/>
        </w:rPr>
        <w:t xml:space="preserve">year; </w:t>
      </w:r>
    </w:p>
    <w:p w14:paraId="76E43E05" w14:textId="77777777" w:rsidR="00D94E80" w:rsidRDefault="00D94E80" w:rsidP="00D94E80">
      <w:pPr>
        <w:pStyle w:val="Default"/>
        <w:pBdr>
          <w:left w:val="single" w:sz="4" w:space="4" w:color="auto"/>
          <w:right w:val="single" w:sz="4" w:space="4" w:color="auto"/>
        </w:pBdr>
        <w:ind w:firstLine="426"/>
        <w:rPr>
          <w:rFonts w:asciiTheme="minorHAnsi" w:hAnsiTheme="minorHAnsi" w:cstheme="minorHAnsi"/>
          <w:color w:val="auto"/>
          <w:sz w:val="22"/>
          <w:szCs w:val="22"/>
        </w:rPr>
      </w:pPr>
      <w:r>
        <w:rPr>
          <w:rFonts w:cstheme="minorHAnsi"/>
        </w:rPr>
        <w:sym w:font="Wingdings" w:char="F09F"/>
      </w:r>
      <w:r>
        <w:rPr>
          <w:rFonts w:cstheme="minorHAnsi"/>
        </w:rPr>
        <w:tab/>
      </w:r>
      <w:r w:rsidRPr="0068554C">
        <w:rPr>
          <w:rFonts w:asciiTheme="minorHAnsi" w:hAnsiTheme="minorHAnsi" w:cstheme="minorHAnsi"/>
          <w:color w:val="auto"/>
          <w:sz w:val="22"/>
          <w:szCs w:val="22"/>
        </w:rPr>
        <w:t xml:space="preserve">Number of women re-entering the labour market after childbirth in vocational training or in </w:t>
      </w:r>
    </w:p>
    <w:p w14:paraId="7C9A0433" w14:textId="0ADB12F2" w:rsidR="00D94E80" w:rsidRPr="0068554C" w:rsidRDefault="00D94E80" w:rsidP="00D94E80">
      <w:pPr>
        <w:pStyle w:val="Default"/>
        <w:pBdr>
          <w:left w:val="single" w:sz="4" w:space="4" w:color="auto"/>
          <w:right w:val="single" w:sz="4" w:space="4" w:color="auto"/>
        </w:pBdr>
        <w:ind w:firstLine="426"/>
        <w:rPr>
          <w:rFonts w:asciiTheme="minorHAnsi" w:hAnsiTheme="minorHAnsi" w:cstheme="minorHAnsi"/>
          <w:color w:val="auto"/>
          <w:sz w:val="22"/>
          <w:szCs w:val="22"/>
        </w:rPr>
      </w:pPr>
      <w:r>
        <w:rPr>
          <w:rFonts w:asciiTheme="minorHAnsi" w:hAnsiTheme="minorHAnsi" w:cstheme="minorHAnsi"/>
          <w:color w:val="auto"/>
          <w:sz w:val="22"/>
          <w:szCs w:val="22"/>
        </w:rPr>
        <w:tab/>
      </w:r>
      <w:r w:rsidRPr="0068554C">
        <w:rPr>
          <w:rFonts w:asciiTheme="minorHAnsi" w:hAnsiTheme="minorHAnsi" w:cstheme="minorHAnsi"/>
          <w:color w:val="auto"/>
          <w:sz w:val="22"/>
          <w:szCs w:val="22"/>
        </w:rPr>
        <w:t xml:space="preserve">employment after training; </w:t>
      </w:r>
    </w:p>
    <w:p w14:paraId="3BA019C8" w14:textId="52A4B3E9" w:rsidR="00D94E80" w:rsidRPr="0068554C" w:rsidRDefault="00D94E80" w:rsidP="00D94E80">
      <w:pPr>
        <w:pStyle w:val="Default"/>
        <w:pBdr>
          <w:left w:val="single" w:sz="4" w:space="4" w:color="auto"/>
          <w:right w:val="single" w:sz="4" w:space="4" w:color="auto"/>
        </w:pBdr>
        <w:ind w:firstLine="426"/>
        <w:rPr>
          <w:rFonts w:asciiTheme="minorHAnsi" w:hAnsiTheme="minorHAnsi" w:cstheme="minorHAnsi"/>
          <w:color w:val="auto"/>
          <w:sz w:val="22"/>
          <w:szCs w:val="22"/>
        </w:rPr>
      </w:pPr>
      <w:r>
        <w:rPr>
          <w:rFonts w:cstheme="minorHAnsi"/>
        </w:rPr>
        <w:sym w:font="Wingdings" w:char="F09F"/>
      </w:r>
      <w:r>
        <w:rPr>
          <w:rFonts w:cstheme="minorHAnsi"/>
        </w:rPr>
        <w:tab/>
      </w:r>
      <w:r w:rsidRPr="0068554C">
        <w:rPr>
          <w:rFonts w:asciiTheme="minorHAnsi" w:hAnsiTheme="minorHAnsi" w:cstheme="minorHAnsi"/>
          <w:color w:val="auto"/>
          <w:sz w:val="22"/>
          <w:szCs w:val="22"/>
        </w:rPr>
        <w:t xml:space="preserve">Transitions into employment after training; </w:t>
      </w:r>
    </w:p>
    <w:p w14:paraId="0809D96A" w14:textId="11059028" w:rsidR="00D94E80" w:rsidRPr="0068554C" w:rsidRDefault="00D94E80" w:rsidP="00D94E80">
      <w:pPr>
        <w:pStyle w:val="Default"/>
        <w:pBdr>
          <w:left w:val="single" w:sz="4" w:space="4" w:color="auto"/>
          <w:right w:val="single" w:sz="4" w:space="4" w:color="auto"/>
        </w:pBdr>
        <w:ind w:firstLine="426"/>
        <w:rPr>
          <w:rFonts w:asciiTheme="minorHAnsi" w:hAnsiTheme="minorHAnsi" w:cstheme="minorHAnsi"/>
          <w:color w:val="auto"/>
          <w:sz w:val="22"/>
          <w:szCs w:val="22"/>
        </w:rPr>
      </w:pPr>
      <w:r>
        <w:rPr>
          <w:rFonts w:cstheme="minorHAnsi"/>
        </w:rPr>
        <w:sym w:font="Wingdings" w:char="F09F"/>
      </w:r>
      <w:r>
        <w:rPr>
          <w:rFonts w:cstheme="minorHAnsi"/>
        </w:rPr>
        <w:tab/>
      </w:r>
      <w:r w:rsidRPr="0068554C">
        <w:rPr>
          <w:rFonts w:asciiTheme="minorHAnsi" w:hAnsiTheme="minorHAnsi" w:cstheme="minorHAnsi"/>
          <w:color w:val="auto"/>
          <w:sz w:val="22"/>
          <w:szCs w:val="22"/>
        </w:rPr>
        <w:t xml:space="preserve">Number of girls/women in higher technical vocational training; </w:t>
      </w:r>
    </w:p>
    <w:p w14:paraId="7CE65D1E" w14:textId="0A4B5C4A" w:rsidR="00D94E80" w:rsidRPr="0068554C" w:rsidRDefault="00D94E80" w:rsidP="00D94E80">
      <w:pPr>
        <w:pStyle w:val="Default"/>
        <w:pBdr>
          <w:left w:val="single" w:sz="4" w:space="4" w:color="auto"/>
          <w:right w:val="single" w:sz="4" w:space="4" w:color="auto"/>
        </w:pBdr>
        <w:ind w:firstLine="426"/>
        <w:rPr>
          <w:rFonts w:asciiTheme="minorHAnsi" w:hAnsiTheme="minorHAnsi" w:cstheme="minorHAnsi"/>
          <w:color w:val="auto"/>
          <w:sz w:val="22"/>
          <w:szCs w:val="22"/>
        </w:rPr>
      </w:pPr>
      <w:r>
        <w:rPr>
          <w:rFonts w:cstheme="minorHAnsi"/>
        </w:rPr>
        <w:sym w:font="Wingdings" w:char="F09F"/>
      </w:r>
      <w:r>
        <w:rPr>
          <w:rFonts w:cstheme="minorHAnsi"/>
        </w:rPr>
        <w:tab/>
      </w:r>
      <w:r w:rsidRPr="0068554C">
        <w:rPr>
          <w:rFonts w:asciiTheme="minorHAnsi" w:hAnsiTheme="minorHAnsi" w:cstheme="minorHAnsi"/>
          <w:color w:val="auto"/>
          <w:sz w:val="22"/>
          <w:szCs w:val="22"/>
        </w:rPr>
        <w:t xml:space="preserve">Filled vacancies; </w:t>
      </w:r>
    </w:p>
    <w:p w14:paraId="2C8F4F25" w14:textId="3031B4AC" w:rsidR="00D94E80" w:rsidRPr="0068554C" w:rsidRDefault="00D94E80" w:rsidP="00D94E80">
      <w:pPr>
        <w:pStyle w:val="Default"/>
        <w:pBdr>
          <w:left w:val="single" w:sz="4" w:space="4" w:color="auto"/>
          <w:right w:val="single" w:sz="4" w:space="4" w:color="auto"/>
        </w:pBdr>
        <w:spacing w:after="240"/>
        <w:ind w:firstLine="426"/>
        <w:rPr>
          <w:rFonts w:asciiTheme="minorHAnsi" w:hAnsiTheme="minorHAnsi" w:cstheme="minorHAnsi"/>
          <w:color w:val="auto"/>
          <w:sz w:val="22"/>
          <w:szCs w:val="22"/>
        </w:rPr>
      </w:pPr>
      <w:r>
        <w:rPr>
          <w:rFonts w:cstheme="minorHAnsi"/>
        </w:rPr>
        <w:sym w:font="Wingdings" w:char="F09F"/>
      </w:r>
      <w:r>
        <w:rPr>
          <w:rFonts w:cstheme="minorHAnsi"/>
        </w:rPr>
        <w:tab/>
      </w:r>
      <w:r w:rsidRPr="0068554C">
        <w:rPr>
          <w:rFonts w:asciiTheme="minorHAnsi" w:hAnsiTheme="minorHAnsi" w:cstheme="minorHAnsi"/>
          <w:color w:val="auto"/>
          <w:sz w:val="22"/>
          <w:szCs w:val="22"/>
        </w:rPr>
        <w:t xml:space="preserve">Registered high-skill vacancies. </w:t>
      </w:r>
    </w:p>
    <w:p w14:paraId="65D31CE1" w14:textId="77777777" w:rsidR="00D94E80" w:rsidRPr="0068554C" w:rsidRDefault="00D94E80" w:rsidP="00D94E80">
      <w:pPr>
        <w:pBdr>
          <w:left w:val="single" w:sz="4" w:space="4" w:color="auto"/>
          <w:right w:val="single" w:sz="4" w:space="4" w:color="auto"/>
        </w:pBdr>
        <w:autoSpaceDE w:val="0"/>
        <w:autoSpaceDN w:val="0"/>
        <w:adjustRightInd w:val="0"/>
        <w:spacing w:line="240" w:lineRule="auto"/>
        <w:rPr>
          <w:rFonts w:cstheme="minorHAnsi"/>
        </w:rPr>
      </w:pPr>
      <w:r w:rsidRPr="0068554C">
        <w:rPr>
          <w:rFonts w:cstheme="minorHAnsi"/>
        </w:rPr>
        <w:t xml:space="preserve">Performance standards for these measures are set by the respective superior organisational levels but arrived at through negotiation. A number of steps are involved in setting the performance standard: </w:t>
      </w:r>
    </w:p>
    <w:p w14:paraId="2BF7F621" w14:textId="77777777" w:rsidR="00D94E80" w:rsidRDefault="00D94E80" w:rsidP="00D94E80">
      <w:pPr>
        <w:pStyle w:val="Default"/>
        <w:pBdr>
          <w:left w:val="single" w:sz="4" w:space="4" w:color="auto"/>
          <w:right w:val="single" w:sz="4" w:space="4" w:color="auto"/>
        </w:pBdr>
        <w:ind w:firstLine="426"/>
        <w:rPr>
          <w:rFonts w:asciiTheme="minorHAnsi" w:hAnsiTheme="minorHAnsi" w:cstheme="minorHAnsi"/>
          <w:sz w:val="22"/>
          <w:szCs w:val="22"/>
        </w:rPr>
      </w:pPr>
      <w:r w:rsidRPr="00D94E80">
        <w:rPr>
          <w:rFonts w:asciiTheme="minorHAnsi" w:hAnsiTheme="minorHAnsi" w:cstheme="minorHAnsi"/>
          <w:sz w:val="22"/>
          <w:szCs w:val="22"/>
        </w:rPr>
        <w:t>1.</w:t>
      </w:r>
      <w:r w:rsidRPr="00D94E80">
        <w:rPr>
          <w:rFonts w:cstheme="minorHAnsi"/>
        </w:rPr>
        <w:t xml:space="preserve"> </w:t>
      </w:r>
      <w:r>
        <w:rPr>
          <w:rFonts w:cstheme="minorHAnsi"/>
        </w:rPr>
        <w:tab/>
      </w:r>
      <w:r w:rsidRPr="00D94E80">
        <w:rPr>
          <w:rFonts w:asciiTheme="minorHAnsi" w:hAnsiTheme="minorHAnsi" w:cstheme="minorHAnsi"/>
          <w:sz w:val="22"/>
          <w:szCs w:val="22"/>
        </w:rPr>
        <w:t xml:space="preserve">Targets are set following an extensive discussion between the federal government, social </w:t>
      </w:r>
    </w:p>
    <w:p w14:paraId="50D6D64C" w14:textId="77777777" w:rsidR="00D94E80" w:rsidRDefault="00D94E80" w:rsidP="00D94E80">
      <w:pPr>
        <w:pStyle w:val="Default"/>
        <w:pBdr>
          <w:left w:val="single" w:sz="4" w:space="4" w:color="auto"/>
          <w:right w:val="single" w:sz="4" w:space="4" w:color="auto"/>
        </w:pBdr>
        <w:ind w:firstLine="720"/>
        <w:rPr>
          <w:rFonts w:asciiTheme="minorHAnsi" w:hAnsiTheme="minorHAnsi" w:cstheme="minorHAnsi"/>
          <w:sz w:val="22"/>
          <w:szCs w:val="22"/>
        </w:rPr>
      </w:pPr>
      <w:r w:rsidRPr="00D94E80">
        <w:rPr>
          <w:rFonts w:asciiTheme="minorHAnsi" w:hAnsiTheme="minorHAnsi" w:cstheme="minorHAnsi"/>
          <w:sz w:val="22"/>
          <w:szCs w:val="22"/>
        </w:rPr>
        <w:t xml:space="preserve">partners and the federal and national organisations belonging to the national public </w:t>
      </w:r>
    </w:p>
    <w:p w14:paraId="6F07D10E" w14:textId="361B4FF2" w:rsidR="00D94E80" w:rsidRPr="00D94E80" w:rsidRDefault="00D94E80" w:rsidP="00D94E80">
      <w:pPr>
        <w:pStyle w:val="Default"/>
        <w:pBdr>
          <w:left w:val="single" w:sz="4" w:space="4" w:color="auto"/>
          <w:right w:val="single" w:sz="4" w:space="4" w:color="auto"/>
        </w:pBdr>
        <w:ind w:firstLine="720"/>
        <w:rPr>
          <w:rFonts w:asciiTheme="minorHAnsi" w:hAnsiTheme="minorHAnsi" w:cstheme="minorHAnsi"/>
          <w:sz w:val="22"/>
          <w:szCs w:val="22"/>
        </w:rPr>
      </w:pPr>
      <w:r w:rsidRPr="00D94E80">
        <w:rPr>
          <w:rFonts w:asciiTheme="minorHAnsi" w:hAnsiTheme="minorHAnsi" w:cstheme="minorHAnsi"/>
          <w:sz w:val="22"/>
          <w:szCs w:val="22"/>
        </w:rPr>
        <w:t xml:space="preserve">employment service. </w:t>
      </w:r>
    </w:p>
    <w:p w14:paraId="10A73B83" w14:textId="77777777" w:rsidR="00D94E80" w:rsidRDefault="00D94E80" w:rsidP="00D94E80">
      <w:pPr>
        <w:pStyle w:val="Default"/>
        <w:pBdr>
          <w:left w:val="single" w:sz="4" w:space="4" w:color="auto"/>
          <w:right w:val="single" w:sz="4" w:space="4" w:color="auto"/>
        </w:pBdr>
        <w:ind w:firstLine="426"/>
        <w:rPr>
          <w:rFonts w:asciiTheme="minorHAnsi" w:hAnsiTheme="minorHAnsi" w:cstheme="minorHAnsi"/>
          <w:sz w:val="22"/>
          <w:szCs w:val="22"/>
        </w:rPr>
      </w:pPr>
      <w:r>
        <w:rPr>
          <w:rFonts w:asciiTheme="minorHAnsi" w:hAnsiTheme="minorHAnsi" w:cstheme="minorHAnsi"/>
          <w:sz w:val="22"/>
          <w:szCs w:val="22"/>
        </w:rPr>
        <w:t>2</w:t>
      </w:r>
      <w:r w:rsidRPr="00D94E80">
        <w:rPr>
          <w:rFonts w:asciiTheme="minorHAnsi" w:hAnsiTheme="minorHAnsi" w:cstheme="minorHAnsi"/>
          <w:sz w:val="22"/>
          <w:szCs w:val="22"/>
        </w:rPr>
        <w:t>.</w:t>
      </w:r>
      <w:r w:rsidRPr="00D94E80">
        <w:rPr>
          <w:rFonts w:cstheme="minorHAnsi"/>
        </w:rPr>
        <w:t xml:space="preserve"> </w:t>
      </w:r>
      <w:r>
        <w:rPr>
          <w:rFonts w:cstheme="minorHAnsi"/>
        </w:rPr>
        <w:tab/>
      </w:r>
      <w:r w:rsidRPr="00D94E80">
        <w:rPr>
          <w:rFonts w:asciiTheme="minorHAnsi" w:hAnsiTheme="minorHAnsi" w:cstheme="minorHAnsi"/>
          <w:sz w:val="22"/>
          <w:szCs w:val="22"/>
        </w:rPr>
        <w:t xml:space="preserve">Following this coordinating process, the administrative board of the Austrian PES </w:t>
      </w:r>
    </w:p>
    <w:p w14:paraId="3549CEFF" w14:textId="77777777" w:rsidR="00D94E80" w:rsidRDefault="00D94E80" w:rsidP="00D94E80">
      <w:pPr>
        <w:pStyle w:val="Default"/>
        <w:pBdr>
          <w:left w:val="single" w:sz="4" w:space="4" w:color="auto"/>
          <w:right w:val="single" w:sz="4" w:space="4" w:color="auto"/>
        </w:pBdr>
        <w:ind w:firstLine="720"/>
        <w:rPr>
          <w:rFonts w:asciiTheme="minorHAnsi" w:hAnsiTheme="minorHAnsi" w:cstheme="minorHAnsi"/>
          <w:sz w:val="22"/>
          <w:szCs w:val="22"/>
        </w:rPr>
      </w:pPr>
      <w:r w:rsidRPr="00D94E80">
        <w:rPr>
          <w:rFonts w:asciiTheme="minorHAnsi" w:hAnsiTheme="minorHAnsi" w:cstheme="minorHAnsi"/>
          <w:sz w:val="22"/>
          <w:szCs w:val="22"/>
        </w:rPr>
        <w:t xml:space="preserve">(Arbeitsmarktservice, AMS) comprised of a three-tier governance structure including </w:t>
      </w:r>
    </w:p>
    <w:p w14:paraId="6256E8C4" w14:textId="77777777" w:rsidR="00D94E80" w:rsidRDefault="00D94E80" w:rsidP="00D94E80">
      <w:pPr>
        <w:pStyle w:val="Default"/>
        <w:pBdr>
          <w:left w:val="single" w:sz="4" w:space="4" w:color="auto"/>
          <w:right w:val="single" w:sz="4" w:space="4" w:color="auto"/>
        </w:pBdr>
        <w:ind w:firstLine="720"/>
        <w:rPr>
          <w:rFonts w:asciiTheme="minorHAnsi" w:hAnsiTheme="minorHAnsi" w:cstheme="minorHAnsi"/>
          <w:sz w:val="22"/>
          <w:szCs w:val="22"/>
        </w:rPr>
      </w:pPr>
      <w:r w:rsidRPr="00D94E80">
        <w:rPr>
          <w:rFonts w:asciiTheme="minorHAnsi" w:hAnsiTheme="minorHAnsi" w:cstheme="minorHAnsi"/>
          <w:sz w:val="22"/>
          <w:szCs w:val="22"/>
        </w:rPr>
        <w:t xml:space="preserve">national headquarters (located in Vienna), regional offices (one in each of the nine federal </w:t>
      </w:r>
    </w:p>
    <w:p w14:paraId="19EC06D1" w14:textId="30FB9494" w:rsidR="00D94E80" w:rsidRPr="00D94E80" w:rsidRDefault="00D94E80" w:rsidP="005474D4">
      <w:pPr>
        <w:pStyle w:val="Default"/>
        <w:pBdr>
          <w:left w:val="single" w:sz="4" w:space="4" w:color="auto"/>
          <w:right w:val="single" w:sz="4" w:space="4" w:color="auto"/>
        </w:pBdr>
        <w:ind w:firstLine="720"/>
        <w:rPr>
          <w:rFonts w:asciiTheme="minorHAnsi" w:hAnsiTheme="minorHAnsi" w:cstheme="minorHAnsi"/>
          <w:sz w:val="22"/>
          <w:szCs w:val="22"/>
        </w:rPr>
      </w:pPr>
      <w:r w:rsidRPr="00D94E80">
        <w:rPr>
          <w:rFonts w:asciiTheme="minorHAnsi" w:hAnsiTheme="minorHAnsi" w:cstheme="minorHAnsi"/>
          <w:sz w:val="22"/>
          <w:szCs w:val="22"/>
        </w:rPr>
        <w:t>states or Länder), and local PES offices sets the target values at the state and federal level.</w:t>
      </w:r>
    </w:p>
    <w:p w14:paraId="4F0E56A0" w14:textId="77777777" w:rsidR="00D94E80" w:rsidRDefault="00D94E80" w:rsidP="00D94E80">
      <w:pPr>
        <w:pStyle w:val="Default"/>
        <w:pBdr>
          <w:left w:val="single" w:sz="4" w:space="4" w:color="auto"/>
          <w:right w:val="single" w:sz="4" w:space="4" w:color="auto"/>
        </w:pBdr>
        <w:ind w:firstLine="426"/>
        <w:rPr>
          <w:rFonts w:asciiTheme="minorHAnsi" w:hAnsiTheme="minorHAnsi" w:cstheme="minorHAnsi"/>
          <w:sz w:val="22"/>
          <w:szCs w:val="22"/>
        </w:rPr>
      </w:pPr>
      <w:r>
        <w:rPr>
          <w:rFonts w:asciiTheme="minorHAnsi" w:hAnsiTheme="minorHAnsi" w:cstheme="minorHAnsi"/>
          <w:sz w:val="22"/>
          <w:szCs w:val="22"/>
        </w:rPr>
        <w:t>3</w:t>
      </w:r>
      <w:r w:rsidRPr="00D94E80">
        <w:rPr>
          <w:rFonts w:asciiTheme="minorHAnsi" w:hAnsiTheme="minorHAnsi" w:cstheme="minorHAnsi"/>
          <w:sz w:val="22"/>
          <w:szCs w:val="22"/>
        </w:rPr>
        <w:t>.</w:t>
      </w:r>
      <w:r w:rsidRPr="00D94E80">
        <w:rPr>
          <w:rFonts w:cstheme="minorHAnsi"/>
        </w:rPr>
        <w:t xml:space="preserve"> </w:t>
      </w:r>
      <w:r>
        <w:rPr>
          <w:rFonts w:cstheme="minorHAnsi"/>
        </w:rPr>
        <w:tab/>
      </w:r>
      <w:r w:rsidRPr="00D94E80">
        <w:rPr>
          <w:rFonts w:asciiTheme="minorHAnsi" w:hAnsiTheme="minorHAnsi" w:cstheme="minorHAnsi"/>
          <w:sz w:val="22"/>
          <w:szCs w:val="22"/>
        </w:rPr>
        <w:t xml:space="preserve">State organisations set the target values for the subordinate regional organisations of the </w:t>
      </w:r>
    </w:p>
    <w:p w14:paraId="0ECE35CD" w14:textId="301C7702" w:rsidR="00D94E80" w:rsidRPr="00D94E80" w:rsidRDefault="00D94E80" w:rsidP="005474D4">
      <w:pPr>
        <w:pStyle w:val="Default"/>
        <w:pBdr>
          <w:left w:val="single" w:sz="4" w:space="4" w:color="auto"/>
          <w:right w:val="single" w:sz="4" w:space="4" w:color="auto"/>
        </w:pBdr>
        <w:ind w:firstLine="720"/>
        <w:rPr>
          <w:rFonts w:asciiTheme="minorHAnsi" w:hAnsiTheme="minorHAnsi" w:cstheme="minorHAnsi"/>
          <w:sz w:val="22"/>
          <w:szCs w:val="22"/>
        </w:rPr>
      </w:pPr>
      <w:r w:rsidRPr="00D94E80">
        <w:rPr>
          <w:rFonts w:asciiTheme="minorHAnsi" w:hAnsiTheme="minorHAnsi" w:cstheme="minorHAnsi"/>
          <w:sz w:val="22"/>
          <w:szCs w:val="22"/>
        </w:rPr>
        <w:t xml:space="preserve">PES. These targets are negotiated on an annual basis. </w:t>
      </w:r>
    </w:p>
    <w:p w14:paraId="60FAADB4" w14:textId="77777777" w:rsidR="00D94E80" w:rsidRDefault="00D94E80" w:rsidP="00D94E80">
      <w:pPr>
        <w:pStyle w:val="Default"/>
        <w:pBdr>
          <w:left w:val="single" w:sz="4" w:space="4" w:color="auto"/>
          <w:right w:val="single" w:sz="4" w:space="4" w:color="auto"/>
        </w:pBdr>
        <w:ind w:firstLine="426"/>
        <w:rPr>
          <w:rFonts w:asciiTheme="minorHAnsi" w:hAnsiTheme="minorHAnsi" w:cstheme="minorHAnsi"/>
          <w:sz w:val="22"/>
          <w:szCs w:val="22"/>
        </w:rPr>
      </w:pPr>
      <w:r>
        <w:rPr>
          <w:rFonts w:asciiTheme="minorHAnsi" w:hAnsiTheme="minorHAnsi" w:cstheme="minorHAnsi"/>
          <w:sz w:val="22"/>
          <w:szCs w:val="22"/>
        </w:rPr>
        <w:t>4</w:t>
      </w:r>
      <w:r w:rsidRPr="00D94E80">
        <w:rPr>
          <w:rFonts w:asciiTheme="minorHAnsi" w:hAnsiTheme="minorHAnsi" w:cstheme="minorHAnsi"/>
          <w:sz w:val="22"/>
          <w:szCs w:val="22"/>
        </w:rPr>
        <w:t>.</w:t>
      </w:r>
      <w:r w:rsidRPr="00D94E80">
        <w:rPr>
          <w:rFonts w:cstheme="minorHAnsi"/>
        </w:rPr>
        <w:t xml:space="preserve"> </w:t>
      </w:r>
      <w:r>
        <w:rPr>
          <w:rFonts w:cstheme="minorHAnsi"/>
        </w:rPr>
        <w:tab/>
      </w:r>
      <w:r w:rsidRPr="00D94E80">
        <w:rPr>
          <w:rFonts w:asciiTheme="minorHAnsi" w:hAnsiTheme="minorHAnsi" w:cstheme="minorHAnsi"/>
          <w:sz w:val="22"/>
          <w:szCs w:val="22"/>
        </w:rPr>
        <w:t xml:space="preserve">Once the annual target is set, a sub-annual verification of performance and revision of </w:t>
      </w:r>
    </w:p>
    <w:p w14:paraId="6E078F9A" w14:textId="77777777" w:rsidR="00D94E80" w:rsidRDefault="00D94E80" w:rsidP="005474D4">
      <w:pPr>
        <w:pStyle w:val="Default"/>
        <w:pBdr>
          <w:left w:val="single" w:sz="4" w:space="4" w:color="auto"/>
          <w:right w:val="single" w:sz="4" w:space="4" w:color="auto"/>
        </w:pBdr>
        <w:ind w:firstLine="720"/>
        <w:rPr>
          <w:rFonts w:asciiTheme="minorHAnsi" w:hAnsiTheme="minorHAnsi" w:cstheme="minorHAnsi"/>
          <w:sz w:val="22"/>
          <w:szCs w:val="22"/>
        </w:rPr>
      </w:pPr>
      <w:r w:rsidRPr="00D94E80">
        <w:rPr>
          <w:rFonts w:asciiTheme="minorHAnsi" w:hAnsiTheme="minorHAnsi" w:cstheme="minorHAnsi"/>
          <w:sz w:val="22"/>
          <w:szCs w:val="22"/>
        </w:rPr>
        <w:t xml:space="preserve">targets is conducted. This examines the extent to which the target values will be achieved by </w:t>
      </w:r>
    </w:p>
    <w:p w14:paraId="74007D46" w14:textId="77777777" w:rsidR="00D94E80" w:rsidRDefault="00D94E80" w:rsidP="005474D4">
      <w:pPr>
        <w:pStyle w:val="Default"/>
        <w:pBdr>
          <w:left w:val="single" w:sz="4" w:space="4" w:color="auto"/>
          <w:right w:val="single" w:sz="4" w:space="4" w:color="auto"/>
        </w:pBdr>
        <w:ind w:firstLine="720"/>
        <w:rPr>
          <w:rFonts w:asciiTheme="minorHAnsi" w:hAnsiTheme="minorHAnsi" w:cstheme="minorHAnsi"/>
          <w:sz w:val="22"/>
          <w:szCs w:val="22"/>
        </w:rPr>
      </w:pPr>
      <w:r w:rsidRPr="00D94E80">
        <w:rPr>
          <w:rFonts w:asciiTheme="minorHAnsi" w:hAnsiTheme="minorHAnsi" w:cstheme="minorHAnsi"/>
          <w:sz w:val="22"/>
          <w:szCs w:val="22"/>
        </w:rPr>
        <w:t xml:space="preserve">the end of the year. This is completed by setting sub-annual values taking into account </w:t>
      </w:r>
    </w:p>
    <w:p w14:paraId="17F2C3F4" w14:textId="404D63F5" w:rsidR="00D94E80" w:rsidRPr="00D94E80" w:rsidRDefault="00D94E80" w:rsidP="005474D4">
      <w:pPr>
        <w:pStyle w:val="Default"/>
        <w:pBdr>
          <w:left w:val="single" w:sz="4" w:space="4" w:color="auto"/>
          <w:right w:val="single" w:sz="4" w:space="4" w:color="auto"/>
        </w:pBdr>
        <w:ind w:firstLine="720"/>
        <w:rPr>
          <w:rFonts w:asciiTheme="minorHAnsi" w:hAnsiTheme="minorHAnsi" w:cstheme="minorHAnsi"/>
          <w:sz w:val="22"/>
          <w:szCs w:val="22"/>
        </w:rPr>
      </w:pPr>
      <w:r w:rsidRPr="00D94E80">
        <w:rPr>
          <w:rFonts w:asciiTheme="minorHAnsi" w:hAnsiTheme="minorHAnsi" w:cstheme="minorHAnsi"/>
          <w:sz w:val="22"/>
          <w:szCs w:val="22"/>
        </w:rPr>
        <w:t>anticipate seasonal fluctuations and comparing these estimates to actual performance.</w:t>
      </w:r>
    </w:p>
    <w:p w14:paraId="420CFB0F" w14:textId="77777777" w:rsidR="00D94E80" w:rsidRDefault="00D94E80" w:rsidP="00D94E80">
      <w:pPr>
        <w:pStyle w:val="Default"/>
        <w:pBdr>
          <w:left w:val="single" w:sz="4" w:space="4" w:color="auto"/>
          <w:right w:val="single" w:sz="4" w:space="4" w:color="auto"/>
        </w:pBdr>
        <w:ind w:firstLine="426"/>
        <w:rPr>
          <w:rFonts w:asciiTheme="minorHAnsi" w:hAnsiTheme="minorHAnsi" w:cstheme="minorHAnsi"/>
          <w:sz w:val="22"/>
          <w:szCs w:val="22"/>
        </w:rPr>
      </w:pPr>
      <w:r>
        <w:rPr>
          <w:rFonts w:asciiTheme="minorHAnsi" w:hAnsiTheme="minorHAnsi" w:cstheme="minorHAnsi"/>
          <w:sz w:val="22"/>
          <w:szCs w:val="22"/>
        </w:rPr>
        <w:t>5</w:t>
      </w:r>
      <w:r w:rsidRPr="00D94E80">
        <w:rPr>
          <w:rFonts w:asciiTheme="minorHAnsi" w:hAnsiTheme="minorHAnsi" w:cstheme="minorHAnsi"/>
          <w:sz w:val="22"/>
          <w:szCs w:val="22"/>
        </w:rPr>
        <w:t>.</w:t>
      </w:r>
      <w:r w:rsidRPr="00D94E80">
        <w:rPr>
          <w:rFonts w:cstheme="minorHAnsi"/>
        </w:rPr>
        <w:t xml:space="preserve"> </w:t>
      </w:r>
      <w:r>
        <w:rPr>
          <w:rFonts w:cstheme="minorHAnsi"/>
        </w:rPr>
        <w:tab/>
      </w:r>
      <w:r w:rsidRPr="00D94E80">
        <w:rPr>
          <w:rFonts w:asciiTheme="minorHAnsi" w:hAnsiTheme="minorHAnsi" w:cstheme="minorHAnsi"/>
          <w:sz w:val="22"/>
          <w:szCs w:val="22"/>
        </w:rPr>
        <w:t>Targets are revised if the annual targets are unlikely to be achieved based upon the sub-</w:t>
      </w:r>
    </w:p>
    <w:p w14:paraId="5754303F" w14:textId="424575BB" w:rsidR="00D94E80" w:rsidRDefault="00D94E80" w:rsidP="005474D4">
      <w:pPr>
        <w:pStyle w:val="Default"/>
        <w:pBdr>
          <w:left w:val="single" w:sz="4" w:space="4" w:color="auto"/>
          <w:right w:val="single" w:sz="4" w:space="4" w:color="auto"/>
        </w:pBdr>
        <w:ind w:firstLine="720"/>
        <w:rPr>
          <w:rFonts w:asciiTheme="minorHAnsi" w:hAnsiTheme="minorHAnsi" w:cstheme="minorHAnsi"/>
          <w:sz w:val="22"/>
          <w:szCs w:val="22"/>
        </w:rPr>
      </w:pPr>
      <w:r w:rsidRPr="00D94E80">
        <w:rPr>
          <w:rFonts w:asciiTheme="minorHAnsi" w:hAnsiTheme="minorHAnsi" w:cstheme="minorHAnsi"/>
          <w:sz w:val="22"/>
          <w:szCs w:val="22"/>
        </w:rPr>
        <w:t xml:space="preserve">annual results. </w:t>
      </w:r>
    </w:p>
    <w:p w14:paraId="7DC25F58" w14:textId="77777777" w:rsidR="00D94E80" w:rsidRPr="00D94E80" w:rsidRDefault="00D94E80" w:rsidP="00D94E80">
      <w:pPr>
        <w:pStyle w:val="Default"/>
        <w:pBdr>
          <w:left w:val="single" w:sz="4" w:space="4" w:color="auto"/>
          <w:right w:val="single" w:sz="4" w:space="4" w:color="auto"/>
        </w:pBdr>
        <w:ind w:firstLine="426"/>
        <w:rPr>
          <w:rFonts w:asciiTheme="minorHAnsi" w:hAnsiTheme="minorHAnsi" w:cstheme="minorHAnsi"/>
          <w:sz w:val="22"/>
          <w:szCs w:val="22"/>
        </w:rPr>
      </w:pPr>
    </w:p>
    <w:p w14:paraId="54A5FF80" w14:textId="77777777" w:rsidR="005474D4" w:rsidRDefault="00D94E80" w:rsidP="005474D4">
      <w:pPr>
        <w:pBdr>
          <w:left w:val="single" w:sz="4" w:space="4" w:color="auto"/>
          <w:bottom w:val="single" w:sz="4" w:space="1" w:color="auto"/>
          <w:right w:val="single" w:sz="4" w:space="4" w:color="auto"/>
        </w:pBdr>
        <w:autoSpaceDE w:val="0"/>
        <w:autoSpaceDN w:val="0"/>
        <w:adjustRightInd w:val="0"/>
        <w:spacing w:line="240" w:lineRule="auto"/>
        <w:rPr>
          <w:rFonts w:cstheme="minorHAnsi"/>
        </w:rPr>
      </w:pPr>
      <w:r w:rsidRPr="0068554C">
        <w:rPr>
          <w:rFonts w:cstheme="minorHAnsi"/>
        </w:rPr>
        <w:t xml:space="preserve">This negotiation process for setting annual target values of labour market indicators and reassessing them during the year is a costly and time consuming process. It consumes resources that are </w:t>
      </w:r>
    </w:p>
    <w:p w14:paraId="49D5A298" w14:textId="05FEFE70" w:rsidR="00D94E80" w:rsidRPr="0068554C" w:rsidRDefault="00D94E80" w:rsidP="005474D4">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theme="minorHAnsi"/>
        </w:rPr>
      </w:pPr>
      <w:r w:rsidRPr="0068554C">
        <w:rPr>
          <w:rFonts w:cstheme="minorHAnsi"/>
        </w:rPr>
        <w:lastRenderedPageBreak/>
        <w:t>subsequently not available for the AMS to achieve these targets (</w:t>
      </w:r>
      <w:r w:rsidRPr="00383B3D">
        <w:rPr>
          <w:rFonts w:cstheme="minorHAnsi"/>
        </w:rPr>
        <w:t>Kaltenborn, 2009</w:t>
      </w:r>
      <w:r w:rsidRPr="0068554C">
        <w:rPr>
          <w:rFonts w:cstheme="minorHAnsi"/>
        </w:rPr>
        <w:t>).</w:t>
      </w:r>
    </w:p>
    <w:p w14:paraId="4410FAFF" w14:textId="77777777" w:rsidR="00E36615" w:rsidRPr="00E4024E" w:rsidRDefault="00FE380B" w:rsidP="00E4024E">
      <w:pPr>
        <w:pStyle w:val="Heading2"/>
        <w:keepNext/>
        <w:numPr>
          <w:ilvl w:val="1"/>
          <w:numId w:val="16"/>
        </w:numPr>
        <w:spacing w:before="240" w:beforeAutospacing="0" w:after="240" w:afterAutospacing="0"/>
        <w:ind w:left="0" w:firstLine="0"/>
        <w:rPr>
          <w:rFonts w:ascii="Calibri" w:hAnsi="Calibri" w:cs="Arial"/>
          <w:i/>
          <w:iCs/>
          <w:sz w:val="28"/>
          <w:szCs w:val="28"/>
        </w:rPr>
      </w:pPr>
      <w:bookmarkStart w:id="23" w:name="_Toc365872642"/>
      <w:r>
        <w:rPr>
          <w:rFonts w:ascii="Calibri" w:hAnsi="Calibri" w:cs="Arial"/>
          <w:i/>
          <w:iCs/>
          <w:sz w:val="28"/>
          <w:szCs w:val="28"/>
        </w:rPr>
        <w:t>Adjusted Benchmarking Model</w:t>
      </w:r>
      <w:bookmarkEnd w:id="23"/>
    </w:p>
    <w:p w14:paraId="5A79EFBD" w14:textId="28CD9983" w:rsidR="0016645F" w:rsidRPr="00026F90" w:rsidRDefault="00212E16" w:rsidP="00026F90">
      <w:pPr>
        <w:autoSpaceDE w:val="0"/>
        <w:autoSpaceDN w:val="0"/>
        <w:adjustRightInd w:val="0"/>
        <w:spacing w:after="0" w:line="240" w:lineRule="auto"/>
        <w:rPr>
          <w:rFonts w:cstheme="minorHAnsi"/>
        </w:rPr>
      </w:pPr>
      <w:r w:rsidRPr="00026F90">
        <w:rPr>
          <w:rFonts w:eastAsia="Times New Roman" w:cstheme="minorHAnsi"/>
        </w:rPr>
        <w:t xml:space="preserve">An adjusted benchmarking system is where performance targets are adjusted for a set of unanticipated or uncontrollable factors that affect the achievement of the </w:t>
      </w:r>
      <w:r w:rsidR="000A076C" w:rsidRPr="00026F90">
        <w:rPr>
          <w:rFonts w:eastAsia="Times New Roman" w:cstheme="minorHAnsi"/>
        </w:rPr>
        <w:t>performance target using formal statistical methods. The first step</w:t>
      </w:r>
      <w:r w:rsidR="00004C46" w:rsidRPr="00026F90">
        <w:rPr>
          <w:rFonts w:eastAsia="Times New Roman" w:cstheme="minorHAnsi"/>
        </w:rPr>
        <w:t xml:space="preserve"> involves determining the base level of performance providers are subject to. There are many options to determine the base level of performance, as discus</w:t>
      </w:r>
      <w:r w:rsidR="00AD4335" w:rsidRPr="00026F90">
        <w:rPr>
          <w:rFonts w:eastAsia="Times New Roman" w:cstheme="minorHAnsi"/>
        </w:rPr>
        <w:t xml:space="preserve">sed in </w:t>
      </w:r>
      <w:r w:rsidR="00C7162F">
        <w:rPr>
          <w:rFonts w:eastAsia="Times New Roman" w:cstheme="minorHAnsi"/>
        </w:rPr>
        <w:t xml:space="preserve">section </w:t>
      </w:r>
      <w:r w:rsidR="0016645F" w:rsidRPr="00026F90">
        <w:rPr>
          <w:rFonts w:eastAsia="Times New Roman" w:cstheme="minorHAnsi"/>
        </w:rPr>
        <w:t>4.1.1.</w:t>
      </w:r>
      <w:r w:rsidR="00004C46" w:rsidRPr="00026F90">
        <w:rPr>
          <w:rFonts w:eastAsia="Times New Roman" w:cstheme="minorHAnsi"/>
        </w:rPr>
        <w:t xml:space="preserve"> </w:t>
      </w:r>
      <w:r w:rsidR="00AD4335" w:rsidRPr="00026F90">
        <w:rPr>
          <w:rFonts w:eastAsia="Times New Roman" w:cstheme="minorHAnsi"/>
        </w:rPr>
        <w:t>The second step</w:t>
      </w:r>
      <w:r w:rsidR="000A076C" w:rsidRPr="00026F90">
        <w:rPr>
          <w:rFonts w:eastAsia="Times New Roman" w:cstheme="minorHAnsi"/>
        </w:rPr>
        <w:t xml:space="preserve"> in adjusting performance involves </w:t>
      </w:r>
      <w:r w:rsidR="008543BF" w:rsidRPr="00026F90">
        <w:rPr>
          <w:rFonts w:eastAsia="Times New Roman" w:cstheme="minorHAnsi"/>
        </w:rPr>
        <w:t>identifying factors that are outside the organisation</w:t>
      </w:r>
      <w:r w:rsidR="00AD4335" w:rsidRPr="00026F90">
        <w:rPr>
          <w:rFonts w:eastAsia="Times New Roman" w:cstheme="minorHAnsi"/>
        </w:rPr>
        <w:t>’</w:t>
      </w:r>
      <w:r w:rsidR="008543BF" w:rsidRPr="00026F90">
        <w:rPr>
          <w:rFonts w:eastAsia="Times New Roman" w:cstheme="minorHAnsi"/>
        </w:rPr>
        <w:t>s control (</w:t>
      </w:r>
      <w:r w:rsidR="00765965" w:rsidRPr="00383B3D">
        <w:rPr>
          <w:rFonts w:eastAsia="Times New Roman" w:cstheme="minorHAnsi"/>
        </w:rPr>
        <w:t xml:space="preserve">Rubenstein, </w:t>
      </w:r>
      <w:r w:rsidR="00004C46" w:rsidRPr="00383B3D">
        <w:rPr>
          <w:rFonts w:eastAsia="Times New Roman" w:cstheme="minorHAnsi"/>
        </w:rPr>
        <w:t>Schwartz,</w:t>
      </w:r>
      <w:r w:rsidR="00765965" w:rsidRPr="00383B3D">
        <w:rPr>
          <w:rFonts w:eastAsia="Times New Roman" w:cstheme="minorHAnsi"/>
        </w:rPr>
        <w:t xml:space="preserve"> and Stiefel, </w:t>
      </w:r>
      <w:r w:rsidR="00004C46" w:rsidRPr="00383B3D">
        <w:rPr>
          <w:rFonts w:eastAsia="Times New Roman" w:cstheme="minorHAnsi"/>
        </w:rPr>
        <w:t>1999</w:t>
      </w:r>
      <w:r w:rsidR="008543BF" w:rsidRPr="00026F90">
        <w:rPr>
          <w:rFonts w:eastAsia="Times New Roman" w:cstheme="minorHAnsi"/>
        </w:rPr>
        <w:t xml:space="preserve">). </w:t>
      </w:r>
      <w:r w:rsidR="00AD4335" w:rsidRPr="00026F90">
        <w:rPr>
          <w:rFonts w:eastAsia="Times New Roman" w:cstheme="minorHAnsi"/>
        </w:rPr>
        <w:t xml:space="preserve">The third step is to estimate a regression equation in which the performance measure of interest is regressed </w:t>
      </w:r>
      <w:r w:rsidR="00026F90">
        <w:rPr>
          <w:rFonts w:eastAsia="Times New Roman" w:cstheme="minorHAnsi"/>
        </w:rPr>
        <w:t xml:space="preserve">against </w:t>
      </w:r>
      <w:r w:rsidR="00AD4335" w:rsidRPr="00026F90">
        <w:rPr>
          <w:rFonts w:eastAsia="Times New Roman" w:cstheme="minorHAnsi"/>
        </w:rPr>
        <w:t>this set of variables</w:t>
      </w:r>
      <w:r w:rsidR="00026F90">
        <w:rPr>
          <w:rFonts w:eastAsia="Times New Roman" w:cstheme="minorHAnsi"/>
        </w:rPr>
        <w:t xml:space="preserve"> and the</w:t>
      </w:r>
      <w:r w:rsidR="00AD4335" w:rsidRPr="00026F90">
        <w:rPr>
          <w:rFonts w:eastAsia="Times New Roman" w:cstheme="minorHAnsi"/>
        </w:rPr>
        <w:t xml:space="preserve"> pooling data on a set of similar organisations. This method measures the performance of each individual organisation while accounting for differences in client characteristics and local economic conditions. </w:t>
      </w:r>
      <w:r w:rsidR="0056284D" w:rsidRPr="00026F90">
        <w:rPr>
          <w:rFonts w:eastAsia="Times New Roman" w:cstheme="minorHAnsi"/>
        </w:rPr>
        <w:t xml:space="preserve">To show this, let us imagine a hypothetical adjustment model used to assess provider performance, with the performance measure in question being the ‘13 Week Full Outcome Rate’. </w:t>
      </w:r>
      <w:r w:rsidR="0056284D" w:rsidRPr="00026F90">
        <w:rPr>
          <w:rFonts w:cstheme="minorHAnsi"/>
        </w:rPr>
        <w:t>The technique employed involves adjusting the 13 Week Full Outcome Rate target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s</m:t>
            </m:r>
          </m:sub>
        </m:sSub>
      </m:oMath>
      <w:r w:rsidR="0056284D" w:rsidRPr="00026F90">
        <w:rPr>
          <w:rFonts w:cstheme="minorHAnsi"/>
        </w:rPr>
        <w:t>) t</w:t>
      </w:r>
      <w:r w:rsidR="0026149A">
        <w:rPr>
          <w:rFonts w:cstheme="minorHAnsi"/>
        </w:rPr>
        <w:t>o which an individual or organis</w:t>
      </w:r>
      <w:r w:rsidR="0056284D" w:rsidRPr="00026F90">
        <w:rPr>
          <w:rFonts w:cstheme="minorHAnsi"/>
        </w:rPr>
        <w:t>ation’s measured performance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m</m:t>
            </m:r>
          </m:sub>
        </m:sSub>
      </m:oMath>
      <w:r w:rsidR="0056284D" w:rsidRPr="00026F90">
        <w:rPr>
          <w:rFonts w:cstheme="minorHAnsi"/>
        </w:rPr>
        <w:t>) is compared. The minimum 13 Week Full Outcome target for providers is established by using a regression model to adjust for client demographic characteristics (</w:t>
      </w:r>
      <m:oMath>
        <m:r>
          <w:rPr>
            <w:rFonts w:ascii="Cambria Math" w:hAnsi="Cambria Math" w:cstheme="minorHAnsi"/>
          </w:rPr>
          <m:t>X</m:t>
        </m:r>
      </m:oMath>
      <w:r w:rsidR="0056284D" w:rsidRPr="00026F90">
        <w:rPr>
          <w:rFonts w:cstheme="minorHAnsi"/>
        </w:rPr>
        <w:t>) and economic conditions (</w:t>
      </w:r>
      <m:oMath>
        <m:r>
          <w:rPr>
            <w:rFonts w:ascii="Cambria Math" w:hAnsi="Cambria Math" w:cstheme="minorHAnsi"/>
          </w:rPr>
          <m:t>Z</m:t>
        </m:r>
      </m:oMath>
      <w:r w:rsidR="0056284D" w:rsidRPr="00026F90">
        <w:rPr>
          <w:rFonts w:cstheme="minorHAnsi"/>
        </w:rPr>
        <w:t xml:space="preserve">) that </w:t>
      </w:r>
      <w:r w:rsidR="00383B3D">
        <w:rPr>
          <w:rFonts w:cstheme="minorHAnsi"/>
        </w:rPr>
        <w:t>may influence performance (e.g.</w:t>
      </w:r>
      <w:r w:rsidR="0056284D" w:rsidRPr="00026F90">
        <w:rPr>
          <w:rFonts w:cstheme="minorHAnsi"/>
        </w:rPr>
        <w:t xml:space="preserve"> local area unemployment rates). Typically, baseline data and/or data on past performance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0</m:t>
            </m:r>
          </m:sub>
        </m:sSub>
      </m:oMath>
      <w:r w:rsidR="0056284D" w:rsidRPr="00026F90">
        <w:rPr>
          <w:rFonts w:cstheme="minorHAnsi"/>
        </w:rPr>
        <w:t xml:space="preserve">) and the vectors </w:t>
      </w:r>
      <m:oMath>
        <m:r>
          <w:rPr>
            <w:rFonts w:ascii="Cambria Math" w:hAnsi="Cambria Math" w:cstheme="minorHAnsi"/>
          </w:rPr>
          <m:t>X</m:t>
        </m:r>
      </m:oMath>
      <w:r w:rsidR="0056284D" w:rsidRPr="00026F90">
        <w:rPr>
          <w:rFonts w:cstheme="minorHAnsi"/>
          <w:i/>
          <w:iCs/>
        </w:rPr>
        <w:t xml:space="preserve"> </w:t>
      </w:r>
      <w:r w:rsidR="0056284D" w:rsidRPr="00026F90">
        <w:rPr>
          <w:rFonts w:cstheme="minorHAnsi"/>
        </w:rPr>
        <w:t xml:space="preserve">and </w:t>
      </w:r>
      <m:oMath>
        <m:r>
          <w:rPr>
            <w:rFonts w:ascii="Cambria Math" w:hAnsi="Cambria Math" w:cstheme="minorHAnsi"/>
          </w:rPr>
          <m:t>Z</m:t>
        </m:r>
      </m:oMath>
      <w:r w:rsidR="0056284D" w:rsidRPr="00026F90">
        <w:rPr>
          <w:rFonts w:cstheme="minorHAnsi"/>
          <w:i/>
          <w:iCs/>
        </w:rPr>
        <w:t xml:space="preserve"> </w:t>
      </w:r>
      <w:r w:rsidR="0056284D" w:rsidRPr="00026F90">
        <w:rPr>
          <w:rFonts w:cstheme="minorHAnsi"/>
        </w:rPr>
        <w:t>of factors influencing performance are pooled across units and used to estimate a model, such as:</w:t>
      </w:r>
    </w:p>
    <w:p w14:paraId="12EEFD1B" w14:textId="77777777" w:rsidR="0016645F" w:rsidRPr="00026F90" w:rsidRDefault="0016645F" w:rsidP="00026F90">
      <w:pPr>
        <w:autoSpaceDE w:val="0"/>
        <w:autoSpaceDN w:val="0"/>
        <w:adjustRightInd w:val="0"/>
        <w:spacing w:after="0" w:line="240" w:lineRule="auto"/>
        <w:rPr>
          <w:rFonts w:cstheme="minorHAnsi"/>
        </w:rPr>
      </w:pPr>
    </w:p>
    <w:p w14:paraId="7570A74F" w14:textId="77777777" w:rsidR="0016645F" w:rsidRPr="00026F90" w:rsidRDefault="0056284D" w:rsidP="00026F90">
      <w:pPr>
        <w:autoSpaceDE w:val="0"/>
        <w:autoSpaceDN w:val="0"/>
        <w:adjustRightInd w:val="0"/>
        <w:spacing w:after="0" w:line="240" w:lineRule="auto"/>
        <w:ind w:left="2880" w:firstLine="720"/>
        <w:rPr>
          <w:rFonts w:eastAsiaTheme="minorEastAsia" w:cstheme="minorHAnsi"/>
        </w:rPr>
      </w:pPr>
      <w:r w:rsidRPr="00026F90">
        <w:rPr>
          <w:rFonts w:cstheme="minorHAnsi"/>
        </w:rPr>
        <w:t xml:space="preserve">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0</m:t>
            </m:r>
          </m:sub>
        </m:sSub>
        <m:r>
          <w:rPr>
            <w:rFonts w:ascii="Cambria Math" w:hAnsi="Cambria Math" w:cstheme="minorHAnsi"/>
          </w:rPr>
          <m:t xml:space="preserve">= α+ </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1</m:t>
            </m:r>
          </m:sub>
        </m:sSub>
        <m:r>
          <w:rPr>
            <w:rFonts w:ascii="Cambria Math" w:hAnsi="Cambria Math" w:cstheme="minorHAnsi"/>
          </w:rPr>
          <m:t>X+</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2</m:t>
            </m:r>
          </m:sub>
        </m:sSub>
        <m:r>
          <w:rPr>
            <w:rFonts w:ascii="Cambria Math" w:hAnsi="Cambria Math" w:cstheme="minorHAnsi"/>
          </w:rPr>
          <m:t>Z+ε</m:t>
        </m:r>
      </m:oMath>
    </w:p>
    <w:p w14:paraId="7DCF6BDF" w14:textId="77777777" w:rsidR="0016645F" w:rsidRPr="00026F90" w:rsidRDefault="0016645F" w:rsidP="00026F90">
      <w:pPr>
        <w:autoSpaceDE w:val="0"/>
        <w:autoSpaceDN w:val="0"/>
        <w:adjustRightInd w:val="0"/>
        <w:spacing w:after="0" w:line="240" w:lineRule="auto"/>
        <w:rPr>
          <w:rFonts w:eastAsiaTheme="minorEastAsia" w:cstheme="minorHAnsi"/>
        </w:rPr>
      </w:pPr>
    </w:p>
    <w:p w14:paraId="196A32B0" w14:textId="60735989" w:rsidR="0056284D" w:rsidRPr="00026F90" w:rsidRDefault="0016645F" w:rsidP="00026F90">
      <w:pPr>
        <w:autoSpaceDE w:val="0"/>
        <w:autoSpaceDN w:val="0"/>
        <w:adjustRightInd w:val="0"/>
        <w:spacing w:after="0" w:line="240" w:lineRule="auto"/>
        <w:rPr>
          <w:rFonts w:cstheme="minorHAnsi"/>
          <w:color w:val="000000"/>
        </w:rPr>
      </w:pPr>
      <w:r w:rsidRPr="00026F90">
        <w:rPr>
          <w:rFonts w:cstheme="minorHAnsi"/>
        </w:rPr>
        <w:t>where t</w:t>
      </w:r>
      <w:r w:rsidR="0056284D" w:rsidRPr="00026F90">
        <w:rPr>
          <w:rFonts w:cstheme="minorHAnsi"/>
        </w:rPr>
        <w:t xml:space="preserve">he estimates of </w:t>
      </w:r>
      <m:oMath>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1</m:t>
            </m:r>
          </m:sub>
        </m:sSub>
      </m:oMath>
      <w:r w:rsidR="0056284D" w:rsidRPr="00026F90">
        <w:rPr>
          <w:rFonts w:cstheme="minorHAnsi"/>
        </w:rPr>
        <w:t xml:space="preserve"> and </w:t>
      </w:r>
      <m:oMath>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2</m:t>
            </m:r>
          </m:sub>
        </m:sSub>
      </m:oMath>
      <w:r w:rsidR="0056284D" w:rsidRPr="00026F90">
        <w:rPr>
          <w:rFonts w:cstheme="minorHAnsi"/>
        </w:rPr>
        <w:t xml:space="preserve"> (vectors) are subsequently used as weights for the influence of these factors in adjusting the common standard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s</m:t>
            </m:r>
          </m:sub>
        </m:sSub>
      </m:oMath>
      <w:r w:rsidR="0056284D" w:rsidRPr="00026F90">
        <w:rPr>
          <w:rFonts w:cstheme="minorHAnsi"/>
        </w:rPr>
        <w:t>) to derive unit-specific performance targets for a given performance measure. Performance is then judged not by comparing actual performance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s</m:t>
            </m:r>
          </m:sub>
        </m:sSub>
      </m:oMath>
      <w:r w:rsidR="0056284D" w:rsidRPr="00026F90">
        <w:rPr>
          <w:rFonts w:cstheme="minorHAnsi"/>
        </w:rPr>
        <w:t>) across units and/or time, but by comparing the differential between a unit’s target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si</m:t>
            </m:r>
          </m:sub>
        </m:sSub>
      </m:oMath>
      <w:r w:rsidR="0056284D" w:rsidRPr="00026F90">
        <w:rPr>
          <w:rFonts w:cstheme="minorHAnsi"/>
        </w:rPr>
        <w:t>) and its measured performance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mi</m:t>
            </m:r>
          </m:sub>
        </m:sSub>
      </m:oMath>
      <w:r w:rsidR="0056284D" w:rsidRPr="00026F90">
        <w:rPr>
          <w:rFonts w:cstheme="minorHAnsi"/>
        </w:rPr>
        <w:t xml:space="preserve">). </w:t>
      </w:r>
      <w:r w:rsidR="00B105DD" w:rsidRPr="00026F90">
        <w:rPr>
          <w:rFonts w:cstheme="minorHAnsi"/>
        </w:rPr>
        <w:t xml:space="preserve">By assigning high expected performance to </w:t>
      </w:r>
      <w:r w:rsidR="0020240C" w:rsidRPr="00026F90">
        <w:rPr>
          <w:rFonts w:cstheme="minorHAnsi"/>
        </w:rPr>
        <w:t xml:space="preserve">providers with favourable external factors and </w:t>
      </w:r>
      <w:r w:rsidR="00B105DD" w:rsidRPr="00026F90">
        <w:rPr>
          <w:rFonts w:cstheme="minorHAnsi"/>
        </w:rPr>
        <w:t xml:space="preserve">lower expected performance to </w:t>
      </w:r>
      <w:r w:rsidR="0020240C" w:rsidRPr="00026F90">
        <w:rPr>
          <w:rFonts w:cstheme="minorHAnsi"/>
        </w:rPr>
        <w:t>providers with less favourable external factors</w:t>
      </w:r>
      <w:r w:rsidR="00B105DD" w:rsidRPr="00026F90">
        <w:rPr>
          <w:rFonts w:cstheme="minorHAnsi"/>
        </w:rPr>
        <w:t xml:space="preserve">, the </w:t>
      </w:r>
      <w:r w:rsidR="0020240C" w:rsidRPr="00026F90">
        <w:rPr>
          <w:rFonts w:cstheme="minorHAnsi"/>
        </w:rPr>
        <w:t>statistical adjustment reduces the bias of the raw</w:t>
      </w:r>
      <w:r w:rsidR="00B105DD" w:rsidRPr="00026F90">
        <w:rPr>
          <w:rFonts w:cstheme="minorHAnsi"/>
        </w:rPr>
        <w:t xml:space="preserve"> ou</w:t>
      </w:r>
      <w:r w:rsidR="00383B3D">
        <w:rPr>
          <w:rFonts w:cstheme="minorHAnsi"/>
        </w:rPr>
        <w:t>tcome measures and will provide</w:t>
      </w:r>
      <w:r w:rsidR="00383B3D">
        <w:rPr>
          <w:rFonts w:cstheme="minorHAnsi"/>
        </w:rPr>
        <w:br/>
      </w:r>
      <w:r w:rsidR="00B105DD" w:rsidRPr="00026F90">
        <w:rPr>
          <w:rFonts w:cstheme="minorHAnsi"/>
        </w:rPr>
        <w:t xml:space="preserve">relatively accurate information about </w:t>
      </w:r>
      <w:r w:rsidR="0020240C" w:rsidRPr="00026F90">
        <w:rPr>
          <w:rFonts w:cstheme="minorHAnsi"/>
        </w:rPr>
        <w:t>provider</w:t>
      </w:r>
      <w:r w:rsidR="00B105DD" w:rsidRPr="00026F90">
        <w:rPr>
          <w:rFonts w:cstheme="minorHAnsi"/>
        </w:rPr>
        <w:t xml:space="preserve"> performance.</w:t>
      </w:r>
      <w:r w:rsidR="0020240C" w:rsidRPr="00026F90">
        <w:rPr>
          <w:rFonts w:cstheme="minorHAnsi"/>
          <w:color w:val="000000"/>
        </w:rPr>
        <w:t xml:space="preserve"> </w:t>
      </w:r>
    </w:p>
    <w:p w14:paraId="1A275A57" w14:textId="77777777" w:rsidR="00B105DD" w:rsidRDefault="00B105DD" w:rsidP="0056284D">
      <w:pPr>
        <w:autoSpaceDE w:val="0"/>
        <w:autoSpaceDN w:val="0"/>
        <w:adjustRightInd w:val="0"/>
        <w:spacing w:after="0" w:line="240" w:lineRule="auto"/>
        <w:jc w:val="both"/>
        <w:rPr>
          <w:color w:val="000000"/>
          <w:sz w:val="23"/>
          <w:szCs w:val="23"/>
        </w:rPr>
      </w:pPr>
    </w:p>
    <w:p w14:paraId="78EFE92A" w14:textId="77777777" w:rsidR="005474D4" w:rsidRPr="00BD3C9A" w:rsidRDefault="005474D4" w:rsidP="005474D4">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theme="minorHAnsi"/>
          <w:b/>
          <w:color w:val="000000"/>
          <w:sz w:val="24"/>
          <w:szCs w:val="24"/>
        </w:rPr>
      </w:pPr>
      <w:r w:rsidRPr="00BD3C9A">
        <w:rPr>
          <w:rFonts w:cstheme="minorHAnsi"/>
          <w:b/>
          <w:color w:val="000000"/>
          <w:sz w:val="24"/>
          <w:szCs w:val="24"/>
        </w:rPr>
        <w:t>Case Study on Adjusted Benchmarking: The Workforce Investment Act</w:t>
      </w:r>
    </w:p>
    <w:p w14:paraId="3860B3B8" w14:textId="77777777" w:rsidR="005474D4" w:rsidRPr="004917DE" w:rsidRDefault="005474D4" w:rsidP="005474D4">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theme="minorHAnsi"/>
          <w:color w:val="000000"/>
        </w:rPr>
      </w:pPr>
      <w:r w:rsidRPr="004917DE">
        <w:rPr>
          <w:rFonts w:cstheme="minorHAnsi"/>
          <w:color w:val="000000"/>
        </w:rPr>
        <w:t>The U.S Department of Labor (DOL) adopted a regression-adjusted methodology to set state and local are performance targets for the Workforce Investment Act (WIA) in 2011. These targets were used in the negotiation process for setting the PY</w:t>
      </w:r>
      <w:r>
        <w:rPr>
          <w:rFonts w:cstheme="minorHAnsi"/>
          <w:color w:val="000000"/>
        </w:rPr>
        <w:t xml:space="preserve"> </w:t>
      </w:r>
      <w:r w:rsidRPr="004917DE">
        <w:rPr>
          <w:rFonts w:cstheme="minorHAnsi"/>
          <w:color w:val="000000"/>
        </w:rPr>
        <w:t>2011 performance standards at both the state and Workforce Investment Board (WIB) local area levels for the Adult, Dis</w:t>
      </w:r>
      <w:r>
        <w:rPr>
          <w:rFonts w:cstheme="minorHAnsi"/>
          <w:color w:val="000000"/>
        </w:rPr>
        <w:t>lo</w:t>
      </w:r>
      <w:r w:rsidRPr="004917DE">
        <w:rPr>
          <w:rFonts w:cstheme="minorHAnsi"/>
          <w:color w:val="000000"/>
        </w:rPr>
        <w:t xml:space="preserve">cated Worker and Youth programs. This extended the regression-adjusted approach adopted by the US DOL for setting national targets for these three programs. The approach estimates the performance targets based upon what was achieved in the last observable program year and then adjusts this target based upon how changes in participant characteristics and unemployment rates are expected to affect future outcomes. </w:t>
      </w:r>
      <w:r w:rsidRPr="00383B3D">
        <w:rPr>
          <w:rFonts w:cstheme="minorHAnsi"/>
          <w:color w:val="000000"/>
        </w:rPr>
        <w:t>Eberts, Huang and Cai (2012)</w:t>
      </w:r>
      <w:r w:rsidRPr="004917DE">
        <w:rPr>
          <w:rFonts w:cstheme="minorHAnsi"/>
          <w:color w:val="000000"/>
        </w:rPr>
        <w:t xml:space="preserve"> provide a detailed overview of the regression methodology employed to estimate these targets, which is discussed below. </w:t>
      </w:r>
    </w:p>
    <w:p w14:paraId="686CB89A" w14:textId="77777777" w:rsidR="005474D4" w:rsidRDefault="005474D4" w:rsidP="005474D4">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theme="minorHAnsi"/>
          <w:color w:val="000000"/>
        </w:rPr>
      </w:pPr>
      <w:r w:rsidRPr="004917DE">
        <w:rPr>
          <w:rFonts w:cstheme="minorHAnsi"/>
          <w:color w:val="000000"/>
        </w:rPr>
        <w:t xml:space="preserve">The reference point in making adjustments is the past performance of each entity. This differs to the approach used in the prior Job Training Partnership Act (JTPA) that used the national average performance level as the reference point. The next step adjusts for changes in personal characteristics. Estimates of the effect of participant characteristics on outcomes are obtained by </w:t>
      </w:r>
    </w:p>
    <w:p w14:paraId="2C7F02EE" w14:textId="3188CEA7" w:rsidR="005474D4" w:rsidRPr="004917DE" w:rsidRDefault="005474D4" w:rsidP="005474D4">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theme="minorHAnsi"/>
          <w:color w:val="000000"/>
        </w:rPr>
      </w:pPr>
      <w:r w:rsidRPr="004917DE">
        <w:rPr>
          <w:rFonts w:cstheme="minorHAnsi"/>
          <w:color w:val="000000"/>
        </w:rPr>
        <w:lastRenderedPageBreak/>
        <w:t xml:space="preserve">regressing each performance measure on all personal characteristics recorded in the Workforce Investment Act Standard Reporting Database (WISARD) (as is done in the Star Ratings). These factors include gender, age, ethnic background, education level, disability, income level, work history, homelessness and English proficiency, veteran and ex offender and single parent status. The estimated coefficients are used as weights to calculate the adjustment factor resulting from the change in personal characteristics over time. The third step in developing performance targets is to adjust for forecasted changes in unemployment rates. Other macroeconomic factors such as GDP growth are not considered. In estimating the effect of unemployment rates on performance outcomes for each state and WIB, the residuals generated from the previous step are used in place of the actual outcomes recorded. In other words, the difference between the actual outcomes for each performance measure and the estimated outcomes from the first regression is used for estimating the effect of unemployment rates. This approach enables an ‘identical’ person to be placed in each local labour market to observe the effect of that area’s unemployment rate on that ‘identical’ person’s performance outcomes. The residuals from the regression are first aggregated to the WIB level. The estimated effect of unemployment rates are obtained by regressing the aggregated residuals on the WIB unemployment rates, with state estimates obtained by pooling the WIBs in each state. To estimate the effect of future changes of unemployment rates on performance, OMB forecasts of the change in the national unemployment rate are used. The forecasted change in national unemployment rates multiplied by the estimated effect of unemployment rates on each performance measure provides the statistical adjustment for different economic conditions across states and WIBs. </w:t>
      </w:r>
    </w:p>
    <w:p w14:paraId="60A2ABBB" w14:textId="399664C6" w:rsidR="005474D4" w:rsidRDefault="005474D4" w:rsidP="005474D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4917DE">
        <w:rPr>
          <w:rFonts w:cstheme="minorHAnsi"/>
          <w:color w:val="000000"/>
        </w:rPr>
        <w:t xml:space="preserve">After the adjustments are made, the final step involves calculating the performance targets. The target is calculated by adding the adjustment from personal characteristics and the adjustment from changes in unemployment. The sum of these two adjustments are added to the past performance of each entity to obtain the target. </w:t>
      </w:r>
    </w:p>
    <w:p w14:paraId="59A4C922" w14:textId="77777777" w:rsidR="005474D4" w:rsidRPr="004917DE" w:rsidRDefault="005474D4" w:rsidP="005474D4">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theme="minorHAnsi"/>
          <w:color w:val="000000"/>
        </w:rPr>
      </w:pPr>
    </w:p>
    <w:p w14:paraId="62C418DB" w14:textId="77777777" w:rsidR="00DB2374" w:rsidRPr="00FE380B" w:rsidRDefault="00DB2374" w:rsidP="00FE380B">
      <w:pPr>
        <w:pStyle w:val="Sub-SubTitle"/>
        <w:numPr>
          <w:ilvl w:val="2"/>
          <w:numId w:val="16"/>
        </w:numPr>
        <w:spacing w:before="240" w:after="240"/>
        <w:ind w:left="851" w:hanging="851"/>
        <w:rPr>
          <w:rFonts w:cs="Calibri"/>
          <w:i/>
          <w:color w:val="auto"/>
          <w:szCs w:val="24"/>
        </w:rPr>
      </w:pPr>
      <w:bookmarkStart w:id="24" w:name="_Toc365872643"/>
      <w:r w:rsidRPr="00FE380B">
        <w:rPr>
          <w:rFonts w:asciiTheme="minorHAnsi" w:hAnsiTheme="minorHAnsi" w:cstheme="minorHAnsi"/>
          <w:i/>
          <w:color w:val="auto"/>
          <w:sz w:val="26"/>
          <w:szCs w:val="26"/>
        </w:rPr>
        <w:t>External Factors</w:t>
      </w:r>
      <w:bookmarkEnd w:id="24"/>
    </w:p>
    <w:p w14:paraId="17FA7B74" w14:textId="3B4FFAF1" w:rsidR="00E22CB7" w:rsidRPr="004917DE" w:rsidRDefault="00E22CB7" w:rsidP="004917DE">
      <w:pPr>
        <w:autoSpaceDE w:val="0"/>
        <w:autoSpaceDN w:val="0"/>
        <w:adjustRightInd w:val="0"/>
        <w:spacing w:after="0" w:line="240" w:lineRule="auto"/>
        <w:rPr>
          <w:rFonts w:cstheme="minorHAnsi"/>
          <w:color w:val="000000"/>
        </w:rPr>
      </w:pPr>
      <w:r w:rsidRPr="004917DE">
        <w:rPr>
          <w:rFonts w:cstheme="minorHAnsi"/>
          <w:color w:val="000000"/>
        </w:rPr>
        <w:t xml:space="preserve">Adjustment models allow for the performance standards applied to each individual provider to be adjusted to account for external factors using statistical regression. This is similar to the approach of the </w:t>
      </w:r>
      <w:r w:rsidR="007957F5" w:rsidRPr="004917DE">
        <w:rPr>
          <w:rFonts w:cstheme="minorHAnsi"/>
          <w:color w:val="000000"/>
        </w:rPr>
        <w:t>Star Rating</w:t>
      </w:r>
      <w:r w:rsidRPr="004917DE">
        <w:rPr>
          <w:rFonts w:cstheme="minorHAnsi"/>
          <w:color w:val="000000"/>
        </w:rPr>
        <w:t>s model, with the difference being that the adjustment is done ex-ante</w:t>
      </w:r>
      <w:r w:rsidR="00BC5C33">
        <w:rPr>
          <w:rFonts w:cstheme="minorHAnsi"/>
          <w:color w:val="000000"/>
        </w:rPr>
        <w:t xml:space="preserve"> (i.e. at the start)</w:t>
      </w:r>
      <w:r w:rsidRPr="004917DE">
        <w:rPr>
          <w:rFonts w:cstheme="minorHAnsi"/>
          <w:color w:val="000000"/>
        </w:rPr>
        <w:t xml:space="preserve"> to the performance period, not ex-post. </w:t>
      </w:r>
      <w:r w:rsidR="00DC1C3F" w:rsidRPr="004917DE">
        <w:rPr>
          <w:rFonts w:cstheme="minorHAnsi"/>
          <w:color w:val="000000"/>
        </w:rPr>
        <w:t>Studies examining performance</w:t>
      </w:r>
      <w:r w:rsidR="001420FA" w:rsidRPr="004917DE">
        <w:rPr>
          <w:rFonts w:cstheme="minorHAnsi"/>
          <w:color w:val="000000"/>
        </w:rPr>
        <w:t xml:space="preserve"> adjustments indicate that they are an improvement over unadjusted measures leading to improved equity in the system</w:t>
      </w:r>
      <w:r w:rsidR="009A27CF" w:rsidRPr="004917DE">
        <w:rPr>
          <w:rFonts w:cstheme="minorHAnsi"/>
          <w:color w:val="000000"/>
        </w:rPr>
        <w:t>.</w:t>
      </w:r>
      <w:r w:rsidR="001420FA" w:rsidRPr="004917DE">
        <w:rPr>
          <w:rFonts w:cstheme="minorHAnsi"/>
          <w:color w:val="000000"/>
        </w:rPr>
        <w:t xml:space="preserve"> </w:t>
      </w:r>
      <w:r w:rsidR="0091296E" w:rsidRPr="004917DE">
        <w:rPr>
          <w:rFonts w:cstheme="minorHAnsi"/>
          <w:color w:val="000000"/>
        </w:rPr>
        <w:t xml:space="preserve">Using data on elementary schools in </w:t>
      </w:r>
      <w:r w:rsidR="00FD437C" w:rsidRPr="004917DE">
        <w:rPr>
          <w:rFonts w:cstheme="minorHAnsi"/>
          <w:color w:val="000000"/>
        </w:rPr>
        <w:t>Georgia</w:t>
      </w:r>
      <w:r w:rsidR="0091296E" w:rsidRPr="004917DE">
        <w:rPr>
          <w:rFonts w:cstheme="minorHAnsi"/>
          <w:color w:val="000000"/>
        </w:rPr>
        <w:t xml:space="preserve"> U.S. over 1996-1997, </w:t>
      </w:r>
      <w:r w:rsidR="00A20564" w:rsidRPr="00BC5C33">
        <w:rPr>
          <w:rFonts w:cstheme="minorHAnsi"/>
          <w:color w:val="000000"/>
        </w:rPr>
        <w:t xml:space="preserve">Rubenstein, Stiefel and Schwartz (2003) </w:t>
      </w:r>
      <w:r w:rsidR="0091296E" w:rsidRPr="00BC5C33">
        <w:rPr>
          <w:rFonts w:cstheme="minorHAnsi"/>
          <w:color w:val="000000"/>
        </w:rPr>
        <w:t>find that ‘raw’</w:t>
      </w:r>
      <w:r w:rsidR="00A20564" w:rsidRPr="00BC5C33">
        <w:rPr>
          <w:rFonts w:cstheme="minorHAnsi"/>
          <w:color w:val="000000"/>
        </w:rPr>
        <w:t xml:space="preserve"> rankings of school performance change considerably after adjusting for external factors affecting educational performance such as poverty.</w:t>
      </w:r>
      <w:r w:rsidR="0091296E" w:rsidRPr="00BC5C33">
        <w:rPr>
          <w:rFonts w:cstheme="minorHAnsi"/>
          <w:color w:val="000000"/>
        </w:rPr>
        <w:t xml:space="preserve"> Examining school outcomes</w:t>
      </w:r>
      <w:r w:rsidR="00006144" w:rsidRPr="00BC5C33">
        <w:rPr>
          <w:rFonts w:cstheme="minorHAnsi"/>
          <w:color w:val="000000"/>
        </w:rPr>
        <w:t>,</w:t>
      </w:r>
      <w:r w:rsidR="0091296E" w:rsidRPr="00BC5C33">
        <w:rPr>
          <w:rFonts w:cstheme="minorHAnsi"/>
          <w:color w:val="000000"/>
        </w:rPr>
        <w:t xml:space="preserve"> </w:t>
      </w:r>
      <w:r w:rsidR="001420FA" w:rsidRPr="00BC5C33">
        <w:rPr>
          <w:rFonts w:cstheme="minorHAnsi"/>
          <w:color w:val="000000"/>
        </w:rPr>
        <w:t xml:space="preserve">Fiedler, Wight and Schimdt (1999) analyse expenditures of public hospitals over a </w:t>
      </w:r>
      <w:r w:rsidR="00FD437C" w:rsidRPr="00BC5C33">
        <w:rPr>
          <w:rFonts w:cstheme="minorHAnsi"/>
          <w:color w:val="000000"/>
        </w:rPr>
        <w:t>12-year</w:t>
      </w:r>
      <w:r w:rsidR="001420FA" w:rsidRPr="00BC5C33">
        <w:rPr>
          <w:rFonts w:cstheme="minorHAnsi"/>
          <w:color w:val="000000"/>
        </w:rPr>
        <w:t xml:space="preserve"> period in El Salvador. National (tertiary) hospitals received larger funding relative to lower-level (district) hospitals under the belief that national hospitals treat persons with</w:t>
      </w:r>
      <w:r w:rsidR="001420FA" w:rsidRPr="004917DE">
        <w:rPr>
          <w:rFonts w:cstheme="minorHAnsi"/>
          <w:color w:val="000000"/>
        </w:rPr>
        <w:t xml:space="preserve"> more difficult illnesses or who have more severe illnesses relative to district hospitals. The authors test this assumption by estimating the required funding the two hospital types should receive controlling for patient morbidity, outputs and other characteristics. Results show that district hospitals were significantly underfunded once differences in client mix were adjusted for, highlighting significant funding inequity resulting from a lack of statistical adjustment to the funding methodology.</w:t>
      </w:r>
    </w:p>
    <w:p w14:paraId="7F5EC836" w14:textId="77777777" w:rsidR="00CC16D4" w:rsidRPr="004917DE" w:rsidRDefault="00CC16D4" w:rsidP="004917DE">
      <w:pPr>
        <w:autoSpaceDE w:val="0"/>
        <w:autoSpaceDN w:val="0"/>
        <w:adjustRightInd w:val="0"/>
        <w:spacing w:after="0" w:line="240" w:lineRule="auto"/>
        <w:rPr>
          <w:rFonts w:cstheme="minorHAnsi"/>
          <w:color w:val="000000"/>
        </w:rPr>
      </w:pPr>
    </w:p>
    <w:p w14:paraId="7233ACDC" w14:textId="77777777" w:rsidR="00CC16D4" w:rsidRPr="004917DE" w:rsidRDefault="00CC16D4" w:rsidP="004917DE">
      <w:pPr>
        <w:autoSpaceDE w:val="0"/>
        <w:autoSpaceDN w:val="0"/>
        <w:adjustRightInd w:val="0"/>
        <w:spacing w:after="0" w:line="240" w:lineRule="auto"/>
        <w:rPr>
          <w:rFonts w:cstheme="minorHAnsi"/>
        </w:rPr>
      </w:pPr>
      <w:r w:rsidRPr="004917DE">
        <w:rPr>
          <w:rFonts w:cstheme="minorHAnsi"/>
        </w:rPr>
        <w:t>An analysis of the US 1996 Personal Responsibility and Work Opportunities Reconciliation Act also shows the importance of adjusting performance measures to ensure the performance framework aligns with policy goals</w:t>
      </w:r>
      <w:r w:rsidR="00397C4F" w:rsidRPr="004917DE">
        <w:rPr>
          <w:rFonts w:cstheme="minorHAnsi"/>
        </w:rPr>
        <w:t xml:space="preserve"> (Barnow and Heinrich, 2010)</w:t>
      </w:r>
      <w:r w:rsidRPr="004917DE">
        <w:rPr>
          <w:rFonts w:cstheme="minorHAnsi"/>
        </w:rPr>
        <w:t xml:space="preserve">. Incentivising </w:t>
      </w:r>
      <w:r w:rsidR="004917DE">
        <w:rPr>
          <w:rFonts w:cstheme="minorHAnsi"/>
        </w:rPr>
        <w:t>S</w:t>
      </w:r>
      <w:r w:rsidRPr="004917DE">
        <w:rPr>
          <w:rFonts w:cstheme="minorHAnsi"/>
        </w:rPr>
        <w:t xml:space="preserve">tates to encourage parental responsibility, </w:t>
      </w:r>
      <w:r w:rsidR="004917DE">
        <w:rPr>
          <w:rFonts w:cstheme="minorHAnsi"/>
        </w:rPr>
        <w:t>$</w:t>
      </w:r>
      <w:r w:rsidRPr="004917DE">
        <w:rPr>
          <w:rFonts w:cstheme="minorHAnsi"/>
        </w:rPr>
        <w:t xml:space="preserve">20 million was awarded to a total of </w:t>
      </w:r>
      <w:r w:rsidR="004917DE">
        <w:rPr>
          <w:rFonts w:cstheme="minorHAnsi"/>
        </w:rPr>
        <w:t>five</w:t>
      </w:r>
      <w:r w:rsidRPr="004917DE">
        <w:rPr>
          <w:rFonts w:cstheme="minorHAnsi"/>
        </w:rPr>
        <w:t xml:space="preserve"> </w:t>
      </w:r>
      <w:r w:rsidR="004917DE">
        <w:rPr>
          <w:rFonts w:cstheme="minorHAnsi"/>
        </w:rPr>
        <w:t>S</w:t>
      </w:r>
      <w:r w:rsidRPr="004917DE">
        <w:rPr>
          <w:rFonts w:cstheme="minorHAnsi"/>
        </w:rPr>
        <w:t>tates for the largest reductions of out-of-</w:t>
      </w:r>
      <w:r w:rsidRPr="004917DE">
        <w:rPr>
          <w:rFonts w:cstheme="minorHAnsi"/>
        </w:rPr>
        <w:lastRenderedPageBreak/>
        <w:t xml:space="preserve">wedlock births to total births. In awarding the </w:t>
      </w:r>
      <w:r w:rsidRPr="00BC5C33">
        <w:rPr>
          <w:rFonts w:cstheme="minorHAnsi"/>
        </w:rPr>
        <w:t xml:space="preserve">bonus, the proportion of out-of-wedlock births to total births for the prior two years was compared to that of the preceding two-year period. Offner (2001) stated that state winners of the bonus in 1999 (District of Columbia, California, Michigan, Alabama and </w:t>
      </w:r>
      <w:r w:rsidR="00F33784" w:rsidRPr="00BC5C33">
        <w:rPr>
          <w:rFonts w:cstheme="minorHAnsi"/>
        </w:rPr>
        <w:t>Massachusetts</w:t>
      </w:r>
      <w:r w:rsidRPr="00BC5C33">
        <w:rPr>
          <w:rFonts w:cstheme="minorHAnsi"/>
        </w:rPr>
        <w:t>) all had large African American and Hispanic populations. The author reported that the non-marital birth-rates for these two groups fell twice as fast as white non-marital birth rates, suggesting that demographic characteristics and not state policies were responsible for changes in measured performance. This conclusion was supported by the U.S. Department of Health and Human Services (2000) who said ‘more evidence is needed to fully understand the range of factors contributing to a decrease in the propor</w:t>
      </w:r>
      <w:r w:rsidRPr="004917DE">
        <w:rPr>
          <w:rFonts w:cstheme="minorHAnsi"/>
        </w:rPr>
        <w:t xml:space="preserve">tion of out-of-wedlock births in these particular </w:t>
      </w:r>
      <w:r w:rsidR="004917DE">
        <w:rPr>
          <w:rFonts w:cstheme="minorHAnsi"/>
        </w:rPr>
        <w:t>S</w:t>
      </w:r>
      <w:r w:rsidRPr="004917DE">
        <w:rPr>
          <w:rFonts w:cstheme="minorHAnsi"/>
        </w:rPr>
        <w:t xml:space="preserve">tates. The failure to adjust performance measures for external factors affecting the measure undermined the purpose of the performance measurement system that sought </w:t>
      </w:r>
      <w:r w:rsidR="00397C4F" w:rsidRPr="004917DE">
        <w:rPr>
          <w:rFonts w:cstheme="minorHAnsi"/>
        </w:rPr>
        <w:t xml:space="preserve">to </w:t>
      </w:r>
      <w:r w:rsidRPr="004917DE">
        <w:rPr>
          <w:rFonts w:cstheme="minorHAnsi"/>
        </w:rPr>
        <w:t>promote accountability, improve performance incentives and increase policy effectiveness.</w:t>
      </w:r>
      <w:r w:rsidR="00516AB9" w:rsidRPr="004917DE">
        <w:rPr>
          <w:rFonts w:cstheme="minorHAnsi"/>
        </w:rPr>
        <w:t xml:space="preserve"> The downside of adjustment procedures though is that </w:t>
      </w:r>
      <w:r w:rsidR="00516AB9" w:rsidRPr="004917DE">
        <w:rPr>
          <w:rFonts w:cstheme="minorHAnsi"/>
          <w:color w:val="000000"/>
        </w:rPr>
        <w:t xml:space="preserve">adjustments made prior to the performance period can lead to inaccurate adjustments if the </w:t>
      </w:r>
      <w:r w:rsidR="00397C4F" w:rsidRPr="004917DE">
        <w:rPr>
          <w:rFonts w:cstheme="minorHAnsi"/>
          <w:color w:val="000000"/>
        </w:rPr>
        <w:t>characteristics of the provider’s caseload over the performance period differ</w:t>
      </w:r>
      <w:r w:rsidR="00516AB9" w:rsidRPr="004917DE">
        <w:rPr>
          <w:rFonts w:cstheme="minorHAnsi"/>
          <w:color w:val="000000"/>
        </w:rPr>
        <w:t xml:space="preserve"> to what occurred in the past.</w:t>
      </w:r>
    </w:p>
    <w:p w14:paraId="437B6DD5" w14:textId="77777777" w:rsidR="008C4272" w:rsidRPr="004917DE" w:rsidRDefault="008C4272" w:rsidP="004917DE">
      <w:pPr>
        <w:autoSpaceDE w:val="0"/>
        <w:autoSpaceDN w:val="0"/>
        <w:adjustRightInd w:val="0"/>
        <w:spacing w:after="0" w:line="240" w:lineRule="auto"/>
        <w:rPr>
          <w:color w:val="000000"/>
        </w:rPr>
      </w:pPr>
    </w:p>
    <w:p w14:paraId="3C71FA34" w14:textId="77777777" w:rsidR="005474D4" w:rsidRPr="0022569E" w:rsidRDefault="005474D4" w:rsidP="005474D4">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cstheme="minorHAnsi"/>
          <w:b/>
          <w:color w:val="000000"/>
          <w:sz w:val="24"/>
          <w:szCs w:val="24"/>
        </w:rPr>
      </w:pPr>
      <w:r w:rsidRPr="0022569E">
        <w:rPr>
          <w:rFonts w:cstheme="minorHAnsi"/>
          <w:b/>
          <w:color w:val="000000"/>
          <w:sz w:val="24"/>
          <w:szCs w:val="24"/>
        </w:rPr>
        <w:t xml:space="preserve">Case Study: The U.S. Job Training Partnership Act </w:t>
      </w:r>
    </w:p>
    <w:p w14:paraId="246E65D4" w14:textId="77777777" w:rsidR="005474D4" w:rsidRPr="00FB686D" w:rsidRDefault="005474D4" w:rsidP="005474D4">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theme="minorHAnsi"/>
          <w:color w:val="000000"/>
        </w:rPr>
      </w:pPr>
      <w:r w:rsidRPr="00FB686D">
        <w:rPr>
          <w:rFonts w:cstheme="minorHAnsi"/>
          <w:color w:val="000000"/>
        </w:rPr>
        <w:t xml:space="preserve">The U.S. Job Training Partnership Act (JTPA) highlights the problems that arise when a provider’s current client mix is extrapolated into the future. The JTPA’s performance standard adjustment procedure involved employing a regression model to adjust the performance indicators for differences in local conditions and participant characteristics. Adjustment weights from the regression model were applied to the following performance measures: follow-up adult entered-employment, follow-up weekly earnings and entered-employment rate. In a regression model, some factors may affect the value of the above performance measures and others may not. For example, whether a person is female or male may be significantly related to follow-up adult entered-employment, whereas being a single parent may not be significantly related. </w:t>
      </w:r>
    </w:p>
    <w:p w14:paraId="0F68DDFE" w14:textId="41C15806" w:rsidR="005474D4" w:rsidRPr="00B34310" w:rsidRDefault="005474D4" w:rsidP="005474D4">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theme="minorHAnsi"/>
          <w:color w:val="000000"/>
          <w:sz w:val="24"/>
          <w:szCs w:val="24"/>
        </w:rPr>
      </w:pPr>
      <w:r w:rsidRPr="00FB686D">
        <w:rPr>
          <w:rFonts w:cstheme="minorHAnsi"/>
          <w:color w:val="000000"/>
        </w:rPr>
        <w:t>Under the JTPA’s performance framework, the regression model used to make adjustment for the following program year is based on data from the prior program year. Only factors that were significantly related to the performance measures and were of the expected sign and a reasonable magnitude were included (</w:t>
      </w:r>
      <w:r w:rsidRPr="00BC5C33">
        <w:rPr>
          <w:rFonts w:cstheme="minorHAnsi"/>
          <w:color w:val="000000"/>
        </w:rPr>
        <w:t>Barnow, 1992</w:t>
      </w:r>
      <w:r w:rsidRPr="00FB686D">
        <w:rPr>
          <w:rFonts w:cstheme="minorHAnsi"/>
          <w:color w:val="000000"/>
        </w:rPr>
        <w:t xml:space="preserve">). For example, if the coefficient for the proportion of single parents is not statistically significant or positive then that variable is removed for that year. The issue that arises is that although the variable may not be significant for the prior year, this may change for the year coming. By excluding this variable, the adjustment procedure has not accurately accounted for the effect of participant characteristics on performance. This leads to significant measurement errors. Examining the effect of JTPA on people with disabilities, </w:t>
      </w:r>
      <w:r w:rsidRPr="00BC5C33">
        <w:rPr>
          <w:rFonts w:cstheme="minorHAnsi"/>
          <w:color w:val="000000"/>
        </w:rPr>
        <w:t>Barnow (1996)</w:t>
      </w:r>
      <w:r w:rsidRPr="00FB686D">
        <w:rPr>
          <w:rFonts w:cstheme="minorHAnsi"/>
          <w:color w:val="000000"/>
        </w:rPr>
        <w:t xml:space="preserve"> found that not including all relevant factors for the following year lead to inconsistent treatment of people with disabilities.</w:t>
      </w:r>
      <w:r w:rsidRPr="00FB686D">
        <w:rPr>
          <w:color w:val="000000"/>
        </w:rPr>
        <w:t xml:space="preserve"> </w:t>
      </w:r>
      <w:r w:rsidRPr="00FB686D">
        <w:rPr>
          <w:rFonts w:cstheme="minorHAnsi"/>
          <w:color w:val="000000"/>
        </w:rPr>
        <w:t>This JTPA case study highlights a broad problem with an adjusted benchmark. A provider’s client mix is not static but changes over time.</w:t>
      </w:r>
      <w:r>
        <w:rPr>
          <w:rFonts w:cstheme="minorHAnsi"/>
          <w:color w:val="000000"/>
        </w:rPr>
        <w:t xml:space="preserve"> As an adjusted benchmark is estimated at the beginning of the performance period, changes in client mix will affect the applicability of the estimated benchmark. The resulting adjustments to provider performance will only be accurate at the beginning of the performance period and will become less accurate over time.</w:t>
      </w:r>
    </w:p>
    <w:p w14:paraId="13184563" w14:textId="77777777" w:rsidR="00DB2374" w:rsidRPr="00FE380B" w:rsidRDefault="00DB2374" w:rsidP="00FE380B">
      <w:pPr>
        <w:pStyle w:val="Sub-SubTitle"/>
        <w:numPr>
          <w:ilvl w:val="2"/>
          <w:numId w:val="16"/>
        </w:numPr>
        <w:spacing w:before="240" w:after="240"/>
        <w:ind w:left="851" w:hanging="851"/>
        <w:rPr>
          <w:rFonts w:asciiTheme="minorHAnsi" w:hAnsiTheme="minorHAnsi" w:cstheme="minorHAnsi"/>
          <w:i/>
          <w:color w:val="auto"/>
          <w:sz w:val="26"/>
          <w:szCs w:val="26"/>
        </w:rPr>
      </w:pPr>
      <w:bookmarkStart w:id="25" w:name="_Toc365872644"/>
      <w:r w:rsidRPr="00FE380B">
        <w:rPr>
          <w:rFonts w:asciiTheme="minorHAnsi" w:hAnsiTheme="minorHAnsi" w:cstheme="minorHAnsi"/>
          <w:i/>
          <w:color w:val="auto"/>
          <w:sz w:val="26"/>
          <w:szCs w:val="26"/>
        </w:rPr>
        <w:t>Forecasting</w:t>
      </w:r>
      <w:bookmarkEnd w:id="25"/>
    </w:p>
    <w:p w14:paraId="252A9845" w14:textId="77777777" w:rsidR="00163106" w:rsidRPr="00670BCD" w:rsidRDefault="00C639CD" w:rsidP="00670BCD">
      <w:pPr>
        <w:autoSpaceDE w:val="0"/>
        <w:autoSpaceDN w:val="0"/>
        <w:adjustRightInd w:val="0"/>
        <w:spacing w:after="0" w:line="240" w:lineRule="auto"/>
        <w:rPr>
          <w:rFonts w:cstheme="minorHAnsi"/>
        </w:rPr>
      </w:pPr>
      <w:r w:rsidRPr="00670BCD">
        <w:rPr>
          <w:rFonts w:cstheme="minorHAnsi"/>
          <w:color w:val="000000"/>
        </w:rPr>
        <w:t xml:space="preserve">One of the advantages of an adjusted model is that is can take into account forecasts of future economic conditions and changes in the client mix of participants when adjusting the benchmarks of each individual provider. </w:t>
      </w:r>
      <w:r w:rsidR="00516AB9" w:rsidRPr="00670BCD">
        <w:rPr>
          <w:rFonts w:cstheme="minorHAnsi"/>
          <w:color w:val="000000"/>
        </w:rPr>
        <w:t>However, b</w:t>
      </w:r>
      <w:r w:rsidR="0079266A" w:rsidRPr="00670BCD">
        <w:rPr>
          <w:rFonts w:cstheme="minorHAnsi"/>
          <w:color w:val="000000"/>
        </w:rPr>
        <w:t xml:space="preserve">ecause the benchmark is adjusted using the forecasted point estimates of different economic variables, it is important to understand how this is derived and the resulting issues in using them. </w:t>
      </w:r>
      <w:r w:rsidR="00A349DB" w:rsidRPr="00670BCD">
        <w:rPr>
          <w:rFonts w:cstheme="minorHAnsi"/>
          <w:color w:val="000000"/>
        </w:rPr>
        <w:t>T</w:t>
      </w:r>
      <w:r w:rsidR="00F551E2" w:rsidRPr="00670BCD">
        <w:rPr>
          <w:rFonts w:cstheme="minorHAnsi"/>
          <w:color w:val="000000"/>
        </w:rPr>
        <w:t xml:space="preserve">he forecasting technology employed involves the use of an econometric model, with the use of judgement supplied by in-depth analysis of major sectors of the </w:t>
      </w:r>
      <w:r w:rsidR="00F551E2" w:rsidRPr="00670BCD">
        <w:rPr>
          <w:rFonts w:cstheme="minorHAnsi"/>
          <w:color w:val="000000"/>
        </w:rPr>
        <w:lastRenderedPageBreak/>
        <w:t xml:space="preserve">economy (Treasury, 2012). Schuh (2001) provides a brief overview of an econometric model used to forecast a particular economic variable. </w:t>
      </w:r>
      <w:r w:rsidR="00F551E2" w:rsidRPr="00670BCD">
        <w:rPr>
          <w:rFonts w:cstheme="minorHAnsi"/>
        </w:rPr>
        <w:t xml:space="preserve">Let </w:t>
      </w:r>
      <m:oMath>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t</m:t>
            </m:r>
          </m:sub>
        </m:sSub>
      </m:oMath>
      <w:r w:rsidR="00F551E2" w:rsidRPr="00670BCD">
        <w:rPr>
          <w:rFonts w:cstheme="minorHAnsi"/>
          <w:i/>
          <w:iCs/>
        </w:rPr>
        <w:t xml:space="preserve"> </w:t>
      </w:r>
      <w:r w:rsidR="00F551E2" w:rsidRPr="00670BCD">
        <w:rPr>
          <w:rFonts w:cstheme="minorHAnsi"/>
        </w:rPr>
        <w:t>be a variable, such as output growth, to be forecast. The forecasting model is</w:t>
      </w:r>
    </w:p>
    <w:p w14:paraId="6E205678" w14:textId="77777777" w:rsidR="00163106" w:rsidRPr="00670BCD" w:rsidRDefault="00163106" w:rsidP="00670BCD">
      <w:pPr>
        <w:autoSpaceDE w:val="0"/>
        <w:autoSpaceDN w:val="0"/>
        <w:adjustRightInd w:val="0"/>
        <w:spacing w:after="0" w:line="240" w:lineRule="auto"/>
        <w:rPr>
          <w:rFonts w:cstheme="minorHAnsi"/>
        </w:rPr>
      </w:pPr>
    </w:p>
    <w:p w14:paraId="69A23DC4" w14:textId="77777777" w:rsidR="00EA3940" w:rsidRPr="00670BCD" w:rsidRDefault="00BD3140" w:rsidP="00670BCD">
      <w:pPr>
        <w:autoSpaceDE w:val="0"/>
        <w:autoSpaceDN w:val="0"/>
        <w:adjustRightInd w:val="0"/>
        <w:spacing w:after="0" w:line="240" w:lineRule="auto"/>
        <w:rPr>
          <w:rFonts w:cstheme="minorHAnsi"/>
        </w:rPr>
      </w:pPr>
      <m:oMathPara>
        <m:oMath>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t</m:t>
              </m:r>
            </m:sub>
          </m:sSub>
          <m:r>
            <w:rPr>
              <w:rFonts w:ascii="Cambria Math" w:hAnsi="Cambria Math" w:cstheme="minorHAnsi"/>
            </w:rPr>
            <m:t>=f</m:t>
          </m:r>
          <m:d>
            <m:dPr>
              <m:ctrlPr>
                <w:rPr>
                  <w:rFonts w:ascii="Cambria Math" w:hAnsi="Cambria Math" w:cstheme="minorHAnsi"/>
                  <w:i/>
                </w:rPr>
              </m:ctrlPr>
            </m:dPr>
            <m:e>
              <m:r>
                <w:rPr>
                  <w:rFonts w:ascii="Cambria Math" w:hAnsi="Cambria Math" w:cstheme="minorHAnsi"/>
                </w:rPr>
                <m:t>A</m:t>
              </m:r>
              <m:d>
                <m:dPr>
                  <m:ctrlPr>
                    <w:rPr>
                      <w:rFonts w:ascii="Cambria Math" w:hAnsi="Cambria Math" w:cstheme="minorHAnsi"/>
                      <w:i/>
                    </w:rPr>
                  </m:ctrlPr>
                </m:dPr>
                <m:e>
                  <m:r>
                    <w:rPr>
                      <w:rFonts w:ascii="Cambria Math" w:hAnsi="Cambria Math" w:cstheme="minorHAnsi"/>
                    </w:rPr>
                    <m:t>L</m:t>
                  </m:r>
                </m:e>
              </m:d>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t-1</m:t>
                  </m:r>
                </m:sub>
              </m:sSub>
              <m:r>
                <w:rPr>
                  <w:rFonts w:ascii="Cambria Math" w:hAnsi="Cambria Math" w:cstheme="minorHAnsi"/>
                </w:rPr>
                <m:t>,B</m:t>
              </m:r>
              <m:d>
                <m:dPr>
                  <m:ctrlPr>
                    <w:rPr>
                      <w:rFonts w:ascii="Cambria Math" w:hAnsi="Cambria Math" w:cstheme="minorHAnsi"/>
                      <w:i/>
                    </w:rPr>
                  </m:ctrlPr>
                </m:dPr>
                <m:e>
                  <m:r>
                    <w:rPr>
                      <w:rFonts w:ascii="Cambria Math" w:hAnsi="Cambria Math" w:cstheme="minorHAnsi"/>
                    </w:rPr>
                    <m:t>L</m:t>
                  </m:r>
                </m:e>
              </m:d>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t;δ</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ε</m:t>
              </m:r>
            </m:e>
            <m:sub>
              <m:r>
                <w:rPr>
                  <w:rFonts w:ascii="Cambria Math" w:hAnsi="Cambria Math" w:cstheme="minorHAnsi"/>
                </w:rPr>
                <m:t>t</m:t>
              </m:r>
            </m:sub>
          </m:sSub>
        </m:oMath>
      </m:oMathPara>
    </w:p>
    <w:p w14:paraId="102871EE" w14:textId="77777777" w:rsidR="00EA3940" w:rsidRPr="00670BCD" w:rsidRDefault="00EA3940" w:rsidP="00670BCD">
      <w:pPr>
        <w:autoSpaceDE w:val="0"/>
        <w:autoSpaceDN w:val="0"/>
        <w:adjustRightInd w:val="0"/>
        <w:spacing w:after="0" w:line="240" w:lineRule="auto"/>
        <w:rPr>
          <w:rFonts w:cstheme="minorHAnsi"/>
        </w:rPr>
      </w:pPr>
    </w:p>
    <w:p w14:paraId="7AA7763F" w14:textId="77777777" w:rsidR="00F551E2" w:rsidRPr="00670BCD" w:rsidRDefault="00F551E2" w:rsidP="00670BCD">
      <w:pPr>
        <w:autoSpaceDE w:val="0"/>
        <w:autoSpaceDN w:val="0"/>
        <w:adjustRightInd w:val="0"/>
        <w:spacing w:after="0" w:line="240" w:lineRule="auto"/>
        <w:rPr>
          <w:rFonts w:cstheme="minorHAnsi"/>
        </w:rPr>
      </w:pPr>
      <w:r w:rsidRPr="00670BCD">
        <w:rPr>
          <w:rFonts w:cstheme="minorHAnsi"/>
        </w:rPr>
        <w:t xml:space="preserve">where </w:t>
      </w:r>
      <w:r w:rsidRPr="00670BCD">
        <w:rPr>
          <w:rFonts w:cstheme="minorHAnsi"/>
          <w:i/>
          <w:iCs/>
        </w:rPr>
        <w:t xml:space="preserve">A </w:t>
      </w:r>
      <w:r w:rsidRPr="00670BCD">
        <w:rPr>
          <w:rFonts w:cstheme="minorHAnsi"/>
        </w:rPr>
        <w:t xml:space="preserve">and </w:t>
      </w:r>
      <w:r w:rsidRPr="00670BCD">
        <w:rPr>
          <w:rFonts w:cstheme="minorHAnsi"/>
          <w:i/>
          <w:iCs/>
        </w:rPr>
        <w:t xml:space="preserve">B </w:t>
      </w:r>
      <w:r w:rsidRPr="00670BCD">
        <w:rPr>
          <w:rFonts w:cstheme="minorHAnsi"/>
        </w:rPr>
        <w:t xml:space="preserve">are unknown parameters, </w:t>
      </w:r>
      <w:r w:rsidRPr="00670BCD">
        <w:rPr>
          <w:rFonts w:cstheme="minorHAnsi"/>
          <w:i/>
          <w:iCs/>
        </w:rPr>
        <w:t xml:space="preserve">L </w:t>
      </w:r>
      <w:r w:rsidRPr="00670BCD">
        <w:rPr>
          <w:rFonts w:cstheme="minorHAnsi"/>
        </w:rPr>
        <w:t xml:space="preserve">is the lag operator;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t</m:t>
            </m:r>
          </m:sub>
        </m:sSub>
      </m:oMath>
      <w:r w:rsidRPr="00670BCD">
        <w:rPr>
          <w:rFonts w:cstheme="minorHAnsi"/>
          <w:i/>
          <w:iCs/>
        </w:rPr>
        <w:t xml:space="preserve"> </w:t>
      </w:r>
      <w:r w:rsidRPr="00670BCD">
        <w:rPr>
          <w:rFonts w:cstheme="minorHAnsi"/>
        </w:rPr>
        <w:t xml:space="preserve">is a set of explanatory variables, </w:t>
      </w:r>
      <m:oMath>
        <m:r>
          <w:rPr>
            <w:rFonts w:ascii="Cambria Math" w:hAnsi="Cambria Math" w:cstheme="minorHAnsi"/>
          </w:rPr>
          <m:t>δ</m:t>
        </m:r>
      </m:oMath>
      <w:r w:rsidR="002B6AC8" w:rsidRPr="00670BCD">
        <w:rPr>
          <w:rFonts w:cstheme="minorHAnsi"/>
        </w:rPr>
        <w:t xml:space="preserve"> </w:t>
      </w:r>
      <w:r w:rsidRPr="00670BCD">
        <w:rPr>
          <w:rFonts w:cstheme="minorHAnsi"/>
        </w:rPr>
        <w:t xml:space="preserve">is a set of parameters, </w:t>
      </w:r>
      <w:r w:rsidRPr="00670BCD">
        <w:rPr>
          <w:rFonts w:cstheme="minorHAnsi"/>
          <w:i/>
          <w:iCs/>
        </w:rPr>
        <w:t>f</w:t>
      </w:r>
      <w:r w:rsidRPr="00670BCD">
        <w:rPr>
          <w:rFonts w:cstheme="minorHAnsi"/>
        </w:rPr>
        <w:t>(</w:t>
      </w:r>
      <w:r w:rsidR="00163106" w:rsidRPr="00670BCD">
        <w:rPr>
          <w:rFonts w:cstheme="minorHAnsi"/>
        </w:rPr>
        <w:t>∙</w:t>
      </w:r>
      <w:r w:rsidRPr="00670BCD">
        <w:rPr>
          <w:rFonts w:cstheme="minorHAnsi"/>
        </w:rPr>
        <w:t>) is a</w:t>
      </w:r>
      <w:r w:rsidR="00E7333F" w:rsidRPr="00670BCD">
        <w:rPr>
          <w:rFonts w:cstheme="minorHAnsi"/>
        </w:rPr>
        <w:t xml:space="preserve"> function</w:t>
      </w:r>
      <w:r w:rsidRPr="00670BCD">
        <w:rPr>
          <w:rFonts w:cstheme="minorHAnsi"/>
        </w:rPr>
        <w:t xml:space="preserve">, </w:t>
      </w:r>
      <m:oMath>
        <m:r>
          <w:rPr>
            <w:rFonts w:ascii="Cambria Math" w:hAnsi="Cambria Math" w:cstheme="minorHAnsi"/>
          </w:rPr>
          <m:t>t</m:t>
        </m:r>
      </m:oMath>
      <w:r w:rsidRPr="00670BCD">
        <w:rPr>
          <w:rFonts w:cstheme="minorHAnsi"/>
          <w:i/>
          <w:iCs/>
        </w:rPr>
        <w:t xml:space="preserve"> </w:t>
      </w:r>
      <w:r w:rsidRPr="00670BCD">
        <w:rPr>
          <w:rFonts w:cstheme="minorHAnsi"/>
        </w:rPr>
        <w:t xml:space="preserve">denotes time, and </w:t>
      </w:r>
      <m:oMath>
        <m:sSub>
          <m:sSubPr>
            <m:ctrlPr>
              <w:rPr>
                <w:rFonts w:ascii="Cambria Math" w:hAnsi="Cambria Math" w:cstheme="minorHAnsi"/>
                <w:i/>
              </w:rPr>
            </m:ctrlPr>
          </m:sSubPr>
          <m:e>
            <m:r>
              <w:rPr>
                <w:rFonts w:ascii="Cambria Math" w:hAnsi="Cambria Math" w:cstheme="minorHAnsi"/>
              </w:rPr>
              <m:t>ε</m:t>
            </m:r>
          </m:e>
          <m:sub>
            <m:r>
              <w:rPr>
                <w:rFonts w:ascii="Cambria Math" w:hAnsi="Cambria Math" w:cstheme="minorHAnsi"/>
              </w:rPr>
              <m:t>t</m:t>
            </m:r>
          </m:sub>
        </m:sSub>
      </m:oMath>
      <w:r w:rsidRPr="00670BCD">
        <w:rPr>
          <w:rFonts w:cstheme="minorHAnsi"/>
          <w:i/>
          <w:iCs/>
        </w:rPr>
        <w:t xml:space="preserve"> </w:t>
      </w:r>
      <w:r w:rsidRPr="00670BCD">
        <w:rPr>
          <w:rFonts w:cstheme="minorHAnsi"/>
        </w:rPr>
        <w:t xml:space="preserve">is a stochastic error. </w:t>
      </w:r>
      <w:r w:rsidR="00E7333F" w:rsidRPr="00670BCD">
        <w:rPr>
          <w:rFonts w:cstheme="minorHAnsi"/>
        </w:rPr>
        <w:t xml:space="preserve">Forecasts are obtained as follows. Using data on </w:t>
      </w:r>
      <m:oMath>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t</m:t>
            </m:r>
          </m:sub>
        </m:sSub>
      </m:oMath>
      <w:r w:rsidR="00E7333F" w:rsidRPr="00670BCD">
        <w:rPr>
          <w:rFonts w:cstheme="minorHAnsi"/>
          <w:i/>
          <w:iCs/>
        </w:rPr>
        <w:t xml:space="preserve"> </w:t>
      </w:r>
      <w:r w:rsidR="00E7333F" w:rsidRPr="00670BCD">
        <w:rPr>
          <w:rFonts w:cstheme="minorHAnsi"/>
        </w:rPr>
        <w:t xml:space="preserve">and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t</m:t>
            </m:r>
          </m:sub>
        </m:sSub>
      </m:oMath>
      <w:r w:rsidR="00E7333F" w:rsidRPr="00670BCD">
        <w:rPr>
          <w:rFonts w:cstheme="minorHAnsi"/>
        </w:rPr>
        <w:t xml:space="preserve">, forecasters </w:t>
      </w:r>
      <w:r w:rsidR="00EA3940" w:rsidRPr="00670BCD">
        <w:rPr>
          <w:rFonts w:cstheme="minorHAnsi"/>
        </w:rPr>
        <w:t xml:space="preserve">calculate econometric estimates </w:t>
      </w:r>
      <w:r w:rsidR="00E7333F" w:rsidRPr="00670BCD">
        <w:rPr>
          <w:rFonts w:cstheme="minorHAnsi"/>
        </w:rPr>
        <w:t xml:space="preserve">of </w:t>
      </w:r>
      <m:oMath>
        <m:r>
          <w:rPr>
            <w:rFonts w:ascii="Cambria Math" w:hAnsi="Cambria Math" w:cstheme="minorHAnsi"/>
          </w:rPr>
          <m:t>δ</m:t>
        </m:r>
      </m:oMath>
      <w:r w:rsidR="00E7333F" w:rsidRPr="00670BCD">
        <w:rPr>
          <w:rFonts w:cstheme="minorHAnsi"/>
        </w:rPr>
        <w:t xml:space="preserve">. Using a </w:t>
      </w:r>
      <w:r w:rsidR="00EA3940" w:rsidRPr="00670BCD">
        <w:rPr>
          <w:rFonts w:cstheme="minorHAnsi"/>
        </w:rPr>
        <w:t xml:space="preserve">variety of methods, </w:t>
      </w:r>
      <w:r w:rsidR="00163106" w:rsidRPr="00670BCD">
        <w:rPr>
          <w:rFonts w:cstheme="minorHAnsi"/>
        </w:rPr>
        <w:t>including</w:t>
      </w:r>
      <w:r w:rsidR="00C719C4" w:rsidRPr="00670BCD">
        <w:rPr>
          <w:rFonts w:cstheme="minorHAnsi"/>
        </w:rPr>
        <w:t xml:space="preserve"> auxiliary forecasting models, judgmental extrapolation, exogenous policy assumptions and forecasts from other forecasters,</w:t>
      </w:r>
      <w:r w:rsidR="00163106" w:rsidRPr="00670BCD">
        <w:rPr>
          <w:rFonts w:cstheme="minorHAnsi"/>
        </w:rPr>
        <w:t xml:space="preserve"> </w:t>
      </w:r>
      <w:r w:rsidR="00516AB9" w:rsidRPr="00670BCD">
        <w:rPr>
          <w:rFonts w:cstheme="minorHAnsi"/>
        </w:rPr>
        <w:t>the forecaster</w:t>
      </w:r>
      <w:r w:rsidR="00EA3940" w:rsidRPr="00670BCD">
        <w:rPr>
          <w:rFonts w:cstheme="minorHAnsi"/>
        </w:rPr>
        <w:t xml:space="preserve"> </w:t>
      </w:r>
      <w:r w:rsidR="00E7333F" w:rsidRPr="00670BCD">
        <w:rPr>
          <w:rFonts w:cstheme="minorHAnsi"/>
        </w:rPr>
        <w:t>obtain</w:t>
      </w:r>
      <w:r w:rsidR="00516AB9" w:rsidRPr="00670BCD">
        <w:rPr>
          <w:rFonts w:cstheme="minorHAnsi"/>
        </w:rPr>
        <w:t>s</w:t>
      </w:r>
      <w:r w:rsidR="00E7333F" w:rsidRPr="00670BCD">
        <w:rPr>
          <w:rFonts w:cstheme="minorHAnsi"/>
        </w:rPr>
        <w:t xml:space="preserve"> forecasts of the explanatory variables,</w:t>
      </w:r>
      <w:r w:rsidR="00C719C4" w:rsidRPr="00670BCD">
        <w:rPr>
          <w:rFonts w:cstheme="minorHAnsi"/>
        </w:rPr>
        <w:t xml:space="preserve"> </w:t>
      </w:r>
      <m:oMath>
        <m:acc>
          <m:accPr>
            <m:chr m:val="̃"/>
            <m:ctrlPr>
              <w:rPr>
                <w:rFonts w:ascii="Cambria Math" w:hAnsi="Cambria Math" w:cstheme="minorHAnsi"/>
                <w:i/>
              </w:rPr>
            </m:ctrlPr>
          </m:acc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t+k</m:t>
                </m:r>
              </m:sub>
            </m:sSub>
          </m:e>
        </m:acc>
        <m:r>
          <w:rPr>
            <w:rFonts w:ascii="Cambria Math" w:hAnsi="Cambria Math" w:cstheme="minorHAnsi"/>
          </w:rPr>
          <m:t>,k</m:t>
        </m:r>
      </m:oMath>
      <w:r w:rsidR="00E7333F" w:rsidRPr="00670BCD">
        <w:rPr>
          <w:rFonts w:cstheme="minorHAnsi"/>
        </w:rPr>
        <w:t xml:space="preserve"> </w:t>
      </w:r>
      <w:r w:rsidR="00FE2FF4" w:rsidRPr="00670BCD">
        <w:rPr>
          <w:rFonts w:cstheme="minorHAnsi"/>
        </w:rPr>
        <w:t>periods into the future</w:t>
      </w:r>
      <w:r w:rsidR="00E7333F" w:rsidRPr="00670BCD">
        <w:rPr>
          <w:rFonts w:cstheme="minorHAnsi"/>
        </w:rPr>
        <w:t>.</w:t>
      </w:r>
      <w:r w:rsidR="00EA3940" w:rsidRPr="00670BCD">
        <w:rPr>
          <w:rFonts w:cstheme="minorHAnsi"/>
        </w:rPr>
        <w:t xml:space="preserve"> </w:t>
      </w:r>
      <w:r w:rsidR="00E7333F" w:rsidRPr="00670BCD">
        <w:rPr>
          <w:rFonts w:cstheme="minorHAnsi"/>
        </w:rPr>
        <w:t xml:space="preserve">Then the </w:t>
      </w:r>
      <w:r w:rsidR="00E7333F" w:rsidRPr="00670BCD">
        <w:rPr>
          <w:rFonts w:cstheme="minorHAnsi"/>
          <w:i/>
          <w:iCs/>
        </w:rPr>
        <w:t>k</w:t>
      </w:r>
      <w:r w:rsidR="00E7333F" w:rsidRPr="00670BCD">
        <w:rPr>
          <w:rFonts w:cstheme="minorHAnsi"/>
        </w:rPr>
        <w:t xml:space="preserve">–step ahead forecast (made at the beginning of period </w:t>
      </w:r>
      <w:r w:rsidR="00E7333F" w:rsidRPr="00670BCD">
        <w:rPr>
          <w:rFonts w:cstheme="minorHAnsi"/>
          <w:i/>
          <w:iCs/>
        </w:rPr>
        <w:t>t</w:t>
      </w:r>
      <w:r w:rsidR="00E7333F" w:rsidRPr="00670BCD">
        <w:rPr>
          <w:rFonts w:cstheme="minorHAnsi"/>
        </w:rPr>
        <w:t>) is</w:t>
      </w:r>
    </w:p>
    <w:p w14:paraId="05705756" w14:textId="77777777" w:rsidR="00F551E2" w:rsidRPr="00670BCD" w:rsidRDefault="00F551E2" w:rsidP="00670BCD">
      <w:pPr>
        <w:autoSpaceDE w:val="0"/>
        <w:autoSpaceDN w:val="0"/>
        <w:adjustRightInd w:val="0"/>
        <w:spacing w:after="0" w:line="240" w:lineRule="auto"/>
        <w:rPr>
          <w:rFonts w:cstheme="minorHAnsi"/>
          <w:color w:val="000000"/>
        </w:rPr>
      </w:pPr>
    </w:p>
    <w:p w14:paraId="41D328E0" w14:textId="77777777" w:rsidR="008B1543" w:rsidRPr="00670BCD" w:rsidRDefault="00BD3140" w:rsidP="00670BCD">
      <w:pPr>
        <w:autoSpaceDE w:val="0"/>
        <w:autoSpaceDN w:val="0"/>
        <w:adjustRightInd w:val="0"/>
        <w:spacing w:after="0" w:line="240" w:lineRule="auto"/>
        <w:rPr>
          <w:rFonts w:cstheme="minorHAnsi"/>
        </w:rPr>
      </w:pPr>
      <m:oMathPara>
        <m:oMath>
          <m:acc>
            <m:accPr>
              <m:chr m:val="̃"/>
              <m:ctrlPr>
                <w:rPr>
                  <w:rFonts w:ascii="Cambria Math" w:hAnsi="Cambria Math" w:cstheme="minorHAnsi"/>
                  <w:i/>
                </w:rPr>
              </m:ctrlPr>
            </m:accPr>
            <m:e>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t+k</m:t>
                  </m:r>
                </m:sub>
              </m:sSub>
            </m:e>
          </m:acc>
          <m:r>
            <w:rPr>
              <w:rFonts w:ascii="Cambria Math" w:hAnsi="Cambria Math" w:cstheme="minorHAnsi"/>
            </w:rPr>
            <m:t>=f</m:t>
          </m:r>
          <m:d>
            <m:dPr>
              <m:ctrlPr>
                <w:rPr>
                  <w:rFonts w:ascii="Cambria Math" w:hAnsi="Cambria Math" w:cstheme="minorHAnsi"/>
                  <w:i/>
                </w:rPr>
              </m:ctrlPr>
            </m:dPr>
            <m:e>
              <m:r>
                <w:rPr>
                  <w:rFonts w:ascii="Cambria Math" w:hAnsi="Cambria Math" w:cstheme="minorHAnsi"/>
                </w:rPr>
                <m:t>A</m:t>
              </m:r>
              <m:d>
                <m:dPr>
                  <m:ctrlPr>
                    <w:rPr>
                      <w:rFonts w:ascii="Cambria Math" w:hAnsi="Cambria Math" w:cstheme="minorHAnsi"/>
                      <w:i/>
                    </w:rPr>
                  </m:ctrlPr>
                </m:dPr>
                <m:e>
                  <m:r>
                    <w:rPr>
                      <w:rFonts w:ascii="Cambria Math" w:hAnsi="Cambria Math" w:cstheme="minorHAnsi"/>
                    </w:rPr>
                    <m:t>L</m:t>
                  </m:r>
                </m:e>
              </m:d>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t+k-1</m:t>
                  </m:r>
                </m:sub>
              </m:sSub>
              <m:r>
                <w:rPr>
                  <w:rFonts w:ascii="Cambria Math" w:hAnsi="Cambria Math" w:cstheme="minorHAnsi"/>
                </w:rPr>
                <m:t>,B</m:t>
              </m:r>
              <m:d>
                <m:dPr>
                  <m:ctrlPr>
                    <w:rPr>
                      <w:rFonts w:ascii="Cambria Math" w:hAnsi="Cambria Math" w:cstheme="minorHAnsi"/>
                      <w:i/>
                    </w:rPr>
                  </m:ctrlPr>
                </m:dPr>
                <m:e>
                  <m:r>
                    <w:rPr>
                      <w:rFonts w:ascii="Cambria Math" w:hAnsi="Cambria Math" w:cstheme="minorHAnsi"/>
                    </w:rPr>
                    <m:t>L</m:t>
                  </m:r>
                </m:e>
              </m:d>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t+k;</m:t>
                  </m:r>
                </m:sub>
              </m:sSub>
              <m:acc>
                <m:accPr>
                  <m:chr m:val="̃"/>
                  <m:ctrlPr>
                    <w:rPr>
                      <w:rFonts w:ascii="Cambria Math" w:hAnsi="Cambria Math" w:cstheme="minorHAnsi"/>
                      <w:i/>
                    </w:rPr>
                  </m:ctrlPr>
                </m:accPr>
                <m:e>
                  <m:r>
                    <w:rPr>
                      <w:rFonts w:ascii="Cambria Math" w:hAnsi="Cambria Math" w:cstheme="minorHAnsi"/>
                    </w:rPr>
                    <m:t>δ</m:t>
                  </m:r>
                </m:e>
              </m:acc>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ε</m:t>
              </m:r>
            </m:e>
            <m:sub>
              <m:r>
                <w:rPr>
                  <w:rFonts w:ascii="Cambria Math" w:hAnsi="Cambria Math" w:cstheme="minorHAnsi"/>
                </w:rPr>
                <m:t>t</m:t>
              </m:r>
            </m:sub>
          </m:sSub>
        </m:oMath>
      </m:oMathPara>
    </w:p>
    <w:p w14:paraId="5CD400C6" w14:textId="77777777" w:rsidR="00163106" w:rsidRPr="00670BCD" w:rsidRDefault="00163106" w:rsidP="00670BCD">
      <w:pPr>
        <w:autoSpaceDE w:val="0"/>
        <w:autoSpaceDN w:val="0"/>
        <w:adjustRightInd w:val="0"/>
        <w:spacing w:after="0" w:line="240" w:lineRule="auto"/>
        <w:rPr>
          <w:rFonts w:cstheme="minorHAnsi"/>
          <w:iCs/>
        </w:rPr>
      </w:pPr>
    </w:p>
    <w:p w14:paraId="4C2E9F3E" w14:textId="29F62BF0" w:rsidR="00367CC3" w:rsidRPr="00670BCD" w:rsidRDefault="00367CC3" w:rsidP="00670BCD">
      <w:pPr>
        <w:autoSpaceDE w:val="0"/>
        <w:autoSpaceDN w:val="0"/>
        <w:adjustRightInd w:val="0"/>
        <w:spacing w:after="0" w:line="240" w:lineRule="auto"/>
        <w:rPr>
          <w:rFonts w:cstheme="minorHAnsi"/>
          <w:color w:val="000000"/>
        </w:rPr>
      </w:pPr>
      <w:r w:rsidRPr="00670BCD">
        <w:rPr>
          <w:rFonts w:cstheme="minorHAnsi"/>
          <w:color w:val="000000"/>
        </w:rPr>
        <w:t xml:space="preserve">A forecast should be unbiased, efficient and have uncorrelated errors. Unbiased means </w:t>
      </w:r>
      <w:r w:rsidR="00622D15" w:rsidRPr="00670BCD">
        <w:rPr>
          <w:rFonts w:cstheme="minorHAnsi"/>
          <w:color w:val="000000"/>
        </w:rPr>
        <w:t>that the</w:t>
      </w:r>
      <w:r w:rsidRPr="00670BCD">
        <w:rPr>
          <w:rFonts w:cstheme="minorHAnsi"/>
          <w:color w:val="000000"/>
        </w:rPr>
        <w:t xml:space="preserve"> forecasts are on average equal to the actual data. Efficient means that forecasts come from accurate models of economic behaviour using all relevant information available. Uncorrelated errors refer to forecast errors not being correlated with past errors. Achieving accurate unbiased forecasts are very difficult to achieve. As the Treasury (</w:t>
      </w:r>
      <w:r w:rsidR="00027302">
        <w:rPr>
          <w:rFonts w:cstheme="minorHAnsi"/>
          <w:color w:val="000000"/>
        </w:rPr>
        <w:t xml:space="preserve">Australia, </w:t>
      </w:r>
      <w:r w:rsidRPr="00670BCD">
        <w:rPr>
          <w:rFonts w:cstheme="minorHAnsi"/>
          <w:color w:val="000000"/>
        </w:rPr>
        <w:t>2012</w:t>
      </w:r>
      <w:r w:rsidR="009D5541" w:rsidRPr="00670BCD">
        <w:rPr>
          <w:rFonts w:cstheme="minorHAnsi"/>
          <w:color w:val="000000"/>
        </w:rPr>
        <w:t>, p. 1</w:t>
      </w:r>
      <w:r w:rsidRPr="00670BCD">
        <w:rPr>
          <w:rFonts w:cstheme="minorHAnsi"/>
          <w:color w:val="000000"/>
        </w:rPr>
        <w:t xml:space="preserve">) states, </w:t>
      </w:r>
    </w:p>
    <w:p w14:paraId="339FFC45" w14:textId="77777777" w:rsidR="00367CC3" w:rsidRPr="00670BCD" w:rsidRDefault="00367CC3" w:rsidP="00670BCD">
      <w:pPr>
        <w:autoSpaceDE w:val="0"/>
        <w:autoSpaceDN w:val="0"/>
        <w:adjustRightInd w:val="0"/>
        <w:spacing w:after="0" w:line="240" w:lineRule="auto"/>
        <w:rPr>
          <w:rFonts w:cstheme="minorHAnsi"/>
          <w:color w:val="000000"/>
        </w:rPr>
      </w:pPr>
    </w:p>
    <w:p w14:paraId="1B9DA861" w14:textId="77777777" w:rsidR="00367CC3" w:rsidRPr="00670BCD" w:rsidRDefault="003D0934" w:rsidP="001D4D85">
      <w:pPr>
        <w:autoSpaceDE w:val="0"/>
        <w:autoSpaceDN w:val="0"/>
        <w:adjustRightInd w:val="0"/>
        <w:spacing w:after="0" w:line="240" w:lineRule="auto"/>
        <w:ind w:left="567"/>
        <w:rPr>
          <w:rFonts w:cstheme="minorHAnsi"/>
        </w:rPr>
      </w:pPr>
      <w:r w:rsidRPr="00670BCD">
        <w:rPr>
          <w:rFonts w:cstheme="minorHAnsi"/>
        </w:rPr>
        <w:t>‘</w:t>
      </w:r>
      <w:r w:rsidR="00367CC3" w:rsidRPr="00670BCD">
        <w:rPr>
          <w:rFonts w:cstheme="minorHAnsi"/>
        </w:rPr>
        <w:t>Forecasting is an inherently difficult exercise. It is challenging to capture the salient features of a</w:t>
      </w:r>
      <w:r w:rsidRPr="00670BCD">
        <w:rPr>
          <w:rFonts w:cstheme="minorHAnsi"/>
        </w:rPr>
        <w:t xml:space="preserve"> </w:t>
      </w:r>
      <w:r w:rsidR="00367CC3" w:rsidRPr="00670BCD">
        <w:rPr>
          <w:rFonts w:cstheme="minorHAnsi"/>
        </w:rPr>
        <w:t>modern complex economy in a framework simple enough to be</w:t>
      </w:r>
      <w:r w:rsidRPr="00670BCD">
        <w:rPr>
          <w:rFonts w:cstheme="minorHAnsi"/>
        </w:rPr>
        <w:t xml:space="preserve"> tractable. Unlike the physical </w:t>
      </w:r>
      <w:r w:rsidR="00367CC3" w:rsidRPr="00670BCD">
        <w:rPr>
          <w:rFonts w:cstheme="minorHAnsi"/>
        </w:rPr>
        <w:t>sciences, the inability to conduct repeated experiments means that it is</w:t>
      </w:r>
      <w:r w:rsidRPr="00670BCD">
        <w:rPr>
          <w:rFonts w:cstheme="minorHAnsi"/>
        </w:rPr>
        <w:t xml:space="preserve"> difficult to use economic data </w:t>
      </w:r>
      <w:r w:rsidR="00367CC3" w:rsidRPr="00670BCD">
        <w:rPr>
          <w:rFonts w:cstheme="minorHAnsi"/>
        </w:rPr>
        <w:t>to disentangle quantitatively the impacts of different influences on the economy, particularly in the</w:t>
      </w:r>
      <w:r w:rsidRPr="00670BCD">
        <w:rPr>
          <w:rFonts w:cstheme="minorHAnsi"/>
        </w:rPr>
        <w:t xml:space="preserve"> </w:t>
      </w:r>
      <w:r w:rsidR="00367CC3" w:rsidRPr="00670BCD">
        <w:rPr>
          <w:rFonts w:cstheme="minorHAnsi"/>
        </w:rPr>
        <w:t xml:space="preserve">face of continual structural change. Human behaviour, in particular the influence of </w:t>
      </w:r>
      <w:r w:rsidR="00367CC3" w:rsidRPr="00670BCD">
        <w:rPr>
          <w:rFonts w:cstheme="minorHAnsi"/>
          <w:i/>
          <w:iCs/>
        </w:rPr>
        <w:t>animal spirits</w:t>
      </w:r>
      <w:r w:rsidRPr="00670BCD">
        <w:rPr>
          <w:rFonts w:cstheme="minorHAnsi"/>
        </w:rPr>
        <w:t xml:space="preserve">, has </w:t>
      </w:r>
      <w:r w:rsidR="00367CC3" w:rsidRPr="00670BCD">
        <w:rPr>
          <w:rFonts w:cstheme="minorHAnsi"/>
        </w:rPr>
        <w:t>elements that are inherently unpredictable. Economies are buffeted</w:t>
      </w:r>
      <w:r w:rsidRPr="00670BCD">
        <w:rPr>
          <w:rFonts w:cstheme="minorHAnsi"/>
        </w:rPr>
        <w:t xml:space="preserve"> by shocks, which by their very </w:t>
      </w:r>
      <w:r w:rsidR="00367CC3" w:rsidRPr="00670BCD">
        <w:rPr>
          <w:rFonts w:cstheme="minorHAnsi"/>
        </w:rPr>
        <w:t>nature are not foreseeable, for example economic disasters, such</w:t>
      </w:r>
      <w:r w:rsidRPr="00670BCD">
        <w:rPr>
          <w:rFonts w:cstheme="minorHAnsi"/>
        </w:rPr>
        <w:t xml:space="preserve"> as droughts, and technological </w:t>
      </w:r>
      <w:r w:rsidR="00367CC3" w:rsidRPr="00670BCD">
        <w:rPr>
          <w:rFonts w:cstheme="minorHAnsi"/>
        </w:rPr>
        <w:t>advances. Lags in data collection and survey error mean that forecaste</w:t>
      </w:r>
      <w:r w:rsidRPr="00670BCD">
        <w:rPr>
          <w:rFonts w:cstheme="minorHAnsi"/>
        </w:rPr>
        <w:t xml:space="preserve">rs are reliant upon their own </w:t>
      </w:r>
      <w:r w:rsidR="00367CC3" w:rsidRPr="00670BCD">
        <w:rPr>
          <w:rFonts w:cstheme="minorHAnsi"/>
        </w:rPr>
        <w:t>informed assessment about t</w:t>
      </w:r>
      <w:r w:rsidR="0042222B" w:rsidRPr="00670BCD">
        <w:rPr>
          <w:rFonts w:cstheme="minorHAnsi"/>
        </w:rPr>
        <w:t>he current state of the economy</w:t>
      </w:r>
      <w:r w:rsidR="00367CC3" w:rsidRPr="00670BCD">
        <w:rPr>
          <w:rFonts w:cstheme="minorHAnsi"/>
        </w:rPr>
        <w:t>.</w:t>
      </w:r>
      <w:r w:rsidRPr="00670BCD">
        <w:rPr>
          <w:rFonts w:cstheme="minorHAnsi"/>
        </w:rPr>
        <w:t>’</w:t>
      </w:r>
    </w:p>
    <w:p w14:paraId="0A514564" w14:textId="77777777" w:rsidR="003D0934" w:rsidRPr="00670BCD" w:rsidRDefault="003D0934" w:rsidP="00670BCD">
      <w:pPr>
        <w:autoSpaceDE w:val="0"/>
        <w:autoSpaceDN w:val="0"/>
        <w:adjustRightInd w:val="0"/>
        <w:spacing w:after="0" w:line="240" w:lineRule="auto"/>
        <w:rPr>
          <w:rFonts w:cstheme="minorHAnsi"/>
        </w:rPr>
      </w:pPr>
    </w:p>
    <w:p w14:paraId="6ADFD0FC" w14:textId="77777777" w:rsidR="0042222B" w:rsidRPr="00670BCD" w:rsidRDefault="003D0934" w:rsidP="00670BCD">
      <w:pPr>
        <w:autoSpaceDE w:val="0"/>
        <w:autoSpaceDN w:val="0"/>
        <w:adjustRightInd w:val="0"/>
        <w:spacing w:after="0" w:line="240" w:lineRule="auto"/>
        <w:rPr>
          <w:rFonts w:cstheme="minorHAnsi"/>
        </w:rPr>
      </w:pPr>
      <w:r w:rsidRPr="00670BCD">
        <w:rPr>
          <w:rFonts w:cstheme="minorHAnsi"/>
        </w:rPr>
        <w:t>As a result, violations of these basi</w:t>
      </w:r>
      <w:r w:rsidR="001B3BAD" w:rsidRPr="00670BCD">
        <w:rPr>
          <w:rFonts w:cstheme="minorHAnsi"/>
        </w:rPr>
        <w:t xml:space="preserve">c forecasting principles can occur </w:t>
      </w:r>
      <w:r w:rsidRPr="00670BCD">
        <w:rPr>
          <w:rFonts w:cstheme="minorHAnsi"/>
        </w:rPr>
        <w:t xml:space="preserve">due to inaccurate parameter estimates, omitted explanatory variables and erroneous models of the economy. </w:t>
      </w:r>
      <w:r w:rsidR="0042222B" w:rsidRPr="00670BCD">
        <w:rPr>
          <w:rFonts w:cstheme="minorHAnsi"/>
        </w:rPr>
        <w:t xml:space="preserve">For employment services, the ability to forecast </w:t>
      </w:r>
      <w:r w:rsidR="001E2019" w:rsidRPr="00670BCD">
        <w:rPr>
          <w:rFonts w:cstheme="minorHAnsi"/>
        </w:rPr>
        <w:t xml:space="preserve">extreme economic movements and structural shifts is of high importance given the significant impact these have on employment and </w:t>
      </w:r>
      <w:r w:rsidR="001D4D85">
        <w:rPr>
          <w:rFonts w:cstheme="minorHAnsi"/>
        </w:rPr>
        <w:t>outcomes achieved</w:t>
      </w:r>
      <w:r w:rsidR="001E2019" w:rsidRPr="00670BCD">
        <w:rPr>
          <w:rFonts w:cstheme="minorHAnsi"/>
        </w:rPr>
        <w:t xml:space="preserve">. The evidence indicates that </w:t>
      </w:r>
      <w:r w:rsidR="00781FDA" w:rsidRPr="00670BCD">
        <w:rPr>
          <w:rFonts w:cstheme="minorHAnsi"/>
        </w:rPr>
        <w:t>forecasters do a poor job predicting both outcomes. The identification and prediction of major economic turning points in the business cycle has been a failure of most forecaster</w:t>
      </w:r>
      <w:r w:rsidR="005A205E" w:rsidRPr="00670BCD">
        <w:rPr>
          <w:rFonts w:cstheme="minorHAnsi"/>
        </w:rPr>
        <w:t>s</w:t>
      </w:r>
      <w:r w:rsidR="00781FDA" w:rsidRPr="00670BCD">
        <w:rPr>
          <w:rFonts w:cstheme="minorHAnsi"/>
        </w:rPr>
        <w:t xml:space="preserve"> globally</w:t>
      </w:r>
      <w:r w:rsidR="005A205E" w:rsidRPr="00670BCD">
        <w:rPr>
          <w:rFonts w:cstheme="minorHAnsi"/>
        </w:rPr>
        <w:t xml:space="preserve"> </w:t>
      </w:r>
      <w:r w:rsidR="005A205E" w:rsidRPr="00027302">
        <w:rPr>
          <w:rFonts w:cstheme="minorHAnsi"/>
        </w:rPr>
        <w:t>(Gruen and Stephan, 2010)</w:t>
      </w:r>
      <w:r w:rsidR="00781FDA" w:rsidRPr="00027302">
        <w:rPr>
          <w:rFonts w:cstheme="minorHAnsi"/>
        </w:rPr>
        <w:t>. For example, Treasury budget forecasts exhibited insignificant forecast errors over the period 1990-91 to 2011-2012.</w:t>
      </w:r>
      <w:r w:rsidR="005A205E" w:rsidRPr="00027302">
        <w:rPr>
          <w:rFonts w:cstheme="minorHAnsi"/>
        </w:rPr>
        <w:t xml:space="preserve"> Forecast errors though were correlated with the economic cycle, underestimating economic growth during upswings and</w:t>
      </w:r>
      <w:r w:rsidR="00781FDA" w:rsidRPr="00027302">
        <w:rPr>
          <w:rFonts w:cstheme="minorHAnsi"/>
        </w:rPr>
        <w:t xml:space="preserve"> </w:t>
      </w:r>
      <w:r w:rsidR="005A205E" w:rsidRPr="00027302">
        <w:rPr>
          <w:rFonts w:cstheme="minorHAnsi"/>
        </w:rPr>
        <w:t>overestimatin</w:t>
      </w:r>
      <w:r w:rsidR="001B3BAD" w:rsidRPr="00027302">
        <w:rPr>
          <w:rFonts w:cstheme="minorHAnsi"/>
        </w:rPr>
        <w:t>g growth during the downswings.</w:t>
      </w:r>
      <w:r w:rsidR="005A205E" w:rsidRPr="00027302">
        <w:rPr>
          <w:rFonts w:cstheme="minorHAnsi"/>
        </w:rPr>
        <w:t xml:space="preserve"> </w:t>
      </w:r>
      <w:r w:rsidR="001B3BAD" w:rsidRPr="00027302">
        <w:rPr>
          <w:rFonts w:cstheme="minorHAnsi"/>
        </w:rPr>
        <w:t xml:space="preserve">This is because models are highly dependent on what has happened in the past, which isn’t necessarily predictive of the future. For example, Stevens (2004) notes that average professional forecast accuracy for CPI inflation and GDP growth improved over 1984-2005. However, a naïve forecast predicting that the future value is equal to the current value also improved over the period, indicating that the improvement was due to reduced volatility in the economy </w:t>
      </w:r>
      <w:r w:rsidR="00F1728B" w:rsidRPr="00027302">
        <w:rPr>
          <w:rFonts w:cstheme="minorHAnsi"/>
        </w:rPr>
        <w:t>as opposed to improved forecasting ability</w:t>
      </w:r>
      <w:r w:rsidR="001B3BAD" w:rsidRPr="00027302">
        <w:rPr>
          <w:rFonts w:cstheme="minorHAnsi"/>
        </w:rPr>
        <w:t xml:space="preserve"> (</w:t>
      </w:r>
      <w:r w:rsidR="005F5E54" w:rsidRPr="00027302">
        <w:rPr>
          <w:rFonts w:cstheme="minorHAnsi"/>
        </w:rPr>
        <w:t xml:space="preserve">Simon, </w:t>
      </w:r>
      <w:r w:rsidR="001B3BAD" w:rsidRPr="00027302">
        <w:rPr>
          <w:rFonts w:cstheme="minorHAnsi"/>
        </w:rPr>
        <w:t>2001</w:t>
      </w:r>
      <w:r w:rsidR="001B3BAD" w:rsidRPr="00670BCD">
        <w:rPr>
          <w:rFonts w:cstheme="minorHAnsi"/>
        </w:rPr>
        <w:t>).</w:t>
      </w:r>
    </w:p>
    <w:p w14:paraId="27615493" w14:textId="77777777" w:rsidR="00DA7A8E" w:rsidRPr="00670BCD" w:rsidRDefault="00DA7A8E" w:rsidP="00670BCD">
      <w:pPr>
        <w:autoSpaceDE w:val="0"/>
        <w:autoSpaceDN w:val="0"/>
        <w:adjustRightInd w:val="0"/>
        <w:spacing w:after="0" w:line="240" w:lineRule="auto"/>
        <w:rPr>
          <w:rFonts w:cstheme="minorHAnsi"/>
        </w:rPr>
      </w:pPr>
    </w:p>
    <w:p w14:paraId="5BF65D26" w14:textId="77777777" w:rsidR="0073639B" w:rsidRPr="00670BCD" w:rsidRDefault="00F1728B" w:rsidP="00670BCD">
      <w:pPr>
        <w:autoSpaceDE w:val="0"/>
        <w:autoSpaceDN w:val="0"/>
        <w:adjustRightInd w:val="0"/>
        <w:spacing w:after="0" w:line="240" w:lineRule="auto"/>
        <w:rPr>
          <w:rFonts w:cstheme="minorHAnsi"/>
        </w:rPr>
      </w:pPr>
      <w:r w:rsidRPr="00670BCD">
        <w:rPr>
          <w:rFonts w:cstheme="minorHAnsi"/>
        </w:rPr>
        <w:t>Forecasting issues are not limited to Australian organisations</w:t>
      </w:r>
      <w:r w:rsidR="00DA7A8E" w:rsidRPr="00670BCD">
        <w:rPr>
          <w:rFonts w:cstheme="minorHAnsi"/>
        </w:rPr>
        <w:t xml:space="preserve">. Surveying US and UK forecasting evaluations, </w:t>
      </w:r>
      <w:r w:rsidR="00DA7A8E" w:rsidRPr="00027302">
        <w:rPr>
          <w:rFonts w:cstheme="minorHAnsi"/>
        </w:rPr>
        <w:t xml:space="preserve">Fildes and Stekler (2002) conclude that forecasters generally did not predict recessions </w:t>
      </w:r>
      <w:r w:rsidR="00DA7A8E" w:rsidRPr="00027302">
        <w:rPr>
          <w:rFonts w:cstheme="minorHAnsi"/>
        </w:rPr>
        <w:lastRenderedPageBreak/>
        <w:t xml:space="preserve">and made systematic errors. </w:t>
      </w:r>
      <w:r w:rsidRPr="00027302">
        <w:rPr>
          <w:rFonts w:cstheme="minorHAnsi"/>
        </w:rPr>
        <w:t>G</w:t>
      </w:r>
      <w:r w:rsidR="00DA7A8E" w:rsidRPr="00027302">
        <w:rPr>
          <w:rFonts w:cstheme="minorHAnsi"/>
        </w:rPr>
        <w:t>rowth rates were underestimated in expansionary periods and overestimated during rec</w:t>
      </w:r>
      <w:r w:rsidR="001B3BAD" w:rsidRPr="00027302">
        <w:rPr>
          <w:rFonts w:cstheme="minorHAnsi"/>
        </w:rPr>
        <w:t>essions. I</w:t>
      </w:r>
      <w:r w:rsidR="00DA7A8E" w:rsidRPr="00027302">
        <w:rPr>
          <w:rFonts w:cstheme="minorHAnsi"/>
        </w:rPr>
        <w:t xml:space="preserve">nflation was </w:t>
      </w:r>
      <w:r w:rsidR="001B3BAD" w:rsidRPr="00027302">
        <w:rPr>
          <w:rFonts w:cstheme="minorHAnsi"/>
        </w:rPr>
        <w:t xml:space="preserve">also </w:t>
      </w:r>
      <w:r w:rsidR="00DA7A8E" w:rsidRPr="00027302">
        <w:rPr>
          <w:rFonts w:cstheme="minorHAnsi"/>
        </w:rPr>
        <w:t xml:space="preserve">underestimated when it was accelerating and </w:t>
      </w:r>
      <w:r w:rsidR="001B3BAD" w:rsidRPr="00027302">
        <w:rPr>
          <w:rFonts w:cstheme="minorHAnsi"/>
        </w:rPr>
        <w:t>overestimated</w:t>
      </w:r>
      <w:r w:rsidR="00DA7A8E" w:rsidRPr="00027302">
        <w:rPr>
          <w:rFonts w:cstheme="minorHAnsi"/>
        </w:rPr>
        <w:t xml:space="preserve"> when inflation was decelerating. Oller and Barot (2000) </w:t>
      </w:r>
      <w:r w:rsidRPr="00027302">
        <w:rPr>
          <w:rFonts w:cstheme="minorHAnsi"/>
        </w:rPr>
        <w:t xml:space="preserve">find that forecasts made by European </w:t>
      </w:r>
      <w:r w:rsidR="00502B9D" w:rsidRPr="00027302">
        <w:rPr>
          <w:rFonts w:cstheme="minorHAnsi"/>
        </w:rPr>
        <w:t xml:space="preserve">national institutes and the OECD did not generally predict cyclical downturns, with some forecasting groups never forecasting negative real growth despite significant declines in growth in the countries concerned. </w:t>
      </w:r>
      <w:r w:rsidR="006355A2" w:rsidRPr="00027302">
        <w:rPr>
          <w:rFonts w:cstheme="minorHAnsi"/>
        </w:rPr>
        <w:t>Examining private sector growth forecasts for a large sample of countries, Loungani (2001)</w:t>
      </w:r>
      <w:r w:rsidR="006355A2" w:rsidRPr="00670BCD">
        <w:rPr>
          <w:rFonts w:cstheme="minorHAnsi"/>
        </w:rPr>
        <w:t xml:space="preserve"> finds that forecasters did not predict </w:t>
      </w:r>
      <w:r w:rsidR="002B6AC8">
        <w:rPr>
          <w:rFonts w:cstheme="minorHAnsi"/>
        </w:rPr>
        <w:t>recessions</w:t>
      </w:r>
      <w:r w:rsidR="006355A2" w:rsidRPr="00670BCD">
        <w:rPr>
          <w:rFonts w:cstheme="minorHAnsi"/>
        </w:rPr>
        <w:t xml:space="preserve"> in advance. These results suggest that the use of forecasted point estimates would do a poor job in accurately adjusting benchmarks for future changes in economic conditions. </w:t>
      </w:r>
      <w:r w:rsidR="0073639B" w:rsidRPr="00670BCD">
        <w:rPr>
          <w:rFonts w:cstheme="minorHAnsi"/>
        </w:rPr>
        <w:t>A further issue with using</w:t>
      </w:r>
      <w:r w:rsidR="00B93C88" w:rsidRPr="00670BCD">
        <w:rPr>
          <w:rFonts w:cstheme="minorHAnsi"/>
        </w:rPr>
        <w:t xml:space="preserve"> these</w:t>
      </w:r>
      <w:r w:rsidR="0073639B" w:rsidRPr="00670BCD">
        <w:rPr>
          <w:rFonts w:cstheme="minorHAnsi"/>
        </w:rPr>
        <w:t xml:space="preserve"> forecasts is that benchmarks apply at the site and contract level. Conversely, the point estimates of different macroeconomic variables apply at the national level. </w:t>
      </w:r>
      <w:r w:rsidR="00B93C88" w:rsidRPr="00670BCD">
        <w:rPr>
          <w:rFonts w:cstheme="minorHAnsi"/>
        </w:rPr>
        <w:t xml:space="preserve">This means that forecasts of economic conditions at the national level may not apply to the particular local area that the provider is situated in. </w:t>
      </w:r>
    </w:p>
    <w:p w14:paraId="15605B2A" w14:textId="77777777" w:rsidR="005F5E54" w:rsidRPr="00670BCD" w:rsidRDefault="005F5E54" w:rsidP="00670BCD">
      <w:pPr>
        <w:autoSpaceDE w:val="0"/>
        <w:autoSpaceDN w:val="0"/>
        <w:adjustRightInd w:val="0"/>
        <w:spacing w:after="0" w:line="240" w:lineRule="auto"/>
        <w:rPr>
          <w:rFonts w:cstheme="minorHAnsi"/>
        </w:rPr>
      </w:pPr>
    </w:p>
    <w:p w14:paraId="59121345" w14:textId="77777777" w:rsidR="005474D4" w:rsidRPr="005040FB" w:rsidRDefault="005474D4" w:rsidP="005474D4">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b/>
          <w:color w:val="000000"/>
        </w:rPr>
      </w:pPr>
      <w:r w:rsidRPr="005040FB">
        <w:rPr>
          <w:b/>
          <w:color w:val="000000"/>
        </w:rPr>
        <w:t>Case Study: U.S. Workforce Investment Act</w:t>
      </w:r>
    </w:p>
    <w:p w14:paraId="59F679CD" w14:textId="77777777" w:rsidR="005474D4" w:rsidRDefault="005474D4" w:rsidP="005474D4">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theme="minorHAnsi"/>
          <w:color w:val="000000"/>
        </w:rPr>
      </w:pPr>
      <w:r w:rsidRPr="005040FB">
        <w:rPr>
          <w:rFonts w:cstheme="minorHAnsi"/>
          <w:color w:val="000000"/>
        </w:rPr>
        <w:t xml:space="preserve">An analysis of the Workforce Investment Act shows that forecast inaccuracy relating to future economic conditions reduces the suitability of the adjusted benchmark </w:t>
      </w:r>
      <w:r>
        <w:rPr>
          <w:rFonts w:cstheme="minorHAnsi"/>
          <w:color w:val="000000"/>
        </w:rPr>
        <w:t xml:space="preserve">that </w:t>
      </w:r>
      <w:r w:rsidRPr="005040FB">
        <w:rPr>
          <w:rFonts w:cstheme="minorHAnsi"/>
          <w:color w:val="000000"/>
        </w:rPr>
        <w:t>providers are subject to</w:t>
      </w:r>
      <w:r>
        <w:rPr>
          <w:rFonts w:cstheme="minorHAnsi"/>
          <w:color w:val="000000"/>
        </w:rPr>
        <w:t>,</w:t>
      </w:r>
      <w:r w:rsidRPr="005040FB">
        <w:rPr>
          <w:rFonts w:cstheme="minorHAnsi"/>
          <w:color w:val="000000"/>
        </w:rPr>
        <w:t xml:space="preserve"> </w:t>
      </w:r>
      <w:r w:rsidRPr="0026149A">
        <w:rPr>
          <w:rFonts w:cstheme="minorHAnsi"/>
          <w:color w:val="000000"/>
        </w:rPr>
        <w:t>Bartik, Eberts and Huang (2009) find a significant and negative relationship between the WIA’s performance indicators for employment and unemployment rates. The results indicate the need for differences in economic conditions to be taken into account when determining performance standards. However, because performance standards are set for the future, economic conditions need to be forecasted before an adjusted performance standard can be estimated. Eberts, Huang and Cai (2013) calculate adjusted performance standards for States and Workforce Investment</w:t>
      </w:r>
      <w:r w:rsidRPr="005040FB">
        <w:rPr>
          <w:rFonts w:cstheme="minorHAnsi"/>
          <w:color w:val="000000"/>
        </w:rPr>
        <w:t xml:space="preserve"> Board (WIB) local are levels for the Adult, Dislocated Worker and Youth programs. In determining the effect of unemployment rates on performance indicators, they use unemployment rate forecasts of the </w:t>
      </w:r>
      <w:r>
        <w:rPr>
          <w:rFonts w:cstheme="minorHAnsi"/>
          <w:color w:val="000000"/>
        </w:rPr>
        <w:t>OMB</w:t>
      </w:r>
      <w:r w:rsidRPr="005040FB">
        <w:rPr>
          <w:rFonts w:cstheme="minorHAnsi"/>
          <w:color w:val="000000"/>
        </w:rPr>
        <w:t xml:space="preserve">. </w:t>
      </w:r>
    </w:p>
    <w:p w14:paraId="56D1076D" w14:textId="77777777" w:rsidR="005474D4" w:rsidRDefault="005474D4" w:rsidP="005474D4">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color w:val="000000"/>
          <w:sz w:val="23"/>
          <w:szCs w:val="23"/>
        </w:rPr>
      </w:pPr>
      <w:r w:rsidRPr="005040FB">
        <w:rPr>
          <w:rFonts w:cstheme="minorHAnsi"/>
          <w:color w:val="000000"/>
        </w:rPr>
        <w:t xml:space="preserve">Over the periods 2007 to 2009, the authors compared </w:t>
      </w:r>
      <w:r>
        <w:rPr>
          <w:rFonts w:cstheme="minorHAnsi"/>
          <w:color w:val="000000"/>
        </w:rPr>
        <w:t>the adjusted forecasts across S</w:t>
      </w:r>
      <w:r w:rsidRPr="005040FB">
        <w:rPr>
          <w:rFonts w:cstheme="minorHAnsi"/>
          <w:color w:val="000000"/>
        </w:rPr>
        <w:t>tates to the actual performance each state achieved for the three years for Adult Entered Employment Rates. For each year, there was a difference in performance of 4.0</w:t>
      </w:r>
      <w:r>
        <w:rPr>
          <w:rFonts w:cstheme="minorHAnsi"/>
          <w:color w:val="000000"/>
        </w:rPr>
        <w:t xml:space="preserve"> </w:t>
      </w:r>
      <w:r w:rsidRPr="005040FB">
        <w:rPr>
          <w:rFonts w:cstheme="minorHAnsi"/>
          <w:color w:val="000000"/>
        </w:rPr>
        <w:t>per cent (2007), 4.7</w:t>
      </w:r>
      <w:r>
        <w:rPr>
          <w:rFonts w:cstheme="minorHAnsi"/>
          <w:color w:val="000000"/>
        </w:rPr>
        <w:t xml:space="preserve"> </w:t>
      </w:r>
      <w:r w:rsidRPr="005040FB">
        <w:rPr>
          <w:rFonts w:cstheme="minorHAnsi"/>
          <w:color w:val="000000"/>
        </w:rPr>
        <w:t>per cent (2008) and 6.0</w:t>
      </w:r>
      <w:r>
        <w:rPr>
          <w:rFonts w:cstheme="minorHAnsi"/>
          <w:color w:val="000000"/>
        </w:rPr>
        <w:t xml:space="preserve"> </w:t>
      </w:r>
      <w:r w:rsidRPr="005040FB">
        <w:rPr>
          <w:rFonts w:cstheme="minorHAnsi"/>
          <w:color w:val="000000"/>
        </w:rPr>
        <w:t xml:space="preserve">per cent (2009). Performance will differ to that expected across states as a result of </w:t>
      </w:r>
      <w:r>
        <w:rPr>
          <w:rFonts w:cstheme="minorHAnsi"/>
          <w:color w:val="000000"/>
        </w:rPr>
        <w:t>S</w:t>
      </w:r>
      <w:r w:rsidRPr="005040FB">
        <w:rPr>
          <w:rFonts w:cstheme="minorHAnsi"/>
          <w:color w:val="000000"/>
        </w:rPr>
        <w:t xml:space="preserve">tates strategies in regards to their management of the WIA program. The strategies of some </w:t>
      </w:r>
      <w:r>
        <w:rPr>
          <w:rFonts w:cstheme="minorHAnsi"/>
          <w:color w:val="000000"/>
        </w:rPr>
        <w:t>S</w:t>
      </w:r>
      <w:r w:rsidRPr="005040FB">
        <w:rPr>
          <w:rFonts w:cstheme="minorHAnsi"/>
          <w:color w:val="000000"/>
        </w:rPr>
        <w:t>tates will generate significant performance improvements, leading them to exceed their performance standard and vice versa. It is also expected that performance will differ when future economic conditions diverge from what was forecasted. This makes it difficult to determine what effect inaccurate economic forecasts have on the performance standard. Its effect can be seen by examining the standard deviation of the performance figures for each year. The standard deviation figures reveal significant dispersion in</w:t>
      </w:r>
      <w:r>
        <w:rPr>
          <w:rFonts w:cstheme="minorHAnsi"/>
          <w:color w:val="000000"/>
        </w:rPr>
        <w:t xml:space="preserve"> performance difference across S</w:t>
      </w:r>
      <w:r w:rsidRPr="005040FB">
        <w:rPr>
          <w:rFonts w:cstheme="minorHAnsi"/>
          <w:color w:val="000000"/>
        </w:rPr>
        <w:t>tates, being 4.6</w:t>
      </w:r>
      <w:r>
        <w:rPr>
          <w:rFonts w:cstheme="minorHAnsi"/>
          <w:color w:val="000000"/>
        </w:rPr>
        <w:t xml:space="preserve"> </w:t>
      </w:r>
      <w:r w:rsidRPr="005040FB">
        <w:rPr>
          <w:rFonts w:cstheme="minorHAnsi"/>
          <w:color w:val="000000"/>
        </w:rPr>
        <w:t>per cent (2007), 3.7</w:t>
      </w:r>
      <w:r>
        <w:rPr>
          <w:rFonts w:cstheme="minorHAnsi"/>
          <w:color w:val="000000"/>
        </w:rPr>
        <w:t xml:space="preserve"> </w:t>
      </w:r>
      <w:r w:rsidRPr="005040FB">
        <w:rPr>
          <w:rFonts w:cstheme="minorHAnsi"/>
          <w:color w:val="000000"/>
        </w:rPr>
        <w:t>per cent (2008) and 6.8</w:t>
      </w:r>
      <w:r>
        <w:rPr>
          <w:rFonts w:cstheme="minorHAnsi"/>
          <w:color w:val="000000"/>
        </w:rPr>
        <w:t xml:space="preserve"> </w:t>
      </w:r>
      <w:r w:rsidRPr="005040FB">
        <w:rPr>
          <w:rFonts w:cstheme="minorHAnsi"/>
          <w:color w:val="000000"/>
        </w:rPr>
        <w:t>per cent (2009). Importantly, the deviation of performance increased significantly in 2009. U.S. economic conditions worsened significantly over that year, with the unemployment rate rising significantly from 5.8</w:t>
      </w:r>
      <w:r>
        <w:rPr>
          <w:rFonts w:cstheme="minorHAnsi"/>
          <w:color w:val="000000"/>
        </w:rPr>
        <w:t xml:space="preserve"> </w:t>
      </w:r>
      <w:r w:rsidRPr="005040FB">
        <w:rPr>
          <w:rFonts w:cstheme="minorHAnsi"/>
          <w:color w:val="000000"/>
        </w:rPr>
        <w:t>per cent to 9.3</w:t>
      </w:r>
      <w:r>
        <w:rPr>
          <w:rFonts w:cstheme="minorHAnsi"/>
          <w:color w:val="000000"/>
        </w:rPr>
        <w:t xml:space="preserve"> </w:t>
      </w:r>
      <w:r w:rsidRPr="005040FB">
        <w:rPr>
          <w:rFonts w:cstheme="minorHAnsi"/>
          <w:color w:val="000000"/>
        </w:rPr>
        <w:t>per cent.</w:t>
      </w:r>
      <w:r w:rsidRPr="005040FB">
        <w:rPr>
          <w:rStyle w:val="FootnoteReference"/>
          <w:rFonts w:cstheme="minorHAnsi"/>
          <w:vertAlign w:val="superscript"/>
        </w:rPr>
        <w:footnoteReference w:id="7"/>
      </w:r>
      <w:r w:rsidRPr="005040FB">
        <w:rPr>
          <w:rFonts w:cstheme="minorHAnsi"/>
          <w:color w:val="000000"/>
        </w:rPr>
        <w:t xml:space="preserve"> This unemployment rate was significantly higher than forecasted, with the U.S Federal reserve estimating the unemployment rate of 2009 to be 7.6</w:t>
      </w:r>
      <w:r>
        <w:rPr>
          <w:rFonts w:cstheme="minorHAnsi"/>
          <w:color w:val="000000"/>
        </w:rPr>
        <w:t xml:space="preserve"> </w:t>
      </w:r>
      <w:r w:rsidRPr="005040FB">
        <w:rPr>
          <w:rFonts w:cstheme="minorHAnsi"/>
          <w:color w:val="000000"/>
        </w:rPr>
        <w:t>per cent as of October 2008.</w:t>
      </w:r>
      <w:r w:rsidRPr="005040FB">
        <w:rPr>
          <w:rStyle w:val="FootnoteReference"/>
          <w:rFonts w:cstheme="minorHAnsi"/>
          <w:vertAlign w:val="superscript"/>
        </w:rPr>
        <w:footnoteReference w:id="8"/>
      </w:r>
      <w:r w:rsidRPr="005040FB">
        <w:rPr>
          <w:rFonts w:cstheme="minorHAnsi"/>
          <w:color w:val="000000"/>
        </w:rPr>
        <w:t xml:space="preserve"> </w:t>
      </w:r>
    </w:p>
    <w:p w14:paraId="45439A5E" w14:textId="77777777" w:rsidR="00154839" w:rsidRPr="00666790" w:rsidRDefault="00154839" w:rsidP="00666790">
      <w:pPr>
        <w:spacing w:line="240" w:lineRule="auto"/>
        <w:ind w:right="-340"/>
        <w:rPr>
          <w:rFonts w:cstheme="minorHAnsi"/>
          <w:color w:val="000000"/>
        </w:rPr>
      </w:pPr>
    </w:p>
    <w:p w14:paraId="4D85D8B2" w14:textId="77777777" w:rsidR="00666790" w:rsidRDefault="00666790" w:rsidP="00AE3BED">
      <w:pPr>
        <w:pStyle w:val="Heading1"/>
        <w:keepLines w:val="0"/>
        <w:numPr>
          <w:ilvl w:val="0"/>
          <w:numId w:val="16"/>
        </w:numPr>
        <w:spacing w:before="240" w:after="240" w:line="240" w:lineRule="auto"/>
        <w:ind w:left="0" w:firstLine="0"/>
        <w:rPr>
          <w:rFonts w:ascii="Calibri" w:eastAsia="Times New Roman" w:hAnsi="Calibri" w:cs="Arial"/>
          <w:color w:val="auto"/>
          <w:kern w:val="32"/>
          <w:sz w:val="32"/>
          <w:szCs w:val="32"/>
          <w:lang w:eastAsia="en-AU"/>
        </w:rPr>
        <w:sectPr w:rsidR="00666790">
          <w:pgSz w:w="11906" w:h="16838"/>
          <w:pgMar w:top="1440" w:right="1440" w:bottom="1440" w:left="1440" w:header="708" w:footer="708" w:gutter="0"/>
          <w:cols w:space="708"/>
          <w:docGrid w:linePitch="360"/>
        </w:sectPr>
      </w:pPr>
      <w:bookmarkStart w:id="26" w:name="_Toc365872645"/>
    </w:p>
    <w:p w14:paraId="22D7089F" w14:textId="77777777" w:rsidR="002860FC" w:rsidRPr="00AE3BED" w:rsidRDefault="002860FC" w:rsidP="00AE3BED">
      <w:pPr>
        <w:pStyle w:val="Heading1"/>
        <w:keepLines w:val="0"/>
        <w:numPr>
          <w:ilvl w:val="0"/>
          <w:numId w:val="16"/>
        </w:numPr>
        <w:spacing w:before="240" w:after="240" w:line="240" w:lineRule="auto"/>
        <w:ind w:left="0" w:firstLine="0"/>
        <w:rPr>
          <w:rFonts w:ascii="Calibri" w:eastAsia="Times New Roman" w:hAnsi="Calibri" w:cs="Arial"/>
          <w:color w:val="auto"/>
          <w:kern w:val="32"/>
          <w:sz w:val="32"/>
          <w:szCs w:val="32"/>
          <w:lang w:eastAsia="en-AU"/>
        </w:rPr>
      </w:pPr>
      <w:r w:rsidRPr="00AE3BED">
        <w:rPr>
          <w:rFonts w:ascii="Calibri" w:eastAsia="Times New Roman" w:hAnsi="Calibri" w:cs="Arial"/>
          <w:color w:val="auto"/>
          <w:kern w:val="32"/>
          <w:sz w:val="32"/>
          <w:szCs w:val="32"/>
          <w:lang w:eastAsia="en-AU"/>
        </w:rPr>
        <w:lastRenderedPageBreak/>
        <w:t>Discussion</w:t>
      </w:r>
      <w:bookmarkEnd w:id="26"/>
    </w:p>
    <w:p w14:paraId="2E727B14" w14:textId="2CF5E23A" w:rsidR="00447DCC" w:rsidRPr="00666790" w:rsidRDefault="00447DCC" w:rsidP="00666790">
      <w:pPr>
        <w:autoSpaceDE w:val="0"/>
        <w:autoSpaceDN w:val="0"/>
        <w:adjustRightInd w:val="0"/>
        <w:spacing w:after="0" w:line="240" w:lineRule="auto"/>
        <w:rPr>
          <w:rFonts w:cstheme="minorHAnsi"/>
        </w:rPr>
      </w:pPr>
      <w:r w:rsidRPr="00666790">
        <w:rPr>
          <w:rFonts w:cstheme="minorHAnsi"/>
        </w:rPr>
        <w:t xml:space="preserve">The </w:t>
      </w:r>
      <w:r w:rsidR="007957F5" w:rsidRPr="00666790">
        <w:rPr>
          <w:rFonts w:cstheme="minorHAnsi"/>
        </w:rPr>
        <w:t>Star Rating</w:t>
      </w:r>
      <w:r w:rsidRPr="00666790">
        <w:rPr>
          <w:rFonts w:cstheme="minorHAnsi"/>
        </w:rPr>
        <w:t xml:space="preserve">s model offers a number of advantages in assessing provider performance. This includes </w:t>
      </w:r>
      <w:r w:rsidR="00666790">
        <w:rPr>
          <w:rFonts w:cstheme="minorHAnsi"/>
        </w:rPr>
        <w:t xml:space="preserve">effective and comprehensive </w:t>
      </w:r>
      <w:r w:rsidRPr="00666790">
        <w:rPr>
          <w:rFonts w:cstheme="minorHAnsi"/>
        </w:rPr>
        <w:t>adjusting for external factors, using ex</w:t>
      </w:r>
      <w:r w:rsidR="00666790">
        <w:rPr>
          <w:rFonts w:cstheme="minorHAnsi"/>
        </w:rPr>
        <w:t>-</w:t>
      </w:r>
      <w:r w:rsidRPr="00666790">
        <w:rPr>
          <w:rFonts w:cstheme="minorHAnsi"/>
        </w:rPr>
        <w:t xml:space="preserve">post performance data in </w:t>
      </w:r>
      <w:r w:rsidR="00666790">
        <w:rPr>
          <w:rFonts w:cstheme="minorHAnsi"/>
        </w:rPr>
        <w:t xml:space="preserve">assessing </w:t>
      </w:r>
      <w:r w:rsidRPr="00666790">
        <w:rPr>
          <w:rFonts w:cstheme="minorHAnsi"/>
        </w:rPr>
        <w:t>providers,</w:t>
      </w:r>
      <w:r w:rsidR="00666790">
        <w:rPr>
          <w:rFonts w:cstheme="minorHAnsi"/>
        </w:rPr>
        <w:t xml:space="preserve"> and</w:t>
      </w:r>
      <w:r w:rsidRPr="00666790">
        <w:rPr>
          <w:rFonts w:cstheme="minorHAnsi"/>
        </w:rPr>
        <w:t xml:space="preserve"> reducing the incidence of creaming. </w:t>
      </w:r>
      <w:r w:rsidR="007F7898" w:rsidRPr="00666790">
        <w:rPr>
          <w:rFonts w:cstheme="minorHAnsi"/>
        </w:rPr>
        <w:t xml:space="preserve">The benchmarking models were assessed against these advantages </w:t>
      </w:r>
      <w:r w:rsidR="00666790">
        <w:rPr>
          <w:rFonts w:cstheme="minorHAnsi"/>
        </w:rPr>
        <w:t xml:space="preserve">within the public policy paradigm </w:t>
      </w:r>
      <w:r w:rsidR="007F7898" w:rsidRPr="00666790">
        <w:rPr>
          <w:rFonts w:cstheme="minorHAnsi"/>
        </w:rPr>
        <w:t xml:space="preserve">and the evidence indicated that </w:t>
      </w:r>
      <w:r w:rsidR="00666790">
        <w:rPr>
          <w:rFonts w:cstheme="minorHAnsi"/>
        </w:rPr>
        <w:t xml:space="preserve">does not </w:t>
      </w:r>
      <w:r w:rsidR="007F7898" w:rsidRPr="00666790">
        <w:rPr>
          <w:rFonts w:cstheme="minorHAnsi"/>
        </w:rPr>
        <w:t xml:space="preserve">offer the same benefits. However, </w:t>
      </w:r>
      <w:r w:rsidR="00666790">
        <w:rPr>
          <w:rFonts w:cstheme="minorHAnsi"/>
        </w:rPr>
        <w:t xml:space="preserve">there is a view among some </w:t>
      </w:r>
      <w:r w:rsidR="007F7898" w:rsidRPr="00666790">
        <w:rPr>
          <w:rFonts w:cstheme="minorHAnsi"/>
        </w:rPr>
        <w:t xml:space="preserve">stakeholders that the </w:t>
      </w:r>
      <w:r w:rsidR="00146DD7">
        <w:rPr>
          <w:rFonts w:cstheme="minorHAnsi"/>
        </w:rPr>
        <w:t>Star </w:t>
      </w:r>
      <w:r w:rsidR="007957F5" w:rsidRPr="00666790">
        <w:rPr>
          <w:rFonts w:cstheme="minorHAnsi"/>
        </w:rPr>
        <w:t>Rating</w:t>
      </w:r>
      <w:r w:rsidR="007F7898" w:rsidRPr="00666790">
        <w:rPr>
          <w:rFonts w:cstheme="minorHAnsi"/>
        </w:rPr>
        <w:t xml:space="preserve">s model also has disadvantages that benchmarking models can overcome. This section examines the disadvantages of the </w:t>
      </w:r>
      <w:r w:rsidR="007957F5" w:rsidRPr="00666790">
        <w:rPr>
          <w:rFonts w:cstheme="minorHAnsi"/>
        </w:rPr>
        <w:t>Star Rating</w:t>
      </w:r>
      <w:r w:rsidR="007F7898" w:rsidRPr="00666790">
        <w:rPr>
          <w:rFonts w:cstheme="minorHAnsi"/>
        </w:rPr>
        <w:t xml:space="preserve">s model raised by stakeholders and analyses whether benchmarking models offer a solution to these </w:t>
      </w:r>
      <w:r w:rsidR="00666790">
        <w:rPr>
          <w:rFonts w:cstheme="minorHAnsi"/>
        </w:rPr>
        <w:t>concerns</w:t>
      </w:r>
      <w:r w:rsidR="007F7898" w:rsidRPr="00666790">
        <w:rPr>
          <w:rFonts w:cstheme="minorHAnsi"/>
        </w:rPr>
        <w:t xml:space="preserve">. </w:t>
      </w:r>
    </w:p>
    <w:p w14:paraId="78E87465" w14:textId="77777777" w:rsidR="00447DCC" w:rsidRPr="00666790" w:rsidRDefault="00447DCC" w:rsidP="00666790">
      <w:pPr>
        <w:autoSpaceDE w:val="0"/>
        <w:autoSpaceDN w:val="0"/>
        <w:adjustRightInd w:val="0"/>
        <w:spacing w:after="0" w:line="240" w:lineRule="auto"/>
        <w:rPr>
          <w:rFonts w:cstheme="minorHAnsi"/>
        </w:rPr>
      </w:pPr>
    </w:p>
    <w:p w14:paraId="08C6477F" w14:textId="77777777" w:rsidR="00CC25B5" w:rsidRPr="00666790" w:rsidRDefault="009E447D" w:rsidP="00666790">
      <w:pPr>
        <w:autoSpaceDE w:val="0"/>
        <w:autoSpaceDN w:val="0"/>
        <w:adjustRightInd w:val="0"/>
        <w:spacing w:after="120" w:line="240" w:lineRule="auto"/>
        <w:rPr>
          <w:rFonts w:cstheme="minorHAnsi"/>
        </w:rPr>
      </w:pPr>
      <w:r w:rsidRPr="00666790">
        <w:rPr>
          <w:rFonts w:cstheme="minorHAnsi"/>
        </w:rPr>
        <w:t xml:space="preserve">The following lists a number of challenges </w:t>
      </w:r>
      <w:r w:rsidR="00AF0073" w:rsidRPr="00666790">
        <w:rPr>
          <w:rFonts w:cstheme="minorHAnsi"/>
        </w:rPr>
        <w:t xml:space="preserve">stakeholders </w:t>
      </w:r>
      <w:r w:rsidR="00666790">
        <w:rPr>
          <w:rFonts w:cstheme="minorHAnsi"/>
        </w:rPr>
        <w:t xml:space="preserve">believe </w:t>
      </w:r>
      <w:r w:rsidRPr="00666790">
        <w:rPr>
          <w:rFonts w:cstheme="minorHAnsi"/>
        </w:rPr>
        <w:t xml:space="preserve">the </w:t>
      </w:r>
      <w:r w:rsidR="007957F5" w:rsidRPr="00666790">
        <w:rPr>
          <w:rFonts w:cstheme="minorHAnsi"/>
        </w:rPr>
        <w:t>Star Rating</w:t>
      </w:r>
      <w:r w:rsidRPr="00666790">
        <w:rPr>
          <w:rFonts w:cstheme="minorHAnsi"/>
        </w:rPr>
        <w:t xml:space="preserve">s model poses and examines if benchmarks present a solution. </w:t>
      </w:r>
      <w:r w:rsidR="005D3AE9" w:rsidRPr="00666790">
        <w:rPr>
          <w:rFonts w:cstheme="minorHAnsi"/>
        </w:rPr>
        <w:t>These issues include:</w:t>
      </w:r>
    </w:p>
    <w:p w14:paraId="39B18FE7" w14:textId="77777777" w:rsidR="005D3AE9" w:rsidRPr="00666790" w:rsidRDefault="005D3AE9" w:rsidP="00666790">
      <w:pPr>
        <w:pStyle w:val="ListParagraph"/>
        <w:numPr>
          <w:ilvl w:val="0"/>
          <w:numId w:val="26"/>
        </w:numPr>
        <w:spacing w:after="0" w:line="240" w:lineRule="auto"/>
        <w:ind w:left="714" w:hanging="357"/>
        <w:contextualSpacing w:val="0"/>
        <w:rPr>
          <w:rFonts w:eastAsia="Times New Roman" w:cstheme="minorHAnsi"/>
        </w:rPr>
      </w:pPr>
      <w:r w:rsidRPr="00666790">
        <w:rPr>
          <w:rFonts w:eastAsia="Times New Roman" w:cstheme="minorHAnsi"/>
        </w:rPr>
        <w:t>Providers do not have certainty over expected performance levels;</w:t>
      </w:r>
    </w:p>
    <w:p w14:paraId="6BEA76AB" w14:textId="4A9A4E11" w:rsidR="005D3AE9" w:rsidRPr="00666790" w:rsidRDefault="005D3AE9" w:rsidP="00666790">
      <w:pPr>
        <w:pStyle w:val="ListParagraph"/>
        <w:numPr>
          <w:ilvl w:val="0"/>
          <w:numId w:val="26"/>
        </w:numPr>
        <w:spacing w:after="0" w:line="240" w:lineRule="auto"/>
        <w:ind w:left="714" w:hanging="357"/>
        <w:contextualSpacing w:val="0"/>
        <w:rPr>
          <w:rFonts w:eastAsia="Times New Roman" w:cstheme="minorHAnsi"/>
        </w:rPr>
      </w:pPr>
      <w:r w:rsidRPr="00666790">
        <w:rPr>
          <w:rFonts w:eastAsia="Times New Roman" w:cstheme="minorHAnsi"/>
        </w:rPr>
        <w:t>Lack of transparency over the calculations used to assess provider performance</w:t>
      </w:r>
      <w:r w:rsidR="00146DD7">
        <w:rPr>
          <w:rFonts w:eastAsia="Times New Roman" w:cstheme="minorHAnsi"/>
        </w:rPr>
        <w:t>;</w:t>
      </w:r>
    </w:p>
    <w:p w14:paraId="1CD77197" w14:textId="754E474B" w:rsidR="005D3AE9" w:rsidRPr="00666790" w:rsidRDefault="005D3AE9" w:rsidP="00666790">
      <w:pPr>
        <w:pStyle w:val="ListParagraph"/>
        <w:numPr>
          <w:ilvl w:val="0"/>
          <w:numId w:val="26"/>
        </w:numPr>
        <w:spacing w:after="0" w:line="240" w:lineRule="auto"/>
        <w:ind w:left="714" w:hanging="357"/>
        <w:contextualSpacing w:val="0"/>
        <w:rPr>
          <w:rFonts w:eastAsia="Times New Roman" w:cstheme="minorHAnsi"/>
        </w:rPr>
      </w:pPr>
      <w:r w:rsidRPr="00666790">
        <w:rPr>
          <w:rFonts w:eastAsia="Times New Roman" w:cstheme="minorHAnsi"/>
        </w:rPr>
        <w:t>Regression models are subject to measurement error</w:t>
      </w:r>
      <w:r w:rsidR="00146DD7">
        <w:rPr>
          <w:rFonts w:eastAsia="Times New Roman" w:cstheme="minorHAnsi"/>
        </w:rPr>
        <w:t>;</w:t>
      </w:r>
    </w:p>
    <w:p w14:paraId="102D5DE3" w14:textId="4BFB1811" w:rsidR="005D3AE9" w:rsidRPr="00666790" w:rsidRDefault="005D3AE9" w:rsidP="00666790">
      <w:pPr>
        <w:pStyle w:val="ListParagraph"/>
        <w:numPr>
          <w:ilvl w:val="0"/>
          <w:numId w:val="26"/>
        </w:numPr>
        <w:spacing w:after="0" w:line="240" w:lineRule="auto"/>
        <w:ind w:left="714" w:hanging="357"/>
        <w:contextualSpacing w:val="0"/>
        <w:rPr>
          <w:rFonts w:eastAsia="Times New Roman" w:cstheme="minorHAnsi"/>
        </w:rPr>
      </w:pPr>
      <w:r w:rsidRPr="00666790">
        <w:rPr>
          <w:rFonts w:eastAsia="Times New Roman" w:cstheme="minorHAnsi"/>
        </w:rPr>
        <w:t>Adjustments for economic conditions does not</w:t>
      </w:r>
      <w:r w:rsidR="00146DD7">
        <w:rPr>
          <w:rFonts w:eastAsia="Times New Roman" w:cstheme="minorHAnsi"/>
        </w:rPr>
        <w:t xml:space="preserve"> provide for equity in outcomes;</w:t>
      </w:r>
    </w:p>
    <w:p w14:paraId="37779180" w14:textId="41C6E245" w:rsidR="005D3AE9" w:rsidRPr="00666790" w:rsidRDefault="005D3AE9" w:rsidP="00666790">
      <w:pPr>
        <w:pStyle w:val="ListParagraph"/>
        <w:numPr>
          <w:ilvl w:val="0"/>
          <w:numId w:val="26"/>
        </w:numPr>
        <w:spacing w:after="0" w:line="240" w:lineRule="auto"/>
        <w:ind w:left="714" w:hanging="357"/>
        <w:contextualSpacing w:val="0"/>
        <w:rPr>
          <w:rFonts w:eastAsia="Times New Roman" w:cstheme="minorHAnsi"/>
        </w:rPr>
      </w:pPr>
      <w:r w:rsidRPr="00666790">
        <w:rPr>
          <w:rFonts w:eastAsia="Times New Roman" w:cstheme="minorHAnsi"/>
        </w:rPr>
        <w:t>A high rating is not indicative of high quality of</w:t>
      </w:r>
      <w:r w:rsidR="00146DD7">
        <w:rPr>
          <w:rFonts w:eastAsia="Times New Roman" w:cstheme="minorHAnsi"/>
        </w:rPr>
        <w:t xml:space="preserve"> service;</w:t>
      </w:r>
    </w:p>
    <w:p w14:paraId="0115B2A5" w14:textId="27C47BC8" w:rsidR="005D3AE9" w:rsidRPr="00666790" w:rsidRDefault="005D3AE9" w:rsidP="00666790">
      <w:pPr>
        <w:pStyle w:val="ListParagraph"/>
        <w:numPr>
          <w:ilvl w:val="0"/>
          <w:numId w:val="26"/>
        </w:numPr>
        <w:spacing w:after="0" w:line="240" w:lineRule="auto"/>
        <w:ind w:left="714" w:hanging="357"/>
        <w:contextualSpacing w:val="0"/>
        <w:rPr>
          <w:rFonts w:eastAsia="Times New Roman" w:cstheme="minorHAnsi"/>
        </w:rPr>
      </w:pPr>
      <w:r w:rsidRPr="00666790">
        <w:rPr>
          <w:rFonts w:eastAsia="Times New Roman" w:cstheme="minorHAnsi"/>
        </w:rPr>
        <w:t>Does not promote continuous improvement in performance</w:t>
      </w:r>
      <w:r w:rsidR="00146DD7">
        <w:rPr>
          <w:rFonts w:eastAsia="Times New Roman" w:cstheme="minorHAnsi"/>
        </w:rPr>
        <w:t>;</w:t>
      </w:r>
    </w:p>
    <w:p w14:paraId="387320EF" w14:textId="7931CB19" w:rsidR="005D3AE9" w:rsidRPr="00666790" w:rsidRDefault="005D3AE9" w:rsidP="00666790">
      <w:pPr>
        <w:pStyle w:val="ListParagraph"/>
        <w:numPr>
          <w:ilvl w:val="0"/>
          <w:numId w:val="26"/>
        </w:numPr>
        <w:spacing w:after="0" w:line="240" w:lineRule="auto"/>
        <w:ind w:left="714" w:hanging="357"/>
        <w:contextualSpacing w:val="0"/>
        <w:rPr>
          <w:rFonts w:eastAsia="Times New Roman" w:cstheme="minorHAnsi"/>
        </w:rPr>
      </w:pPr>
      <w:r w:rsidRPr="00666790">
        <w:rPr>
          <w:rFonts w:eastAsia="Times New Roman" w:cstheme="minorHAnsi"/>
        </w:rPr>
        <w:t>For one provider to ‘succeed’ another must ‘fail’, creating competition leading to opportunistic behaviour and risk selection</w:t>
      </w:r>
      <w:r w:rsidR="00146DD7">
        <w:rPr>
          <w:rFonts w:eastAsia="Times New Roman" w:cstheme="minorHAnsi"/>
        </w:rPr>
        <w:t>; and</w:t>
      </w:r>
    </w:p>
    <w:p w14:paraId="33C3451F" w14:textId="77777777" w:rsidR="005D3AE9" w:rsidRPr="00666790" w:rsidRDefault="005D3AE9" w:rsidP="00666790">
      <w:pPr>
        <w:pStyle w:val="ListParagraph"/>
        <w:numPr>
          <w:ilvl w:val="0"/>
          <w:numId w:val="26"/>
        </w:numPr>
        <w:spacing w:after="0" w:line="240" w:lineRule="auto"/>
        <w:ind w:left="714" w:hanging="357"/>
        <w:contextualSpacing w:val="0"/>
        <w:rPr>
          <w:rFonts w:eastAsia="Times New Roman" w:cstheme="minorHAnsi"/>
        </w:rPr>
      </w:pPr>
      <w:r w:rsidRPr="00666790">
        <w:rPr>
          <w:rFonts w:eastAsia="Times New Roman" w:cstheme="minorHAnsi"/>
        </w:rPr>
        <w:t>Reduced scope for collaboration and cooperation among providers.</w:t>
      </w:r>
    </w:p>
    <w:p w14:paraId="653F8276" w14:textId="77777777" w:rsidR="003E2C2B" w:rsidRPr="00AE3BED" w:rsidRDefault="003E2C2B" w:rsidP="00AE3BED">
      <w:pPr>
        <w:pStyle w:val="Heading2"/>
        <w:keepNext/>
        <w:numPr>
          <w:ilvl w:val="1"/>
          <w:numId w:val="16"/>
        </w:numPr>
        <w:spacing w:before="240" w:beforeAutospacing="0" w:after="240" w:afterAutospacing="0"/>
        <w:ind w:left="0" w:firstLine="0"/>
        <w:rPr>
          <w:rFonts w:ascii="Calibri" w:hAnsi="Calibri" w:cs="Arial"/>
          <w:i/>
          <w:iCs/>
          <w:sz w:val="28"/>
          <w:szCs w:val="28"/>
        </w:rPr>
      </w:pPr>
      <w:bookmarkStart w:id="27" w:name="_Toc365872646"/>
      <w:r w:rsidRPr="00AE3BED">
        <w:rPr>
          <w:rFonts w:ascii="Calibri" w:hAnsi="Calibri" w:cs="Arial"/>
          <w:i/>
          <w:iCs/>
          <w:sz w:val="28"/>
          <w:szCs w:val="28"/>
        </w:rPr>
        <w:t>Certainty of performance</w:t>
      </w:r>
      <w:bookmarkEnd w:id="27"/>
    </w:p>
    <w:p w14:paraId="507CDEA7" w14:textId="504448EB" w:rsidR="003E2C2B" w:rsidRPr="00666790" w:rsidRDefault="004A45C2" w:rsidP="00666790">
      <w:pPr>
        <w:autoSpaceDE w:val="0"/>
        <w:autoSpaceDN w:val="0"/>
        <w:adjustRightInd w:val="0"/>
        <w:spacing w:after="0" w:line="240" w:lineRule="auto"/>
        <w:rPr>
          <w:rFonts w:cstheme="minorHAnsi"/>
        </w:rPr>
      </w:pPr>
      <w:r w:rsidRPr="00666790">
        <w:rPr>
          <w:rFonts w:cstheme="minorHAnsi"/>
        </w:rPr>
        <w:t xml:space="preserve">Under a benchmark model, the </w:t>
      </w:r>
      <w:r w:rsidR="00666790" w:rsidRPr="00666790">
        <w:rPr>
          <w:rFonts w:cstheme="minorHAnsi"/>
        </w:rPr>
        <w:t>d</w:t>
      </w:r>
      <w:r w:rsidRPr="00666790">
        <w:rPr>
          <w:rFonts w:cstheme="minorHAnsi"/>
        </w:rPr>
        <w:t xml:space="preserve">epartment would relieve providers of the risks involved in forecasting future </w:t>
      </w:r>
      <w:r w:rsidR="005729EB" w:rsidRPr="00666790">
        <w:rPr>
          <w:rFonts w:cstheme="minorHAnsi"/>
        </w:rPr>
        <w:t>expected</w:t>
      </w:r>
      <w:r w:rsidRPr="00666790">
        <w:rPr>
          <w:rFonts w:cstheme="minorHAnsi"/>
        </w:rPr>
        <w:t xml:space="preserve"> performance standards, by providing certainty to providers about the level of performance </w:t>
      </w:r>
      <w:r w:rsidR="00245B50" w:rsidRPr="00666790">
        <w:rPr>
          <w:rFonts w:cstheme="minorHAnsi"/>
        </w:rPr>
        <w:t>they are required to achieve</w:t>
      </w:r>
      <w:r w:rsidRPr="00666790">
        <w:rPr>
          <w:rFonts w:cstheme="minorHAnsi"/>
        </w:rPr>
        <w:t>. This is in contrast to</w:t>
      </w:r>
      <w:r w:rsidR="003A2A23" w:rsidRPr="00666790">
        <w:rPr>
          <w:rFonts w:cstheme="minorHAnsi"/>
        </w:rPr>
        <w:t xml:space="preserve"> the</w:t>
      </w:r>
      <w:r w:rsidRPr="00666790">
        <w:rPr>
          <w:rFonts w:cstheme="minorHAnsi"/>
        </w:rPr>
        <w:t xml:space="preserve"> </w:t>
      </w:r>
      <w:r w:rsidR="007957F5" w:rsidRPr="00666790">
        <w:rPr>
          <w:rFonts w:cstheme="minorHAnsi"/>
        </w:rPr>
        <w:t>Star Rating</w:t>
      </w:r>
      <w:r w:rsidR="00712F2B" w:rsidRPr="00666790">
        <w:rPr>
          <w:rFonts w:cstheme="minorHAnsi"/>
        </w:rPr>
        <w:t>s</w:t>
      </w:r>
      <w:r w:rsidR="003E2C2B" w:rsidRPr="00666790">
        <w:rPr>
          <w:rFonts w:cstheme="minorHAnsi"/>
        </w:rPr>
        <w:t xml:space="preserve"> </w:t>
      </w:r>
      <w:r w:rsidRPr="00666790">
        <w:rPr>
          <w:rFonts w:cstheme="minorHAnsi"/>
        </w:rPr>
        <w:t>model</w:t>
      </w:r>
      <w:r w:rsidR="003E2C2B" w:rsidRPr="00666790">
        <w:rPr>
          <w:rFonts w:cstheme="minorHAnsi"/>
        </w:rPr>
        <w:t xml:space="preserve"> because </w:t>
      </w:r>
      <w:r w:rsidRPr="00666790">
        <w:rPr>
          <w:rFonts w:cstheme="minorHAnsi"/>
        </w:rPr>
        <w:t xml:space="preserve">as </w:t>
      </w:r>
      <w:r w:rsidR="003E2C2B" w:rsidRPr="00666790">
        <w:rPr>
          <w:rFonts w:cstheme="minorHAnsi"/>
        </w:rPr>
        <w:t>it is a relative model, it cannot provide an expected performance that the provider needs to achieve. It is not possible to provide this information in a simple form as the stars are based on the ratio between predicted</w:t>
      </w:r>
      <w:r w:rsidR="00146DD7">
        <w:rPr>
          <w:rFonts w:cstheme="minorHAnsi"/>
        </w:rPr>
        <w:t xml:space="preserve"> (i.e. expected)</w:t>
      </w:r>
      <w:r w:rsidR="003E2C2B" w:rsidRPr="00666790">
        <w:rPr>
          <w:rFonts w:cstheme="minorHAnsi"/>
        </w:rPr>
        <w:t xml:space="preserve"> and actual performance.</w:t>
      </w:r>
      <w:r w:rsidR="00146DD7">
        <w:rPr>
          <w:rFonts w:cstheme="minorHAnsi"/>
        </w:rPr>
        <w:t xml:space="preserve"> If a provider performed 20 per </w:t>
      </w:r>
      <w:r w:rsidR="003E2C2B" w:rsidRPr="00666790">
        <w:rPr>
          <w:rFonts w:cstheme="minorHAnsi"/>
        </w:rPr>
        <w:t>cent better than predicted then they would have an actual to predicted ratio of 1.2.</w:t>
      </w:r>
      <w:r w:rsidR="003E2C2B" w:rsidRPr="00666790">
        <w:rPr>
          <w:rFonts w:cstheme="minorHAnsi"/>
          <w:vertAlign w:val="superscript"/>
        </w:rPr>
        <w:footnoteReference w:id="9"/>
      </w:r>
      <w:r w:rsidR="00666790">
        <w:rPr>
          <w:rFonts w:cstheme="minorHAnsi"/>
        </w:rPr>
        <w:t xml:space="preserve"> </w:t>
      </w:r>
      <w:r w:rsidR="003E2C2B" w:rsidRPr="00666790">
        <w:rPr>
          <w:rFonts w:cstheme="minorHAnsi"/>
        </w:rPr>
        <w:t>So, to take a simple example, if a provider was predicted to have an outcome rate of 20</w:t>
      </w:r>
      <w:r w:rsidR="00666790">
        <w:rPr>
          <w:rFonts w:cstheme="minorHAnsi"/>
        </w:rPr>
        <w:t xml:space="preserve"> </w:t>
      </w:r>
      <w:r w:rsidR="00DB7CB2" w:rsidRPr="00666790">
        <w:rPr>
          <w:rFonts w:cstheme="minorHAnsi"/>
        </w:rPr>
        <w:t>per cent</w:t>
      </w:r>
      <w:r w:rsidR="003E2C2B" w:rsidRPr="00666790">
        <w:rPr>
          <w:rFonts w:cstheme="minorHAnsi"/>
        </w:rPr>
        <w:t xml:space="preserve"> and they had an actual outcome rate of 24</w:t>
      </w:r>
      <w:r w:rsidR="00666790">
        <w:rPr>
          <w:rFonts w:cstheme="minorHAnsi"/>
        </w:rPr>
        <w:t xml:space="preserve"> </w:t>
      </w:r>
      <w:r w:rsidR="00DB7CB2" w:rsidRPr="00666790">
        <w:rPr>
          <w:rFonts w:cstheme="minorHAnsi"/>
        </w:rPr>
        <w:t>per cent</w:t>
      </w:r>
      <w:r w:rsidR="003E2C2B" w:rsidRPr="00666790">
        <w:rPr>
          <w:rFonts w:cstheme="minorHAnsi"/>
        </w:rPr>
        <w:t xml:space="preserve"> their ratio would be 1.2 (24</w:t>
      </w:r>
      <w:r w:rsidR="00666790">
        <w:rPr>
          <w:rFonts w:cstheme="minorHAnsi"/>
        </w:rPr>
        <w:t xml:space="preserve"> </w:t>
      </w:r>
      <w:r w:rsidR="00DB7CB2" w:rsidRPr="00666790">
        <w:rPr>
          <w:rFonts w:cstheme="minorHAnsi"/>
        </w:rPr>
        <w:t>per cent</w:t>
      </w:r>
      <w:r w:rsidR="003E2C2B" w:rsidRPr="00666790">
        <w:rPr>
          <w:rFonts w:cstheme="minorHAnsi"/>
        </w:rPr>
        <w:t>/20</w:t>
      </w:r>
      <w:r w:rsidR="00666790">
        <w:rPr>
          <w:rFonts w:cstheme="minorHAnsi"/>
        </w:rPr>
        <w:t xml:space="preserve"> </w:t>
      </w:r>
      <w:r w:rsidR="00DB7CB2" w:rsidRPr="00666790">
        <w:rPr>
          <w:rFonts w:cstheme="minorHAnsi"/>
        </w:rPr>
        <w:t>per cent</w:t>
      </w:r>
      <w:r w:rsidR="003E2C2B" w:rsidRPr="00666790">
        <w:rPr>
          <w:rFonts w:cstheme="minorHAnsi"/>
        </w:rPr>
        <w:t xml:space="preserve">) for that specific indicator. One issue is that the predicted value is not known in advance because </w:t>
      </w:r>
      <w:r w:rsidR="00146DD7">
        <w:rPr>
          <w:rFonts w:cstheme="minorHAnsi"/>
        </w:rPr>
        <w:t>participant and local</w:t>
      </w:r>
      <w:r w:rsidR="003E2C2B" w:rsidRPr="00666790">
        <w:rPr>
          <w:rFonts w:cstheme="minorHAnsi"/>
        </w:rPr>
        <w:t xml:space="preserve"> labour market characteristics are not known prior to the period. </w:t>
      </w:r>
      <w:r w:rsidR="00760F8C" w:rsidRPr="00666790">
        <w:rPr>
          <w:rFonts w:cstheme="minorHAnsi"/>
        </w:rPr>
        <w:t xml:space="preserve">In a survey of specialist JSA providers, </w:t>
      </w:r>
      <w:r w:rsidR="00760F8C" w:rsidRPr="00146DD7">
        <w:rPr>
          <w:rFonts w:cstheme="minorHAnsi"/>
        </w:rPr>
        <w:t>Flentje, Cull and Giuliani (2010)</w:t>
      </w:r>
      <w:r w:rsidR="00760F8C" w:rsidRPr="00666790">
        <w:rPr>
          <w:rFonts w:cstheme="minorHAnsi"/>
        </w:rPr>
        <w:t xml:space="preserve"> found that the key challenge providers</w:t>
      </w:r>
      <w:r w:rsidR="003E2C2B" w:rsidRPr="00666790">
        <w:rPr>
          <w:rFonts w:cstheme="minorHAnsi"/>
        </w:rPr>
        <w:t xml:space="preserve"> highlighted was the disconnect between the performance data that providers are able to access through the </w:t>
      </w:r>
      <w:r w:rsidR="00FB1A1F" w:rsidRPr="00666790">
        <w:rPr>
          <w:rFonts w:cstheme="minorHAnsi"/>
        </w:rPr>
        <w:t>ESS</w:t>
      </w:r>
      <w:r w:rsidR="003E2C2B" w:rsidRPr="00666790">
        <w:rPr>
          <w:rFonts w:cstheme="minorHAnsi"/>
        </w:rPr>
        <w:t xml:space="preserve"> and the </w:t>
      </w:r>
      <w:r w:rsidR="007957F5" w:rsidRPr="00666790">
        <w:rPr>
          <w:rFonts w:cstheme="minorHAnsi"/>
        </w:rPr>
        <w:t>Star Rating</w:t>
      </w:r>
      <w:r w:rsidR="003E2C2B" w:rsidRPr="00666790">
        <w:rPr>
          <w:rFonts w:cstheme="minorHAnsi"/>
        </w:rPr>
        <w:t xml:space="preserve">s that they receive once the </w:t>
      </w:r>
      <w:r w:rsidR="007B07D4">
        <w:rPr>
          <w:rFonts w:cstheme="minorHAnsi"/>
        </w:rPr>
        <w:t>d</w:t>
      </w:r>
      <w:r w:rsidR="003E2C2B" w:rsidRPr="00666790">
        <w:rPr>
          <w:rFonts w:cstheme="minorHAnsi"/>
        </w:rPr>
        <w:t xml:space="preserve">epartment has applied the regression model. This disconnect between performance data and the stars makes it difficult for providers to work towards improving their </w:t>
      </w:r>
      <w:r w:rsidR="007957F5" w:rsidRPr="00666790">
        <w:rPr>
          <w:rFonts w:cstheme="minorHAnsi"/>
        </w:rPr>
        <w:t>Star Rating</w:t>
      </w:r>
      <w:r w:rsidR="003E2C2B" w:rsidRPr="00666790">
        <w:rPr>
          <w:rFonts w:cstheme="minorHAnsi"/>
        </w:rPr>
        <w:t>.</w:t>
      </w:r>
    </w:p>
    <w:p w14:paraId="61769B2F" w14:textId="77777777" w:rsidR="003E2C2B" w:rsidRPr="00666790" w:rsidRDefault="003E2C2B" w:rsidP="00666790">
      <w:pPr>
        <w:autoSpaceDE w:val="0"/>
        <w:autoSpaceDN w:val="0"/>
        <w:adjustRightInd w:val="0"/>
        <w:spacing w:after="0" w:line="240" w:lineRule="auto"/>
        <w:rPr>
          <w:rFonts w:cstheme="minorHAnsi"/>
        </w:rPr>
      </w:pPr>
    </w:p>
    <w:p w14:paraId="1E2C5735" w14:textId="77777777" w:rsidR="003E2C2B" w:rsidRPr="00666790" w:rsidRDefault="003E2C2B" w:rsidP="00666790">
      <w:pPr>
        <w:autoSpaceDE w:val="0"/>
        <w:autoSpaceDN w:val="0"/>
        <w:adjustRightInd w:val="0"/>
        <w:spacing w:after="120" w:line="240" w:lineRule="auto"/>
        <w:rPr>
          <w:rFonts w:cstheme="minorHAnsi"/>
        </w:rPr>
      </w:pPr>
      <w:r w:rsidRPr="00666790">
        <w:rPr>
          <w:rFonts w:cstheme="minorHAnsi"/>
        </w:rPr>
        <w:t>They quote a provider stating that:</w:t>
      </w:r>
    </w:p>
    <w:p w14:paraId="261A4CC5" w14:textId="706EA3FE" w:rsidR="003E2C2B" w:rsidRPr="00666790" w:rsidRDefault="003E2C2B" w:rsidP="00666790">
      <w:pPr>
        <w:autoSpaceDE w:val="0"/>
        <w:autoSpaceDN w:val="0"/>
        <w:adjustRightInd w:val="0"/>
        <w:spacing w:after="0" w:line="240" w:lineRule="auto"/>
        <w:ind w:left="567"/>
        <w:rPr>
          <w:rFonts w:cstheme="minorHAnsi"/>
        </w:rPr>
      </w:pPr>
      <w:r w:rsidRPr="00666790">
        <w:rPr>
          <w:rFonts w:cstheme="minorHAnsi"/>
        </w:rPr>
        <w:t xml:space="preserve">‘The fundamental challenge is that we have various measures for assessing performance, including outcome rates and percentile scores </w:t>
      </w:r>
      <w:r w:rsidR="00FD437C" w:rsidRPr="00666790">
        <w:rPr>
          <w:rFonts w:cstheme="minorHAnsi"/>
        </w:rPr>
        <w:t>etc.</w:t>
      </w:r>
      <w:r w:rsidRPr="00666790">
        <w:rPr>
          <w:rFonts w:cstheme="minorHAnsi"/>
        </w:rPr>
        <w:t xml:space="preserve"> as given in the ESS performance reports but the </w:t>
      </w:r>
      <w:r w:rsidR="007957F5" w:rsidRPr="00666790">
        <w:rPr>
          <w:rFonts w:cstheme="minorHAnsi"/>
        </w:rPr>
        <w:t>Star Rating</w:t>
      </w:r>
      <w:r w:rsidRPr="00666790">
        <w:rPr>
          <w:rFonts w:cstheme="minorHAnsi"/>
        </w:rPr>
        <w:t xml:space="preserve">s which we eventually receive following the application of the ‘regression model’ will often bare little resemblance to these scores! We regularly have a situation </w:t>
      </w:r>
      <w:r w:rsidRPr="00666790">
        <w:rPr>
          <w:rFonts w:cstheme="minorHAnsi"/>
        </w:rPr>
        <w:lastRenderedPageBreak/>
        <w:t xml:space="preserve">whereby performance appears to have improved or declined using the pre-regression model data, only to find that the </w:t>
      </w:r>
      <w:r w:rsidR="007957F5" w:rsidRPr="00666790">
        <w:rPr>
          <w:rFonts w:cstheme="minorHAnsi"/>
        </w:rPr>
        <w:t>Star Rating</w:t>
      </w:r>
      <w:r w:rsidRPr="00666790">
        <w:rPr>
          <w:rFonts w:cstheme="minorHAnsi"/>
        </w:rPr>
        <w:t xml:space="preserve"> moves in the opposite direction!’</w:t>
      </w:r>
    </w:p>
    <w:p w14:paraId="59FFE41A" w14:textId="77777777" w:rsidR="003E2C2B" w:rsidRPr="00666790" w:rsidRDefault="003E2C2B" w:rsidP="00666790">
      <w:pPr>
        <w:autoSpaceDE w:val="0"/>
        <w:autoSpaceDN w:val="0"/>
        <w:adjustRightInd w:val="0"/>
        <w:spacing w:after="0" w:line="240" w:lineRule="auto"/>
        <w:rPr>
          <w:rFonts w:cstheme="minorHAnsi"/>
        </w:rPr>
      </w:pPr>
    </w:p>
    <w:p w14:paraId="48DE9EAC" w14:textId="6011B432" w:rsidR="00EE15CA" w:rsidRPr="00666790" w:rsidRDefault="004A45C2" w:rsidP="00666790">
      <w:pPr>
        <w:pStyle w:val="CommentText"/>
        <w:rPr>
          <w:rFonts w:cstheme="minorHAnsi"/>
          <w:sz w:val="22"/>
          <w:szCs w:val="22"/>
        </w:rPr>
      </w:pPr>
      <w:r w:rsidRPr="00666790">
        <w:rPr>
          <w:rFonts w:cstheme="minorHAnsi"/>
          <w:sz w:val="22"/>
          <w:szCs w:val="22"/>
        </w:rPr>
        <w:t>T</w:t>
      </w:r>
      <w:r w:rsidR="00027114" w:rsidRPr="00666790">
        <w:rPr>
          <w:rFonts w:cstheme="minorHAnsi"/>
          <w:sz w:val="22"/>
          <w:szCs w:val="22"/>
        </w:rPr>
        <w:t>his</w:t>
      </w:r>
      <w:r w:rsidRPr="00666790">
        <w:rPr>
          <w:rFonts w:cstheme="minorHAnsi"/>
          <w:sz w:val="22"/>
          <w:szCs w:val="22"/>
        </w:rPr>
        <w:t xml:space="preserve"> centres </w:t>
      </w:r>
      <w:r w:rsidR="00FF7D93" w:rsidRPr="00666790">
        <w:rPr>
          <w:rFonts w:cstheme="minorHAnsi"/>
          <w:sz w:val="22"/>
          <w:szCs w:val="22"/>
        </w:rPr>
        <w:t>on</w:t>
      </w:r>
      <w:r w:rsidRPr="00666790">
        <w:rPr>
          <w:rFonts w:cstheme="minorHAnsi"/>
          <w:sz w:val="22"/>
          <w:szCs w:val="22"/>
        </w:rPr>
        <w:t xml:space="preserve"> concerns that, as the system currently operates, providers may maintain or even improve their absolute level of measured </w:t>
      </w:r>
      <w:r w:rsidR="005729EB" w:rsidRPr="00666790">
        <w:rPr>
          <w:rFonts w:cstheme="minorHAnsi"/>
          <w:sz w:val="22"/>
          <w:szCs w:val="22"/>
        </w:rPr>
        <w:t xml:space="preserve">performance and have a lower </w:t>
      </w:r>
      <w:r w:rsidR="007957F5" w:rsidRPr="00666790">
        <w:rPr>
          <w:rFonts w:cstheme="minorHAnsi"/>
          <w:sz w:val="22"/>
          <w:szCs w:val="22"/>
        </w:rPr>
        <w:t>Star Rating</w:t>
      </w:r>
      <w:r w:rsidRPr="00666790">
        <w:rPr>
          <w:rFonts w:cstheme="minorHAnsi"/>
          <w:sz w:val="22"/>
          <w:szCs w:val="22"/>
        </w:rPr>
        <w:t>.  Therefore relative performance measures reward providers that improve their absolute performance by more than others</w:t>
      </w:r>
      <w:r w:rsidR="00A710F0" w:rsidRPr="00666790">
        <w:rPr>
          <w:rFonts w:cstheme="minorHAnsi"/>
          <w:sz w:val="22"/>
          <w:szCs w:val="22"/>
        </w:rPr>
        <w:t>.</w:t>
      </w:r>
      <w:r w:rsidRPr="00666790">
        <w:rPr>
          <w:rFonts w:cstheme="minorHAnsi"/>
          <w:sz w:val="22"/>
          <w:szCs w:val="22"/>
        </w:rPr>
        <w:t xml:space="preserve"> </w:t>
      </w:r>
      <w:r w:rsidR="00712F2B" w:rsidRPr="00666790">
        <w:rPr>
          <w:rFonts w:cstheme="minorHAnsi"/>
          <w:sz w:val="22"/>
          <w:szCs w:val="22"/>
        </w:rPr>
        <w:t>Further, a</w:t>
      </w:r>
      <w:r w:rsidR="003E2C2B" w:rsidRPr="00666790">
        <w:rPr>
          <w:rFonts w:cstheme="minorHAnsi"/>
          <w:sz w:val="22"/>
          <w:szCs w:val="22"/>
        </w:rPr>
        <w:t xml:space="preserve"> benchmark would </w:t>
      </w:r>
      <w:r w:rsidRPr="00666790">
        <w:rPr>
          <w:rFonts w:cstheme="minorHAnsi"/>
          <w:sz w:val="22"/>
          <w:szCs w:val="22"/>
        </w:rPr>
        <w:t xml:space="preserve">also </w:t>
      </w:r>
      <w:r w:rsidR="003E2C2B" w:rsidRPr="00666790">
        <w:rPr>
          <w:rFonts w:cstheme="minorHAnsi"/>
          <w:sz w:val="22"/>
          <w:szCs w:val="22"/>
        </w:rPr>
        <w:t>not provide complete certainty.</w:t>
      </w:r>
      <w:r w:rsidR="00EE15CA" w:rsidRPr="00666790">
        <w:rPr>
          <w:rFonts w:cstheme="minorHAnsi"/>
          <w:sz w:val="22"/>
          <w:szCs w:val="22"/>
        </w:rPr>
        <w:t xml:space="preserve"> There are 31 performance measures</w:t>
      </w:r>
      <w:r w:rsidR="003E2C2B" w:rsidRPr="00666790">
        <w:rPr>
          <w:rFonts w:cstheme="minorHAnsi"/>
          <w:sz w:val="22"/>
          <w:szCs w:val="22"/>
        </w:rPr>
        <w:t xml:space="preserve"> </w:t>
      </w:r>
      <w:r w:rsidR="00EE15CA" w:rsidRPr="00666790">
        <w:rPr>
          <w:rFonts w:cstheme="minorHAnsi"/>
          <w:sz w:val="22"/>
          <w:szCs w:val="22"/>
        </w:rPr>
        <w:t xml:space="preserve">for JSA and 10 for DES. </w:t>
      </w:r>
      <w:r w:rsidR="002E376D" w:rsidRPr="00666790">
        <w:rPr>
          <w:rFonts w:cstheme="minorHAnsi"/>
          <w:sz w:val="22"/>
          <w:szCs w:val="22"/>
        </w:rPr>
        <w:t>Providers would be given benchmarks for each performance indicator indicating the level of performance they</w:t>
      </w:r>
      <w:r w:rsidR="00146DD7">
        <w:rPr>
          <w:rFonts w:cstheme="minorHAnsi"/>
          <w:sz w:val="22"/>
          <w:szCs w:val="22"/>
        </w:rPr>
        <w:t xml:space="preserve"> need to achieve to receive a 5</w:t>
      </w:r>
      <w:r w:rsidR="00146DD7">
        <w:rPr>
          <w:rFonts w:cstheme="minorHAnsi"/>
          <w:sz w:val="22"/>
          <w:szCs w:val="22"/>
        </w:rPr>
        <w:noBreakHyphen/>
        <w:t>Star </w:t>
      </w:r>
      <w:r w:rsidR="007957F5" w:rsidRPr="00666790">
        <w:rPr>
          <w:rFonts w:cstheme="minorHAnsi"/>
          <w:sz w:val="22"/>
          <w:szCs w:val="22"/>
        </w:rPr>
        <w:t>Rating</w:t>
      </w:r>
      <w:r w:rsidR="002E376D" w:rsidRPr="00666790">
        <w:rPr>
          <w:rFonts w:cstheme="minorHAnsi"/>
          <w:sz w:val="22"/>
          <w:szCs w:val="22"/>
        </w:rPr>
        <w:t>. However, t</w:t>
      </w:r>
      <w:r w:rsidR="00EE15CA" w:rsidRPr="00666790">
        <w:rPr>
          <w:rFonts w:cstheme="minorHAnsi"/>
          <w:sz w:val="22"/>
          <w:szCs w:val="22"/>
        </w:rPr>
        <w:t xml:space="preserve">he interaction of all of these measures will go into determining the final </w:t>
      </w:r>
      <w:r w:rsidR="007957F5" w:rsidRPr="00666790">
        <w:rPr>
          <w:rFonts w:cstheme="minorHAnsi"/>
          <w:sz w:val="22"/>
          <w:szCs w:val="22"/>
        </w:rPr>
        <w:t>Star Rating</w:t>
      </w:r>
      <w:r w:rsidR="00EE15CA" w:rsidRPr="00666790">
        <w:rPr>
          <w:rFonts w:cstheme="minorHAnsi"/>
          <w:sz w:val="22"/>
          <w:szCs w:val="22"/>
        </w:rPr>
        <w:t>.</w:t>
      </w:r>
      <w:r w:rsidR="002E376D" w:rsidRPr="00666790">
        <w:rPr>
          <w:rFonts w:cstheme="minorHAnsi"/>
          <w:sz w:val="22"/>
          <w:szCs w:val="22"/>
        </w:rPr>
        <w:t xml:space="preserve"> </w:t>
      </w:r>
      <w:r w:rsidR="00EE15CA" w:rsidRPr="00666790">
        <w:rPr>
          <w:rFonts w:cstheme="minorHAnsi"/>
          <w:sz w:val="22"/>
          <w:szCs w:val="22"/>
        </w:rPr>
        <w:t>Performance of x on performance measure y does not guarantee a 5-Star because</w:t>
      </w:r>
      <w:r w:rsidR="002E376D" w:rsidRPr="00666790">
        <w:rPr>
          <w:rFonts w:cstheme="minorHAnsi"/>
          <w:sz w:val="22"/>
          <w:szCs w:val="22"/>
        </w:rPr>
        <w:t xml:space="preserve"> it is dependent on the other</w:t>
      </w:r>
      <w:r w:rsidR="00EE15CA" w:rsidRPr="00666790">
        <w:rPr>
          <w:rFonts w:cstheme="minorHAnsi"/>
          <w:sz w:val="22"/>
          <w:szCs w:val="22"/>
        </w:rPr>
        <w:t xml:space="preserve"> performance measures.</w:t>
      </w:r>
      <w:r w:rsidR="002E376D" w:rsidRPr="00666790">
        <w:rPr>
          <w:rFonts w:cstheme="minorHAnsi"/>
          <w:sz w:val="22"/>
          <w:szCs w:val="22"/>
        </w:rPr>
        <w:t xml:space="preserve"> </w:t>
      </w:r>
    </w:p>
    <w:p w14:paraId="1F7A1589" w14:textId="4CE2854E" w:rsidR="00081D71" w:rsidRDefault="005C13B0" w:rsidP="00666790">
      <w:pPr>
        <w:autoSpaceDE w:val="0"/>
        <w:autoSpaceDN w:val="0"/>
        <w:adjustRightInd w:val="0"/>
        <w:spacing w:after="0" w:line="240" w:lineRule="auto"/>
        <w:rPr>
          <w:rFonts w:cstheme="minorHAnsi"/>
        </w:rPr>
      </w:pPr>
      <w:r w:rsidRPr="00666790">
        <w:rPr>
          <w:rFonts w:cstheme="minorHAnsi"/>
        </w:rPr>
        <w:t>In addition</w:t>
      </w:r>
      <w:r w:rsidR="00085DD1" w:rsidRPr="00666790">
        <w:rPr>
          <w:rFonts w:cstheme="minorHAnsi"/>
        </w:rPr>
        <w:t xml:space="preserve">, an effective performance </w:t>
      </w:r>
      <w:r w:rsidR="00081D71">
        <w:rPr>
          <w:rFonts w:cstheme="minorHAnsi"/>
        </w:rPr>
        <w:t>management</w:t>
      </w:r>
      <w:r w:rsidR="00085DD1" w:rsidRPr="00666790">
        <w:rPr>
          <w:rFonts w:cstheme="minorHAnsi"/>
        </w:rPr>
        <w:t xml:space="preserve"> system is one where sanctions are placed on poor performing providers. Though benchmarks may provide performance certainty, it reduces the ability of the department to accurately determine which providers are performing unsatisfactorily. </w:t>
      </w:r>
      <w:r w:rsidR="002E376D" w:rsidRPr="00666790">
        <w:rPr>
          <w:rFonts w:cstheme="minorHAnsi"/>
        </w:rPr>
        <w:t xml:space="preserve">This is because it does not </w:t>
      </w:r>
      <w:r w:rsidR="00081D71">
        <w:rPr>
          <w:rFonts w:cstheme="minorHAnsi"/>
        </w:rPr>
        <w:t xml:space="preserve">necessarily </w:t>
      </w:r>
      <w:r w:rsidR="002E376D" w:rsidRPr="00666790">
        <w:rPr>
          <w:rFonts w:cstheme="minorHAnsi"/>
        </w:rPr>
        <w:t xml:space="preserve">accurately take into account differences in participant characteristics and labour market conditions. </w:t>
      </w:r>
      <w:r w:rsidR="00085DD1" w:rsidRPr="00666790">
        <w:rPr>
          <w:rFonts w:cstheme="minorHAnsi"/>
        </w:rPr>
        <w:t xml:space="preserve">This reduces the effect of </w:t>
      </w:r>
      <w:r w:rsidR="00EC01CB" w:rsidRPr="00666790">
        <w:rPr>
          <w:rFonts w:cstheme="minorHAnsi"/>
        </w:rPr>
        <w:t xml:space="preserve">using </w:t>
      </w:r>
      <w:r w:rsidRPr="00666790">
        <w:rPr>
          <w:rFonts w:cstheme="minorHAnsi"/>
        </w:rPr>
        <w:t>business reallocations</w:t>
      </w:r>
      <w:r w:rsidR="00EC01CB" w:rsidRPr="00666790">
        <w:rPr>
          <w:rFonts w:cstheme="minorHAnsi"/>
        </w:rPr>
        <w:t xml:space="preserve"> to improve performance.</w:t>
      </w:r>
    </w:p>
    <w:p w14:paraId="2998F593" w14:textId="77777777" w:rsidR="00081D71" w:rsidRDefault="00081D71" w:rsidP="00666790">
      <w:pPr>
        <w:autoSpaceDE w:val="0"/>
        <w:autoSpaceDN w:val="0"/>
        <w:adjustRightInd w:val="0"/>
        <w:spacing w:after="0" w:line="240" w:lineRule="auto"/>
        <w:rPr>
          <w:rFonts w:cstheme="minorHAnsi"/>
        </w:rPr>
      </w:pPr>
    </w:p>
    <w:p w14:paraId="6C11C2D8" w14:textId="77777777" w:rsidR="00085DD1" w:rsidRPr="00666790" w:rsidRDefault="00085DD1" w:rsidP="00666790">
      <w:pPr>
        <w:autoSpaceDE w:val="0"/>
        <w:autoSpaceDN w:val="0"/>
        <w:adjustRightInd w:val="0"/>
        <w:spacing w:after="0" w:line="240" w:lineRule="auto"/>
        <w:rPr>
          <w:rFonts w:cstheme="minorHAnsi"/>
        </w:rPr>
      </w:pPr>
      <w:r w:rsidRPr="0089376D">
        <w:rPr>
          <w:rFonts w:cstheme="minorHAnsi"/>
        </w:rPr>
        <w:t>B</w:t>
      </w:r>
      <w:r w:rsidR="001D041E" w:rsidRPr="0089376D">
        <w:rPr>
          <w:rFonts w:cstheme="minorHAnsi"/>
        </w:rPr>
        <w:t>esley, Bevan and Burchardi (2009</w:t>
      </w:r>
      <w:r w:rsidRPr="0089376D">
        <w:rPr>
          <w:rFonts w:cstheme="minorHAnsi"/>
        </w:rPr>
        <w:t>)</w:t>
      </w:r>
      <w:r w:rsidRPr="00666790">
        <w:rPr>
          <w:rFonts w:cstheme="minorHAnsi"/>
        </w:rPr>
        <w:t xml:space="preserve"> show that </w:t>
      </w:r>
      <w:r w:rsidR="00EC01CB" w:rsidRPr="00666790">
        <w:rPr>
          <w:rFonts w:cstheme="minorHAnsi"/>
        </w:rPr>
        <w:t xml:space="preserve">in the context of hospitals, the ability to </w:t>
      </w:r>
      <w:r w:rsidR="0089376D">
        <w:rPr>
          <w:rFonts w:cstheme="minorHAnsi"/>
        </w:rPr>
        <w:t>sanction poorly performing providers</w:t>
      </w:r>
      <w:r w:rsidR="00EC01CB" w:rsidRPr="00666790">
        <w:rPr>
          <w:rFonts w:cstheme="minorHAnsi"/>
        </w:rPr>
        <w:t xml:space="preserve"> </w:t>
      </w:r>
      <w:r w:rsidR="0089376D">
        <w:rPr>
          <w:rFonts w:cstheme="minorHAnsi"/>
        </w:rPr>
        <w:t xml:space="preserve">is </w:t>
      </w:r>
      <w:r w:rsidR="00EC01CB" w:rsidRPr="00666790">
        <w:rPr>
          <w:rFonts w:cstheme="minorHAnsi"/>
        </w:rPr>
        <w:t xml:space="preserve">imperative for </w:t>
      </w:r>
      <w:r w:rsidRPr="00666790">
        <w:rPr>
          <w:rFonts w:cstheme="minorHAnsi"/>
        </w:rPr>
        <w:t xml:space="preserve">performance </w:t>
      </w:r>
      <w:r w:rsidR="00081D71">
        <w:rPr>
          <w:rFonts w:cstheme="minorHAnsi"/>
        </w:rPr>
        <w:t>management</w:t>
      </w:r>
      <w:r w:rsidRPr="00666790">
        <w:rPr>
          <w:rFonts w:cstheme="minorHAnsi"/>
        </w:rPr>
        <w:t xml:space="preserve"> to have an impact on improving performance.</w:t>
      </w:r>
      <w:r w:rsidR="00EC01CB" w:rsidRPr="00666790">
        <w:rPr>
          <w:rFonts w:cstheme="minorHAnsi"/>
        </w:rPr>
        <w:t xml:space="preserve"> In 2001, England introduced a ranking system of </w:t>
      </w:r>
      <w:r w:rsidR="002366F4" w:rsidRPr="00666790">
        <w:rPr>
          <w:rFonts w:cstheme="minorHAnsi"/>
        </w:rPr>
        <w:t>performance measurement dominated by targets for waiting times</w:t>
      </w:r>
      <w:r w:rsidR="009D1DB3" w:rsidRPr="00666790">
        <w:rPr>
          <w:rFonts w:cstheme="minorHAnsi"/>
        </w:rPr>
        <w:t xml:space="preserve"> for National Health Service (NHS) trusts</w:t>
      </w:r>
      <w:r w:rsidR="002366F4" w:rsidRPr="00666790">
        <w:rPr>
          <w:rFonts w:cstheme="minorHAnsi"/>
        </w:rPr>
        <w:t>.</w:t>
      </w:r>
      <w:r w:rsidRPr="00666790">
        <w:rPr>
          <w:rFonts w:cstheme="minorHAnsi"/>
        </w:rPr>
        <w:t xml:space="preserve"> </w:t>
      </w:r>
      <w:r w:rsidR="009D1DB3" w:rsidRPr="00666790">
        <w:rPr>
          <w:rFonts w:cstheme="minorHAnsi"/>
        </w:rPr>
        <w:t xml:space="preserve">Hospitals that failed </w:t>
      </w:r>
      <w:r w:rsidR="00805D5D" w:rsidRPr="00666790">
        <w:rPr>
          <w:rFonts w:cstheme="minorHAnsi"/>
        </w:rPr>
        <w:t xml:space="preserve">against key targets and were zero-rated </w:t>
      </w:r>
      <w:r w:rsidR="009D1DB3" w:rsidRPr="00666790">
        <w:rPr>
          <w:rFonts w:cstheme="minorHAnsi"/>
        </w:rPr>
        <w:t>were</w:t>
      </w:r>
      <w:r w:rsidR="00805D5D" w:rsidRPr="00666790">
        <w:rPr>
          <w:rFonts w:cstheme="minorHAnsi"/>
        </w:rPr>
        <w:t xml:space="preserve"> named and shamed as failing, with their chief executives at risk of losing their job.</w:t>
      </w:r>
      <w:r w:rsidR="009D1DB3" w:rsidRPr="00666790">
        <w:rPr>
          <w:rFonts w:cstheme="minorHAnsi"/>
        </w:rPr>
        <w:t xml:space="preserve"> The authors evaluate the effect of naming and shaming on performance through the natural experiment offered by the regime applied to waiting lists for hospital admissions in Wales. Though targets were introduced into the NHS in Wales, this did not include naming and shaming hospitals. </w:t>
      </w:r>
      <w:r w:rsidRPr="00666790">
        <w:rPr>
          <w:rFonts w:cstheme="minorHAnsi"/>
        </w:rPr>
        <w:t xml:space="preserve">Given that the Welsh and English NHS are otherwise organisationally similar and subjected to the same funding, the Welsh NHS </w:t>
      </w:r>
      <w:r w:rsidR="002366F4" w:rsidRPr="00666790">
        <w:rPr>
          <w:rFonts w:cstheme="minorHAnsi"/>
        </w:rPr>
        <w:t>is</w:t>
      </w:r>
      <w:r w:rsidRPr="00666790">
        <w:rPr>
          <w:rFonts w:cstheme="minorHAnsi"/>
        </w:rPr>
        <w:t xml:space="preserve"> a suitable control group for evaluating the `treatment' of the English NHS.</w:t>
      </w:r>
      <w:r w:rsidR="009D1DB3" w:rsidRPr="00666790">
        <w:rPr>
          <w:rFonts w:cstheme="minorHAnsi"/>
        </w:rPr>
        <w:t xml:space="preserve"> </w:t>
      </w:r>
      <w:r w:rsidR="00EE4383" w:rsidRPr="00666790">
        <w:rPr>
          <w:rFonts w:cstheme="minorHAnsi"/>
        </w:rPr>
        <w:t>Results show that policy of naming and shaming hospitals did reduce waiting times in England as compared to Wales</w:t>
      </w:r>
      <w:r w:rsidR="00EE4383" w:rsidRPr="005F714C">
        <w:rPr>
          <w:rFonts w:cstheme="minorHAnsi"/>
        </w:rPr>
        <w:t>. Propper, Sutton, Whitnall a</w:t>
      </w:r>
      <w:r w:rsidR="001D041E" w:rsidRPr="005F714C">
        <w:rPr>
          <w:rFonts w:cstheme="minorHAnsi"/>
        </w:rPr>
        <w:t>nd Windmeijer (2008</w:t>
      </w:r>
      <w:r w:rsidR="009F4C84" w:rsidRPr="005F714C">
        <w:rPr>
          <w:rFonts w:cstheme="minorHAnsi"/>
        </w:rPr>
        <w:t>) find similar results fo</w:t>
      </w:r>
      <w:r w:rsidR="001D041E" w:rsidRPr="005F714C">
        <w:rPr>
          <w:rFonts w:cstheme="minorHAnsi"/>
        </w:rPr>
        <w:t>r between Engl</w:t>
      </w:r>
      <w:r w:rsidR="00F33784" w:rsidRPr="005F714C">
        <w:rPr>
          <w:rFonts w:cstheme="minorHAnsi"/>
        </w:rPr>
        <w:t>a</w:t>
      </w:r>
      <w:r w:rsidR="001D041E" w:rsidRPr="005F714C">
        <w:rPr>
          <w:rFonts w:cstheme="minorHAnsi"/>
        </w:rPr>
        <w:t>nd and</w:t>
      </w:r>
      <w:r w:rsidR="001D041E" w:rsidRPr="00666790">
        <w:rPr>
          <w:rFonts w:cstheme="minorHAnsi"/>
        </w:rPr>
        <w:t xml:space="preserve"> Scotland.</w:t>
      </w:r>
    </w:p>
    <w:p w14:paraId="006CCC63" w14:textId="77777777" w:rsidR="00BF0531" w:rsidRPr="00AE3BED" w:rsidRDefault="00BF0531" w:rsidP="00AE3BED">
      <w:pPr>
        <w:pStyle w:val="Heading2"/>
        <w:keepNext/>
        <w:numPr>
          <w:ilvl w:val="1"/>
          <w:numId w:val="16"/>
        </w:numPr>
        <w:spacing w:before="240" w:beforeAutospacing="0" w:after="240" w:afterAutospacing="0"/>
        <w:ind w:left="0" w:firstLine="0"/>
        <w:rPr>
          <w:rFonts w:ascii="Calibri" w:hAnsi="Calibri" w:cs="Arial"/>
          <w:i/>
          <w:iCs/>
          <w:sz w:val="28"/>
          <w:szCs w:val="28"/>
        </w:rPr>
      </w:pPr>
      <w:bookmarkStart w:id="28" w:name="_Toc365872647"/>
      <w:r w:rsidRPr="00AE3BED">
        <w:rPr>
          <w:rFonts w:ascii="Calibri" w:hAnsi="Calibri" w:cs="Arial"/>
          <w:i/>
          <w:iCs/>
          <w:sz w:val="28"/>
          <w:szCs w:val="28"/>
        </w:rPr>
        <w:t>Transparency</w:t>
      </w:r>
      <w:bookmarkEnd w:id="28"/>
      <w:r w:rsidRPr="00AE3BED">
        <w:rPr>
          <w:rFonts w:ascii="Calibri" w:hAnsi="Calibri" w:cs="Arial"/>
          <w:i/>
          <w:iCs/>
          <w:sz w:val="28"/>
          <w:szCs w:val="28"/>
        </w:rPr>
        <w:t xml:space="preserve"> </w:t>
      </w:r>
    </w:p>
    <w:p w14:paraId="68E9A570" w14:textId="77777777" w:rsidR="0016556B" w:rsidRDefault="00BF0531" w:rsidP="00081D71">
      <w:pPr>
        <w:spacing w:after="0" w:line="240" w:lineRule="auto"/>
        <w:rPr>
          <w:rFonts w:cstheme="minorHAnsi"/>
        </w:rPr>
      </w:pPr>
      <w:r w:rsidRPr="00081D71">
        <w:rPr>
          <w:rFonts w:cstheme="minorHAnsi"/>
        </w:rPr>
        <w:t xml:space="preserve">The </w:t>
      </w:r>
      <w:r w:rsidR="007957F5" w:rsidRPr="00081D71">
        <w:rPr>
          <w:rFonts w:cstheme="minorHAnsi"/>
        </w:rPr>
        <w:t>Star Rating</w:t>
      </w:r>
      <w:r w:rsidRPr="00081D71">
        <w:rPr>
          <w:rFonts w:cstheme="minorHAnsi"/>
        </w:rPr>
        <w:t xml:space="preserve">s has the advantage that it adjusts for differences in external factors that affect the provider performance. These benefits though may be contingent on </w:t>
      </w:r>
      <w:r w:rsidR="004F34F9" w:rsidRPr="00081D71">
        <w:rPr>
          <w:rFonts w:cstheme="minorHAnsi"/>
        </w:rPr>
        <w:t>providers</w:t>
      </w:r>
      <w:r w:rsidRPr="00081D71">
        <w:rPr>
          <w:rFonts w:cstheme="minorHAnsi"/>
        </w:rPr>
        <w:t xml:space="preserve"> understanding and having confidence in the adjustment mechanisms. This advantage therefore is also argued to be a negative aspect o</w:t>
      </w:r>
      <w:r w:rsidR="002B1792" w:rsidRPr="00081D71">
        <w:rPr>
          <w:rFonts w:cstheme="minorHAnsi"/>
        </w:rPr>
        <w:t>f the performance framework. The</w:t>
      </w:r>
      <w:r w:rsidRPr="00081D71">
        <w:rPr>
          <w:rFonts w:cstheme="minorHAnsi"/>
        </w:rPr>
        <w:t xml:space="preserve"> technically rigorous approach</w:t>
      </w:r>
      <w:r w:rsidR="002B1792" w:rsidRPr="00081D71">
        <w:rPr>
          <w:rFonts w:cstheme="minorHAnsi"/>
        </w:rPr>
        <w:t xml:space="preserve"> of statistical adjustments to performance measures</w:t>
      </w:r>
      <w:r w:rsidRPr="00081D71">
        <w:rPr>
          <w:rFonts w:cstheme="minorHAnsi"/>
        </w:rPr>
        <w:t xml:space="preserve"> may be said to be too </w:t>
      </w:r>
      <w:r w:rsidR="004F34F9" w:rsidRPr="00081D71">
        <w:rPr>
          <w:rFonts w:cstheme="minorHAnsi"/>
        </w:rPr>
        <w:t>complicated</w:t>
      </w:r>
      <w:r w:rsidRPr="00081D71">
        <w:rPr>
          <w:rFonts w:cstheme="minorHAnsi"/>
        </w:rPr>
        <w:t>, leaving performance analysis out of reach of providers and the public (</w:t>
      </w:r>
      <w:r w:rsidRPr="005F714C">
        <w:rPr>
          <w:rFonts w:cstheme="minorHAnsi"/>
        </w:rPr>
        <w:t>Shulock</w:t>
      </w:r>
      <w:r w:rsidR="001D041E" w:rsidRPr="005F714C">
        <w:rPr>
          <w:rFonts w:cstheme="minorHAnsi"/>
        </w:rPr>
        <w:t>,</w:t>
      </w:r>
      <w:r w:rsidRPr="005F714C">
        <w:rPr>
          <w:rFonts w:cstheme="minorHAnsi"/>
        </w:rPr>
        <w:t xml:space="preserve"> 1999). This limits the transparency of results and hence how providers and the program itself are performing</w:t>
      </w:r>
      <w:r w:rsidR="002B1792" w:rsidRPr="005F714C">
        <w:rPr>
          <w:rFonts w:cstheme="minorHAnsi"/>
        </w:rPr>
        <w:t xml:space="preserve"> (Struyven and Steurs, 2004</w:t>
      </w:r>
      <w:r w:rsidR="002B1792" w:rsidRPr="00081D71">
        <w:rPr>
          <w:rFonts w:cstheme="minorHAnsi"/>
        </w:rPr>
        <w:t>)</w:t>
      </w:r>
      <w:r w:rsidRPr="00081D71">
        <w:rPr>
          <w:rFonts w:cstheme="minorHAnsi"/>
        </w:rPr>
        <w:t xml:space="preserve">. </w:t>
      </w:r>
      <w:r w:rsidR="009E447D" w:rsidRPr="00081D71">
        <w:rPr>
          <w:rFonts w:cstheme="minorHAnsi"/>
        </w:rPr>
        <w:t xml:space="preserve">Past consultation with providers has revealed some concern about the current performance monitoring system for this very reason. </w:t>
      </w:r>
    </w:p>
    <w:p w14:paraId="667CB1B9" w14:textId="77777777" w:rsidR="0016556B" w:rsidRDefault="0016556B" w:rsidP="00081D71">
      <w:pPr>
        <w:spacing w:after="0" w:line="240" w:lineRule="auto"/>
        <w:rPr>
          <w:rFonts w:cstheme="minorHAnsi"/>
        </w:rPr>
      </w:pPr>
    </w:p>
    <w:p w14:paraId="58BAEB0F" w14:textId="77777777" w:rsidR="009E447D" w:rsidRDefault="009E447D" w:rsidP="00081D71">
      <w:pPr>
        <w:spacing w:after="0" w:line="240" w:lineRule="auto"/>
        <w:rPr>
          <w:rFonts w:cstheme="minorHAnsi"/>
        </w:rPr>
      </w:pPr>
      <w:r w:rsidRPr="00081D71">
        <w:rPr>
          <w:rFonts w:cstheme="minorHAnsi"/>
        </w:rPr>
        <w:t xml:space="preserve">The issue relating to benchmarked performance is that providers wish to have guidance in advance about the absolute performance level required to be awarded a high </w:t>
      </w:r>
      <w:r w:rsidR="007957F5" w:rsidRPr="00081D71">
        <w:rPr>
          <w:rFonts w:cstheme="minorHAnsi"/>
        </w:rPr>
        <w:t>Star Rating</w:t>
      </w:r>
      <w:r w:rsidRPr="00081D71">
        <w:rPr>
          <w:rFonts w:cstheme="minorHAnsi"/>
        </w:rPr>
        <w:t xml:space="preserve">. For example, </w:t>
      </w:r>
      <w:r w:rsidRPr="005F714C">
        <w:rPr>
          <w:rFonts w:cstheme="minorHAnsi"/>
        </w:rPr>
        <w:t>Flentje, Cull and Giuliani (2010)</w:t>
      </w:r>
      <w:r w:rsidRPr="00081D71">
        <w:rPr>
          <w:rFonts w:cstheme="minorHAnsi"/>
        </w:rPr>
        <w:t xml:space="preserve"> conducted a survey of specialist JSA providers and reported that half of the respondents argued for the need for greater transparency and reduced complexity of how the </w:t>
      </w:r>
      <w:r w:rsidR="007957F5" w:rsidRPr="00081D71">
        <w:rPr>
          <w:rFonts w:cstheme="minorHAnsi"/>
        </w:rPr>
        <w:t>Star Rating</w:t>
      </w:r>
      <w:r w:rsidRPr="00081D71">
        <w:rPr>
          <w:rFonts w:cstheme="minorHAnsi"/>
        </w:rPr>
        <w:t xml:space="preserve">s is calculated. This is not explicitly feasible under the current system, though it is said that such a feature would improve the transparency of the model. </w:t>
      </w:r>
      <w:r w:rsidR="004F34F9" w:rsidRPr="00081D71">
        <w:rPr>
          <w:rFonts w:cstheme="minorHAnsi"/>
        </w:rPr>
        <w:t xml:space="preserve">If </w:t>
      </w:r>
      <w:r w:rsidRPr="00081D71">
        <w:rPr>
          <w:rFonts w:cstheme="minorHAnsi"/>
        </w:rPr>
        <w:t xml:space="preserve">transparency is a driver of </w:t>
      </w:r>
      <w:r w:rsidRPr="00081D71">
        <w:rPr>
          <w:rFonts w:cstheme="minorHAnsi"/>
        </w:rPr>
        <w:lastRenderedPageBreak/>
        <w:t xml:space="preserve">performance improvement, it may be in all stakeholders’ interests to explore other potential models that do not rely on a relative measure. </w:t>
      </w:r>
    </w:p>
    <w:p w14:paraId="15D88B06" w14:textId="77777777" w:rsidR="0016556B" w:rsidRPr="00081D71" w:rsidRDefault="0016556B" w:rsidP="00081D71">
      <w:pPr>
        <w:spacing w:after="0" w:line="240" w:lineRule="auto"/>
        <w:rPr>
          <w:rFonts w:cstheme="minorHAnsi"/>
        </w:rPr>
      </w:pPr>
    </w:p>
    <w:p w14:paraId="2F5A2039" w14:textId="77777777" w:rsidR="00690887" w:rsidRDefault="00BF0531" w:rsidP="00081D71">
      <w:pPr>
        <w:spacing w:after="0" w:line="240" w:lineRule="auto"/>
        <w:rPr>
          <w:rFonts w:cstheme="minorHAnsi"/>
        </w:rPr>
      </w:pPr>
      <w:r w:rsidRPr="00081D71">
        <w:rPr>
          <w:rFonts w:cstheme="minorHAnsi"/>
        </w:rPr>
        <w:t xml:space="preserve">Although </w:t>
      </w:r>
      <w:r w:rsidR="007957F5" w:rsidRPr="00081D71">
        <w:rPr>
          <w:rFonts w:cstheme="minorHAnsi"/>
        </w:rPr>
        <w:t>Star Rating</w:t>
      </w:r>
      <w:r w:rsidRPr="00081D71">
        <w:rPr>
          <w:rFonts w:cstheme="minorHAnsi"/>
        </w:rPr>
        <w:t xml:space="preserve">s are used to ensure fairness in provider ratings, this may be less important to providers than transparency. </w:t>
      </w:r>
      <w:r w:rsidR="002B1792" w:rsidRPr="00081D71">
        <w:rPr>
          <w:rFonts w:cstheme="minorHAnsi"/>
        </w:rPr>
        <w:t>To illustrate</w:t>
      </w:r>
      <w:r w:rsidRPr="00081D71">
        <w:rPr>
          <w:rFonts w:cstheme="minorHAnsi"/>
        </w:rPr>
        <w:t>, the US Child Support Enforcement (CSE) program established under Title IV-D of the Social Security Act links incen</w:t>
      </w:r>
      <w:r w:rsidR="0016556B">
        <w:rPr>
          <w:rFonts w:cstheme="minorHAnsi"/>
        </w:rPr>
        <w:t>tives to States performance in five</w:t>
      </w:r>
      <w:r w:rsidRPr="00081D71">
        <w:rPr>
          <w:rFonts w:cstheme="minorHAnsi"/>
        </w:rPr>
        <w:t xml:space="preserve"> areas: 1) paternity establishment, 2</w:t>
      </w:r>
      <w:r w:rsidR="0089376D">
        <w:rPr>
          <w:rFonts w:cstheme="minorHAnsi"/>
        </w:rPr>
        <w:t xml:space="preserve">) child support orders </w:t>
      </w:r>
      <w:r w:rsidRPr="00081D71">
        <w:rPr>
          <w:rFonts w:cstheme="minorHAnsi"/>
        </w:rPr>
        <w:t xml:space="preserve">, 3) collections on current support due, 4) cases with collections on arrears (past support due) and 5) cost-effectiveness. These performance rankings across states are not adjusted for differences in economic and demographic characteristics. </w:t>
      </w:r>
      <w:r w:rsidRPr="005F714C">
        <w:rPr>
          <w:rFonts w:cstheme="minorHAnsi"/>
        </w:rPr>
        <w:t xml:space="preserve">Tapogna et al. (2002) found that using a regression adjustment model for the CSE performance rankings would increase the fairness of the rankings, finding that the adjustment models would lead in some instances to major changes in the rankings of the </w:t>
      </w:r>
      <w:r w:rsidR="0016556B" w:rsidRPr="005F714C">
        <w:rPr>
          <w:rFonts w:cstheme="minorHAnsi"/>
        </w:rPr>
        <w:t>S</w:t>
      </w:r>
      <w:r w:rsidRPr="005F714C">
        <w:rPr>
          <w:rFonts w:cstheme="minorHAnsi"/>
        </w:rPr>
        <w:t>tates. States though opposed the use of performance adjustments, even though they agreed that the CSE program operates in different socioeconomic environments. This was because of the added complexity and uncertainty this would add to the performance rankings and the difficulty in reaching a consensus on adjustment factors (Gardiner et al. 2004</w:t>
      </w:r>
      <w:r w:rsidRPr="00081D71">
        <w:rPr>
          <w:rFonts w:cstheme="minorHAnsi"/>
        </w:rPr>
        <w:t xml:space="preserve">). However, not adjusting the performance standards for the preference of providers needs to be weighed against </w:t>
      </w:r>
      <w:r w:rsidR="0016556B" w:rsidRPr="00081D71">
        <w:rPr>
          <w:rFonts w:cstheme="minorHAnsi"/>
        </w:rPr>
        <w:t xml:space="preserve">the needs of job seekers </w:t>
      </w:r>
      <w:r w:rsidR="0016556B">
        <w:rPr>
          <w:rFonts w:cstheme="minorHAnsi"/>
        </w:rPr>
        <w:t xml:space="preserve">and </w:t>
      </w:r>
      <w:r w:rsidRPr="00081D71">
        <w:rPr>
          <w:rFonts w:cstheme="minorHAnsi"/>
        </w:rPr>
        <w:t xml:space="preserve">the goals of the Department. </w:t>
      </w:r>
      <w:r w:rsidR="00690887" w:rsidRPr="00081D71">
        <w:rPr>
          <w:rFonts w:cstheme="minorHAnsi"/>
        </w:rPr>
        <w:t xml:space="preserve">The department seeks </w:t>
      </w:r>
      <w:r w:rsidR="00FA37A2" w:rsidRPr="00081D71">
        <w:rPr>
          <w:rFonts w:cstheme="minorHAnsi"/>
        </w:rPr>
        <w:t xml:space="preserve">to promote </w:t>
      </w:r>
      <w:r w:rsidR="00690887" w:rsidRPr="00081D71">
        <w:rPr>
          <w:rFonts w:cstheme="minorHAnsi"/>
        </w:rPr>
        <w:t xml:space="preserve">continuous </w:t>
      </w:r>
      <w:r w:rsidR="00FA37A2" w:rsidRPr="00081D71">
        <w:rPr>
          <w:rFonts w:cstheme="minorHAnsi"/>
        </w:rPr>
        <w:t>i</w:t>
      </w:r>
      <w:r w:rsidR="00690887" w:rsidRPr="00081D71">
        <w:rPr>
          <w:rFonts w:cstheme="minorHAnsi"/>
        </w:rPr>
        <w:t xml:space="preserve">mprovement </w:t>
      </w:r>
      <w:r w:rsidR="00FA37A2" w:rsidRPr="00081D71">
        <w:rPr>
          <w:rFonts w:cstheme="minorHAnsi"/>
        </w:rPr>
        <w:t xml:space="preserve">in the performance of Australia’s employment services through allocating business to the best performance providers. It becomes more difficult to determine which are the best performing providers using unadjusted outcome rates. </w:t>
      </w:r>
    </w:p>
    <w:p w14:paraId="2F9309A4" w14:textId="77777777" w:rsidR="00081D71" w:rsidRPr="00081D71" w:rsidRDefault="00081D71" w:rsidP="00081D71">
      <w:pPr>
        <w:spacing w:after="0" w:line="240" w:lineRule="auto"/>
        <w:rPr>
          <w:rFonts w:cstheme="minorHAnsi"/>
        </w:rPr>
      </w:pPr>
    </w:p>
    <w:p w14:paraId="36E5B7BD" w14:textId="5FA954F5" w:rsidR="00DF03E7" w:rsidRPr="00081D71" w:rsidRDefault="00BF0531" w:rsidP="00081D71">
      <w:pPr>
        <w:autoSpaceDE w:val="0"/>
        <w:autoSpaceDN w:val="0"/>
        <w:adjustRightInd w:val="0"/>
        <w:spacing w:after="0" w:line="240" w:lineRule="auto"/>
        <w:rPr>
          <w:rFonts w:cstheme="minorHAnsi"/>
        </w:rPr>
      </w:pPr>
      <w:r w:rsidRPr="00081D71">
        <w:rPr>
          <w:rFonts w:cstheme="minorHAnsi"/>
        </w:rPr>
        <w:t xml:space="preserve">Further, a lack of transparency isn’t confined to the </w:t>
      </w:r>
      <w:r w:rsidR="007957F5" w:rsidRPr="00081D71">
        <w:rPr>
          <w:rFonts w:cstheme="minorHAnsi"/>
        </w:rPr>
        <w:t>Star Rating</w:t>
      </w:r>
      <w:r w:rsidRPr="00081D71">
        <w:rPr>
          <w:rFonts w:cstheme="minorHAnsi"/>
        </w:rPr>
        <w:t>s model. Benchmarking models also have transparency issues because a benchmarking model still requires a methodology for determining the performance</w:t>
      </w:r>
      <w:r w:rsidR="002B1792" w:rsidRPr="00081D71">
        <w:rPr>
          <w:rFonts w:cstheme="minorHAnsi"/>
        </w:rPr>
        <w:t xml:space="preserve"> standard</w:t>
      </w:r>
      <w:r w:rsidRPr="00081D71">
        <w:rPr>
          <w:rFonts w:cstheme="minorHAnsi"/>
        </w:rPr>
        <w:t xml:space="preserve">. </w:t>
      </w:r>
      <w:r w:rsidR="002B1792" w:rsidRPr="00081D71">
        <w:rPr>
          <w:rFonts w:cstheme="minorHAnsi"/>
        </w:rPr>
        <w:t>With an adjusted benchmarking model</w:t>
      </w:r>
      <w:r w:rsidR="00444577" w:rsidRPr="00081D71">
        <w:rPr>
          <w:rFonts w:cstheme="minorHAnsi"/>
        </w:rPr>
        <w:t xml:space="preserve"> the different benchmarks for each provider are developed with regression analysis</w:t>
      </w:r>
      <w:r w:rsidR="002B1792" w:rsidRPr="00081D71">
        <w:rPr>
          <w:rFonts w:cstheme="minorHAnsi"/>
        </w:rPr>
        <w:t>,</w:t>
      </w:r>
      <w:r w:rsidR="00444577" w:rsidRPr="00081D71">
        <w:rPr>
          <w:rFonts w:cstheme="minorHAnsi"/>
        </w:rPr>
        <w:t xml:space="preserve"> </w:t>
      </w:r>
      <w:r w:rsidR="002B1792" w:rsidRPr="00081D71">
        <w:rPr>
          <w:rFonts w:cstheme="minorHAnsi"/>
        </w:rPr>
        <w:t>creating</w:t>
      </w:r>
      <w:r w:rsidR="00444577" w:rsidRPr="00081D71">
        <w:rPr>
          <w:rFonts w:cstheme="minorHAnsi"/>
        </w:rPr>
        <w:t xml:space="preserve"> many similar issues about transparency that some providers dislike about the </w:t>
      </w:r>
      <w:r w:rsidR="007957F5" w:rsidRPr="00081D71">
        <w:rPr>
          <w:rFonts w:cstheme="minorHAnsi"/>
        </w:rPr>
        <w:t>Star Rating</w:t>
      </w:r>
      <w:r w:rsidR="00444577" w:rsidRPr="00081D71">
        <w:rPr>
          <w:rFonts w:cstheme="minorHAnsi"/>
        </w:rPr>
        <w:t xml:space="preserve">s model. </w:t>
      </w:r>
      <w:r w:rsidR="00DF03E7" w:rsidRPr="00081D71">
        <w:rPr>
          <w:rFonts w:cstheme="minorHAnsi"/>
        </w:rPr>
        <w:t xml:space="preserve">The approach of Germany’s </w:t>
      </w:r>
      <w:r w:rsidR="007728CC" w:rsidRPr="00081D71">
        <w:rPr>
          <w:rFonts w:cstheme="minorHAnsi"/>
        </w:rPr>
        <w:t>PES</w:t>
      </w:r>
      <w:r w:rsidR="00DF03E7" w:rsidRPr="00081D71">
        <w:rPr>
          <w:rFonts w:cstheme="minorHAnsi"/>
        </w:rPr>
        <w:t xml:space="preserve"> </w:t>
      </w:r>
      <w:r w:rsidR="00BF3851" w:rsidRPr="00081D71">
        <w:rPr>
          <w:rFonts w:cstheme="minorHAnsi"/>
        </w:rPr>
        <w:t>demonstrates this</w:t>
      </w:r>
      <w:r w:rsidR="00DF03E7" w:rsidRPr="00081D71">
        <w:rPr>
          <w:rFonts w:cstheme="minorHAnsi"/>
        </w:rPr>
        <w:t xml:space="preserve">. </w:t>
      </w:r>
      <w:r w:rsidR="00BF3851" w:rsidRPr="00081D71">
        <w:rPr>
          <w:rFonts w:cstheme="minorHAnsi"/>
        </w:rPr>
        <w:t>In examining the performance of the local public employment offices, c</w:t>
      </w:r>
      <w:r w:rsidR="00DF03E7" w:rsidRPr="00081D71">
        <w:rPr>
          <w:rFonts w:cstheme="minorHAnsi"/>
        </w:rPr>
        <w:t xml:space="preserve">luster analysis is conducted at the local organisational units and districts of their </w:t>
      </w:r>
      <w:r w:rsidR="008F624A">
        <w:rPr>
          <w:rFonts w:cstheme="minorHAnsi"/>
        </w:rPr>
        <w:t>p</w:t>
      </w:r>
      <w:r w:rsidR="00B669E3">
        <w:rPr>
          <w:rFonts w:cstheme="minorHAnsi"/>
        </w:rPr>
        <w:t>erformance management</w:t>
      </w:r>
      <w:r w:rsidR="008F624A">
        <w:rPr>
          <w:rFonts w:cstheme="minorHAnsi"/>
        </w:rPr>
        <w:t xml:space="preserve"> </w:t>
      </w:r>
      <w:r w:rsidR="00DF03E7" w:rsidRPr="00081D71">
        <w:rPr>
          <w:rFonts w:cstheme="minorHAnsi"/>
        </w:rPr>
        <w:t>system</w:t>
      </w:r>
      <w:r w:rsidR="00B669E3">
        <w:rPr>
          <w:rFonts w:cstheme="minorHAnsi"/>
        </w:rPr>
        <w:t xml:space="preserve"> called Management by Objectives</w:t>
      </w:r>
      <w:r w:rsidR="00DF03E7" w:rsidRPr="00081D71">
        <w:rPr>
          <w:rFonts w:cstheme="minorHAnsi"/>
        </w:rPr>
        <w:t xml:space="preserve">. This was done for the purpose of grouping into clusters local organisational units which are similar in terms of exogenous factors to setting target values differentiated by region. To do this, regression analysis is conducted to determine relevant exogenous factors using a target indicator (in the unemployment insurance system: degree of </w:t>
      </w:r>
      <w:r w:rsidR="00803498" w:rsidRPr="00081D71">
        <w:rPr>
          <w:rFonts w:cstheme="minorHAnsi"/>
        </w:rPr>
        <w:t>integrations</w:t>
      </w:r>
      <w:r w:rsidR="00DF03E7" w:rsidRPr="00081D71">
        <w:rPr>
          <w:rFonts w:cstheme="minorHAnsi"/>
        </w:rPr>
        <w:t xml:space="preserve">; in the welfare system; integration rate) as the dependent variable. Clustering was then carried out on the basis of the exogenous factors. </w:t>
      </w:r>
      <w:r w:rsidR="004A45C2" w:rsidRPr="00081D71">
        <w:rPr>
          <w:rFonts w:cstheme="minorHAnsi"/>
        </w:rPr>
        <w:t xml:space="preserve">This methodologically demanding process is </w:t>
      </w:r>
      <w:r w:rsidR="00BF3851" w:rsidRPr="00081D71">
        <w:rPr>
          <w:rFonts w:cstheme="minorHAnsi"/>
        </w:rPr>
        <w:t>difficult to understand</w:t>
      </w:r>
      <w:r w:rsidR="004A45C2" w:rsidRPr="00081D71">
        <w:rPr>
          <w:rFonts w:cstheme="minorHAnsi"/>
        </w:rPr>
        <w:t xml:space="preserve"> by practitioners on the ground</w:t>
      </w:r>
      <w:r w:rsidR="00816810" w:rsidRPr="00081D71">
        <w:rPr>
          <w:rFonts w:cstheme="minorHAnsi"/>
        </w:rPr>
        <w:t xml:space="preserve"> (</w:t>
      </w:r>
      <w:r w:rsidR="00816810" w:rsidRPr="005F714C">
        <w:rPr>
          <w:rFonts w:cstheme="minorHAnsi"/>
        </w:rPr>
        <w:t>Kaltenborn, 2009</w:t>
      </w:r>
      <w:r w:rsidR="00816810" w:rsidRPr="00081D71">
        <w:rPr>
          <w:rFonts w:cstheme="minorHAnsi"/>
        </w:rPr>
        <w:t>).</w:t>
      </w:r>
    </w:p>
    <w:p w14:paraId="25C69B5D" w14:textId="77777777" w:rsidR="00DF03E7" w:rsidRPr="00081D71" w:rsidRDefault="00DF03E7" w:rsidP="00081D71">
      <w:pPr>
        <w:autoSpaceDE w:val="0"/>
        <w:autoSpaceDN w:val="0"/>
        <w:adjustRightInd w:val="0"/>
        <w:spacing w:after="0" w:line="240" w:lineRule="auto"/>
        <w:rPr>
          <w:rFonts w:cstheme="minorHAnsi"/>
        </w:rPr>
      </w:pPr>
    </w:p>
    <w:p w14:paraId="4F43001F" w14:textId="298BEA36" w:rsidR="00913AB5" w:rsidRPr="00081D71" w:rsidRDefault="00444577" w:rsidP="00081D71">
      <w:pPr>
        <w:autoSpaceDE w:val="0"/>
        <w:autoSpaceDN w:val="0"/>
        <w:adjustRightInd w:val="0"/>
        <w:spacing w:after="0" w:line="240" w:lineRule="auto"/>
        <w:rPr>
          <w:rFonts w:cstheme="minorHAnsi"/>
        </w:rPr>
      </w:pPr>
      <w:r w:rsidRPr="00081D71">
        <w:rPr>
          <w:rFonts w:cstheme="minorHAnsi"/>
        </w:rPr>
        <w:t xml:space="preserve">The absolute benchmark model employed in the UK Work Programme suggests that an absolute benchmark can suffer from a lack transparency also. </w:t>
      </w:r>
      <w:r w:rsidR="00BF0531" w:rsidRPr="00081D71">
        <w:rPr>
          <w:rFonts w:cstheme="minorHAnsi"/>
        </w:rPr>
        <w:t xml:space="preserve">In </w:t>
      </w:r>
      <w:r w:rsidRPr="00081D71">
        <w:rPr>
          <w:rFonts w:cstheme="minorHAnsi"/>
        </w:rPr>
        <w:t xml:space="preserve">setting </w:t>
      </w:r>
      <w:r w:rsidR="00BF0531" w:rsidRPr="00081D71">
        <w:rPr>
          <w:rFonts w:cstheme="minorHAnsi"/>
        </w:rPr>
        <w:t>the absolute</w:t>
      </w:r>
      <w:r w:rsidRPr="00081D71">
        <w:rPr>
          <w:rFonts w:cstheme="minorHAnsi"/>
        </w:rPr>
        <w:t xml:space="preserve"> benchmark</w:t>
      </w:r>
      <w:r w:rsidR="00BF0531" w:rsidRPr="00081D71">
        <w:rPr>
          <w:rFonts w:cstheme="minorHAnsi"/>
        </w:rPr>
        <w:t>, the DWP determines the non-intervention level of performance that would occur in the absence of the WP. This refers to what the employment outcome rate would be if there was no employment program existed. The DWP then adds a target performance onto this level for the providers to achieve. Providers subject to the DWPs performance targets are unaware how the non-intervention level is set. The DWP states that it is based on an historical analysis of the labour market and forecasts of future employment but has not stated how the analysis was conducted to arrive at their non-intervention figures.</w:t>
      </w:r>
    </w:p>
    <w:p w14:paraId="58688E16" w14:textId="77777777" w:rsidR="00913AB5" w:rsidRPr="00081D71" w:rsidRDefault="00913AB5" w:rsidP="00081D71">
      <w:pPr>
        <w:autoSpaceDE w:val="0"/>
        <w:autoSpaceDN w:val="0"/>
        <w:adjustRightInd w:val="0"/>
        <w:spacing w:after="0" w:line="240" w:lineRule="auto"/>
        <w:rPr>
          <w:rFonts w:cstheme="minorHAnsi"/>
        </w:rPr>
      </w:pPr>
    </w:p>
    <w:p w14:paraId="3E1FC041" w14:textId="77777777" w:rsidR="00BF0531" w:rsidRPr="00081D71" w:rsidRDefault="00913AB5" w:rsidP="00081D71">
      <w:pPr>
        <w:autoSpaceDE w:val="0"/>
        <w:autoSpaceDN w:val="0"/>
        <w:adjustRightInd w:val="0"/>
        <w:spacing w:after="0" w:line="240" w:lineRule="auto"/>
        <w:rPr>
          <w:rFonts w:cstheme="minorHAnsi"/>
        </w:rPr>
      </w:pPr>
      <w:r w:rsidRPr="00081D71">
        <w:rPr>
          <w:rFonts w:cstheme="minorHAnsi"/>
        </w:rPr>
        <w:t>It could be argued that</w:t>
      </w:r>
      <w:r w:rsidR="004A45C2" w:rsidRPr="00081D71">
        <w:rPr>
          <w:rFonts w:cstheme="minorHAnsi"/>
        </w:rPr>
        <w:t xml:space="preserve"> t</w:t>
      </w:r>
      <w:r w:rsidR="00BF0531" w:rsidRPr="00081D71">
        <w:rPr>
          <w:rFonts w:cstheme="minorHAnsi"/>
        </w:rPr>
        <w:t>he negotiated model provides greater levels of transparency. Factors outside the provider’s control that affected program outco</w:t>
      </w:r>
      <w:r w:rsidR="00C3218B">
        <w:rPr>
          <w:rFonts w:cstheme="minorHAnsi"/>
        </w:rPr>
        <w:t>mes</w:t>
      </w:r>
      <w:r w:rsidR="00BF0531" w:rsidRPr="00081D71">
        <w:rPr>
          <w:rFonts w:cstheme="minorHAnsi"/>
        </w:rPr>
        <w:t xml:space="preserve"> might be more easily conveyed and weighed in negotiations. </w:t>
      </w:r>
      <w:r w:rsidR="00760F8C" w:rsidRPr="00081D71">
        <w:rPr>
          <w:rFonts w:cstheme="minorHAnsi"/>
        </w:rPr>
        <w:t xml:space="preserve">This was the goal of the negotiated model used in the </w:t>
      </w:r>
      <w:r w:rsidR="007728CC" w:rsidRPr="00081D71">
        <w:rPr>
          <w:rFonts w:cstheme="minorHAnsi"/>
        </w:rPr>
        <w:t>WIA</w:t>
      </w:r>
      <w:r w:rsidR="00760F8C" w:rsidRPr="00081D71">
        <w:rPr>
          <w:rFonts w:cstheme="minorHAnsi"/>
        </w:rPr>
        <w:t xml:space="preserve"> by the U.S. </w:t>
      </w:r>
      <w:r w:rsidR="007728CC" w:rsidRPr="00081D71">
        <w:rPr>
          <w:rFonts w:cstheme="minorHAnsi"/>
        </w:rPr>
        <w:t>DOL</w:t>
      </w:r>
      <w:r w:rsidR="00760F8C" w:rsidRPr="00081D71">
        <w:rPr>
          <w:rFonts w:cstheme="minorHAnsi"/>
        </w:rPr>
        <w:t xml:space="preserve">. </w:t>
      </w:r>
      <w:r w:rsidR="00BF0531" w:rsidRPr="00081D71">
        <w:rPr>
          <w:rFonts w:cstheme="minorHAnsi"/>
        </w:rPr>
        <w:t xml:space="preserve">Similarly, because the provider is actively involved in the negotiations, </w:t>
      </w:r>
      <w:r w:rsidR="00B717AF" w:rsidRPr="00081D71">
        <w:rPr>
          <w:rFonts w:cstheme="minorHAnsi"/>
        </w:rPr>
        <w:t xml:space="preserve">the provider will have a deep </w:t>
      </w:r>
      <w:r w:rsidR="00B717AF" w:rsidRPr="00081D71">
        <w:rPr>
          <w:rFonts w:cstheme="minorHAnsi"/>
        </w:rPr>
        <w:lastRenderedPageBreak/>
        <w:t xml:space="preserve">understanding </w:t>
      </w:r>
      <w:r w:rsidR="00C3218B">
        <w:rPr>
          <w:rFonts w:cstheme="minorHAnsi"/>
        </w:rPr>
        <w:t xml:space="preserve">of </w:t>
      </w:r>
      <w:r w:rsidR="00B717AF" w:rsidRPr="00081D71">
        <w:rPr>
          <w:rFonts w:cstheme="minorHAnsi"/>
        </w:rPr>
        <w:t xml:space="preserve">the factors that were employed to determine the performance standard the provider is subject to. </w:t>
      </w:r>
      <w:r w:rsidR="00803498" w:rsidRPr="00081D71">
        <w:rPr>
          <w:rFonts w:cstheme="minorHAnsi"/>
        </w:rPr>
        <w:t xml:space="preserve">Improved transparency under this model however only extends to the department and each individual provider. </w:t>
      </w:r>
      <w:r w:rsidR="00BF3851" w:rsidRPr="00081D71">
        <w:rPr>
          <w:rFonts w:cstheme="minorHAnsi"/>
        </w:rPr>
        <w:t xml:space="preserve">It can lead to significant issues of transparency for the performance of providers as a whole. </w:t>
      </w:r>
      <w:r w:rsidR="00803498" w:rsidRPr="00081D71">
        <w:rPr>
          <w:rFonts w:cstheme="minorHAnsi"/>
        </w:rPr>
        <w:t xml:space="preserve">The negotiation process would lead to </w:t>
      </w:r>
      <w:r w:rsidR="00BF3851" w:rsidRPr="00081D71">
        <w:rPr>
          <w:rFonts w:cstheme="minorHAnsi"/>
        </w:rPr>
        <w:t>questions</w:t>
      </w:r>
      <w:r w:rsidR="00803498" w:rsidRPr="00081D71">
        <w:rPr>
          <w:rFonts w:cstheme="minorHAnsi"/>
        </w:rPr>
        <w:t xml:space="preserve"> as to how performance standards were set across providers</w:t>
      </w:r>
      <w:r w:rsidR="00BF3851" w:rsidRPr="00081D71">
        <w:rPr>
          <w:rFonts w:cstheme="minorHAnsi"/>
        </w:rPr>
        <w:t>,</w:t>
      </w:r>
      <w:r w:rsidR="00803498" w:rsidRPr="00081D71">
        <w:rPr>
          <w:rFonts w:cstheme="minorHAnsi"/>
        </w:rPr>
        <w:t xml:space="preserve"> having been based on </w:t>
      </w:r>
      <w:r w:rsidR="00C3218B">
        <w:rPr>
          <w:rFonts w:cstheme="minorHAnsi"/>
        </w:rPr>
        <w:t xml:space="preserve">a </w:t>
      </w:r>
      <w:r w:rsidR="00803498" w:rsidRPr="00081D71">
        <w:rPr>
          <w:rFonts w:cstheme="minorHAnsi"/>
        </w:rPr>
        <w:t>qualitative discussion rather than actual data.</w:t>
      </w:r>
      <w:r w:rsidR="0016556B">
        <w:rPr>
          <w:rFonts w:cstheme="minorHAnsi"/>
        </w:rPr>
        <w:t xml:space="preserve"> Further, performance targets become a reflection of the relative strengths and effectiveness of negotiation skills as opposed to appropriate accounting of exogenous factors.</w:t>
      </w:r>
    </w:p>
    <w:p w14:paraId="631F446B" w14:textId="77777777" w:rsidR="004D4282" w:rsidRPr="00AE3BED" w:rsidRDefault="004D4282" w:rsidP="00AE3BED">
      <w:pPr>
        <w:pStyle w:val="Heading2"/>
        <w:keepNext/>
        <w:numPr>
          <w:ilvl w:val="1"/>
          <w:numId w:val="16"/>
        </w:numPr>
        <w:spacing w:before="240" w:beforeAutospacing="0" w:after="240" w:afterAutospacing="0"/>
        <w:ind w:left="0" w:firstLine="0"/>
        <w:rPr>
          <w:rFonts w:ascii="Calibri" w:hAnsi="Calibri" w:cs="Arial"/>
          <w:i/>
          <w:iCs/>
          <w:sz w:val="28"/>
          <w:szCs w:val="28"/>
        </w:rPr>
      </w:pPr>
      <w:bookmarkStart w:id="29" w:name="_Toc365872648"/>
      <w:r w:rsidRPr="00AE3BED">
        <w:rPr>
          <w:rFonts w:ascii="Calibri" w:hAnsi="Calibri" w:cs="Arial"/>
          <w:i/>
          <w:iCs/>
          <w:sz w:val="28"/>
          <w:szCs w:val="28"/>
        </w:rPr>
        <w:t>Adjustment for external factors</w:t>
      </w:r>
      <w:bookmarkEnd w:id="29"/>
    </w:p>
    <w:p w14:paraId="4190AFA9" w14:textId="77777777" w:rsidR="00855223" w:rsidRPr="0016556B" w:rsidRDefault="00122F4B" w:rsidP="0016556B">
      <w:pPr>
        <w:autoSpaceDE w:val="0"/>
        <w:autoSpaceDN w:val="0"/>
        <w:adjustRightInd w:val="0"/>
        <w:spacing w:after="0" w:line="240" w:lineRule="auto"/>
        <w:rPr>
          <w:rFonts w:cstheme="minorHAnsi"/>
        </w:rPr>
      </w:pPr>
      <w:r w:rsidRPr="0016556B">
        <w:rPr>
          <w:rFonts w:cstheme="minorHAnsi"/>
        </w:rPr>
        <w:t>Another</w:t>
      </w:r>
      <w:r w:rsidR="004D4282" w:rsidRPr="0016556B">
        <w:rPr>
          <w:rFonts w:cstheme="minorHAnsi"/>
        </w:rPr>
        <w:t xml:space="preserve"> concern with providing certainty of performance is that if the performance standard doesn’t accurately adjust for external</w:t>
      </w:r>
      <w:r w:rsidR="0016556B">
        <w:rPr>
          <w:rFonts w:cstheme="minorHAnsi"/>
        </w:rPr>
        <w:t xml:space="preserve"> factors</w:t>
      </w:r>
      <w:r w:rsidR="004D4282" w:rsidRPr="0016556B">
        <w:rPr>
          <w:rFonts w:cstheme="minorHAnsi"/>
        </w:rPr>
        <w:t xml:space="preserve">, providers will challenge the performance benchmarks given to </w:t>
      </w:r>
      <w:r w:rsidR="00693398" w:rsidRPr="0016556B">
        <w:rPr>
          <w:rFonts w:cstheme="minorHAnsi"/>
        </w:rPr>
        <w:t>them</w:t>
      </w:r>
      <w:r w:rsidR="004D4282" w:rsidRPr="0016556B">
        <w:rPr>
          <w:rFonts w:cstheme="minorHAnsi"/>
        </w:rPr>
        <w:t>.</w:t>
      </w:r>
      <w:r w:rsidR="00AC1D5D" w:rsidRPr="0016556B">
        <w:rPr>
          <w:rFonts w:cstheme="minorHAnsi"/>
        </w:rPr>
        <w:t xml:space="preserve"> It may be unrealistic to believe that variations in provider quality can be isolated by adjusting </w:t>
      </w:r>
      <w:r w:rsidRPr="0016556B">
        <w:rPr>
          <w:rFonts w:cstheme="minorHAnsi"/>
        </w:rPr>
        <w:t xml:space="preserve">for </w:t>
      </w:r>
      <w:r w:rsidR="00AC1D5D" w:rsidRPr="0016556B">
        <w:rPr>
          <w:rFonts w:cstheme="minorHAnsi"/>
        </w:rPr>
        <w:t xml:space="preserve">participant </w:t>
      </w:r>
      <w:r w:rsidRPr="0016556B">
        <w:rPr>
          <w:rFonts w:cstheme="minorHAnsi"/>
        </w:rPr>
        <w:t>characteristics and labour market conditions.</w:t>
      </w:r>
      <w:r w:rsidR="00D4142D" w:rsidRPr="0016556B">
        <w:rPr>
          <w:rFonts w:cstheme="minorHAnsi"/>
        </w:rPr>
        <w:t xml:space="preserve"> Regression-based performance adjustment models have been criticized for having low explanatory power and flawed specifications, suggesting that sometimes adjustments may be biased or unre</w:t>
      </w:r>
      <w:r w:rsidR="00855223" w:rsidRPr="0016556B">
        <w:rPr>
          <w:rFonts w:cstheme="minorHAnsi"/>
        </w:rPr>
        <w:t>liable</w:t>
      </w:r>
      <w:r w:rsidR="008D65A8" w:rsidRPr="0016556B">
        <w:rPr>
          <w:rFonts w:cstheme="minorHAnsi"/>
        </w:rPr>
        <w:t xml:space="preserve"> (</w:t>
      </w:r>
      <w:r w:rsidR="008D65A8" w:rsidRPr="009C01AB">
        <w:rPr>
          <w:rFonts w:cstheme="minorHAnsi"/>
        </w:rPr>
        <w:t>Barnow and Heinrich, 2010</w:t>
      </w:r>
      <w:r w:rsidR="008D65A8" w:rsidRPr="0016556B">
        <w:rPr>
          <w:rFonts w:cstheme="minorHAnsi"/>
        </w:rPr>
        <w:t>)</w:t>
      </w:r>
      <w:r w:rsidR="00855223" w:rsidRPr="0016556B">
        <w:rPr>
          <w:rFonts w:cstheme="minorHAnsi"/>
        </w:rPr>
        <w:t>.</w:t>
      </w:r>
      <w:r w:rsidRPr="0016556B">
        <w:rPr>
          <w:rFonts w:cstheme="minorHAnsi"/>
        </w:rPr>
        <w:t xml:space="preserve"> In this situation, adjustments to provider performance provide a false sense that residual differences among providers reflect differences in quality. Such arguments have been levelled at risk adjustment approaches in the health industry, where risk adjustment is used to determine variation in hospital performance (</w:t>
      </w:r>
      <w:r w:rsidR="0036177C" w:rsidRPr="009C01AB">
        <w:rPr>
          <w:rFonts w:cstheme="minorHAnsi"/>
        </w:rPr>
        <w:t>I</w:t>
      </w:r>
      <w:r w:rsidR="003711D0" w:rsidRPr="009C01AB">
        <w:rPr>
          <w:rFonts w:cstheme="minorHAnsi"/>
        </w:rPr>
        <w:t xml:space="preserve">ezzoni 1997, </w:t>
      </w:r>
      <w:r w:rsidRPr="009C01AB">
        <w:rPr>
          <w:rFonts w:cstheme="minorHAnsi"/>
        </w:rPr>
        <w:t>Lilford et al. 2004).</w:t>
      </w:r>
      <w:r w:rsidR="003711D0" w:rsidRPr="009C01AB">
        <w:rPr>
          <w:rFonts w:cstheme="minorHAnsi"/>
        </w:rPr>
        <w:t xml:space="preserve"> For instance, Lilford et al. (2004, p.1147) states that</w:t>
      </w:r>
      <w:r w:rsidR="00653DE6" w:rsidRPr="009C01AB">
        <w:rPr>
          <w:rFonts w:cstheme="minorHAnsi"/>
        </w:rPr>
        <w:t xml:space="preserve"> ‘</w:t>
      </w:r>
      <w:r w:rsidR="003711D0" w:rsidRPr="009C01AB">
        <w:rPr>
          <w:rFonts w:cstheme="minorHAnsi"/>
        </w:rPr>
        <w:t>case-mix [i.e. risk] adjustment can lead to the erroneous conclusion that an unbiased comparison between pro</w:t>
      </w:r>
      <w:r w:rsidR="003711D0" w:rsidRPr="0016556B">
        <w:rPr>
          <w:rFonts w:cstheme="minorHAnsi"/>
        </w:rPr>
        <w:t xml:space="preserve">viders follows. We term this the case-mix fallacy.’ </w:t>
      </w:r>
    </w:p>
    <w:p w14:paraId="66AFCAB9" w14:textId="77777777" w:rsidR="00855223" w:rsidRPr="0016556B" w:rsidRDefault="00855223" w:rsidP="0016556B">
      <w:pPr>
        <w:autoSpaceDE w:val="0"/>
        <w:autoSpaceDN w:val="0"/>
        <w:adjustRightInd w:val="0"/>
        <w:spacing w:after="0" w:line="240" w:lineRule="auto"/>
        <w:rPr>
          <w:rFonts w:cstheme="minorHAnsi"/>
        </w:rPr>
      </w:pPr>
    </w:p>
    <w:p w14:paraId="0100FD5E" w14:textId="09759286" w:rsidR="00775FBC" w:rsidRPr="0016556B" w:rsidRDefault="00855223" w:rsidP="0016556B">
      <w:pPr>
        <w:spacing w:after="120" w:line="240" w:lineRule="auto"/>
        <w:rPr>
          <w:rFonts w:cstheme="minorHAnsi"/>
        </w:rPr>
      </w:pPr>
      <w:r w:rsidRPr="0016556B">
        <w:rPr>
          <w:rFonts w:cstheme="minorHAnsi"/>
        </w:rPr>
        <w:t xml:space="preserve">An example of this problem is illustrated when </w:t>
      </w:r>
      <w:r w:rsidR="004D4282" w:rsidRPr="0016556B">
        <w:rPr>
          <w:rFonts w:cstheme="minorHAnsi"/>
        </w:rPr>
        <w:t xml:space="preserve">the U.S. Medicare agency released the hospital mortality rates to its beneficiaries in 1986. The mortality list showed the percentage of Medicare patients who died relative to the proportion expected based upon national statistics. For each hospital, the expected mortality rate of hospitals was adjusted for 89 variables that could affect performance. Results found that 142 hospitals had significantly higher death rates than predicted and 127 had significantly lower death rates. Of concern, </w:t>
      </w:r>
      <w:r w:rsidR="008D65A8" w:rsidRPr="0016556B">
        <w:rPr>
          <w:rFonts w:cstheme="minorHAnsi"/>
        </w:rPr>
        <w:t xml:space="preserve">for </w:t>
      </w:r>
      <w:r w:rsidR="004D4282" w:rsidRPr="0016556B">
        <w:rPr>
          <w:rFonts w:cstheme="minorHAnsi"/>
        </w:rPr>
        <w:t>the facility with the most aberrant death rates, 87.6</w:t>
      </w:r>
      <w:r w:rsidR="009C01AB">
        <w:rPr>
          <w:rFonts w:cstheme="minorHAnsi"/>
        </w:rPr>
        <w:t xml:space="preserve"> </w:t>
      </w:r>
      <w:r w:rsidR="00DB7CB2" w:rsidRPr="0016556B">
        <w:rPr>
          <w:rFonts w:cstheme="minorHAnsi"/>
        </w:rPr>
        <w:t>per cent</w:t>
      </w:r>
      <w:r w:rsidR="004D4282" w:rsidRPr="0016556B">
        <w:rPr>
          <w:rFonts w:cstheme="minorHAnsi"/>
        </w:rPr>
        <w:t xml:space="preserve"> of Medicare patients died relative to a predicted 22.5</w:t>
      </w:r>
      <w:r w:rsidR="00DB7CB2" w:rsidRPr="0016556B">
        <w:rPr>
          <w:rFonts w:cstheme="minorHAnsi"/>
        </w:rPr>
        <w:t>per cent</w:t>
      </w:r>
      <w:r w:rsidR="004D4282" w:rsidRPr="0016556B">
        <w:rPr>
          <w:rFonts w:cstheme="minorHAnsi"/>
        </w:rPr>
        <w:t>. This facility however cared for terminally ill patients. The government’s risk adjusted model did not adequately adjust for patient risks. These results lead to significant backlash from the medical industry</w:t>
      </w:r>
      <w:r w:rsidR="0036177C" w:rsidRPr="0016556B">
        <w:rPr>
          <w:rFonts w:cstheme="minorHAnsi"/>
        </w:rPr>
        <w:t xml:space="preserve"> (</w:t>
      </w:r>
      <w:r w:rsidR="0036177C" w:rsidRPr="009C01AB">
        <w:rPr>
          <w:rFonts w:cstheme="minorHAnsi"/>
        </w:rPr>
        <w:t>Brinkley, 1986</w:t>
      </w:r>
      <w:r w:rsidR="0036177C" w:rsidRPr="0016556B">
        <w:rPr>
          <w:rFonts w:cstheme="minorHAnsi"/>
        </w:rPr>
        <w:t>)</w:t>
      </w:r>
      <w:r w:rsidR="004D4282" w:rsidRPr="0016556B">
        <w:rPr>
          <w:rFonts w:cstheme="minorHAnsi"/>
        </w:rPr>
        <w:t xml:space="preserve">. </w:t>
      </w:r>
      <w:r w:rsidR="008D65A8" w:rsidRPr="0016556B">
        <w:rPr>
          <w:rFonts w:cstheme="minorHAnsi"/>
        </w:rPr>
        <w:t>That adjustments are not perfect</w:t>
      </w:r>
      <w:r w:rsidR="00D4142D" w:rsidRPr="0016556B">
        <w:rPr>
          <w:rFonts w:cstheme="minorHAnsi"/>
        </w:rPr>
        <w:t xml:space="preserve"> however does not imply that benchmarking is a superior alternative. The argument that </w:t>
      </w:r>
      <w:r w:rsidR="00775FBC" w:rsidRPr="0016556B">
        <w:rPr>
          <w:rFonts w:cstheme="minorHAnsi"/>
        </w:rPr>
        <w:t>there is noise in the regression model does not mean it isn’t useful. T</w:t>
      </w:r>
      <w:r w:rsidR="008D65A8" w:rsidRPr="0016556B">
        <w:rPr>
          <w:rFonts w:cstheme="minorHAnsi"/>
        </w:rPr>
        <w:t>he estimates of</w:t>
      </w:r>
      <w:r w:rsidR="00D4142D" w:rsidRPr="0016556B">
        <w:rPr>
          <w:rFonts w:cstheme="minorHAnsi"/>
        </w:rPr>
        <w:t xml:space="preserve"> specific explanatory variables </w:t>
      </w:r>
      <w:r w:rsidR="00775FBC" w:rsidRPr="0016556B">
        <w:rPr>
          <w:rFonts w:cstheme="minorHAnsi"/>
        </w:rPr>
        <w:t xml:space="preserve">can </w:t>
      </w:r>
      <w:r w:rsidR="008D65A8" w:rsidRPr="0016556B">
        <w:rPr>
          <w:rFonts w:cstheme="minorHAnsi"/>
        </w:rPr>
        <w:t xml:space="preserve">still </w:t>
      </w:r>
      <w:r w:rsidR="00775FBC" w:rsidRPr="0016556B">
        <w:rPr>
          <w:rFonts w:cstheme="minorHAnsi"/>
        </w:rPr>
        <w:t>be highly significant, implying that there are factors having an important effect on predicted performance and should be taken into account. As the Productivity Commission has argued:</w:t>
      </w:r>
    </w:p>
    <w:p w14:paraId="1E04B0AE" w14:textId="77777777" w:rsidR="00D4142D" w:rsidRPr="0026149A" w:rsidRDefault="00775FBC" w:rsidP="0016556B">
      <w:pPr>
        <w:autoSpaceDE w:val="0"/>
        <w:autoSpaceDN w:val="0"/>
        <w:adjustRightInd w:val="0"/>
        <w:spacing w:after="0" w:line="240" w:lineRule="auto"/>
        <w:ind w:left="567"/>
        <w:rPr>
          <w:rFonts w:ascii="Sabon-Roman" w:eastAsia="Sabon-Roman" w:cs="Sabon-Roman"/>
        </w:rPr>
      </w:pPr>
      <w:r w:rsidRPr="0016556B">
        <w:rPr>
          <w:rFonts w:cstheme="minorHAnsi"/>
        </w:rPr>
        <w:t xml:space="preserve">… the goal of the </w:t>
      </w:r>
      <w:r w:rsidR="007957F5" w:rsidRPr="0016556B">
        <w:rPr>
          <w:rFonts w:cstheme="minorHAnsi"/>
        </w:rPr>
        <w:t>Star Rating</w:t>
      </w:r>
      <w:r w:rsidRPr="0016556B">
        <w:rPr>
          <w:rFonts w:cstheme="minorHAnsi"/>
        </w:rPr>
        <w:t xml:space="preserve"> model is not perfection (which is impossible), but rather to capture the most salient differences between local labour markets and client mixes. There will be prediction errors, but the counterfactual of using raw performance outcomes as the basis for assessment would introduce far g</w:t>
      </w:r>
      <w:r w:rsidR="004C4D9A" w:rsidRPr="0016556B">
        <w:rPr>
          <w:rFonts w:cstheme="minorHAnsi"/>
        </w:rPr>
        <w:t>reater problems</w:t>
      </w:r>
      <w:r w:rsidRPr="0016556B">
        <w:rPr>
          <w:rFonts w:cstheme="minorHAnsi"/>
          <w:vertAlign w:val="superscript"/>
        </w:rPr>
        <w:footnoteReference w:id="10"/>
      </w:r>
      <w:r w:rsidRPr="0016556B">
        <w:rPr>
          <w:rFonts w:cstheme="minorHAnsi"/>
        </w:rPr>
        <w:t>.</w:t>
      </w:r>
    </w:p>
    <w:p w14:paraId="34FAB929" w14:textId="77777777" w:rsidR="004D4282" w:rsidRPr="0016556B" w:rsidRDefault="004D4282" w:rsidP="0016556B">
      <w:pPr>
        <w:autoSpaceDE w:val="0"/>
        <w:autoSpaceDN w:val="0"/>
        <w:adjustRightInd w:val="0"/>
        <w:spacing w:after="0" w:line="240" w:lineRule="auto"/>
        <w:rPr>
          <w:rFonts w:cstheme="minorHAnsi"/>
        </w:rPr>
      </w:pPr>
    </w:p>
    <w:p w14:paraId="119E36D9" w14:textId="77777777" w:rsidR="00584727" w:rsidRPr="00AE3BED" w:rsidRDefault="00584727" w:rsidP="00AE3BED">
      <w:pPr>
        <w:pStyle w:val="Heading2"/>
        <w:keepNext/>
        <w:numPr>
          <w:ilvl w:val="1"/>
          <w:numId w:val="16"/>
        </w:numPr>
        <w:spacing w:before="240" w:beforeAutospacing="0" w:after="240" w:afterAutospacing="0"/>
        <w:ind w:left="0" w:firstLine="0"/>
        <w:rPr>
          <w:rFonts w:ascii="Calibri" w:hAnsi="Calibri" w:cs="Arial"/>
          <w:i/>
          <w:iCs/>
          <w:sz w:val="28"/>
          <w:szCs w:val="28"/>
        </w:rPr>
      </w:pPr>
      <w:bookmarkStart w:id="30" w:name="_Toc365872649"/>
      <w:r w:rsidRPr="00AE3BED">
        <w:rPr>
          <w:rFonts w:ascii="Calibri" w:hAnsi="Calibri" w:cs="Arial"/>
          <w:i/>
          <w:iCs/>
          <w:sz w:val="28"/>
          <w:szCs w:val="28"/>
        </w:rPr>
        <w:t>Quality</w:t>
      </w:r>
      <w:bookmarkEnd w:id="30"/>
    </w:p>
    <w:p w14:paraId="7DAACF99" w14:textId="77777777" w:rsidR="00F05CDF" w:rsidRPr="0016556B" w:rsidRDefault="00584727" w:rsidP="0016556B">
      <w:pPr>
        <w:autoSpaceDE w:val="0"/>
        <w:autoSpaceDN w:val="0"/>
        <w:adjustRightInd w:val="0"/>
        <w:spacing w:after="0" w:line="240" w:lineRule="auto"/>
        <w:rPr>
          <w:rFonts w:cstheme="minorHAnsi"/>
        </w:rPr>
      </w:pPr>
      <w:r w:rsidRPr="0016556B">
        <w:rPr>
          <w:rFonts w:cstheme="minorHAnsi"/>
        </w:rPr>
        <w:t xml:space="preserve">The quality of Australia’s employment services is defined as the degree to which employment services for individuals increase the likelihood of </w:t>
      </w:r>
      <w:r w:rsidRPr="00D13EE8">
        <w:rPr>
          <w:rFonts w:cstheme="minorHAnsi"/>
          <w:u w:val="single"/>
        </w:rPr>
        <w:t>desired</w:t>
      </w:r>
      <w:r w:rsidRPr="0016556B">
        <w:rPr>
          <w:rFonts w:cstheme="minorHAnsi"/>
        </w:rPr>
        <w:t xml:space="preserve"> employment outcomes.</w:t>
      </w:r>
      <w:r w:rsidR="0049698B" w:rsidRPr="0016556B">
        <w:rPr>
          <w:rFonts w:cstheme="minorHAnsi"/>
        </w:rPr>
        <w:t xml:space="preserve"> It is imperative that </w:t>
      </w:r>
      <w:r w:rsidR="007957F5" w:rsidRPr="0016556B">
        <w:rPr>
          <w:rFonts w:cstheme="minorHAnsi"/>
        </w:rPr>
        <w:t>job seeker</w:t>
      </w:r>
      <w:r w:rsidR="0049698B" w:rsidRPr="0016556B">
        <w:rPr>
          <w:rFonts w:cstheme="minorHAnsi"/>
        </w:rPr>
        <w:t xml:space="preserve">s receive high quality services from providers and that </w:t>
      </w:r>
      <w:r w:rsidR="003E6768" w:rsidRPr="0016556B">
        <w:rPr>
          <w:rFonts w:cstheme="minorHAnsi"/>
        </w:rPr>
        <w:t>they are rewarded for doing so.</w:t>
      </w:r>
      <w:r w:rsidRPr="0016556B">
        <w:rPr>
          <w:rFonts w:cstheme="minorHAnsi"/>
        </w:rPr>
        <w:t xml:space="preserve"> </w:t>
      </w:r>
      <w:r w:rsidR="00F05CDF" w:rsidRPr="0016556B">
        <w:rPr>
          <w:rFonts w:cstheme="minorHAnsi"/>
        </w:rPr>
        <w:t xml:space="preserve">A </w:t>
      </w:r>
      <w:r w:rsidR="00F05CDF" w:rsidRPr="0016556B">
        <w:rPr>
          <w:rFonts w:cstheme="minorHAnsi"/>
        </w:rPr>
        <w:lastRenderedPageBreak/>
        <w:t xml:space="preserve">valid measure of provider quality of service should be able to distinguish accurately between providers that are delivering </w:t>
      </w:r>
      <w:r w:rsidR="00554ED8" w:rsidRPr="0016556B">
        <w:rPr>
          <w:rFonts w:cstheme="minorHAnsi"/>
        </w:rPr>
        <w:t xml:space="preserve">a </w:t>
      </w:r>
      <w:r w:rsidR="00F05CDF" w:rsidRPr="0016556B">
        <w:rPr>
          <w:rFonts w:cstheme="minorHAnsi"/>
        </w:rPr>
        <w:t xml:space="preserve">service of acceptable quality and those delivering </w:t>
      </w:r>
      <w:r w:rsidR="00554ED8" w:rsidRPr="0016556B">
        <w:rPr>
          <w:rFonts w:cstheme="minorHAnsi"/>
        </w:rPr>
        <w:t xml:space="preserve">a </w:t>
      </w:r>
      <w:r w:rsidR="00F05CDF" w:rsidRPr="0016556B">
        <w:rPr>
          <w:rFonts w:cstheme="minorHAnsi"/>
        </w:rPr>
        <w:t xml:space="preserve">poor-quality </w:t>
      </w:r>
      <w:r w:rsidR="004E2BC0" w:rsidRPr="0016556B">
        <w:rPr>
          <w:rFonts w:cstheme="minorHAnsi"/>
        </w:rPr>
        <w:t>service</w:t>
      </w:r>
      <w:r w:rsidR="00F05CDF" w:rsidRPr="0016556B">
        <w:rPr>
          <w:rFonts w:cstheme="minorHAnsi"/>
        </w:rPr>
        <w:t xml:space="preserve">. </w:t>
      </w:r>
      <w:r w:rsidRPr="0016556B">
        <w:rPr>
          <w:rFonts w:cstheme="minorHAnsi"/>
        </w:rPr>
        <w:t xml:space="preserve">Variations in </w:t>
      </w:r>
      <w:r w:rsidR="0038211A" w:rsidRPr="0016556B">
        <w:rPr>
          <w:rFonts w:cstheme="minorHAnsi"/>
        </w:rPr>
        <w:t>employment outcomes have been taken to indicate variations in the quality of the service provided.</w:t>
      </w:r>
      <w:r w:rsidR="0049698B" w:rsidRPr="0016556B">
        <w:rPr>
          <w:rFonts w:cstheme="minorHAnsi"/>
        </w:rPr>
        <w:t xml:space="preserve"> This is because providers who are implementing better practices to help </w:t>
      </w:r>
      <w:r w:rsidR="007957F5" w:rsidRPr="0016556B">
        <w:rPr>
          <w:rFonts w:cstheme="minorHAnsi"/>
        </w:rPr>
        <w:t>job seeker</w:t>
      </w:r>
      <w:r w:rsidR="0049698B" w:rsidRPr="0016556B">
        <w:rPr>
          <w:rFonts w:cstheme="minorHAnsi"/>
        </w:rPr>
        <w:t>s will generate better outcomes.</w:t>
      </w:r>
      <w:r w:rsidR="003E6768" w:rsidRPr="0016556B">
        <w:rPr>
          <w:rFonts w:cstheme="minorHAnsi"/>
        </w:rPr>
        <w:t xml:space="preserve"> Outcome rates are adjusted for characteristics of the provider’s caseload and labour market conditions to separate the contribution of provider and non-provider effects. This is used to calculate a residual unexplained variation that may implicate the quality of service provided. It could be the case though that </w:t>
      </w:r>
      <w:r w:rsidR="00870A12" w:rsidRPr="0016556B">
        <w:rPr>
          <w:rFonts w:cstheme="minorHAnsi"/>
        </w:rPr>
        <w:t>this residual variation</w:t>
      </w:r>
      <w:r w:rsidR="003E6768" w:rsidRPr="0016556B">
        <w:rPr>
          <w:rFonts w:cstheme="minorHAnsi"/>
        </w:rPr>
        <w:t xml:space="preserve"> does not reflect </w:t>
      </w:r>
      <w:r w:rsidR="00870A12" w:rsidRPr="0016556B">
        <w:rPr>
          <w:rFonts w:cstheme="minorHAnsi"/>
        </w:rPr>
        <w:t xml:space="preserve">differences in </w:t>
      </w:r>
      <w:r w:rsidR="003E6768" w:rsidRPr="0016556B">
        <w:rPr>
          <w:rFonts w:cstheme="minorHAnsi"/>
        </w:rPr>
        <w:t xml:space="preserve">underlying quality of service but </w:t>
      </w:r>
      <w:r w:rsidR="00870A12" w:rsidRPr="0016556B">
        <w:rPr>
          <w:rFonts w:cstheme="minorHAnsi"/>
        </w:rPr>
        <w:t>random noise</w:t>
      </w:r>
      <w:r w:rsidR="003E6768" w:rsidRPr="0016556B">
        <w:rPr>
          <w:rFonts w:cstheme="minorHAnsi"/>
        </w:rPr>
        <w:t>.</w:t>
      </w:r>
      <w:r w:rsidR="0038211A" w:rsidRPr="0016556B">
        <w:rPr>
          <w:rFonts w:cstheme="minorHAnsi"/>
        </w:rPr>
        <w:t xml:space="preserve"> If </w:t>
      </w:r>
      <w:r w:rsidR="00870A12" w:rsidRPr="0016556B">
        <w:rPr>
          <w:rFonts w:cstheme="minorHAnsi"/>
        </w:rPr>
        <w:t>this is true</w:t>
      </w:r>
      <w:r w:rsidR="0049698B" w:rsidRPr="0016556B">
        <w:rPr>
          <w:rFonts w:cstheme="minorHAnsi"/>
        </w:rPr>
        <w:t>, then differences in performance between provide</w:t>
      </w:r>
      <w:r w:rsidR="00870A12" w:rsidRPr="0016556B">
        <w:rPr>
          <w:rFonts w:cstheme="minorHAnsi"/>
        </w:rPr>
        <w:t>r</w:t>
      </w:r>
      <w:r w:rsidR="0049698B" w:rsidRPr="0016556B">
        <w:rPr>
          <w:rFonts w:cstheme="minorHAnsi"/>
        </w:rPr>
        <w:t xml:space="preserve">s do not reflect differences in quality </w:t>
      </w:r>
      <w:r w:rsidR="00870A12" w:rsidRPr="0016556B">
        <w:rPr>
          <w:rFonts w:cstheme="minorHAnsi"/>
        </w:rPr>
        <w:t xml:space="preserve">but differences in unexplained factors. </w:t>
      </w:r>
    </w:p>
    <w:p w14:paraId="1CEB21F3" w14:textId="77777777" w:rsidR="00F05CDF" w:rsidRPr="0016556B" w:rsidRDefault="00F05CDF" w:rsidP="0016556B">
      <w:pPr>
        <w:autoSpaceDE w:val="0"/>
        <w:autoSpaceDN w:val="0"/>
        <w:adjustRightInd w:val="0"/>
        <w:spacing w:after="0" w:line="240" w:lineRule="auto"/>
        <w:rPr>
          <w:rFonts w:cstheme="minorHAnsi"/>
        </w:rPr>
      </w:pPr>
    </w:p>
    <w:p w14:paraId="03821ECE" w14:textId="1754B44E" w:rsidR="004E2BC0" w:rsidRPr="0016556B" w:rsidRDefault="00F05CDF" w:rsidP="0016556B">
      <w:pPr>
        <w:autoSpaceDE w:val="0"/>
        <w:autoSpaceDN w:val="0"/>
        <w:adjustRightInd w:val="0"/>
        <w:spacing w:after="0" w:line="240" w:lineRule="auto"/>
        <w:rPr>
          <w:rFonts w:cstheme="minorHAnsi"/>
        </w:rPr>
      </w:pPr>
      <w:r w:rsidRPr="0016556B">
        <w:rPr>
          <w:rFonts w:cstheme="minorHAnsi"/>
        </w:rPr>
        <w:t>The relationship between outcomes and quality of service can be examined by testing the correlation between a provider’s outcome rates and their adherence to certain standards of service that are evidenced to improve outcomes</w:t>
      </w:r>
      <w:r w:rsidR="004D13A2" w:rsidRPr="0016556B">
        <w:rPr>
          <w:rFonts w:cstheme="minorHAnsi"/>
        </w:rPr>
        <w:t xml:space="preserve"> (</w:t>
      </w:r>
      <w:r w:rsidR="0028743A" w:rsidRPr="00D13EE8">
        <w:rPr>
          <w:rFonts w:cstheme="minorHAnsi"/>
        </w:rPr>
        <w:t>Ben-Tovim</w:t>
      </w:r>
      <w:r w:rsidR="00661186" w:rsidRPr="00D13EE8">
        <w:rPr>
          <w:rFonts w:cstheme="minorHAnsi"/>
        </w:rPr>
        <w:t xml:space="preserve"> et al.</w:t>
      </w:r>
      <w:r w:rsidR="0028743A" w:rsidRPr="00D13EE8">
        <w:rPr>
          <w:rFonts w:cstheme="minorHAnsi"/>
        </w:rPr>
        <w:t>, 2009</w:t>
      </w:r>
      <w:r w:rsidR="0028743A" w:rsidRPr="0016556B">
        <w:rPr>
          <w:rFonts w:cstheme="minorHAnsi"/>
        </w:rPr>
        <w:t>)</w:t>
      </w:r>
      <w:r w:rsidRPr="0016556B">
        <w:rPr>
          <w:rFonts w:cstheme="minorHAnsi"/>
        </w:rPr>
        <w:t xml:space="preserve">. For example, if </w:t>
      </w:r>
      <w:r w:rsidR="004E2BC0" w:rsidRPr="0016556B">
        <w:rPr>
          <w:rFonts w:cstheme="minorHAnsi"/>
        </w:rPr>
        <w:t xml:space="preserve">increasing the time spent with a </w:t>
      </w:r>
      <w:r w:rsidR="007957F5" w:rsidRPr="0016556B">
        <w:rPr>
          <w:rFonts w:cstheme="minorHAnsi"/>
        </w:rPr>
        <w:t>job seeker</w:t>
      </w:r>
      <w:r w:rsidR="004E2BC0" w:rsidRPr="0016556B">
        <w:rPr>
          <w:rFonts w:cstheme="minorHAnsi"/>
        </w:rPr>
        <w:t xml:space="preserve"> at the initial interview improves outcomes, then differences in this process measure </w:t>
      </w:r>
      <w:r w:rsidR="007B181B" w:rsidRPr="0016556B">
        <w:rPr>
          <w:rFonts w:cstheme="minorHAnsi"/>
        </w:rPr>
        <w:t xml:space="preserve">across providers </w:t>
      </w:r>
      <w:r w:rsidR="004E2BC0" w:rsidRPr="0016556B">
        <w:rPr>
          <w:rFonts w:cstheme="minorHAnsi"/>
        </w:rPr>
        <w:t>should explain differences in provider performance</w:t>
      </w:r>
      <w:r w:rsidR="007B181B" w:rsidRPr="0016556B">
        <w:rPr>
          <w:rFonts w:cstheme="minorHAnsi"/>
        </w:rPr>
        <w:t xml:space="preserve"> as measured by </w:t>
      </w:r>
      <w:r w:rsidR="007957F5" w:rsidRPr="0016556B">
        <w:rPr>
          <w:rFonts w:cstheme="minorHAnsi"/>
        </w:rPr>
        <w:t>Star Rating</w:t>
      </w:r>
      <w:r w:rsidR="007B181B" w:rsidRPr="0016556B">
        <w:rPr>
          <w:rFonts w:cstheme="minorHAnsi"/>
        </w:rPr>
        <w:t>s</w:t>
      </w:r>
      <w:r w:rsidR="004E2BC0" w:rsidRPr="0016556B">
        <w:rPr>
          <w:rFonts w:cstheme="minorHAnsi"/>
        </w:rPr>
        <w:t xml:space="preserve">. If process-based measures have no correlation to the rating of providers, then it might be assumed that </w:t>
      </w:r>
      <w:r w:rsidR="007957F5" w:rsidRPr="0016556B">
        <w:rPr>
          <w:rFonts w:cstheme="minorHAnsi"/>
        </w:rPr>
        <w:t>Star Rating</w:t>
      </w:r>
      <w:r w:rsidR="004E2BC0" w:rsidRPr="0016556B">
        <w:rPr>
          <w:rFonts w:cstheme="minorHAnsi"/>
        </w:rPr>
        <w:t xml:space="preserve">s do not convey differences in quality. </w:t>
      </w:r>
      <w:r w:rsidR="007B181B" w:rsidRPr="0016556B">
        <w:rPr>
          <w:rFonts w:cstheme="minorHAnsi"/>
        </w:rPr>
        <w:t>Though conceptually an applicable test of quality, it</w:t>
      </w:r>
      <w:r w:rsidR="00554ED8" w:rsidRPr="0016556B">
        <w:rPr>
          <w:rFonts w:cstheme="minorHAnsi"/>
        </w:rPr>
        <w:t xml:space="preserve"> is </w:t>
      </w:r>
      <w:r w:rsidR="007B181B" w:rsidRPr="0016556B">
        <w:rPr>
          <w:rFonts w:cstheme="minorHAnsi"/>
        </w:rPr>
        <w:t>fraught with difficulties</w:t>
      </w:r>
      <w:r w:rsidR="00554ED8" w:rsidRPr="0016556B">
        <w:rPr>
          <w:rFonts w:cstheme="minorHAnsi"/>
        </w:rPr>
        <w:t>. First, there are currently no evidenced-based practices</w:t>
      </w:r>
      <w:r w:rsidR="0028743A" w:rsidRPr="0016556B">
        <w:rPr>
          <w:rFonts w:cstheme="minorHAnsi"/>
        </w:rPr>
        <w:t xml:space="preserve"> known to improve outcomes</w:t>
      </w:r>
      <w:r w:rsidR="00554ED8" w:rsidRPr="0016556B">
        <w:rPr>
          <w:rFonts w:cstheme="minorHAnsi"/>
        </w:rPr>
        <w:t xml:space="preserve"> that apply across the range of participants that use employment services. </w:t>
      </w:r>
      <w:r w:rsidR="0028743A" w:rsidRPr="0016556B">
        <w:rPr>
          <w:rFonts w:cstheme="minorHAnsi"/>
        </w:rPr>
        <w:t xml:space="preserve">Second, process-measures are not immune from bias as more disadvantaged participants are more challenging than less disadvantaged participants, tilting the playing field against those who help harder to serve </w:t>
      </w:r>
      <w:r w:rsidR="007957F5" w:rsidRPr="0016556B">
        <w:rPr>
          <w:rFonts w:cstheme="minorHAnsi"/>
        </w:rPr>
        <w:t>job seeker</w:t>
      </w:r>
      <w:r w:rsidR="0028743A" w:rsidRPr="0016556B">
        <w:rPr>
          <w:rFonts w:cstheme="minorHAnsi"/>
        </w:rPr>
        <w:t>s. Finally, quality measures may be associated with improved outcomes for two reasons. First, measured activities may directly improve care. Second, success on these measures may be a marker for other unmeasured aspects of high quality care. If the latter is true, observed differences in outcomes will be larger than expected differences as measured by process-indicators</w:t>
      </w:r>
      <w:r w:rsidR="00903B21" w:rsidRPr="0016556B">
        <w:rPr>
          <w:rFonts w:cstheme="minorHAnsi"/>
        </w:rPr>
        <w:t xml:space="preserve"> (</w:t>
      </w:r>
      <w:r w:rsidR="00903B21" w:rsidRPr="00D13EE8">
        <w:rPr>
          <w:rFonts w:cstheme="minorHAnsi"/>
        </w:rPr>
        <w:t>Werner</w:t>
      </w:r>
      <w:r w:rsidR="00F720E9" w:rsidRPr="00D13EE8">
        <w:rPr>
          <w:rFonts w:cstheme="minorHAnsi"/>
        </w:rPr>
        <w:t>, Bradlow and Asch</w:t>
      </w:r>
      <w:r w:rsidR="0076638C" w:rsidRPr="00D13EE8">
        <w:rPr>
          <w:rFonts w:cstheme="minorHAnsi"/>
        </w:rPr>
        <w:t>, 2008</w:t>
      </w:r>
      <w:r w:rsidR="0076638C" w:rsidRPr="0016556B">
        <w:rPr>
          <w:rFonts w:cstheme="minorHAnsi"/>
        </w:rPr>
        <w:t>).</w:t>
      </w:r>
      <w:r w:rsidR="0028743A" w:rsidRPr="0016556B">
        <w:rPr>
          <w:rFonts w:cstheme="minorHAnsi"/>
        </w:rPr>
        <w:t xml:space="preserve"> This would suggest that the </w:t>
      </w:r>
      <w:r w:rsidR="00D13EE8">
        <w:rPr>
          <w:rFonts w:cstheme="minorHAnsi"/>
        </w:rPr>
        <w:t>Star </w:t>
      </w:r>
      <w:r w:rsidR="007957F5" w:rsidRPr="0016556B">
        <w:rPr>
          <w:rFonts w:cstheme="minorHAnsi"/>
        </w:rPr>
        <w:t>Rating</w:t>
      </w:r>
      <w:r w:rsidR="0028743A" w:rsidRPr="0016556B">
        <w:rPr>
          <w:rFonts w:cstheme="minorHAnsi"/>
        </w:rPr>
        <w:t xml:space="preserve">s model does not accurately measure differences in quality when it is in reality the failure of process-measures to accurately do so. </w:t>
      </w:r>
      <w:r w:rsidR="007B181B" w:rsidRPr="0016556B">
        <w:rPr>
          <w:rFonts w:cstheme="minorHAnsi"/>
        </w:rPr>
        <w:t xml:space="preserve">Finally, as benchmarks are also applied to outcomes, challenges in measuring quality will still be applicable under a benchmarking model. </w:t>
      </w:r>
    </w:p>
    <w:p w14:paraId="31E468CD" w14:textId="77777777" w:rsidR="00CC25B5" w:rsidRPr="00AE3BED" w:rsidRDefault="00C46784" w:rsidP="00AE3BED">
      <w:pPr>
        <w:pStyle w:val="Heading2"/>
        <w:keepNext/>
        <w:numPr>
          <w:ilvl w:val="1"/>
          <w:numId w:val="16"/>
        </w:numPr>
        <w:spacing w:before="240" w:beforeAutospacing="0" w:after="240" w:afterAutospacing="0"/>
        <w:ind w:left="0" w:firstLine="0"/>
        <w:rPr>
          <w:rFonts w:ascii="Calibri" w:hAnsi="Calibri" w:cs="Arial"/>
          <w:i/>
          <w:iCs/>
          <w:sz w:val="28"/>
          <w:szCs w:val="28"/>
        </w:rPr>
      </w:pPr>
      <w:bookmarkStart w:id="31" w:name="_Toc365872650"/>
      <w:r w:rsidRPr="00AE3BED">
        <w:rPr>
          <w:rFonts w:ascii="Calibri" w:hAnsi="Calibri" w:cs="Arial"/>
          <w:i/>
          <w:iCs/>
          <w:sz w:val="28"/>
          <w:szCs w:val="28"/>
        </w:rPr>
        <w:t>Equity</w:t>
      </w:r>
      <w:bookmarkEnd w:id="31"/>
    </w:p>
    <w:p w14:paraId="22956182" w14:textId="77777777" w:rsidR="008E41CC" w:rsidRDefault="00C46784" w:rsidP="008E41CC">
      <w:pPr>
        <w:spacing w:after="0" w:line="240" w:lineRule="auto"/>
        <w:rPr>
          <w:rFonts w:cstheme="minorHAnsi"/>
        </w:rPr>
      </w:pPr>
      <w:r w:rsidRPr="008E41CC">
        <w:rPr>
          <w:rFonts w:cstheme="minorHAnsi"/>
        </w:rPr>
        <w:t xml:space="preserve">The </w:t>
      </w:r>
      <w:r w:rsidR="007957F5" w:rsidRPr="008E41CC">
        <w:rPr>
          <w:rFonts w:cstheme="minorHAnsi"/>
        </w:rPr>
        <w:t>Star Rating</w:t>
      </w:r>
      <w:r w:rsidRPr="008E41CC">
        <w:rPr>
          <w:rFonts w:cstheme="minorHAnsi"/>
        </w:rPr>
        <w:t xml:space="preserve">s model seeks to provide equity in terms of provider performance by taking into account factors affecting performance external to the provider. An alternative conception is the need to focus on equity in outcomes. It may be argued that if it is important to place highly disadvantaged </w:t>
      </w:r>
      <w:r w:rsidR="007957F5" w:rsidRPr="008E41CC">
        <w:rPr>
          <w:rFonts w:cstheme="minorHAnsi"/>
        </w:rPr>
        <w:t>job seeker</w:t>
      </w:r>
      <w:r w:rsidRPr="008E41CC">
        <w:rPr>
          <w:rFonts w:cstheme="minorHAnsi"/>
        </w:rPr>
        <w:t xml:space="preserve">s into employment, then the performance standard should be the same across all organisations, regardless of the challenges this poses to some organisation to achieve minimum levels of performance. </w:t>
      </w:r>
      <w:r w:rsidR="00BF3851" w:rsidRPr="008E41CC">
        <w:rPr>
          <w:rFonts w:cstheme="minorHAnsi"/>
        </w:rPr>
        <w:t>This is because</w:t>
      </w:r>
      <w:r w:rsidRPr="008E41CC">
        <w:rPr>
          <w:rFonts w:cstheme="minorHAnsi"/>
        </w:rPr>
        <w:t xml:space="preserve"> a </w:t>
      </w:r>
      <w:r w:rsidR="007957F5" w:rsidRPr="008E41CC">
        <w:rPr>
          <w:rFonts w:cstheme="minorHAnsi"/>
        </w:rPr>
        <w:t>job seeker</w:t>
      </w:r>
      <w:r w:rsidR="001B02C8" w:rsidRPr="008E41CC">
        <w:rPr>
          <w:rFonts w:cstheme="minorHAnsi"/>
        </w:rPr>
        <w:t xml:space="preserve"> with high barriers to employment should be allowed to have the same access to opportunity regardless of where they live.</w:t>
      </w:r>
    </w:p>
    <w:p w14:paraId="57CA7451" w14:textId="77777777" w:rsidR="008E41CC" w:rsidRDefault="008E41CC" w:rsidP="008E41CC">
      <w:pPr>
        <w:spacing w:after="0" w:line="240" w:lineRule="auto"/>
        <w:rPr>
          <w:rFonts w:cstheme="minorHAnsi"/>
        </w:rPr>
      </w:pPr>
    </w:p>
    <w:p w14:paraId="0CDD3B32" w14:textId="64CC7116" w:rsidR="00C46784" w:rsidRDefault="005A3C97" w:rsidP="008E41CC">
      <w:pPr>
        <w:spacing w:after="0" w:line="240" w:lineRule="auto"/>
        <w:rPr>
          <w:rFonts w:cstheme="minorHAnsi"/>
        </w:rPr>
      </w:pPr>
      <w:r w:rsidRPr="008E41CC">
        <w:rPr>
          <w:rFonts w:cstheme="minorHAnsi"/>
        </w:rPr>
        <w:t>Employing an absolute benchmarking model</w:t>
      </w:r>
      <w:r w:rsidR="00ED180D" w:rsidRPr="008E41CC">
        <w:rPr>
          <w:rFonts w:cstheme="minorHAnsi"/>
        </w:rPr>
        <w:t xml:space="preserve"> can achieve this aim through setting the same standard for all employment providers.</w:t>
      </w:r>
      <w:r w:rsidR="001B02C8" w:rsidRPr="008E41CC">
        <w:rPr>
          <w:rFonts w:cstheme="minorHAnsi"/>
        </w:rPr>
        <w:t xml:space="preserve"> This was the approach taken in the </w:t>
      </w:r>
      <w:r w:rsidR="006B36C7" w:rsidRPr="008E41CC">
        <w:rPr>
          <w:rFonts w:cstheme="minorHAnsi"/>
        </w:rPr>
        <w:t xml:space="preserve">U.S. </w:t>
      </w:r>
      <w:r w:rsidR="001B02C8" w:rsidRPr="008E41CC">
        <w:rPr>
          <w:rFonts w:cstheme="minorHAnsi"/>
        </w:rPr>
        <w:t xml:space="preserve">No Child Left Behind (NCLB) Act, which </w:t>
      </w:r>
      <w:r w:rsidR="006B36C7" w:rsidRPr="008E41CC">
        <w:rPr>
          <w:rFonts w:cstheme="minorHAnsi"/>
        </w:rPr>
        <w:t xml:space="preserve">required </w:t>
      </w:r>
      <w:r w:rsidR="008E41CC">
        <w:rPr>
          <w:rFonts w:cstheme="minorHAnsi"/>
        </w:rPr>
        <w:t>S</w:t>
      </w:r>
      <w:r w:rsidR="006B36C7" w:rsidRPr="008E41CC">
        <w:rPr>
          <w:rFonts w:cstheme="minorHAnsi"/>
        </w:rPr>
        <w:t>tates to set standards for reading and mathematics proficiency and ensure that all children meet these minimum requirements within</w:t>
      </w:r>
      <w:r w:rsidRPr="008E41CC">
        <w:rPr>
          <w:rFonts w:cstheme="minorHAnsi"/>
        </w:rPr>
        <w:t xml:space="preserve"> a</w:t>
      </w:r>
      <w:r w:rsidR="006B36C7" w:rsidRPr="008E41CC">
        <w:rPr>
          <w:rFonts w:cstheme="minorHAnsi"/>
        </w:rPr>
        <w:t xml:space="preserve"> specified timeframe</w:t>
      </w:r>
      <w:r w:rsidR="002138AA" w:rsidRPr="008E41CC">
        <w:rPr>
          <w:rFonts w:cstheme="minorHAnsi"/>
        </w:rPr>
        <w:t xml:space="preserve">. </w:t>
      </w:r>
      <w:r w:rsidR="00BF3851" w:rsidRPr="008E41CC">
        <w:rPr>
          <w:rFonts w:cstheme="minorHAnsi"/>
        </w:rPr>
        <w:t xml:space="preserve">The system promotes standards-based education; a system where high standards are set and measurable goals are defined to achieve better individual education outcomes. </w:t>
      </w:r>
      <w:r w:rsidR="002138AA" w:rsidRPr="008E41CC">
        <w:rPr>
          <w:rFonts w:cstheme="minorHAnsi"/>
        </w:rPr>
        <w:t>The No Child Left Behind Act of 2001 (NCLB) mandates that 100</w:t>
      </w:r>
      <w:r w:rsidR="008E41CC">
        <w:rPr>
          <w:rFonts w:cstheme="minorHAnsi"/>
        </w:rPr>
        <w:t xml:space="preserve"> </w:t>
      </w:r>
      <w:r w:rsidR="00DB7CB2" w:rsidRPr="008E41CC">
        <w:rPr>
          <w:rFonts w:cstheme="minorHAnsi"/>
        </w:rPr>
        <w:t>per cent</w:t>
      </w:r>
      <w:r w:rsidR="002138AA" w:rsidRPr="008E41CC">
        <w:rPr>
          <w:rFonts w:cstheme="minorHAnsi"/>
        </w:rPr>
        <w:t xml:space="preserve"> of American students will be proficien</w:t>
      </w:r>
      <w:r w:rsidR="00ED51D7" w:rsidRPr="008E41CC">
        <w:rPr>
          <w:rFonts w:cstheme="minorHAnsi"/>
        </w:rPr>
        <w:t>t in English Language Arts</w:t>
      </w:r>
      <w:r w:rsidR="002138AA" w:rsidRPr="008E41CC">
        <w:rPr>
          <w:rFonts w:cstheme="minorHAnsi"/>
        </w:rPr>
        <w:t xml:space="preserve"> and mathematics by the year 2014 (</w:t>
      </w:r>
      <w:r w:rsidR="002138AA" w:rsidRPr="00D13EE8">
        <w:rPr>
          <w:rFonts w:cstheme="minorHAnsi"/>
        </w:rPr>
        <w:t>Rosenberg, 2004</w:t>
      </w:r>
      <w:r w:rsidR="002138AA" w:rsidRPr="008E41CC">
        <w:rPr>
          <w:rFonts w:cstheme="minorHAnsi"/>
        </w:rPr>
        <w:t xml:space="preserve">). Rather than implementing a nation-wide performance framework, NCLB is administered by individual states which develop annual </w:t>
      </w:r>
      <w:r w:rsidR="002138AA" w:rsidRPr="008E41CC">
        <w:rPr>
          <w:rFonts w:cstheme="minorHAnsi"/>
        </w:rPr>
        <w:lastRenderedPageBreak/>
        <w:t xml:space="preserve">measurable objectives (AMOs) to determine whether or not a school, district or entire </w:t>
      </w:r>
      <w:r w:rsidR="008E41CC">
        <w:rPr>
          <w:rFonts w:cstheme="minorHAnsi"/>
        </w:rPr>
        <w:t>S</w:t>
      </w:r>
      <w:r w:rsidR="002138AA" w:rsidRPr="008E41CC">
        <w:rPr>
          <w:rFonts w:cstheme="minorHAnsi"/>
        </w:rPr>
        <w:t>tate is making adequate yearly progress (AYP) toward the 2014 projection (</w:t>
      </w:r>
      <w:r w:rsidR="002138AA" w:rsidRPr="00D13EE8">
        <w:rPr>
          <w:rFonts w:cstheme="minorHAnsi"/>
        </w:rPr>
        <w:t xml:space="preserve">Cronin et al, 2007). </w:t>
      </w:r>
      <w:r w:rsidR="006B36C7" w:rsidRPr="00D13EE8">
        <w:rPr>
          <w:rFonts w:cstheme="minorHAnsi"/>
        </w:rPr>
        <w:t xml:space="preserve">This </w:t>
      </w:r>
      <w:r w:rsidR="002138AA" w:rsidRPr="00D13EE8">
        <w:rPr>
          <w:rFonts w:cstheme="minorHAnsi"/>
        </w:rPr>
        <w:t xml:space="preserve">performance requirement </w:t>
      </w:r>
      <w:r w:rsidR="006B36C7" w:rsidRPr="00D13EE8">
        <w:rPr>
          <w:rFonts w:cstheme="minorHAnsi"/>
        </w:rPr>
        <w:t xml:space="preserve">was irrespective of the child’s backgrounds, special needs, their school resources etc. </w:t>
      </w:r>
      <w:r w:rsidR="00ED180D" w:rsidRPr="00D13EE8">
        <w:rPr>
          <w:rFonts w:cstheme="minorHAnsi"/>
        </w:rPr>
        <w:t xml:space="preserve">This forced </w:t>
      </w:r>
      <w:r w:rsidR="008E41CC" w:rsidRPr="00D13EE8">
        <w:rPr>
          <w:rFonts w:cstheme="minorHAnsi"/>
        </w:rPr>
        <w:t>S</w:t>
      </w:r>
      <w:r w:rsidR="00ED180D" w:rsidRPr="00D13EE8">
        <w:rPr>
          <w:rFonts w:cstheme="minorHAnsi"/>
        </w:rPr>
        <w:t>tate’s to find innovative strategies to meet these performance standards. Texas and California were funding incentive awards for school districts, schools and principals where student progress was demonstrated</w:t>
      </w:r>
      <w:r w:rsidR="00A80361" w:rsidRPr="00D13EE8">
        <w:rPr>
          <w:rFonts w:cstheme="minorHAnsi"/>
        </w:rPr>
        <w:t xml:space="preserve">. Incentive awards were also given to individual teachers based upon their contribution to improved outcomes measured using value-added statistical models (House Research </w:t>
      </w:r>
      <w:r w:rsidR="00FD437C" w:rsidRPr="00D13EE8">
        <w:rPr>
          <w:rFonts w:cstheme="minorHAnsi"/>
        </w:rPr>
        <w:t>Organisation</w:t>
      </w:r>
      <w:r w:rsidR="00A80361" w:rsidRPr="00D13EE8">
        <w:rPr>
          <w:rFonts w:cstheme="minorHAnsi"/>
        </w:rPr>
        <w:t>, Texas House of Representatives, 2004</w:t>
      </w:r>
      <w:r w:rsidR="00A80361" w:rsidRPr="008E41CC">
        <w:rPr>
          <w:rFonts w:cstheme="minorHAnsi"/>
        </w:rPr>
        <w:t xml:space="preserve">). </w:t>
      </w:r>
    </w:p>
    <w:p w14:paraId="1E3492A1" w14:textId="77777777" w:rsidR="008E41CC" w:rsidRPr="008E41CC" w:rsidRDefault="008E41CC" w:rsidP="008E41CC">
      <w:pPr>
        <w:spacing w:after="0" w:line="240" w:lineRule="auto"/>
        <w:rPr>
          <w:rFonts w:cstheme="minorHAnsi"/>
        </w:rPr>
      </w:pPr>
    </w:p>
    <w:p w14:paraId="61E9FD6F" w14:textId="15C97A68" w:rsidR="00913AB5" w:rsidRPr="008E41CC" w:rsidRDefault="00DB1B7A" w:rsidP="008E41CC">
      <w:pPr>
        <w:autoSpaceDE w:val="0"/>
        <w:autoSpaceDN w:val="0"/>
        <w:adjustRightInd w:val="0"/>
        <w:spacing w:after="0" w:line="240" w:lineRule="auto"/>
        <w:rPr>
          <w:rFonts w:cstheme="minorHAnsi"/>
        </w:rPr>
      </w:pPr>
      <w:r w:rsidRPr="008E41CC">
        <w:rPr>
          <w:rFonts w:cstheme="minorHAnsi"/>
        </w:rPr>
        <w:t>Unfortunately, t</w:t>
      </w:r>
      <w:r w:rsidR="0021758A" w:rsidRPr="008E41CC">
        <w:rPr>
          <w:rFonts w:cstheme="minorHAnsi"/>
        </w:rPr>
        <w:t>he require</w:t>
      </w:r>
      <w:r w:rsidRPr="008E41CC">
        <w:rPr>
          <w:rFonts w:cstheme="minorHAnsi"/>
        </w:rPr>
        <w:t xml:space="preserve">ment that all students achieve the minimum performance level lead to </w:t>
      </w:r>
      <w:r w:rsidR="009B21D7" w:rsidRPr="008E41CC">
        <w:rPr>
          <w:rFonts w:cstheme="minorHAnsi"/>
        </w:rPr>
        <w:t>schools attempting to ‘game’ what was viewed as an unfair system (</w:t>
      </w:r>
      <w:r w:rsidR="009B21D7" w:rsidRPr="00D13EE8">
        <w:rPr>
          <w:rFonts w:cstheme="minorHAnsi"/>
        </w:rPr>
        <w:t>Barnow and Heinrich, 2010)</w:t>
      </w:r>
      <w:r w:rsidRPr="00D13EE8">
        <w:rPr>
          <w:rFonts w:cstheme="minorHAnsi"/>
        </w:rPr>
        <w:t xml:space="preserve">. </w:t>
      </w:r>
      <w:r w:rsidR="009B21D7" w:rsidRPr="00D13EE8">
        <w:rPr>
          <w:rFonts w:cstheme="minorHAnsi"/>
        </w:rPr>
        <w:t>Radin (2006) uncovered inten</w:t>
      </w:r>
      <w:r w:rsidR="009B21D7" w:rsidRPr="008E41CC">
        <w:rPr>
          <w:rFonts w:cstheme="minorHAnsi"/>
        </w:rPr>
        <w:t xml:space="preserve">tional underreporting of high school dropout numbers. </w:t>
      </w:r>
      <w:r w:rsidR="00751580" w:rsidRPr="008E41CC">
        <w:rPr>
          <w:rFonts w:cstheme="minorHAnsi"/>
        </w:rPr>
        <w:t>Jacob (2005) found significant incr</w:t>
      </w:r>
      <w:r w:rsidR="00BF3851" w:rsidRPr="008E41CC">
        <w:rPr>
          <w:rFonts w:cstheme="minorHAnsi"/>
        </w:rPr>
        <w:t>eases in reading and mat</w:t>
      </w:r>
      <w:r w:rsidR="00751580" w:rsidRPr="008E41CC">
        <w:rPr>
          <w:rFonts w:cstheme="minorHAnsi"/>
        </w:rPr>
        <w:t xml:space="preserve">h test scores in Chicago Public schools that were not consistent with prior trends but were </w:t>
      </w:r>
      <w:r w:rsidR="00685DCD" w:rsidRPr="008E41CC">
        <w:rPr>
          <w:rFonts w:cstheme="minorHAnsi"/>
        </w:rPr>
        <w:t>consistent</w:t>
      </w:r>
      <w:r w:rsidR="00751580" w:rsidRPr="008E41CC">
        <w:rPr>
          <w:rFonts w:cstheme="minorHAnsi"/>
        </w:rPr>
        <w:t xml:space="preserve"> with the NCLB incentives. Evidence indicated that resources were reallocated across subjects and </w:t>
      </w:r>
      <w:r w:rsidR="0013694B" w:rsidRPr="008E41CC">
        <w:rPr>
          <w:rFonts w:cstheme="minorHAnsi"/>
        </w:rPr>
        <w:t xml:space="preserve">increases in student special education, which was particularly pertinent in low-income schools. </w:t>
      </w:r>
      <w:r w:rsidR="0013694B" w:rsidRPr="00D13EE8">
        <w:rPr>
          <w:rFonts w:cstheme="minorHAnsi"/>
        </w:rPr>
        <w:t>Jacob and Levitt (2003</w:t>
      </w:r>
      <w:r w:rsidR="0013694B" w:rsidRPr="008E41CC">
        <w:rPr>
          <w:rFonts w:cstheme="minorHAnsi"/>
        </w:rPr>
        <w:t xml:space="preserve">) empirically document cheating by teachers who systematically altered student performance to increase test scores in order to meet minimum performance standards. </w:t>
      </w:r>
      <w:r w:rsidR="00773B53" w:rsidRPr="008E41CC">
        <w:rPr>
          <w:rFonts w:cstheme="minorHAnsi"/>
        </w:rPr>
        <w:t>This example highlights the problems that may arise in Australia’s employment services if an absolute benchmark is implemented. Providers with hard to serve clients or in poor labour market conditions may seek to game the system by parking</w:t>
      </w:r>
      <w:r w:rsidR="00D13EE8">
        <w:rPr>
          <w:rFonts w:cstheme="minorHAnsi"/>
        </w:rPr>
        <w:t xml:space="preserve"> more difficult</w:t>
      </w:r>
      <w:r w:rsidR="00773B53" w:rsidRPr="008E41CC">
        <w:rPr>
          <w:rFonts w:cstheme="minorHAnsi"/>
        </w:rPr>
        <w:t xml:space="preserve"> participants </w:t>
      </w:r>
      <w:r w:rsidR="00D13EE8">
        <w:rPr>
          <w:rFonts w:cstheme="minorHAnsi"/>
        </w:rPr>
        <w:t xml:space="preserve">(depending on their mix of participants) </w:t>
      </w:r>
      <w:r w:rsidR="00773B53" w:rsidRPr="008E41CC">
        <w:rPr>
          <w:rFonts w:cstheme="minorHAnsi"/>
        </w:rPr>
        <w:t xml:space="preserve">to improve performance in order to meet the benchmark. </w:t>
      </w:r>
    </w:p>
    <w:p w14:paraId="68AC6815" w14:textId="77777777" w:rsidR="00773B53" w:rsidRPr="008E41CC" w:rsidRDefault="00773B53" w:rsidP="008E41CC">
      <w:pPr>
        <w:autoSpaceDE w:val="0"/>
        <w:autoSpaceDN w:val="0"/>
        <w:adjustRightInd w:val="0"/>
        <w:spacing w:after="0" w:line="240" w:lineRule="auto"/>
        <w:rPr>
          <w:rFonts w:cstheme="minorHAnsi"/>
        </w:rPr>
      </w:pPr>
    </w:p>
    <w:p w14:paraId="3921E8E3" w14:textId="77777777" w:rsidR="0021758A" w:rsidRPr="008E41CC" w:rsidRDefault="00913AB5" w:rsidP="008E41CC">
      <w:pPr>
        <w:autoSpaceDE w:val="0"/>
        <w:autoSpaceDN w:val="0"/>
        <w:adjustRightInd w:val="0"/>
        <w:spacing w:after="0" w:line="240" w:lineRule="auto"/>
        <w:rPr>
          <w:rFonts w:cstheme="minorHAnsi"/>
        </w:rPr>
      </w:pPr>
      <w:r w:rsidRPr="008E41CC">
        <w:rPr>
          <w:rFonts w:cstheme="minorHAnsi"/>
        </w:rPr>
        <w:t>As another illustration</w:t>
      </w:r>
      <w:r w:rsidR="00773B53" w:rsidRPr="008E41CC">
        <w:rPr>
          <w:rFonts w:cstheme="minorHAnsi"/>
        </w:rPr>
        <w:t xml:space="preserve"> of seeking to achieve equity in outcomes</w:t>
      </w:r>
      <w:r w:rsidRPr="008E41CC">
        <w:rPr>
          <w:rFonts w:cstheme="minorHAnsi"/>
        </w:rPr>
        <w:t xml:space="preserve">, </w:t>
      </w:r>
      <w:r w:rsidR="000563C4" w:rsidRPr="00D13EE8">
        <w:rPr>
          <w:rFonts w:cstheme="minorHAnsi"/>
        </w:rPr>
        <w:t>Iezzoni (2010</w:t>
      </w:r>
      <w:r w:rsidR="006F62D1" w:rsidRPr="00D13EE8">
        <w:rPr>
          <w:rFonts w:cstheme="minorHAnsi"/>
        </w:rPr>
        <w:t>)</w:t>
      </w:r>
      <w:r w:rsidR="006F62D1" w:rsidRPr="008E41CC">
        <w:rPr>
          <w:rFonts w:cstheme="minorHAnsi"/>
        </w:rPr>
        <w:t xml:space="preserve"> </w:t>
      </w:r>
      <w:r w:rsidR="00685DCD" w:rsidRPr="008E41CC">
        <w:rPr>
          <w:rFonts w:cstheme="minorHAnsi"/>
        </w:rPr>
        <w:t>discuss</w:t>
      </w:r>
      <w:r w:rsidR="000563C4" w:rsidRPr="008E41CC">
        <w:rPr>
          <w:rFonts w:cstheme="minorHAnsi"/>
        </w:rPr>
        <w:t>es</w:t>
      </w:r>
      <w:r w:rsidR="00685DCD" w:rsidRPr="008E41CC">
        <w:rPr>
          <w:rFonts w:cstheme="minorHAnsi"/>
        </w:rPr>
        <w:t xml:space="preserve"> the </w:t>
      </w:r>
      <w:r w:rsidR="00EB2835" w:rsidRPr="008E41CC">
        <w:rPr>
          <w:rFonts w:cstheme="minorHAnsi"/>
        </w:rPr>
        <w:t>problem</w:t>
      </w:r>
      <w:r w:rsidR="00685DCD" w:rsidRPr="008E41CC">
        <w:rPr>
          <w:rFonts w:cstheme="minorHAnsi"/>
        </w:rPr>
        <w:t xml:space="preserve">s </w:t>
      </w:r>
      <w:r w:rsidRPr="008E41CC">
        <w:rPr>
          <w:rFonts w:cstheme="minorHAnsi"/>
        </w:rPr>
        <w:t>that can arise</w:t>
      </w:r>
      <w:r w:rsidR="00EB2835" w:rsidRPr="008E41CC">
        <w:rPr>
          <w:rFonts w:cstheme="minorHAnsi"/>
        </w:rPr>
        <w:t xml:space="preserve"> in the medical industry </w:t>
      </w:r>
      <w:r w:rsidR="00685DCD" w:rsidRPr="008E41CC">
        <w:rPr>
          <w:rFonts w:cstheme="minorHAnsi"/>
        </w:rPr>
        <w:t>from pursuing equity goals</w:t>
      </w:r>
      <w:r w:rsidR="00EB2835" w:rsidRPr="008E41CC">
        <w:rPr>
          <w:rFonts w:cstheme="minorHAnsi"/>
        </w:rPr>
        <w:t xml:space="preserve">. </w:t>
      </w:r>
      <w:r w:rsidR="00773B53" w:rsidRPr="008E41CC">
        <w:rPr>
          <w:rFonts w:cstheme="minorHAnsi"/>
        </w:rPr>
        <w:t>The author</w:t>
      </w:r>
      <w:r w:rsidR="00EB2835" w:rsidRPr="008E41CC">
        <w:rPr>
          <w:rFonts w:cstheme="minorHAnsi"/>
        </w:rPr>
        <w:t xml:space="preserve"> use</w:t>
      </w:r>
      <w:r w:rsidR="00773B53" w:rsidRPr="008E41CC">
        <w:rPr>
          <w:rFonts w:cstheme="minorHAnsi"/>
        </w:rPr>
        <w:t>s</w:t>
      </w:r>
      <w:r w:rsidR="00EB2835" w:rsidRPr="008E41CC">
        <w:rPr>
          <w:rFonts w:cstheme="minorHAnsi"/>
        </w:rPr>
        <w:t xml:space="preserve"> an example of health-care administrators decreeing that all older women should undergo </w:t>
      </w:r>
      <w:r w:rsidR="00773B53" w:rsidRPr="008E41CC">
        <w:rPr>
          <w:rFonts w:cstheme="minorHAnsi"/>
        </w:rPr>
        <w:t xml:space="preserve">a </w:t>
      </w:r>
      <w:r w:rsidR="00EB2835" w:rsidRPr="008E41CC">
        <w:rPr>
          <w:rFonts w:cstheme="minorHAnsi"/>
        </w:rPr>
        <w:t xml:space="preserve">mammography, regardless of socio-demographic background. Providers who care for women that are less apt to obtain a mammogram should be held to the same standards regardless. Adjusting for participant characteristics therefore becomes irrelevant. Although this has the goal </w:t>
      </w:r>
      <w:r w:rsidR="00E05B29" w:rsidRPr="008E41CC">
        <w:rPr>
          <w:rFonts w:cstheme="minorHAnsi"/>
        </w:rPr>
        <w:t xml:space="preserve">of achieving equity across subgroups, the consequence is that providers may neglect other issues as resources are diverted to meet this performance requirement. </w:t>
      </w:r>
    </w:p>
    <w:p w14:paraId="64F01E96" w14:textId="77777777" w:rsidR="0000738C" w:rsidRPr="00AE3BED" w:rsidRDefault="0000738C" w:rsidP="00AE3BED">
      <w:pPr>
        <w:pStyle w:val="Heading2"/>
        <w:keepNext/>
        <w:numPr>
          <w:ilvl w:val="1"/>
          <w:numId w:val="16"/>
        </w:numPr>
        <w:spacing w:before="240" w:beforeAutospacing="0" w:after="240" w:afterAutospacing="0"/>
        <w:ind w:left="0" w:firstLine="0"/>
        <w:rPr>
          <w:rFonts w:ascii="Calibri" w:hAnsi="Calibri" w:cs="Arial"/>
          <w:i/>
          <w:iCs/>
          <w:sz w:val="28"/>
          <w:szCs w:val="28"/>
        </w:rPr>
      </w:pPr>
      <w:bookmarkStart w:id="32" w:name="_Toc365872651"/>
      <w:r w:rsidRPr="00AE3BED">
        <w:rPr>
          <w:rFonts w:ascii="Calibri" w:hAnsi="Calibri" w:cs="Arial"/>
          <w:i/>
          <w:iCs/>
          <w:sz w:val="28"/>
          <w:szCs w:val="28"/>
        </w:rPr>
        <w:t>Continuous Improvement</w:t>
      </w:r>
      <w:bookmarkEnd w:id="32"/>
    </w:p>
    <w:p w14:paraId="6AD23D53" w14:textId="77777777" w:rsidR="008E41CC" w:rsidRDefault="009162B1" w:rsidP="008E41CC">
      <w:pPr>
        <w:spacing w:after="0" w:line="240" w:lineRule="auto"/>
        <w:rPr>
          <w:rFonts w:cstheme="minorHAnsi"/>
        </w:rPr>
      </w:pPr>
      <w:r w:rsidRPr="008E41CC">
        <w:rPr>
          <w:rFonts w:cstheme="minorHAnsi"/>
        </w:rPr>
        <w:t xml:space="preserve">Continuous improvement refers to the performance of providers increasing over time. </w:t>
      </w:r>
      <w:r w:rsidR="003F6935" w:rsidRPr="008E41CC">
        <w:rPr>
          <w:rFonts w:cstheme="minorHAnsi"/>
        </w:rPr>
        <w:t xml:space="preserve">Outcomes data can provide a powerful insight in to how providers are performing </w:t>
      </w:r>
      <w:r w:rsidR="00B87C85" w:rsidRPr="008E41CC">
        <w:rPr>
          <w:rFonts w:cstheme="minorHAnsi"/>
        </w:rPr>
        <w:t xml:space="preserve">and where to target quality improvement efforts, leading to improved provider performance.  </w:t>
      </w:r>
      <w:r w:rsidR="00B87C85" w:rsidRPr="00D13EE8">
        <w:rPr>
          <w:rFonts w:cstheme="minorHAnsi"/>
        </w:rPr>
        <w:t>Rosenthal et al. (1998)</w:t>
      </w:r>
      <w:r w:rsidR="00B87C85" w:rsidRPr="008E41CC">
        <w:rPr>
          <w:rFonts w:cstheme="minorHAnsi"/>
        </w:rPr>
        <w:t xml:space="preserve"> documents the benefits </w:t>
      </w:r>
      <w:r w:rsidR="00E348E0" w:rsidRPr="008E41CC">
        <w:rPr>
          <w:rFonts w:cstheme="minorHAnsi"/>
        </w:rPr>
        <w:t>of</w:t>
      </w:r>
      <w:r w:rsidR="00B87C85" w:rsidRPr="008E41CC">
        <w:rPr>
          <w:rFonts w:cstheme="minorHAnsi"/>
        </w:rPr>
        <w:t xml:space="preserve"> measuring</w:t>
      </w:r>
      <w:r w:rsidR="00E348E0" w:rsidRPr="008E41CC">
        <w:rPr>
          <w:rFonts w:cstheme="minorHAnsi"/>
        </w:rPr>
        <w:t xml:space="preserve"> performance data regarding</w:t>
      </w:r>
      <w:r w:rsidR="00B87C85" w:rsidRPr="008E41CC">
        <w:rPr>
          <w:rFonts w:cstheme="minorHAnsi"/>
        </w:rPr>
        <w:t xml:space="preserve"> quality improvements. </w:t>
      </w:r>
      <w:r w:rsidR="00E348E0" w:rsidRPr="008E41CC">
        <w:rPr>
          <w:rFonts w:cstheme="minorHAnsi"/>
        </w:rPr>
        <w:t>The authors examined the regional initiative choice Cleveland Health Quality Choice</w:t>
      </w:r>
      <w:r w:rsidR="00B41F90" w:rsidRPr="008E41CC">
        <w:rPr>
          <w:rFonts w:cstheme="minorHAnsi"/>
        </w:rPr>
        <w:t xml:space="preserve"> of 1989</w:t>
      </w:r>
      <w:r w:rsidR="00E348E0" w:rsidRPr="008E41CC">
        <w:rPr>
          <w:rFonts w:cstheme="minorHAnsi"/>
        </w:rPr>
        <w:t xml:space="preserve">, a severity adjustment system that includes diagnosis-specific models for medical, surgical, and obstetrical patients which are based on clinical data abstracted from patients' medical records. </w:t>
      </w:r>
    </w:p>
    <w:p w14:paraId="1E879B61" w14:textId="77777777" w:rsidR="008E41CC" w:rsidRDefault="008E41CC" w:rsidP="008E41CC">
      <w:pPr>
        <w:spacing w:after="0" w:line="240" w:lineRule="auto"/>
        <w:rPr>
          <w:rFonts w:cstheme="minorHAnsi"/>
        </w:rPr>
      </w:pPr>
    </w:p>
    <w:p w14:paraId="5360A663" w14:textId="201EFE0C" w:rsidR="00B724C7" w:rsidRPr="008E41CC" w:rsidRDefault="00B41F90" w:rsidP="008E41CC">
      <w:pPr>
        <w:spacing w:after="0" w:line="240" w:lineRule="auto"/>
        <w:rPr>
          <w:rFonts w:ascii="Calibri" w:hAnsi="Calibri" w:cs="Calibri"/>
        </w:rPr>
      </w:pPr>
      <w:r w:rsidRPr="008E41CC">
        <w:rPr>
          <w:rFonts w:cstheme="minorHAnsi"/>
        </w:rPr>
        <w:t xml:space="preserve">Since 1992, semi-annual reports were disseminated profiling hospital mortality rates, length of stay and caesarean section rates using the severity adjustment system. Hospitals receive tabular and graphical representations of hospital outcomes and patient level data files to further examine outcomes in clinical subgroups. Results from case studies show that the dissemination of outcome data led to the development of successful hospital programs to decrease lengths of stay, caesarean section rates and hospital mortality rates. </w:t>
      </w:r>
      <w:r w:rsidR="00746592" w:rsidRPr="008E41CC">
        <w:rPr>
          <w:rFonts w:cstheme="minorHAnsi"/>
        </w:rPr>
        <w:t xml:space="preserve">The </w:t>
      </w:r>
      <w:r w:rsidR="007957F5" w:rsidRPr="008E41CC">
        <w:rPr>
          <w:rFonts w:cstheme="minorHAnsi"/>
        </w:rPr>
        <w:t>Star Rating</w:t>
      </w:r>
      <w:r w:rsidR="00746592" w:rsidRPr="008E41CC">
        <w:rPr>
          <w:rFonts w:cstheme="minorHAnsi"/>
        </w:rPr>
        <w:t>s model seeks to contribute to the effect of performance measurement on actual performance by incentivising providers to maximise per</w:t>
      </w:r>
      <w:r w:rsidR="008E41CC">
        <w:rPr>
          <w:rFonts w:cstheme="minorHAnsi"/>
        </w:rPr>
        <w:t xml:space="preserve">formance to achieve a </w:t>
      </w:r>
      <w:r w:rsidR="00D13EE8">
        <w:rPr>
          <w:rFonts w:cstheme="minorHAnsi"/>
        </w:rPr>
        <w:t xml:space="preserve">4 or </w:t>
      </w:r>
      <w:r w:rsidR="008E41CC">
        <w:rPr>
          <w:rFonts w:cstheme="minorHAnsi"/>
        </w:rPr>
        <w:t>5-S</w:t>
      </w:r>
      <w:r w:rsidR="00746592" w:rsidRPr="008E41CC">
        <w:rPr>
          <w:rFonts w:cstheme="minorHAnsi"/>
        </w:rPr>
        <w:t xml:space="preserve">tar. </w:t>
      </w:r>
      <w:r w:rsidR="00F91E9B" w:rsidRPr="008E41CC">
        <w:rPr>
          <w:rFonts w:cstheme="minorHAnsi"/>
        </w:rPr>
        <w:t>This is because failure to maximise their performance may lead to their business being reallocated to another provider/s</w:t>
      </w:r>
      <w:r w:rsidR="00D13EE8">
        <w:rPr>
          <w:rFonts w:cstheme="minorHAnsi"/>
        </w:rPr>
        <w:t xml:space="preserve"> or reduced opportunity to be awarded </w:t>
      </w:r>
      <w:r w:rsidR="00D13EE8">
        <w:rPr>
          <w:rFonts w:cstheme="minorHAnsi"/>
        </w:rPr>
        <w:lastRenderedPageBreak/>
        <w:t>additional business</w:t>
      </w:r>
      <w:r w:rsidR="00F91E9B" w:rsidRPr="008E41CC">
        <w:rPr>
          <w:rFonts w:cstheme="minorHAnsi"/>
        </w:rPr>
        <w:t xml:space="preserve">. </w:t>
      </w:r>
      <w:r w:rsidR="004D3146" w:rsidRPr="008E41CC">
        <w:rPr>
          <w:rFonts w:cstheme="minorHAnsi"/>
        </w:rPr>
        <w:t xml:space="preserve">This is illustrated in </w:t>
      </w:r>
      <w:r w:rsidR="008E41CC">
        <w:rPr>
          <w:rFonts w:cstheme="minorHAnsi"/>
        </w:rPr>
        <w:t>Figures</w:t>
      </w:r>
      <w:r w:rsidR="004D3146" w:rsidRPr="008E41CC">
        <w:rPr>
          <w:rFonts w:cstheme="minorHAnsi"/>
        </w:rPr>
        <w:t xml:space="preserve"> </w:t>
      </w:r>
      <w:r w:rsidR="008E41CC">
        <w:rPr>
          <w:rFonts w:cstheme="minorHAnsi"/>
        </w:rPr>
        <w:t>2</w:t>
      </w:r>
      <w:r w:rsidR="004D3146" w:rsidRPr="008E41CC">
        <w:rPr>
          <w:rFonts w:cstheme="minorHAnsi"/>
        </w:rPr>
        <w:t xml:space="preserve"> and </w:t>
      </w:r>
      <w:r w:rsidR="008E41CC">
        <w:rPr>
          <w:rFonts w:cstheme="minorHAnsi"/>
        </w:rPr>
        <w:t>3</w:t>
      </w:r>
      <w:r w:rsidR="004D3146" w:rsidRPr="008E41CC">
        <w:rPr>
          <w:rFonts w:cstheme="minorHAnsi"/>
        </w:rPr>
        <w:t xml:space="preserve"> showing shows that the number of 13 week outcomes is positively correlated with the release of </w:t>
      </w:r>
      <w:r w:rsidR="007957F5" w:rsidRPr="008E41CC">
        <w:rPr>
          <w:rFonts w:cstheme="minorHAnsi"/>
        </w:rPr>
        <w:t>Star Rating</w:t>
      </w:r>
      <w:r w:rsidR="004D3146" w:rsidRPr="008E41CC">
        <w:rPr>
          <w:rFonts w:cstheme="minorHAnsi"/>
        </w:rPr>
        <w:t xml:space="preserve">s. </w:t>
      </w:r>
      <w:r w:rsidR="00ED51D7" w:rsidRPr="008E41CC">
        <w:rPr>
          <w:rFonts w:cstheme="minorHAnsi"/>
        </w:rPr>
        <w:t>Examination of Figures 2 and 3</w:t>
      </w:r>
      <w:r w:rsidR="00B724C7" w:rsidRPr="008E41CC">
        <w:rPr>
          <w:rFonts w:cstheme="minorHAnsi"/>
        </w:rPr>
        <w:t xml:space="preserve"> reveals definite peaks in outcomes claimed in the months of December and June, the months immediately prior to </w:t>
      </w:r>
      <w:r w:rsidR="007957F5" w:rsidRPr="008E41CC">
        <w:rPr>
          <w:rFonts w:cstheme="minorHAnsi"/>
        </w:rPr>
        <w:t>Star Rating</w:t>
      </w:r>
      <w:r w:rsidR="00B724C7" w:rsidRPr="008E41CC">
        <w:rPr>
          <w:rFonts w:cstheme="minorHAnsi"/>
        </w:rPr>
        <w:t xml:space="preserve">s releases (JSA </w:t>
      </w:r>
      <w:r w:rsidR="007957F5" w:rsidRPr="008E41CC">
        <w:rPr>
          <w:rFonts w:cstheme="minorHAnsi"/>
        </w:rPr>
        <w:t>Star Rating</w:t>
      </w:r>
      <w:r w:rsidR="00B724C7" w:rsidRPr="008E41CC">
        <w:rPr>
          <w:rFonts w:cstheme="minorHAnsi"/>
        </w:rPr>
        <w:t>s are now publicly released every quarter, as of August 2011).</w:t>
      </w:r>
    </w:p>
    <w:p w14:paraId="3DDC0F1D" w14:textId="77777777" w:rsidR="00B41F90" w:rsidRPr="008E41CC" w:rsidRDefault="00B41F90" w:rsidP="008E41CC">
      <w:pPr>
        <w:autoSpaceDE w:val="0"/>
        <w:autoSpaceDN w:val="0"/>
        <w:adjustRightInd w:val="0"/>
        <w:spacing w:after="0" w:line="240" w:lineRule="auto"/>
        <w:rPr>
          <w:rFonts w:cstheme="minorHAnsi"/>
        </w:rPr>
      </w:pPr>
    </w:p>
    <w:p w14:paraId="3E3C9BA2" w14:textId="77777777" w:rsidR="00ED51D7" w:rsidRPr="008E41CC" w:rsidRDefault="008E41CC" w:rsidP="008E41CC">
      <w:pPr>
        <w:autoSpaceDE w:val="0"/>
        <w:autoSpaceDN w:val="0"/>
        <w:adjustRightInd w:val="0"/>
        <w:spacing w:after="120" w:line="240" w:lineRule="auto"/>
        <w:rPr>
          <w:rFonts w:cstheme="minorHAnsi"/>
        </w:rPr>
      </w:pPr>
      <w:r w:rsidRPr="008E41CC">
        <w:rPr>
          <w:rFonts w:cstheme="minorHAnsi"/>
        </w:rPr>
        <w:t xml:space="preserve">Figure 2: </w:t>
      </w:r>
    </w:p>
    <w:p w14:paraId="362B765C" w14:textId="77777777" w:rsidR="004D3146" w:rsidRDefault="004D3146" w:rsidP="00E348E0">
      <w:pPr>
        <w:autoSpaceDE w:val="0"/>
        <w:autoSpaceDN w:val="0"/>
        <w:adjustRightInd w:val="0"/>
        <w:spacing w:after="0" w:line="240" w:lineRule="auto"/>
        <w:jc w:val="both"/>
        <w:rPr>
          <w:rFonts w:cstheme="minorHAnsi"/>
          <w:sz w:val="24"/>
          <w:szCs w:val="24"/>
        </w:rPr>
      </w:pPr>
      <w:r>
        <w:rPr>
          <w:b/>
          <w:bCs/>
          <w:noProof/>
          <w:lang w:eastAsia="en-AU"/>
        </w:rPr>
        <w:drawing>
          <wp:inline distT="0" distB="0" distL="0" distR="0" wp14:anchorId="0D6511AA" wp14:editId="79635057">
            <wp:extent cx="4933950" cy="2703195"/>
            <wp:effectExtent l="0" t="0" r="0" b="1905"/>
            <wp:docPr id="2" name="Picture 2" descr="cid:image001.png@01CCD5F7.40FCC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3" descr="cid:image001.png@01CCD5F7.40FCCED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933950" cy="2703195"/>
                    </a:xfrm>
                    <a:prstGeom prst="rect">
                      <a:avLst/>
                    </a:prstGeom>
                    <a:noFill/>
                    <a:ln>
                      <a:noFill/>
                    </a:ln>
                  </pic:spPr>
                </pic:pic>
              </a:graphicData>
            </a:graphic>
          </wp:inline>
        </w:drawing>
      </w:r>
    </w:p>
    <w:p w14:paraId="3C687F77" w14:textId="77777777" w:rsidR="004D3146" w:rsidRPr="008E41CC" w:rsidRDefault="004D3146" w:rsidP="008E41CC">
      <w:pPr>
        <w:autoSpaceDE w:val="0"/>
        <w:autoSpaceDN w:val="0"/>
        <w:adjustRightInd w:val="0"/>
        <w:spacing w:after="0" w:line="240" w:lineRule="auto"/>
        <w:rPr>
          <w:rFonts w:cstheme="minorHAnsi"/>
        </w:rPr>
      </w:pPr>
    </w:p>
    <w:p w14:paraId="0FEEBC1E" w14:textId="77777777" w:rsidR="008E41CC" w:rsidRPr="008E41CC" w:rsidRDefault="008E41CC" w:rsidP="008E41CC">
      <w:pPr>
        <w:autoSpaceDE w:val="0"/>
        <w:autoSpaceDN w:val="0"/>
        <w:adjustRightInd w:val="0"/>
        <w:spacing w:after="120" w:line="240" w:lineRule="auto"/>
        <w:rPr>
          <w:rFonts w:cstheme="minorHAnsi"/>
        </w:rPr>
      </w:pPr>
      <w:r w:rsidRPr="008E41CC">
        <w:rPr>
          <w:rFonts w:cstheme="minorHAnsi"/>
        </w:rPr>
        <w:t xml:space="preserve">Figure 3: </w:t>
      </w:r>
    </w:p>
    <w:p w14:paraId="54B3941A" w14:textId="77777777" w:rsidR="004D3146" w:rsidRDefault="004D3146" w:rsidP="00E348E0">
      <w:pPr>
        <w:autoSpaceDE w:val="0"/>
        <w:autoSpaceDN w:val="0"/>
        <w:adjustRightInd w:val="0"/>
        <w:spacing w:after="0" w:line="240" w:lineRule="auto"/>
        <w:jc w:val="both"/>
        <w:rPr>
          <w:rFonts w:cstheme="minorHAnsi"/>
          <w:sz w:val="24"/>
          <w:szCs w:val="24"/>
        </w:rPr>
      </w:pPr>
      <w:r>
        <w:rPr>
          <w:noProof/>
          <w:lang w:eastAsia="en-AU"/>
        </w:rPr>
        <w:drawing>
          <wp:inline distT="0" distB="0" distL="0" distR="0" wp14:anchorId="720E1289" wp14:editId="20EA1891">
            <wp:extent cx="4923790" cy="2572385"/>
            <wp:effectExtent l="0" t="0" r="0" b="0"/>
            <wp:docPr id="4" name="Picture 4" descr="cid:image003.png@01CCD5F7.40FCC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4" descr="cid:image003.png@01CCD5F7.40FCCED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923790" cy="2572385"/>
                    </a:xfrm>
                    <a:prstGeom prst="rect">
                      <a:avLst/>
                    </a:prstGeom>
                    <a:noFill/>
                    <a:ln>
                      <a:noFill/>
                    </a:ln>
                  </pic:spPr>
                </pic:pic>
              </a:graphicData>
            </a:graphic>
          </wp:inline>
        </w:drawing>
      </w:r>
    </w:p>
    <w:p w14:paraId="0845950C" w14:textId="77777777" w:rsidR="004D3146" w:rsidRDefault="004D3146" w:rsidP="00E348E0">
      <w:pPr>
        <w:autoSpaceDE w:val="0"/>
        <w:autoSpaceDN w:val="0"/>
        <w:adjustRightInd w:val="0"/>
        <w:spacing w:after="0" w:line="240" w:lineRule="auto"/>
        <w:jc w:val="both"/>
        <w:rPr>
          <w:rFonts w:cstheme="minorHAnsi"/>
          <w:sz w:val="24"/>
          <w:szCs w:val="24"/>
        </w:rPr>
      </w:pPr>
    </w:p>
    <w:p w14:paraId="70739A8A" w14:textId="77777777" w:rsidR="000C14FF" w:rsidRPr="00D5369A" w:rsidRDefault="00B724C7" w:rsidP="000C14FF">
      <w:pPr>
        <w:autoSpaceDE w:val="0"/>
        <w:autoSpaceDN w:val="0"/>
        <w:adjustRightInd w:val="0"/>
        <w:spacing w:after="120" w:line="240" w:lineRule="auto"/>
        <w:rPr>
          <w:rFonts w:cstheme="minorHAnsi"/>
        </w:rPr>
      </w:pPr>
      <w:r w:rsidRPr="00D5369A">
        <w:rPr>
          <w:rFonts w:cstheme="minorHAnsi"/>
        </w:rPr>
        <w:t>Conversely, it has been argued that because the star-rating system benchmarks to average performance as opposed to fixed benchmarks of expected performance, this allows all services to drift towards low outcomes</w:t>
      </w:r>
      <w:r w:rsidR="00685DCD" w:rsidRPr="00D5369A">
        <w:rPr>
          <w:rFonts w:cstheme="minorHAnsi"/>
        </w:rPr>
        <w:t xml:space="preserve"> because they can still maintain their </w:t>
      </w:r>
      <w:r w:rsidR="007957F5" w:rsidRPr="00D5369A">
        <w:rPr>
          <w:rFonts w:cstheme="minorHAnsi"/>
        </w:rPr>
        <w:t>Star Rating</w:t>
      </w:r>
      <w:r w:rsidRPr="00D5369A">
        <w:rPr>
          <w:rFonts w:cstheme="minorHAnsi"/>
        </w:rPr>
        <w:t>.</w:t>
      </w:r>
      <w:r w:rsidR="002C1F52" w:rsidRPr="00D5369A">
        <w:rPr>
          <w:rFonts w:cstheme="minorHAnsi"/>
        </w:rPr>
        <w:t xml:space="preserve"> </w:t>
      </w:r>
      <w:r w:rsidR="00176552" w:rsidRPr="00D5369A">
        <w:rPr>
          <w:rFonts w:cstheme="minorHAnsi"/>
        </w:rPr>
        <w:t xml:space="preserve">The need to simply achieve an outcome rate above other providers creates a disincentive for providers to strive for continuous improvement in performance if they know they are already performing better than the average. </w:t>
      </w:r>
      <w:r w:rsidR="00DC3116" w:rsidRPr="00D5369A">
        <w:rPr>
          <w:rFonts w:cstheme="minorHAnsi"/>
        </w:rPr>
        <w:t xml:space="preserve">In contrast, a benchmark can be set at a level of expected performance that would force all providers to strive for improvement in their performance. </w:t>
      </w:r>
      <w:r w:rsidR="000C14FF">
        <w:rPr>
          <w:rFonts w:cstheme="minorHAnsi"/>
        </w:rPr>
        <w:t xml:space="preserve">Currently, provider performance in JSA and DES is converging to the average, as indicated by a growing proportion of providers being rated 3-Stars. However, this is what we would expect from a </w:t>
      </w:r>
      <w:r w:rsidR="000C14FF" w:rsidRPr="00D5369A">
        <w:rPr>
          <w:rFonts w:cstheme="minorHAnsi"/>
        </w:rPr>
        <w:t xml:space="preserve">system that promotes continuous </w:t>
      </w:r>
      <w:r w:rsidR="000C14FF" w:rsidRPr="00D5369A">
        <w:rPr>
          <w:rFonts w:cstheme="minorHAnsi"/>
        </w:rPr>
        <w:lastRenderedPageBreak/>
        <w:t>improvement in performance. In the Productivity Commission’s 2002 review of Job Network, this results was anticipated</w:t>
      </w:r>
      <w:r w:rsidR="000C14FF">
        <w:rPr>
          <w:rFonts w:cstheme="minorHAnsi"/>
        </w:rPr>
        <w:t xml:space="preserve"> as discussed in footnote 24</w:t>
      </w:r>
    </w:p>
    <w:p w14:paraId="1DFC8E48" w14:textId="77777777" w:rsidR="000C14FF" w:rsidRPr="00D5369A" w:rsidRDefault="000C14FF" w:rsidP="000C14FF">
      <w:pPr>
        <w:autoSpaceDE w:val="0"/>
        <w:autoSpaceDN w:val="0"/>
        <w:adjustRightInd w:val="0"/>
        <w:spacing w:line="240" w:lineRule="auto"/>
        <w:ind w:left="567"/>
      </w:pPr>
      <w:r w:rsidRPr="00D5369A">
        <w:t>Stars are ordinal not cardinal measures of performance. Currently, the underlying cardinal difference in performance between one and five star performers is large (chapter 10). However, as best practice diffuses throughout the industry and poorer performers are exited, then the difference may become much smaller.</w:t>
      </w:r>
    </w:p>
    <w:p w14:paraId="7CEB143A" w14:textId="4DBE5566" w:rsidR="00176552" w:rsidRPr="00D5369A" w:rsidRDefault="00176552" w:rsidP="00D5369A">
      <w:pPr>
        <w:autoSpaceDE w:val="0"/>
        <w:autoSpaceDN w:val="0"/>
        <w:adjustRightInd w:val="0"/>
        <w:spacing w:after="0" w:line="240" w:lineRule="auto"/>
        <w:rPr>
          <w:rFonts w:cstheme="minorHAnsi"/>
        </w:rPr>
      </w:pPr>
      <w:r w:rsidRPr="00D5369A">
        <w:rPr>
          <w:rFonts w:cstheme="minorHAnsi"/>
        </w:rPr>
        <w:t>The perverse incentives</w:t>
      </w:r>
      <w:r w:rsidR="00D5369A">
        <w:rPr>
          <w:rFonts w:cstheme="minorHAnsi"/>
        </w:rPr>
        <w:t xml:space="preserve"> viewed by some</w:t>
      </w:r>
      <w:r w:rsidRPr="00D5369A">
        <w:rPr>
          <w:rFonts w:cstheme="minorHAnsi"/>
        </w:rPr>
        <w:t xml:space="preserve"> to arise from the </w:t>
      </w:r>
      <w:r w:rsidR="007957F5" w:rsidRPr="00D5369A">
        <w:rPr>
          <w:rFonts w:cstheme="minorHAnsi"/>
        </w:rPr>
        <w:t>Star Rating</w:t>
      </w:r>
      <w:r w:rsidRPr="00D5369A">
        <w:rPr>
          <w:rFonts w:cstheme="minorHAnsi"/>
        </w:rPr>
        <w:t xml:space="preserve">s model can also be argued against a benchmarking model. </w:t>
      </w:r>
      <w:r w:rsidR="00DC3116" w:rsidRPr="00D5369A">
        <w:rPr>
          <w:rFonts w:cstheme="minorHAnsi"/>
        </w:rPr>
        <w:t xml:space="preserve">If the targets are set either too high or low it can introduce unintended consequences into the market. </w:t>
      </w:r>
      <w:r w:rsidR="00AD28C1" w:rsidRPr="00D5369A">
        <w:rPr>
          <w:rFonts w:cstheme="minorHAnsi"/>
        </w:rPr>
        <w:t>A benchmark can be set at a level of expected performance that would force all providers to strive for improvement in their performance. However, once some providers had met their absolute targets, the incentive effects of the performance management system may be weakened. That is, they would no longer invest as much time and effort in lifting their performance (as it would no longer boost rewards).</w:t>
      </w:r>
      <w:r w:rsidR="00DC3116" w:rsidRPr="00D5369A">
        <w:rPr>
          <w:rFonts w:cstheme="minorHAnsi"/>
        </w:rPr>
        <w:t xml:space="preserve"> Alternatively, if the targets are set too low then a lot of provider</w:t>
      </w:r>
      <w:r w:rsidR="00A5530F">
        <w:rPr>
          <w:rFonts w:cstheme="minorHAnsi"/>
        </w:rPr>
        <w:t>s may be rewarded with a 4 or 5-</w:t>
      </w:r>
      <w:r w:rsidR="00DC3116" w:rsidRPr="00D5369A">
        <w:rPr>
          <w:rFonts w:cstheme="minorHAnsi"/>
        </w:rPr>
        <w:t xml:space="preserve">Star but where the performance of those higher rating providers may not necessarily reflect superior performance and service delivery. </w:t>
      </w:r>
      <w:r w:rsidR="00E42EF3" w:rsidRPr="00D5369A">
        <w:rPr>
          <w:rFonts w:cstheme="minorHAnsi"/>
        </w:rPr>
        <w:t>To the extent that there are improvements over time, t</w:t>
      </w:r>
      <w:r w:rsidR="007D683E" w:rsidRPr="00D5369A">
        <w:rPr>
          <w:rFonts w:cstheme="minorHAnsi"/>
        </w:rPr>
        <w:t>he g</w:t>
      </w:r>
      <w:r w:rsidR="00DC3116" w:rsidRPr="00D5369A">
        <w:rPr>
          <w:rFonts w:cstheme="minorHAnsi"/>
        </w:rPr>
        <w:t>overnment’s ability to ensure job seekers receive the assistance that is most likely to get them quickly into sustainable</w:t>
      </w:r>
      <w:r w:rsidR="00D5369A">
        <w:rPr>
          <w:rFonts w:cstheme="minorHAnsi"/>
        </w:rPr>
        <w:t xml:space="preserve"> quality</w:t>
      </w:r>
      <w:r w:rsidR="00DC3116" w:rsidRPr="00D5369A">
        <w:rPr>
          <w:rFonts w:cstheme="minorHAnsi"/>
        </w:rPr>
        <w:t xml:space="preserve"> jobs by driving continuous improvements would then be more limited. While the absolute benchmarks could be adjusted upwards there would be transitional issues as the benchmarks catch up to the outcome levels.</w:t>
      </w:r>
    </w:p>
    <w:p w14:paraId="6173FE7D" w14:textId="77777777" w:rsidR="00F63C78" w:rsidRPr="00D5369A" w:rsidRDefault="00F63C78" w:rsidP="00D5369A">
      <w:pPr>
        <w:autoSpaceDE w:val="0"/>
        <w:autoSpaceDN w:val="0"/>
        <w:adjustRightInd w:val="0"/>
        <w:spacing w:after="0" w:line="240" w:lineRule="auto"/>
        <w:rPr>
          <w:rFonts w:cstheme="minorHAnsi"/>
        </w:rPr>
      </w:pPr>
    </w:p>
    <w:p w14:paraId="39F6E058" w14:textId="5A44E861" w:rsidR="00785721" w:rsidRPr="00D5369A" w:rsidRDefault="00F63C78" w:rsidP="00D5369A">
      <w:pPr>
        <w:pStyle w:val="BodyText"/>
        <w:rPr>
          <w:rFonts w:asciiTheme="minorHAnsi" w:hAnsiTheme="minorHAnsi" w:cstheme="minorHAnsi"/>
          <w:b w:val="0"/>
          <w:sz w:val="22"/>
          <w:szCs w:val="22"/>
        </w:rPr>
      </w:pPr>
      <w:r w:rsidRPr="00D5369A">
        <w:rPr>
          <w:rFonts w:asciiTheme="minorHAnsi" w:eastAsiaTheme="minorHAnsi" w:hAnsiTheme="minorHAnsi" w:cstheme="minorHAnsi"/>
          <w:b w:val="0"/>
          <w:bCs w:val="0"/>
          <w:sz w:val="22"/>
          <w:szCs w:val="22"/>
          <w:lang w:val="en-AU"/>
        </w:rPr>
        <w:t xml:space="preserve">An alternative to the argument that </w:t>
      </w:r>
      <w:r w:rsidR="007957F5" w:rsidRPr="00D5369A">
        <w:rPr>
          <w:rFonts w:asciiTheme="minorHAnsi" w:eastAsiaTheme="minorHAnsi" w:hAnsiTheme="minorHAnsi" w:cstheme="minorHAnsi"/>
          <w:b w:val="0"/>
          <w:bCs w:val="0"/>
          <w:sz w:val="22"/>
          <w:szCs w:val="22"/>
          <w:lang w:val="en-AU"/>
        </w:rPr>
        <w:t>Star Rating</w:t>
      </w:r>
      <w:r w:rsidRPr="00D5369A">
        <w:rPr>
          <w:rFonts w:asciiTheme="minorHAnsi" w:eastAsiaTheme="minorHAnsi" w:hAnsiTheme="minorHAnsi" w:cstheme="minorHAnsi"/>
          <w:b w:val="0"/>
          <w:bCs w:val="0"/>
          <w:sz w:val="22"/>
          <w:szCs w:val="22"/>
          <w:lang w:val="en-AU"/>
        </w:rPr>
        <w:t>s may not drive continuous improvemen</w:t>
      </w:r>
      <w:r w:rsidR="00E63DE4" w:rsidRPr="00D5369A">
        <w:rPr>
          <w:rFonts w:asciiTheme="minorHAnsi" w:eastAsiaTheme="minorHAnsi" w:hAnsiTheme="minorHAnsi" w:cstheme="minorHAnsi"/>
          <w:b w:val="0"/>
          <w:bCs w:val="0"/>
          <w:sz w:val="22"/>
          <w:szCs w:val="22"/>
          <w:lang w:val="en-AU"/>
        </w:rPr>
        <w:t>t is that even if they do, it is</w:t>
      </w:r>
      <w:r w:rsidRPr="00D5369A">
        <w:rPr>
          <w:rFonts w:asciiTheme="minorHAnsi" w:eastAsiaTheme="minorHAnsi" w:hAnsiTheme="minorHAnsi" w:cstheme="minorHAnsi"/>
          <w:b w:val="0"/>
          <w:bCs w:val="0"/>
          <w:sz w:val="22"/>
          <w:szCs w:val="22"/>
          <w:lang w:val="en-AU"/>
        </w:rPr>
        <w:t xml:space="preserve"> not as effective as the use of benchmarking. </w:t>
      </w:r>
      <w:r w:rsidR="006A68B5" w:rsidRPr="00D5369A">
        <w:rPr>
          <w:rFonts w:asciiTheme="minorHAnsi" w:eastAsiaTheme="minorHAnsi" w:hAnsiTheme="minorHAnsi" w:cstheme="minorHAnsi"/>
          <w:b w:val="0"/>
          <w:bCs w:val="0"/>
          <w:sz w:val="22"/>
          <w:szCs w:val="22"/>
          <w:lang w:val="en-AU"/>
        </w:rPr>
        <w:t xml:space="preserve">A relative model introduces competition </w:t>
      </w:r>
      <w:r w:rsidR="00785721" w:rsidRPr="00D5369A">
        <w:rPr>
          <w:rFonts w:asciiTheme="minorHAnsi" w:eastAsiaTheme="minorHAnsi" w:hAnsiTheme="minorHAnsi" w:cstheme="minorHAnsi"/>
          <w:b w:val="0"/>
          <w:bCs w:val="0"/>
          <w:sz w:val="22"/>
          <w:szCs w:val="22"/>
          <w:lang w:val="en-AU"/>
        </w:rPr>
        <w:t>between providers, forcing</w:t>
      </w:r>
      <w:r w:rsidR="00E63DE4" w:rsidRPr="00D5369A">
        <w:rPr>
          <w:rFonts w:asciiTheme="minorHAnsi" w:eastAsiaTheme="minorHAnsi" w:hAnsiTheme="minorHAnsi" w:cstheme="minorHAnsi"/>
          <w:b w:val="0"/>
          <w:bCs w:val="0"/>
          <w:sz w:val="22"/>
          <w:szCs w:val="22"/>
          <w:lang w:val="en-AU"/>
        </w:rPr>
        <w:t xml:space="preserve"> </w:t>
      </w:r>
      <w:r w:rsidR="006A68B5" w:rsidRPr="00D5369A">
        <w:rPr>
          <w:rFonts w:asciiTheme="minorHAnsi" w:eastAsiaTheme="minorHAnsi" w:hAnsiTheme="minorHAnsi" w:cstheme="minorHAnsi"/>
          <w:b w:val="0"/>
          <w:bCs w:val="0"/>
          <w:sz w:val="22"/>
          <w:szCs w:val="22"/>
          <w:lang w:val="en-AU"/>
        </w:rPr>
        <w:t>them</w:t>
      </w:r>
      <w:r w:rsidR="00E63DE4" w:rsidRPr="00D5369A">
        <w:rPr>
          <w:rFonts w:asciiTheme="minorHAnsi" w:eastAsiaTheme="minorHAnsi" w:hAnsiTheme="minorHAnsi" w:cstheme="minorHAnsi"/>
          <w:b w:val="0"/>
          <w:bCs w:val="0"/>
          <w:sz w:val="22"/>
          <w:szCs w:val="22"/>
          <w:lang w:val="en-AU"/>
        </w:rPr>
        <w:t xml:space="preserve"> to maximise their performance</w:t>
      </w:r>
      <w:r w:rsidR="006A68B5" w:rsidRPr="00D5369A">
        <w:rPr>
          <w:rFonts w:asciiTheme="minorHAnsi" w:eastAsiaTheme="minorHAnsi" w:hAnsiTheme="minorHAnsi" w:cstheme="minorHAnsi"/>
          <w:b w:val="0"/>
          <w:bCs w:val="0"/>
          <w:sz w:val="22"/>
          <w:szCs w:val="22"/>
          <w:lang w:val="en-AU"/>
        </w:rPr>
        <w:t>. Benchmarks offer the advantage of</w:t>
      </w:r>
      <w:r w:rsidR="00E63DE4" w:rsidRPr="00D5369A">
        <w:rPr>
          <w:rFonts w:asciiTheme="minorHAnsi" w:eastAsiaTheme="minorHAnsi" w:hAnsiTheme="minorHAnsi" w:cstheme="minorHAnsi"/>
          <w:b w:val="0"/>
          <w:bCs w:val="0"/>
          <w:sz w:val="22"/>
          <w:szCs w:val="22"/>
          <w:lang w:val="en-AU"/>
        </w:rPr>
        <w:t xml:space="preserve"> setting high but achievable performance targets. </w:t>
      </w:r>
      <w:r w:rsidR="006A68B5" w:rsidRPr="00D5369A">
        <w:rPr>
          <w:rFonts w:asciiTheme="minorHAnsi" w:eastAsiaTheme="minorHAnsi" w:hAnsiTheme="minorHAnsi" w:cstheme="minorHAnsi"/>
          <w:b w:val="0"/>
          <w:bCs w:val="0"/>
          <w:sz w:val="22"/>
          <w:szCs w:val="22"/>
          <w:lang w:val="en-AU"/>
        </w:rPr>
        <w:t xml:space="preserve">The empirical evidence indicates that relative performance models generate better performance relative to benchmarking models. </w:t>
      </w:r>
      <w:r w:rsidR="00126E7F" w:rsidRPr="00A5530F">
        <w:rPr>
          <w:rFonts w:asciiTheme="minorHAnsi" w:eastAsiaTheme="minorHAnsi" w:hAnsiTheme="minorHAnsi" w:cstheme="minorHAnsi"/>
          <w:b w:val="0"/>
          <w:bCs w:val="0"/>
          <w:sz w:val="22"/>
          <w:szCs w:val="22"/>
          <w:lang w:val="en-AU"/>
        </w:rPr>
        <w:t xml:space="preserve">Matsumura and </w:t>
      </w:r>
      <w:r w:rsidR="001D6B9E" w:rsidRPr="00A5530F">
        <w:rPr>
          <w:rFonts w:asciiTheme="minorHAnsi" w:eastAsiaTheme="minorHAnsi" w:hAnsiTheme="minorHAnsi" w:cstheme="minorHAnsi"/>
          <w:b w:val="0"/>
          <w:bCs w:val="0"/>
          <w:sz w:val="22"/>
          <w:szCs w:val="22"/>
          <w:lang w:val="en-AU"/>
        </w:rPr>
        <w:t>Shin (2006) examine the effect of introducing relative-performance evaluation on</w:t>
      </w:r>
      <w:r w:rsidR="001D6B9E" w:rsidRPr="00D5369A">
        <w:rPr>
          <w:rFonts w:asciiTheme="minorHAnsi" w:eastAsiaTheme="minorHAnsi" w:hAnsiTheme="minorHAnsi" w:cstheme="minorHAnsi"/>
          <w:b w:val="0"/>
          <w:bCs w:val="0"/>
          <w:sz w:val="22"/>
          <w:szCs w:val="22"/>
          <w:lang w:val="en-AU"/>
        </w:rPr>
        <w:t xml:space="preserve"> the financial performance of 214 post of</w:t>
      </w:r>
      <w:r w:rsidR="00A54C9F" w:rsidRPr="00D5369A">
        <w:rPr>
          <w:rFonts w:asciiTheme="minorHAnsi" w:eastAsiaTheme="minorHAnsi" w:hAnsiTheme="minorHAnsi" w:cstheme="minorHAnsi"/>
          <w:b w:val="0"/>
          <w:bCs w:val="0"/>
          <w:sz w:val="22"/>
          <w:szCs w:val="22"/>
          <w:lang w:val="en-AU"/>
        </w:rPr>
        <w:t>fices managed by Korea Post. Up until late 1997</w:t>
      </w:r>
      <w:r w:rsidR="001D6B9E" w:rsidRPr="00D5369A">
        <w:rPr>
          <w:rFonts w:asciiTheme="minorHAnsi" w:eastAsiaTheme="minorHAnsi" w:hAnsiTheme="minorHAnsi" w:cstheme="minorHAnsi"/>
          <w:b w:val="0"/>
          <w:bCs w:val="0"/>
          <w:sz w:val="22"/>
          <w:szCs w:val="22"/>
          <w:lang w:val="en-AU"/>
        </w:rPr>
        <w:t>,</w:t>
      </w:r>
      <w:r w:rsidR="00A54C9F" w:rsidRPr="00D5369A">
        <w:rPr>
          <w:rFonts w:asciiTheme="minorHAnsi" w:eastAsiaTheme="minorHAnsi" w:hAnsiTheme="minorHAnsi" w:cstheme="minorHAnsi"/>
          <w:b w:val="0"/>
          <w:bCs w:val="0"/>
          <w:sz w:val="22"/>
          <w:szCs w:val="22"/>
          <w:lang w:val="en-AU"/>
        </w:rPr>
        <w:t xml:space="preserve"> employees pay was tied to the performance of the store where the employees worked.</w:t>
      </w:r>
      <w:r w:rsidR="001D6B9E" w:rsidRPr="00D5369A">
        <w:rPr>
          <w:rFonts w:asciiTheme="minorHAnsi" w:eastAsiaTheme="minorHAnsi" w:hAnsiTheme="minorHAnsi" w:cstheme="minorHAnsi"/>
          <w:b w:val="0"/>
          <w:bCs w:val="0"/>
          <w:sz w:val="22"/>
          <w:szCs w:val="22"/>
          <w:lang w:val="en-AU"/>
        </w:rPr>
        <w:t xml:space="preserve"> Korea Post</w:t>
      </w:r>
      <w:r w:rsidR="00A54C9F" w:rsidRPr="00D5369A">
        <w:rPr>
          <w:rFonts w:asciiTheme="minorHAnsi" w:eastAsiaTheme="minorHAnsi" w:hAnsiTheme="minorHAnsi" w:cstheme="minorHAnsi"/>
          <w:b w:val="0"/>
          <w:bCs w:val="0"/>
          <w:sz w:val="22"/>
          <w:szCs w:val="22"/>
          <w:lang w:val="en-AU"/>
        </w:rPr>
        <w:t xml:space="preserve"> then</w:t>
      </w:r>
      <w:r w:rsidR="001D6B9E" w:rsidRPr="00D5369A">
        <w:rPr>
          <w:rFonts w:asciiTheme="minorHAnsi" w:eastAsiaTheme="minorHAnsi" w:hAnsiTheme="minorHAnsi" w:cstheme="minorHAnsi"/>
          <w:b w:val="0"/>
          <w:bCs w:val="0"/>
          <w:sz w:val="22"/>
          <w:szCs w:val="22"/>
          <w:lang w:val="en-AU"/>
        </w:rPr>
        <w:t xml:space="preserve"> introduced a </w:t>
      </w:r>
      <w:r w:rsidR="00973190">
        <w:rPr>
          <w:rFonts w:asciiTheme="minorHAnsi" w:eastAsiaTheme="minorHAnsi" w:hAnsiTheme="minorHAnsi" w:cstheme="minorHAnsi"/>
          <w:b w:val="0"/>
          <w:bCs w:val="0"/>
          <w:sz w:val="22"/>
          <w:szCs w:val="22"/>
          <w:lang w:val="en-AU"/>
        </w:rPr>
        <w:t>Relative Performance Evaluation (</w:t>
      </w:r>
      <w:r w:rsidR="001D6B9E" w:rsidRPr="00D5369A">
        <w:rPr>
          <w:rFonts w:asciiTheme="minorHAnsi" w:eastAsiaTheme="minorHAnsi" w:hAnsiTheme="minorHAnsi" w:cstheme="minorHAnsi"/>
          <w:b w:val="0"/>
          <w:bCs w:val="0"/>
          <w:sz w:val="22"/>
          <w:szCs w:val="22"/>
          <w:lang w:val="en-AU"/>
        </w:rPr>
        <w:t>RPE</w:t>
      </w:r>
      <w:r w:rsidR="00973190">
        <w:rPr>
          <w:rFonts w:asciiTheme="minorHAnsi" w:eastAsiaTheme="minorHAnsi" w:hAnsiTheme="minorHAnsi" w:cstheme="minorHAnsi"/>
          <w:b w:val="0"/>
          <w:bCs w:val="0"/>
          <w:sz w:val="22"/>
          <w:szCs w:val="22"/>
          <w:lang w:val="en-AU"/>
        </w:rPr>
        <w:t xml:space="preserve">) </w:t>
      </w:r>
      <w:r w:rsidR="001D6B9E" w:rsidRPr="00D5369A">
        <w:rPr>
          <w:rFonts w:asciiTheme="minorHAnsi" w:eastAsiaTheme="minorHAnsi" w:hAnsiTheme="minorHAnsi" w:cstheme="minorHAnsi"/>
          <w:b w:val="0"/>
          <w:bCs w:val="0"/>
          <w:sz w:val="22"/>
          <w:szCs w:val="22"/>
          <w:lang w:val="en-AU"/>
        </w:rPr>
        <w:t>based incentive plan</w:t>
      </w:r>
      <w:r w:rsidR="00A54C9F" w:rsidRPr="00D5369A">
        <w:rPr>
          <w:rFonts w:asciiTheme="minorHAnsi" w:eastAsiaTheme="minorHAnsi" w:hAnsiTheme="minorHAnsi" w:cstheme="minorHAnsi"/>
          <w:b w:val="0"/>
          <w:bCs w:val="0"/>
          <w:sz w:val="22"/>
          <w:szCs w:val="22"/>
          <w:lang w:val="en-AU"/>
        </w:rPr>
        <w:t xml:space="preserve"> which rewarded stores for their performance relative to an appropriate reference group. Using cluster analysis, stores were clustered into </w:t>
      </w:r>
      <w:r w:rsidR="00D5369A">
        <w:rPr>
          <w:rFonts w:asciiTheme="minorHAnsi" w:eastAsiaTheme="minorHAnsi" w:hAnsiTheme="minorHAnsi" w:cstheme="minorHAnsi"/>
          <w:b w:val="0"/>
          <w:bCs w:val="0"/>
          <w:sz w:val="22"/>
          <w:szCs w:val="22"/>
          <w:lang w:val="en-AU"/>
        </w:rPr>
        <w:t>nine</w:t>
      </w:r>
      <w:r w:rsidR="00A54C9F" w:rsidRPr="00D5369A">
        <w:rPr>
          <w:rFonts w:asciiTheme="minorHAnsi" w:eastAsiaTheme="minorHAnsi" w:hAnsiTheme="minorHAnsi" w:cstheme="minorHAnsi"/>
          <w:b w:val="0"/>
          <w:bCs w:val="0"/>
          <w:sz w:val="22"/>
          <w:szCs w:val="22"/>
          <w:lang w:val="en-AU"/>
        </w:rPr>
        <w:t xml:space="preserve"> reference groups based on similar business environments. Results indicate that introducing competition between stores</w:t>
      </w:r>
      <w:r w:rsidR="001D6B9E" w:rsidRPr="00D5369A">
        <w:rPr>
          <w:rFonts w:asciiTheme="minorHAnsi" w:eastAsiaTheme="minorHAnsi" w:hAnsiTheme="minorHAnsi" w:cstheme="minorHAnsi"/>
          <w:b w:val="0"/>
          <w:bCs w:val="0"/>
          <w:sz w:val="22"/>
          <w:szCs w:val="22"/>
          <w:lang w:val="en-AU"/>
        </w:rPr>
        <w:t xml:space="preserve"> </w:t>
      </w:r>
      <w:r w:rsidR="00A54C9F" w:rsidRPr="00D5369A">
        <w:rPr>
          <w:rFonts w:asciiTheme="minorHAnsi" w:eastAsiaTheme="minorHAnsi" w:hAnsiTheme="minorHAnsi" w:cstheme="minorHAnsi"/>
          <w:b w:val="0"/>
          <w:bCs w:val="0"/>
          <w:sz w:val="22"/>
          <w:szCs w:val="22"/>
          <w:lang w:val="en-AU"/>
        </w:rPr>
        <w:t xml:space="preserve">as a result of the RPE incentive plan </w:t>
      </w:r>
      <w:r w:rsidR="001D6B9E" w:rsidRPr="00D5369A">
        <w:rPr>
          <w:rFonts w:asciiTheme="minorHAnsi" w:eastAsiaTheme="minorHAnsi" w:hAnsiTheme="minorHAnsi" w:cstheme="minorHAnsi"/>
          <w:b w:val="0"/>
          <w:bCs w:val="0"/>
          <w:sz w:val="22"/>
          <w:szCs w:val="22"/>
          <w:lang w:val="en-AU"/>
        </w:rPr>
        <w:t xml:space="preserve">is </w:t>
      </w:r>
      <w:r w:rsidR="001D6B9E" w:rsidRPr="00D5369A">
        <w:rPr>
          <w:rFonts w:asciiTheme="minorHAnsi" w:hAnsiTheme="minorHAnsi" w:cstheme="minorHAnsi"/>
          <w:b w:val="0"/>
          <w:sz w:val="22"/>
          <w:szCs w:val="22"/>
        </w:rPr>
        <w:t xml:space="preserve">positively associated </w:t>
      </w:r>
      <w:r w:rsidR="001D6B9E" w:rsidRPr="00D5369A">
        <w:rPr>
          <w:rFonts w:asciiTheme="minorHAnsi" w:eastAsiaTheme="minorHAnsi" w:hAnsiTheme="minorHAnsi" w:cstheme="minorHAnsi"/>
          <w:b w:val="0"/>
          <w:bCs w:val="0"/>
          <w:sz w:val="22"/>
          <w:szCs w:val="22"/>
          <w:lang w:val="en-AU"/>
        </w:rPr>
        <w:t xml:space="preserve">with store-level financial performance. </w:t>
      </w:r>
      <w:r w:rsidR="00F63ABF" w:rsidRPr="00D5369A">
        <w:rPr>
          <w:rFonts w:asciiTheme="minorHAnsi" w:eastAsiaTheme="minorHAnsi" w:hAnsiTheme="minorHAnsi" w:cstheme="minorHAnsi"/>
          <w:b w:val="0"/>
          <w:bCs w:val="0"/>
          <w:sz w:val="22"/>
          <w:szCs w:val="22"/>
          <w:lang w:val="en-AU"/>
        </w:rPr>
        <w:t>This</w:t>
      </w:r>
      <w:r w:rsidR="001D6B9E" w:rsidRPr="00D5369A">
        <w:rPr>
          <w:rFonts w:asciiTheme="minorHAnsi" w:eastAsiaTheme="minorHAnsi" w:hAnsiTheme="minorHAnsi" w:cstheme="minorHAnsi"/>
          <w:b w:val="0"/>
          <w:bCs w:val="0"/>
          <w:sz w:val="22"/>
          <w:szCs w:val="22"/>
          <w:lang w:val="en-AU"/>
        </w:rPr>
        <w:t xml:space="preserve"> suggests that an RPE-based incentive plan can induce agents to exert more effort, leading to higher financial performance than with an incentive contract with metrics based on absolute performance.</w:t>
      </w:r>
    </w:p>
    <w:p w14:paraId="4F096F21" w14:textId="77777777" w:rsidR="00126E7F" w:rsidRPr="00D5369A" w:rsidRDefault="00126E7F" w:rsidP="00D5369A">
      <w:pPr>
        <w:autoSpaceDE w:val="0"/>
        <w:autoSpaceDN w:val="0"/>
        <w:adjustRightInd w:val="0"/>
        <w:spacing w:after="0" w:line="240" w:lineRule="auto"/>
        <w:rPr>
          <w:rFonts w:cstheme="minorHAnsi"/>
        </w:rPr>
      </w:pPr>
    </w:p>
    <w:p w14:paraId="37F912B1" w14:textId="77777777" w:rsidR="00E42EF3" w:rsidRPr="00D5369A" w:rsidRDefault="00976841" w:rsidP="00D5369A">
      <w:pPr>
        <w:autoSpaceDE w:val="0"/>
        <w:autoSpaceDN w:val="0"/>
        <w:adjustRightInd w:val="0"/>
        <w:spacing w:after="0" w:line="240" w:lineRule="auto"/>
        <w:rPr>
          <w:rFonts w:cstheme="minorHAnsi"/>
        </w:rPr>
      </w:pPr>
      <w:r>
        <w:rPr>
          <w:rFonts w:cstheme="minorHAnsi"/>
        </w:rPr>
        <w:t>Benchmarking may lead to greater performance over the long run</w:t>
      </w:r>
      <w:r w:rsidR="00E42EF3" w:rsidRPr="00D5369A">
        <w:rPr>
          <w:rFonts w:cstheme="minorHAnsi"/>
        </w:rPr>
        <w:t xml:space="preserve"> because benchmarking reduces the level of competition in the market, allowing for greater levels of collaboration and innovation and hence improved performance. Whether the evidence indicates this to be the case is examined in detail in the next two subsections. </w:t>
      </w:r>
    </w:p>
    <w:p w14:paraId="694ED1A3" w14:textId="77777777" w:rsidR="002860FC" w:rsidRPr="00AE3BED" w:rsidRDefault="00A12DA2" w:rsidP="00AE3BED">
      <w:pPr>
        <w:pStyle w:val="Heading2"/>
        <w:keepNext/>
        <w:numPr>
          <w:ilvl w:val="1"/>
          <w:numId w:val="16"/>
        </w:numPr>
        <w:spacing w:before="240" w:beforeAutospacing="0" w:after="240" w:afterAutospacing="0"/>
        <w:ind w:left="0" w:firstLine="0"/>
        <w:rPr>
          <w:rFonts w:ascii="Calibri" w:hAnsi="Calibri" w:cs="Arial"/>
          <w:i/>
          <w:iCs/>
          <w:sz w:val="28"/>
          <w:szCs w:val="28"/>
        </w:rPr>
      </w:pPr>
      <w:bookmarkStart w:id="33" w:name="_Toc365872652"/>
      <w:r w:rsidRPr="00AE3BED">
        <w:rPr>
          <w:rFonts w:ascii="Calibri" w:hAnsi="Calibri" w:cs="Arial"/>
          <w:i/>
          <w:iCs/>
          <w:sz w:val="28"/>
          <w:szCs w:val="28"/>
        </w:rPr>
        <w:t>Competition and Performance</w:t>
      </w:r>
      <w:bookmarkEnd w:id="33"/>
    </w:p>
    <w:p w14:paraId="0FCD430B" w14:textId="77777777" w:rsidR="008F709A" w:rsidRPr="007B1018" w:rsidRDefault="0018370F" w:rsidP="007265DE">
      <w:pPr>
        <w:autoSpaceDE w:val="0"/>
        <w:autoSpaceDN w:val="0"/>
        <w:adjustRightInd w:val="0"/>
        <w:spacing w:after="0" w:line="240" w:lineRule="auto"/>
        <w:rPr>
          <w:rFonts w:cstheme="minorHAnsi"/>
        </w:rPr>
      </w:pPr>
      <w:r w:rsidRPr="007265DE">
        <w:rPr>
          <w:rFonts w:cstheme="minorHAnsi"/>
        </w:rPr>
        <w:t>It</w:t>
      </w:r>
      <w:r w:rsidR="002860FC" w:rsidRPr="007265DE">
        <w:rPr>
          <w:rFonts w:cstheme="minorHAnsi"/>
        </w:rPr>
        <w:t xml:space="preserve"> is argued that competition should lead to improved provider performance as pressure from competitors incentivises providers to reduce costs, improve quality, achieve job outcomes, meet the needs of individual clients and develop and implement innovative practices (</w:t>
      </w:r>
      <w:r w:rsidR="002860FC" w:rsidRPr="007B1018">
        <w:rPr>
          <w:rFonts w:cstheme="minorHAnsi"/>
        </w:rPr>
        <w:t xml:space="preserve">Productivity Commission, 2002). </w:t>
      </w:r>
      <w:r w:rsidR="00DF3194" w:rsidRPr="007B1018">
        <w:rPr>
          <w:rFonts w:cstheme="minorHAnsi"/>
        </w:rPr>
        <w:t xml:space="preserve">The possible effect of provider competition on performance can be examined through an analysis of the introduction of competition in other public sector services. Belfield and Levin (2002) review U.S. evidence from cross-sectional research on educational outcomes when </w:t>
      </w:r>
      <w:r w:rsidR="00DF3194" w:rsidRPr="007B1018">
        <w:rPr>
          <w:rFonts w:cstheme="minorHAnsi"/>
        </w:rPr>
        <w:lastRenderedPageBreak/>
        <w:t>schools must compete with each other. The authors identify over 41 empirical studies test</w:t>
      </w:r>
      <w:r w:rsidR="00A86E0B" w:rsidRPr="007B1018">
        <w:rPr>
          <w:rFonts w:cstheme="minorHAnsi"/>
        </w:rPr>
        <w:t>ing the effects of competition.</w:t>
      </w:r>
      <w:r w:rsidR="00DF3194" w:rsidRPr="007B1018">
        <w:rPr>
          <w:rFonts w:cstheme="minorHAnsi"/>
        </w:rPr>
        <w:t xml:space="preserve"> Competition is measured using either the Herfindahl Index or the enrolment rate at an alternative choice (e.g. private school). Outcomes are separated into those relating to academic test scores, graduation/attainment, expenditures/efficiency, teacher quality, wages, and house prices. A sizable majority of these studies report beneficial effects of competition across all outcomes, with many reporting statistically significant correlations. The evidence shows reasonably consistent evidence of a positive link between competition (choice) and education quality. </w:t>
      </w:r>
    </w:p>
    <w:p w14:paraId="5091B4E4" w14:textId="77777777" w:rsidR="008F709A" w:rsidRPr="007B1018" w:rsidRDefault="008F709A" w:rsidP="007265DE">
      <w:pPr>
        <w:autoSpaceDE w:val="0"/>
        <w:autoSpaceDN w:val="0"/>
        <w:adjustRightInd w:val="0"/>
        <w:spacing w:after="0" w:line="240" w:lineRule="auto"/>
        <w:rPr>
          <w:rFonts w:cstheme="minorHAnsi"/>
        </w:rPr>
      </w:pPr>
    </w:p>
    <w:p w14:paraId="00D57C01" w14:textId="2C3C709F" w:rsidR="00DF3194" w:rsidRPr="007265DE" w:rsidRDefault="00DF3194" w:rsidP="007265DE">
      <w:pPr>
        <w:autoSpaceDE w:val="0"/>
        <w:autoSpaceDN w:val="0"/>
        <w:adjustRightInd w:val="0"/>
        <w:spacing w:after="0" w:line="240" w:lineRule="auto"/>
        <w:rPr>
          <w:rFonts w:cstheme="minorHAnsi"/>
        </w:rPr>
      </w:pPr>
      <w:r w:rsidRPr="007B1018">
        <w:rPr>
          <w:rFonts w:cstheme="minorHAnsi"/>
        </w:rPr>
        <w:t>In regards to the medic</w:t>
      </w:r>
      <w:r w:rsidR="00980C46" w:rsidRPr="007B1018">
        <w:rPr>
          <w:rFonts w:cstheme="minorHAnsi"/>
        </w:rPr>
        <w:t>al industry, Cooper et al. (2011</w:t>
      </w:r>
      <w:r w:rsidRPr="007B1018">
        <w:rPr>
          <w:rFonts w:cstheme="minorHAnsi"/>
        </w:rPr>
        <w:t>) examines whether or not hospital competition in a market with fixed reimbursement prices can prompt improvements in clinical quality. In January 2006, the British Government introduced a major extension of their market-based reforms to the English National Health Service</w:t>
      </w:r>
      <w:r w:rsidR="008F709A" w:rsidRPr="007B1018">
        <w:rPr>
          <w:rFonts w:cstheme="minorHAnsi"/>
        </w:rPr>
        <w:t xml:space="preserve"> (NHS)</w:t>
      </w:r>
      <w:r w:rsidRPr="007B1018">
        <w:rPr>
          <w:rFonts w:cstheme="minorHAnsi"/>
        </w:rPr>
        <w:t>. From January 2006 onwards, every patient in England could choose their hospital for secondary care and hospitals had to compete with each other to attract patients to secure their revenue. One of the central aims of this policy was to create financial incentives for providers to improve their clinical performance. They test the effectiveness of this policy using the natural experiment provided by the choice-based reforms, which created sharper financial incentives for hospitals in markets where choice is geographically feasible and that prior to 2006, in the absence of patient choice, hospitals had no direct financial incentive to improve performance in order to attract more patients. Using AMI mortality as a quality indicator, results show that mortality fell more quickly (i.e. quality improved) for patients living in more competitive markets after the introduction of hospital competition in January 2006.</w:t>
      </w:r>
      <w:r w:rsidR="008F709A" w:rsidRPr="007B1018">
        <w:rPr>
          <w:rFonts w:cstheme="minorHAnsi"/>
        </w:rPr>
        <w:t xml:space="preserve"> A further study by Cooper et al. (2010) showed that the introduction of competition also made hospitals more efficient. The authors examined a patient</w:t>
      </w:r>
      <w:r w:rsidR="00260A49" w:rsidRPr="007B1018">
        <w:rPr>
          <w:rFonts w:cstheme="minorHAnsi"/>
        </w:rPr>
        <w:t>’</w:t>
      </w:r>
      <w:r w:rsidR="008F709A" w:rsidRPr="007B1018">
        <w:rPr>
          <w:rFonts w:cstheme="minorHAnsi"/>
        </w:rPr>
        <w:t xml:space="preserve">s length of stay in hospital for an elective hip replacement using two measures: the time from a patient’s admission until their </w:t>
      </w:r>
      <w:r w:rsidR="001058A1" w:rsidRPr="007B1018">
        <w:rPr>
          <w:rFonts w:cstheme="minorHAnsi"/>
        </w:rPr>
        <w:t>surgery that</w:t>
      </w:r>
      <w:r w:rsidR="00992079" w:rsidRPr="007B1018">
        <w:rPr>
          <w:rFonts w:cstheme="minorHAnsi"/>
        </w:rPr>
        <w:t xml:space="preserve"> is a direct function of hospital efficiency</w:t>
      </w:r>
      <w:r w:rsidR="008F709A" w:rsidRPr="007B1018">
        <w:rPr>
          <w:rFonts w:cstheme="minorHAnsi"/>
        </w:rPr>
        <w:t xml:space="preserve">; and the time from surgery to discharge. </w:t>
      </w:r>
      <w:r w:rsidR="00992079" w:rsidRPr="007B1018">
        <w:rPr>
          <w:rFonts w:cstheme="minorHAnsi"/>
        </w:rPr>
        <w:t xml:space="preserve">Results show that hospitals facing greater competition reduced </w:t>
      </w:r>
      <w:r w:rsidR="002E5EFC" w:rsidRPr="007B1018">
        <w:rPr>
          <w:rFonts w:cstheme="minorHAnsi"/>
        </w:rPr>
        <w:t xml:space="preserve">their </w:t>
      </w:r>
      <w:r w:rsidR="00992079" w:rsidRPr="007B1018">
        <w:rPr>
          <w:rFonts w:cstheme="minorHAnsi"/>
        </w:rPr>
        <w:t xml:space="preserve">pre-surgery </w:t>
      </w:r>
      <w:r w:rsidR="002E5EFC" w:rsidRPr="007B1018">
        <w:rPr>
          <w:rFonts w:cstheme="minorHAnsi"/>
        </w:rPr>
        <w:t>length of stay relative to monopoly providers but not their post-surgery length of stay.</w:t>
      </w:r>
      <w:r w:rsidR="002E5EFC" w:rsidRPr="007265DE">
        <w:rPr>
          <w:rFonts w:cstheme="minorHAnsi"/>
        </w:rPr>
        <w:t xml:space="preserve"> </w:t>
      </w:r>
    </w:p>
    <w:p w14:paraId="1902D86E" w14:textId="77777777" w:rsidR="00B04334" w:rsidRPr="00AE3BED" w:rsidRDefault="00A12DA2" w:rsidP="00AE3BED">
      <w:pPr>
        <w:pStyle w:val="Heading2"/>
        <w:keepNext/>
        <w:numPr>
          <w:ilvl w:val="1"/>
          <w:numId w:val="16"/>
        </w:numPr>
        <w:spacing w:before="240" w:beforeAutospacing="0" w:after="240" w:afterAutospacing="0"/>
        <w:ind w:left="0" w:firstLine="0"/>
        <w:rPr>
          <w:rFonts w:ascii="Calibri" w:hAnsi="Calibri" w:cs="Arial"/>
          <w:i/>
          <w:iCs/>
          <w:sz w:val="28"/>
          <w:szCs w:val="28"/>
        </w:rPr>
      </w:pPr>
      <w:bookmarkStart w:id="34" w:name="_Toc365872653"/>
      <w:r w:rsidRPr="00AE3BED">
        <w:rPr>
          <w:rFonts w:ascii="Calibri" w:hAnsi="Calibri" w:cs="Arial"/>
          <w:i/>
          <w:iCs/>
          <w:sz w:val="28"/>
          <w:szCs w:val="28"/>
        </w:rPr>
        <w:t>Innovation</w:t>
      </w:r>
      <w:bookmarkEnd w:id="34"/>
    </w:p>
    <w:p w14:paraId="1D35B1EE" w14:textId="77777777" w:rsidR="00BA073B" w:rsidRDefault="00610C80" w:rsidP="007265DE">
      <w:pPr>
        <w:spacing w:after="0" w:line="240" w:lineRule="auto"/>
        <w:rPr>
          <w:rFonts w:cstheme="minorHAnsi"/>
        </w:rPr>
      </w:pPr>
      <w:r w:rsidRPr="007265DE">
        <w:rPr>
          <w:rFonts w:cstheme="minorHAnsi"/>
        </w:rPr>
        <w:t xml:space="preserve">An issue with competition in employment services </w:t>
      </w:r>
      <w:r w:rsidR="00E21687" w:rsidRPr="007265DE">
        <w:rPr>
          <w:rFonts w:cstheme="minorHAnsi"/>
        </w:rPr>
        <w:t xml:space="preserve">is that </w:t>
      </w:r>
      <w:r w:rsidR="00996373" w:rsidRPr="007265DE">
        <w:rPr>
          <w:rFonts w:cstheme="minorHAnsi"/>
        </w:rPr>
        <w:t>any reduction in collaboration between providers</w:t>
      </w:r>
      <w:r w:rsidR="00E21687" w:rsidRPr="007265DE">
        <w:rPr>
          <w:rFonts w:cstheme="minorHAnsi"/>
        </w:rPr>
        <w:t xml:space="preserve"> </w:t>
      </w:r>
      <w:r w:rsidRPr="007265DE">
        <w:rPr>
          <w:rFonts w:cstheme="minorHAnsi"/>
        </w:rPr>
        <w:t>may hinder</w:t>
      </w:r>
      <w:r w:rsidR="00E21687" w:rsidRPr="007265DE">
        <w:rPr>
          <w:rFonts w:cstheme="minorHAnsi"/>
        </w:rPr>
        <w:t xml:space="preserve"> the level of innovation in the sector</w:t>
      </w:r>
      <w:r w:rsidR="00600201" w:rsidRPr="007265DE">
        <w:rPr>
          <w:rFonts w:cstheme="minorHAnsi"/>
        </w:rPr>
        <w:t xml:space="preserve"> and hence the long-term performance of the sector as a whole</w:t>
      </w:r>
      <w:r w:rsidR="00E21687" w:rsidRPr="007265DE">
        <w:rPr>
          <w:rFonts w:cstheme="minorHAnsi"/>
        </w:rPr>
        <w:t xml:space="preserve">. </w:t>
      </w:r>
      <w:r w:rsidR="00600201" w:rsidRPr="007265DE">
        <w:rPr>
          <w:rFonts w:cstheme="minorHAnsi"/>
        </w:rPr>
        <w:t xml:space="preserve">Innovation within the employment services </w:t>
      </w:r>
      <w:r w:rsidRPr="007265DE">
        <w:rPr>
          <w:rFonts w:cstheme="minorHAnsi"/>
        </w:rPr>
        <w:t xml:space="preserve">market encompasses two aspects. </w:t>
      </w:r>
      <w:r w:rsidR="00AE2BDD" w:rsidRPr="007265DE">
        <w:rPr>
          <w:rFonts w:cstheme="minorHAnsi"/>
        </w:rPr>
        <w:t>The first concerns the production of something new or significantly improved</w:t>
      </w:r>
      <w:r w:rsidR="00F74658" w:rsidRPr="007265DE">
        <w:rPr>
          <w:rFonts w:cstheme="minorHAnsi"/>
        </w:rPr>
        <w:t>, including product and process innovations</w:t>
      </w:r>
      <w:r w:rsidR="00AE2BDD" w:rsidRPr="007265DE">
        <w:rPr>
          <w:rFonts w:cstheme="minorHAnsi"/>
        </w:rPr>
        <w:t>.</w:t>
      </w:r>
      <w:r w:rsidR="000D0306" w:rsidRPr="007265DE">
        <w:rPr>
          <w:rFonts w:cstheme="minorHAnsi"/>
        </w:rPr>
        <w:t xml:space="preserve"> </w:t>
      </w:r>
      <w:r w:rsidR="00F74658" w:rsidRPr="007265DE">
        <w:rPr>
          <w:rFonts w:cstheme="minorHAnsi"/>
        </w:rPr>
        <w:t>P</w:t>
      </w:r>
      <w:r w:rsidR="000D0306" w:rsidRPr="007265DE">
        <w:rPr>
          <w:rFonts w:cstheme="minorHAnsi"/>
        </w:rPr>
        <w:t>roduct innovations</w:t>
      </w:r>
      <w:r w:rsidR="00F74658" w:rsidRPr="007265DE">
        <w:rPr>
          <w:rFonts w:cstheme="minorHAnsi"/>
        </w:rPr>
        <w:t xml:space="preserve"> involve</w:t>
      </w:r>
      <w:r w:rsidR="000D0306" w:rsidRPr="007265DE">
        <w:rPr>
          <w:rFonts w:cstheme="minorHAnsi"/>
        </w:rPr>
        <w:t xml:space="preserve"> a new type o</w:t>
      </w:r>
      <w:r w:rsidR="00F74658" w:rsidRPr="007265DE">
        <w:rPr>
          <w:rFonts w:cstheme="minorHAnsi"/>
        </w:rPr>
        <w:t xml:space="preserve">f service offered to </w:t>
      </w:r>
      <w:r w:rsidR="007957F5" w:rsidRPr="007265DE">
        <w:rPr>
          <w:rFonts w:cstheme="minorHAnsi"/>
        </w:rPr>
        <w:t>job seeker</w:t>
      </w:r>
      <w:r w:rsidR="00F74658" w:rsidRPr="007265DE">
        <w:rPr>
          <w:rFonts w:cstheme="minorHAnsi"/>
        </w:rPr>
        <w:t xml:space="preserve">s, such as mental health, counselling or housing services </w:t>
      </w:r>
      <w:r w:rsidR="00AD3843">
        <w:rPr>
          <w:rFonts w:cstheme="minorHAnsi"/>
        </w:rPr>
        <w:t>and so on</w:t>
      </w:r>
      <w:r w:rsidR="00F74658" w:rsidRPr="007265DE">
        <w:rPr>
          <w:rFonts w:cstheme="minorHAnsi"/>
        </w:rPr>
        <w:t xml:space="preserve"> through established</w:t>
      </w:r>
      <w:r w:rsidR="000D0306" w:rsidRPr="007265DE">
        <w:rPr>
          <w:rFonts w:cstheme="minorHAnsi"/>
        </w:rPr>
        <w:t xml:space="preserve"> partnerships with</w:t>
      </w:r>
      <w:r w:rsidR="00F74658" w:rsidRPr="007265DE">
        <w:rPr>
          <w:rFonts w:cstheme="minorHAnsi"/>
        </w:rPr>
        <w:t xml:space="preserve"> external providers. P</w:t>
      </w:r>
      <w:r w:rsidR="000D0306" w:rsidRPr="007265DE">
        <w:rPr>
          <w:rFonts w:cstheme="minorHAnsi"/>
        </w:rPr>
        <w:t>rocess innovations</w:t>
      </w:r>
      <w:r w:rsidR="00F74658" w:rsidRPr="007265DE">
        <w:rPr>
          <w:rFonts w:cstheme="minorHAnsi"/>
        </w:rPr>
        <w:t xml:space="preserve"> involve</w:t>
      </w:r>
      <w:r w:rsidR="000D0306" w:rsidRPr="007265DE">
        <w:rPr>
          <w:rFonts w:cstheme="minorHAnsi"/>
        </w:rPr>
        <w:t xml:space="preserve"> </w:t>
      </w:r>
      <w:r w:rsidR="00F74658" w:rsidRPr="007265DE">
        <w:rPr>
          <w:rFonts w:cstheme="minorHAnsi"/>
        </w:rPr>
        <w:t xml:space="preserve">production and delivery techniques such as meeting with </w:t>
      </w:r>
      <w:r w:rsidR="007957F5" w:rsidRPr="007265DE">
        <w:rPr>
          <w:rFonts w:cstheme="minorHAnsi"/>
        </w:rPr>
        <w:t>job seeker</w:t>
      </w:r>
      <w:r w:rsidR="00F74658" w:rsidRPr="007265DE">
        <w:rPr>
          <w:rFonts w:cstheme="minorHAnsi"/>
        </w:rPr>
        <w:t>s online</w:t>
      </w:r>
      <w:r w:rsidR="000D0306" w:rsidRPr="007265DE">
        <w:rPr>
          <w:rFonts w:cstheme="minorHAnsi"/>
        </w:rPr>
        <w:t>.</w:t>
      </w:r>
      <w:r w:rsidR="00AE2BDD" w:rsidRPr="007265DE">
        <w:rPr>
          <w:rFonts w:cstheme="minorHAnsi"/>
        </w:rPr>
        <w:t xml:space="preserve"> The second concerns the </w:t>
      </w:r>
      <w:r w:rsidR="00F74658" w:rsidRPr="007265DE">
        <w:rPr>
          <w:rFonts w:cstheme="minorHAnsi"/>
        </w:rPr>
        <w:t>adoption</w:t>
      </w:r>
      <w:r w:rsidR="00AE2BDD" w:rsidRPr="007265DE">
        <w:rPr>
          <w:rFonts w:cstheme="minorHAnsi"/>
        </w:rPr>
        <w:t xml:space="preserve"> of innovations by providers. For example, </w:t>
      </w:r>
      <w:r w:rsidR="00F619C7" w:rsidRPr="007265DE">
        <w:rPr>
          <w:rFonts w:cstheme="minorHAnsi"/>
        </w:rPr>
        <w:t xml:space="preserve">a provider </w:t>
      </w:r>
      <w:r w:rsidR="00AE2BDD" w:rsidRPr="007265DE">
        <w:rPr>
          <w:rFonts w:cstheme="minorHAnsi"/>
        </w:rPr>
        <w:t xml:space="preserve">implementing an established practice will be considered innovative </w:t>
      </w:r>
      <w:r w:rsidR="00A12DA2" w:rsidRPr="007265DE">
        <w:rPr>
          <w:rFonts w:cstheme="minorHAnsi"/>
        </w:rPr>
        <w:t>as it is an improvement on their old business practices</w:t>
      </w:r>
      <w:r w:rsidR="00F619C7" w:rsidRPr="007265DE">
        <w:rPr>
          <w:rFonts w:cstheme="minorHAnsi"/>
        </w:rPr>
        <w:t>. An employment services system should promote both types of innovation, encouraging the developments of new products and processes and the sharing of these ideas across providers.</w:t>
      </w:r>
      <w:r w:rsidR="00E21687" w:rsidRPr="007265DE">
        <w:rPr>
          <w:rFonts w:cstheme="minorHAnsi"/>
        </w:rPr>
        <w:t xml:space="preserve"> </w:t>
      </w:r>
    </w:p>
    <w:p w14:paraId="2FF7BEC2" w14:textId="77777777" w:rsidR="007265DE" w:rsidRPr="007265DE" w:rsidRDefault="007265DE" w:rsidP="007265DE">
      <w:pPr>
        <w:spacing w:after="0" w:line="240" w:lineRule="auto"/>
        <w:rPr>
          <w:rFonts w:cstheme="minorHAnsi"/>
        </w:rPr>
      </w:pPr>
    </w:p>
    <w:p w14:paraId="4E5DD8A7" w14:textId="77777777" w:rsidR="00996373" w:rsidRPr="007B1018" w:rsidRDefault="00DF3194" w:rsidP="007265DE">
      <w:pPr>
        <w:spacing w:after="0" w:line="240" w:lineRule="auto"/>
        <w:rPr>
          <w:rFonts w:cstheme="minorHAnsi"/>
        </w:rPr>
      </w:pPr>
      <w:r w:rsidRPr="007265DE">
        <w:rPr>
          <w:rFonts w:cstheme="minorHAnsi"/>
        </w:rPr>
        <w:t xml:space="preserve">The incentive to innovate is the difference in profit that a firm can earn if it invests in </w:t>
      </w:r>
      <w:r w:rsidR="00996373" w:rsidRPr="007265DE">
        <w:rPr>
          <w:rFonts w:cstheme="minorHAnsi"/>
        </w:rPr>
        <w:t>research and development</w:t>
      </w:r>
      <w:r w:rsidR="00AD3843">
        <w:rPr>
          <w:rFonts w:cstheme="minorHAnsi"/>
        </w:rPr>
        <w:t xml:space="preserve"> (R&amp;D)</w:t>
      </w:r>
      <w:r w:rsidRPr="007265DE">
        <w:rPr>
          <w:rFonts w:cstheme="minorHAnsi"/>
        </w:rPr>
        <w:t xml:space="preserve"> compared to what it would earn if it did not </w:t>
      </w:r>
      <w:r w:rsidRPr="007B1018">
        <w:rPr>
          <w:rFonts w:cstheme="minorHAnsi"/>
        </w:rPr>
        <w:t xml:space="preserve">invest (Gilbert, 2006). </w:t>
      </w:r>
      <w:r w:rsidR="00F74658" w:rsidRPr="007B1018">
        <w:rPr>
          <w:rFonts w:cstheme="minorHAnsi"/>
        </w:rPr>
        <w:t>M</w:t>
      </w:r>
      <w:r w:rsidR="00F619C7" w:rsidRPr="007B1018">
        <w:rPr>
          <w:rFonts w:cstheme="minorHAnsi"/>
        </w:rPr>
        <w:t>arket competition</w:t>
      </w:r>
      <w:r w:rsidR="00F74658" w:rsidRPr="007B1018">
        <w:rPr>
          <w:rFonts w:cstheme="minorHAnsi"/>
        </w:rPr>
        <w:t xml:space="preserve"> and the profit motive</w:t>
      </w:r>
      <w:r w:rsidR="00C4235B" w:rsidRPr="007B1018">
        <w:rPr>
          <w:rFonts w:cstheme="minorHAnsi"/>
        </w:rPr>
        <w:t xml:space="preserve"> are</w:t>
      </w:r>
      <w:r w:rsidR="00F619C7" w:rsidRPr="007B1018">
        <w:rPr>
          <w:rFonts w:cstheme="minorHAnsi"/>
        </w:rPr>
        <w:t xml:space="preserve"> suggested to encourage providers to innovate under the credible threat that otherwise their business will be reallocated to competing firms. </w:t>
      </w:r>
      <w:r w:rsidR="00DF7672" w:rsidRPr="007B1018">
        <w:rPr>
          <w:rFonts w:cstheme="minorHAnsi"/>
        </w:rPr>
        <w:t>In a principal-agent relationship, the agent may not supply the effort necessary to maximise performance, which may involve examining and creating innovative services and processes. Higher competition incentiv</w:t>
      </w:r>
      <w:r w:rsidR="0064265E" w:rsidRPr="007B1018">
        <w:rPr>
          <w:rFonts w:cstheme="minorHAnsi"/>
        </w:rPr>
        <w:t>is</w:t>
      </w:r>
      <w:r w:rsidR="00DF7672" w:rsidRPr="007B1018">
        <w:rPr>
          <w:rFonts w:cstheme="minorHAnsi"/>
        </w:rPr>
        <w:t xml:space="preserve">es the agent to maximise performance (Leibenstein, 2006). </w:t>
      </w:r>
      <w:r w:rsidR="0064265E" w:rsidRPr="007B1018">
        <w:rPr>
          <w:rFonts w:cstheme="minorHAnsi"/>
        </w:rPr>
        <w:t>Seco</w:t>
      </w:r>
      <w:r w:rsidR="0064265E" w:rsidRPr="007265DE">
        <w:rPr>
          <w:rFonts w:cstheme="minorHAnsi"/>
        </w:rPr>
        <w:t xml:space="preserve">nd, competition means firms can be exited from the market. </w:t>
      </w:r>
      <w:r w:rsidR="00DF7672" w:rsidRPr="007265DE">
        <w:rPr>
          <w:rFonts w:cstheme="minorHAnsi"/>
        </w:rPr>
        <w:t xml:space="preserve"> </w:t>
      </w:r>
      <w:r w:rsidR="0064265E" w:rsidRPr="007265DE">
        <w:rPr>
          <w:rFonts w:cstheme="minorHAnsi"/>
        </w:rPr>
        <w:t xml:space="preserve">Innovation reduces this risk by making the company more </w:t>
      </w:r>
      <w:r w:rsidR="0064265E" w:rsidRPr="007265DE">
        <w:rPr>
          <w:rFonts w:cstheme="minorHAnsi"/>
        </w:rPr>
        <w:lastRenderedPageBreak/>
        <w:t xml:space="preserve">efficient. Greater levels of competition encourage greater levels of innovation as competitive firms are subject to a higher probability of being exited </w:t>
      </w:r>
      <w:r w:rsidR="0064265E" w:rsidRPr="007B1018">
        <w:rPr>
          <w:rFonts w:cstheme="minorHAnsi"/>
        </w:rPr>
        <w:t>(Aghion, 1999).</w:t>
      </w:r>
    </w:p>
    <w:p w14:paraId="014D5B65" w14:textId="77777777" w:rsidR="007265DE" w:rsidRPr="007B1018" w:rsidRDefault="007265DE" w:rsidP="007265DE">
      <w:pPr>
        <w:spacing w:after="0" w:line="240" w:lineRule="auto"/>
        <w:rPr>
          <w:rFonts w:cstheme="minorHAnsi"/>
        </w:rPr>
      </w:pPr>
    </w:p>
    <w:p w14:paraId="0FB7EFE3" w14:textId="77777777" w:rsidR="00F23E5F" w:rsidRDefault="003C6514" w:rsidP="007265DE">
      <w:pPr>
        <w:spacing w:after="0" w:line="240" w:lineRule="auto"/>
        <w:rPr>
          <w:rFonts w:cstheme="minorHAnsi"/>
        </w:rPr>
      </w:pPr>
      <w:r w:rsidRPr="007B1018">
        <w:rPr>
          <w:rFonts w:cstheme="minorHAnsi"/>
        </w:rPr>
        <w:t xml:space="preserve">The </w:t>
      </w:r>
      <w:r w:rsidR="007957F5" w:rsidRPr="007B1018">
        <w:rPr>
          <w:rFonts w:cstheme="minorHAnsi"/>
        </w:rPr>
        <w:t>Star Rating</w:t>
      </w:r>
      <w:r w:rsidRPr="007B1018">
        <w:rPr>
          <w:rFonts w:cstheme="minorHAnsi"/>
        </w:rPr>
        <w:t xml:space="preserve">s model encourages competition though </w:t>
      </w:r>
      <w:r w:rsidR="008867CA" w:rsidRPr="007B1018">
        <w:rPr>
          <w:rFonts w:cstheme="minorHAnsi"/>
        </w:rPr>
        <w:t xml:space="preserve">business reallocations and the entrance </w:t>
      </w:r>
      <w:r w:rsidRPr="007B1018">
        <w:rPr>
          <w:rFonts w:cstheme="minorHAnsi"/>
        </w:rPr>
        <w:t xml:space="preserve">of new providers into the employment services market. </w:t>
      </w:r>
      <w:r w:rsidR="007669EC" w:rsidRPr="007B1018">
        <w:rPr>
          <w:rFonts w:cstheme="minorHAnsi"/>
        </w:rPr>
        <w:t xml:space="preserve">Reinganum (1983) develop a model on the effect </w:t>
      </w:r>
      <w:r w:rsidR="00A12DA2" w:rsidRPr="007B1018">
        <w:rPr>
          <w:rFonts w:cstheme="minorHAnsi"/>
        </w:rPr>
        <w:t xml:space="preserve">of </w:t>
      </w:r>
      <w:r w:rsidR="007669EC" w:rsidRPr="007B1018">
        <w:rPr>
          <w:rFonts w:cstheme="minorHAnsi"/>
        </w:rPr>
        <w:t xml:space="preserve">new entrants on innovation where an incumbent firm and a challenger engage in a game of innovation. The author finds that the incumbent firm has a lower marginal incentive to invest in R&amp;D than does the challenger. </w:t>
      </w:r>
      <w:r w:rsidR="00F23E5F" w:rsidRPr="007B1018">
        <w:rPr>
          <w:rFonts w:cstheme="minorHAnsi"/>
        </w:rPr>
        <w:t xml:space="preserve">Scherer (1980) empirically supports this conclusion, finding that potential new entrants play a crucial role in stimulating technological progress </w:t>
      </w:r>
      <w:r w:rsidR="00EC00D5" w:rsidRPr="007B1018">
        <w:rPr>
          <w:rFonts w:cstheme="minorHAnsi"/>
        </w:rPr>
        <w:t>in which</w:t>
      </w:r>
      <w:r w:rsidR="00F23E5F" w:rsidRPr="007B1018">
        <w:rPr>
          <w:rFonts w:cstheme="minorHAnsi"/>
        </w:rPr>
        <w:t xml:space="preserve"> they contribute a disproportionately </w:t>
      </w:r>
      <w:r w:rsidR="0000738C" w:rsidRPr="007B1018">
        <w:rPr>
          <w:rFonts w:cstheme="minorHAnsi"/>
        </w:rPr>
        <w:t xml:space="preserve">high </w:t>
      </w:r>
      <w:r w:rsidR="00F23E5F" w:rsidRPr="007B1018">
        <w:rPr>
          <w:rFonts w:cstheme="minorHAnsi"/>
        </w:rPr>
        <w:t xml:space="preserve">share of all revolutionary products and processes. Cockburn and Henderson (1995) show that competition promotes innovation as an innovative discovery by one firm increases the innovative efforts of competing firms. The authors examine R&amp;D expenditures by </w:t>
      </w:r>
      <w:r w:rsidR="00C02F03" w:rsidRPr="007B1018">
        <w:rPr>
          <w:rFonts w:cstheme="minorHAnsi"/>
        </w:rPr>
        <w:t xml:space="preserve">US </w:t>
      </w:r>
      <w:r w:rsidR="00F23E5F" w:rsidRPr="007B1018">
        <w:rPr>
          <w:rFonts w:cstheme="minorHAnsi"/>
        </w:rPr>
        <w:t xml:space="preserve">pharmaceutical firms at the therapeutical program level. Results show that when a firm makes a discovery on a drug, rival firms R&amp;D levels tend to increase. This is because </w:t>
      </w:r>
      <w:r w:rsidR="003527F9" w:rsidRPr="007B1018">
        <w:rPr>
          <w:rFonts w:cstheme="minorHAnsi"/>
        </w:rPr>
        <w:t xml:space="preserve">discovery is cumulative and doesn’t stop new products being invented by rival firms. In other words, </w:t>
      </w:r>
      <w:r w:rsidRPr="007B1018">
        <w:rPr>
          <w:rFonts w:cstheme="minorHAnsi"/>
        </w:rPr>
        <w:t>discoveries by one company expand</w:t>
      </w:r>
      <w:r w:rsidR="003527F9" w:rsidRPr="007B1018">
        <w:rPr>
          <w:rFonts w:cstheme="minorHAnsi"/>
        </w:rPr>
        <w:t xml:space="preserve"> the technological opportunities of other firms, thereby stimulating new innovation. </w:t>
      </w:r>
      <w:r w:rsidR="00C02F03" w:rsidRPr="007B1018">
        <w:rPr>
          <w:rFonts w:cstheme="minorHAnsi"/>
        </w:rPr>
        <w:t>Examining a sample of US firm</w:t>
      </w:r>
      <w:r w:rsidR="00BD14AB" w:rsidRPr="007B1018">
        <w:rPr>
          <w:rFonts w:cstheme="minorHAnsi"/>
        </w:rPr>
        <w:t>s, Blundell, Griffith and Reenen</w:t>
      </w:r>
      <w:r w:rsidR="00C02F03" w:rsidRPr="007B1018">
        <w:rPr>
          <w:rFonts w:cstheme="minorHAnsi"/>
        </w:rPr>
        <w:t xml:space="preserve"> (1999)</w:t>
      </w:r>
      <w:r w:rsidR="00C02F03" w:rsidRPr="007265DE">
        <w:rPr>
          <w:rFonts w:cstheme="minorHAnsi"/>
        </w:rPr>
        <w:t xml:space="preserve"> f</w:t>
      </w:r>
      <w:r w:rsidRPr="007265DE">
        <w:rPr>
          <w:rFonts w:cstheme="minorHAnsi"/>
        </w:rPr>
        <w:t xml:space="preserve">ind that less competitive industries </w:t>
      </w:r>
      <w:r w:rsidR="00685A73" w:rsidRPr="007265DE">
        <w:rPr>
          <w:rFonts w:cstheme="minorHAnsi"/>
        </w:rPr>
        <w:t>(</w:t>
      </w:r>
      <w:r w:rsidRPr="007265DE">
        <w:rPr>
          <w:rFonts w:cstheme="minorHAnsi"/>
        </w:rPr>
        <w:t>based upon lower import penetration and higher concentration levels</w:t>
      </w:r>
      <w:r w:rsidR="00685A73" w:rsidRPr="007265DE">
        <w:rPr>
          <w:rFonts w:cstheme="minorHAnsi"/>
        </w:rPr>
        <w:t>)</w:t>
      </w:r>
      <w:r w:rsidRPr="007265DE">
        <w:rPr>
          <w:rFonts w:cstheme="minorHAnsi"/>
        </w:rPr>
        <w:t xml:space="preserve"> have fewer aggregate innovations</w:t>
      </w:r>
      <w:r w:rsidR="008867CA" w:rsidRPr="007265DE">
        <w:rPr>
          <w:rFonts w:cstheme="minorHAnsi"/>
        </w:rPr>
        <w:t>. Within industries, increased product competition in the industry stimulates innovative activity though higher market share firms tend to commercialise more innovations.</w:t>
      </w:r>
    </w:p>
    <w:p w14:paraId="1E7A81CE" w14:textId="77777777" w:rsidR="007265DE" w:rsidRPr="007265DE" w:rsidRDefault="007265DE" w:rsidP="007265DE">
      <w:pPr>
        <w:spacing w:after="0" w:line="240" w:lineRule="auto"/>
        <w:rPr>
          <w:rFonts w:cstheme="minorHAnsi"/>
        </w:rPr>
      </w:pPr>
    </w:p>
    <w:p w14:paraId="5CD26C80" w14:textId="5B5C761F" w:rsidR="00DF3194" w:rsidRDefault="00C02F03" w:rsidP="007265DE">
      <w:pPr>
        <w:spacing w:after="0" w:line="240" w:lineRule="auto"/>
        <w:rPr>
          <w:rFonts w:cstheme="minorHAnsi"/>
        </w:rPr>
      </w:pPr>
      <w:r w:rsidRPr="007265DE">
        <w:rPr>
          <w:rFonts w:cstheme="minorHAnsi"/>
        </w:rPr>
        <w:t>C</w:t>
      </w:r>
      <w:r w:rsidR="00DF3194" w:rsidRPr="007265DE">
        <w:rPr>
          <w:rFonts w:cstheme="minorHAnsi"/>
        </w:rPr>
        <w:t xml:space="preserve">ompetition within a purchaser-provider model of employment services </w:t>
      </w:r>
      <w:r w:rsidR="00EC00D5" w:rsidRPr="007265DE">
        <w:rPr>
          <w:rFonts w:cstheme="minorHAnsi"/>
        </w:rPr>
        <w:t>however may</w:t>
      </w:r>
      <w:r w:rsidR="00DF3194" w:rsidRPr="007265DE">
        <w:rPr>
          <w:rFonts w:cstheme="minorHAnsi"/>
        </w:rPr>
        <w:t xml:space="preserve"> stifle innovation and limit the sharing of best practice (</w:t>
      </w:r>
      <w:r w:rsidR="00153C3E" w:rsidRPr="007B1018">
        <w:rPr>
          <w:rFonts w:cstheme="minorHAnsi"/>
        </w:rPr>
        <w:t>Bowman &amp; Horn, 2010;</w:t>
      </w:r>
      <w:r w:rsidR="00DF3194" w:rsidRPr="007B1018">
        <w:rPr>
          <w:rFonts w:cstheme="minorHAnsi"/>
        </w:rPr>
        <w:t xml:space="preserve"> Considine</w:t>
      </w:r>
      <w:r w:rsidR="00153C3E" w:rsidRPr="007B1018">
        <w:rPr>
          <w:rFonts w:cstheme="minorHAnsi"/>
        </w:rPr>
        <w:t>,</w:t>
      </w:r>
      <w:r w:rsidR="00DF3194" w:rsidRPr="007B1018">
        <w:rPr>
          <w:rFonts w:cstheme="minorHAnsi"/>
        </w:rPr>
        <w:t xml:space="preserve"> 2003). Any meaningful collaborative effort involves the sharing of how a service is delive</w:t>
      </w:r>
      <w:r w:rsidR="007B1018" w:rsidRPr="007B1018">
        <w:rPr>
          <w:rFonts w:cstheme="minorHAnsi"/>
        </w:rPr>
        <w:t>red. It is unlikely that organis</w:t>
      </w:r>
      <w:r w:rsidR="00DF3194" w:rsidRPr="007B1018">
        <w:rPr>
          <w:rFonts w:cstheme="minorHAnsi"/>
        </w:rPr>
        <w:t>ations</w:t>
      </w:r>
      <w:r w:rsidR="00AD3843" w:rsidRPr="007B1018">
        <w:rPr>
          <w:rFonts w:cstheme="minorHAnsi"/>
        </w:rPr>
        <w:t xml:space="preserve"> who are seeking to achieve </w:t>
      </w:r>
      <w:r w:rsidR="001058A1" w:rsidRPr="007B1018">
        <w:rPr>
          <w:rFonts w:cstheme="minorHAnsi"/>
        </w:rPr>
        <w:t>5-Stars</w:t>
      </w:r>
      <w:r w:rsidR="007957F5" w:rsidRPr="007B1018">
        <w:rPr>
          <w:rFonts w:cstheme="minorHAnsi"/>
        </w:rPr>
        <w:t xml:space="preserve"> </w:t>
      </w:r>
      <w:r w:rsidR="00DF3194" w:rsidRPr="007B1018">
        <w:rPr>
          <w:rFonts w:cstheme="minorHAnsi"/>
        </w:rPr>
        <w:t>are prepared to share their “trade secrets” with each other.</w:t>
      </w:r>
      <w:r w:rsidRPr="007B1018">
        <w:rPr>
          <w:rFonts w:cstheme="minorHAnsi"/>
        </w:rPr>
        <w:t xml:space="preserve"> A number of studies point towards the beneficial effects </w:t>
      </w:r>
      <w:r w:rsidR="001C3C59" w:rsidRPr="007B1018">
        <w:rPr>
          <w:rFonts w:cstheme="minorHAnsi"/>
        </w:rPr>
        <w:t xml:space="preserve">of collaboration on innovation, showing that R&amp;D intensity and the level of technological sophistication is positively correlated with the intensity and number of alliances in those sectors (Freeman, 1991; Hagedoorn, 1995). </w:t>
      </w:r>
      <w:r w:rsidR="00685A73" w:rsidRPr="007B1018">
        <w:rPr>
          <w:rFonts w:cstheme="minorHAnsi"/>
        </w:rPr>
        <w:t xml:space="preserve">There are two possible reasons for firms deciding to cooperate. The first is a strategic decisions by firms, where the choice to collaborate </w:t>
      </w:r>
      <w:r w:rsidR="0070257E" w:rsidRPr="007B1018">
        <w:rPr>
          <w:rFonts w:cstheme="minorHAnsi"/>
        </w:rPr>
        <w:t>occurs when the benefits exceed the costs</w:t>
      </w:r>
      <w:r w:rsidR="00685A73" w:rsidRPr="007B1018">
        <w:rPr>
          <w:rFonts w:cstheme="minorHAnsi"/>
        </w:rPr>
        <w:t xml:space="preserve">. Firms will collaborate when </w:t>
      </w:r>
      <w:r w:rsidR="00E7104B" w:rsidRPr="007B1018">
        <w:rPr>
          <w:rFonts w:cstheme="minorHAnsi"/>
        </w:rPr>
        <w:t xml:space="preserve">they cannot produce the required skills and resources internally and that the risks of collaboration are at an acceptable level (Williamson, 1991). The second </w:t>
      </w:r>
      <w:r w:rsidR="00166A8D" w:rsidRPr="007B1018">
        <w:rPr>
          <w:rFonts w:cstheme="minorHAnsi"/>
        </w:rPr>
        <w:t xml:space="preserve">is that the formation of new ideas occurs from the </w:t>
      </w:r>
      <w:r w:rsidR="00E7104B" w:rsidRPr="007B1018">
        <w:rPr>
          <w:rFonts w:cstheme="minorHAnsi"/>
        </w:rPr>
        <w:t xml:space="preserve">relationships between firms, universities, research institutions, suppliers and customers. </w:t>
      </w:r>
      <w:r w:rsidR="00166A8D" w:rsidRPr="007B1018">
        <w:rPr>
          <w:rFonts w:cstheme="minorHAnsi"/>
        </w:rPr>
        <w:t xml:space="preserve">This is because knowledge is broadly distributed across this network. </w:t>
      </w:r>
      <w:r w:rsidR="00E7104B" w:rsidRPr="007B1018">
        <w:rPr>
          <w:rFonts w:cstheme="minorHAnsi"/>
        </w:rPr>
        <w:t xml:space="preserve">The degree to which firms source new innovations are a function of </w:t>
      </w:r>
      <w:r w:rsidR="0080069B" w:rsidRPr="007B1018">
        <w:rPr>
          <w:rFonts w:cstheme="minorHAnsi"/>
        </w:rPr>
        <w:t>their</w:t>
      </w:r>
      <w:r w:rsidR="00E7104B" w:rsidRPr="007B1018">
        <w:rPr>
          <w:rFonts w:cstheme="minorHAnsi"/>
        </w:rPr>
        <w:t xml:space="preserve"> participation within these groups (Levinthal and March, 1994</w:t>
      </w:r>
      <w:r w:rsidR="00166A8D" w:rsidRPr="007B1018">
        <w:rPr>
          <w:rFonts w:cstheme="minorHAnsi"/>
        </w:rPr>
        <w:t>; Powell, Koput and Smith-Doerr, 1996)</w:t>
      </w:r>
      <w:r w:rsidR="00166A8D" w:rsidRPr="007265DE">
        <w:rPr>
          <w:rFonts w:cstheme="minorHAnsi"/>
        </w:rPr>
        <w:t>.</w:t>
      </w:r>
    </w:p>
    <w:p w14:paraId="0F995696" w14:textId="77777777" w:rsidR="007265DE" w:rsidRPr="007265DE" w:rsidRDefault="007265DE" w:rsidP="007265DE">
      <w:pPr>
        <w:spacing w:after="0" w:line="240" w:lineRule="auto"/>
        <w:rPr>
          <w:rFonts w:cstheme="minorHAnsi"/>
        </w:rPr>
      </w:pPr>
    </w:p>
    <w:p w14:paraId="089B7FD4" w14:textId="77777777" w:rsidR="00F86AA2" w:rsidRDefault="0080069B" w:rsidP="007265DE">
      <w:pPr>
        <w:spacing w:after="0" w:line="240" w:lineRule="auto"/>
        <w:rPr>
          <w:rFonts w:cstheme="minorHAnsi"/>
        </w:rPr>
      </w:pPr>
      <w:r w:rsidRPr="007265DE">
        <w:rPr>
          <w:rFonts w:cstheme="minorHAnsi"/>
        </w:rPr>
        <w:t xml:space="preserve">The knowledge required to place </w:t>
      </w:r>
      <w:r w:rsidR="007957F5" w:rsidRPr="007265DE">
        <w:rPr>
          <w:rFonts w:cstheme="minorHAnsi"/>
        </w:rPr>
        <w:t>job seeker</w:t>
      </w:r>
      <w:r w:rsidRPr="007265DE">
        <w:rPr>
          <w:rFonts w:cstheme="minorHAnsi"/>
        </w:rPr>
        <w:t>s into employment is highly distributed across Au</w:t>
      </w:r>
      <w:r w:rsidR="0070257E" w:rsidRPr="007265DE">
        <w:rPr>
          <w:rFonts w:cstheme="minorHAnsi"/>
        </w:rPr>
        <w:t>s</w:t>
      </w:r>
      <w:r w:rsidRPr="007265DE">
        <w:rPr>
          <w:rFonts w:cstheme="minorHAnsi"/>
        </w:rPr>
        <w:t>tralia’s employment services sector and other industries. For example, knowledge about how to best assist a person with mental heal</w:t>
      </w:r>
      <w:r w:rsidR="00A12DA2" w:rsidRPr="007265DE">
        <w:rPr>
          <w:rFonts w:cstheme="minorHAnsi"/>
        </w:rPr>
        <w:t>th issues will require input from</w:t>
      </w:r>
      <w:r w:rsidRPr="007265DE">
        <w:rPr>
          <w:rFonts w:cstheme="minorHAnsi"/>
        </w:rPr>
        <w:t xml:space="preserve"> the mental health services sector. </w:t>
      </w:r>
      <w:r w:rsidR="0014485D" w:rsidRPr="007265DE">
        <w:rPr>
          <w:rFonts w:cstheme="minorHAnsi"/>
        </w:rPr>
        <w:t xml:space="preserve">This knowledge will help assist the provider in placing the </w:t>
      </w:r>
      <w:r w:rsidR="007957F5" w:rsidRPr="007265DE">
        <w:rPr>
          <w:rFonts w:cstheme="minorHAnsi"/>
        </w:rPr>
        <w:t>job seeker</w:t>
      </w:r>
      <w:r w:rsidR="0014485D" w:rsidRPr="007265DE">
        <w:rPr>
          <w:rFonts w:cstheme="minorHAnsi"/>
        </w:rPr>
        <w:t xml:space="preserve"> into employment, providing them with a competitive advantage relative to other providers.</w:t>
      </w:r>
      <w:r w:rsidR="001629AC" w:rsidRPr="007265DE">
        <w:rPr>
          <w:rFonts w:cstheme="minorHAnsi"/>
        </w:rPr>
        <w:t xml:space="preserve"> Inter-organisational collaboration can occur with a variety of partner</w:t>
      </w:r>
      <w:r w:rsidR="0034092E" w:rsidRPr="007265DE">
        <w:rPr>
          <w:rFonts w:cstheme="minorHAnsi"/>
        </w:rPr>
        <w:t>s</w:t>
      </w:r>
      <w:r w:rsidR="001629AC" w:rsidRPr="007265DE">
        <w:rPr>
          <w:rFonts w:cstheme="minorHAnsi"/>
        </w:rPr>
        <w:t xml:space="preserve">, including suppliers and </w:t>
      </w:r>
      <w:r w:rsidR="001629AC" w:rsidRPr="006F44C4">
        <w:rPr>
          <w:rFonts w:cstheme="minorHAnsi"/>
        </w:rPr>
        <w:t>customers (Shaw, 1994; Von Hippel, 1988), universities and research centres (</w:t>
      </w:r>
      <w:r w:rsidR="00F720E9" w:rsidRPr="006F44C4">
        <w:rPr>
          <w:rFonts w:cstheme="minorHAnsi"/>
        </w:rPr>
        <w:t>Gerwin, Kumar and Pal</w:t>
      </w:r>
      <w:r w:rsidR="001629AC" w:rsidRPr="006F44C4">
        <w:rPr>
          <w:rFonts w:cstheme="minorHAnsi"/>
        </w:rPr>
        <w:t>, 1992; Santoro, 2000; Tidd</w:t>
      </w:r>
      <w:r w:rsidR="00F720E9" w:rsidRPr="006F44C4">
        <w:rPr>
          <w:rFonts w:cstheme="minorHAnsi"/>
        </w:rPr>
        <w:t>,</w:t>
      </w:r>
      <w:r w:rsidR="001629AC" w:rsidRPr="006F44C4">
        <w:rPr>
          <w:rFonts w:cstheme="minorHAnsi"/>
        </w:rPr>
        <w:t xml:space="preserve"> </w:t>
      </w:r>
      <w:r w:rsidR="00F720E9" w:rsidRPr="006F44C4">
        <w:rPr>
          <w:rFonts w:cstheme="minorHAnsi"/>
        </w:rPr>
        <w:t>Bessant and Pavitt</w:t>
      </w:r>
      <w:r w:rsidR="001629AC" w:rsidRPr="006F44C4">
        <w:rPr>
          <w:rFonts w:cstheme="minorHAnsi"/>
        </w:rPr>
        <w:t>, 2002) and even potential or existing industry competitors (Dodgson, 1993; Hamel, 1991). However, it is not the number of collaborative relationships per se that matter, which can lead to duplic</w:t>
      </w:r>
      <w:r w:rsidR="0034092E" w:rsidRPr="006F44C4">
        <w:rPr>
          <w:rFonts w:cstheme="minorHAnsi"/>
        </w:rPr>
        <w:t>ation of information, but the diversity of relationships. Analysing a sample of Belgian firms, Faems, Van Looy and Debackere</w:t>
      </w:r>
      <w:r w:rsidR="00E41AD5" w:rsidRPr="006F44C4">
        <w:rPr>
          <w:rFonts w:cstheme="minorHAnsi"/>
        </w:rPr>
        <w:t xml:space="preserve"> (200</w:t>
      </w:r>
      <w:r w:rsidR="00530DCF" w:rsidRPr="006F44C4">
        <w:rPr>
          <w:rFonts w:cstheme="minorHAnsi"/>
        </w:rPr>
        <w:t>5)</w:t>
      </w:r>
      <w:r w:rsidR="0034092E" w:rsidRPr="006F44C4">
        <w:rPr>
          <w:rFonts w:cstheme="minorHAnsi"/>
        </w:rPr>
        <w:t xml:space="preserve"> find</w:t>
      </w:r>
      <w:r w:rsidR="0034092E" w:rsidRPr="007265DE">
        <w:rPr>
          <w:rFonts w:cstheme="minorHAnsi"/>
        </w:rPr>
        <w:t xml:space="preserve"> that the more a firm uses different collaboration possibilities, the more likely they are to innovate. </w:t>
      </w:r>
    </w:p>
    <w:p w14:paraId="5083987E" w14:textId="77777777" w:rsidR="007265DE" w:rsidRPr="007265DE" w:rsidRDefault="007265DE" w:rsidP="007265DE">
      <w:pPr>
        <w:spacing w:after="0" w:line="240" w:lineRule="auto"/>
        <w:rPr>
          <w:rFonts w:cstheme="minorHAnsi"/>
        </w:rPr>
      </w:pPr>
    </w:p>
    <w:p w14:paraId="637E079E" w14:textId="6B0D49E2" w:rsidR="00904654" w:rsidRPr="007265DE" w:rsidRDefault="0034092E" w:rsidP="007265DE">
      <w:pPr>
        <w:spacing w:after="0" w:line="240" w:lineRule="auto"/>
        <w:rPr>
          <w:rFonts w:cstheme="minorHAnsi"/>
        </w:rPr>
      </w:pPr>
      <w:r w:rsidRPr="007265DE">
        <w:rPr>
          <w:rFonts w:cstheme="minorHAnsi"/>
        </w:rPr>
        <w:lastRenderedPageBreak/>
        <w:t xml:space="preserve">The type of partners that firms partner with though matter. </w:t>
      </w:r>
      <w:r w:rsidR="00EC00D5" w:rsidRPr="007265DE">
        <w:rPr>
          <w:rFonts w:cstheme="minorHAnsi"/>
        </w:rPr>
        <w:t xml:space="preserve">Analysing a sample of Spanish manufacturing firms, </w:t>
      </w:r>
      <w:r w:rsidR="00EC00D5" w:rsidRPr="0026149A">
        <w:rPr>
          <w:rFonts w:cstheme="minorHAnsi"/>
        </w:rPr>
        <w:t>Nieto and Santamaria (2007) find that collaborative networks are important for generating product innovations but that this is dependent on the composition of that network. Collaboration with suppliers, clients and research organisations have a positive impact on innovation but collaboration with competitors has a negative impact. These findings are corroborated by Fitjar and Rodr</w:t>
      </w:r>
      <w:r w:rsidR="00F86AA2" w:rsidRPr="0026149A">
        <w:rPr>
          <w:rFonts w:cstheme="minorHAnsi"/>
        </w:rPr>
        <w:t>iguez-Pose (2013) who examine the sources of product and process innovation in Norway through a survey of 1604 firms. The author’s find collaboration using Jensen’s</w:t>
      </w:r>
      <w:r w:rsidR="009F2FF4" w:rsidRPr="0026149A">
        <w:rPr>
          <w:rFonts w:cstheme="minorHAnsi"/>
        </w:rPr>
        <w:t xml:space="preserve"> et al.</w:t>
      </w:r>
      <w:r w:rsidR="00F86AA2" w:rsidRPr="0026149A">
        <w:rPr>
          <w:rFonts w:cstheme="minorHAnsi"/>
        </w:rPr>
        <w:t xml:space="preserve"> (2007)</w:t>
      </w:r>
      <w:r w:rsidR="00F86AA2" w:rsidRPr="007265DE">
        <w:rPr>
          <w:rFonts w:cstheme="minorHAnsi"/>
        </w:rPr>
        <w:t xml:space="preserve"> ‘Doing, Using and Interacting’ mode of interaction has a positive effect on innovation with regard to suppliers and customers but has a negative effect with regards to interaction between competitors. With respect to employment services,</w:t>
      </w:r>
      <w:r w:rsidR="00AD3843">
        <w:rPr>
          <w:rFonts w:cstheme="minorHAnsi"/>
        </w:rPr>
        <w:t xml:space="preserve"> it could be argued </w:t>
      </w:r>
      <w:r w:rsidR="00F86AA2" w:rsidRPr="007265DE">
        <w:rPr>
          <w:rFonts w:cstheme="minorHAnsi"/>
        </w:rPr>
        <w:t>collaboration is likely most beneficial between providers and external organisations, not</w:t>
      </w:r>
      <w:r w:rsidR="00AD3843">
        <w:rPr>
          <w:rFonts w:cstheme="minorHAnsi"/>
        </w:rPr>
        <w:t xml:space="preserve"> necessarily</w:t>
      </w:r>
      <w:r w:rsidR="00F86AA2" w:rsidRPr="007265DE">
        <w:rPr>
          <w:rFonts w:cstheme="minorHAnsi"/>
        </w:rPr>
        <w:t xml:space="preserve"> between competitors. As the </w:t>
      </w:r>
      <w:r w:rsidR="006F44C4">
        <w:rPr>
          <w:rFonts w:cstheme="minorHAnsi"/>
        </w:rPr>
        <w:t>Star </w:t>
      </w:r>
      <w:r w:rsidR="007957F5" w:rsidRPr="007265DE">
        <w:rPr>
          <w:rFonts w:cstheme="minorHAnsi"/>
        </w:rPr>
        <w:t>Rating</w:t>
      </w:r>
      <w:r w:rsidR="00F86AA2" w:rsidRPr="007265DE">
        <w:rPr>
          <w:rFonts w:cstheme="minorHAnsi"/>
        </w:rPr>
        <w:t xml:space="preserve">s model promotes competition between providers but not between providers and outside organisations, it </w:t>
      </w:r>
      <w:r w:rsidR="0070257E" w:rsidRPr="007265DE">
        <w:rPr>
          <w:rFonts w:cstheme="minorHAnsi"/>
        </w:rPr>
        <w:t>may be that</w:t>
      </w:r>
      <w:r w:rsidR="00F86AA2" w:rsidRPr="007265DE">
        <w:rPr>
          <w:rFonts w:cstheme="minorHAnsi"/>
        </w:rPr>
        <w:t xml:space="preserve"> the current performance framework </w:t>
      </w:r>
      <w:r w:rsidR="0070257E" w:rsidRPr="007265DE">
        <w:rPr>
          <w:rFonts w:cstheme="minorHAnsi"/>
        </w:rPr>
        <w:t>does not have a</w:t>
      </w:r>
      <w:r w:rsidR="00F86AA2" w:rsidRPr="007265DE">
        <w:rPr>
          <w:rFonts w:cstheme="minorHAnsi"/>
        </w:rPr>
        <w:t xml:space="preserve"> negative impact on the type of collaboration necessary for</w:t>
      </w:r>
      <w:r w:rsidR="004F34F9" w:rsidRPr="007265DE">
        <w:rPr>
          <w:rFonts w:cstheme="minorHAnsi"/>
        </w:rPr>
        <w:t xml:space="preserve"> innovative practices to occur.</w:t>
      </w:r>
    </w:p>
    <w:p w14:paraId="74F71D2D" w14:textId="77777777" w:rsidR="00F670A0" w:rsidRPr="00AE3BED" w:rsidRDefault="00904654" w:rsidP="00AE3BED">
      <w:pPr>
        <w:pStyle w:val="Heading1"/>
        <w:keepLines w:val="0"/>
        <w:numPr>
          <w:ilvl w:val="0"/>
          <w:numId w:val="16"/>
        </w:numPr>
        <w:spacing w:before="240" w:after="240" w:line="240" w:lineRule="auto"/>
        <w:ind w:left="0" w:firstLine="0"/>
        <w:rPr>
          <w:rFonts w:ascii="Calibri" w:eastAsia="Times New Roman" w:hAnsi="Calibri" w:cs="Arial"/>
          <w:color w:val="auto"/>
          <w:kern w:val="32"/>
          <w:sz w:val="32"/>
          <w:szCs w:val="32"/>
          <w:lang w:eastAsia="en-AU"/>
        </w:rPr>
      </w:pPr>
      <w:bookmarkStart w:id="35" w:name="_Toc365872654"/>
      <w:r w:rsidRPr="00AE3BED">
        <w:rPr>
          <w:rFonts w:ascii="Calibri" w:eastAsia="Times New Roman" w:hAnsi="Calibri" w:cs="Arial"/>
          <w:color w:val="auto"/>
          <w:kern w:val="32"/>
          <w:sz w:val="32"/>
          <w:szCs w:val="32"/>
          <w:lang w:eastAsia="en-AU"/>
        </w:rPr>
        <w:t>Conclusion</w:t>
      </w:r>
      <w:bookmarkEnd w:id="35"/>
    </w:p>
    <w:p w14:paraId="47272CF3" w14:textId="77777777" w:rsidR="00F33784" w:rsidRDefault="00B4249C" w:rsidP="00985DE5">
      <w:pPr>
        <w:spacing w:after="0" w:line="240" w:lineRule="auto"/>
        <w:rPr>
          <w:rFonts w:cstheme="minorHAnsi"/>
        </w:rPr>
      </w:pPr>
      <w:r>
        <w:rPr>
          <w:rFonts w:cstheme="minorHAnsi"/>
          <w:color w:val="000000"/>
        </w:rPr>
        <w:t xml:space="preserve">This paper examines the applicability of benchmarking models in assessing the performance of providers in Australia’s employment services. </w:t>
      </w:r>
      <w:r w:rsidR="00985DE5">
        <w:rPr>
          <w:rFonts w:cstheme="minorHAnsi"/>
          <w:color w:val="000000"/>
        </w:rPr>
        <w:t xml:space="preserve">This paper reviews the </w:t>
      </w:r>
      <w:r w:rsidR="00985DE5">
        <w:rPr>
          <w:rFonts w:cstheme="minorHAnsi"/>
        </w:rPr>
        <w:t xml:space="preserve">international literature on the use of benchmarking systems in the performance management of areas of public policy. The review identified three types of benchmarking models; absolute, negotiated and adjusted benchmarks. </w:t>
      </w:r>
    </w:p>
    <w:p w14:paraId="44F44BCE" w14:textId="77777777" w:rsidR="00F33784" w:rsidRDefault="00F33784" w:rsidP="00985DE5">
      <w:pPr>
        <w:spacing w:after="0" w:line="240" w:lineRule="auto"/>
        <w:rPr>
          <w:rFonts w:cstheme="minorHAnsi"/>
        </w:rPr>
      </w:pPr>
    </w:p>
    <w:p w14:paraId="6B0CFC65" w14:textId="77777777" w:rsidR="00F33784" w:rsidRDefault="006D0D7A" w:rsidP="00985DE5">
      <w:pPr>
        <w:spacing w:after="0" w:line="240" w:lineRule="auto"/>
        <w:rPr>
          <w:rFonts w:cstheme="minorHAnsi"/>
        </w:rPr>
      </w:pPr>
      <w:r>
        <w:rPr>
          <w:rFonts w:cstheme="minorHAnsi"/>
        </w:rPr>
        <w:t xml:space="preserve">Absolute benchmarks would provide a consistent performance standard that applies to all providers across Australia. Negotiated benchmarks allow for providers to negotiate with department a performance standard they believe is fair. Adjusted benchmarks allow the performance standard to be statistically adjusted to take into account the particular client mix </w:t>
      </w:r>
      <w:r w:rsidR="007C57D3">
        <w:rPr>
          <w:rFonts w:cstheme="minorHAnsi"/>
        </w:rPr>
        <w:t xml:space="preserve">of each provider </w:t>
      </w:r>
      <w:r>
        <w:rPr>
          <w:rFonts w:cstheme="minorHAnsi"/>
        </w:rPr>
        <w:t xml:space="preserve">and </w:t>
      </w:r>
      <w:r w:rsidR="007C57D3">
        <w:rPr>
          <w:rFonts w:cstheme="minorHAnsi"/>
        </w:rPr>
        <w:t xml:space="preserve">the </w:t>
      </w:r>
      <w:r>
        <w:rPr>
          <w:rFonts w:cstheme="minorHAnsi"/>
        </w:rPr>
        <w:t xml:space="preserve">labour market conditions </w:t>
      </w:r>
      <w:r w:rsidR="007C57D3">
        <w:rPr>
          <w:rFonts w:cstheme="minorHAnsi"/>
        </w:rPr>
        <w:t xml:space="preserve">they operate in. </w:t>
      </w:r>
    </w:p>
    <w:p w14:paraId="6C3B915F" w14:textId="77777777" w:rsidR="00F33784" w:rsidRDefault="00F33784" w:rsidP="00985DE5">
      <w:pPr>
        <w:spacing w:after="0" w:line="240" w:lineRule="auto"/>
        <w:rPr>
          <w:rFonts w:cstheme="minorHAnsi"/>
        </w:rPr>
      </w:pPr>
    </w:p>
    <w:p w14:paraId="4444CBE5" w14:textId="77777777" w:rsidR="00F33784" w:rsidRDefault="00985DE5" w:rsidP="00985DE5">
      <w:pPr>
        <w:spacing w:after="0" w:line="240" w:lineRule="auto"/>
        <w:rPr>
          <w:rFonts w:cstheme="minorHAnsi"/>
        </w:rPr>
      </w:pPr>
      <w:r w:rsidRPr="002C1139">
        <w:rPr>
          <w:rFonts w:cstheme="minorHAnsi"/>
        </w:rPr>
        <w:t>The benchmarking models were ev</w:t>
      </w:r>
      <w:r>
        <w:rPr>
          <w:rFonts w:cstheme="minorHAnsi"/>
        </w:rPr>
        <w:t>aluated against the</w:t>
      </w:r>
      <w:r w:rsidRPr="002C1139">
        <w:rPr>
          <w:rFonts w:cstheme="minorHAnsi"/>
        </w:rPr>
        <w:t xml:space="preserve"> advantages and disadvantages</w:t>
      </w:r>
      <w:r>
        <w:rPr>
          <w:rFonts w:cstheme="minorHAnsi"/>
        </w:rPr>
        <w:t xml:space="preserve"> that are said to be associated with the current </w:t>
      </w:r>
      <w:r w:rsidRPr="002C1139">
        <w:rPr>
          <w:rFonts w:cstheme="minorHAnsi"/>
        </w:rPr>
        <w:t>Star Rating</w:t>
      </w:r>
      <w:r>
        <w:rPr>
          <w:rFonts w:cstheme="minorHAnsi"/>
        </w:rPr>
        <w:t>s model</w:t>
      </w:r>
      <w:r w:rsidRPr="002C1139">
        <w:rPr>
          <w:rFonts w:cstheme="minorHAnsi"/>
        </w:rPr>
        <w:t xml:space="preserve">. </w:t>
      </w:r>
      <w:r w:rsidR="00D1206D">
        <w:rPr>
          <w:rFonts w:cstheme="minorHAnsi"/>
        </w:rPr>
        <w:t xml:space="preserve">The Star Ratings model is used by the Department as a result of the numerous advantages it offers in measuring provider performance. These benefits include statistically adjusting  for external factors affecting provider performance, the use of ex-post data, reducing the incentive to cream and park participants and using the performance rankings to inform business reallocation decisions. </w:t>
      </w:r>
    </w:p>
    <w:p w14:paraId="1E4ED6B4" w14:textId="77777777" w:rsidR="00F33784" w:rsidRDefault="00F33784" w:rsidP="00985DE5">
      <w:pPr>
        <w:spacing w:after="0" w:line="240" w:lineRule="auto"/>
        <w:rPr>
          <w:rFonts w:cstheme="minorHAnsi"/>
        </w:rPr>
      </w:pPr>
    </w:p>
    <w:p w14:paraId="518F67F2" w14:textId="63604323" w:rsidR="00985DE5" w:rsidRDefault="006D0D7A" w:rsidP="00985DE5">
      <w:pPr>
        <w:spacing w:after="0" w:line="240" w:lineRule="auto"/>
        <w:rPr>
          <w:rFonts w:cstheme="minorHAnsi"/>
        </w:rPr>
      </w:pPr>
      <w:r>
        <w:rPr>
          <w:rFonts w:cstheme="minorHAnsi"/>
        </w:rPr>
        <w:t>The review of all three benchmarking models and the examples of international public programs that use these performance measurement systems suggest that all three models struggle to meet any of the advant</w:t>
      </w:r>
      <w:r w:rsidR="006F44C4">
        <w:rPr>
          <w:rFonts w:cstheme="minorHAnsi"/>
        </w:rPr>
        <w:t>ages</w:t>
      </w:r>
      <w:r w:rsidR="007C57D3">
        <w:rPr>
          <w:rFonts w:cstheme="minorHAnsi"/>
        </w:rPr>
        <w:t xml:space="preserve"> of the Star Ratings model.</w:t>
      </w:r>
      <w:r>
        <w:rPr>
          <w:rFonts w:cstheme="minorHAnsi"/>
        </w:rPr>
        <w:t xml:space="preserve"> </w:t>
      </w:r>
      <w:r w:rsidR="007C57D3" w:rsidRPr="00AD3843">
        <w:rPr>
          <w:rFonts w:cstheme="minorHAnsi"/>
          <w:color w:val="000000"/>
        </w:rPr>
        <w:t>This creates insurmountable problems in trying to accurately assess provider performance in Australia’s employment services.</w:t>
      </w:r>
      <w:r w:rsidR="007C57D3">
        <w:rPr>
          <w:rFonts w:cstheme="minorHAnsi"/>
          <w:color w:val="000000"/>
        </w:rPr>
        <w:t xml:space="preserve"> However, stakeholders advise that the suggested problems </w:t>
      </w:r>
      <w:r w:rsidR="00975B53">
        <w:rPr>
          <w:rFonts w:cstheme="minorHAnsi"/>
          <w:color w:val="000000"/>
        </w:rPr>
        <w:t xml:space="preserve">generated by </w:t>
      </w:r>
      <w:r w:rsidR="007C57D3">
        <w:rPr>
          <w:rFonts w:cstheme="minorHAnsi"/>
          <w:color w:val="000000"/>
        </w:rPr>
        <w:t xml:space="preserve">the Star Ratings model more than offsets these advantages. </w:t>
      </w:r>
      <w:r w:rsidR="00975B53">
        <w:rPr>
          <w:rFonts w:cstheme="minorHAnsi"/>
          <w:color w:val="000000"/>
        </w:rPr>
        <w:t>These drawbacks include</w:t>
      </w:r>
      <w:r w:rsidR="006F44C4">
        <w:rPr>
          <w:rFonts w:cstheme="minorHAnsi"/>
          <w:color w:val="000000"/>
        </w:rPr>
        <w:t>;</w:t>
      </w:r>
      <w:r w:rsidR="00975B53">
        <w:rPr>
          <w:rFonts w:cstheme="minorHAnsi"/>
          <w:color w:val="000000"/>
        </w:rPr>
        <w:t xml:space="preserve"> p</w:t>
      </w:r>
      <w:r w:rsidR="00975B53" w:rsidRPr="00DB7CB2">
        <w:rPr>
          <w:rFonts w:cstheme="minorHAnsi"/>
        </w:rPr>
        <w:t xml:space="preserve">roviders </w:t>
      </w:r>
      <w:r w:rsidR="00975B53">
        <w:rPr>
          <w:rFonts w:cstheme="minorHAnsi"/>
        </w:rPr>
        <w:t>not having</w:t>
      </w:r>
      <w:r w:rsidR="00975B53" w:rsidRPr="00DB7CB2">
        <w:rPr>
          <w:rFonts w:cstheme="minorHAnsi"/>
        </w:rPr>
        <w:t xml:space="preserve"> certainty over expected performan</w:t>
      </w:r>
      <w:r w:rsidR="00975B53">
        <w:rPr>
          <w:rFonts w:cstheme="minorHAnsi"/>
        </w:rPr>
        <w:t>ce levels</w:t>
      </w:r>
      <w:r w:rsidR="00380159">
        <w:rPr>
          <w:rFonts w:cstheme="minorHAnsi"/>
        </w:rPr>
        <w:t>;</w:t>
      </w:r>
      <w:r w:rsidR="00975B53">
        <w:rPr>
          <w:rFonts w:cstheme="minorHAnsi"/>
        </w:rPr>
        <w:t xml:space="preserve"> lack of transparency</w:t>
      </w:r>
      <w:r w:rsidR="00380159">
        <w:rPr>
          <w:rFonts w:cstheme="minorHAnsi"/>
        </w:rPr>
        <w:t>;</w:t>
      </w:r>
      <w:r w:rsidR="00975B53">
        <w:rPr>
          <w:rFonts w:cstheme="minorHAnsi"/>
        </w:rPr>
        <w:t xml:space="preserve"> measurement err</w:t>
      </w:r>
      <w:r w:rsidR="00380159">
        <w:rPr>
          <w:rFonts w:cstheme="minorHAnsi"/>
        </w:rPr>
        <w:t xml:space="preserve">or in the regression model used; mismatches between ratings and quality of service provided; not promoting continuous improvement; supporting competition that generates opportunistic behaviour and risk selection; and hindering collaboration that may reduce innovation. </w:t>
      </w:r>
      <w:r w:rsidR="00380159">
        <w:rPr>
          <w:rFonts w:cstheme="minorHAnsi"/>
          <w:color w:val="000000"/>
        </w:rPr>
        <w:t>T</w:t>
      </w:r>
      <w:r w:rsidR="007C57D3" w:rsidRPr="00AD3843">
        <w:rPr>
          <w:rFonts w:cstheme="minorHAnsi"/>
          <w:color w:val="000000"/>
        </w:rPr>
        <w:t xml:space="preserve">he research </w:t>
      </w:r>
      <w:r w:rsidR="00380159">
        <w:rPr>
          <w:rFonts w:cstheme="minorHAnsi"/>
          <w:color w:val="000000"/>
        </w:rPr>
        <w:t xml:space="preserve">though reveals that these criticisms are either not accurate representations of the Star Ratings model or that the identified benchmarking models </w:t>
      </w:r>
      <w:r w:rsidR="007C57D3" w:rsidRPr="00AD3843">
        <w:rPr>
          <w:rFonts w:cstheme="minorHAnsi"/>
          <w:color w:val="000000"/>
        </w:rPr>
        <w:t>cannot easily overcome the problems stakeholders suggest th</w:t>
      </w:r>
      <w:r w:rsidR="005474D4">
        <w:rPr>
          <w:rFonts w:cstheme="minorHAnsi"/>
          <w:color w:val="000000"/>
        </w:rPr>
        <w:t>e Star Ratings model possesses.</w:t>
      </w:r>
    </w:p>
    <w:p w14:paraId="05937D5E" w14:textId="77777777" w:rsidR="006D0D7A" w:rsidRDefault="006D0D7A" w:rsidP="00985DE5">
      <w:pPr>
        <w:spacing w:after="0" w:line="240" w:lineRule="auto"/>
        <w:rPr>
          <w:rFonts w:cstheme="minorHAnsi"/>
        </w:rPr>
      </w:pPr>
    </w:p>
    <w:p w14:paraId="063D3972" w14:textId="77777777" w:rsidR="00380159" w:rsidRDefault="00380159">
      <w:pPr>
        <w:rPr>
          <w:rFonts w:ascii="Calibri" w:eastAsia="Times New Roman" w:hAnsi="Calibri" w:cs="Arial"/>
          <w:b/>
          <w:bCs/>
          <w:kern w:val="32"/>
          <w:sz w:val="32"/>
          <w:szCs w:val="32"/>
          <w:lang w:eastAsia="en-AU"/>
        </w:rPr>
      </w:pPr>
      <w:bookmarkStart w:id="36" w:name="_Toc365872655"/>
      <w:r>
        <w:rPr>
          <w:rFonts w:ascii="Calibri" w:eastAsia="Times New Roman" w:hAnsi="Calibri" w:cs="Arial"/>
          <w:kern w:val="32"/>
          <w:sz w:val="32"/>
          <w:szCs w:val="32"/>
          <w:lang w:eastAsia="en-AU"/>
        </w:rPr>
        <w:br w:type="page"/>
      </w:r>
    </w:p>
    <w:p w14:paraId="75D18A06" w14:textId="77777777" w:rsidR="005729EB" w:rsidRPr="00AE3BED" w:rsidRDefault="005729EB" w:rsidP="00AE3BED">
      <w:pPr>
        <w:pStyle w:val="Heading1"/>
        <w:keepLines w:val="0"/>
        <w:spacing w:before="240" w:after="240" w:line="240" w:lineRule="auto"/>
        <w:rPr>
          <w:rFonts w:ascii="Calibri" w:eastAsia="Times New Roman" w:hAnsi="Calibri" w:cs="Arial"/>
          <w:color w:val="auto"/>
          <w:kern w:val="32"/>
          <w:sz w:val="32"/>
          <w:szCs w:val="32"/>
          <w:lang w:eastAsia="en-AU"/>
        </w:rPr>
      </w:pPr>
      <w:r w:rsidRPr="00AE3BED">
        <w:rPr>
          <w:rFonts w:ascii="Calibri" w:eastAsia="Times New Roman" w:hAnsi="Calibri" w:cs="Arial"/>
          <w:color w:val="auto"/>
          <w:kern w:val="32"/>
          <w:sz w:val="32"/>
          <w:szCs w:val="32"/>
          <w:lang w:eastAsia="en-AU"/>
        </w:rPr>
        <w:lastRenderedPageBreak/>
        <w:t>References</w:t>
      </w:r>
      <w:bookmarkEnd w:id="36"/>
    </w:p>
    <w:p w14:paraId="02A9108E" w14:textId="77777777" w:rsidR="005729EB" w:rsidRPr="0083156E" w:rsidRDefault="005729EB" w:rsidP="0083156E">
      <w:pPr>
        <w:spacing w:after="0" w:line="240" w:lineRule="auto"/>
        <w:rPr>
          <w:rFonts w:cstheme="minorHAnsi"/>
        </w:rPr>
      </w:pPr>
      <w:r w:rsidRPr="0083156E">
        <w:rPr>
          <w:rFonts w:cstheme="minorHAnsi"/>
        </w:rPr>
        <w:t>Aghion</w:t>
      </w:r>
      <w:r w:rsidR="00AB4967" w:rsidRPr="0083156E">
        <w:rPr>
          <w:rFonts w:cstheme="minorHAnsi"/>
        </w:rPr>
        <w:t>,</w:t>
      </w:r>
      <w:r w:rsidRPr="0083156E">
        <w:rPr>
          <w:rFonts w:cstheme="minorHAnsi"/>
        </w:rPr>
        <w:t xml:space="preserve"> P</w:t>
      </w:r>
      <w:r w:rsidR="00AB4967" w:rsidRPr="0083156E">
        <w:rPr>
          <w:rFonts w:cstheme="minorHAnsi"/>
        </w:rPr>
        <w:t>.</w:t>
      </w:r>
      <w:r w:rsidRPr="0083156E">
        <w:rPr>
          <w:rFonts w:cstheme="minorHAnsi"/>
        </w:rPr>
        <w:t xml:space="preserve">, </w:t>
      </w:r>
      <w:r w:rsidR="00AB4967" w:rsidRPr="0083156E">
        <w:rPr>
          <w:rFonts w:cstheme="minorHAnsi"/>
        </w:rPr>
        <w:t>M. Dewatripont and P. Rey, 1999, ‘</w:t>
      </w:r>
      <w:hyperlink r:id="rId16" w:history="1">
        <w:r w:rsidR="00AB4967" w:rsidRPr="0083156E">
          <w:rPr>
            <w:rFonts w:cstheme="minorHAnsi"/>
          </w:rPr>
          <w:t>Competition, financial discipline, and g</w:t>
        </w:r>
        <w:r w:rsidRPr="0083156E">
          <w:rPr>
            <w:rFonts w:cstheme="minorHAnsi"/>
          </w:rPr>
          <w:t>rowth</w:t>
        </w:r>
      </w:hyperlink>
      <w:r w:rsidR="00AB4967" w:rsidRPr="0083156E">
        <w:rPr>
          <w:rFonts w:cstheme="minorHAnsi"/>
        </w:rPr>
        <w:t>,’</w:t>
      </w:r>
      <w:r w:rsidRPr="0083156E">
        <w:rPr>
          <w:rFonts w:cstheme="minorHAnsi"/>
        </w:rPr>
        <w:t xml:space="preserve"> </w:t>
      </w:r>
      <w:r w:rsidR="00AB4967" w:rsidRPr="0083156E">
        <w:rPr>
          <w:rFonts w:cstheme="minorHAnsi"/>
        </w:rPr>
        <w:t xml:space="preserve">Review of Economic Studies, 66, </w:t>
      </w:r>
      <w:r w:rsidRPr="0083156E">
        <w:rPr>
          <w:rFonts w:cstheme="minorHAnsi"/>
        </w:rPr>
        <w:t>825-852.</w:t>
      </w:r>
    </w:p>
    <w:p w14:paraId="2AECBB2E" w14:textId="77777777" w:rsidR="00DF2BD9" w:rsidRPr="0083156E" w:rsidRDefault="00DF2BD9" w:rsidP="0083156E">
      <w:pPr>
        <w:autoSpaceDE w:val="0"/>
        <w:autoSpaceDN w:val="0"/>
        <w:adjustRightInd w:val="0"/>
        <w:spacing w:after="0" w:line="240" w:lineRule="auto"/>
        <w:rPr>
          <w:rFonts w:cstheme="minorHAnsi"/>
        </w:rPr>
      </w:pPr>
    </w:p>
    <w:p w14:paraId="56D591E7" w14:textId="77777777" w:rsidR="00CE62E1" w:rsidRPr="0083156E" w:rsidRDefault="00AB4967" w:rsidP="0083156E">
      <w:pPr>
        <w:autoSpaceDE w:val="0"/>
        <w:autoSpaceDN w:val="0"/>
        <w:adjustRightInd w:val="0"/>
        <w:spacing w:after="0" w:line="240" w:lineRule="auto"/>
        <w:rPr>
          <w:rFonts w:cstheme="minorHAnsi"/>
        </w:rPr>
      </w:pPr>
      <w:r w:rsidRPr="0083156E">
        <w:rPr>
          <w:rFonts w:cstheme="minorHAnsi"/>
        </w:rPr>
        <w:t>Anderson, K., R. Burkhauser and J. Raymond, 1993, ‘The e</w:t>
      </w:r>
      <w:r w:rsidR="00E0056A" w:rsidRPr="0083156E">
        <w:rPr>
          <w:rFonts w:cstheme="minorHAnsi"/>
        </w:rPr>
        <w:t xml:space="preserve">ffect of </w:t>
      </w:r>
      <w:r w:rsidRPr="0083156E">
        <w:rPr>
          <w:rFonts w:cstheme="minorHAnsi"/>
        </w:rPr>
        <w:t>creaming on placement rates under the job t</w:t>
      </w:r>
      <w:r w:rsidR="00CE62E1" w:rsidRPr="0083156E">
        <w:rPr>
          <w:rFonts w:cstheme="minorHAnsi"/>
        </w:rPr>
        <w:t>ra</w:t>
      </w:r>
      <w:r w:rsidRPr="0083156E">
        <w:rPr>
          <w:rFonts w:cstheme="minorHAnsi"/>
        </w:rPr>
        <w:t>ining partnership act,’</w:t>
      </w:r>
      <w:r w:rsidR="00CE62E1" w:rsidRPr="0083156E">
        <w:rPr>
          <w:rFonts w:cstheme="minorHAnsi"/>
        </w:rPr>
        <w:t xml:space="preserve"> </w:t>
      </w:r>
      <w:r w:rsidR="00E0056A" w:rsidRPr="0083156E">
        <w:rPr>
          <w:rFonts w:cstheme="minorHAnsi"/>
        </w:rPr>
        <w:t xml:space="preserve">Industrial and </w:t>
      </w:r>
      <w:r w:rsidR="00CE62E1" w:rsidRPr="0083156E">
        <w:rPr>
          <w:rFonts w:cstheme="minorHAnsi"/>
        </w:rPr>
        <w:t>Labor Relation Review</w:t>
      </w:r>
      <w:r w:rsidRPr="0083156E">
        <w:rPr>
          <w:rFonts w:cstheme="minorHAnsi"/>
        </w:rPr>
        <w:t>, 46,</w:t>
      </w:r>
      <w:r w:rsidR="00CE62E1" w:rsidRPr="0083156E">
        <w:rPr>
          <w:rFonts w:cstheme="minorHAnsi"/>
        </w:rPr>
        <w:t xml:space="preserve"> 613-24.</w:t>
      </w:r>
    </w:p>
    <w:p w14:paraId="5A4B329E" w14:textId="77777777" w:rsidR="00DF2BD9" w:rsidRPr="0083156E" w:rsidRDefault="00DF2BD9" w:rsidP="0083156E">
      <w:pPr>
        <w:autoSpaceDE w:val="0"/>
        <w:autoSpaceDN w:val="0"/>
        <w:adjustRightInd w:val="0"/>
        <w:spacing w:after="0" w:line="240" w:lineRule="auto"/>
        <w:rPr>
          <w:rFonts w:cstheme="minorHAnsi"/>
        </w:rPr>
      </w:pPr>
    </w:p>
    <w:p w14:paraId="11E1C03A" w14:textId="77777777" w:rsidR="005729EB" w:rsidRPr="0083156E" w:rsidRDefault="005729EB" w:rsidP="0083156E">
      <w:pPr>
        <w:autoSpaceDE w:val="0"/>
        <w:autoSpaceDN w:val="0"/>
        <w:adjustRightInd w:val="0"/>
        <w:spacing w:after="0" w:line="240" w:lineRule="auto"/>
        <w:rPr>
          <w:rFonts w:cstheme="minorHAnsi"/>
        </w:rPr>
      </w:pPr>
      <w:r w:rsidRPr="0083156E">
        <w:rPr>
          <w:rFonts w:cstheme="minorHAnsi"/>
        </w:rPr>
        <w:t>AIHW: Ben-Tovim</w:t>
      </w:r>
      <w:r w:rsidR="00AB4967" w:rsidRPr="0083156E">
        <w:rPr>
          <w:rFonts w:cstheme="minorHAnsi"/>
        </w:rPr>
        <w:t>,</w:t>
      </w:r>
      <w:r w:rsidRPr="0083156E">
        <w:rPr>
          <w:rFonts w:cstheme="minorHAnsi"/>
        </w:rPr>
        <w:t xml:space="preserve"> D</w:t>
      </w:r>
      <w:r w:rsidR="00AB4967" w:rsidRPr="0083156E">
        <w:rPr>
          <w:rFonts w:cstheme="minorHAnsi"/>
        </w:rPr>
        <w:t>.</w:t>
      </w:r>
      <w:r w:rsidRPr="0083156E">
        <w:rPr>
          <w:rFonts w:cstheme="minorHAnsi"/>
        </w:rPr>
        <w:t>,</w:t>
      </w:r>
      <w:r w:rsidR="00AB4967" w:rsidRPr="0083156E">
        <w:rPr>
          <w:rFonts w:cstheme="minorHAnsi"/>
        </w:rPr>
        <w:t xml:space="preserve"> R. Woodman</w:t>
      </w:r>
      <w:r w:rsidRPr="0083156E">
        <w:rPr>
          <w:rFonts w:cstheme="minorHAnsi"/>
        </w:rPr>
        <w:t xml:space="preserve">, </w:t>
      </w:r>
      <w:r w:rsidR="00AB4967" w:rsidRPr="0083156E">
        <w:rPr>
          <w:rFonts w:cstheme="minorHAnsi"/>
        </w:rPr>
        <w:t>J.E. Harrison</w:t>
      </w:r>
      <w:r w:rsidRPr="0083156E">
        <w:rPr>
          <w:rFonts w:cstheme="minorHAnsi"/>
        </w:rPr>
        <w:t>,</w:t>
      </w:r>
      <w:r w:rsidR="00AB4967" w:rsidRPr="0083156E">
        <w:rPr>
          <w:rFonts w:cstheme="minorHAnsi"/>
        </w:rPr>
        <w:t xml:space="preserve"> S. Pointer</w:t>
      </w:r>
      <w:r w:rsidRPr="0083156E">
        <w:rPr>
          <w:rFonts w:cstheme="minorHAnsi"/>
        </w:rPr>
        <w:t xml:space="preserve">, </w:t>
      </w:r>
      <w:r w:rsidR="00AB4967" w:rsidRPr="0083156E">
        <w:rPr>
          <w:rFonts w:cstheme="minorHAnsi"/>
        </w:rPr>
        <w:t>P. Hakendorf and G Henley, 2009,</w:t>
      </w:r>
      <w:r w:rsidRPr="0083156E">
        <w:rPr>
          <w:rFonts w:cstheme="minorHAnsi"/>
        </w:rPr>
        <w:t xml:space="preserve"> </w:t>
      </w:r>
      <w:r w:rsidR="00DA555D" w:rsidRPr="0083156E">
        <w:rPr>
          <w:rFonts w:cstheme="minorHAnsi"/>
        </w:rPr>
        <w:t>‘</w:t>
      </w:r>
      <w:r w:rsidRPr="0083156E">
        <w:rPr>
          <w:rFonts w:cstheme="minorHAnsi"/>
        </w:rPr>
        <w:t>Measuring and reporting</w:t>
      </w:r>
      <w:r w:rsidR="00AB4967" w:rsidRPr="0083156E">
        <w:rPr>
          <w:rFonts w:cstheme="minorHAnsi"/>
        </w:rPr>
        <w:t xml:space="preserve"> mortality in hospital patients,</w:t>
      </w:r>
      <w:r w:rsidR="00DA555D" w:rsidRPr="0083156E">
        <w:rPr>
          <w:rFonts w:cstheme="minorHAnsi"/>
        </w:rPr>
        <w:t>’</w:t>
      </w:r>
      <w:r w:rsidR="00AB4967" w:rsidRPr="0083156E">
        <w:rPr>
          <w:rFonts w:cstheme="minorHAnsi"/>
        </w:rPr>
        <w:t xml:space="preserve"> Cat. no. HSE 69,</w:t>
      </w:r>
      <w:r w:rsidRPr="0083156E">
        <w:rPr>
          <w:rFonts w:cstheme="minorHAnsi"/>
        </w:rPr>
        <w:t xml:space="preserve"> Canberra: AIHW.</w:t>
      </w:r>
    </w:p>
    <w:p w14:paraId="1C9828F8" w14:textId="77777777" w:rsidR="005729EB" w:rsidRPr="0083156E" w:rsidRDefault="005729EB" w:rsidP="0083156E">
      <w:pPr>
        <w:autoSpaceDE w:val="0"/>
        <w:autoSpaceDN w:val="0"/>
        <w:adjustRightInd w:val="0"/>
        <w:spacing w:after="0" w:line="240" w:lineRule="auto"/>
        <w:rPr>
          <w:rFonts w:cstheme="minorHAnsi"/>
        </w:rPr>
      </w:pPr>
    </w:p>
    <w:p w14:paraId="146878E7" w14:textId="77777777" w:rsidR="00CE62E1" w:rsidRPr="0083156E" w:rsidRDefault="00CE62E1" w:rsidP="0083156E">
      <w:pPr>
        <w:autoSpaceDE w:val="0"/>
        <w:autoSpaceDN w:val="0"/>
        <w:adjustRightInd w:val="0"/>
        <w:spacing w:after="0" w:line="240" w:lineRule="auto"/>
        <w:rPr>
          <w:rFonts w:cstheme="minorHAnsi"/>
        </w:rPr>
      </w:pPr>
      <w:r w:rsidRPr="0083156E">
        <w:rPr>
          <w:rFonts w:cstheme="minorHAnsi"/>
        </w:rPr>
        <w:t>Barnow</w:t>
      </w:r>
      <w:r w:rsidR="00BF7FEE" w:rsidRPr="0083156E">
        <w:rPr>
          <w:rFonts w:cstheme="minorHAnsi"/>
        </w:rPr>
        <w:t xml:space="preserve">, B.S., 1992, </w:t>
      </w:r>
      <w:r w:rsidR="00DA555D" w:rsidRPr="0083156E">
        <w:rPr>
          <w:rFonts w:cstheme="minorHAnsi"/>
        </w:rPr>
        <w:t>‘</w:t>
      </w:r>
      <w:r w:rsidR="00BF7FEE" w:rsidRPr="0083156E">
        <w:rPr>
          <w:rFonts w:cstheme="minorHAnsi"/>
        </w:rPr>
        <w:t>The effects of performance standards on state and local programs: Lessons for the job opportunities and basic skills programs,</w:t>
      </w:r>
      <w:r w:rsidR="00DA555D" w:rsidRPr="0083156E">
        <w:rPr>
          <w:rFonts w:cstheme="minorHAnsi"/>
        </w:rPr>
        <w:t>’</w:t>
      </w:r>
      <w:r w:rsidRPr="0083156E">
        <w:rPr>
          <w:rFonts w:cstheme="minorHAnsi"/>
        </w:rPr>
        <w:t xml:space="preserve"> In </w:t>
      </w:r>
      <w:r w:rsidR="001B70DB" w:rsidRPr="0083156E">
        <w:rPr>
          <w:rFonts w:cstheme="minorHAnsi"/>
        </w:rPr>
        <w:t xml:space="preserve">Manski, C. and I. Garfinkel (eds), </w:t>
      </w:r>
      <w:r w:rsidRPr="0083156E">
        <w:rPr>
          <w:rFonts w:cstheme="minorHAnsi"/>
        </w:rPr>
        <w:t>Evaluating</w:t>
      </w:r>
      <w:r w:rsidR="001B70DB" w:rsidRPr="0083156E">
        <w:rPr>
          <w:rFonts w:cstheme="minorHAnsi"/>
        </w:rPr>
        <w:t xml:space="preserve"> welfare and training p</w:t>
      </w:r>
      <w:r w:rsidR="00BF7FEE" w:rsidRPr="0083156E">
        <w:rPr>
          <w:rFonts w:cstheme="minorHAnsi"/>
        </w:rPr>
        <w:t xml:space="preserve">rograms, </w:t>
      </w:r>
      <w:r w:rsidRPr="0083156E">
        <w:rPr>
          <w:rFonts w:cstheme="minorHAnsi"/>
        </w:rPr>
        <w:t>Cambridge, MA: Harvard University Press</w:t>
      </w:r>
      <w:r w:rsidR="001B70DB" w:rsidRPr="0083156E">
        <w:rPr>
          <w:rFonts w:cstheme="minorHAnsi"/>
        </w:rPr>
        <w:t>, 277-309</w:t>
      </w:r>
      <w:r w:rsidRPr="0083156E">
        <w:rPr>
          <w:rFonts w:cstheme="minorHAnsi"/>
        </w:rPr>
        <w:t>.</w:t>
      </w:r>
    </w:p>
    <w:p w14:paraId="06F30259" w14:textId="77777777" w:rsidR="005A3344" w:rsidRPr="0083156E" w:rsidRDefault="005A3344" w:rsidP="0083156E">
      <w:pPr>
        <w:autoSpaceDE w:val="0"/>
        <w:autoSpaceDN w:val="0"/>
        <w:adjustRightInd w:val="0"/>
        <w:spacing w:after="0" w:line="240" w:lineRule="auto"/>
        <w:rPr>
          <w:rFonts w:cstheme="minorHAnsi"/>
        </w:rPr>
      </w:pPr>
    </w:p>
    <w:p w14:paraId="33ADCE4C" w14:textId="77777777" w:rsidR="005A3344" w:rsidRPr="0083156E" w:rsidRDefault="00BF7FEE" w:rsidP="0083156E">
      <w:pPr>
        <w:autoSpaceDE w:val="0"/>
        <w:autoSpaceDN w:val="0"/>
        <w:adjustRightInd w:val="0"/>
        <w:spacing w:after="0" w:line="240" w:lineRule="auto"/>
        <w:rPr>
          <w:rFonts w:cstheme="minorHAnsi"/>
        </w:rPr>
      </w:pPr>
      <w:r w:rsidRPr="0083156E">
        <w:rPr>
          <w:rFonts w:cstheme="minorHAnsi"/>
        </w:rPr>
        <w:t>Barnow, B.</w:t>
      </w:r>
      <w:r w:rsidR="005A3344" w:rsidRPr="0083156E">
        <w:rPr>
          <w:rFonts w:cstheme="minorHAnsi"/>
        </w:rPr>
        <w:t>S.</w:t>
      </w:r>
      <w:r w:rsidRPr="0083156E">
        <w:rPr>
          <w:rFonts w:cstheme="minorHAnsi"/>
        </w:rPr>
        <w:t>,</w:t>
      </w:r>
      <w:r w:rsidR="005A3344" w:rsidRPr="0083156E">
        <w:rPr>
          <w:rFonts w:cstheme="minorHAnsi"/>
        </w:rPr>
        <w:t xml:space="preserve"> </w:t>
      </w:r>
      <w:r w:rsidRPr="0083156E">
        <w:rPr>
          <w:rFonts w:cstheme="minorHAnsi"/>
        </w:rPr>
        <w:t xml:space="preserve">1996, </w:t>
      </w:r>
      <w:r w:rsidR="00DA555D" w:rsidRPr="0083156E">
        <w:rPr>
          <w:rFonts w:cstheme="minorHAnsi"/>
        </w:rPr>
        <w:t>‘</w:t>
      </w:r>
      <w:r w:rsidRPr="0083156E">
        <w:rPr>
          <w:rFonts w:cstheme="minorHAnsi"/>
        </w:rPr>
        <w:t>Policies for people with disabilities in U.S. employment and training programs,</w:t>
      </w:r>
      <w:r w:rsidR="00DA555D" w:rsidRPr="0083156E">
        <w:rPr>
          <w:rFonts w:cstheme="minorHAnsi"/>
        </w:rPr>
        <w:t>’</w:t>
      </w:r>
      <w:r w:rsidRPr="0083156E">
        <w:rPr>
          <w:rFonts w:cstheme="minorHAnsi"/>
        </w:rPr>
        <w:t xml:space="preserve"> In </w:t>
      </w:r>
      <w:r w:rsidR="00DA555D" w:rsidRPr="0083156E">
        <w:rPr>
          <w:rFonts w:cstheme="minorHAnsi"/>
        </w:rPr>
        <w:t xml:space="preserve">Mashaw, J.L., R. Virginia, R. Burkhauser and M Berkowitz (eds), </w:t>
      </w:r>
      <w:r w:rsidRPr="0083156E">
        <w:rPr>
          <w:rFonts w:cstheme="minorHAnsi"/>
        </w:rPr>
        <w:t>Disabilities, cash benefits, and w</w:t>
      </w:r>
      <w:r w:rsidR="00CC5443" w:rsidRPr="0083156E">
        <w:rPr>
          <w:rFonts w:cstheme="minorHAnsi"/>
        </w:rPr>
        <w:t xml:space="preserve">ork, </w:t>
      </w:r>
      <w:r w:rsidR="005A3344" w:rsidRPr="0083156E">
        <w:rPr>
          <w:rFonts w:cstheme="minorHAnsi"/>
        </w:rPr>
        <w:t>Kalamazoo, MI: W. E. Upjohn Institute for Employment Research</w:t>
      </w:r>
      <w:r w:rsidR="00DA555D" w:rsidRPr="0083156E">
        <w:rPr>
          <w:rFonts w:cstheme="minorHAnsi"/>
        </w:rPr>
        <w:t>, 297-328</w:t>
      </w:r>
      <w:r w:rsidR="005A3344" w:rsidRPr="0083156E">
        <w:rPr>
          <w:rFonts w:cstheme="minorHAnsi"/>
        </w:rPr>
        <w:t>.</w:t>
      </w:r>
    </w:p>
    <w:p w14:paraId="2DD01BC4" w14:textId="77777777" w:rsidR="00DF2BD9" w:rsidRPr="0083156E" w:rsidRDefault="00DF2BD9" w:rsidP="0083156E">
      <w:pPr>
        <w:spacing w:after="0" w:line="240" w:lineRule="auto"/>
        <w:rPr>
          <w:rFonts w:cstheme="minorHAnsi"/>
        </w:rPr>
      </w:pPr>
    </w:p>
    <w:p w14:paraId="23C60619" w14:textId="77777777" w:rsidR="00CE62E1" w:rsidRPr="0083156E" w:rsidRDefault="00BF7FEE" w:rsidP="0083156E">
      <w:pPr>
        <w:spacing w:after="0" w:line="240" w:lineRule="auto"/>
        <w:rPr>
          <w:rFonts w:cstheme="minorHAnsi"/>
        </w:rPr>
      </w:pPr>
      <w:r w:rsidRPr="0083156E">
        <w:rPr>
          <w:rFonts w:cstheme="minorHAnsi"/>
        </w:rPr>
        <w:t xml:space="preserve">Barnow, B.S. and J. Constantine, 1988, </w:t>
      </w:r>
      <w:r w:rsidR="00DA555D" w:rsidRPr="0083156E">
        <w:rPr>
          <w:rFonts w:cstheme="minorHAnsi"/>
        </w:rPr>
        <w:t>‘</w:t>
      </w:r>
      <w:r w:rsidRPr="0083156E">
        <w:rPr>
          <w:rFonts w:cstheme="minorHAnsi"/>
        </w:rPr>
        <w:t>Using performance management to encourage services to hard-to-serve individuals in JTPA,</w:t>
      </w:r>
      <w:r w:rsidR="00DA555D" w:rsidRPr="0083156E">
        <w:rPr>
          <w:rFonts w:cstheme="minorHAnsi"/>
        </w:rPr>
        <w:t>’</w:t>
      </w:r>
      <w:r w:rsidRPr="0083156E">
        <w:rPr>
          <w:rFonts w:cstheme="minorHAnsi"/>
        </w:rPr>
        <w:t xml:space="preserve"> Washington, D.C.,</w:t>
      </w:r>
      <w:r w:rsidR="00CE62E1" w:rsidRPr="0083156E">
        <w:rPr>
          <w:rFonts w:cstheme="minorHAnsi"/>
        </w:rPr>
        <w:t xml:space="preserve"> National Commission for Employment Policy.</w:t>
      </w:r>
    </w:p>
    <w:p w14:paraId="7EE4A307" w14:textId="77777777" w:rsidR="00DF2BD9" w:rsidRPr="0083156E" w:rsidRDefault="00DF2BD9" w:rsidP="0083156E">
      <w:pPr>
        <w:shd w:val="clear" w:color="auto" w:fill="FFFFFF"/>
        <w:spacing w:after="0" w:line="240" w:lineRule="auto"/>
        <w:rPr>
          <w:rFonts w:cstheme="minorHAnsi"/>
        </w:rPr>
      </w:pPr>
    </w:p>
    <w:p w14:paraId="244F3B5B" w14:textId="77777777" w:rsidR="00A5333A" w:rsidRPr="0083156E" w:rsidRDefault="00BF7FEE" w:rsidP="0083156E">
      <w:pPr>
        <w:autoSpaceDE w:val="0"/>
        <w:autoSpaceDN w:val="0"/>
        <w:adjustRightInd w:val="0"/>
        <w:spacing w:after="0" w:line="240" w:lineRule="auto"/>
        <w:rPr>
          <w:rFonts w:cstheme="minorHAnsi"/>
        </w:rPr>
      </w:pPr>
      <w:r w:rsidRPr="0083156E">
        <w:rPr>
          <w:rFonts w:cstheme="minorHAnsi"/>
        </w:rPr>
        <w:t>Barnow, B.A. and C.J. Heinrich, 2010, ‘One standard</w:t>
      </w:r>
      <w:r w:rsidR="00CC5443" w:rsidRPr="0083156E">
        <w:rPr>
          <w:rFonts w:cstheme="minorHAnsi"/>
        </w:rPr>
        <w:t xml:space="preserve"> fits all? The pros and cons of </w:t>
      </w:r>
      <w:r w:rsidRPr="0083156E">
        <w:rPr>
          <w:rFonts w:cstheme="minorHAnsi"/>
        </w:rPr>
        <w:t>performance standard adjustments,’</w:t>
      </w:r>
      <w:r w:rsidR="00A5333A" w:rsidRPr="0083156E">
        <w:rPr>
          <w:rFonts w:cstheme="minorHAnsi"/>
        </w:rPr>
        <w:t xml:space="preserve"> Public Administration Review</w:t>
      </w:r>
      <w:r w:rsidRPr="0083156E">
        <w:rPr>
          <w:rFonts w:cstheme="minorHAnsi"/>
        </w:rPr>
        <w:t>, 70,</w:t>
      </w:r>
      <w:r w:rsidR="00A5333A" w:rsidRPr="0083156E">
        <w:rPr>
          <w:rFonts w:cstheme="minorHAnsi"/>
        </w:rPr>
        <w:t xml:space="preserve"> 60-71.</w:t>
      </w:r>
    </w:p>
    <w:p w14:paraId="0EA4D69F" w14:textId="77777777" w:rsidR="00F03545" w:rsidRPr="0083156E" w:rsidRDefault="00BF7FEE" w:rsidP="0083156E">
      <w:pPr>
        <w:pStyle w:val="citation"/>
        <w:rPr>
          <w:rFonts w:asciiTheme="minorHAnsi" w:eastAsiaTheme="minorHAnsi" w:hAnsiTheme="minorHAnsi" w:cstheme="minorHAnsi"/>
          <w:sz w:val="22"/>
          <w:szCs w:val="22"/>
          <w:lang w:eastAsia="en-US"/>
        </w:rPr>
      </w:pPr>
      <w:r w:rsidRPr="0083156E">
        <w:rPr>
          <w:rFonts w:asciiTheme="minorHAnsi" w:eastAsiaTheme="minorHAnsi" w:hAnsiTheme="minorHAnsi" w:cstheme="minorHAnsi"/>
          <w:sz w:val="22"/>
          <w:szCs w:val="22"/>
          <w:lang w:eastAsia="en-US"/>
        </w:rPr>
        <w:t>Barnow, B.</w:t>
      </w:r>
      <w:r w:rsidR="00F03545" w:rsidRPr="0083156E">
        <w:rPr>
          <w:rFonts w:asciiTheme="minorHAnsi" w:eastAsiaTheme="minorHAnsi" w:hAnsiTheme="minorHAnsi" w:cstheme="minorHAnsi"/>
          <w:sz w:val="22"/>
          <w:szCs w:val="22"/>
          <w:lang w:eastAsia="en-US"/>
        </w:rPr>
        <w:t xml:space="preserve"> and </w:t>
      </w:r>
      <w:r w:rsidRPr="0083156E">
        <w:rPr>
          <w:rFonts w:asciiTheme="minorHAnsi" w:eastAsiaTheme="minorHAnsi" w:hAnsiTheme="minorHAnsi" w:cstheme="minorHAnsi"/>
          <w:sz w:val="22"/>
          <w:szCs w:val="22"/>
          <w:lang w:eastAsia="en-US"/>
        </w:rPr>
        <w:t xml:space="preserve">C. </w:t>
      </w:r>
      <w:r w:rsidR="00F03545" w:rsidRPr="0083156E">
        <w:rPr>
          <w:rFonts w:asciiTheme="minorHAnsi" w:eastAsiaTheme="minorHAnsi" w:hAnsiTheme="minorHAnsi" w:cstheme="minorHAnsi"/>
          <w:sz w:val="22"/>
          <w:szCs w:val="22"/>
          <w:lang w:eastAsia="en-US"/>
        </w:rPr>
        <w:t>King,</w:t>
      </w:r>
      <w:r w:rsidRPr="0083156E">
        <w:rPr>
          <w:rFonts w:asciiTheme="minorHAnsi" w:eastAsiaTheme="minorHAnsi" w:hAnsiTheme="minorHAnsi" w:cstheme="minorHAnsi"/>
          <w:sz w:val="22"/>
          <w:szCs w:val="22"/>
          <w:lang w:eastAsia="en-US"/>
        </w:rPr>
        <w:t xml:space="preserve"> </w:t>
      </w:r>
      <w:r w:rsidR="001B70DB" w:rsidRPr="0083156E">
        <w:rPr>
          <w:rFonts w:asciiTheme="minorHAnsi" w:eastAsiaTheme="minorHAnsi" w:hAnsiTheme="minorHAnsi" w:cstheme="minorHAnsi"/>
          <w:sz w:val="22"/>
          <w:szCs w:val="22"/>
          <w:lang w:eastAsia="en-US"/>
        </w:rPr>
        <w:t xml:space="preserve">2011, </w:t>
      </w:r>
      <w:r w:rsidR="00DA555D" w:rsidRPr="0083156E">
        <w:rPr>
          <w:rFonts w:asciiTheme="minorHAnsi" w:eastAsiaTheme="minorHAnsi" w:hAnsiTheme="minorHAnsi" w:cstheme="minorHAnsi"/>
          <w:sz w:val="22"/>
          <w:szCs w:val="22"/>
          <w:lang w:eastAsia="en-US"/>
        </w:rPr>
        <w:t>‘</w:t>
      </w:r>
      <w:r w:rsidR="001B70DB" w:rsidRPr="0083156E">
        <w:rPr>
          <w:rFonts w:asciiTheme="minorHAnsi" w:eastAsiaTheme="minorHAnsi" w:hAnsiTheme="minorHAnsi" w:cstheme="minorHAnsi"/>
          <w:sz w:val="22"/>
          <w:szCs w:val="22"/>
          <w:lang w:eastAsia="en-US"/>
        </w:rPr>
        <w:t>The use of market m</w:t>
      </w:r>
      <w:r w:rsidR="00F03545" w:rsidRPr="0083156E">
        <w:rPr>
          <w:rFonts w:asciiTheme="minorHAnsi" w:eastAsiaTheme="minorHAnsi" w:hAnsiTheme="minorHAnsi" w:cstheme="minorHAnsi"/>
          <w:sz w:val="22"/>
          <w:szCs w:val="22"/>
          <w:lang w:eastAsia="en-US"/>
        </w:rPr>
        <w:t>echanisms,</w:t>
      </w:r>
      <w:r w:rsidR="00DA555D" w:rsidRPr="0083156E">
        <w:rPr>
          <w:rFonts w:asciiTheme="minorHAnsi" w:eastAsiaTheme="minorHAnsi" w:hAnsiTheme="minorHAnsi" w:cstheme="minorHAnsi"/>
          <w:sz w:val="22"/>
          <w:szCs w:val="22"/>
          <w:lang w:eastAsia="en-US"/>
        </w:rPr>
        <w:t>’</w:t>
      </w:r>
      <w:r w:rsidR="00F03545" w:rsidRPr="0083156E">
        <w:rPr>
          <w:rFonts w:asciiTheme="minorHAnsi" w:eastAsiaTheme="minorHAnsi" w:hAnsiTheme="minorHAnsi" w:cstheme="minorHAnsi"/>
          <w:sz w:val="22"/>
          <w:szCs w:val="22"/>
          <w:lang w:eastAsia="en-US"/>
        </w:rPr>
        <w:t xml:space="preserve"> In </w:t>
      </w:r>
      <w:r w:rsidR="006005EE" w:rsidRPr="0083156E">
        <w:rPr>
          <w:rFonts w:asciiTheme="minorHAnsi" w:eastAsiaTheme="minorHAnsi" w:hAnsiTheme="minorHAnsi" w:cstheme="minorHAnsi"/>
          <w:sz w:val="22"/>
          <w:szCs w:val="22"/>
          <w:lang w:eastAsia="en-US"/>
        </w:rPr>
        <w:t xml:space="preserve">Besharov, D.J. and P.H. Cottingham (eds), </w:t>
      </w:r>
      <w:r w:rsidR="00F03545" w:rsidRPr="0083156E">
        <w:rPr>
          <w:rFonts w:asciiTheme="minorHAnsi" w:eastAsiaTheme="minorHAnsi" w:hAnsiTheme="minorHAnsi" w:cstheme="minorHAnsi"/>
          <w:sz w:val="22"/>
          <w:szCs w:val="22"/>
          <w:lang w:eastAsia="en-US"/>
        </w:rPr>
        <w:t xml:space="preserve">The Workforce </w:t>
      </w:r>
      <w:r w:rsidR="006005EE" w:rsidRPr="0083156E">
        <w:rPr>
          <w:rFonts w:asciiTheme="minorHAnsi" w:eastAsiaTheme="minorHAnsi" w:hAnsiTheme="minorHAnsi" w:cstheme="minorHAnsi"/>
          <w:sz w:val="22"/>
          <w:szCs w:val="22"/>
          <w:lang w:eastAsia="en-US"/>
        </w:rPr>
        <w:t>Investment Act: Implementation e</w:t>
      </w:r>
      <w:r w:rsidR="00F03545" w:rsidRPr="0083156E">
        <w:rPr>
          <w:rFonts w:asciiTheme="minorHAnsi" w:eastAsiaTheme="minorHAnsi" w:hAnsiTheme="minorHAnsi" w:cstheme="minorHAnsi"/>
          <w:sz w:val="22"/>
          <w:szCs w:val="22"/>
          <w:lang w:eastAsia="en-US"/>
        </w:rPr>
        <w:t>xpe</w:t>
      </w:r>
      <w:r w:rsidR="006005EE" w:rsidRPr="0083156E">
        <w:rPr>
          <w:rFonts w:asciiTheme="minorHAnsi" w:eastAsiaTheme="minorHAnsi" w:hAnsiTheme="minorHAnsi" w:cstheme="minorHAnsi"/>
          <w:sz w:val="22"/>
          <w:szCs w:val="22"/>
          <w:lang w:eastAsia="en-US"/>
        </w:rPr>
        <w:t>riences and evaluation f</w:t>
      </w:r>
      <w:r w:rsidR="00F03545" w:rsidRPr="0083156E">
        <w:rPr>
          <w:rFonts w:asciiTheme="minorHAnsi" w:eastAsiaTheme="minorHAnsi" w:hAnsiTheme="minorHAnsi" w:cstheme="minorHAnsi"/>
          <w:sz w:val="22"/>
          <w:szCs w:val="22"/>
          <w:lang w:eastAsia="en-US"/>
        </w:rPr>
        <w:t>indings, Kalamazoo, MI: W.E. Upjohn Institute for Employment Research.</w:t>
      </w:r>
    </w:p>
    <w:p w14:paraId="64CA4CF4" w14:textId="77777777" w:rsidR="00A5333A" w:rsidRPr="0083156E" w:rsidRDefault="00CC5443" w:rsidP="0083156E">
      <w:pPr>
        <w:autoSpaceDE w:val="0"/>
        <w:autoSpaceDN w:val="0"/>
        <w:adjustRightInd w:val="0"/>
        <w:spacing w:after="0" w:line="240" w:lineRule="auto"/>
        <w:rPr>
          <w:rFonts w:cstheme="minorHAnsi"/>
        </w:rPr>
      </w:pPr>
      <w:r w:rsidRPr="0083156E">
        <w:rPr>
          <w:rFonts w:cstheme="minorHAnsi"/>
        </w:rPr>
        <w:t>Barnow, B.S. and J.A. Smith, 2004, ‘Performance management of U.S. j</w:t>
      </w:r>
      <w:r w:rsidR="00A5333A" w:rsidRPr="0083156E">
        <w:rPr>
          <w:rFonts w:cstheme="minorHAnsi"/>
        </w:rPr>
        <w:t>o</w:t>
      </w:r>
      <w:r w:rsidRPr="0083156E">
        <w:rPr>
          <w:rFonts w:cstheme="minorHAnsi"/>
        </w:rPr>
        <w:t xml:space="preserve">b training programs,’ In </w:t>
      </w:r>
      <w:r w:rsidR="006005EE" w:rsidRPr="0083156E">
        <w:rPr>
          <w:rFonts w:cstheme="minorHAnsi"/>
        </w:rPr>
        <w:t xml:space="preserve">O'Leary, C.J., R.A. Straits and S.A. Wandner (eds), </w:t>
      </w:r>
      <w:r w:rsidRPr="0083156E">
        <w:rPr>
          <w:rFonts w:cstheme="minorHAnsi"/>
        </w:rPr>
        <w:t>Job training p</w:t>
      </w:r>
      <w:r w:rsidR="00A5333A" w:rsidRPr="0083156E">
        <w:rPr>
          <w:rFonts w:cstheme="minorHAnsi"/>
        </w:rPr>
        <w:t>olicy in the United States, Kalamazoo</w:t>
      </w:r>
      <w:r w:rsidR="006005EE" w:rsidRPr="0083156E">
        <w:rPr>
          <w:rFonts w:cstheme="minorHAnsi"/>
        </w:rPr>
        <w:t>, MI: W.E. Upjohn Institute, 21-56</w:t>
      </w:r>
      <w:r w:rsidR="00A5333A" w:rsidRPr="0083156E">
        <w:rPr>
          <w:rFonts w:cstheme="minorHAnsi"/>
        </w:rPr>
        <w:t>.</w:t>
      </w:r>
    </w:p>
    <w:p w14:paraId="3FF71983" w14:textId="77777777" w:rsidR="008D762B" w:rsidRPr="0083156E" w:rsidRDefault="008D762B" w:rsidP="0083156E">
      <w:pPr>
        <w:autoSpaceDE w:val="0"/>
        <w:autoSpaceDN w:val="0"/>
        <w:adjustRightInd w:val="0"/>
        <w:spacing w:after="0" w:line="240" w:lineRule="auto"/>
        <w:rPr>
          <w:rFonts w:cstheme="minorHAnsi"/>
        </w:rPr>
      </w:pPr>
    </w:p>
    <w:p w14:paraId="059A8D83" w14:textId="77777777" w:rsidR="00A5333A" w:rsidRPr="0083156E" w:rsidRDefault="00CC5443" w:rsidP="0083156E">
      <w:pPr>
        <w:shd w:val="clear" w:color="auto" w:fill="FFFFFF"/>
        <w:spacing w:after="0" w:line="240" w:lineRule="auto"/>
        <w:rPr>
          <w:rFonts w:cstheme="minorHAnsi"/>
        </w:rPr>
      </w:pPr>
      <w:r w:rsidRPr="0083156E">
        <w:rPr>
          <w:rFonts w:cstheme="minorHAnsi"/>
        </w:rPr>
        <w:t xml:space="preserve">Bartik, T.J., R.W. Eberts, </w:t>
      </w:r>
      <w:r w:rsidR="008D762B" w:rsidRPr="0083156E">
        <w:rPr>
          <w:rFonts w:cstheme="minorHAnsi"/>
        </w:rPr>
        <w:t xml:space="preserve">and </w:t>
      </w:r>
      <w:r w:rsidRPr="0083156E">
        <w:rPr>
          <w:rFonts w:cstheme="minorHAnsi"/>
        </w:rPr>
        <w:t>K. Kline,</w:t>
      </w:r>
      <w:r w:rsidR="008D762B" w:rsidRPr="0083156E">
        <w:rPr>
          <w:rFonts w:cstheme="minorHAnsi"/>
        </w:rPr>
        <w:t xml:space="preserve"> 2009, </w:t>
      </w:r>
      <w:r w:rsidR="00DA555D" w:rsidRPr="0083156E">
        <w:rPr>
          <w:rFonts w:cstheme="minorHAnsi"/>
        </w:rPr>
        <w:t>‘</w:t>
      </w:r>
      <w:r w:rsidR="008D762B" w:rsidRPr="0083156E">
        <w:rPr>
          <w:rFonts w:cstheme="minorHAnsi"/>
        </w:rPr>
        <w:t>Estimat</w:t>
      </w:r>
      <w:r w:rsidRPr="0083156E">
        <w:rPr>
          <w:rFonts w:cstheme="minorHAnsi"/>
        </w:rPr>
        <w:t>ing a performance standards adjustment model for workforce programs that provides timely feedback and uses data from only one s</w:t>
      </w:r>
      <w:r w:rsidR="008D762B" w:rsidRPr="0083156E">
        <w:rPr>
          <w:rFonts w:cstheme="minorHAnsi"/>
        </w:rPr>
        <w:t>tate,</w:t>
      </w:r>
      <w:r w:rsidR="00DA555D" w:rsidRPr="0083156E">
        <w:rPr>
          <w:rFonts w:cstheme="minorHAnsi"/>
        </w:rPr>
        <w:t>’</w:t>
      </w:r>
      <w:r w:rsidR="008D762B" w:rsidRPr="0083156E">
        <w:rPr>
          <w:rFonts w:cstheme="minorHAnsi"/>
        </w:rPr>
        <w:t xml:space="preserve"> Upjohn Institute for Employment Research, 09-144.</w:t>
      </w:r>
    </w:p>
    <w:p w14:paraId="153382AE" w14:textId="77777777" w:rsidR="00BD1CCF" w:rsidRPr="0083156E" w:rsidRDefault="00BD1CCF" w:rsidP="0083156E">
      <w:pPr>
        <w:shd w:val="clear" w:color="auto" w:fill="FFFFFF"/>
        <w:spacing w:after="0" w:line="240" w:lineRule="auto"/>
        <w:rPr>
          <w:rFonts w:cstheme="minorHAnsi"/>
        </w:rPr>
      </w:pPr>
    </w:p>
    <w:p w14:paraId="74290781" w14:textId="77777777" w:rsidR="00BD1CCF" w:rsidRPr="0083156E" w:rsidRDefault="00CC5443" w:rsidP="0083156E">
      <w:pPr>
        <w:autoSpaceDE w:val="0"/>
        <w:autoSpaceDN w:val="0"/>
        <w:adjustRightInd w:val="0"/>
        <w:spacing w:after="0" w:line="240" w:lineRule="auto"/>
        <w:rPr>
          <w:rFonts w:cstheme="minorHAnsi"/>
        </w:rPr>
      </w:pPr>
      <w:r w:rsidRPr="0083156E">
        <w:rPr>
          <w:rFonts w:cstheme="minorHAnsi"/>
        </w:rPr>
        <w:t xml:space="preserve">Bartik, T.J., R.W. Eberts and W.J. Huang, 2009, </w:t>
      </w:r>
      <w:r w:rsidR="00DA555D" w:rsidRPr="0083156E">
        <w:rPr>
          <w:rFonts w:cstheme="minorHAnsi"/>
        </w:rPr>
        <w:t>‘</w:t>
      </w:r>
      <w:r w:rsidR="00BD1CCF" w:rsidRPr="0083156E">
        <w:rPr>
          <w:rFonts w:cstheme="minorHAnsi"/>
        </w:rPr>
        <w:t>Method</w:t>
      </w:r>
      <w:r w:rsidRPr="0083156E">
        <w:rPr>
          <w:rFonts w:cstheme="minorHAnsi"/>
        </w:rPr>
        <w:t>ology for adjusting GPRA workforce development program performance targets for the effects of business cycles,</w:t>
      </w:r>
      <w:r w:rsidR="00DA555D" w:rsidRPr="0083156E">
        <w:rPr>
          <w:rFonts w:cstheme="minorHAnsi"/>
        </w:rPr>
        <w:t>’</w:t>
      </w:r>
      <w:r w:rsidR="00BD1CCF" w:rsidRPr="0083156E">
        <w:rPr>
          <w:rFonts w:cstheme="minorHAnsi"/>
        </w:rPr>
        <w:t xml:space="preserve"> Upjohn Institute Working Paper No. 09-154. Kalamazoo, MI: W.E. Upjohn Institute for Employment Research.</w:t>
      </w:r>
    </w:p>
    <w:p w14:paraId="6511C5D7" w14:textId="77777777" w:rsidR="008D762B" w:rsidRPr="0083156E" w:rsidRDefault="008D762B" w:rsidP="0083156E">
      <w:pPr>
        <w:shd w:val="clear" w:color="auto" w:fill="FFFFFF"/>
        <w:spacing w:after="0" w:line="240" w:lineRule="auto"/>
        <w:rPr>
          <w:rFonts w:cstheme="minorHAnsi"/>
        </w:rPr>
      </w:pPr>
    </w:p>
    <w:p w14:paraId="75DFAB2F" w14:textId="77777777" w:rsidR="00CE62E1" w:rsidRPr="0083156E" w:rsidRDefault="00CE62E1" w:rsidP="0083156E">
      <w:pPr>
        <w:shd w:val="clear" w:color="auto" w:fill="FFFFFF"/>
        <w:spacing w:after="0" w:line="240" w:lineRule="auto"/>
        <w:rPr>
          <w:rFonts w:cstheme="minorHAnsi"/>
        </w:rPr>
      </w:pPr>
      <w:r w:rsidRPr="0083156E">
        <w:rPr>
          <w:rFonts w:cstheme="minorHAnsi"/>
        </w:rPr>
        <w:t>Belfield</w:t>
      </w:r>
      <w:r w:rsidR="00CC5443" w:rsidRPr="0083156E">
        <w:rPr>
          <w:rFonts w:cstheme="minorHAnsi"/>
        </w:rPr>
        <w:t>, C.R.</w:t>
      </w:r>
      <w:r w:rsidRPr="0083156E">
        <w:rPr>
          <w:rFonts w:cstheme="minorHAnsi"/>
        </w:rPr>
        <w:t xml:space="preserve"> and </w:t>
      </w:r>
      <w:r w:rsidR="00CC5443" w:rsidRPr="0083156E">
        <w:rPr>
          <w:rFonts w:cstheme="minorHAnsi"/>
        </w:rPr>
        <w:t xml:space="preserve">H.M. </w:t>
      </w:r>
      <w:r w:rsidRPr="0083156E">
        <w:rPr>
          <w:rFonts w:cstheme="minorHAnsi"/>
        </w:rPr>
        <w:t>Levin</w:t>
      </w:r>
      <w:r w:rsidR="00CC5443" w:rsidRPr="0083156E">
        <w:rPr>
          <w:rFonts w:cstheme="minorHAnsi"/>
        </w:rPr>
        <w:t xml:space="preserve">, 2002, </w:t>
      </w:r>
      <w:r w:rsidR="00DA555D" w:rsidRPr="0083156E">
        <w:rPr>
          <w:rFonts w:cstheme="minorHAnsi"/>
        </w:rPr>
        <w:t>‘</w:t>
      </w:r>
      <w:r w:rsidR="00CC5443" w:rsidRPr="0083156E">
        <w:rPr>
          <w:rFonts w:cstheme="minorHAnsi"/>
        </w:rPr>
        <w:t>The e</w:t>
      </w:r>
      <w:r w:rsidRPr="0083156E">
        <w:rPr>
          <w:rFonts w:cstheme="minorHAnsi"/>
        </w:rPr>
        <w:t xml:space="preserve">ffects </w:t>
      </w:r>
      <w:r w:rsidR="00CC5443" w:rsidRPr="0083156E">
        <w:rPr>
          <w:rFonts w:cstheme="minorHAnsi"/>
        </w:rPr>
        <w:t>of competition between schools on educational outcomes: A r</w:t>
      </w:r>
      <w:r w:rsidRPr="0083156E">
        <w:rPr>
          <w:rFonts w:cstheme="minorHAnsi"/>
        </w:rPr>
        <w:t>eview for the United States,</w:t>
      </w:r>
      <w:r w:rsidR="00DA555D" w:rsidRPr="0083156E">
        <w:rPr>
          <w:rFonts w:cstheme="minorHAnsi"/>
        </w:rPr>
        <w:t>’</w:t>
      </w:r>
      <w:r w:rsidRPr="0083156E">
        <w:rPr>
          <w:rFonts w:cstheme="minorHAnsi"/>
        </w:rPr>
        <w:t xml:space="preserve"> </w:t>
      </w:r>
      <w:r w:rsidR="00CC5443" w:rsidRPr="0083156E">
        <w:rPr>
          <w:rFonts w:cstheme="minorHAnsi"/>
        </w:rPr>
        <w:t xml:space="preserve">Review of Educational Research, 72, </w:t>
      </w:r>
      <w:r w:rsidRPr="0083156E">
        <w:rPr>
          <w:rFonts w:cstheme="minorHAnsi"/>
        </w:rPr>
        <w:t xml:space="preserve">279-341 </w:t>
      </w:r>
    </w:p>
    <w:p w14:paraId="20B7215D" w14:textId="77777777" w:rsidR="00DF2BD9" w:rsidRPr="0083156E" w:rsidRDefault="00DF2BD9" w:rsidP="0083156E">
      <w:pPr>
        <w:autoSpaceDE w:val="0"/>
        <w:autoSpaceDN w:val="0"/>
        <w:adjustRightInd w:val="0"/>
        <w:spacing w:after="0" w:line="240" w:lineRule="auto"/>
        <w:rPr>
          <w:rFonts w:cstheme="minorHAnsi"/>
        </w:rPr>
      </w:pPr>
    </w:p>
    <w:p w14:paraId="2C87A6DB" w14:textId="77777777" w:rsidR="008D762B" w:rsidRPr="0083156E" w:rsidRDefault="008D762B" w:rsidP="0083156E">
      <w:pPr>
        <w:pStyle w:val="Default"/>
        <w:rPr>
          <w:rFonts w:asciiTheme="minorHAnsi" w:hAnsiTheme="minorHAnsi" w:cstheme="minorHAnsi"/>
          <w:color w:val="auto"/>
          <w:sz w:val="22"/>
          <w:szCs w:val="22"/>
        </w:rPr>
      </w:pPr>
      <w:r w:rsidRPr="0083156E">
        <w:rPr>
          <w:rFonts w:asciiTheme="minorHAnsi" w:hAnsiTheme="minorHAnsi" w:cstheme="minorHAnsi"/>
          <w:color w:val="auto"/>
          <w:sz w:val="22"/>
          <w:szCs w:val="22"/>
        </w:rPr>
        <w:t>Ber</w:t>
      </w:r>
      <w:r w:rsidR="00DC2F5B" w:rsidRPr="0083156E">
        <w:rPr>
          <w:rFonts w:asciiTheme="minorHAnsi" w:hAnsiTheme="minorHAnsi" w:cstheme="minorHAnsi"/>
          <w:color w:val="auto"/>
          <w:sz w:val="22"/>
          <w:szCs w:val="22"/>
        </w:rPr>
        <w:t xml:space="preserve">thoud, R., 2011, </w:t>
      </w:r>
      <w:r w:rsidR="00DA555D" w:rsidRPr="0083156E">
        <w:rPr>
          <w:rFonts w:asciiTheme="minorHAnsi" w:hAnsiTheme="minorHAnsi" w:cstheme="minorHAnsi"/>
          <w:color w:val="auto"/>
          <w:sz w:val="22"/>
          <w:szCs w:val="22"/>
        </w:rPr>
        <w:t>‘</w:t>
      </w:r>
      <w:r w:rsidR="00DC2F5B" w:rsidRPr="0083156E">
        <w:rPr>
          <w:rFonts w:asciiTheme="minorHAnsi" w:hAnsiTheme="minorHAnsi" w:cstheme="minorHAnsi"/>
          <w:color w:val="auto"/>
          <w:sz w:val="22"/>
          <w:szCs w:val="22"/>
        </w:rPr>
        <w:t>Trends in the employment of disabled p</w:t>
      </w:r>
      <w:r w:rsidRPr="0083156E">
        <w:rPr>
          <w:rFonts w:asciiTheme="minorHAnsi" w:hAnsiTheme="minorHAnsi" w:cstheme="minorHAnsi"/>
          <w:color w:val="auto"/>
          <w:sz w:val="22"/>
          <w:szCs w:val="22"/>
        </w:rPr>
        <w:t>eople in Britain,</w:t>
      </w:r>
      <w:r w:rsidR="00DA555D" w:rsidRPr="0083156E">
        <w:rPr>
          <w:rFonts w:asciiTheme="minorHAnsi" w:hAnsiTheme="minorHAnsi" w:cstheme="minorHAnsi"/>
          <w:color w:val="auto"/>
          <w:sz w:val="22"/>
          <w:szCs w:val="22"/>
        </w:rPr>
        <w:t>’</w:t>
      </w:r>
      <w:r w:rsidRPr="0083156E">
        <w:rPr>
          <w:rFonts w:asciiTheme="minorHAnsi" w:hAnsiTheme="minorHAnsi" w:cstheme="minorHAnsi"/>
          <w:color w:val="auto"/>
          <w:sz w:val="22"/>
          <w:szCs w:val="22"/>
        </w:rPr>
        <w:t xml:space="preserve"> Institute for Social and Economic Research, University of Essex, No. 2011-03</w:t>
      </w:r>
      <w:r w:rsidR="00DC2F5B" w:rsidRPr="0083156E">
        <w:rPr>
          <w:rFonts w:asciiTheme="minorHAnsi" w:hAnsiTheme="minorHAnsi" w:cstheme="minorHAnsi"/>
          <w:color w:val="auto"/>
          <w:sz w:val="22"/>
          <w:szCs w:val="22"/>
        </w:rPr>
        <w:t>.</w:t>
      </w:r>
    </w:p>
    <w:p w14:paraId="6B18F0A1" w14:textId="77777777" w:rsidR="001D041E" w:rsidRPr="0083156E" w:rsidRDefault="001D041E" w:rsidP="0083156E">
      <w:pPr>
        <w:pStyle w:val="Default"/>
        <w:rPr>
          <w:rFonts w:asciiTheme="minorHAnsi" w:hAnsiTheme="minorHAnsi" w:cstheme="minorHAnsi"/>
          <w:color w:val="auto"/>
          <w:sz w:val="22"/>
          <w:szCs w:val="22"/>
        </w:rPr>
      </w:pPr>
    </w:p>
    <w:p w14:paraId="36D43EDC" w14:textId="77777777" w:rsidR="001D041E" w:rsidRPr="0083156E" w:rsidRDefault="00DC2F5B" w:rsidP="0083156E">
      <w:pPr>
        <w:autoSpaceDE w:val="0"/>
        <w:autoSpaceDN w:val="0"/>
        <w:adjustRightInd w:val="0"/>
        <w:spacing w:after="0" w:line="240" w:lineRule="auto"/>
        <w:rPr>
          <w:rFonts w:cstheme="minorHAnsi"/>
        </w:rPr>
      </w:pPr>
      <w:r w:rsidRPr="0083156E">
        <w:rPr>
          <w:rFonts w:cstheme="minorHAnsi"/>
        </w:rPr>
        <w:t>Besley, T.</w:t>
      </w:r>
      <w:r w:rsidR="001D041E" w:rsidRPr="0083156E">
        <w:rPr>
          <w:rFonts w:cstheme="minorHAnsi"/>
        </w:rPr>
        <w:t xml:space="preserve">J., </w:t>
      </w:r>
      <w:r w:rsidRPr="0083156E">
        <w:rPr>
          <w:rFonts w:cstheme="minorHAnsi"/>
        </w:rPr>
        <w:t xml:space="preserve">G. Bevan, K.B </w:t>
      </w:r>
      <w:r w:rsidR="001D041E" w:rsidRPr="0083156E">
        <w:rPr>
          <w:rFonts w:cstheme="minorHAnsi"/>
        </w:rPr>
        <w:t>Bur</w:t>
      </w:r>
      <w:r w:rsidRPr="0083156E">
        <w:rPr>
          <w:rFonts w:cstheme="minorHAnsi"/>
        </w:rPr>
        <w:t>chardi, 2009, ‘</w:t>
      </w:r>
      <w:r w:rsidR="001D041E" w:rsidRPr="0083156E">
        <w:rPr>
          <w:rFonts w:cstheme="minorHAnsi"/>
        </w:rPr>
        <w:t>Naming &amp; shaming: The impacts of different regimes on hospital wai</w:t>
      </w:r>
      <w:r w:rsidRPr="0083156E">
        <w:rPr>
          <w:rFonts w:cstheme="minorHAnsi"/>
        </w:rPr>
        <w:t>ting times in England and Wales</w:t>
      </w:r>
      <w:r w:rsidR="001D041E" w:rsidRPr="0083156E">
        <w:rPr>
          <w:rFonts w:cstheme="minorHAnsi"/>
        </w:rPr>
        <w:t>,</w:t>
      </w:r>
      <w:r w:rsidRPr="0083156E">
        <w:rPr>
          <w:rFonts w:cstheme="minorHAnsi"/>
        </w:rPr>
        <w:t>’</w:t>
      </w:r>
      <w:r w:rsidR="001D041E" w:rsidRPr="0083156E">
        <w:rPr>
          <w:rFonts w:cstheme="minorHAnsi"/>
        </w:rPr>
        <w:t xml:space="preserve"> CEPR Discussion Papers 7306.</w:t>
      </w:r>
    </w:p>
    <w:p w14:paraId="077C46D5" w14:textId="77777777" w:rsidR="001D041E" w:rsidRPr="0083156E" w:rsidRDefault="001D041E" w:rsidP="0083156E">
      <w:pPr>
        <w:autoSpaceDE w:val="0"/>
        <w:autoSpaceDN w:val="0"/>
        <w:adjustRightInd w:val="0"/>
        <w:spacing w:after="0" w:line="240" w:lineRule="auto"/>
        <w:rPr>
          <w:rFonts w:cstheme="minorHAnsi"/>
        </w:rPr>
      </w:pPr>
    </w:p>
    <w:p w14:paraId="45B602BD" w14:textId="77777777" w:rsidR="005729EB" w:rsidRPr="0083156E" w:rsidRDefault="00DC2F5B" w:rsidP="0083156E">
      <w:pPr>
        <w:autoSpaceDE w:val="0"/>
        <w:autoSpaceDN w:val="0"/>
        <w:adjustRightInd w:val="0"/>
        <w:spacing w:after="0" w:line="240" w:lineRule="auto"/>
        <w:rPr>
          <w:rFonts w:cstheme="minorHAnsi"/>
        </w:rPr>
      </w:pPr>
      <w:r w:rsidRPr="0083156E">
        <w:rPr>
          <w:rFonts w:cstheme="minorHAnsi"/>
        </w:rPr>
        <w:lastRenderedPageBreak/>
        <w:t>Bevan, G., 2006,</w:t>
      </w:r>
      <w:r w:rsidR="00C0601D" w:rsidRPr="0083156E">
        <w:rPr>
          <w:rFonts w:cstheme="minorHAnsi"/>
        </w:rPr>
        <w:t xml:space="preserve"> </w:t>
      </w:r>
      <w:r w:rsidRPr="0083156E">
        <w:rPr>
          <w:rFonts w:cstheme="minorHAnsi"/>
        </w:rPr>
        <w:t>‘</w:t>
      </w:r>
      <w:r w:rsidR="005729EB" w:rsidRPr="0083156E">
        <w:rPr>
          <w:rFonts w:cstheme="minorHAnsi"/>
        </w:rPr>
        <w:t>Sett</w:t>
      </w:r>
      <w:r w:rsidRPr="0083156E">
        <w:rPr>
          <w:rFonts w:cstheme="minorHAnsi"/>
        </w:rPr>
        <w:t>ing targets for health care performance: Lessons from a case study of the English NHS,’</w:t>
      </w:r>
      <w:r w:rsidR="005729EB" w:rsidRPr="0083156E">
        <w:rPr>
          <w:rFonts w:cstheme="minorHAnsi"/>
        </w:rPr>
        <w:t xml:space="preserve"> National I</w:t>
      </w:r>
      <w:r w:rsidRPr="0083156E">
        <w:rPr>
          <w:rFonts w:cstheme="minorHAnsi"/>
        </w:rPr>
        <w:t>nstitute Economic Review, 197, 67</w:t>
      </w:r>
      <w:r w:rsidR="005729EB" w:rsidRPr="0083156E">
        <w:rPr>
          <w:rFonts w:cstheme="minorHAnsi"/>
        </w:rPr>
        <w:t>-79.</w:t>
      </w:r>
    </w:p>
    <w:p w14:paraId="7293F0B0" w14:textId="77777777" w:rsidR="005729EB" w:rsidRPr="0083156E" w:rsidRDefault="005729EB" w:rsidP="0083156E">
      <w:pPr>
        <w:autoSpaceDE w:val="0"/>
        <w:autoSpaceDN w:val="0"/>
        <w:adjustRightInd w:val="0"/>
        <w:spacing w:after="0" w:line="240" w:lineRule="auto"/>
        <w:rPr>
          <w:rFonts w:cstheme="minorHAnsi"/>
        </w:rPr>
      </w:pPr>
    </w:p>
    <w:p w14:paraId="30857C96" w14:textId="77777777" w:rsidR="00672C43" w:rsidRPr="0083156E" w:rsidRDefault="00672C43" w:rsidP="0083156E">
      <w:pPr>
        <w:autoSpaceDE w:val="0"/>
        <w:autoSpaceDN w:val="0"/>
        <w:adjustRightInd w:val="0"/>
        <w:spacing w:after="0" w:line="240" w:lineRule="auto"/>
        <w:rPr>
          <w:rFonts w:cstheme="minorHAnsi"/>
        </w:rPr>
      </w:pPr>
      <w:r w:rsidRPr="0083156E">
        <w:rPr>
          <w:rFonts w:cstheme="minorHAnsi"/>
        </w:rPr>
        <w:t xml:space="preserve">Bevan, G. and </w:t>
      </w:r>
      <w:r w:rsidR="00DC2F5B" w:rsidRPr="0083156E">
        <w:rPr>
          <w:rFonts w:cstheme="minorHAnsi"/>
        </w:rPr>
        <w:t>C. Hood, 2006,</w:t>
      </w:r>
      <w:r w:rsidRPr="0083156E">
        <w:rPr>
          <w:rFonts w:cstheme="minorHAnsi"/>
        </w:rPr>
        <w:t xml:space="preserve"> </w:t>
      </w:r>
      <w:r w:rsidR="00DC2F5B" w:rsidRPr="0083156E">
        <w:rPr>
          <w:rFonts w:cstheme="minorHAnsi"/>
        </w:rPr>
        <w:t>‘</w:t>
      </w:r>
      <w:r w:rsidRPr="0083156E">
        <w:rPr>
          <w:rFonts w:cstheme="minorHAnsi"/>
        </w:rPr>
        <w:t>What’s measured is what matters: targets and gaming in the English public health car</w:t>
      </w:r>
      <w:r w:rsidR="00DC2F5B" w:rsidRPr="0083156E">
        <w:rPr>
          <w:rFonts w:cstheme="minorHAnsi"/>
        </w:rPr>
        <w:t>e system,</w:t>
      </w:r>
      <w:r w:rsidR="00DA555D" w:rsidRPr="0083156E">
        <w:rPr>
          <w:rFonts w:cstheme="minorHAnsi"/>
        </w:rPr>
        <w:t>’</w:t>
      </w:r>
      <w:r w:rsidR="00DC2F5B" w:rsidRPr="0083156E">
        <w:rPr>
          <w:rFonts w:cstheme="minorHAnsi"/>
        </w:rPr>
        <w:t xml:space="preserve"> Public Administration, 84,</w:t>
      </w:r>
      <w:r w:rsidRPr="0083156E">
        <w:rPr>
          <w:rFonts w:cstheme="minorHAnsi"/>
        </w:rPr>
        <w:t xml:space="preserve"> 517-538.</w:t>
      </w:r>
    </w:p>
    <w:p w14:paraId="0C0948A8" w14:textId="77777777" w:rsidR="00672C43" w:rsidRPr="0083156E" w:rsidRDefault="00672C43" w:rsidP="0083156E">
      <w:pPr>
        <w:autoSpaceDE w:val="0"/>
        <w:autoSpaceDN w:val="0"/>
        <w:adjustRightInd w:val="0"/>
        <w:spacing w:after="0" w:line="240" w:lineRule="auto"/>
        <w:rPr>
          <w:rFonts w:cstheme="minorHAnsi"/>
        </w:rPr>
      </w:pPr>
    </w:p>
    <w:p w14:paraId="5B35176B" w14:textId="77777777" w:rsidR="00BB1B76" w:rsidRPr="0083156E" w:rsidRDefault="00DC2F5B" w:rsidP="0083156E">
      <w:pPr>
        <w:autoSpaceDE w:val="0"/>
        <w:autoSpaceDN w:val="0"/>
        <w:adjustRightInd w:val="0"/>
        <w:spacing w:after="0" w:line="240" w:lineRule="auto"/>
        <w:rPr>
          <w:rFonts w:cstheme="minorHAnsi"/>
        </w:rPr>
      </w:pPr>
      <w:r w:rsidRPr="0083156E">
        <w:rPr>
          <w:rFonts w:cstheme="minorHAnsi"/>
        </w:rPr>
        <w:t>Beverley, C. and J. Haynes, 2005,</w:t>
      </w:r>
      <w:r w:rsidR="00BB1B76" w:rsidRPr="0083156E">
        <w:rPr>
          <w:rFonts w:cstheme="minorHAnsi"/>
        </w:rPr>
        <w:t xml:space="preserve"> </w:t>
      </w:r>
      <w:r w:rsidRPr="0083156E">
        <w:rPr>
          <w:rFonts w:cstheme="minorHAnsi"/>
        </w:rPr>
        <w:t>‘Franchised trusts,’</w:t>
      </w:r>
      <w:r w:rsidR="00BB1B76" w:rsidRPr="0083156E">
        <w:rPr>
          <w:rFonts w:cstheme="minorHAnsi"/>
        </w:rPr>
        <w:t xml:space="preserve"> Health Management Specialist Library: Management Briefing, NeLH Health Management Specialist Library.</w:t>
      </w:r>
    </w:p>
    <w:p w14:paraId="1ED03B2A" w14:textId="77777777" w:rsidR="00BB1B76" w:rsidRPr="0083156E" w:rsidRDefault="00BB1B76" w:rsidP="0083156E">
      <w:pPr>
        <w:autoSpaceDE w:val="0"/>
        <w:autoSpaceDN w:val="0"/>
        <w:adjustRightInd w:val="0"/>
        <w:spacing w:after="0" w:line="240" w:lineRule="auto"/>
        <w:rPr>
          <w:rFonts w:cstheme="minorHAnsi"/>
        </w:rPr>
      </w:pPr>
    </w:p>
    <w:p w14:paraId="357A8530" w14:textId="77777777" w:rsidR="005729EB" w:rsidRPr="0083156E" w:rsidRDefault="00DC2F5B" w:rsidP="0083156E">
      <w:pPr>
        <w:autoSpaceDE w:val="0"/>
        <w:autoSpaceDN w:val="0"/>
        <w:adjustRightInd w:val="0"/>
        <w:spacing w:after="0" w:line="240" w:lineRule="auto"/>
        <w:rPr>
          <w:rFonts w:cstheme="minorHAnsi"/>
        </w:rPr>
      </w:pPr>
      <w:r w:rsidRPr="0083156E">
        <w:rPr>
          <w:rFonts w:cstheme="minorHAnsi"/>
        </w:rPr>
        <w:t>Blundell, R., R. Griffith</w:t>
      </w:r>
      <w:r w:rsidR="005729EB" w:rsidRPr="0083156E">
        <w:rPr>
          <w:rFonts w:cstheme="minorHAnsi"/>
        </w:rPr>
        <w:t xml:space="preserve"> </w:t>
      </w:r>
      <w:r w:rsidRPr="0083156E">
        <w:rPr>
          <w:rFonts w:cstheme="minorHAnsi"/>
        </w:rPr>
        <w:t xml:space="preserve">and J.V. Reenen, 1999, </w:t>
      </w:r>
      <w:r w:rsidR="00DA555D" w:rsidRPr="0083156E">
        <w:rPr>
          <w:rFonts w:cstheme="minorHAnsi"/>
        </w:rPr>
        <w:t>‘</w:t>
      </w:r>
      <w:r w:rsidRPr="0083156E">
        <w:rPr>
          <w:rFonts w:cstheme="minorHAnsi"/>
        </w:rPr>
        <w:t xml:space="preserve">Market share, market value and innovation in a panel of British manufacturing firms,’ The Review of Economic </w:t>
      </w:r>
      <w:r w:rsidR="005729EB" w:rsidRPr="0083156E">
        <w:rPr>
          <w:rFonts w:cstheme="minorHAnsi"/>
        </w:rPr>
        <w:t>Studies</w:t>
      </w:r>
      <w:r w:rsidRPr="0083156E">
        <w:rPr>
          <w:rFonts w:cstheme="minorHAnsi"/>
        </w:rPr>
        <w:t>, 66,</w:t>
      </w:r>
      <w:r w:rsidR="005729EB" w:rsidRPr="0083156E">
        <w:rPr>
          <w:rFonts w:cstheme="minorHAnsi"/>
        </w:rPr>
        <w:t xml:space="preserve"> 529-554.</w:t>
      </w:r>
    </w:p>
    <w:p w14:paraId="38544E7E" w14:textId="77777777" w:rsidR="00BB1B76" w:rsidRPr="0083156E" w:rsidRDefault="00BB1B76" w:rsidP="0083156E">
      <w:pPr>
        <w:autoSpaceDE w:val="0"/>
        <w:autoSpaceDN w:val="0"/>
        <w:adjustRightInd w:val="0"/>
        <w:spacing w:after="0" w:line="240" w:lineRule="auto"/>
        <w:rPr>
          <w:rFonts w:cstheme="minorHAnsi"/>
        </w:rPr>
      </w:pPr>
    </w:p>
    <w:p w14:paraId="1553F944" w14:textId="77777777" w:rsidR="00A5333A" w:rsidRPr="0083156E" w:rsidRDefault="00A5333A" w:rsidP="0083156E">
      <w:pPr>
        <w:autoSpaceDE w:val="0"/>
        <w:autoSpaceDN w:val="0"/>
        <w:adjustRightInd w:val="0"/>
        <w:spacing w:after="0" w:line="240" w:lineRule="auto"/>
        <w:rPr>
          <w:rFonts w:cstheme="minorHAnsi"/>
        </w:rPr>
      </w:pPr>
      <w:r w:rsidRPr="0083156E">
        <w:rPr>
          <w:rFonts w:cstheme="minorHAnsi"/>
        </w:rPr>
        <w:t>Bond</w:t>
      </w:r>
      <w:r w:rsidR="00DC2F5B" w:rsidRPr="0083156E">
        <w:rPr>
          <w:rFonts w:cstheme="minorHAnsi"/>
        </w:rPr>
        <w:t>,</w:t>
      </w:r>
      <w:r w:rsidRPr="0083156E">
        <w:rPr>
          <w:rFonts w:cstheme="minorHAnsi"/>
        </w:rPr>
        <w:t xml:space="preserve"> GR.</w:t>
      </w:r>
      <w:r w:rsidR="00DC2F5B" w:rsidRPr="0083156E">
        <w:rPr>
          <w:rFonts w:cstheme="minorHAnsi"/>
        </w:rPr>
        <w:t>, 2004,</w:t>
      </w:r>
      <w:r w:rsidRPr="0083156E">
        <w:rPr>
          <w:rFonts w:cstheme="minorHAnsi"/>
        </w:rPr>
        <w:t xml:space="preserve"> </w:t>
      </w:r>
      <w:r w:rsidR="00DA555D" w:rsidRPr="0083156E">
        <w:rPr>
          <w:rFonts w:cstheme="minorHAnsi"/>
        </w:rPr>
        <w:t>‘</w:t>
      </w:r>
      <w:r w:rsidRPr="0083156E">
        <w:rPr>
          <w:rFonts w:cstheme="minorHAnsi"/>
        </w:rPr>
        <w:t>Supported employment: Evidence</w:t>
      </w:r>
      <w:r w:rsidR="00DC2F5B" w:rsidRPr="0083156E">
        <w:rPr>
          <w:rFonts w:cstheme="minorHAnsi"/>
        </w:rPr>
        <w:t xml:space="preserve"> for an evidence-based practice,</w:t>
      </w:r>
      <w:r w:rsidR="00DA555D" w:rsidRPr="0083156E">
        <w:rPr>
          <w:rFonts w:cstheme="minorHAnsi"/>
        </w:rPr>
        <w:t>’</w:t>
      </w:r>
      <w:r w:rsidRPr="0083156E">
        <w:rPr>
          <w:rFonts w:cstheme="minorHAnsi"/>
        </w:rPr>
        <w:t xml:space="preserve"> Psychiatric Rehabilitation Journal, 27, 345-359.</w:t>
      </w:r>
    </w:p>
    <w:p w14:paraId="518E4FBD" w14:textId="77777777" w:rsidR="00A37584" w:rsidRPr="0083156E" w:rsidRDefault="00A37584" w:rsidP="0083156E">
      <w:pPr>
        <w:autoSpaceDE w:val="0"/>
        <w:autoSpaceDN w:val="0"/>
        <w:adjustRightInd w:val="0"/>
        <w:spacing w:after="0" w:line="240" w:lineRule="auto"/>
        <w:rPr>
          <w:rFonts w:cstheme="minorHAnsi"/>
        </w:rPr>
      </w:pPr>
    </w:p>
    <w:p w14:paraId="5B95DBAD" w14:textId="77777777" w:rsidR="0027136C" w:rsidRPr="0083156E" w:rsidRDefault="0027136C" w:rsidP="0083156E">
      <w:pPr>
        <w:autoSpaceDE w:val="0"/>
        <w:autoSpaceDN w:val="0"/>
        <w:adjustRightInd w:val="0"/>
        <w:spacing w:after="0" w:line="240" w:lineRule="auto"/>
        <w:rPr>
          <w:rFonts w:cstheme="minorHAnsi"/>
        </w:rPr>
      </w:pPr>
      <w:r w:rsidRPr="0083156E">
        <w:rPr>
          <w:rFonts w:cstheme="minorHAnsi"/>
        </w:rPr>
        <w:t>Bond</w:t>
      </w:r>
      <w:r w:rsidR="00DC2F5B" w:rsidRPr="0083156E">
        <w:rPr>
          <w:rFonts w:cstheme="minorHAnsi"/>
        </w:rPr>
        <w:t>,</w:t>
      </w:r>
      <w:r w:rsidRPr="0083156E">
        <w:rPr>
          <w:rFonts w:cstheme="minorHAnsi"/>
        </w:rPr>
        <w:t xml:space="preserve"> G</w:t>
      </w:r>
      <w:r w:rsidR="00DC2F5B" w:rsidRPr="0083156E">
        <w:rPr>
          <w:rFonts w:cstheme="minorHAnsi"/>
        </w:rPr>
        <w:t>.</w:t>
      </w:r>
      <w:r w:rsidRPr="0083156E">
        <w:rPr>
          <w:rFonts w:cstheme="minorHAnsi"/>
        </w:rPr>
        <w:t>R</w:t>
      </w:r>
      <w:r w:rsidR="00DC2F5B" w:rsidRPr="0083156E">
        <w:rPr>
          <w:rFonts w:cstheme="minorHAnsi"/>
        </w:rPr>
        <w:t>.</w:t>
      </w:r>
      <w:r w:rsidRPr="0083156E">
        <w:rPr>
          <w:rFonts w:cstheme="minorHAnsi"/>
        </w:rPr>
        <w:t xml:space="preserve">, </w:t>
      </w:r>
      <w:r w:rsidR="00DC2F5B" w:rsidRPr="0083156E">
        <w:rPr>
          <w:rFonts w:cstheme="minorHAnsi"/>
        </w:rPr>
        <w:t>R.E. Drake</w:t>
      </w:r>
      <w:r w:rsidRPr="0083156E">
        <w:rPr>
          <w:rFonts w:cstheme="minorHAnsi"/>
        </w:rPr>
        <w:t xml:space="preserve">, </w:t>
      </w:r>
      <w:r w:rsidR="00DC2F5B" w:rsidRPr="0083156E">
        <w:rPr>
          <w:rFonts w:cstheme="minorHAnsi"/>
        </w:rPr>
        <w:t>D.R. Becker, 2008,</w:t>
      </w:r>
      <w:r w:rsidRPr="0083156E">
        <w:rPr>
          <w:rFonts w:cstheme="minorHAnsi"/>
        </w:rPr>
        <w:t xml:space="preserve"> </w:t>
      </w:r>
      <w:r w:rsidR="00DA555D" w:rsidRPr="0083156E">
        <w:rPr>
          <w:rFonts w:cstheme="minorHAnsi"/>
        </w:rPr>
        <w:t>‘</w:t>
      </w:r>
      <w:r w:rsidRPr="0083156E">
        <w:rPr>
          <w:rFonts w:cstheme="minorHAnsi"/>
        </w:rPr>
        <w:t>An update on randomized controlled trials of evid</w:t>
      </w:r>
      <w:r w:rsidR="00DC2F5B" w:rsidRPr="0083156E">
        <w:rPr>
          <w:rFonts w:cstheme="minorHAnsi"/>
        </w:rPr>
        <w:t>ence-based supported employment,</w:t>
      </w:r>
      <w:r w:rsidR="00DA555D" w:rsidRPr="0083156E">
        <w:rPr>
          <w:rFonts w:cstheme="minorHAnsi"/>
        </w:rPr>
        <w:t>’</w:t>
      </w:r>
      <w:r w:rsidRPr="0083156E">
        <w:rPr>
          <w:rFonts w:cstheme="minorHAnsi"/>
        </w:rPr>
        <w:t xml:space="preserve"> Psychiatric Rehabilitation Journal, 31, 280- 290.</w:t>
      </w:r>
    </w:p>
    <w:p w14:paraId="1F1969C5" w14:textId="77777777" w:rsidR="00F03545" w:rsidRPr="0083156E" w:rsidRDefault="00F03545" w:rsidP="0083156E">
      <w:pPr>
        <w:autoSpaceDE w:val="0"/>
        <w:autoSpaceDN w:val="0"/>
        <w:adjustRightInd w:val="0"/>
        <w:spacing w:after="0" w:line="240" w:lineRule="auto"/>
        <w:rPr>
          <w:rFonts w:cstheme="minorHAnsi"/>
        </w:rPr>
      </w:pPr>
    </w:p>
    <w:p w14:paraId="2CFB6FF4" w14:textId="77777777" w:rsidR="00A37584" w:rsidRPr="0083156E" w:rsidRDefault="00DC2F5B" w:rsidP="0083156E">
      <w:pPr>
        <w:autoSpaceDE w:val="0"/>
        <w:autoSpaceDN w:val="0"/>
        <w:adjustRightInd w:val="0"/>
        <w:spacing w:after="0" w:line="240" w:lineRule="auto"/>
        <w:rPr>
          <w:rFonts w:cstheme="minorHAnsi"/>
        </w:rPr>
      </w:pPr>
      <w:r w:rsidRPr="0083156E">
        <w:rPr>
          <w:rFonts w:cstheme="minorHAnsi"/>
        </w:rPr>
        <w:t xml:space="preserve">Bond, G.R., R.E. Drake, D.R. Becker, </w:t>
      </w:r>
      <w:r w:rsidR="00A37584" w:rsidRPr="0083156E">
        <w:rPr>
          <w:rFonts w:cstheme="minorHAnsi"/>
        </w:rPr>
        <w:t xml:space="preserve">2012, </w:t>
      </w:r>
      <w:r w:rsidR="00DA555D" w:rsidRPr="0083156E">
        <w:rPr>
          <w:rFonts w:cstheme="minorHAnsi"/>
        </w:rPr>
        <w:t>‘</w:t>
      </w:r>
      <w:r w:rsidR="00A37584" w:rsidRPr="0083156E">
        <w:rPr>
          <w:rFonts w:cstheme="minorHAnsi"/>
        </w:rPr>
        <w:t>Generalizability of the individual placement and support (IPS) model of supp</w:t>
      </w:r>
      <w:r w:rsidRPr="0083156E">
        <w:rPr>
          <w:rFonts w:cstheme="minorHAnsi"/>
        </w:rPr>
        <w:t>orted employment outside the US,</w:t>
      </w:r>
      <w:r w:rsidR="00DA555D" w:rsidRPr="0083156E">
        <w:rPr>
          <w:rFonts w:cstheme="minorHAnsi"/>
        </w:rPr>
        <w:t>’</w:t>
      </w:r>
      <w:r w:rsidR="00A37584" w:rsidRPr="0083156E">
        <w:rPr>
          <w:rFonts w:cstheme="minorHAnsi"/>
        </w:rPr>
        <w:t xml:space="preserve"> </w:t>
      </w:r>
      <w:r w:rsidRPr="0083156E">
        <w:rPr>
          <w:rFonts w:cstheme="minorHAnsi"/>
        </w:rPr>
        <w:t>World Psychiatry, 11</w:t>
      </w:r>
      <w:r w:rsidR="00A37584" w:rsidRPr="0083156E">
        <w:rPr>
          <w:rFonts w:cstheme="minorHAnsi"/>
        </w:rPr>
        <w:t>, 32-39</w:t>
      </w:r>
      <w:r w:rsidRPr="0083156E">
        <w:rPr>
          <w:rFonts w:cstheme="minorHAnsi"/>
        </w:rPr>
        <w:t>.</w:t>
      </w:r>
    </w:p>
    <w:p w14:paraId="45029EC2" w14:textId="77777777" w:rsidR="00A5333A" w:rsidRPr="0083156E" w:rsidRDefault="00A5333A" w:rsidP="0083156E">
      <w:pPr>
        <w:autoSpaceDE w:val="0"/>
        <w:autoSpaceDN w:val="0"/>
        <w:adjustRightInd w:val="0"/>
        <w:spacing w:after="0" w:line="240" w:lineRule="auto"/>
        <w:rPr>
          <w:rFonts w:cstheme="minorHAnsi"/>
        </w:rPr>
      </w:pPr>
    </w:p>
    <w:p w14:paraId="10915E62" w14:textId="77777777" w:rsidR="00CE62E1" w:rsidRPr="0083156E" w:rsidRDefault="00CE62E1" w:rsidP="0083156E">
      <w:pPr>
        <w:pStyle w:val="EndnoteText"/>
        <w:rPr>
          <w:rFonts w:asciiTheme="minorHAnsi" w:eastAsiaTheme="minorHAnsi" w:hAnsiTheme="minorHAnsi" w:cstheme="minorHAnsi"/>
          <w:sz w:val="22"/>
          <w:szCs w:val="22"/>
          <w:lang w:val="en-AU"/>
        </w:rPr>
      </w:pPr>
      <w:r w:rsidRPr="0083156E">
        <w:rPr>
          <w:rFonts w:asciiTheme="minorHAnsi" w:eastAsiaTheme="minorHAnsi" w:hAnsiTheme="minorHAnsi" w:cstheme="minorHAnsi"/>
          <w:sz w:val="22"/>
          <w:szCs w:val="22"/>
          <w:lang w:val="en-AU"/>
        </w:rPr>
        <w:t>Bouckaert, G.,</w:t>
      </w:r>
      <w:r w:rsidR="00DC2F5B" w:rsidRPr="0083156E">
        <w:rPr>
          <w:rFonts w:asciiTheme="minorHAnsi" w:eastAsiaTheme="minorHAnsi" w:hAnsiTheme="minorHAnsi" w:cstheme="minorHAnsi"/>
          <w:sz w:val="22"/>
          <w:szCs w:val="22"/>
          <w:lang w:val="en-AU"/>
        </w:rPr>
        <w:t xml:space="preserve"> and J. Halligan, 2010,</w:t>
      </w:r>
      <w:r w:rsidRPr="0083156E">
        <w:rPr>
          <w:rFonts w:asciiTheme="minorHAnsi" w:eastAsiaTheme="minorHAnsi" w:hAnsiTheme="minorHAnsi" w:cstheme="minorHAnsi"/>
          <w:sz w:val="22"/>
          <w:szCs w:val="22"/>
          <w:lang w:val="en-AU"/>
        </w:rPr>
        <w:t xml:space="preserve"> </w:t>
      </w:r>
      <w:r w:rsidR="00DA555D" w:rsidRPr="0083156E">
        <w:rPr>
          <w:rFonts w:asciiTheme="minorHAnsi" w:eastAsiaTheme="minorHAnsi" w:hAnsiTheme="minorHAnsi" w:cstheme="minorHAnsi"/>
          <w:sz w:val="22"/>
          <w:szCs w:val="22"/>
          <w:lang w:val="en-AU"/>
        </w:rPr>
        <w:t>‘</w:t>
      </w:r>
      <w:r w:rsidRPr="0083156E">
        <w:rPr>
          <w:rFonts w:asciiTheme="minorHAnsi" w:eastAsiaTheme="minorHAnsi" w:hAnsiTheme="minorHAnsi" w:cstheme="minorHAnsi"/>
          <w:sz w:val="22"/>
          <w:szCs w:val="22"/>
          <w:lang w:val="en-AU"/>
        </w:rPr>
        <w:t xml:space="preserve">Performance </w:t>
      </w:r>
      <w:r w:rsidR="00DA555D" w:rsidRPr="0083156E">
        <w:rPr>
          <w:rFonts w:asciiTheme="minorHAnsi" w:eastAsiaTheme="minorHAnsi" w:hAnsiTheme="minorHAnsi" w:cstheme="minorHAnsi"/>
          <w:sz w:val="22"/>
          <w:szCs w:val="22"/>
          <w:lang w:val="en-AU"/>
        </w:rPr>
        <w:t>m</w:t>
      </w:r>
      <w:r w:rsidR="00DC2F5B" w:rsidRPr="0083156E">
        <w:rPr>
          <w:rFonts w:asciiTheme="minorHAnsi" w:eastAsiaTheme="minorHAnsi" w:hAnsiTheme="minorHAnsi" w:cstheme="minorHAnsi"/>
          <w:sz w:val="22"/>
          <w:szCs w:val="22"/>
          <w:lang w:val="en-AU"/>
        </w:rPr>
        <w:t>anagement in t</w:t>
      </w:r>
      <w:r w:rsidR="00DA555D" w:rsidRPr="0083156E">
        <w:rPr>
          <w:rFonts w:asciiTheme="minorHAnsi" w:eastAsiaTheme="minorHAnsi" w:hAnsiTheme="minorHAnsi" w:cstheme="minorHAnsi"/>
          <w:sz w:val="22"/>
          <w:szCs w:val="22"/>
          <w:lang w:val="en-AU"/>
        </w:rPr>
        <w:t>he public s</w:t>
      </w:r>
      <w:r w:rsidR="00DC2F5B" w:rsidRPr="0083156E">
        <w:rPr>
          <w:rFonts w:asciiTheme="minorHAnsi" w:eastAsiaTheme="minorHAnsi" w:hAnsiTheme="minorHAnsi" w:cstheme="minorHAnsi"/>
          <w:sz w:val="22"/>
          <w:szCs w:val="22"/>
          <w:lang w:val="en-AU"/>
        </w:rPr>
        <w:t>ector,</w:t>
      </w:r>
      <w:r w:rsidR="00DA555D" w:rsidRPr="0083156E">
        <w:rPr>
          <w:rFonts w:asciiTheme="minorHAnsi" w:eastAsiaTheme="minorHAnsi" w:hAnsiTheme="minorHAnsi" w:cstheme="minorHAnsi"/>
          <w:sz w:val="22"/>
          <w:szCs w:val="22"/>
          <w:lang w:val="en-AU"/>
        </w:rPr>
        <w:t>’</w:t>
      </w:r>
      <w:r w:rsidRPr="0083156E">
        <w:rPr>
          <w:rFonts w:asciiTheme="minorHAnsi" w:eastAsiaTheme="minorHAnsi" w:hAnsiTheme="minorHAnsi" w:cstheme="minorHAnsi"/>
          <w:sz w:val="22"/>
          <w:szCs w:val="22"/>
          <w:lang w:val="en-AU"/>
        </w:rPr>
        <w:t xml:space="preserve"> Oxford, Routledge.</w:t>
      </w:r>
    </w:p>
    <w:p w14:paraId="33DE8A47" w14:textId="77777777" w:rsidR="00153C3E" w:rsidRPr="0083156E" w:rsidRDefault="00153C3E" w:rsidP="0083156E">
      <w:pPr>
        <w:pStyle w:val="EndnoteText"/>
        <w:rPr>
          <w:rFonts w:asciiTheme="minorHAnsi" w:eastAsiaTheme="minorHAnsi" w:hAnsiTheme="minorHAnsi" w:cstheme="minorHAnsi"/>
          <w:sz w:val="22"/>
          <w:szCs w:val="22"/>
          <w:lang w:val="en-AU"/>
        </w:rPr>
      </w:pPr>
    </w:p>
    <w:p w14:paraId="7B6B93DD" w14:textId="77777777" w:rsidR="00153C3E" w:rsidRDefault="00183554" w:rsidP="0083156E">
      <w:pPr>
        <w:pStyle w:val="Bibliography"/>
        <w:rPr>
          <w:rFonts w:cstheme="minorHAnsi"/>
        </w:rPr>
      </w:pPr>
      <w:r w:rsidRPr="0083156E">
        <w:rPr>
          <w:rFonts w:cstheme="minorHAnsi"/>
        </w:rPr>
        <w:t>Bowman, D. and M. Horn, 2010,</w:t>
      </w:r>
      <w:r w:rsidR="00153C3E" w:rsidRPr="0083156E">
        <w:rPr>
          <w:rFonts w:cstheme="minorHAnsi"/>
        </w:rPr>
        <w:t xml:space="preserve"> </w:t>
      </w:r>
      <w:r w:rsidR="00DA555D" w:rsidRPr="0083156E">
        <w:rPr>
          <w:rFonts w:cstheme="minorHAnsi"/>
        </w:rPr>
        <w:t>‘</w:t>
      </w:r>
      <w:r w:rsidR="00153C3E" w:rsidRPr="0083156E">
        <w:rPr>
          <w:rFonts w:cstheme="minorHAnsi"/>
        </w:rPr>
        <w:t>The Australian experience of employment services: what have we learnt?</w:t>
      </w:r>
      <w:r w:rsidR="00DA555D" w:rsidRPr="0083156E">
        <w:rPr>
          <w:rFonts w:cstheme="minorHAnsi"/>
        </w:rPr>
        <w:t>’</w:t>
      </w:r>
      <w:r w:rsidR="00153C3E" w:rsidRPr="0083156E">
        <w:rPr>
          <w:rFonts w:cstheme="minorHAnsi"/>
        </w:rPr>
        <w:t xml:space="preserve"> In </w:t>
      </w:r>
      <w:r w:rsidR="00DA555D" w:rsidRPr="0083156E">
        <w:rPr>
          <w:rFonts w:cstheme="minorHAnsi"/>
        </w:rPr>
        <w:t xml:space="preserve">Ban-Galim, D. and A. Sachradjda (eds), </w:t>
      </w:r>
      <w:r w:rsidR="00153C3E" w:rsidRPr="0083156E">
        <w:rPr>
          <w:rFonts w:cstheme="minorHAnsi"/>
        </w:rPr>
        <w:t>Now It’s Personal: Learning from welfare-to-work approaches around the world</w:t>
      </w:r>
      <w:r w:rsidRPr="0083156E">
        <w:rPr>
          <w:rFonts w:cstheme="minorHAnsi"/>
        </w:rPr>
        <w:t xml:space="preserve">, </w:t>
      </w:r>
      <w:r w:rsidR="00153C3E" w:rsidRPr="0083156E">
        <w:rPr>
          <w:rFonts w:cstheme="minorHAnsi"/>
        </w:rPr>
        <w:t>Institute for Public Policy Research</w:t>
      </w:r>
      <w:r w:rsidR="00DA555D" w:rsidRPr="0083156E">
        <w:rPr>
          <w:rFonts w:cstheme="minorHAnsi"/>
        </w:rPr>
        <w:t>, 8-10</w:t>
      </w:r>
      <w:r w:rsidR="00153C3E" w:rsidRPr="0083156E">
        <w:rPr>
          <w:rFonts w:cstheme="minorHAnsi"/>
        </w:rPr>
        <w:t>.</w:t>
      </w:r>
    </w:p>
    <w:p w14:paraId="69148FD3" w14:textId="77777777" w:rsidR="00826B69" w:rsidRPr="00826B69" w:rsidRDefault="00BD3140" w:rsidP="00826B69">
      <w:pPr>
        <w:rPr>
          <w:rFonts w:cstheme="minorHAnsi"/>
        </w:rPr>
      </w:pPr>
      <w:hyperlink r:id="rId17" w:history="1">
        <w:r w:rsidR="00826B69" w:rsidRPr="00826B69">
          <w:rPr>
            <w:rFonts w:cstheme="minorHAnsi"/>
          </w:rPr>
          <w:t>Bredgaard, T</w:t>
        </w:r>
      </w:hyperlink>
      <w:r w:rsidR="00826B69" w:rsidRPr="00826B69">
        <w:rPr>
          <w:rFonts w:cstheme="minorHAnsi"/>
        </w:rPr>
        <w:t xml:space="preserve">. and F. Larsen, 2008, </w:t>
      </w:r>
      <w:r w:rsidR="00826B69">
        <w:rPr>
          <w:rFonts w:cstheme="minorHAnsi"/>
        </w:rPr>
        <w:t>‘</w:t>
      </w:r>
      <w:hyperlink r:id="rId18" w:history="1">
        <w:r w:rsidR="00826B69" w:rsidRPr="00826B69">
          <w:rPr>
            <w:rFonts w:cstheme="minorHAnsi"/>
          </w:rPr>
          <w:t>Quasi-markets in employment policy: Do they deliver on promises?</w:t>
        </w:r>
      </w:hyperlink>
      <w:r w:rsidR="00826B69">
        <w:rPr>
          <w:rFonts w:cstheme="minorHAnsi"/>
        </w:rPr>
        <w:t>’</w:t>
      </w:r>
      <w:r w:rsidR="00826B69" w:rsidRPr="00826B69">
        <w:rPr>
          <w:rFonts w:cstheme="minorHAnsi"/>
        </w:rPr>
        <w:t xml:space="preserve"> </w:t>
      </w:r>
      <w:hyperlink r:id="rId19" w:history="1">
        <w:r w:rsidR="00826B69" w:rsidRPr="00826B69">
          <w:rPr>
            <w:rFonts w:cstheme="minorHAnsi"/>
          </w:rPr>
          <w:t>Social Policy and Society</w:t>
        </w:r>
      </w:hyperlink>
      <w:r w:rsidR="00826B69">
        <w:rPr>
          <w:rFonts w:cstheme="minorHAnsi"/>
        </w:rPr>
        <w:t>,</w:t>
      </w:r>
      <w:r w:rsidR="00826B69" w:rsidRPr="00826B69">
        <w:rPr>
          <w:rFonts w:cstheme="minorHAnsi"/>
        </w:rPr>
        <w:t xml:space="preserve"> </w:t>
      </w:r>
      <w:r w:rsidR="00826B69">
        <w:rPr>
          <w:rFonts w:cstheme="minorHAnsi"/>
        </w:rPr>
        <w:t xml:space="preserve">7, </w:t>
      </w:r>
      <w:r w:rsidR="00826B69" w:rsidRPr="00826B69">
        <w:rPr>
          <w:rFonts w:cstheme="minorHAnsi"/>
        </w:rPr>
        <w:t>341-352.</w:t>
      </w:r>
    </w:p>
    <w:p w14:paraId="54DE8C4F" w14:textId="77777777" w:rsidR="004C4D9A" w:rsidRPr="0083156E" w:rsidRDefault="00826B69" w:rsidP="00826B69">
      <w:pPr>
        <w:autoSpaceDE w:val="0"/>
        <w:autoSpaceDN w:val="0"/>
        <w:adjustRightInd w:val="0"/>
        <w:spacing w:after="0" w:line="240" w:lineRule="auto"/>
        <w:rPr>
          <w:rFonts w:cstheme="minorHAnsi"/>
        </w:rPr>
      </w:pPr>
      <w:r w:rsidRPr="0083156E">
        <w:rPr>
          <w:rFonts w:cstheme="minorHAnsi"/>
        </w:rPr>
        <w:t xml:space="preserve"> </w:t>
      </w:r>
      <w:r w:rsidR="004C4D9A" w:rsidRPr="0083156E">
        <w:rPr>
          <w:rFonts w:cstheme="minorHAnsi"/>
        </w:rPr>
        <w:t>B</w:t>
      </w:r>
      <w:r w:rsidR="00183554" w:rsidRPr="0083156E">
        <w:rPr>
          <w:rFonts w:cstheme="minorHAnsi"/>
        </w:rPr>
        <w:t>rinkley, J</w:t>
      </w:r>
      <w:r w:rsidR="00DA555D" w:rsidRPr="0083156E">
        <w:rPr>
          <w:rFonts w:cstheme="minorHAnsi"/>
        </w:rPr>
        <w:t>.</w:t>
      </w:r>
      <w:r w:rsidR="00183554" w:rsidRPr="0083156E">
        <w:rPr>
          <w:rFonts w:cstheme="minorHAnsi"/>
        </w:rPr>
        <w:t>, 1986,</w:t>
      </w:r>
      <w:r w:rsidR="004C4D9A" w:rsidRPr="0083156E">
        <w:rPr>
          <w:rFonts w:cstheme="minorHAnsi"/>
        </w:rPr>
        <w:t xml:space="preserve"> ‘US releasing lists of ho</w:t>
      </w:r>
      <w:r w:rsidR="00183554" w:rsidRPr="0083156E">
        <w:rPr>
          <w:rFonts w:cstheme="minorHAnsi"/>
        </w:rPr>
        <w:t>spitals with abnormal mortality,</w:t>
      </w:r>
      <w:r w:rsidR="004C4D9A" w:rsidRPr="0083156E">
        <w:rPr>
          <w:rFonts w:cstheme="minorHAnsi"/>
        </w:rPr>
        <w:t>’ New York Times, 12 March 1986, Sect. A.</w:t>
      </w:r>
    </w:p>
    <w:p w14:paraId="78B999CC" w14:textId="77777777" w:rsidR="004C4D9A" w:rsidRPr="0083156E" w:rsidRDefault="004C4D9A" w:rsidP="0083156E">
      <w:pPr>
        <w:autoSpaceDE w:val="0"/>
        <w:autoSpaceDN w:val="0"/>
        <w:adjustRightInd w:val="0"/>
        <w:spacing w:after="0" w:line="240" w:lineRule="auto"/>
        <w:rPr>
          <w:rFonts w:cstheme="minorHAnsi"/>
        </w:rPr>
      </w:pPr>
    </w:p>
    <w:p w14:paraId="034E24EB" w14:textId="77777777" w:rsidR="00F6353A" w:rsidRPr="0083156E" w:rsidRDefault="00183554" w:rsidP="0083156E">
      <w:pPr>
        <w:autoSpaceDE w:val="0"/>
        <w:autoSpaceDN w:val="0"/>
        <w:adjustRightInd w:val="0"/>
        <w:spacing w:after="0" w:line="240" w:lineRule="auto"/>
        <w:rPr>
          <w:rFonts w:cstheme="minorHAnsi"/>
        </w:rPr>
      </w:pPr>
      <w:r w:rsidRPr="0083156E">
        <w:rPr>
          <w:rFonts w:cstheme="minorHAnsi"/>
        </w:rPr>
        <w:t xml:space="preserve">Brooks, AC, 2000, </w:t>
      </w:r>
      <w:r w:rsidR="00DA555D" w:rsidRPr="0083156E">
        <w:rPr>
          <w:rFonts w:cstheme="minorHAnsi"/>
        </w:rPr>
        <w:t>‘</w:t>
      </w:r>
      <w:r w:rsidRPr="0083156E">
        <w:rPr>
          <w:rFonts w:cstheme="minorHAnsi"/>
        </w:rPr>
        <w:t>The use and misuse of adjusted performance measures,</w:t>
      </w:r>
      <w:r w:rsidR="00DA555D" w:rsidRPr="0083156E">
        <w:rPr>
          <w:rFonts w:cstheme="minorHAnsi"/>
        </w:rPr>
        <w:t>’</w:t>
      </w:r>
      <w:r w:rsidR="00F6353A" w:rsidRPr="0083156E">
        <w:rPr>
          <w:rFonts w:cstheme="minorHAnsi"/>
        </w:rPr>
        <w:t xml:space="preserve"> Journal of Policy Analysis and Management</w:t>
      </w:r>
      <w:r w:rsidRPr="0083156E">
        <w:rPr>
          <w:rFonts w:cstheme="minorHAnsi"/>
        </w:rPr>
        <w:t>, 19,</w:t>
      </w:r>
      <w:r w:rsidR="00F6353A" w:rsidRPr="0083156E">
        <w:rPr>
          <w:rFonts w:cstheme="minorHAnsi"/>
        </w:rPr>
        <w:t xml:space="preserve"> 323–29.</w:t>
      </w:r>
    </w:p>
    <w:p w14:paraId="67EAFDF2" w14:textId="77777777" w:rsidR="00F6353A" w:rsidRPr="0083156E" w:rsidRDefault="00F6353A" w:rsidP="0083156E">
      <w:pPr>
        <w:autoSpaceDE w:val="0"/>
        <w:autoSpaceDN w:val="0"/>
        <w:adjustRightInd w:val="0"/>
        <w:spacing w:after="0" w:line="240" w:lineRule="auto"/>
        <w:rPr>
          <w:rFonts w:cstheme="minorHAnsi"/>
        </w:rPr>
      </w:pPr>
    </w:p>
    <w:p w14:paraId="3D1D1E0F" w14:textId="77777777" w:rsidR="001D1C5D" w:rsidRPr="0083156E" w:rsidRDefault="00183554" w:rsidP="0083156E">
      <w:pPr>
        <w:autoSpaceDE w:val="0"/>
        <w:autoSpaceDN w:val="0"/>
        <w:adjustRightInd w:val="0"/>
        <w:spacing w:after="0" w:line="240" w:lineRule="auto"/>
        <w:rPr>
          <w:rFonts w:cstheme="minorHAnsi"/>
        </w:rPr>
      </w:pPr>
      <w:r w:rsidRPr="0083156E">
        <w:rPr>
          <w:rFonts w:cstheme="minorHAnsi"/>
        </w:rPr>
        <w:t>Burkhauser, R.</w:t>
      </w:r>
      <w:r w:rsidR="001D1C5D" w:rsidRPr="0083156E">
        <w:rPr>
          <w:rFonts w:cstheme="minorHAnsi"/>
        </w:rPr>
        <w:t>V.,</w:t>
      </w:r>
      <w:r w:rsidRPr="0083156E">
        <w:rPr>
          <w:rFonts w:cstheme="minorHAnsi"/>
        </w:rPr>
        <w:t xml:space="preserve"> M.C Daly and A.J. Houtenville, 2002, </w:t>
      </w:r>
      <w:r w:rsidR="00DA555D" w:rsidRPr="0083156E">
        <w:rPr>
          <w:rFonts w:cstheme="minorHAnsi"/>
        </w:rPr>
        <w:t>‘</w:t>
      </w:r>
      <w:r w:rsidRPr="0083156E">
        <w:rPr>
          <w:rFonts w:cstheme="minorHAnsi"/>
        </w:rPr>
        <w:t>How working age people with disabilities f</w:t>
      </w:r>
      <w:r w:rsidR="001D1C5D" w:rsidRPr="0083156E">
        <w:rPr>
          <w:rFonts w:cstheme="minorHAnsi"/>
        </w:rPr>
        <w:t xml:space="preserve">ared over the 1990s </w:t>
      </w:r>
      <w:r w:rsidRPr="0083156E">
        <w:rPr>
          <w:rFonts w:cstheme="minorHAnsi"/>
        </w:rPr>
        <w:t>Business Cycle,</w:t>
      </w:r>
      <w:r w:rsidR="00DA555D" w:rsidRPr="0083156E">
        <w:rPr>
          <w:rFonts w:cstheme="minorHAnsi"/>
        </w:rPr>
        <w:t>’</w:t>
      </w:r>
      <w:r w:rsidR="001D1C5D" w:rsidRPr="0083156E">
        <w:rPr>
          <w:rFonts w:cstheme="minorHAnsi"/>
        </w:rPr>
        <w:t xml:space="preserve"> In</w:t>
      </w:r>
      <w:r w:rsidR="00DA555D" w:rsidRPr="0083156E">
        <w:rPr>
          <w:rFonts w:cstheme="minorHAnsi"/>
        </w:rPr>
        <w:t xml:space="preserve"> Budetti, P., R. Burkhauser, J. Gregory and A. Hunt (eds),</w:t>
      </w:r>
      <w:r w:rsidR="001D1C5D" w:rsidRPr="0083156E">
        <w:rPr>
          <w:rFonts w:cstheme="minorHAnsi"/>
        </w:rPr>
        <w:t xml:space="preserve"> Ensuring health and income security for an aging workforce</w:t>
      </w:r>
      <w:r w:rsidRPr="0083156E">
        <w:rPr>
          <w:rFonts w:cstheme="minorHAnsi"/>
        </w:rPr>
        <w:t xml:space="preserve">, </w:t>
      </w:r>
      <w:r w:rsidR="001D1C5D" w:rsidRPr="0083156E">
        <w:rPr>
          <w:rFonts w:cstheme="minorHAnsi"/>
        </w:rPr>
        <w:t>Kalamazoo, MI: W. E. Upjohn Institute for Employment Research.</w:t>
      </w:r>
    </w:p>
    <w:p w14:paraId="2116FA92" w14:textId="77777777" w:rsidR="007C3F14" w:rsidRPr="0083156E" w:rsidRDefault="007C3F14" w:rsidP="0083156E">
      <w:pPr>
        <w:autoSpaceDE w:val="0"/>
        <w:autoSpaceDN w:val="0"/>
        <w:adjustRightInd w:val="0"/>
        <w:spacing w:after="0" w:line="240" w:lineRule="auto"/>
        <w:rPr>
          <w:rFonts w:cstheme="minorHAnsi"/>
        </w:rPr>
      </w:pPr>
    </w:p>
    <w:p w14:paraId="099773B5" w14:textId="77777777" w:rsidR="00074579" w:rsidRPr="0083156E" w:rsidRDefault="00074579" w:rsidP="0083156E">
      <w:pPr>
        <w:autoSpaceDE w:val="0"/>
        <w:autoSpaceDN w:val="0"/>
        <w:adjustRightInd w:val="0"/>
        <w:spacing w:after="0" w:line="240" w:lineRule="auto"/>
        <w:rPr>
          <w:rFonts w:cstheme="minorHAnsi"/>
        </w:rPr>
      </w:pPr>
      <w:r w:rsidRPr="0083156E">
        <w:rPr>
          <w:rFonts w:cstheme="minorHAnsi"/>
        </w:rPr>
        <w:t xml:space="preserve">Centre for Social and Economic Inclusion, 2012, </w:t>
      </w:r>
      <w:r w:rsidR="00183554" w:rsidRPr="0083156E">
        <w:rPr>
          <w:rFonts w:cstheme="minorHAnsi"/>
        </w:rPr>
        <w:t>‘</w:t>
      </w:r>
      <w:r w:rsidRPr="0083156E">
        <w:rPr>
          <w:rFonts w:cstheme="minorHAnsi"/>
        </w:rPr>
        <w:t>Long-term unemployment in 2012,</w:t>
      </w:r>
      <w:r w:rsidR="00183554" w:rsidRPr="0083156E">
        <w:rPr>
          <w:rFonts w:cstheme="minorHAnsi"/>
        </w:rPr>
        <w:t>’</w:t>
      </w:r>
      <w:r w:rsidRPr="0083156E">
        <w:rPr>
          <w:rFonts w:cstheme="minorHAnsi"/>
        </w:rPr>
        <w:t xml:space="preserve"> Inclusion. </w:t>
      </w:r>
    </w:p>
    <w:p w14:paraId="123E90DE" w14:textId="77777777" w:rsidR="00074579" w:rsidRPr="0083156E" w:rsidRDefault="00074579" w:rsidP="0083156E">
      <w:pPr>
        <w:autoSpaceDE w:val="0"/>
        <w:autoSpaceDN w:val="0"/>
        <w:adjustRightInd w:val="0"/>
        <w:spacing w:after="0" w:line="240" w:lineRule="auto"/>
        <w:rPr>
          <w:rFonts w:cstheme="minorHAnsi"/>
        </w:rPr>
      </w:pPr>
    </w:p>
    <w:p w14:paraId="05484B46" w14:textId="77777777" w:rsidR="00A610B3" w:rsidRPr="0083156E" w:rsidRDefault="00183554" w:rsidP="0083156E">
      <w:pPr>
        <w:autoSpaceDE w:val="0"/>
        <w:autoSpaceDN w:val="0"/>
        <w:adjustRightInd w:val="0"/>
        <w:spacing w:after="0" w:line="240" w:lineRule="auto"/>
        <w:rPr>
          <w:rFonts w:cstheme="minorHAnsi"/>
        </w:rPr>
      </w:pPr>
      <w:r w:rsidRPr="0083156E">
        <w:rPr>
          <w:rFonts w:cstheme="minorHAnsi"/>
        </w:rPr>
        <w:t>Cockburn, I. and R, Henderson, 1995. ‘Racing to invest? The dynamics of competition in ethical drug discovery,’</w:t>
      </w:r>
      <w:r w:rsidR="00A610B3" w:rsidRPr="0083156E">
        <w:rPr>
          <w:rFonts w:cstheme="minorHAnsi"/>
        </w:rPr>
        <w:t xml:space="preserve"> Journal of Economi</w:t>
      </w:r>
      <w:r w:rsidRPr="0083156E">
        <w:rPr>
          <w:rFonts w:cstheme="minorHAnsi"/>
        </w:rPr>
        <w:t>cs and Management Strategy, 3,</w:t>
      </w:r>
      <w:r w:rsidR="00A610B3" w:rsidRPr="0083156E">
        <w:rPr>
          <w:rFonts w:cstheme="minorHAnsi"/>
        </w:rPr>
        <w:t xml:space="preserve"> 481-519.</w:t>
      </w:r>
    </w:p>
    <w:p w14:paraId="417C7FDE" w14:textId="77777777" w:rsidR="00DF2BD9" w:rsidRPr="0083156E" w:rsidRDefault="00DF2BD9" w:rsidP="0083156E">
      <w:pPr>
        <w:autoSpaceDE w:val="0"/>
        <w:autoSpaceDN w:val="0"/>
        <w:adjustRightInd w:val="0"/>
        <w:spacing w:after="0" w:line="240" w:lineRule="auto"/>
        <w:rPr>
          <w:rFonts w:cstheme="minorHAnsi"/>
        </w:rPr>
      </w:pPr>
    </w:p>
    <w:p w14:paraId="60422D68" w14:textId="77777777" w:rsidR="00CE62E1" w:rsidRPr="0083156E" w:rsidRDefault="00CE62E1" w:rsidP="0083156E">
      <w:pPr>
        <w:autoSpaceDE w:val="0"/>
        <w:autoSpaceDN w:val="0"/>
        <w:adjustRightInd w:val="0"/>
        <w:spacing w:after="0" w:line="240" w:lineRule="auto"/>
        <w:rPr>
          <w:rFonts w:cstheme="minorHAnsi"/>
        </w:rPr>
      </w:pPr>
      <w:r w:rsidRPr="0083156E">
        <w:rPr>
          <w:rFonts w:cstheme="minorHAnsi"/>
        </w:rPr>
        <w:t xml:space="preserve">Committee of Public Accounts, 2012, </w:t>
      </w:r>
      <w:r w:rsidR="00183554" w:rsidRPr="0083156E">
        <w:rPr>
          <w:rFonts w:cstheme="minorHAnsi"/>
        </w:rPr>
        <w:t>‘</w:t>
      </w:r>
      <w:r w:rsidRPr="0083156E">
        <w:rPr>
          <w:rFonts w:cstheme="minorHAnsi"/>
        </w:rPr>
        <w:t>Dep</w:t>
      </w:r>
      <w:r w:rsidR="00183554" w:rsidRPr="0083156E">
        <w:rPr>
          <w:rFonts w:cstheme="minorHAnsi"/>
        </w:rPr>
        <w:t>artment for Work and Pensions: T</w:t>
      </w:r>
      <w:r w:rsidRPr="0083156E">
        <w:rPr>
          <w:rFonts w:cstheme="minorHAnsi"/>
        </w:rPr>
        <w:t>he introduction of the Work Programme,</w:t>
      </w:r>
      <w:r w:rsidR="00183554" w:rsidRPr="0083156E">
        <w:rPr>
          <w:rFonts w:cstheme="minorHAnsi"/>
        </w:rPr>
        <w:t>’</w:t>
      </w:r>
      <w:r w:rsidRPr="0083156E">
        <w:rPr>
          <w:rFonts w:cstheme="minorHAnsi"/>
        </w:rPr>
        <w:t xml:space="preserve"> Eighty–fifth Report of Session 2010–12, House of Commons. </w:t>
      </w:r>
    </w:p>
    <w:p w14:paraId="65D4CCBD" w14:textId="77777777" w:rsidR="00015F87" w:rsidRPr="0083156E" w:rsidRDefault="00015F87" w:rsidP="0083156E">
      <w:pPr>
        <w:autoSpaceDE w:val="0"/>
        <w:autoSpaceDN w:val="0"/>
        <w:adjustRightInd w:val="0"/>
        <w:spacing w:after="0" w:line="240" w:lineRule="auto"/>
        <w:rPr>
          <w:rFonts w:cstheme="minorHAnsi"/>
        </w:rPr>
      </w:pPr>
    </w:p>
    <w:p w14:paraId="2FBF6652" w14:textId="77777777" w:rsidR="00015F87" w:rsidRPr="0083156E" w:rsidRDefault="00015F87" w:rsidP="0083156E">
      <w:pPr>
        <w:autoSpaceDE w:val="0"/>
        <w:autoSpaceDN w:val="0"/>
        <w:adjustRightInd w:val="0"/>
        <w:spacing w:after="0" w:line="240" w:lineRule="auto"/>
        <w:rPr>
          <w:rFonts w:cstheme="minorHAnsi"/>
        </w:rPr>
      </w:pPr>
      <w:r w:rsidRPr="0083156E">
        <w:rPr>
          <w:rFonts w:cstheme="minorHAnsi"/>
        </w:rPr>
        <w:lastRenderedPageBreak/>
        <w:t>C</w:t>
      </w:r>
      <w:r w:rsidR="00183554" w:rsidRPr="0083156E">
        <w:rPr>
          <w:rFonts w:cstheme="minorHAnsi"/>
        </w:rPr>
        <w:t>omptroller and Auditor General, 2012</w:t>
      </w:r>
      <w:r w:rsidRPr="0083156E">
        <w:rPr>
          <w:rFonts w:cstheme="minorHAnsi"/>
        </w:rPr>
        <w:t xml:space="preserve">, Department for Work and Pensions: Introduction of the Work Programme, National Audit Office, HC 1701, Session 2010-2012. </w:t>
      </w:r>
    </w:p>
    <w:p w14:paraId="5CC534B3" w14:textId="77777777" w:rsidR="00DF2BD9" w:rsidRPr="0083156E" w:rsidRDefault="00DF2BD9" w:rsidP="0083156E">
      <w:pPr>
        <w:autoSpaceDE w:val="0"/>
        <w:autoSpaceDN w:val="0"/>
        <w:adjustRightInd w:val="0"/>
        <w:spacing w:after="0" w:line="240" w:lineRule="auto"/>
        <w:rPr>
          <w:rFonts w:cstheme="minorHAnsi"/>
        </w:rPr>
      </w:pPr>
    </w:p>
    <w:p w14:paraId="148399DC" w14:textId="77777777" w:rsidR="005729EB" w:rsidRPr="0083156E" w:rsidRDefault="005729EB" w:rsidP="0083156E">
      <w:pPr>
        <w:autoSpaceDE w:val="0"/>
        <w:autoSpaceDN w:val="0"/>
        <w:adjustRightInd w:val="0"/>
        <w:spacing w:after="0" w:line="240" w:lineRule="auto"/>
        <w:rPr>
          <w:rFonts w:cstheme="minorHAnsi"/>
        </w:rPr>
      </w:pPr>
      <w:r w:rsidRPr="0083156E">
        <w:rPr>
          <w:rFonts w:cstheme="minorHAnsi"/>
        </w:rPr>
        <w:t>Commissi</w:t>
      </w:r>
      <w:r w:rsidR="009F5C8D" w:rsidRPr="0083156E">
        <w:rPr>
          <w:rFonts w:cstheme="minorHAnsi"/>
        </w:rPr>
        <w:t>on for Health Improvement</w:t>
      </w:r>
      <w:r w:rsidR="00651869" w:rsidRPr="0083156E">
        <w:rPr>
          <w:rFonts w:cstheme="minorHAnsi"/>
        </w:rPr>
        <w:t xml:space="preserve">, </w:t>
      </w:r>
      <w:r w:rsidR="009F5C8D" w:rsidRPr="0083156E">
        <w:rPr>
          <w:rFonts w:cstheme="minorHAnsi"/>
        </w:rPr>
        <w:t>2004</w:t>
      </w:r>
      <w:r w:rsidRPr="0083156E">
        <w:rPr>
          <w:rFonts w:cstheme="minorHAnsi"/>
        </w:rPr>
        <w:t xml:space="preserve">, </w:t>
      </w:r>
      <w:r w:rsidR="00651869" w:rsidRPr="0083156E">
        <w:rPr>
          <w:rFonts w:cstheme="minorHAnsi"/>
        </w:rPr>
        <w:t>‘</w:t>
      </w:r>
      <w:r w:rsidRPr="0083156E">
        <w:rPr>
          <w:rFonts w:cstheme="minorHAnsi"/>
        </w:rPr>
        <w:t xml:space="preserve">A commentary on </w:t>
      </w:r>
      <w:r w:rsidR="007957F5" w:rsidRPr="0083156E">
        <w:rPr>
          <w:rFonts w:cstheme="minorHAnsi"/>
        </w:rPr>
        <w:t>Star Rating</w:t>
      </w:r>
      <w:r w:rsidRPr="0083156E">
        <w:rPr>
          <w:rFonts w:cstheme="minorHAnsi"/>
        </w:rPr>
        <w:t>s 2002/2003,</w:t>
      </w:r>
      <w:r w:rsidR="00651869" w:rsidRPr="0083156E">
        <w:rPr>
          <w:rFonts w:cstheme="minorHAnsi"/>
        </w:rPr>
        <w:t>’</w:t>
      </w:r>
      <w:r w:rsidR="009F5C8D" w:rsidRPr="0083156E">
        <w:rPr>
          <w:rFonts w:cstheme="minorHAnsi"/>
        </w:rPr>
        <w:t xml:space="preserve"> London: Commission for Health Improvement. </w:t>
      </w:r>
    </w:p>
    <w:p w14:paraId="17B256CE" w14:textId="77777777" w:rsidR="005729EB" w:rsidRPr="0083156E" w:rsidRDefault="005729EB" w:rsidP="0083156E">
      <w:pPr>
        <w:autoSpaceDE w:val="0"/>
        <w:autoSpaceDN w:val="0"/>
        <w:adjustRightInd w:val="0"/>
        <w:spacing w:after="0" w:line="240" w:lineRule="auto"/>
        <w:rPr>
          <w:rFonts w:cstheme="minorHAnsi"/>
        </w:rPr>
      </w:pPr>
    </w:p>
    <w:p w14:paraId="2FB8D40F" w14:textId="77777777" w:rsidR="00651869" w:rsidRPr="0083156E" w:rsidRDefault="00651869" w:rsidP="0083156E">
      <w:pPr>
        <w:spacing w:after="0" w:line="240" w:lineRule="auto"/>
        <w:rPr>
          <w:rFonts w:cstheme="minorHAnsi"/>
        </w:rPr>
      </w:pPr>
      <w:r w:rsidRPr="0083156E">
        <w:rPr>
          <w:rFonts w:cstheme="minorHAnsi"/>
        </w:rPr>
        <w:t>Considine, M., 2001, Enterprising states: The public management of Welfare-to-Work, Cambridge University Press.</w:t>
      </w:r>
    </w:p>
    <w:p w14:paraId="60AC1844" w14:textId="77777777" w:rsidR="00651869" w:rsidRPr="0083156E" w:rsidRDefault="00651869" w:rsidP="0083156E">
      <w:pPr>
        <w:autoSpaceDE w:val="0"/>
        <w:autoSpaceDN w:val="0"/>
        <w:adjustRightInd w:val="0"/>
        <w:spacing w:after="0" w:line="240" w:lineRule="auto"/>
        <w:rPr>
          <w:rFonts w:cstheme="minorHAnsi"/>
        </w:rPr>
      </w:pPr>
    </w:p>
    <w:p w14:paraId="452BDA38" w14:textId="77777777" w:rsidR="00153C3E" w:rsidRPr="0083156E" w:rsidRDefault="00651869" w:rsidP="0083156E">
      <w:pPr>
        <w:pStyle w:val="Bibliography"/>
        <w:spacing w:line="240" w:lineRule="auto"/>
        <w:rPr>
          <w:rFonts w:cstheme="minorHAnsi"/>
        </w:rPr>
      </w:pPr>
      <w:r w:rsidRPr="0083156E">
        <w:rPr>
          <w:rFonts w:cstheme="minorHAnsi"/>
        </w:rPr>
        <w:t xml:space="preserve">Considine, M., </w:t>
      </w:r>
      <w:r w:rsidR="008D690E" w:rsidRPr="0083156E">
        <w:rPr>
          <w:rFonts w:cstheme="minorHAnsi"/>
        </w:rPr>
        <w:t>2003</w:t>
      </w:r>
      <w:r w:rsidRPr="0083156E">
        <w:rPr>
          <w:rFonts w:cstheme="minorHAnsi"/>
        </w:rPr>
        <w:t>, Governance and competition: The r</w:t>
      </w:r>
      <w:r w:rsidR="00153C3E" w:rsidRPr="0083156E">
        <w:rPr>
          <w:rFonts w:cstheme="minorHAnsi"/>
        </w:rPr>
        <w:t xml:space="preserve">ole of </w:t>
      </w:r>
      <w:r w:rsidRPr="0083156E">
        <w:rPr>
          <w:rFonts w:cstheme="minorHAnsi"/>
        </w:rPr>
        <w:t>non-profit organisations in the delivery of public services,</w:t>
      </w:r>
      <w:r w:rsidR="00153C3E" w:rsidRPr="0083156E">
        <w:rPr>
          <w:rFonts w:cstheme="minorHAnsi"/>
        </w:rPr>
        <w:t xml:space="preserve"> Australian Journal of Political Science, 63-78.</w:t>
      </w:r>
    </w:p>
    <w:p w14:paraId="3E5F774D" w14:textId="77777777" w:rsidR="00980C46" w:rsidRPr="0083156E" w:rsidRDefault="00980C46" w:rsidP="0083156E">
      <w:pPr>
        <w:autoSpaceDE w:val="0"/>
        <w:autoSpaceDN w:val="0"/>
        <w:adjustRightInd w:val="0"/>
        <w:spacing w:after="0" w:line="240" w:lineRule="auto"/>
        <w:rPr>
          <w:rFonts w:cstheme="minorHAnsi"/>
        </w:rPr>
      </w:pPr>
      <w:r w:rsidRPr="0083156E">
        <w:rPr>
          <w:rFonts w:cstheme="minorHAnsi"/>
        </w:rPr>
        <w:t xml:space="preserve">Cooper, Z., </w:t>
      </w:r>
      <w:r w:rsidR="00651869" w:rsidRPr="0083156E">
        <w:rPr>
          <w:rFonts w:cstheme="minorHAnsi"/>
        </w:rPr>
        <w:t xml:space="preserve">S. Gibbons, S. Jones </w:t>
      </w:r>
      <w:r w:rsidRPr="0083156E">
        <w:rPr>
          <w:rFonts w:cstheme="minorHAnsi"/>
        </w:rPr>
        <w:t xml:space="preserve">and </w:t>
      </w:r>
      <w:r w:rsidR="00651869" w:rsidRPr="0083156E">
        <w:rPr>
          <w:rFonts w:cstheme="minorHAnsi"/>
        </w:rPr>
        <w:t xml:space="preserve">A. McGuire, </w:t>
      </w:r>
      <w:r w:rsidRPr="0083156E">
        <w:rPr>
          <w:rFonts w:cstheme="minorHAnsi"/>
        </w:rPr>
        <w:t>2011, Does hospital competition</w:t>
      </w:r>
      <w:r w:rsidR="00651869" w:rsidRPr="0083156E">
        <w:rPr>
          <w:rFonts w:cstheme="minorHAnsi"/>
        </w:rPr>
        <w:t xml:space="preserve"> save lives? Evidence from the E</w:t>
      </w:r>
      <w:r w:rsidRPr="0083156E">
        <w:rPr>
          <w:rFonts w:cstheme="minorHAnsi"/>
        </w:rPr>
        <w:t>nglish NHS patient choice reforms</w:t>
      </w:r>
      <w:r w:rsidR="00651869" w:rsidRPr="0083156E">
        <w:rPr>
          <w:rFonts w:cstheme="minorHAnsi"/>
        </w:rPr>
        <w:t>, The Economic J</w:t>
      </w:r>
      <w:r w:rsidRPr="0083156E">
        <w:rPr>
          <w:rFonts w:cstheme="minorHAnsi"/>
        </w:rPr>
        <w:t>ournal, 121, 228-260.</w:t>
      </w:r>
    </w:p>
    <w:p w14:paraId="6F70A075" w14:textId="77777777" w:rsidR="00980C46" w:rsidRPr="0083156E" w:rsidRDefault="00980C46" w:rsidP="0083156E">
      <w:pPr>
        <w:autoSpaceDE w:val="0"/>
        <w:autoSpaceDN w:val="0"/>
        <w:adjustRightInd w:val="0"/>
        <w:spacing w:after="0" w:line="240" w:lineRule="auto"/>
        <w:rPr>
          <w:rFonts w:cstheme="minorHAnsi"/>
        </w:rPr>
      </w:pPr>
    </w:p>
    <w:p w14:paraId="4EC8A063" w14:textId="77777777" w:rsidR="00A610B3" w:rsidRPr="0083156E" w:rsidRDefault="00651869" w:rsidP="0083156E">
      <w:pPr>
        <w:autoSpaceDE w:val="0"/>
        <w:autoSpaceDN w:val="0"/>
        <w:adjustRightInd w:val="0"/>
        <w:spacing w:after="0" w:line="240" w:lineRule="auto"/>
        <w:rPr>
          <w:rFonts w:cstheme="minorHAnsi"/>
        </w:rPr>
      </w:pPr>
      <w:r w:rsidRPr="0083156E">
        <w:rPr>
          <w:rFonts w:cstheme="minorHAnsi"/>
        </w:rPr>
        <w:t xml:space="preserve">Cooper, Z., S. Gibbons, S. Jones and A. McGuire, </w:t>
      </w:r>
      <w:r w:rsidR="00980C46" w:rsidRPr="0083156E">
        <w:rPr>
          <w:rFonts w:cstheme="minorHAnsi"/>
        </w:rPr>
        <w:t>2010</w:t>
      </w:r>
      <w:r w:rsidRPr="0083156E">
        <w:rPr>
          <w:rFonts w:cstheme="minorHAnsi"/>
        </w:rPr>
        <w:t>, ‘Does hospital competition improve efficiency? An analysis of the recent market-based r</w:t>
      </w:r>
      <w:r w:rsidR="00A610B3" w:rsidRPr="0083156E">
        <w:rPr>
          <w:rFonts w:cstheme="minorHAnsi"/>
        </w:rPr>
        <w:t>eforms to the English NHS’, CEP Discussion Paper No. 0988</w:t>
      </w:r>
      <w:r w:rsidRPr="0083156E">
        <w:rPr>
          <w:rFonts w:cstheme="minorHAnsi"/>
        </w:rPr>
        <w:t>.</w:t>
      </w:r>
    </w:p>
    <w:p w14:paraId="01BDE7C9" w14:textId="77777777" w:rsidR="00F6353A" w:rsidRPr="0083156E" w:rsidRDefault="00F6353A" w:rsidP="0083156E">
      <w:pPr>
        <w:autoSpaceDE w:val="0"/>
        <w:autoSpaceDN w:val="0"/>
        <w:adjustRightInd w:val="0"/>
        <w:spacing w:after="0" w:line="240" w:lineRule="auto"/>
        <w:rPr>
          <w:rFonts w:cstheme="minorHAnsi"/>
        </w:rPr>
      </w:pPr>
    </w:p>
    <w:p w14:paraId="6D71BA1F" w14:textId="77777777" w:rsidR="005729EB" w:rsidRPr="0083156E" w:rsidRDefault="00651869" w:rsidP="0083156E">
      <w:pPr>
        <w:autoSpaceDE w:val="0"/>
        <w:autoSpaceDN w:val="0"/>
        <w:adjustRightInd w:val="0"/>
        <w:spacing w:after="0" w:line="240" w:lineRule="auto"/>
        <w:rPr>
          <w:rFonts w:cstheme="minorHAnsi"/>
        </w:rPr>
      </w:pPr>
      <w:r w:rsidRPr="0083156E">
        <w:rPr>
          <w:rFonts w:cstheme="minorHAnsi"/>
        </w:rPr>
        <w:t>Courty, P. and G. Marschke, 2004,</w:t>
      </w:r>
      <w:r w:rsidR="005729EB" w:rsidRPr="0083156E">
        <w:rPr>
          <w:rFonts w:cstheme="minorHAnsi"/>
        </w:rPr>
        <w:t xml:space="preserve"> </w:t>
      </w:r>
      <w:r w:rsidRPr="0083156E">
        <w:rPr>
          <w:rFonts w:cstheme="minorHAnsi"/>
        </w:rPr>
        <w:t>‘Benchmarking performance,’</w:t>
      </w:r>
      <w:r w:rsidR="005729EB" w:rsidRPr="0083156E">
        <w:rPr>
          <w:rFonts w:cstheme="minorHAnsi"/>
        </w:rPr>
        <w:t xml:space="preserve"> Publ</w:t>
      </w:r>
      <w:r w:rsidRPr="0083156E">
        <w:rPr>
          <w:rFonts w:cstheme="minorHAnsi"/>
        </w:rPr>
        <w:t>ic Finance and Management, 4,</w:t>
      </w:r>
      <w:r w:rsidR="005729EB" w:rsidRPr="0083156E">
        <w:rPr>
          <w:rFonts w:cstheme="minorHAnsi"/>
        </w:rPr>
        <w:t xml:space="preserve"> 288-316.</w:t>
      </w:r>
    </w:p>
    <w:p w14:paraId="3EFE28A2" w14:textId="77777777" w:rsidR="00DF2BD9" w:rsidRPr="0083156E" w:rsidRDefault="00DF2BD9" w:rsidP="0083156E">
      <w:pPr>
        <w:shd w:val="clear" w:color="auto" w:fill="FFFFFF"/>
        <w:spacing w:after="0" w:line="240" w:lineRule="auto"/>
        <w:rPr>
          <w:rFonts w:cstheme="minorHAnsi"/>
        </w:rPr>
      </w:pPr>
    </w:p>
    <w:p w14:paraId="37699283" w14:textId="77777777" w:rsidR="00A610B3" w:rsidRPr="0083156E" w:rsidRDefault="00651869" w:rsidP="0083156E">
      <w:pPr>
        <w:shd w:val="clear" w:color="auto" w:fill="FFFFFF"/>
        <w:spacing w:after="0" w:line="240" w:lineRule="auto"/>
        <w:rPr>
          <w:rFonts w:cstheme="minorHAnsi"/>
        </w:rPr>
      </w:pPr>
      <w:r w:rsidRPr="0083156E">
        <w:rPr>
          <w:rFonts w:cstheme="minorHAnsi"/>
        </w:rPr>
        <w:t>Courty, P., K. Do Han and G. Marschke, 2011, ‘</w:t>
      </w:r>
      <w:hyperlink r:id="rId20" w:history="1">
        <w:r w:rsidR="00A610B3" w:rsidRPr="0083156E">
          <w:rPr>
            <w:rFonts w:cstheme="minorHAnsi"/>
          </w:rPr>
          <w:t>Curbing cream-skimming: Evidence on enrolment incentives</w:t>
        </w:r>
      </w:hyperlink>
      <w:r w:rsidRPr="0083156E">
        <w:rPr>
          <w:rFonts w:cstheme="minorHAnsi"/>
        </w:rPr>
        <w:t>,’</w:t>
      </w:r>
      <w:r w:rsidR="00A610B3" w:rsidRPr="0083156E">
        <w:rPr>
          <w:rFonts w:cstheme="minorHAnsi"/>
        </w:rPr>
        <w:t xml:space="preserve"> </w:t>
      </w:r>
      <w:hyperlink r:id="rId21" w:history="1">
        <w:r w:rsidR="00A610B3" w:rsidRPr="0083156E">
          <w:rPr>
            <w:rFonts w:cstheme="minorHAnsi"/>
          </w:rPr>
          <w:t>Labour Economics</w:t>
        </w:r>
      </w:hyperlink>
      <w:r w:rsidRPr="0083156E">
        <w:rPr>
          <w:rFonts w:cstheme="minorHAnsi"/>
        </w:rPr>
        <w:t>, 18,</w:t>
      </w:r>
      <w:r w:rsidR="00A610B3" w:rsidRPr="0083156E">
        <w:rPr>
          <w:rFonts w:cstheme="minorHAnsi"/>
        </w:rPr>
        <w:t xml:space="preserve"> 643-655</w:t>
      </w:r>
      <w:r w:rsidRPr="0083156E">
        <w:rPr>
          <w:rFonts w:cstheme="minorHAnsi"/>
        </w:rPr>
        <w:t>.</w:t>
      </w:r>
      <w:r w:rsidR="00A610B3" w:rsidRPr="0083156E">
        <w:rPr>
          <w:rFonts w:cstheme="minorHAnsi"/>
        </w:rPr>
        <w:t xml:space="preserve"> </w:t>
      </w:r>
    </w:p>
    <w:p w14:paraId="68268640" w14:textId="77777777" w:rsidR="00DF2BD9" w:rsidRPr="0083156E" w:rsidRDefault="00DF2BD9" w:rsidP="0083156E">
      <w:pPr>
        <w:pStyle w:val="citation"/>
        <w:spacing w:before="0" w:beforeAutospacing="0" w:after="0" w:afterAutospacing="0"/>
        <w:rPr>
          <w:rFonts w:asciiTheme="minorHAnsi" w:eastAsiaTheme="minorHAnsi" w:hAnsiTheme="minorHAnsi" w:cstheme="minorHAnsi"/>
          <w:sz w:val="22"/>
          <w:szCs w:val="22"/>
          <w:lang w:eastAsia="en-US"/>
        </w:rPr>
      </w:pPr>
    </w:p>
    <w:p w14:paraId="28F93D36" w14:textId="77777777" w:rsidR="00A610B3" w:rsidRPr="0083156E" w:rsidRDefault="00651869" w:rsidP="0083156E">
      <w:pPr>
        <w:pStyle w:val="citation"/>
        <w:spacing w:before="0" w:beforeAutospacing="0" w:after="0" w:afterAutospacing="0"/>
        <w:rPr>
          <w:rFonts w:asciiTheme="minorHAnsi" w:eastAsiaTheme="minorHAnsi" w:hAnsiTheme="minorHAnsi" w:cstheme="minorHAnsi"/>
          <w:sz w:val="22"/>
          <w:szCs w:val="22"/>
          <w:lang w:eastAsia="en-US"/>
        </w:rPr>
      </w:pPr>
      <w:r w:rsidRPr="0083156E">
        <w:rPr>
          <w:rFonts w:asciiTheme="minorHAnsi" w:eastAsiaTheme="minorHAnsi" w:hAnsiTheme="minorHAnsi" w:cstheme="minorHAnsi"/>
          <w:sz w:val="22"/>
          <w:szCs w:val="22"/>
          <w:lang w:eastAsia="en-US"/>
        </w:rPr>
        <w:t>Courty, P., C.J. Heinrich and G. Marschke, 2011, ‘Setting the standards: Performance targets and benchmarks,’</w:t>
      </w:r>
      <w:r w:rsidR="00A610B3" w:rsidRPr="0083156E">
        <w:rPr>
          <w:rFonts w:asciiTheme="minorHAnsi" w:eastAsiaTheme="minorHAnsi" w:hAnsiTheme="minorHAnsi" w:cstheme="minorHAnsi"/>
          <w:sz w:val="22"/>
          <w:szCs w:val="22"/>
          <w:lang w:eastAsia="en-US"/>
        </w:rPr>
        <w:t xml:space="preserve"> In </w:t>
      </w:r>
      <w:r w:rsidR="00DA555D" w:rsidRPr="0083156E">
        <w:rPr>
          <w:rFonts w:asciiTheme="minorHAnsi" w:eastAsiaTheme="minorHAnsi" w:hAnsiTheme="minorHAnsi" w:cstheme="minorHAnsi"/>
          <w:sz w:val="22"/>
          <w:szCs w:val="22"/>
          <w:lang w:eastAsia="en-US"/>
        </w:rPr>
        <w:t>Heckman, J.J., C.J. Heinrich, P. Courty, G. Marschke and J. Smith (eds.), The performance of performance s</w:t>
      </w:r>
      <w:r w:rsidR="00A610B3" w:rsidRPr="0083156E">
        <w:rPr>
          <w:rFonts w:asciiTheme="minorHAnsi" w:eastAsiaTheme="minorHAnsi" w:hAnsiTheme="minorHAnsi" w:cstheme="minorHAnsi"/>
          <w:sz w:val="22"/>
          <w:szCs w:val="22"/>
          <w:lang w:eastAsia="en-US"/>
        </w:rPr>
        <w:t>tandards, Kalamazoo, MI: W.E. Upjohn Institu</w:t>
      </w:r>
      <w:r w:rsidR="00DA555D" w:rsidRPr="0083156E">
        <w:rPr>
          <w:rFonts w:asciiTheme="minorHAnsi" w:eastAsiaTheme="minorHAnsi" w:hAnsiTheme="minorHAnsi" w:cstheme="minorHAnsi"/>
          <w:sz w:val="22"/>
          <w:szCs w:val="22"/>
          <w:lang w:eastAsia="en-US"/>
        </w:rPr>
        <w:t xml:space="preserve">te for Employment Research, </w:t>
      </w:r>
      <w:r w:rsidR="00A610B3" w:rsidRPr="0083156E">
        <w:rPr>
          <w:rFonts w:asciiTheme="minorHAnsi" w:eastAsiaTheme="minorHAnsi" w:hAnsiTheme="minorHAnsi" w:cstheme="minorHAnsi"/>
          <w:sz w:val="22"/>
          <w:szCs w:val="22"/>
          <w:lang w:eastAsia="en-US"/>
        </w:rPr>
        <w:t>95-124.</w:t>
      </w:r>
    </w:p>
    <w:p w14:paraId="7CAE1309" w14:textId="77777777" w:rsidR="00A610B3" w:rsidRPr="0083156E" w:rsidRDefault="00A610B3" w:rsidP="0083156E">
      <w:pPr>
        <w:autoSpaceDE w:val="0"/>
        <w:autoSpaceDN w:val="0"/>
        <w:adjustRightInd w:val="0"/>
        <w:spacing w:after="0" w:line="240" w:lineRule="auto"/>
        <w:rPr>
          <w:rFonts w:cstheme="minorHAnsi"/>
        </w:rPr>
      </w:pPr>
    </w:p>
    <w:p w14:paraId="3D1D38FB" w14:textId="77777777" w:rsidR="009B4D8F" w:rsidRPr="0083156E" w:rsidRDefault="009B4D8F" w:rsidP="0083156E">
      <w:pPr>
        <w:autoSpaceDE w:val="0"/>
        <w:autoSpaceDN w:val="0"/>
        <w:adjustRightInd w:val="0"/>
        <w:spacing w:after="0" w:line="240" w:lineRule="auto"/>
        <w:rPr>
          <w:rFonts w:cstheme="minorHAnsi"/>
        </w:rPr>
      </w:pPr>
      <w:r w:rsidRPr="0083156E">
        <w:rPr>
          <w:rFonts w:cstheme="minorHAnsi"/>
        </w:rPr>
        <w:t>Cowper, J. and M. Samuels</w:t>
      </w:r>
      <w:r w:rsidR="00651869" w:rsidRPr="0083156E">
        <w:rPr>
          <w:rFonts w:cstheme="minorHAnsi"/>
        </w:rPr>
        <w:t>, 1997, ‘Performance benchmarking in the public sector: The UK experience,’ In</w:t>
      </w:r>
      <w:r w:rsidRPr="0083156E">
        <w:rPr>
          <w:rFonts w:cstheme="minorHAnsi"/>
        </w:rPr>
        <w:t xml:space="preserve"> </w:t>
      </w:r>
      <w:r w:rsidR="006527EF" w:rsidRPr="0083156E">
        <w:rPr>
          <w:rFonts w:cstheme="minorHAnsi"/>
        </w:rPr>
        <w:t xml:space="preserve">OECD (ed.), </w:t>
      </w:r>
      <w:r w:rsidRPr="0083156E">
        <w:rPr>
          <w:rFonts w:cstheme="minorHAnsi"/>
        </w:rPr>
        <w:t xml:space="preserve">Benchmarking, </w:t>
      </w:r>
      <w:r w:rsidR="00651869" w:rsidRPr="0083156E">
        <w:rPr>
          <w:rFonts w:cstheme="minorHAnsi"/>
        </w:rPr>
        <w:t>evaluation and s</w:t>
      </w:r>
      <w:r w:rsidRPr="0083156E">
        <w:rPr>
          <w:rFonts w:cstheme="minorHAnsi"/>
        </w:rPr>
        <w:t xml:space="preserve">trategic </w:t>
      </w:r>
      <w:r w:rsidR="00651869" w:rsidRPr="0083156E">
        <w:rPr>
          <w:rFonts w:cstheme="minorHAnsi"/>
        </w:rPr>
        <w:t xml:space="preserve">management in the public sector, </w:t>
      </w:r>
      <w:r w:rsidRPr="0083156E">
        <w:rPr>
          <w:rFonts w:cstheme="minorHAnsi"/>
        </w:rPr>
        <w:t>Papers presented at the 1996 Meeting of the Performance Management Network of the OECD’s Public Mana</w:t>
      </w:r>
      <w:r w:rsidR="006527EF" w:rsidRPr="0083156E">
        <w:rPr>
          <w:rFonts w:cstheme="minorHAnsi"/>
        </w:rPr>
        <w:t>gement Service, Paris: OECD,</w:t>
      </w:r>
      <w:r w:rsidRPr="0083156E">
        <w:rPr>
          <w:rFonts w:cstheme="minorHAnsi"/>
        </w:rPr>
        <w:t xml:space="preserve"> 11-31.</w:t>
      </w:r>
    </w:p>
    <w:p w14:paraId="251FC0A3" w14:textId="77777777" w:rsidR="009B4D8F" w:rsidRPr="0083156E" w:rsidRDefault="009B4D8F" w:rsidP="0083156E">
      <w:pPr>
        <w:autoSpaceDE w:val="0"/>
        <w:autoSpaceDN w:val="0"/>
        <w:adjustRightInd w:val="0"/>
        <w:spacing w:after="0" w:line="240" w:lineRule="auto"/>
        <w:rPr>
          <w:rFonts w:cstheme="minorHAnsi"/>
        </w:rPr>
      </w:pPr>
    </w:p>
    <w:p w14:paraId="4E2E03AE" w14:textId="77777777" w:rsidR="005729EB" w:rsidRPr="0083156E" w:rsidRDefault="005729EB" w:rsidP="0083156E">
      <w:pPr>
        <w:autoSpaceDE w:val="0"/>
        <w:autoSpaceDN w:val="0"/>
        <w:adjustRightInd w:val="0"/>
        <w:spacing w:after="0" w:line="240" w:lineRule="auto"/>
        <w:rPr>
          <w:rFonts w:cstheme="minorHAnsi"/>
        </w:rPr>
      </w:pPr>
      <w:r w:rsidRPr="0083156E">
        <w:rPr>
          <w:rFonts w:cstheme="minorHAnsi"/>
        </w:rPr>
        <w:t>Cragg, M.</w:t>
      </w:r>
      <w:r w:rsidR="00651869" w:rsidRPr="0083156E">
        <w:rPr>
          <w:rFonts w:cstheme="minorHAnsi"/>
        </w:rPr>
        <w:t xml:space="preserve">, 1997, </w:t>
      </w:r>
      <w:r w:rsidR="006527EF" w:rsidRPr="0083156E">
        <w:rPr>
          <w:rFonts w:cstheme="minorHAnsi"/>
        </w:rPr>
        <w:t>‘</w:t>
      </w:r>
      <w:r w:rsidR="00651869" w:rsidRPr="0083156E">
        <w:rPr>
          <w:rFonts w:cstheme="minorHAnsi"/>
        </w:rPr>
        <w:t>Performance incentives in the public sector: Evidence from the Job Training Partnership Act,</w:t>
      </w:r>
      <w:r w:rsidR="006527EF" w:rsidRPr="0083156E">
        <w:rPr>
          <w:rFonts w:cstheme="minorHAnsi"/>
        </w:rPr>
        <w:t>’</w:t>
      </w:r>
      <w:r w:rsidRPr="0083156E">
        <w:rPr>
          <w:rFonts w:cstheme="minorHAnsi"/>
        </w:rPr>
        <w:t xml:space="preserve"> Journal of Law, Eco</w:t>
      </w:r>
      <w:r w:rsidR="00651869" w:rsidRPr="0083156E">
        <w:rPr>
          <w:rFonts w:cstheme="minorHAnsi"/>
        </w:rPr>
        <w:t>nomics, and Organizations, 13</w:t>
      </w:r>
      <w:r w:rsidRPr="0083156E">
        <w:rPr>
          <w:rFonts w:cstheme="minorHAnsi"/>
        </w:rPr>
        <w:t>, 147-168.</w:t>
      </w:r>
    </w:p>
    <w:p w14:paraId="56501B94" w14:textId="77777777" w:rsidR="009D2E2B" w:rsidRPr="0083156E" w:rsidRDefault="009D2E2B" w:rsidP="0083156E">
      <w:pPr>
        <w:spacing w:after="0" w:line="240" w:lineRule="auto"/>
        <w:rPr>
          <w:rFonts w:cstheme="minorHAnsi"/>
        </w:rPr>
      </w:pPr>
    </w:p>
    <w:p w14:paraId="5A3ECFC9" w14:textId="77777777" w:rsidR="009D2E2B" w:rsidRPr="0083156E" w:rsidRDefault="009D2E2B" w:rsidP="0083156E">
      <w:pPr>
        <w:autoSpaceDE w:val="0"/>
        <w:autoSpaceDN w:val="0"/>
        <w:adjustRightInd w:val="0"/>
        <w:spacing w:after="0" w:line="240" w:lineRule="auto"/>
        <w:rPr>
          <w:rFonts w:cstheme="minorHAnsi"/>
        </w:rPr>
      </w:pPr>
      <w:r w:rsidRPr="0083156E">
        <w:rPr>
          <w:rFonts w:cstheme="minorHAnsi"/>
        </w:rPr>
        <w:t xml:space="preserve">Cronin, J., </w:t>
      </w:r>
      <w:r w:rsidR="00934BA5" w:rsidRPr="0083156E">
        <w:rPr>
          <w:rFonts w:cstheme="minorHAnsi"/>
        </w:rPr>
        <w:t>M. Dahlin, D. Adkins and</w:t>
      </w:r>
      <w:r w:rsidR="00651869" w:rsidRPr="0083156E">
        <w:rPr>
          <w:rFonts w:cstheme="minorHAnsi"/>
        </w:rPr>
        <w:t xml:space="preserve"> G.G</w:t>
      </w:r>
      <w:r w:rsidR="00934BA5" w:rsidRPr="0083156E">
        <w:rPr>
          <w:rFonts w:cstheme="minorHAnsi"/>
        </w:rPr>
        <w:t>.</w:t>
      </w:r>
      <w:r w:rsidR="00651869" w:rsidRPr="0083156E">
        <w:rPr>
          <w:rFonts w:cstheme="minorHAnsi"/>
        </w:rPr>
        <w:t xml:space="preserve"> Kingsbury,</w:t>
      </w:r>
      <w:r w:rsidRPr="0083156E">
        <w:rPr>
          <w:rFonts w:cstheme="minorHAnsi"/>
        </w:rPr>
        <w:t xml:space="preserve"> 2007, </w:t>
      </w:r>
      <w:r w:rsidR="00651869" w:rsidRPr="0083156E">
        <w:rPr>
          <w:rFonts w:cstheme="minorHAnsi"/>
        </w:rPr>
        <w:t>‘The proficiency i</w:t>
      </w:r>
      <w:r w:rsidRPr="0083156E">
        <w:rPr>
          <w:rFonts w:cstheme="minorHAnsi"/>
        </w:rPr>
        <w:t>llusion,</w:t>
      </w:r>
      <w:r w:rsidR="00651869" w:rsidRPr="0083156E">
        <w:rPr>
          <w:rFonts w:cstheme="minorHAnsi"/>
        </w:rPr>
        <w:t>’</w:t>
      </w:r>
      <w:r w:rsidRPr="0083156E">
        <w:rPr>
          <w:rFonts w:cstheme="minorHAnsi"/>
        </w:rPr>
        <w:t xml:space="preserve"> Thomas B. Fordham Institute and the Northwest Evaluation Association</w:t>
      </w:r>
    </w:p>
    <w:p w14:paraId="36B635C0" w14:textId="77777777" w:rsidR="009D2E2B" w:rsidRPr="0083156E" w:rsidRDefault="009D2E2B" w:rsidP="0083156E">
      <w:pPr>
        <w:autoSpaceDE w:val="0"/>
        <w:autoSpaceDN w:val="0"/>
        <w:adjustRightInd w:val="0"/>
        <w:spacing w:after="0" w:line="240" w:lineRule="auto"/>
        <w:rPr>
          <w:rFonts w:cstheme="minorHAnsi"/>
        </w:rPr>
      </w:pPr>
    </w:p>
    <w:p w14:paraId="0738D787" w14:textId="77777777" w:rsidR="00977577" w:rsidRPr="0083156E" w:rsidRDefault="00977577" w:rsidP="0083156E">
      <w:pPr>
        <w:autoSpaceDE w:val="0"/>
        <w:autoSpaceDN w:val="0"/>
        <w:adjustRightInd w:val="0"/>
        <w:spacing w:after="0" w:line="240" w:lineRule="auto"/>
        <w:rPr>
          <w:rFonts w:cstheme="minorHAnsi"/>
        </w:rPr>
      </w:pPr>
      <w:r w:rsidRPr="0083156E">
        <w:rPr>
          <w:rFonts w:cstheme="minorHAnsi"/>
        </w:rPr>
        <w:t>DEEWR 2013, Portfolio Budget Statement 2013–14, Budget Related Paper No. 1.5, Education, Employment and Workplace Relations Portfolio, Canberra.</w:t>
      </w:r>
    </w:p>
    <w:p w14:paraId="2AB1022D" w14:textId="77777777" w:rsidR="00977577" w:rsidRPr="0083156E" w:rsidRDefault="00977577" w:rsidP="0083156E">
      <w:pPr>
        <w:autoSpaceDE w:val="0"/>
        <w:autoSpaceDN w:val="0"/>
        <w:adjustRightInd w:val="0"/>
        <w:spacing w:after="0" w:line="240" w:lineRule="auto"/>
        <w:rPr>
          <w:rFonts w:cstheme="minorHAnsi"/>
        </w:rPr>
      </w:pPr>
    </w:p>
    <w:p w14:paraId="63AD51A9" w14:textId="77777777" w:rsidR="00CE62E1" w:rsidRPr="0083156E" w:rsidRDefault="00322964" w:rsidP="0083156E">
      <w:pPr>
        <w:autoSpaceDE w:val="0"/>
        <w:autoSpaceDN w:val="0"/>
        <w:adjustRightInd w:val="0"/>
        <w:spacing w:after="0" w:line="240" w:lineRule="auto"/>
        <w:rPr>
          <w:rFonts w:cstheme="minorHAnsi"/>
        </w:rPr>
      </w:pPr>
      <w:r w:rsidRPr="0083156E">
        <w:rPr>
          <w:rFonts w:cstheme="minorHAnsi"/>
        </w:rPr>
        <w:t>Deming, W.E</w:t>
      </w:r>
      <w:r w:rsidR="00CE62E1" w:rsidRPr="0083156E">
        <w:rPr>
          <w:rFonts w:cstheme="minorHAnsi"/>
        </w:rPr>
        <w:t>.</w:t>
      </w:r>
      <w:r w:rsidRPr="0083156E">
        <w:rPr>
          <w:rFonts w:cstheme="minorHAnsi"/>
        </w:rPr>
        <w:t>, 1986, ‘Out of the crisis,’</w:t>
      </w:r>
      <w:r w:rsidR="00CE62E1" w:rsidRPr="0083156E">
        <w:rPr>
          <w:rFonts w:cstheme="minorHAnsi"/>
        </w:rPr>
        <w:t xml:space="preserve"> Cambridge, MA: MIT Institute for Advanced Engineering Study.</w:t>
      </w:r>
    </w:p>
    <w:p w14:paraId="0B22AE05" w14:textId="77777777" w:rsidR="00DF2BD9" w:rsidRPr="0083156E" w:rsidRDefault="00DF2BD9" w:rsidP="0083156E">
      <w:pPr>
        <w:autoSpaceDE w:val="0"/>
        <w:autoSpaceDN w:val="0"/>
        <w:adjustRightInd w:val="0"/>
        <w:spacing w:after="0" w:line="240" w:lineRule="auto"/>
        <w:rPr>
          <w:rFonts w:cstheme="minorHAnsi"/>
        </w:rPr>
      </w:pPr>
    </w:p>
    <w:p w14:paraId="4C7A9F54" w14:textId="77777777" w:rsidR="00CE62E1" w:rsidRPr="0083156E" w:rsidRDefault="00322964" w:rsidP="0083156E">
      <w:pPr>
        <w:autoSpaceDE w:val="0"/>
        <w:autoSpaceDN w:val="0"/>
        <w:adjustRightInd w:val="0"/>
        <w:spacing w:after="0" w:line="240" w:lineRule="auto"/>
        <w:rPr>
          <w:rFonts w:cstheme="minorHAnsi"/>
        </w:rPr>
      </w:pPr>
      <w:r w:rsidRPr="0083156E">
        <w:rPr>
          <w:rFonts w:cstheme="minorHAnsi"/>
        </w:rPr>
        <w:t>Dixit, A.,</w:t>
      </w:r>
      <w:r w:rsidR="00CE62E1" w:rsidRPr="0083156E">
        <w:rPr>
          <w:rFonts w:cstheme="minorHAnsi"/>
        </w:rPr>
        <w:t xml:space="preserve"> 2</w:t>
      </w:r>
      <w:r w:rsidRPr="0083156E">
        <w:rPr>
          <w:rFonts w:cstheme="minorHAnsi"/>
        </w:rPr>
        <w:t>002, ‘</w:t>
      </w:r>
      <w:r w:rsidR="00CE62E1" w:rsidRPr="0083156E">
        <w:rPr>
          <w:rFonts w:cstheme="minorHAnsi"/>
        </w:rPr>
        <w:t xml:space="preserve">Incentives </w:t>
      </w:r>
      <w:r w:rsidR="00A610B3" w:rsidRPr="0083156E">
        <w:rPr>
          <w:rFonts w:cstheme="minorHAnsi"/>
        </w:rPr>
        <w:t xml:space="preserve">and Organizations in the Public </w:t>
      </w:r>
      <w:r w:rsidRPr="0083156E">
        <w:rPr>
          <w:rFonts w:cstheme="minorHAnsi"/>
        </w:rPr>
        <w:t>Sector: An Interpretive Review,’</w:t>
      </w:r>
      <w:r w:rsidR="00CE62E1" w:rsidRPr="0083156E">
        <w:rPr>
          <w:rFonts w:cstheme="minorHAnsi"/>
        </w:rPr>
        <w:t xml:space="preserve"> Jou</w:t>
      </w:r>
      <w:r w:rsidRPr="0083156E">
        <w:rPr>
          <w:rFonts w:cstheme="minorHAnsi"/>
        </w:rPr>
        <w:t>rnal of Human Resources. 37,</w:t>
      </w:r>
      <w:r w:rsidR="00CE62E1" w:rsidRPr="0083156E">
        <w:rPr>
          <w:rFonts w:cstheme="minorHAnsi"/>
        </w:rPr>
        <w:t xml:space="preserve"> 696-727.</w:t>
      </w:r>
    </w:p>
    <w:p w14:paraId="173F251F" w14:textId="77777777" w:rsidR="00CE62E1" w:rsidRPr="0083156E" w:rsidRDefault="00CE62E1" w:rsidP="0083156E">
      <w:pPr>
        <w:autoSpaceDE w:val="0"/>
        <w:autoSpaceDN w:val="0"/>
        <w:adjustRightInd w:val="0"/>
        <w:spacing w:after="0" w:line="240" w:lineRule="auto"/>
        <w:rPr>
          <w:rFonts w:cstheme="minorHAnsi"/>
        </w:rPr>
      </w:pPr>
    </w:p>
    <w:p w14:paraId="6C7FD44D" w14:textId="77777777" w:rsidR="00E0056A" w:rsidRPr="0083156E" w:rsidRDefault="00322964" w:rsidP="0083156E">
      <w:pPr>
        <w:autoSpaceDE w:val="0"/>
        <w:autoSpaceDN w:val="0"/>
        <w:adjustRightInd w:val="0"/>
        <w:spacing w:after="0" w:line="240" w:lineRule="auto"/>
        <w:rPr>
          <w:rFonts w:cstheme="minorHAnsi"/>
        </w:rPr>
      </w:pPr>
      <w:r w:rsidRPr="0083156E">
        <w:rPr>
          <w:rFonts w:cstheme="minorHAnsi"/>
        </w:rPr>
        <w:t>DWP</w:t>
      </w:r>
      <w:r w:rsidR="00934BA5" w:rsidRPr="0083156E">
        <w:rPr>
          <w:rFonts w:cstheme="minorHAnsi"/>
        </w:rPr>
        <w:t>.</w:t>
      </w:r>
      <w:r w:rsidRPr="0083156E">
        <w:rPr>
          <w:rFonts w:cstheme="minorHAnsi"/>
        </w:rPr>
        <w:t>, 2008,</w:t>
      </w:r>
      <w:r w:rsidR="00CE62E1" w:rsidRPr="0083156E">
        <w:rPr>
          <w:rFonts w:cstheme="minorHAnsi"/>
        </w:rPr>
        <w:t xml:space="preserve"> </w:t>
      </w:r>
      <w:r w:rsidRPr="0083156E">
        <w:rPr>
          <w:rFonts w:cstheme="minorHAnsi"/>
        </w:rPr>
        <w:t>‘</w:t>
      </w:r>
      <w:r w:rsidR="00CE62E1" w:rsidRPr="0083156E">
        <w:rPr>
          <w:rFonts w:cstheme="minorHAnsi"/>
        </w:rPr>
        <w:t>Department for Work and Pensions Commissioning Strategy,</w:t>
      </w:r>
      <w:r w:rsidRPr="0083156E">
        <w:rPr>
          <w:rFonts w:cstheme="minorHAnsi"/>
        </w:rPr>
        <w:t>’ February</w:t>
      </w:r>
      <w:r w:rsidR="00934BA5" w:rsidRPr="0083156E">
        <w:rPr>
          <w:rFonts w:cstheme="minorHAnsi"/>
        </w:rPr>
        <w:t>, Cm 7330.</w:t>
      </w:r>
      <w:r w:rsidR="00CE62E1" w:rsidRPr="0083156E">
        <w:rPr>
          <w:rFonts w:cstheme="minorHAnsi"/>
        </w:rPr>
        <w:t xml:space="preserve"> </w:t>
      </w:r>
    </w:p>
    <w:p w14:paraId="7F007718" w14:textId="77777777" w:rsidR="00322964" w:rsidRPr="0083156E" w:rsidRDefault="00322964" w:rsidP="0083156E">
      <w:pPr>
        <w:autoSpaceDE w:val="0"/>
        <w:autoSpaceDN w:val="0"/>
        <w:adjustRightInd w:val="0"/>
        <w:spacing w:after="0" w:line="240" w:lineRule="auto"/>
        <w:rPr>
          <w:rFonts w:cstheme="minorHAnsi"/>
        </w:rPr>
      </w:pPr>
    </w:p>
    <w:p w14:paraId="4FE5CDED" w14:textId="77777777" w:rsidR="00F6353A" w:rsidRPr="0083156E" w:rsidRDefault="00322964" w:rsidP="0083156E">
      <w:pPr>
        <w:autoSpaceDE w:val="0"/>
        <w:autoSpaceDN w:val="0"/>
        <w:adjustRightInd w:val="0"/>
        <w:spacing w:after="0" w:line="240" w:lineRule="auto"/>
        <w:rPr>
          <w:rFonts w:cstheme="minorHAnsi"/>
        </w:rPr>
      </w:pPr>
      <w:r w:rsidRPr="0083156E">
        <w:rPr>
          <w:rFonts w:cstheme="minorHAnsi"/>
        </w:rPr>
        <w:lastRenderedPageBreak/>
        <w:t>Dodgson, M., 1993,</w:t>
      </w:r>
      <w:r w:rsidR="00F6353A" w:rsidRPr="0083156E">
        <w:rPr>
          <w:rFonts w:cstheme="minorHAnsi"/>
        </w:rPr>
        <w:t xml:space="preserve"> </w:t>
      </w:r>
      <w:r w:rsidRPr="0083156E">
        <w:rPr>
          <w:rFonts w:cstheme="minorHAnsi"/>
        </w:rPr>
        <w:t>‘</w:t>
      </w:r>
      <w:r w:rsidR="00F6353A" w:rsidRPr="0083156E">
        <w:rPr>
          <w:rFonts w:cstheme="minorHAnsi"/>
        </w:rPr>
        <w:t>Technological collaboration in</w:t>
      </w:r>
      <w:r w:rsidR="00E0056A" w:rsidRPr="0083156E">
        <w:rPr>
          <w:rFonts w:cstheme="minorHAnsi"/>
        </w:rPr>
        <w:t xml:space="preserve"> industry: strategy, policy and </w:t>
      </w:r>
      <w:r w:rsidR="00F6353A" w:rsidRPr="0083156E">
        <w:rPr>
          <w:rFonts w:cstheme="minorHAnsi"/>
        </w:rPr>
        <w:t>int</w:t>
      </w:r>
      <w:r w:rsidRPr="0083156E">
        <w:rPr>
          <w:rFonts w:cstheme="minorHAnsi"/>
        </w:rPr>
        <w:t>ernationalization in innovation,’</w:t>
      </w:r>
      <w:r w:rsidR="00F6353A" w:rsidRPr="0083156E">
        <w:rPr>
          <w:rFonts w:cstheme="minorHAnsi"/>
        </w:rPr>
        <w:t xml:space="preserve"> London: Routledge.</w:t>
      </w:r>
    </w:p>
    <w:p w14:paraId="3E19E0D4" w14:textId="77777777" w:rsidR="005729EB" w:rsidRPr="0083156E" w:rsidRDefault="005729EB" w:rsidP="0083156E">
      <w:pPr>
        <w:autoSpaceDE w:val="0"/>
        <w:autoSpaceDN w:val="0"/>
        <w:adjustRightInd w:val="0"/>
        <w:spacing w:after="0" w:line="240" w:lineRule="auto"/>
        <w:rPr>
          <w:rFonts w:cstheme="minorHAnsi"/>
        </w:rPr>
      </w:pPr>
    </w:p>
    <w:p w14:paraId="01D2F5CB" w14:textId="77777777" w:rsidR="00181ED6" w:rsidRPr="0083156E" w:rsidRDefault="00181ED6" w:rsidP="0083156E">
      <w:pPr>
        <w:autoSpaceDE w:val="0"/>
        <w:autoSpaceDN w:val="0"/>
        <w:adjustRightInd w:val="0"/>
        <w:spacing w:after="0" w:line="240" w:lineRule="auto"/>
        <w:rPr>
          <w:rFonts w:cstheme="minorHAnsi"/>
        </w:rPr>
      </w:pPr>
      <w:r w:rsidRPr="0083156E">
        <w:rPr>
          <w:rFonts w:cstheme="minorHAnsi"/>
        </w:rPr>
        <w:t>Eberts, Randall W., Huang, W</w:t>
      </w:r>
      <w:r w:rsidR="00934BA5" w:rsidRPr="0083156E">
        <w:rPr>
          <w:rFonts w:cstheme="minorHAnsi"/>
        </w:rPr>
        <w:t xml:space="preserve">ei-Jang and Cai, Jing, 2012, </w:t>
      </w:r>
      <w:r w:rsidR="006527EF" w:rsidRPr="0083156E">
        <w:rPr>
          <w:rFonts w:cstheme="minorHAnsi"/>
        </w:rPr>
        <w:t>‘</w:t>
      </w:r>
      <w:r w:rsidR="00934BA5" w:rsidRPr="0083156E">
        <w:rPr>
          <w:rFonts w:cstheme="minorHAnsi"/>
        </w:rPr>
        <w:t>A m</w:t>
      </w:r>
      <w:r w:rsidRPr="0083156E">
        <w:rPr>
          <w:rFonts w:cstheme="minorHAnsi"/>
        </w:rPr>
        <w:t>ethodol</w:t>
      </w:r>
      <w:r w:rsidR="00934BA5" w:rsidRPr="0083156E">
        <w:rPr>
          <w:rFonts w:cstheme="minorHAnsi"/>
        </w:rPr>
        <w:t>ogy for setting state and local regression-adjusted performance t</w:t>
      </w:r>
      <w:r w:rsidRPr="0083156E">
        <w:rPr>
          <w:rFonts w:cstheme="minorHAnsi"/>
        </w:rPr>
        <w:t>arget</w:t>
      </w:r>
      <w:r w:rsidR="00934BA5" w:rsidRPr="0083156E">
        <w:rPr>
          <w:rFonts w:cstheme="minorHAnsi"/>
        </w:rPr>
        <w:t>s for Workforce Investment Act p</w:t>
      </w:r>
      <w:r w:rsidRPr="0083156E">
        <w:rPr>
          <w:rFonts w:cstheme="minorHAnsi"/>
        </w:rPr>
        <w:t>rograms,</w:t>
      </w:r>
      <w:r w:rsidR="006527EF" w:rsidRPr="0083156E">
        <w:rPr>
          <w:rFonts w:cstheme="minorHAnsi"/>
        </w:rPr>
        <w:t>’</w:t>
      </w:r>
      <w:r w:rsidRPr="0083156E">
        <w:rPr>
          <w:rFonts w:cstheme="minorHAnsi"/>
        </w:rPr>
        <w:t xml:space="preserve"> Upjohn Institute for Employment Research Working Paper 13-189.</w:t>
      </w:r>
    </w:p>
    <w:p w14:paraId="152C18E2" w14:textId="77777777" w:rsidR="00181ED6" w:rsidRPr="0083156E" w:rsidRDefault="00181ED6" w:rsidP="0083156E">
      <w:pPr>
        <w:autoSpaceDE w:val="0"/>
        <w:autoSpaceDN w:val="0"/>
        <w:adjustRightInd w:val="0"/>
        <w:spacing w:after="0" w:line="240" w:lineRule="auto"/>
        <w:rPr>
          <w:rFonts w:cstheme="minorHAnsi"/>
        </w:rPr>
      </w:pPr>
    </w:p>
    <w:p w14:paraId="57C3490E" w14:textId="77777777" w:rsidR="00824842" w:rsidRPr="0083156E" w:rsidRDefault="00824842" w:rsidP="0083156E">
      <w:pPr>
        <w:spacing w:after="0" w:line="240" w:lineRule="auto"/>
        <w:rPr>
          <w:rFonts w:cstheme="minorHAnsi"/>
        </w:rPr>
      </w:pPr>
      <w:r w:rsidRPr="0083156E">
        <w:rPr>
          <w:rFonts w:cstheme="minorHAnsi"/>
        </w:rPr>
        <w:t>Ecorys</w:t>
      </w:r>
      <w:r w:rsidR="00934BA5" w:rsidRPr="0083156E">
        <w:rPr>
          <w:rFonts w:cstheme="minorHAnsi"/>
        </w:rPr>
        <w:t>., 2011,</w:t>
      </w:r>
      <w:r w:rsidRPr="0083156E">
        <w:rPr>
          <w:rFonts w:cstheme="minorHAnsi"/>
        </w:rPr>
        <w:t xml:space="preserve"> </w:t>
      </w:r>
      <w:r w:rsidR="00934BA5" w:rsidRPr="0083156E">
        <w:rPr>
          <w:rFonts w:cstheme="minorHAnsi"/>
        </w:rPr>
        <w:t>‘</w:t>
      </w:r>
      <w:r w:rsidRPr="0083156E">
        <w:rPr>
          <w:rFonts w:cstheme="minorHAnsi"/>
        </w:rPr>
        <w:t>PES Performance Management and Mobility Indicators: Interim Report</w:t>
      </w:r>
      <w:r w:rsidR="00934BA5" w:rsidRPr="0083156E">
        <w:rPr>
          <w:rFonts w:cstheme="minorHAnsi"/>
        </w:rPr>
        <w:t>,’</w:t>
      </w:r>
      <w:r w:rsidRPr="0083156E">
        <w:rPr>
          <w:rFonts w:cstheme="minorHAnsi"/>
        </w:rPr>
        <w:t xml:space="preserve"> Rotterdam, Ecorys.</w:t>
      </w:r>
    </w:p>
    <w:p w14:paraId="79D67C58" w14:textId="77777777" w:rsidR="00E0056A" w:rsidRPr="0083156E" w:rsidRDefault="00E0056A" w:rsidP="0083156E">
      <w:pPr>
        <w:spacing w:after="0" w:line="240" w:lineRule="auto"/>
        <w:rPr>
          <w:rFonts w:cstheme="minorHAnsi"/>
        </w:rPr>
      </w:pPr>
    </w:p>
    <w:p w14:paraId="346D2924" w14:textId="77777777" w:rsidR="00CE4D36" w:rsidRPr="0083156E" w:rsidRDefault="00CE4D36" w:rsidP="0083156E">
      <w:pPr>
        <w:autoSpaceDE w:val="0"/>
        <w:autoSpaceDN w:val="0"/>
        <w:adjustRightInd w:val="0"/>
        <w:spacing w:after="0" w:line="240" w:lineRule="auto"/>
        <w:rPr>
          <w:rFonts w:cstheme="minorHAnsi"/>
        </w:rPr>
      </w:pPr>
      <w:r w:rsidRPr="0083156E">
        <w:rPr>
          <w:rFonts w:cstheme="minorHAnsi"/>
        </w:rPr>
        <w:t xml:space="preserve">EETYF, 1996, </w:t>
      </w:r>
      <w:r w:rsidR="00695D31" w:rsidRPr="0083156E">
        <w:rPr>
          <w:rFonts w:cstheme="minorHAnsi"/>
        </w:rPr>
        <w:t>‘</w:t>
      </w:r>
      <w:r w:rsidRPr="0083156E">
        <w:rPr>
          <w:rFonts w:cstheme="minorHAnsi"/>
        </w:rPr>
        <w:t>Reforming employment assistance: Helping Australians into real jobs,</w:t>
      </w:r>
      <w:r w:rsidR="00695D31" w:rsidRPr="0083156E">
        <w:rPr>
          <w:rFonts w:cstheme="minorHAnsi"/>
        </w:rPr>
        <w:t>’</w:t>
      </w:r>
      <w:r w:rsidRPr="0083156E">
        <w:rPr>
          <w:rFonts w:cstheme="minorHAnsi"/>
        </w:rPr>
        <w:t xml:space="preserve"> Ministerial Statement by Senator the Honourable Amanda Vanstone, Minister for Employment, Education, Training and Youth Affairs</w:t>
      </w:r>
      <w:r w:rsidR="00695D31" w:rsidRPr="0083156E">
        <w:rPr>
          <w:rFonts w:cstheme="minorHAnsi"/>
        </w:rPr>
        <w:t>.</w:t>
      </w:r>
    </w:p>
    <w:p w14:paraId="5AD01694" w14:textId="77777777" w:rsidR="00CE4D36" w:rsidRPr="0083156E" w:rsidRDefault="00CE4D36" w:rsidP="0083156E">
      <w:pPr>
        <w:autoSpaceDE w:val="0"/>
        <w:autoSpaceDN w:val="0"/>
        <w:adjustRightInd w:val="0"/>
        <w:spacing w:after="0" w:line="240" w:lineRule="auto"/>
        <w:rPr>
          <w:rFonts w:cstheme="minorHAnsi"/>
        </w:rPr>
      </w:pPr>
    </w:p>
    <w:p w14:paraId="7BFF170F" w14:textId="77777777" w:rsidR="00BB1B76" w:rsidRPr="0083156E" w:rsidRDefault="00695D31" w:rsidP="0083156E">
      <w:pPr>
        <w:autoSpaceDE w:val="0"/>
        <w:autoSpaceDN w:val="0"/>
        <w:adjustRightInd w:val="0"/>
        <w:spacing w:after="0" w:line="240" w:lineRule="auto"/>
        <w:rPr>
          <w:rFonts w:cstheme="minorHAnsi"/>
        </w:rPr>
      </w:pPr>
      <w:r w:rsidRPr="0083156E">
        <w:rPr>
          <w:rFonts w:cstheme="minorHAnsi"/>
        </w:rPr>
        <w:t>Enthoven, A.</w:t>
      </w:r>
      <w:r w:rsidR="00BB1B76" w:rsidRPr="0083156E">
        <w:rPr>
          <w:rFonts w:cstheme="minorHAnsi"/>
        </w:rPr>
        <w:t>C.</w:t>
      </w:r>
      <w:r w:rsidRPr="0083156E">
        <w:rPr>
          <w:rFonts w:cstheme="minorHAnsi"/>
        </w:rPr>
        <w:t>, 1985,</w:t>
      </w:r>
      <w:r w:rsidR="00BB1B76" w:rsidRPr="0083156E">
        <w:rPr>
          <w:rFonts w:cstheme="minorHAnsi"/>
        </w:rPr>
        <w:t xml:space="preserve"> </w:t>
      </w:r>
      <w:r w:rsidRPr="0083156E">
        <w:rPr>
          <w:rFonts w:cstheme="minorHAnsi"/>
        </w:rPr>
        <w:t>‘</w:t>
      </w:r>
      <w:r w:rsidR="00BB1B76" w:rsidRPr="0083156E">
        <w:rPr>
          <w:rFonts w:cstheme="minorHAnsi"/>
        </w:rPr>
        <w:t>Reactions on the Management of the N</w:t>
      </w:r>
      <w:r w:rsidR="00537C49" w:rsidRPr="0083156E">
        <w:rPr>
          <w:rFonts w:cstheme="minorHAnsi"/>
        </w:rPr>
        <w:t xml:space="preserve">ational </w:t>
      </w:r>
      <w:r w:rsidR="00BB1B76" w:rsidRPr="0083156E">
        <w:rPr>
          <w:rFonts w:cstheme="minorHAnsi"/>
        </w:rPr>
        <w:t>H</w:t>
      </w:r>
      <w:r w:rsidR="00537C49" w:rsidRPr="0083156E">
        <w:rPr>
          <w:rFonts w:cstheme="minorHAnsi"/>
        </w:rPr>
        <w:t xml:space="preserve">ealth </w:t>
      </w:r>
      <w:r w:rsidR="00BB1B76" w:rsidRPr="0083156E">
        <w:rPr>
          <w:rFonts w:cstheme="minorHAnsi"/>
        </w:rPr>
        <w:t>S</w:t>
      </w:r>
      <w:r w:rsidR="00537C49" w:rsidRPr="0083156E">
        <w:rPr>
          <w:rFonts w:cstheme="minorHAnsi"/>
        </w:rPr>
        <w:t>ervice: An American looks at incentives to efficiency in health services management in the UK</w:t>
      </w:r>
      <w:r w:rsidR="006527EF" w:rsidRPr="0083156E">
        <w:rPr>
          <w:rFonts w:cstheme="minorHAnsi"/>
        </w:rPr>
        <w:t>,</w:t>
      </w:r>
      <w:r w:rsidRPr="0083156E">
        <w:rPr>
          <w:rFonts w:cstheme="minorHAnsi"/>
        </w:rPr>
        <w:t>’</w:t>
      </w:r>
      <w:r w:rsidR="00537C49" w:rsidRPr="0083156E">
        <w:rPr>
          <w:rFonts w:cstheme="minorHAnsi"/>
        </w:rPr>
        <w:t xml:space="preserve"> The Nuffi</w:t>
      </w:r>
      <w:r w:rsidR="00BB1B76" w:rsidRPr="0083156E">
        <w:rPr>
          <w:rFonts w:cstheme="minorHAnsi"/>
        </w:rPr>
        <w:t>eld Provincial Hospitals Trust, London.</w:t>
      </w:r>
    </w:p>
    <w:p w14:paraId="04249EDA" w14:textId="77777777" w:rsidR="00BB1B76" w:rsidRPr="0083156E" w:rsidRDefault="00BB1B76" w:rsidP="0083156E">
      <w:pPr>
        <w:autoSpaceDE w:val="0"/>
        <w:autoSpaceDN w:val="0"/>
        <w:adjustRightInd w:val="0"/>
        <w:spacing w:after="0" w:line="240" w:lineRule="auto"/>
        <w:rPr>
          <w:rFonts w:cstheme="minorHAnsi"/>
        </w:rPr>
      </w:pPr>
    </w:p>
    <w:p w14:paraId="0BEEC32D" w14:textId="77777777" w:rsidR="00F6353A" w:rsidRPr="0083156E" w:rsidRDefault="00153C3E" w:rsidP="0083156E">
      <w:pPr>
        <w:autoSpaceDE w:val="0"/>
        <w:autoSpaceDN w:val="0"/>
        <w:adjustRightInd w:val="0"/>
        <w:spacing w:after="0" w:line="240" w:lineRule="auto"/>
        <w:rPr>
          <w:rFonts w:cstheme="minorHAnsi"/>
        </w:rPr>
      </w:pPr>
      <w:r w:rsidRPr="0083156E">
        <w:rPr>
          <w:rFonts w:cstheme="minorHAnsi"/>
        </w:rPr>
        <w:t>Faems</w:t>
      </w:r>
      <w:r w:rsidR="00F6353A" w:rsidRPr="0083156E">
        <w:rPr>
          <w:rFonts w:cstheme="minorHAnsi"/>
        </w:rPr>
        <w:t xml:space="preserve">, D., </w:t>
      </w:r>
      <w:r w:rsidR="00537C49" w:rsidRPr="0083156E">
        <w:rPr>
          <w:rFonts w:cstheme="minorHAnsi"/>
        </w:rPr>
        <w:t xml:space="preserve">B. Van Looy </w:t>
      </w:r>
      <w:r w:rsidR="00F6353A" w:rsidRPr="0083156E">
        <w:rPr>
          <w:rFonts w:cstheme="minorHAnsi"/>
        </w:rPr>
        <w:t xml:space="preserve">and </w:t>
      </w:r>
      <w:r w:rsidR="00537C49" w:rsidRPr="0083156E">
        <w:rPr>
          <w:rFonts w:cstheme="minorHAnsi"/>
        </w:rPr>
        <w:t xml:space="preserve">K. Debackere, 2005, </w:t>
      </w:r>
      <w:r w:rsidR="006527EF" w:rsidRPr="0083156E">
        <w:rPr>
          <w:rFonts w:cstheme="minorHAnsi"/>
        </w:rPr>
        <w:t>‘</w:t>
      </w:r>
      <w:r w:rsidR="00537C49" w:rsidRPr="0083156E">
        <w:rPr>
          <w:rFonts w:cstheme="minorHAnsi"/>
        </w:rPr>
        <w:t>Interorganizational collaboration and innovation: Toward a portfolio approach,</w:t>
      </w:r>
      <w:r w:rsidR="006527EF" w:rsidRPr="0083156E">
        <w:rPr>
          <w:rFonts w:cstheme="minorHAnsi"/>
        </w:rPr>
        <w:t>’</w:t>
      </w:r>
      <w:r w:rsidR="00F6353A" w:rsidRPr="0083156E">
        <w:rPr>
          <w:rFonts w:cstheme="minorHAnsi"/>
        </w:rPr>
        <w:t xml:space="preserve"> Journal of Product Innovation Management, 22, 238-250</w:t>
      </w:r>
      <w:r w:rsidR="00537C49" w:rsidRPr="0083156E">
        <w:rPr>
          <w:rFonts w:cstheme="minorHAnsi"/>
        </w:rPr>
        <w:t xml:space="preserve">. </w:t>
      </w:r>
    </w:p>
    <w:p w14:paraId="61C24EBE" w14:textId="77777777" w:rsidR="00E0056A" w:rsidRPr="0083156E" w:rsidRDefault="00E0056A" w:rsidP="0083156E">
      <w:pPr>
        <w:pStyle w:val="Heading1"/>
        <w:shd w:val="clear" w:color="auto" w:fill="FFFFFF"/>
        <w:spacing w:before="0" w:line="240" w:lineRule="auto"/>
        <w:rPr>
          <w:rFonts w:asciiTheme="minorHAnsi" w:eastAsiaTheme="minorHAnsi" w:hAnsiTheme="minorHAnsi" w:cstheme="minorHAnsi"/>
          <w:b w:val="0"/>
          <w:bCs w:val="0"/>
          <w:color w:val="auto"/>
          <w:sz w:val="22"/>
          <w:szCs w:val="22"/>
        </w:rPr>
      </w:pPr>
    </w:p>
    <w:p w14:paraId="7653AE1B" w14:textId="77777777" w:rsidR="00824842" w:rsidRPr="0083156E" w:rsidRDefault="00824842" w:rsidP="0083156E">
      <w:pPr>
        <w:autoSpaceDE w:val="0"/>
        <w:autoSpaceDN w:val="0"/>
        <w:adjustRightInd w:val="0"/>
        <w:spacing w:after="0" w:line="240" w:lineRule="auto"/>
        <w:rPr>
          <w:rFonts w:cstheme="minorHAnsi"/>
        </w:rPr>
      </w:pPr>
      <w:r w:rsidRPr="0083156E">
        <w:rPr>
          <w:rFonts w:cstheme="minorHAnsi"/>
        </w:rPr>
        <w:t>Fiedler, J</w:t>
      </w:r>
      <w:r w:rsidR="00537C49" w:rsidRPr="0083156E">
        <w:rPr>
          <w:rFonts w:cstheme="minorHAnsi"/>
        </w:rPr>
        <w:t>.</w:t>
      </w:r>
      <w:r w:rsidRPr="0083156E">
        <w:rPr>
          <w:rFonts w:cstheme="minorHAnsi"/>
        </w:rPr>
        <w:t xml:space="preserve">, </w:t>
      </w:r>
      <w:r w:rsidR="00537C49" w:rsidRPr="0083156E">
        <w:rPr>
          <w:rFonts w:cstheme="minorHAnsi"/>
        </w:rPr>
        <w:t>J. Wight and R. Schmidt,</w:t>
      </w:r>
      <w:r w:rsidRPr="0083156E">
        <w:rPr>
          <w:rFonts w:cstheme="minorHAnsi"/>
        </w:rPr>
        <w:t xml:space="preserve"> 1999, </w:t>
      </w:r>
      <w:r w:rsidR="006527EF" w:rsidRPr="0083156E">
        <w:rPr>
          <w:rFonts w:cstheme="minorHAnsi"/>
        </w:rPr>
        <w:t>‘</w:t>
      </w:r>
      <w:r w:rsidRPr="0083156E">
        <w:rPr>
          <w:rFonts w:cstheme="minorHAnsi"/>
        </w:rPr>
        <w:t>Risk adjustment and hospital cost-based resource allocation, with an application to El Salvador,</w:t>
      </w:r>
      <w:r w:rsidR="006527EF" w:rsidRPr="0083156E">
        <w:rPr>
          <w:rFonts w:cstheme="minorHAnsi"/>
        </w:rPr>
        <w:t>’</w:t>
      </w:r>
      <w:r w:rsidRPr="0083156E">
        <w:rPr>
          <w:rFonts w:cstheme="minorHAnsi"/>
        </w:rPr>
        <w:t xml:space="preserve"> Social Science and Medicine, 48, 197-212</w:t>
      </w:r>
      <w:r w:rsidR="00537C49" w:rsidRPr="0083156E">
        <w:rPr>
          <w:rFonts w:cstheme="minorHAnsi"/>
        </w:rPr>
        <w:t>.</w:t>
      </w:r>
    </w:p>
    <w:p w14:paraId="034B2EE9" w14:textId="77777777" w:rsidR="00824842" w:rsidRPr="0083156E" w:rsidRDefault="00824842" w:rsidP="0083156E">
      <w:pPr>
        <w:autoSpaceDE w:val="0"/>
        <w:autoSpaceDN w:val="0"/>
        <w:adjustRightInd w:val="0"/>
        <w:spacing w:after="0" w:line="240" w:lineRule="auto"/>
        <w:rPr>
          <w:rFonts w:cstheme="minorHAnsi"/>
        </w:rPr>
      </w:pPr>
    </w:p>
    <w:p w14:paraId="76533FBD" w14:textId="4408085C" w:rsidR="00A610B3" w:rsidRPr="0083156E" w:rsidRDefault="00537C49" w:rsidP="0083156E">
      <w:pPr>
        <w:autoSpaceDE w:val="0"/>
        <w:autoSpaceDN w:val="0"/>
        <w:adjustRightInd w:val="0"/>
        <w:spacing w:after="0" w:line="240" w:lineRule="auto"/>
        <w:rPr>
          <w:rFonts w:cstheme="minorHAnsi"/>
        </w:rPr>
      </w:pPr>
      <w:r w:rsidRPr="0083156E">
        <w:rPr>
          <w:rFonts w:cstheme="minorHAnsi"/>
        </w:rPr>
        <w:t>Fildes, R. and H. Stekler, 2002</w:t>
      </w:r>
      <w:r w:rsidR="00A610B3" w:rsidRPr="0083156E">
        <w:rPr>
          <w:rFonts w:cstheme="minorHAnsi"/>
        </w:rPr>
        <w:t xml:space="preserve">, </w:t>
      </w:r>
      <w:r w:rsidRPr="0083156E">
        <w:rPr>
          <w:rFonts w:cstheme="minorHAnsi"/>
        </w:rPr>
        <w:t>‘</w:t>
      </w:r>
      <w:r w:rsidR="00A610B3" w:rsidRPr="0083156E">
        <w:rPr>
          <w:rFonts w:cstheme="minorHAnsi"/>
        </w:rPr>
        <w:t>The state of macroeconomic forecasting,</w:t>
      </w:r>
      <w:r w:rsidRPr="0083156E">
        <w:rPr>
          <w:rFonts w:cstheme="minorHAnsi"/>
        </w:rPr>
        <w:t xml:space="preserve">’ Journal of </w:t>
      </w:r>
      <w:r w:rsidR="001058A1" w:rsidRPr="0083156E">
        <w:rPr>
          <w:rFonts w:cstheme="minorHAnsi"/>
        </w:rPr>
        <w:t>Macroeconomics</w:t>
      </w:r>
      <w:r w:rsidR="00A610B3" w:rsidRPr="0083156E">
        <w:rPr>
          <w:rFonts w:cstheme="minorHAnsi"/>
        </w:rPr>
        <w:t>, 24, 435-68.</w:t>
      </w:r>
    </w:p>
    <w:p w14:paraId="72C11E1C" w14:textId="77777777" w:rsidR="00F6353A" w:rsidRPr="0083156E" w:rsidRDefault="00F6353A" w:rsidP="0083156E">
      <w:pPr>
        <w:shd w:val="clear" w:color="auto" w:fill="FFFFFF"/>
        <w:spacing w:after="0" w:line="240" w:lineRule="auto"/>
        <w:outlineLvl w:val="1"/>
        <w:rPr>
          <w:rFonts w:cstheme="minorHAnsi"/>
        </w:rPr>
      </w:pPr>
    </w:p>
    <w:p w14:paraId="75AD1107" w14:textId="77777777" w:rsidR="00A610B3" w:rsidRPr="0083156E" w:rsidRDefault="00537C49" w:rsidP="0083156E">
      <w:pPr>
        <w:pStyle w:val="Default"/>
        <w:rPr>
          <w:rFonts w:asciiTheme="minorHAnsi" w:hAnsiTheme="minorHAnsi" w:cstheme="minorHAnsi"/>
          <w:color w:val="auto"/>
          <w:sz w:val="22"/>
          <w:szCs w:val="22"/>
        </w:rPr>
      </w:pPr>
      <w:r w:rsidRPr="0083156E">
        <w:rPr>
          <w:rFonts w:asciiTheme="minorHAnsi" w:hAnsiTheme="minorHAnsi" w:cstheme="minorHAnsi"/>
          <w:color w:val="auto"/>
          <w:sz w:val="22"/>
          <w:szCs w:val="22"/>
        </w:rPr>
        <w:t>Finn</w:t>
      </w:r>
      <w:r w:rsidR="00A610B3" w:rsidRPr="0083156E">
        <w:rPr>
          <w:rFonts w:asciiTheme="minorHAnsi" w:hAnsiTheme="minorHAnsi" w:cstheme="minorHAnsi"/>
          <w:color w:val="auto"/>
          <w:sz w:val="22"/>
          <w:szCs w:val="22"/>
        </w:rPr>
        <w:t>,</w:t>
      </w:r>
      <w:r w:rsidRPr="0083156E">
        <w:rPr>
          <w:rFonts w:asciiTheme="minorHAnsi" w:hAnsiTheme="minorHAnsi" w:cstheme="minorHAnsi"/>
          <w:color w:val="auto"/>
          <w:sz w:val="22"/>
          <w:szCs w:val="22"/>
        </w:rPr>
        <w:t xml:space="preserve"> </w:t>
      </w:r>
      <w:r w:rsidR="00A610B3" w:rsidRPr="0083156E">
        <w:rPr>
          <w:rFonts w:asciiTheme="minorHAnsi" w:hAnsiTheme="minorHAnsi" w:cstheme="minorHAnsi"/>
          <w:color w:val="auto"/>
          <w:sz w:val="22"/>
          <w:szCs w:val="22"/>
        </w:rPr>
        <w:t>D</w:t>
      </w:r>
      <w:r w:rsidRPr="0083156E">
        <w:rPr>
          <w:rFonts w:asciiTheme="minorHAnsi" w:hAnsiTheme="minorHAnsi" w:cstheme="minorHAnsi"/>
          <w:color w:val="auto"/>
          <w:sz w:val="22"/>
          <w:szCs w:val="22"/>
        </w:rPr>
        <w:t>.</w:t>
      </w:r>
      <w:r w:rsidR="00A610B3" w:rsidRPr="0083156E">
        <w:rPr>
          <w:rFonts w:asciiTheme="minorHAnsi" w:hAnsiTheme="minorHAnsi" w:cstheme="minorHAnsi"/>
          <w:color w:val="auto"/>
          <w:sz w:val="22"/>
          <w:szCs w:val="22"/>
        </w:rPr>
        <w:t xml:space="preserve">, 2011, </w:t>
      </w:r>
      <w:r w:rsidRPr="0083156E">
        <w:rPr>
          <w:rFonts w:asciiTheme="minorHAnsi" w:hAnsiTheme="minorHAnsi" w:cstheme="minorHAnsi"/>
          <w:color w:val="auto"/>
          <w:sz w:val="22"/>
          <w:szCs w:val="22"/>
        </w:rPr>
        <w:t>‘</w:t>
      </w:r>
      <w:r w:rsidR="00A610B3" w:rsidRPr="0083156E">
        <w:rPr>
          <w:rFonts w:asciiTheme="minorHAnsi" w:hAnsiTheme="minorHAnsi" w:cstheme="minorHAnsi"/>
          <w:color w:val="auto"/>
          <w:sz w:val="22"/>
          <w:szCs w:val="22"/>
        </w:rPr>
        <w:t>The design of the Work Progr</w:t>
      </w:r>
      <w:r w:rsidR="00E0056A" w:rsidRPr="0083156E">
        <w:rPr>
          <w:rFonts w:asciiTheme="minorHAnsi" w:hAnsiTheme="minorHAnsi" w:cstheme="minorHAnsi"/>
          <w:color w:val="auto"/>
          <w:sz w:val="22"/>
          <w:szCs w:val="22"/>
        </w:rPr>
        <w:t>amme in international context,</w:t>
      </w:r>
      <w:r w:rsidRPr="0083156E">
        <w:rPr>
          <w:rFonts w:asciiTheme="minorHAnsi" w:hAnsiTheme="minorHAnsi" w:cstheme="minorHAnsi"/>
          <w:color w:val="auto"/>
          <w:sz w:val="22"/>
          <w:szCs w:val="22"/>
        </w:rPr>
        <w:t>’</w:t>
      </w:r>
      <w:r w:rsidR="00E0056A" w:rsidRPr="0083156E">
        <w:rPr>
          <w:rFonts w:asciiTheme="minorHAnsi" w:hAnsiTheme="minorHAnsi" w:cstheme="minorHAnsi"/>
          <w:color w:val="auto"/>
          <w:sz w:val="22"/>
          <w:szCs w:val="22"/>
        </w:rPr>
        <w:t xml:space="preserve"> </w:t>
      </w:r>
      <w:r w:rsidR="00A610B3" w:rsidRPr="0083156E">
        <w:rPr>
          <w:rFonts w:asciiTheme="minorHAnsi" w:hAnsiTheme="minorHAnsi" w:cstheme="minorHAnsi"/>
          <w:color w:val="auto"/>
          <w:sz w:val="22"/>
          <w:szCs w:val="22"/>
        </w:rPr>
        <w:t xml:space="preserve">Report for the National Audit Office, Centre for Economic and Social Inclusion and University of Portsmouth. </w:t>
      </w:r>
    </w:p>
    <w:p w14:paraId="0B73394D" w14:textId="77777777" w:rsidR="00A610B3" w:rsidRPr="0083156E" w:rsidRDefault="00A610B3" w:rsidP="0083156E">
      <w:pPr>
        <w:shd w:val="clear" w:color="auto" w:fill="FFFFFF"/>
        <w:spacing w:after="0" w:line="240" w:lineRule="auto"/>
        <w:outlineLvl w:val="1"/>
        <w:rPr>
          <w:rFonts w:cstheme="minorHAnsi"/>
        </w:rPr>
      </w:pPr>
    </w:p>
    <w:p w14:paraId="5E69E6E8" w14:textId="77777777" w:rsidR="005729EB" w:rsidRPr="0083156E" w:rsidRDefault="005729EB" w:rsidP="0083156E">
      <w:pPr>
        <w:autoSpaceDE w:val="0"/>
        <w:autoSpaceDN w:val="0"/>
        <w:adjustRightInd w:val="0"/>
        <w:spacing w:after="0" w:line="240" w:lineRule="auto"/>
        <w:rPr>
          <w:rFonts w:cstheme="minorHAnsi"/>
        </w:rPr>
      </w:pPr>
      <w:r w:rsidRPr="0083156E">
        <w:rPr>
          <w:rFonts w:cstheme="minorHAnsi"/>
        </w:rPr>
        <w:t>Fitjar, R.D</w:t>
      </w:r>
      <w:r w:rsidR="006527EF" w:rsidRPr="0083156E">
        <w:rPr>
          <w:rFonts w:cstheme="minorHAnsi"/>
        </w:rPr>
        <w:t>.</w:t>
      </w:r>
      <w:r w:rsidRPr="0083156E">
        <w:rPr>
          <w:rFonts w:cstheme="minorHAnsi"/>
        </w:rPr>
        <w:t xml:space="preserve"> and</w:t>
      </w:r>
      <w:r w:rsidR="00537C49" w:rsidRPr="0083156E">
        <w:rPr>
          <w:rFonts w:cstheme="minorHAnsi"/>
        </w:rPr>
        <w:t xml:space="preserve"> A.</w:t>
      </w:r>
      <w:r w:rsidRPr="0083156E">
        <w:rPr>
          <w:rFonts w:cstheme="minorHAnsi"/>
        </w:rPr>
        <w:t xml:space="preserve"> Rod</w:t>
      </w:r>
      <w:r w:rsidR="00537C49" w:rsidRPr="0083156E">
        <w:rPr>
          <w:rFonts w:cstheme="minorHAnsi"/>
        </w:rPr>
        <w:t>riguez-Pose,</w:t>
      </w:r>
      <w:r w:rsidRPr="0083156E">
        <w:rPr>
          <w:rFonts w:cstheme="minorHAnsi"/>
        </w:rPr>
        <w:t xml:space="preserve"> 2013, </w:t>
      </w:r>
      <w:r w:rsidR="00537C49" w:rsidRPr="0083156E">
        <w:rPr>
          <w:rFonts w:cstheme="minorHAnsi"/>
        </w:rPr>
        <w:t>‘</w:t>
      </w:r>
      <w:r w:rsidRPr="0083156E">
        <w:rPr>
          <w:rFonts w:cstheme="minorHAnsi"/>
        </w:rPr>
        <w:t>Firm collaboration and modes of innovation in Norway,</w:t>
      </w:r>
      <w:r w:rsidR="00537C49" w:rsidRPr="0083156E">
        <w:rPr>
          <w:rFonts w:cstheme="minorHAnsi"/>
        </w:rPr>
        <w:t>’</w:t>
      </w:r>
      <w:r w:rsidRPr="0083156E">
        <w:rPr>
          <w:rFonts w:cstheme="minorHAnsi"/>
        </w:rPr>
        <w:t xml:space="preserve"> Research Policy, 42, 128-138. </w:t>
      </w:r>
    </w:p>
    <w:p w14:paraId="1FCC4B5E" w14:textId="77777777" w:rsidR="00BD1CCF" w:rsidRPr="0083156E" w:rsidRDefault="00BD1CCF" w:rsidP="0083156E">
      <w:pPr>
        <w:shd w:val="clear" w:color="auto" w:fill="FFFFFF"/>
        <w:spacing w:after="0" w:line="240" w:lineRule="auto"/>
        <w:outlineLvl w:val="1"/>
        <w:rPr>
          <w:rFonts w:cstheme="minorHAnsi"/>
        </w:rPr>
      </w:pPr>
    </w:p>
    <w:p w14:paraId="7B741D00" w14:textId="77777777" w:rsidR="00BD1CCF" w:rsidRPr="0083156E" w:rsidRDefault="00B342FF" w:rsidP="0083156E">
      <w:pPr>
        <w:autoSpaceDE w:val="0"/>
        <w:autoSpaceDN w:val="0"/>
        <w:adjustRightInd w:val="0"/>
        <w:spacing w:after="0" w:line="240" w:lineRule="auto"/>
        <w:rPr>
          <w:rFonts w:cstheme="minorHAnsi"/>
        </w:rPr>
      </w:pPr>
      <w:r w:rsidRPr="0083156E">
        <w:rPr>
          <w:rFonts w:cstheme="minorHAnsi"/>
        </w:rPr>
        <w:t>Flentje, E</w:t>
      </w:r>
      <w:r w:rsidR="00537C49" w:rsidRPr="0083156E">
        <w:rPr>
          <w:rFonts w:cstheme="minorHAnsi"/>
        </w:rPr>
        <w:t>.</w:t>
      </w:r>
      <w:r w:rsidRPr="0083156E">
        <w:rPr>
          <w:rFonts w:cstheme="minorHAnsi"/>
        </w:rPr>
        <w:t xml:space="preserve">, </w:t>
      </w:r>
      <w:r w:rsidR="00537C49" w:rsidRPr="0083156E">
        <w:rPr>
          <w:rFonts w:cstheme="minorHAnsi"/>
        </w:rPr>
        <w:t>E. Cull</w:t>
      </w:r>
      <w:r w:rsidRPr="0083156E">
        <w:rPr>
          <w:rFonts w:cstheme="minorHAnsi"/>
        </w:rPr>
        <w:t xml:space="preserve">, and </w:t>
      </w:r>
      <w:r w:rsidR="00537C49" w:rsidRPr="0083156E">
        <w:rPr>
          <w:rFonts w:cstheme="minorHAnsi"/>
        </w:rPr>
        <w:t>G. Giuliani,</w:t>
      </w:r>
      <w:r w:rsidRPr="0083156E">
        <w:rPr>
          <w:rFonts w:cstheme="minorHAnsi"/>
        </w:rPr>
        <w:t xml:space="preserve"> 2010, </w:t>
      </w:r>
      <w:r w:rsidR="00503D22" w:rsidRPr="0083156E">
        <w:rPr>
          <w:rFonts w:cstheme="minorHAnsi"/>
        </w:rPr>
        <w:t>‘</w:t>
      </w:r>
      <w:r w:rsidRPr="0083156E">
        <w:rPr>
          <w:rFonts w:cstheme="minorHAnsi"/>
        </w:rPr>
        <w:t>Achieving sustainable outcomes for disadvantaged job seekers: challenges for specialist providers under the current Job Services Australia contract</w:t>
      </w:r>
      <w:r w:rsidR="00503D22" w:rsidRPr="0083156E">
        <w:rPr>
          <w:rFonts w:cstheme="minorHAnsi"/>
        </w:rPr>
        <w:t>,’ Hanover Welfare Services, Melbourne City Commission and Jobs Australia</w:t>
      </w:r>
      <w:r w:rsidRPr="0083156E">
        <w:rPr>
          <w:rFonts w:cstheme="minorHAnsi"/>
        </w:rPr>
        <w:t xml:space="preserve">. </w:t>
      </w:r>
    </w:p>
    <w:p w14:paraId="3089909F" w14:textId="77777777" w:rsidR="00A610B3" w:rsidRPr="0083156E" w:rsidRDefault="00A610B3" w:rsidP="0083156E">
      <w:pPr>
        <w:shd w:val="clear" w:color="auto" w:fill="FFFFFF"/>
        <w:spacing w:after="0" w:line="240" w:lineRule="auto"/>
        <w:outlineLvl w:val="1"/>
        <w:rPr>
          <w:rFonts w:cstheme="minorHAnsi"/>
        </w:rPr>
      </w:pPr>
    </w:p>
    <w:p w14:paraId="287DF4E9" w14:textId="77777777" w:rsidR="00A610B3" w:rsidRPr="0083156E" w:rsidRDefault="00503D22" w:rsidP="0083156E">
      <w:pPr>
        <w:autoSpaceDE w:val="0"/>
        <w:autoSpaceDN w:val="0"/>
        <w:adjustRightInd w:val="0"/>
        <w:spacing w:after="0" w:line="240" w:lineRule="auto"/>
        <w:rPr>
          <w:rFonts w:cstheme="minorHAnsi"/>
        </w:rPr>
      </w:pPr>
      <w:r w:rsidRPr="0083156E">
        <w:rPr>
          <w:rFonts w:cstheme="minorHAnsi"/>
        </w:rPr>
        <w:t>Frank, A. and</w:t>
      </w:r>
      <w:r w:rsidR="00A610B3" w:rsidRPr="0083156E">
        <w:rPr>
          <w:rFonts w:cstheme="minorHAnsi"/>
        </w:rPr>
        <w:t xml:space="preserve"> </w:t>
      </w:r>
      <w:r w:rsidRPr="0083156E">
        <w:rPr>
          <w:rFonts w:cstheme="minorHAnsi"/>
        </w:rPr>
        <w:t>E. Minoff,</w:t>
      </w:r>
      <w:r w:rsidR="00A610B3" w:rsidRPr="0083156E">
        <w:rPr>
          <w:rFonts w:cstheme="minorHAnsi"/>
        </w:rPr>
        <w:t xml:space="preserve"> 2005, </w:t>
      </w:r>
      <w:r w:rsidRPr="0083156E">
        <w:rPr>
          <w:rFonts w:cstheme="minorHAnsi"/>
        </w:rPr>
        <w:t>‘Declining share of a</w:t>
      </w:r>
      <w:r w:rsidR="00A610B3" w:rsidRPr="0083156E">
        <w:rPr>
          <w:rFonts w:cstheme="minorHAnsi"/>
        </w:rPr>
        <w:t>dults receiving training under WIA are low-income or disadvantaged,</w:t>
      </w:r>
      <w:r w:rsidRPr="0083156E">
        <w:rPr>
          <w:rFonts w:cstheme="minorHAnsi"/>
        </w:rPr>
        <w:t>’</w:t>
      </w:r>
      <w:r w:rsidR="00A610B3" w:rsidRPr="0083156E">
        <w:rPr>
          <w:rFonts w:cstheme="minorHAnsi"/>
        </w:rPr>
        <w:t xml:space="preserve"> Centre for Law and Social Policy, Washington, DC. </w:t>
      </w:r>
    </w:p>
    <w:p w14:paraId="03295D9F" w14:textId="77777777" w:rsidR="00A610B3" w:rsidRPr="0083156E" w:rsidRDefault="00A610B3" w:rsidP="0083156E">
      <w:pPr>
        <w:autoSpaceDE w:val="0"/>
        <w:autoSpaceDN w:val="0"/>
        <w:adjustRightInd w:val="0"/>
        <w:spacing w:after="0" w:line="240" w:lineRule="auto"/>
        <w:rPr>
          <w:rFonts w:cstheme="minorHAnsi"/>
        </w:rPr>
      </w:pPr>
    </w:p>
    <w:p w14:paraId="64F96178" w14:textId="77777777" w:rsidR="00A610B3" w:rsidRPr="0083156E" w:rsidRDefault="00503D22" w:rsidP="0083156E">
      <w:pPr>
        <w:spacing w:after="0" w:line="240" w:lineRule="auto"/>
        <w:rPr>
          <w:rFonts w:cstheme="minorHAnsi"/>
        </w:rPr>
      </w:pPr>
      <w:r w:rsidRPr="0083156E">
        <w:rPr>
          <w:rFonts w:cstheme="minorHAnsi"/>
        </w:rPr>
        <w:t>Freeman, C., 1991, ‘</w:t>
      </w:r>
      <w:r w:rsidR="00A610B3" w:rsidRPr="0083156E">
        <w:rPr>
          <w:rFonts w:cstheme="minorHAnsi"/>
        </w:rPr>
        <w:t>Networks of in</w:t>
      </w:r>
      <w:r w:rsidR="006527EF" w:rsidRPr="0083156E">
        <w:rPr>
          <w:rFonts w:cstheme="minorHAnsi"/>
        </w:rPr>
        <w:t>novators: A synthesis,</w:t>
      </w:r>
      <w:r w:rsidRPr="0083156E">
        <w:rPr>
          <w:rFonts w:cstheme="minorHAnsi"/>
        </w:rPr>
        <w:t>’ Research Policy, 20,</w:t>
      </w:r>
      <w:r w:rsidR="00A610B3" w:rsidRPr="0083156E">
        <w:rPr>
          <w:rFonts w:cstheme="minorHAnsi"/>
        </w:rPr>
        <w:t xml:space="preserve"> 499-514.</w:t>
      </w:r>
    </w:p>
    <w:p w14:paraId="4E1D2817" w14:textId="77777777" w:rsidR="00A610B3" w:rsidRPr="0083156E" w:rsidRDefault="00A610B3" w:rsidP="0083156E">
      <w:pPr>
        <w:autoSpaceDE w:val="0"/>
        <w:autoSpaceDN w:val="0"/>
        <w:adjustRightInd w:val="0"/>
        <w:spacing w:after="0" w:line="240" w:lineRule="auto"/>
        <w:rPr>
          <w:rFonts w:cstheme="minorHAnsi"/>
        </w:rPr>
      </w:pPr>
    </w:p>
    <w:p w14:paraId="4F97CFA0" w14:textId="77777777" w:rsidR="00A610B3" w:rsidRPr="0083156E" w:rsidRDefault="00503D22" w:rsidP="0083156E">
      <w:pPr>
        <w:autoSpaceDE w:val="0"/>
        <w:autoSpaceDN w:val="0"/>
        <w:adjustRightInd w:val="0"/>
        <w:spacing w:after="0" w:line="240" w:lineRule="auto"/>
        <w:rPr>
          <w:rFonts w:cstheme="minorHAnsi"/>
        </w:rPr>
      </w:pPr>
      <w:r w:rsidRPr="0083156E">
        <w:rPr>
          <w:rFonts w:cstheme="minorHAnsi"/>
        </w:rPr>
        <w:t>Fung, C.H., Y.W. Lim, S. Mattke, C. Damberg and P.G. Shekelle, 2008, ‘Systematic review: The evidence that publishing patient care performance data improves quality of care,’</w:t>
      </w:r>
      <w:r w:rsidR="00A610B3" w:rsidRPr="0083156E">
        <w:rPr>
          <w:rFonts w:cstheme="minorHAnsi"/>
        </w:rPr>
        <w:t xml:space="preserve"> Annals of Internal Med</w:t>
      </w:r>
      <w:r w:rsidRPr="0083156E">
        <w:rPr>
          <w:rFonts w:cstheme="minorHAnsi"/>
        </w:rPr>
        <w:t>icine, 148</w:t>
      </w:r>
      <w:r w:rsidR="00A610B3" w:rsidRPr="0083156E">
        <w:rPr>
          <w:rFonts w:cstheme="minorHAnsi"/>
        </w:rPr>
        <w:t>, 111-123.</w:t>
      </w:r>
    </w:p>
    <w:p w14:paraId="0E04FBBA" w14:textId="77777777" w:rsidR="004C4D9A" w:rsidRPr="0083156E" w:rsidRDefault="00503D22" w:rsidP="0083156E">
      <w:pPr>
        <w:pStyle w:val="NormalWeb"/>
        <w:shd w:val="clear" w:color="auto" w:fill="FFFFFF"/>
        <w:rPr>
          <w:rFonts w:asciiTheme="minorHAnsi" w:eastAsiaTheme="minorHAnsi" w:hAnsiTheme="minorHAnsi" w:cstheme="minorHAnsi"/>
          <w:sz w:val="22"/>
          <w:szCs w:val="22"/>
          <w:lang w:eastAsia="en-US"/>
        </w:rPr>
      </w:pPr>
      <w:r w:rsidRPr="0083156E">
        <w:rPr>
          <w:rFonts w:asciiTheme="minorHAnsi" w:eastAsiaTheme="minorHAnsi" w:hAnsiTheme="minorHAnsi" w:cstheme="minorHAnsi"/>
          <w:sz w:val="22"/>
          <w:szCs w:val="22"/>
          <w:lang w:eastAsia="en-US"/>
        </w:rPr>
        <w:t xml:space="preserve">Gardiner, K.N., M.E. Fishman, A. Glosser and J Tapogna, 2004, </w:t>
      </w:r>
      <w:r w:rsidR="005B1EA6" w:rsidRPr="0083156E">
        <w:rPr>
          <w:rFonts w:asciiTheme="minorHAnsi" w:eastAsiaTheme="minorHAnsi" w:hAnsiTheme="minorHAnsi" w:cstheme="minorHAnsi"/>
          <w:sz w:val="22"/>
          <w:szCs w:val="22"/>
          <w:lang w:eastAsia="en-US"/>
        </w:rPr>
        <w:t>‘</w:t>
      </w:r>
      <w:r w:rsidRPr="0083156E">
        <w:rPr>
          <w:rFonts w:asciiTheme="minorHAnsi" w:eastAsiaTheme="minorHAnsi" w:hAnsiTheme="minorHAnsi" w:cstheme="minorHAnsi"/>
          <w:sz w:val="22"/>
          <w:szCs w:val="22"/>
          <w:lang w:eastAsia="en-US"/>
        </w:rPr>
        <w:t>Study of the implementation of the performance-based incentive s</w:t>
      </w:r>
      <w:r w:rsidR="005B1EA6" w:rsidRPr="0083156E">
        <w:rPr>
          <w:rFonts w:asciiTheme="minorHAnsi" w:eastAsiaTheme="minorHAnsi" w:hAnsiTheme="minorHAnsi" w:cstheme="minorHAnsi"/>
          <w:sz w:val="22"/>
          <w:szCs w:val="22"/>
          <w:lang w:eastAsia="en-US"/>
        </w:rPr>
        <w:t>ystem,’ Falls Church, VA,</w:t>
      </w:r>
      <w:r w:rsidR="004C4D9A" w:rsidRPr="0083156E">
        <w:rPr>
          <w:rFonts w:asciiTheme="minorHAnsi" w:eastAsiaTheme="minorHAnsi" w:hAnsiTheme="minorHAnsi" w:cstheme="minorHAnsi"/>
          <w:sz w:val="22"/>
          <w:szCs w:val="22"/>
          <w:lang w:eastAsia="en-US"/>
        </w:rPr>
        <w:t xml:space="preserve"> Lewin Group. </w:t>
      </w:r>
    </w:p>
    <w:p w14:paraId="7039D6CC" w14:textId="2818626B" w:rsidR="00A610B3" w:rsidRPr="0083156E" w:rsidRDefault="00A610B3" w:rsidP="0083156E">
      <w:pPr>
        <w:autoSpaceDE w:val="0"/>
        <w:autoSpaceDN w:val="0"/>
        <w:adjustRightInd w:val="0"/>
        <w:spacing w:after="0" w:line="240" w:lineRule="auto"/>
        <w:rPr>
          <w:rFonts w:cstheme="minorHAnsi"/>
        </w:rPr>
      </w:pPr>
      <w:r w:rsidRPr="0083156E">
        <w:rPr>
          <w:rFonts w:cstheme="minorHAnsi"/>
        </w:rPr>
        <w:lastRenderedPageBreak/>
        <w:t xml:space="preserve">General Accounting Office (GAO), 2002, </w:t>
      </w:r>
      <w:r w:rsidR="005B1EA6" w:rsidRPr="0083156E">
        <w:rPr>
          <w:rFonts w:cstheme="minorHAnsi"/>
        </w:rPr>
        <w:t>‘</w:t>
      </w:r>
      <w:r w:rsidRPr="0083156E">
        <w:rPr>
          <w:rFonts w:cstheme="minorHAnsi"/>
        </w:rPr>
        <w:t>Improvement</w:t>
      </w:r>
      <w:r w:rsidR="005B1EA6" w:rsidRPr="0083156E">
        <w:rPr>
          <w:rFonts w:cstheme="minorHAnsi"/>
        </w:rPr>
        <w:t>s needed in performance measures to provide a more accurate picture of WIA's e</w:t>
      </w:r>
      <w:r w:rsidRPr="0083156E">
        <w:rPr>
          <w:rFonts w:cstheme="minorHAnsi"/>
        </w:rPr>
        <w:t>ffectiveness</w:t>
      </w:r>
      <w:r w:rsidR="00092B30" w:rsidRPr="0083156E">
        <w:rPr>
          <w:rFonts w:cstheme="minorHAnsi"/>
        </w:rPr>
        <w:t>,</w:t>
      </w:r>
      <w:r w:rsidR="005B1EA6" w:rsidRPr="0083156E">
        <w:rPr>
          <w:rFonts w:cstheme="minorHAnsi"/>
        </w:rPr>
        <w:t>’</w:t>
      </w:r>
      <w:r w:rsidRPr="0083156E">
        <w:rPr>
          <w:rFonts w:cstheme="minorHAnsi"/>
        </w:rPr>
        <w:t xml:space="preserve"> Rep</w:t>
      </w:r>
      <w:r w:rsidR="005B1EA6" w:rsidRPr="0083156E">
        <w:rPr>
          <w:rFonts w:cstheme="minorHAnsi"/>
        </w:rPr>
        <w:t>ort to Congressional Requesters, GAO-02-275,</w:t>
      </w:r>
      <w:r w:rsidRPr="0083156E">
        <w:rPr>
          <w:rFonts w:cstheme="minorHAnsi"/>
        </w:rPr>
        <w:t xml:space="preserve"> Washington, DC: GAO.</w:t>
      </w:r>
    </w:p>
    <w:p w14:paraId="75F25434" w14:textId="77777777" w:rsidR="005729EB" w:rsidRPr="0083156E" w:rsidRDefault="005729EB" w:rsidP="0083156E">
      <w:pPr>
        <w:autoSpaceDE w:val="0"/>
        <w:autoSpaceDN w:val="0"/>
        <w:adjustRightInd w:val="0"/>
        <w:spacing w:after="0" w:line="240" w:lineRule="auto"/>
        <w:rPr>
          <w:rFonts w:cstheme="minorHAnsi"/>
        </w:rPr>
      </w:pPr>
    </w:p>
    <w:p w14:paraId="6C955815" w14:textId="77777777" w:rsidR="00F6353A" w:rsidRPr="0083156E" w:rsidRDefault="00F6353A" w:rsidP="0083156E">
      <w:pPr>
        <w:autoSpaceDE w:val="0"/>
        <w:autoSpaceDN w:val="0"/>
        <w:adjustRightInd w:val="0"/>
        <w:spacing w:after="0" w:line="240" w:lineRule="auto"/>
        <w:rPr>
          <w:rFonts w:cstheme="minorHAnsi"/>
        </w:rPr>
      </w:pPr>
      <w:r w:rsidRPr="0083156E">
        <w:rPr>
          <w:rFonts w:cstheme="minorHAnsi"/>
        </w:rPr>
        <w:t xml:space="preserve">Gerwin, D., </w:t>
      </w:r>
      <w:r w:rsidR="005B1EA6" w:rsidRPr="0083156E">
        <w:rPr>
          <w:rFonts w:cstheme="minorHAnsi"/>
        </w:rPr>
        <w:t>V. Kumar</w:t>
      </w:r>
      <w:r w:rsidRPr="0083156E">
        <w:rPr>
          <w:rFonts w:cstheme="minorHAnsi"/>
        </w:rPr>
        <w:t xml:space="preserve"> and </w:t>
      </w:r>
      <w:r w:rsidR="005B1EA6" w:rsidRPr="0083156E">
        <w:rPr>
          <w:rFonts w:cstheme="minorHAnsi"/>
        </w:rPr>
        <w:t>S. Pal, 1992,</w:t>
      </w:r>
      <w:r w:rsidRPr="0083156E">
        <w:rPr>
          <w:rFonts w:cstheme="minorHAnsi"/>
        </w:rPr>
        <w:t xml:space="preserve"> </w:t>
      </w:r>
      <w:r w:rsidR="00507A67" w:rsidRPr="0083156E">
        <w:rPr>
          <w:rFonts w:cstheme="minorHAnsi"/>
        </w:rPr>
        <w:t>‘</w:t>
      </w:r>
      <w:r w:rsidRPr="0083156E">
        <w:rPr>
          <w:rFonts w:cstheme="minorHAnsi"/>
        </w:rPr>
        <w:t>Transfer of advanced manufacturing technology from Canadian universities to industry</w:t>
      </w:r>
      <w:r w:rsidR="00507A67" w:rsidRPr="0083156E">
        <w:rPr>
          <w:rFonts w:cstheme="minorHAnsi"/>
        </w:rPr>
        <w:t>,’</w:t>
      </w:r>
      <w:r w:rsidRPr="0083156E">
        <w:rPr>
          <w:rFonts w:cstheme="minorHAnsi"/>
        </w:rPr>
        <w:t xml:space="preserve"> Technology Tra</w:t>
      </w:r>
      <w:r w:rsidR="00507A67" w:rsidRPr="0083156E">
        <w:rPr>
          <w:rFonts w:cstheme="minorHAnsi"/>
        </w:rPr>
        <w:t>nsfer, 12, 57-67</w:t>
      </w:r>
      <w:r w:rsidRPr="0083156E">
        <w:rPr>
          <w:rFonts w:cstheme="minorHAnsi"/>
        </w:rPr>
        <w:t>.</w:t>
      </w:r>
    </w:p>
    <w:p w14:paraId="38610DF2" w14:textId="77777777" w:rsidR="00F6353A" w:rsidRPr="0083156E" w:rsidRDefault="00F6353A" w:rsidP="0083156E">
      <w:pPr>
        <w:autoSpaceDE w:val="0"/>
        <w:autoSpaceDN w:val="0"/>
        <w:adjustRightInd w:val="0"/>
        <w:spacing w:after="0" w:line="240" w:lineRule="auto"/>
        <w:rPr>
          <w:rFonts w:cstheme="minorHAnsi"/>
        </w:rPr>
      </w:pPr>
    </w:p>
    <w:p w14:paraId="7E60E18A" w14:textId="77777777" w:rsidR="00A610B3" w:rsidRPr="0083156E" w:rsidRDefault="00507A67" w:rsidP="0083156E">
      <w:pPr>
        <w:autoSpaceDE w:val="0"/>
        <w:autoSpaceDN w:val="0"/>
        <w:adjustRightInd w:val="0"/>
        <w:spacing w:after="0" w:line="240" w:lineRule="auto"/>
        <w:rPr>
          <w:rFonts w:cstheme="minorHAnsi"/>
        </w:rPr>
      </w:pPr>
      <w:r w:rsidRPr="0083156E">
        <w:rPr>
          <w:rFonts w:cstheme="minorHAnsi"/>
        </w:rPr>
        <w:t xml:space="preserve">Gilbert, R., 2006, </w:t>
      </w:r>
      <w:r w:rsidR="00092B30" w:rsidRPr="0083156E">
        <w:rPr>
          <w:rFonts w:cstheme="minorHAnsi"/>
        </w:rPr>
        <w:t>‘</w:t>
      </w:r>
      <w:r w:rsidRPr="0083156E">
        <w:rPr>
          <w:rFonts w:cstheme="minorHAnsi"/>
        </w:rPr>
        <w:t>Looking for Mr. Schumpeter: W</w:t>
      </w:r>
      <w:r w:rsidR="00A610B3" w:rsidRPr="0083156E">
        <w:rPr>
          <w:rFonts w:cstheme="minorHAnsi"/>
        </w:rPr>
        <w:t>here are we in th</w:t>
      </w:r>
      <w:r w:rsidRPr="0083156E">
        <w:rPr>
          <w:rFonts w:cstheme="minorHAnsi"/>
        </w:rPr>
        <w:t>e competition-innovation debate?,</w:t>
      </w:r>
      <w:r w:rsidR="00092B30" w:rsidRPr="0083156E">
        <w:rPr>
          <w:rFonts w:cstheme="minorHAnsi"/>
        </w:rPr>
        <w:t>’</w:t>
      </w:r>
      <w:r w:rsidRPr="0083156E">
        <w:rPr>
          <w:rFonts w:cstheme="minorHAnsi"/>
        </w:rPr>
        <w:t xml:space="preserve"> In</w:t>
      </w:r>
      <w:r w:rsidR="00A610B3" w:rsidRPr="0083156E">
        <w:rPr>
          <w:rFonts w:cstheme="minorHAnsi"/>
        </w:rPr>
        <w:t xml:space="preserve"> Jaffe, A.B., Lerner, J., Stern, S. (eds), Innovation policy and the ec</w:t>
      </w:r>
      <w:r w:rsidR="00FB113C" w:rsidRPr="0083156E">
        <w:rPr>
          <w:rFonts w:cstheme="minorHAnsi"/>
        </w:rPr>
        <w:t xml:space="preserve">onomy, Vol. 6, </w:t>
      </w:r>
      <w:r w:rsidR="006527EF" w:rsidRPr="0083156E">
        <w:rPr>
          <w:rFonts w:cstheme="minorHAnsi"/>
        </w:rPr>
        <w:t>MIT Press</w:t>
      </w:r>
      <w:r w:rsidR="006527EF" w:rsidRPr="0083156E">
        <w:rPr>
          <w:rFonts w:cstheme="minorHAnsi"/>
          <w:color w:val="000000"/>
        </w:rPr>
        <w:t xml:space="preserve">, </w:t>
      </w:r>
      <w:r w:rsidR="00FB113C" w:rsidRPr="0083156E">
        <w:rPr>
          <w:rFonts w:cstheme="minorHAnsi"/>
          <w:color w:val="000000"/>
        </w:rPr>
        <w:t>159-215</w:t>
      </w:r>
      <w:r w:rsidR="00A610B3" w:rsidRPr="0083156E">
        <w:rPr>
          <w:rFonts w:cstheme="minorHAnsi"/>
        </w:rPr>
        <w:t>.</w:t>
      </w:r>
    </w:p>
    <w:p w14:paraId="65B96929" w14:textId="77777777" w:rsidR="00A610B3" w:rsidRPr="0083156E" w:rsidRDefault="00A610B3" w:rsidP="0083156E">
      <w:pPr>
        <w:pStyle w:val="Default"/>
        <w:rPr>
          <w:rFonts w:asciiTheme="minorHAnsi" w:hAnsiTheme="minorHAnsi" w:cstheme="minorHAnsi"/>
          <w:color w:val="auto"/>
          <w:sz w:val="22"/>
          <w:szCs w:val="22"/>
        </w:rPr>
      </w:pPr>
    </w:p>
    <w:p w14:paraId="150437D1" w14:textId="77777777" w:rsidR="00A610B3" w:rsidRPr="0083156E" w:rsidRDefault="00FB113C" w:rsidP="0083156E">
      <w:pPr>
        <w:pStyle w:val="Default"/>
        <w:rPr>
          <w:rFonts w:asciiTheme="minorHAnsi" w:hAnsiTheme="minorHAnsi" w:cstheme="minorHAnsi"/>
          <w:color w:val="auto"/>
          <w:sz w:val="22"/>
          <w:szCs w:val="22"/>
        </w:rPr>
      </w:pPr>
      <w:r w:rsidRPr="0083156E">
        <w:rPr>
          <w:rFonts w:asciiTheme="minorHAnsi" w:hAnsiTheme="minorHAnsi" w:cstheme="minorHAnsi"/>
          <w:color w:val="auto"/>
          <w:sz w:val="22"/>
          <w:szCs w:val="22"/>
        </w:rPr>
        <w:t>Grubb, D., 2004,</w:t>
      </w:r>
      <w:r w:rsidR="00A610B3" w:rsidRPr="0083156E">
        <w:rPr>
          <w:rFonts w:asciiTheme="minorHAnsi" w:hAnsiTheme="minorHAnsi" w:cstheme="minorHAnsi"/>
          <w:color w:val="auto"/>
          <w:sz w:val="22"/>
          <w:szCs w:val="22"/>
        </w:rPr>
        <w:t xml:space="preserve"> ‘Principles for the performance management of public employment services</w:t>
      </w:r>
      <w:r w:rsidRPr="0083156E">
        <w:rPr>
          <w:rFonts w:asciiTheme="minorHAnsi" w:hAnsiTheme="minorHAnsi" w:cstheme="minorHAnsi"/>
          <w:color w:val="auto"/>
          <w:sz w:val="22"/>
          <w:szCs w:val="22"/>
        </w:rPr>
        <w:t>,</w:t>
      </w:r>
      <w:r w:rsidR="00A610B3" w:rsidRPr="0083156E">
        <w:rPr>
          <w:rFonts w:asciiTheme="minorHAnsi" w:hAnsiTheme="minorHAnsi" w:cstheme="minorHAnsi"/>
          <w:color w:val="auto"/>
          <w:sz w:val="22"/>
          <w:szCs w:val="22"/>
        </w:rPr>
        <w:t>’ P</w:t>
      </w:r>
      <w:r w:rsidRPr="0083156E">
        <w:rPr>
          <w:rFonts w:asciiTheme="minorHAnsi" w:hAnsiTheme="minorHAnsi" w:cstheme="minorHAnsi"/>
          <w:color w:val="auto"/>
          <w:sz w:val="22"/>
          <w:szCs w:val="22"/>
        </w:rPr>
        <w:t>ublic Finance &amp; Management 4,</w:t>
      </w:r>
      <w:r w:rsidR="00A610B3" w:rsidRPr="0083156E">
        <w:rPr>
          <w:rFonts w:asciiTheme="minorHAnsi" w:hAnsiTheme="minorHAnsi" w:cstheme="minorHAnsi"/>
          <w:color w:val="auto"/>
          <w:sz w:val="22"/>
          <w:szCs w:val="22"/>
        </w:rPr>
        <w:t xml:space="preserve"> 352-398.</w:t>
      </w:r>
    </w:p>
    <w:p w14:paraId="5DDE124F" w14:textId="77777777" w:rsidR="00A610B3" w:rsidRPr="0083156E" w:rsidRDefault="00A610B3" w:rsidP="0083156E">
      <w:pPr>
        <w:pStyle w:val="Default"/>
        <w:rPr>
          <w:rFonts w:asciiTheme="minorHAnsi" w:hAnsiTheme="minorHAnsi" w:cstheme="minorHAnsi"/>
          <w:color w:val="auto"/>
          <w:sz w:val="22"/>
          <w:szCs w:val="22"/>
        </w:rPr>
      </w:pPr>
    </w:p>
    <w:p w14:paraId="2B71422F" w14:textId="77777777" w:rsidR="00A610B3" w:rsidRPr="0083156E" w:rsidRDefault="00A610B3" w:rsidP="0083156E">
      <w:pPr>
        <w:autoSpaceDE w:val="0"/>
        <w:autoSpaceDN w:val="0"/>
        <w:adjustRightInd w:val="0"/>
        <w:spacing w:after="0" w:line="240" w:lineRule="auto"/>
        <w:rPr>
          <w:rFonts w:cstheme="minorHAnsi"/>
        </w:rPr>
      </w:pPr>
      <w:r w:rsidRPr="0083156E">
        <w:rPr>
          <w:rFonts w:cstheme="minorHAnsi"/>
        </w:rPr>
        <w:t xml:space="preserve">Gruen, D. and </w:t>
      </w:r>
      <w:r w:rsidR="00FB113C" w:rsidRPr="0083156E">
        <w:rPr>
          <w:rFonts w:cstheme="minorHAnsi"/>
        </w:rPr>
        <w:t>D. Stephan, 2010, ‘Forecasting in the eye of the storm,’</w:t>
      </w:r>
      <w:r w:rsidRPr="0083156E">
        <w:rPr>
          <w:rFonts w:cstheme="minorHAnsi"/>
        </w:rPr>
        <w:t xml:space="preserve"> Address to the NSW Economic Society, 4 June.</w:t>
      </w:r>
    </w:p>
    <w:p w14:paraId="3304C49D" w14:textId="77777777" w:rsidR="00A610B3" w:rsidRPr="0083156E" w:rsidRDefault="00A610B3" w:rsidP="0083156E">
      <w:pPr>
        <w:pStyle w:val="Default"/>
        <w:rPr>
          <w:rFonts w:asciiTheme="minorHAnsi" w:hAnsiTheme="minorHAnsi" w:cstheme="minorHAnsi"/>
          <w:color w:val="auto"/>
          <w:sz w:val="22"/>
          <w:szCs w:val="22"/>
        </w:rPr>
      </w:pPr>
    </w:p>
    <w:p w14:paraId="58F79612" w14:textId="77777777" w:rsidR="00A610B3" w:rsidRPr="0083156E" w:rsidRDefault="00FB113C" w:rsidP="0083156E">
      <w:pPr>
        <w:spacing w:after="0" w:line="240" w:lineRule="auto"/>
        <w:rPr>
          <w:rFonts w:cstheme="minorHAnsi"/>
        </w:rPr>
      </w:pPr>
      <w:r w:rsidRPr="0083156E">
        <w:rPr>
          <w:rFonts w:cstheme="minorHAnsi"/>
        </w:rPr>
        <w:t>Hagedoorn, J.,</w:t>
      </w:r>
      <w:r w:rsidR="00A610B3" w:rsidRPr="0083156E">
        <w:rPr>
          <w:rFonts w:cstheme="minorHAnsi"/>
        </w:rPr>
        <w:t xml:space="preserve"> 1995</w:t>
      </w:r>
      <w:r w:rsidRPr="0083156E">
        <w:rPr>
          <w:rFonts w:cstheme="minorHAnsi"/>
        </w:rPr>
        <w:t>, ‘</w:t>
      </w:r>
      <w:r w:rsidR="00A610B3" w:rsidRPr="0083156E">
        <w:rPr>
          <w:rFonts w:cstheme="minorHAnsi"/>
        </w:rPr>
        <w:t>Strategic technology partnering during the 1980s: Trends, networks, and corporate pat</w:t>
      </w:r>
      <w:r w:rsidRPr="0083156E">
        <w:rPr>
          <w:rFonts w:cstheme="minorHAnsi"/>
        </w:rPr>
        <w:t>terns in non-core technologies,’ Research Policy, 24,</w:t>
      </w:r>
      <w:r w:rsidR="00A610B3" w:rsidRPr="0083156E">
        <w:rPr>
          <w:rFonts w:cstheme="minorHAnsi"/>
        </w:rPr>
        <w:t xml:space="preserve"> 207-231.</w:t>
      </w:r>
    </w:p>
    <w:p w14:paraId="2D4524FB" w14:textId="77777777" w:rsidR="00E0056A" w:rsidRPr="0083156E" w:rsidRDefault="00E0056A" w:rsidP="0083156E">
      <w:pPr>
        <w:autoSpaceDE w:val="0"/>
        <w:autoSpaceDN w:val="0"/>
        <w:adjustRightInd w:val="0"/>
        <w:spacing w:after="0" w:line="240" w:lineRule="auto"/>
        <w:rPr>
          <w:rFonts w:cstheme="minorHAnsi"/>
        </w:rPr>
      </w:pPr>
    </w:p>
    <w:p w14:paraId="50A86F00" w14:textId="77777777" w:rsidR="00A610B3" w:rsidRPr="0083156E" w:rsidRDefault="00FB113C" w:rsidP="0083156E">
      <w:pPr>
        <w:autoSpaceDE w:val="0"/>
        <w:autoSpaceDN w:val="0"/>
        <w:adjustRightInd w:val="0"/>
        <w:spacing w:after="0" w:line="240" w:lineRule="auto"/>
        <w:rPr>
          <w:rFonts w:cstheme="minorHAnsi"/>
        </w:rPr>
      </w:pPr>
      <w:r w:rsidRPr="0083156E">
        <w:rPr>
          <w:rFonts w:cstheme="minorHAnsi"/>
        </w:rPr>
        <w:t>Hamel, G., 1991,</w:t>
      </w:r>
      <w:r w:rsidR="00A610B3" w:rsidRPr="0083156E">
        <w:rPr>
          <w:rFonts w:cstheme="minorHAnsi"/>
        </w:rPr>
        <w:t xml:space="preserve"> </w:t>
      </w:r>
      <w:r w:rsidRPr="0083156E">
        <w:rPr>
          <w:rFonts w:cstheme="minorHAnsi"/>
        </w:rPr>
        <w:t>‘</w:t>
      </w:r>
      <w:r w:rsidR="00A610B3" w:rsidRPr="0083156E">
        <w:rPr>
          <w:rFonts w:cstheme="minorHAnsi"/>
        </w:rPr>
        <w:t>Competition for competence an</w:t>
      </w:r>
      <w:r w:rsidR="00E0056A" w:rsidRPr="0083156E">
        <w:rPr>
          <w:rFonts w:cstheme="minorHAnsi"/>
        </w:rPr>
        <w:t xml:space="preserve">d inter-partner learning within </w:t>
      </w:r>
      <w:r w:rsidR="00A610B3" w:rsidRPr="0083156E">
        <w:rPr>
          <w:rFonts w:cstheme="minorHAnsi"/>
        </w:rPr>
        <w:t>in</w:t>
      </w:r>
      <w:r w:rsidRPr="0083156E">
        <w:rPr>
          <w:rFonts w:cstheme="minorHAnsi"/>
        </w:rPr>
        <w:t>ternational strategic alliances,’</w:t>
      </w:r>
      <w:r w:rsidR="00A610B3" w:rsidRPr="0083156E">
        <w:rPr>
          <w:rFonts w:cstheme="minorHAnsi"/>
        </w:rPr>
        <w:t xml:space="preserve"> S</w:t>
      </w:r>
      <w:r w:rsidRPr="0083156E">
        <w:rPr>
          <w:rFonts w:cstheme="minorHAnsi"/>
        </w:rPr>
        <w:t>trategic Management Journal, 12,</w:t>
      </w:r>
      <w:r w:rsidR="00A610B3" w:rsidRPr="0083156E">
        <w:rPr>
          <w:rFonts w:cstheme="minorHAnsi"/>
        </w:rPr>
        <w:t xml:space="preserve"> 83-103.</w:t>
      </w:r>
    </w:p>
    <w:p w14:paraId="68B72738" w14:textId="77777777" w:rsidR="00A610B3" w:rsidRPr="0083156E" w:rsidRDefault="00A610B3" w:rsidP="0083156E">
      <w:pPr>
        <w:pStyle w:val="Default"/>
        <w:rPr>
          <w:rFonts w:asciiTheme="minorHAnsi" w:hAnsiTheme="minorHAnsi" w:cstheme="minorHAnsi"/>
          <w:color w:val="auto"/>
          <w:sz w:val="22"/>
          <w:szCs w:val="22"/>
        </w:rPr>
      </w:pPr>
    </w:p>
    <w:p w14:paraId="55686F7A" w14:textId="77777777" w:rsidR="00A610B3" w:rsidRPr="0083156E" w:rsidRDefault="00FB113C" w:rsidP="0083156E">
      <w:pPr>
        <w:autoSpaceDE w:val="0"/>
        <w:autoSpaceDN w:val="0"/>
        <w:adjustRightInd w:val="0"/>
        <w:spacing w:after="0" w:line="240" w:lineRule="auto"/>
        <w:rPr>
          <w:rFonts w:cstheme="minorHAnsi"/>
        </w:rPr>
      </w:pPr>
      <w:r w:rsidRPr="0083156E">
        <w:rPr>
          <w:rFonts w:cstheme="minorHAnsi"/>
        </w:rPr>
        <w:t>Heckman, J., C. Heinrich, J. Smith, 2002,</w:t>
      </w:r>
      <w:r w:rsidR="00A610B3" w:rsidRPr="0083156E">
        <w:rPr>
          <w:rFonts w:cstheme="minorHAnsi"/>
        </w:rPr>
        <w:t xml:space="preserve"> </w:t>
      </w:r>
      <w:r w:rsidRPr="0083156E">
        <w:rPr>
          <w:rFonts w:cstheme="minorHAnsi"/>
        </w:rPr>
        <w:t>‘The performance of performance s</w:t>
      </w:r>
      <w:r w:rsidR="00A610B3" w:rsidRPr="0083156E">
        <w:rPr>
          <w:rFonts w:cstheme="minorHAnsi"/>
        </w:rPr>
        <w:t>tandards,</w:t>
      </w:r>
      <w:r w:rsidRPr="0083156E">
        <w:rPr>
          <w:rFonts w:cstheme="minorHAnsi"/>
        </w:rPr>
        <w:t>’</w:t>
      </w:r>
      <w:r w:rsidR="00A610B3" w:rsidRPr="0083156E">
        <w:rPr>
          <w:rFonts w:cstheme="minorHAnsi"/>
        </w:rPr>
        <w:t xml:space="preserve"> </w:t>
      </w:r>
      <w:r w:rsidRPr="0083156E">
        <w:rPr>
          <w:rFonts w:cstheme="minorHAnsi"/>
        </w:rPr>
        <w:t>Journal of Human Resources, 38</w:t>
      </w:r>
      <w:r w:rsidR="00A610B3" w:rsidRPr="0083156E">
        <w:rPr>
          <w:rFonts w:cstheme="minorHAnsi"/>
        </w:rPr>
        <w:t>, 778-811.</w:t>
      </w:r>
    </w:p>
    <w:p w14:paraId="228976E3" w14:textId="77777777" w:rsidR="00A610B3" w:rsidRPr="0083156E" w:rsidRDefault="00A610B3" w:rsidP="0083156E">
      <w:pPr>
        <w:pStyle w:val="Default"/>
        <w:rPr>
          <w:rFonts w:asciiTheme="minorHAnsi" w:hAnsiTheme="minorHAnsi" w:cstheme="minorHAnsi"/>
          <w:color w:val="auto"/>
          <w:sz w:val="22"/>
          <w:szCs w:val="22"/>
        </w:rPr>
      </w:pPr>
    </w:p>
    <w:p w14:paraId="0EA29498" w14:textId="77777777" w:rsidR="00A610B3" w:rsidRPr="0083156E" w:rsidRDefault="00FB113C" w:rsidP="0083156E">
      <w:pPr>
        <w:pStyle w:val="Default"/>
        <w:rPr>
          <w:rFonts w:asciiTheme="minorHAnsi" w:hAnsiTheme="minorHAnsi" w:cstheme="minorHAnsi"/>
          <w:color w:val="auto"/>
          <w:sz w:val="22"/>
          <w:szCs w:val="22"/>
        </w:rPr>
      </w:pPr>
      <w:r w:rsidRPr="0083156E">
        <w:rPr>
          <w:rFonts w:asciiTheme="minorHAnsi" w:hAnsiTheme="minorHAnsi" w:cstheme="minorHAnsi"/>
          <w:color w:val="auto"/>
          <w:sz w:val="22"/>
          <w:szCs w:val="22"/>
        </w:rPr>
        <w:t>Heinrich, C.</w:t>
      </w:r>
      <w:r w:rsidR="00A610B3" w:rsidRPr="0083156E">
        <w:rPr>
          <w:rFonts w:asciiTheme="minorHAnsi" w:hAnsiTheme="minorHAnsi" w:cstheme="minorHAnsi"/>
          <w:color w:val="auto"/>
          <w:sz w:val="22"/>
          <w:szCs w:val="22"/>
        </w:rPr>
        <w:t xml:space="preserve">J., 2004, </w:t>
      </w:r>
      <w:r w:rsidR="006527EF" w:rsidRPr="0083156E">
        <w:rPr>
          <w:rFonts w:asciiTheme="minorHAnsi" w:hAnsiTheme="minorHAnsi" w:cstheme="minorHAnsi"/>
          <w:color w:val="auto"/>
          <w:sz w:val="22"/>
          <w:szCs w:val="22"/>
        </w:rPr>
        <w:t>‘</w:t>
      </w:r>
      <w:r w:rsidR="00A610B3" w:rsidRPr="0083156E">
        <w:rPr>
          <w:rFonts w:asciiTheme="minorHAnsi" w:hAnsiTheme="minorHAnsi" w:cstheme="minorHAnsi"/>
          <w:color w:val="auto"/>
          <w:sz w:val="22"/>
          <w:szCs w:val="22"/>
        </w:rPr>
        <w:t>Improvin</w:t>
      </w:r>
      <w:r w:rsidRPr="0083156E">
        <w:rPr>
          <w:rFonts w:asciiTheme="minorHAnsi" w:hAnsiTheme="minorHAnsi" w:cstheme="minorHAnsi"/>
          <w:color w:val="auto"/>
          <w:sz w:val="22"/>
          <w:szCs w:val="22"/>
        </w:rPr>
        <w:t>g public sector management: One step forward, two steps b</w:t>
      </w:r>
      <w:r w:rsidR="00A610B3" w:rsidRPr="0083156E">
        <w:rPr>
          <w:rFonts w:asciiTheme="minorHAnsi" w:hAnsiTheme="minorHAnsi" w:cstheme="minorHAnsi"/>
          <w:color w:val="auto"/>
          <w:sz w:val="22"/>
          <w:szCs w:val="22"/>
        </w:rPr>
        <w:t>ack?</w:t>
      </w:r>
      <w:r w:rsidR="006527EF" w:rsidRPr="0083156E">
        <w:rPr>
          <w:rFonts w:asciiTheme="minorHAnsi" w:hAnsiTheme="minorHAnsi" w:cstheme="minorHAnsi"/>
          <w:color w:val="auto"/>
          <w:sz w:val="22"/>
          <w:szCs w:val="22"/>
        </w:rPr>
        <w:t>’</w:t>
      </w:r>
      <w:r w:rsidR="00A610B3" w:rsidRPr="0083156E">
        <w:rPr>
          <w:rFonts w:asciiTheme="minorHAnsi" w:hAnsiTheme="minorHAnsi" w:cstheme="minorHAnsi"/>
          <w:color w:val="auto"/>
          <w:sz w:val="22"/>
          <w:szCs w:val="22"/>
        </w:rPr>
        <w:t xml:space="preserve"> Journal of Public Administration and Research and Theory</w:t>
      </w:r>
      <w:r w:rsidRPr="0083156E">
        <w:rPr>
          <w:rFonts w:asciiTheme="minorHAnsi" w:hAnsiTheme="minorHAnsi" w:cstheme="minorHAnsi"/>
          <w:color w:val="auto"/>
          <w:sz w:val="22"/>
          <w:szCs w:val="22"/>
        </w:rPr>
        <w:t>, 9,</w:t>
      </w:r>
      <w:r w:rsidR="00A610B3" w:rsidRPr="0083156E">
        <w:rPr>
          <w:rFonts w:asciiTheme="minorHAnsi" w:hAnsiTheme="minorHAnsi" w:cstheme="minorHAnsi"/>
          <w:color w:val="auto"/>
          <w:sz w:val="22"/>
          <w:szCs w:val="22"/>
        </w:rPr>
        <w:t xml:space="preserve"> 363-393.</w:t>
      </w:r>
    </w:p>
    <w:p w14:paraId="0E2B528E" w14:textId="77777777" w:rsidR="00FB113C" w:rsidRPr="0083156E" w:rsidRDefault="00FB113C" w:rsidP="0083156E">
      <w:pPr>
        <w:spacing w:after="0" w:line="240" w:lineRule="auto"/>
        <w:rPr>
          <w:rFonts w:cstheme="minorHAnsi"/>
        </w:rPr>
      </w:pPr>
    </w:p>
    <w:p w14:paraId="2F0AC211" w14:textId="77777777" w:rsidR="00A610B3" w:rsidRPr="0083156E" w:rsidRDefault="0027136C" w:rsidP="0083156E">
      <w:pPr>
        <w:pStyle w:val="Default"/>
        <w:rPr>
          <w:rFonts w:asciiTheme="minorHAnsi" w:hAnsiTheme="minorHAnsi" w:cstheme="minorHAnsi"/>
          <w:sz w:val="22"/>
          <w:szCs w:val="22"/>
        </w:rPr>
      </w:pPr>
      <w:r w:rsidRPr="0083156E">
        <w:rPr>
          <w:rFonts w:asciiTheme="minorHAnsi" w:hAnsiTheme="minorHAnsi" w:cstheme="minorHAnsi"/>
          <w:sz w:val="22"/>
          <w:szCs w:val="22"/>
        </w:rPr>
        <w:t>Holmstrom</w:t>
      </w:r>
      <w:r w:rsidR="00FB113C" w:rsidRPr="0083156E">
        <w:rPr>
          <w:rFonts w:asciiTheme="minorHAnsi" w:hAnsiTheme="minorHAnsi" w:cstheme="minorHAnsi"/>
          <w:sz w:val="22"/>
          <w:szCs w:val="22"/>
        </w:rPr>
        <w:t>,</w:t>
      </w:r>
      <w:r w:rsidRPr="0083156E">
        <w:rPr>
          <w:rFonts w:asciiTheme="minorHAnsi" w:hAnsiTheme="minorHAnsi" w:cstheme="minorHAnsi"/>
          <w:sz w:val="22"/>
          <w:szCs w:val="22"/>
        </w:rPr>
        <w:t xml:space="preserve"> B. and </w:t>
      </w:r>
      <w:r w:rsidR="00FB113C" w:rsidRPr="0083156E">
        <w:rPr>
          <w:rFonts w:asciiTheme="minorHAnsi" w:hAnsiTheme="minorHAnsi" w:cstheme="minorHAnsi"/>
          <w:sz w:val="22"/>
          <w:szCs w:val="22"/>
        </w:rPr>
        <w:t>P. Milgrom,</w:t>
      </w:r>
      <w:r w:rsidRPr="0083156E">
        <w:rPr>
          <w:rFonts w:asciiTheme="minorHAnsi" w:hAnsiTheme="minorHAnsi" w:cstheme="minorHAnsi"/>
          <w:sz w:val="22"/>
          <w:szCs w:val="22"/>
        </w:rPr>
        <w:t xml:space="preserve"> 1987, </w:t>
      </w:r>
      <w:r w:rsidR="00FB113C" w:rsidRPr="0083156E">
        <w:rPr>
          <w:rFonts w:asciiTheme="minorHAnsi" w:hAnsiTheme="minorHAnsi" w:cstheme="minorHAnsi"/>
          <w:sz w:val="22"/>
          <w:szCs w:val="22"/>
        </w:rPr>
        <w:t>‘Aggregation and linearity in the provision of i</w:t>
      </w:r>
      <w:r w:rsidRPr="0083156E">
        <w:rPr>
          <w:rFonts w:asciiTheme="minorHAnsi" w:hAnsiTheme="minorHAnsi" w:cstheme="minorHAnsi"/>
          <w:sz w:val="22"/>
          <w:szCs w:val="22"/>
        </w:rPr>
        <w:t xml:space="preserve">ntertemporal </w:t>
      </w:r>
      <w:r w:rsidR="00FB113C" w:rsidRPr="0083156E">
        <w:rPr>
          <w:rFonts w:asciiTheme="minorHAnsi" w:hAnsiTheme="minorHAnsi" w:cstheme="minorHAnsi"/>
          <w:sz w:val="22"/>
          <w:szCs w:val="22"/>
        </w:rPr>
        <w:t>i</w:t>
      </w:r>
      <w:r w:rsidRPr="0083156E">
        <w:rPr>
          <w:rFonts w:asciiTheme="minorHAnsi" w:hAnsiTheme="minorHAnsi" w:cstheme="minorHAnsi"/>
          <w:sz w:val="22"/>
          <w:szCs w:val="22"/>
        </w:rPr>
        <w:t>ncentives,</w:t>
      </w:r>
      <w:r w:rsidR="00FB113C" w:rsidRPr="0083156E">
        <w:rPr>
          <w:rFonts w:asciiTheme="minorHAnsi" w:hAnsiTheme="minorHAnsi" w:cstheme="minorHAnsi"/>
          <w:sz w:val="22"/>
          <w:szCs w:val="22"/>
        </w:rPr>
        <w:t>’</w:t>
      </w:r>
      <w:r w:rsidRPr="0083156E">
        <w:rPr>
          <w:rFonts w:asciiTheme="minorHAnsi" w:hAnsiTheme="minorHAnsi" w:cstheme="minorHAnsi"/>
          <w:sz w:val="22"/>
          <w:szCs w:val="22"/>
        </w:rPr>
        <w:t xml:space="preserve"> Econometrica</w:t>
      </w:r>
      <w:r w:rsidR="00FB113C" w:rsidRPr="0083156E">
        <w:rPr>
          <w:rFonts w:asciiTheme="minorHAnsi" w:hAnsiTheme="minorHAnsi" w:cstheme="minorHAnsi"/>
          <w:sz w:val="22"/>
          <w:szCs w:val="22"/>
        </w:rPr>
        <w:t>,</w:t>
      </w:r>
      <w:r w:rsidRPr="0083156E">
        <w:rPr>
          <w:rFonts w:asciiTheme="minorHAnsi" w:hAnsiTheme="minorHAnsi" w:cstheme="minorHAnsi"/>
          <w:sz w:val="22"/>
          <w:szCs w:val="22"/>
        </w:rPr>
        <w:t xml:space="preserve"> 55, 303-28.</w:t>
      </w:r>
    </w:p>
    <w:p w14:paraId="4AC3CDA8" w14:textId="77777777" w:rsidR="0027136C" w:rsidRPr="0083156E" w:rsidRDefault="0027136C" w:rsidP="0083156E">
      <w:pPr>
        <w:pStyle w:val="Default"/>
        <w:rPr>
          <w:rFonts w:asciiTheme="minorHAnsi" w:hAnsiTheme="minorHAnsi" w:cstheme="minorHAnsi"/>
          <w:color w:val="auto"/>
          <w:sz w:val="22"/>
          <w:szCs w:val="22"/>
        </w:rPr>
      </w:pPr>
    </w:p>
    <w:p w14:paraId="54B58ACF" w14:textId="77777777" w:rsidR="00A610B3" w:rsidRPr="0083156E" w:rsidRDefault="00FB113C" w:rsidP="0083156E">
      <w:pPr>
        <w:autoSpaceDE w:val="0"/>
        <w:autoSpaceDN w:val="0"/>
        <w:adjustRightInd w:val="0"/>
        <w:spacing w:after="0" w:line="240" w:lineRule="auto"/>
        <w:rPr>
          <w:rFonts w:cstheme="minorHAnsi"/>
        </w:rPr>
      </w:pPr>
      <w:r w:rsidRPr="0083156E">
        <w:rPr>
          <w:rFonts w:cstheme="minorHAnsi"/>
        </w:rPr>
        <w:t xml:space="preserve">Holmstrom, B. and P. Milgrom, </w:t>
      </w:r>
      <w:r w:rsidR="00B17A60" w:rsidRPr="0083156E">
        <w:rPr>
          <w:rFonts w:cstheme="minorHAnsi"/>
        </w:rPr>
        <w:t xml:space="preserve">1991, </w:t>
      </w:r>
      <w:r w:rsidR="006527EF" w:rsidRPr="0083156E">
        <w:rPr>
          <w:rFonts w:cstheme="minorHAnsi"/>
        </w:rPr>
        <w:t>‘</w:t>
      </w:r>
      <w:r w:rsidR="00B17A60" w:rsidRPr="0083156E">
        <w:rPr>
          <w:rFonts w:cstheme="minorHAnsi"/>
        </w:rPr>
        <w:t>Multi-task p</w:t>
      </w:r>
      <w:r w:rsidR="00A610B3" w:rsidRPr="0083156E">
        <w:rPr>
          <w:rFonts w:cstheme="minorHAnsi"/>
        </w:rPr>
        <w:t>rin</w:t>
      </w:r>
      <w:r w:rsidR="00B17A60" w:rsidRPr="0083156E">
        <w:rPr>
          <w:rFonts w:cstheme="minorHAnsi"/>
        </w:rPr>
        <w:t>cipal-agent p</w:t>
      </w:r>
      <w:r w:rsidR="00E0056A" w:rsidRPr="0083156E">
        <w:rPr>
          <w:rFonts w:cstheme="minorHAnsi"/>
        </w:rPr>
        <w:t xml:space="preserve">roblems: Incentive </w:t>
      </w:r>
      <w:r w:rsidR="00B17A60" w:rsidRPr="0083156E">
        <w:rPr>
          <w:rFonts w:cstheme="minorHAnsi"/>
        </w:rPr>
        <w:t>contracts, asset ownership and job design,</w:t>
      </w:r>
      <w:r w:rsidR="006527EF" w:rsidRPr="0083156E">
        <w:rPr>
          <w:rFonts w:cstheme="minorHAnsi"/>
        </w:rPr>
        <w:t>’</w:t>
      </w:r>
      <w:r w:rsidR="00A610B3" w:rsidRPr="0083156E">
        <w:rPr>
          <w:rFonts w:cstheme="minorHAnsi"/>
        </w:rPr>
        <w:t xml:space="preserve"> Journal of Law, Economics and Organi</w:t>
      </w:r>
      <w:r w:rsidR="00E0056A" w:rsidRPr="0083156E">
        <w:rPr>
          <w:rFonts w:cstheme="minorHAnsi"/>
        </w:rPr>
        <w:t xml:space="preserve">zation, 7 </w:t>
      </w:r>
      <w:r w:rsidR="00B17A60" w:rsidRPr="0083156E">
        <w:rPr>
          <w:rFonts w:cstheme="minorHAnsi"/>
        </w:rPr>
        <w:t>(Special Issue),</w:t>
      </w:r>
      <w:r w:rsidR="00A610B3" w:rsidRPr="0083156E">
        <w:rPr>
          <w:rFonts w:cstheme="minorHAnsi"/>
        </w:rPr>
        <w:t xml:space="preserve"> 24-52.</w:t>
      </w:r>
    </w:p>
    <w:p w14:paraId="539B0CCD" w14:textId="77777777" w:rsidR="00C44B70" w:rsidRPr="0083156E" w:rsidRDefault="00B17A60" w:rsidP="0083156E">
      <w:pPr>
        <w:pStyle w:val="NormalWeb"/>
        <w:shd w:val="clear" w:color="auto" w:fill="FFFFFF"/>
        <w:rPr>
          <w:rFonts w:asciiTheme="minorHAnsi" w:eastAsiaTheme="minorHAnsi" w:hAnsiTheme="minorHAnsi" w:cstheme="minorHAnsi"/>
          <w:sz w:val="22"/>
          <w:szCs w:val="22"/>
          <w:lang w:eastAsia="en-US"/>
        </w:rPr>
      </w:pPr>
      <w:r w:rsidRPr="0083156E">
        <w:rPr>
          <w:rFonts w:asciiTheme="minorHAnsi" w:eastAsiaTheme="minorHAnsi" w:hAnsiTheme="minorHAnsi" w:cstheme="minorHAnsi"/>
          <w:sz w:val="22"/>
          <w:szCs w:val="22"/>
          <w:lang w:eastAsia="en-US"/>
        </w:rPr>
        <w:t>H</w:t>
      </w:r>
      <w:r w:rsidR="00C44B70" w:rsidRPr="0083156E">
        <w:rPr>
          <w:rFonts w:asciiTheme="minorHAnsi" w:eastAsiaTheme="minorHAnsi" w:hAnsiTheme="minorHAnsi" w:cstheme="minorHAnsi"/>
          <w:sz w:val="22"/>
          <w:szCs w:val="22"/>
          <w:lang w:eastAsia="en-US"/>
        </w:rPr>
        <w:t>ouse Research Organization, Texas House of Represent</w:t>
      </w:r>
      <w:r w:rsidRPr="0083156E">
        <w:rPr>
          <w:rFonts w:asciiTheme="minorHAnsi" w:eastAsiaTheme="minorHAnsi" w:hAnsiTheme="minorHAnsi" w:cstheme="minorHAnsi"/>
          <w:sz w:val="22"/>
          <w:szCs w:val="22"/>
          <w:lang w:eastAsia="en-US"/>
        </w:rPr>
        <w:t>atives., 2004,</w:t>
      </w:r>
      <w:r w:rsidR="000966F2" w:rsidRPr="0083156E">
        <w:rPr>
          <w:rFonts w:asciiTheme="minorHAnsi" w:eastAsiaTheme="minorHAnsi" w:hAnsiTheme="minorHAnsi" w:cstheme="minorHAnsi"/>
          <w:sz w:val="22"/>
          <w:szCs w:val="22"/>
          <w:lang w:eastAsia="en-US"/>
        </w:rPr>
        <w:t xml:space="preserve"> </w:t>
      </w:r>
      <w:r w:rsidR="006527EF" w:rsidRPr="0083156E">
        <w:rPr>
          <w:rFonts w:asciiTheme="minorHAnsi" w:eastAsiaTheme="minorHAnsi" w:hAnsiTheme="minorHAnsi" w:cstheme="minorHAnsi"/>
          <w:sz w:val="22"/>
          <w:szCs w:val="22"/>
          <w:lang w:eastAsia="en-US"/>
        </w:rPr>
        <w:t>‘</w:t>
      </w:r>
      <w:r w:rsidR="000966F2" w:rsidRPr="0083156E">
        <w:rPr>
          <w:rFonts w:asciiTheme="minorHAnsi" w:eastAsiaTheme="minorHAnsi" w:hAnsiTheme="minorHAnsi" w:cstheme="minorHAnsi"/>
          <w:sz w:val="22"/>
          <w:szCs w:val="22"/>
          <w:lang w:eastAsia="en-US"/>
        </w:rPr>
        <w:t xml:space="preserve">Examining Teacher </w:t>
      </w:r>
      <w:r w:rsidRPr="0083156E">
        <w:rPr>
          <w:rFonts w:asciiTheme="minorHAnsi" w:eastAsiaTheme="minorHAnsi" w:hAnsiTheme="minorHAnsi" w:cstheme="minorHAnsi"/>
          <w:sz w:val="22"/>
          <w:szCs w:val="22"/>
          <w:lang w:eastAsia="en-US"/>
        </w:rPr>
        <w:t>Performance Incentives,</w:t>
      </w:r>
      <w:r w:rsidR="006527EF" w:rsidRPr="0083156E">
        <w:rPr>
          <w:rFonts w:asciiTheme="minorHAnsi" w:eastAsiaTheme="minorHAnsi" w:hAnsiTheme="minorHAnsi" w:cstheme="minorHAnsi"/>
          <w:sz w:val="22"/>
          <w:szCs w:val="22"/>
          <w:lang w:eastAsia="en-US"/>
        </w:rPr>
        <w:t>’</w:t>
      </w:r>
      <w:r w:rsidR="00C44B70" w:rsidRPr="0083156E">
        <w:rPr>
          <w:rFonts w:asciiTheme="minorHAnsi" w:eastAsiaTheme="minorHAnsi" w:hAnsiTheme="minorHAnsi" w:cstheme="minorHAnsi"/>
          <w:sz w:val="22"/>
          <w:szCs w:val="22"/>
          <w:lang w:eastAsia="en-US"/>
        </w:rPr>
        <w:t xml:space="preserve"> Focus Report no. 78-17. </w:t>
      </w:r>
    </w:p>
    <w:p w14:paraId="7E46F9FF" w14:textId="77777777" w:rsidR="004C4D9A" w:rsidRPr="0083156E" w:rsidRDefault="004C4D9A" w:rsidP="0083156E">
      <w:pPr>
        <w:autoSpaceDE w:val="0"/>
        <w:autoSpaceDN w:val="0"/>
        <w:adjustRightInd w:val="0"/>
        <w:spacing w:after="0" w:line="240" w:lineRule="auto"/>
        <w:rPr>
          <w:rFonts w:cstheme="minorHAnsi"/>
        </w:rPr>
      </w:pPr>
      <w:r w:rsidRPr="0083156E">
        <w:rPr>
          <w:rFonts w:cstheme="minorHAnsi"/>
        </w:rPr>
        <w:t>Iezzoni, L</w:t>
      </w:r>
      <w:r w:rsidR="00B17A60" w:rsidRPr="0083156E">
        <w:rPr>
          <w:rFonts w:cstheme="minorHAnsi"/>
        </w:rPr>
        <w:t>.</w:t>
      </w:r>
      <w:r w:rsidRPr="0083156E">
        <w:rPr>
          <w:rFonts w:cstheme="minorHAnsi"/>
        </w:rPr>
        <w:t>I</w:t>
      </w:r>
      <w:r w:rsidR="00B17A60" w:rsidRPr="0083156E">
        <w:rPr>
          <w:rFonts w:cstheme="minorHAnsi"/>
        </w:rPr>
        <w:t>., 1997,</w:t>
      </w:r>
      <w:r w:rsidRPr="0083156E">
        <w:rPr>
          <w:rFonts w:cstheme="minorHAnsi"/>
        </w:rPr>
        <w:t xml:space="preserve"> ‘</w:t>
      </w:r>
      <w:r w:rsidR="00B17A60" w:rsidRPr="0083156E">
        <w:rPr>
          <w:rFonts w:cstheme="minorHAnsi"/>
        </w:rPr>
        <w:t>The risks of risk adjustment,</w:t>
      </w:r>
      <w:r w:rsidRPr="0083156E">
        <w:rPr>
          <w:rFonts w:cstheme="minorHAnsi"/>
        </w:rPr>
        <w:t xml:space="preserve">’ Journal of the American Medical </w:t>
      </w:r>
      <w:r w:rsidR="00B17A60" w:rsidRPr="0083156E">
        <w:rPr>
          <w:rFonts w:cstheme="minorHAnsi"/>
        </w:rPr>
        <w:t>Association, 278,</w:t>
      </w:r>
      <w:r w:rsidRPr="0083156E">
        <w:rPr>
          <w:rFonts w:cstheme="minorHAnsi"/>
        </w:rPr>
        <w:t xml:space="preserve"> 1600</w:t>
      </w:r>
      <w:r w:rsidR="00B17A60" w:rsidRPr="0083156E">
        <w:rPr>
          <w:rFonts w:cstheme="minorHAnsi"/>
        </w:rPr>
        <w:t>-</w:t>
      </w:r>
      <w:r w:rsidRPr="0083156E">
        <w:rPr>
          <w:rFonts w:cstheme="minorHAnsi"/>
        </w:rPr>
        <w:t>1607.</w:t>
      </w:r>
    </w:p>
    <w:p w14:paraId="03F1B090" w14:textId="77777777" w:rsidR="004C4D9A" w:rsidRPr="0083156E" w:rsidRDefault="004C4D9A" w:rsidP="0083156E">
      <w:pPr>
        <w:autoSpaceDE w:val="0"/>
        <w:autoSpaceDN w:val="0"/>
        <w:adjustRightInd w:val="0"/>
        <w:spacing w:after="0" w:line="240" w:lineRule="auto"/>
        <w:rPr>
          <w:rFonts w:eastAsia="Sabon-Italic" w:cstheme="minorHAnsi"/>
          <w:i/>
          <w:iCs/>
        </w:rPr>
      </w:pPr>
    </w:p>
    <w:p w14:paraId="6A0F40C7" w14:textId="77777777" w:rsidR="009D1116" w:rsidRPr="0083156E" w:rsidRDefault="009D1116" w:rsidP="0083156E">
      <w:pPr>
        <w:pStyle w:val="BodyText"/>
        <w:rPr>
          <w:rFonts w:asciiTheme="minorHAnsi" w:eastAsiaTheme="minorHAnsi" w:hAnsiTheme="minorHAnsi" w:cstheme="minorHAnsi"/>
          <w:b w:val="0"/>
          <w:bCs w:val="0"/>
          <w:sz w:val="22"/>
          <w:szCs w:val="22"/>
          <w:lang w:val="en-AU"/>
        </w:rPr>
      </w:pPr>
      <w:r w:rsidRPr="0083156E">
        <w:rPr>
          <w:rFonts w:asciiTheme="minorHAnsi" w:eastAsiaTheme="minorHAnsi" w:hAnsiTheme="minorHAnsi" w:cstheme="minorHAnsi"/>
          <w:b w:val="0"/>
          <w:bCs w:val="0"/>
          <w:sz w:val="22"/>
          <w:szCs w:val="22"/>
          <w:lang w:val="en-AU"/>
        </w:rPr>
        <w:t>Iezzoni, L.I</w:t>
      </w:r>
      <w:r w:rsidR="00B17A60" w:rsidRPr="0083156E">
        <w:rPr>
          <w:rFonts w:asciiTheme="minorHAnsi" w:eastAsiaTheme="minorHAnsi" w:hAnsiTheme="minorHAnsi" w:cstheme="minorHAnsi"/>
          <w:b w:val="0"/>
          <w:bCs w:val="0"/>
          <w:sz w:val="22"/>
          <w:szCs w:val="22"/>
          <w:lang w:val="en-AU"/>
        </w:rPr>
        <w:t>.</w:t>
      </w:r>
      <w:r w:rsidRPr="0083156E">
        <w:rPr>
          <w:rFonts w:asciiTheme="minorHAnsi" w:eastAsiaTheme="minorHAnsi" w:hAnsiTheme="minorHAnsi" w:cstheme="minorHAnsi"/>
          <w:b w:val="0"/>
          <w:bCs w:val="0"/>
          <w:sz w:val="22"/>
          <w:szCs w:val="22"/>
          <w:lang w:val="en-AU"/>
        </w:rPr>
        <w:t xml:space="preserve">, 2010, </w:t>
      </w:r>
      <w:r w:rsidR="006527EF" w:rsidRPr="0083156E">
        <w:rPr>
          <w:rFonts w:asciiTheme="minorHAnsi" w:eastAsiaTheme="minorHAnsi" w:hAnsiTheme="minorHAnsi" w:cstheme="minorHAnsi"/>
          <w:b w:val="0"/>
          <w:bCs w:val="0"/>
          <w:sz w:val="22"/>
          <w:szCs w:val="22"/>
          <w:lang w:val="en-AU"/>
        </w:rPr>
        <w:t>‘</w:t>
      </w:r>
      <w:r w:rsidRPr="0083156E">
        <w:rPr>
          <w:rFonts w:asciiTheme="minorHAnsi" w:eastAsiaTheme="minorHAnsi" w:hAnsiTheme="minorHAnsi" w:cstheme="minorHAnsi"/>
          <w:b w:val="0"/>
          <w:bCs w:val="0"/>
          <w:sz w:val="22"/>
          <w:szCs w:val="22"/>
          <w:lang w:val="en-AU"/>
        </w:rPr>
        <w:t>Risk adjustm</w:t>
      </w:r>
      <w:r w:rsidR="00B17A60" w:rsidRPr="0083156E">
        <w:rPr>
          <w:rFonts w:asciiTheme="minorHAnsi" w:eastAsiaTheme="minorHAnsi" w:hAnsiTheme="minorHAnsi" w:cstheme="minorHAnsi"/>
          <w:b w:val="0"/>
          <w:bCs w:val="0"/>
          <w:sz w:val="22"/>
          <w:szCs w:val="22"/>
          <w:lang w:val="en-AU"/>
        </w:rPr>
        <w:t>ent for performance measurement,</w:t>
      </w:r>
      <w:r w:rsidR="006527EF" w:rsidRPr="0083156E">
        <w:rPr>
          <w:rFonts w:asciiTheme="minorHAnsi" w:eastAsiaTheme="minorHAnsi" w:hAnsiTheme="minorHAnsi" w:cstheme="minorHAnsi"/>
          <w:b w:val="0"/>
          <w:bCs w:val="0"/>
          <w:sz w:val="22"/>
          <w:szCs w:val="22"/>
          <w:lang w:val="en-AU"/>
        </w:rPr>
        <w:t>’</w:t>
      </w:r>
      <w:r w:rsidRPr="0083156E">
        <w:rPr>
          <w:rFonts w:asciiTheme="minorHAnsi" w:eastAsiaTheme="minorHAnsi" w:hAnsiTheme="minorHAnsi" w:cstheme="minorHAnsi"/>
          <w:b w:val="0"/>
          <w:bCs w:val="0"/>
          <w:sz w:val="22"/>
          <w:szCs w:val="22"/>
          <w:lang w:val="en-AU"/>
        </w:rPr>
        <w:t xml:space="preserve"> In</w:t>
      </w:r>
      <w:r w:rsidR="006527EF" w:rsidRPr="0083156E">
        <w:rPr>
          <w:rFonts w:asciiTheme="minorHAnsi" w:eastAsiaTheme="minorHAnsi" w:hAnsiTheme="minorHAnsi" w:cstheme="minorHAnsi"/>
          <w:b w:val="0"/>
          <w:bCs w:val="0"/>
          <w:sz w:val="22"/>
          <w:szCs w:val="22"/>
          <w:lang w:val="en-AU"/>
        </w:rPr>
        <w:t xml:space="preserve"> Smith, P., E. Mossialos, I. Papanicolas, S. Leatherman, Performance m</w:t>
      </w:r>
      <w:r w:rsidRPr="0083156E">
        <w:rPr>
          <w:rFonts w:asciiTheme="minorHAnsi" w:eastAsiaTheme="minorHAnsi" w:hAnsiTheme="minorHAnsi" w:cstheme="minorHAnsi"/>
          <w:b w:val="0"/>
          <w:bCs w:val="0"/>
          <w:sz w:val="22"/>
          <w:szCs w:val="22"/>
          <w:lang w:val="en-AU"/>
        </w:rPr>
        <w:t xml:space="preserve">easurement for health systems improvement: Experiences, </w:t>
      </w:r>
      <w:r w:rsidR="00B17A60" w:rsidRPr="0083156E">
        <w:rPr>
          <w:rFonts w:asciiTheme="minorHAnsi" w:eastAsiaTheme="minorHAnsi" w:hAnsiTheme="minorHAnsi" w:cstheme="minorHAnsi"/>
          <w:b w:val="0"/>
          <w:bCs w:val="0"/>
          <w:sz w:val="22"/>
          <w:szCs w:val="22"/>
          <w:lang w:val="en-AU"/>
        </w:rPr>
        <w:t xml:space="preserve">challenges and prospects, </w:t>
      </w:r>
      <w:r w:rsidRPr="0083156E">
        <w:rPr>
          <w:rFonts w:asciiTheme="minorHAnsi" w:eastAsiaTheme="minorHAnsi" w:hAnsiTheme="minorHAnsi" w:cstheme="minorHAnsi"/>
          <w:b w:val="0"/>
          <w:bCs w:val="0"/>
          <w:sz w:val="22"/>
          <w:szCs w:val="22"/>
          <w:lang w:val="en-AU"/>
        </w:rPr>
        <w:t>Health Economics, Polic</w:t>
      </w:r>
      <w:r w:rsidR="00B17A60" w:rsidRPr="0083156E">
        <w:rPr>
          <w:rFonts w:asciiTheme="minorHAnsi" w:eastAsiaTheme="minorHAnsi" w:hAnsiTheme="minorHAnsi" w:cstheme="minorHAnsi"/>
          <w:b w:val="0"/>
          <w:bCs w:val="0"/>
          <w:sz w:val="22"/>
          <w:szCs w:val="22"/>
          <w:lang w:val="en-AU"/>
        </w:rPr>
        <w:t>y</w:t>
      </w:r>
      <w:r w:rsidRPr="0083156E">
        <w:rPr>
          <w:rFonts w:asciiTheme="minorHAnsi" w:eastAsiaTheme="minorHAnsi" w:hAnsiTheme="minorHAnsi" w:cstheme="minorHAnsi"/>
          <w:b w:val="0"/>
          <w:bCs w:val="0"/>
          <w:sz w:val="22"/>
          <w:szCs w:val="22"/>
          <w:lang w:val="en-AU"/>
        </w:rPr>
        <w:t xml:space="preserve"> and Managemen</w:t>
      </w:r>
      <w:r w:rsidR="00B17A60" w:rsidRPr="0083156E">
        <w:rPr>
          <w:rFonts w:asciiTheme="minorHAnsi" w:eastAsiaTheme="minorHAnsi" w:hAnsiTheme="minorHAnsi" w:cstheme="minorHAnsi"/>
          <w:b w:val="0"/>
          <w:bCs w:val="0"/>
          <w:sz w:val="22"/>
          <w:szCs w:val="22"/>
          <w:lang w:val="en-AU"/>
        </w:rPr>
        <w:t>t, Cambridge University Press,</w:t>
      </w:r>
      <w:r w:rsidR="006527EF" w:rsidRPr="0083156E">
        <w:rPr>
          <w:rFonts w:asciiTheme="minorHAnsi" w:eastAsiaTheme="minorHAnsi" w:hAnsiTheme="minorHAnsi" w:cstheme="minorHAnsi"/>
          <w:b w:val="0"/>
          <w:bCs w:val="0"/>
          <w:sz w:val="22"/>
          <w:szCs w:val="22"/>
          <w:lang w:val="en-AU"/>
        </w:rPr>
        <w:t xml:space="preserve"> 251-285</w:t>
      </w:r>
      <w:r w:rsidRPr="0083156E">
        <w:rPr>
          <w:rFonts w:asciiTheme="minorHAnsi" w:eastAsiaTheme="minorHAnsi" w:hAnsiTheme="minorHAnsi" w:cstheme="minorHAnsi"/>
          <w:b w:val="0"/>
          <w:bCs w:val="0"/>
          <w:sz w:val="22"/>
          <w:szCs w:val="22"/>
          <w:lang w:val="en-AU"/>
        </w:rPr>
        <w:t xml:space="preserve">. </w:t>
      </w:r>
    </w:p>
    <w:p w14:paraId="66350289" w14:textId="77777777" w:rsidR="00DF2BD9" w:rsidRPr="0083156E" w:rsidRDefault="00DF2BD9" w:rsidP="0083156E">
      <w:pPr>
        <w:pStyle w:val="BodyText"/>
        <w:rPr>
          <w:rFonts w:asciiTheme="minorHAnsi" w:eastAsiaTheme="minorHAnsi" w:hAnsiTheme="minorHAnsi" w:cstheme="minorHAnsi"/>
          <w:b w:val="0"/>
          <w:bCs w:val="0"/>
          <w:sz w:val="22"/>
          <w:szCs w:val="22"/>
          <w:lang w:val="en-AU"/>
        </w:rPr>
      </w:pPr>
    </w:p>
    <w:p w14:paraId="1AAF1F5C" w14:textId="77777777" w:rsidR="00DF2BD9" w:rsidRPr="0083156E" w:rsidRDefault="00B17A60" w:rsidP="0083156E">
      <w:pPr>
        <w:pStyle w:val="Bibliography"/>
        <w:spacing w:after="0" w:line="240" w:lineRule="auto"/>
        <w:rPr>
          <w:rFonts w:cstheme="minorHAnsi"/>
        </w:rPr>
      </w:pPr>
      <w:r w:rsidRPr="0083156E">
        <w:rPr>
          <w:rFonts w:cstheme="minorHAnsi"/>
        </w:rPr>
        <w:t>Industry Reference Group, 2009,</w:t>
      </w:r>
      <w:r w:rsidR="00DF2BD9" w:rsidRPr="0083156E">
        <w:rPr>
          <w:rFonts w:cstheme="minorHAnsi"/>
        </w:rPr>
        <w:t xml:space="preserve"> </w:t>
      </w:r>
      <w:r w:rsidR="006527EF" w:rsidRPr="0083156E">
        <w:rPr>
          <w:rFonts w:cstheme="minorHAnsi"/>
        </w:rPr>
        <w:t>‘</w:t>
      </w:r>
      <w:r w:rsidRPr="0083156E">
        <w:rPr>
          <w:rFonts w:cstheme="minorHAnsi"/>
        </w:rPr>
        <w:t>Disability employment services performance f</w:t>
      </w:r>
      <w:r w:rsidR="00DF2BD9" w:rsidRPr="0083156E">
        <w:rPr>
          <w:rFonts w:cstheme="minorHAnsi"/>
        </w:rPr>
        <w:t xml:space="preserve">ramework </w:t>
      </w:r>
      <w:r w:rsidRPr="0083156E">
        <w:rPr>
          <w:rFonts w:cstheme="minorHAnsi"/>
        </w:rPr>
        <w:t>report,</w:t>
      </w:r>
      <w:r w:rsidR="006527EF" w:rsidRPr="0083156E">
        <w:rPr>
          <w:rFonts w:cstheme="minorHAnsi"/>
        </w:rPr>
        <w:t>’</w:t>
      </w:r>
      <w:r w:rsidRPr="0083156E">
        <w:rPr>
          <w:rFonts w:cstheme="minorHAnsi"/>
        </w:rPr>
        <w:t xml:space="preserve"> </w:t>
      </w:r>
      <w:r w:rsidR="00DF2BD9" w:rsidRPr="0083156E">
        <w:rPr>
          <w:rFonts w:cstheme="minorHAnsi"/>
        </w:rPr>
        <w:t>Department of Education, Employment &amp; Workplace Relations.</w:t>
      </w:r>
    </w:p>
    <w:p w14:paraId="4B52BAE1" w14:textId="77777777" w:rsidR="00DF2BD9" w:rsidRPr="0083156E" w:rsidRDefault="00DF2BD9" w:rsidP="0083156E">
      <w:pPr>
        <w:spacing w:after="0" w:line="240" w:lineRule="auto"/>
        <w:rPr>
          <w:rFonts w:cstheme="minorHAnsi"/>
        </w:rPr>
      </w:pPr>
    </w:p>
    <w:p w14:paraId="3FD814E4" w14:textId="77777777" w:rsidR="009F2FF4" w:rsidRPr="0083156E" w:rsidRDefault="009F2FF4" w:rsidP="0083156E">
      <w:pPr>
        <w:spacing w:after="0" w:line="240" w:lineRule="auto"/>
        <w:rPr>
          <w:rFonts w:cstheme="minorHAnsi"/>
        </w:rPr>
      </w:pPr>
      <w:r w:rsidRPr="0083156E">
        <w:rPr>
          <w:rFonts w:cstheme="minorHAnsi"/>
        </w:rPr>
        <w:t xml:space="preserve">Jensen, </w:t>
      </w:r>
      <w:r w:rsidR="00B17A60" w:rsidRPr="0083156E">
        <w:rPr>
          <w:rFonts w:cstheme="minorHAnsi"/>
        </w:rPr>
        <w:t>M.B.</w:t>
      </w:r>
      <w:r w:rsidRPr="0083156E">
        <w:rPr>
          <w:rFonts w:cstheme="minorHAnsi"/>
        </w:rPr>
        <w:t xml:space="preserve">, </w:t>
      </w:r>
      <w:r w:rsidR="00B17A60" w:rsidRPr="0083156E">
        <w:rPr>
          <w:rFonts w:cstheme="minorHAnsi"/>
        </w:rPr>
        <w:t>B. Johnson,</w:t>
      </w:r>
      <w:r w:rsidRPr="0083156E">
        <w:rPr>
          <w:rFonts w:cstheme="minorHAnsi"/>
        </w:rPr>
        <w:t xml:space="preserve"> </w:t>
      </w:r>
      <w:r w:rsidR="00B17A60" w:rsidRPr="0083156E">
        <w:rPr>
          <w:rFonts w:cstheme="minorHAnsi"/>
        </w:rPr>
        <w:t>E. Lorenz</w:t>
      </w:r>
      <w:r w:rsidRPr="0083156E">
        <w:rPr>
          <w:rFonts w:cstheme="minorHAnsi"/>
        </w:rPr>
        <w:t xml:space="preserve"> and </w:t>
      </w:r>
      <w:r w:rsidR="00B17A60" w:rsidRPr="0083156E">
        <w:rPr>
          <w:rFonts w:cstheme="minorHAnsi"/>
        </w:rPr>
        <w:t>B.E. Lundvall,</w:t>
      </w:r>
      <w:r w:rsidRPr="0083156E">
        <w:rPr>
          <w:rFonts w:cstheme="minorHAnsi"/>
        </w:rPr>
        <w:t xml:space="preserve"> 2007,</w:t>
      </w:r>
      <w:r w:rsidR="00B17A60" w:rsidRPr="0083156E">
        <w:rPr>
          <w:rFonts w:cstheme="minorHAnsi"/>
        </w:rPr>
        <w:t xml:space="preserve"> </w:t>
      </w:r>
      <w:r w:rsidR="006527EF" w:rsidRPr="0083156E">
        <w:rPr>
          <w:rFonts w:cstheme="minorHAnsi"/>
        </w:rPr>
        <w:t>‘</w:t>
      </w:r>
      <w:r w:rsidR="00B17A60" w:rsidRPr="0083156E">
        <w:rPr>
          <w:rFonts w:cstheme="minorHAnsi"/>
        </w:rPr>
        <w:t>Forms of knowledge and m</w:t>
      </w:r>
      <w:r w:rsidRPr="0083156E">
        <w:rPr>
          <w:rFonts w:cstheme="minorHAnsi"/>
        </w:rPr>
        <w:t xml:space="preserve">odes of </w:t>
      </w:r>
      <w:r w:rsidR="00B17A60" w:rsidRPr="0083156E">
        <w:rPr>
          <w:rFonts w:cstheme="minorHAnsi"/>
        </w:rPr>
        <w:t>innovation,</w:t>
      </w:r>
      <w:r w:rsidR="006527EF" w:rsidRPr="0083156E">
        <w:rPr>
          <w:rFonts w:cstheme="minorHAnsi"/>
        </w:rPr>
        <w:t>’</w:t>
      </w:r>
      <w:r w:rsidRPr="0083156E">
        <w:rPr>
          <w:rFonts w:cstheme="minorHAnsi"/>
        </w:rPr>
        <w:t xml:space="preserve"> Resea</w:t>
      </w:r>
      <w:r w:rsidR="00B17A60" w:rsidRPr="0083156E">
        <w:rPr>
          <w:rFonts w:cstheme="minorHAnsi"/>
        </w:rPr>
        <w:t xml:space="preserve">rch Policy, 36, </w:t>
      </w:r>
      <w:r w:rsidRPr="0083156E">
        <w:rPr>
          <w:rFonts w:cstheme="minorHAnsi"/>
        </w:rPr>
        <w:t>680-693.</w:t>
      </w:r>
    </w:p>
    <w:p w14:paraId="5FA64FC9" w14:textId="77777777" w:rsidR="00C44B70" w:rsidRPr="0083156E" w:rsidRDefault="00B17A60" w:rsidP="0083156E">
      <w:pPr>
        <w:pStyle w:val="NormalWeb"/>
        <w:shd w:val="clear" w:color="auto" w:fill="FFFFFF"/>
        <w:rPr>
          <w:rFonts w:asciiTheme="minorHAnsi" w:eastAsiaTheme="minorHAnsi" w:hAnsiTheme="minorHAnsi" w:cstheme="minorHAnsi"/>
          <w:sz w:val="22"/>
          <w:szCs w:val="22"/>
          <w:lang w:eastAsia="en-US"/>
        </w:rPr>
      </w:pPr>
      <w:r w:rsidRPr="0083156E">
        <w:rPr>
          <w:rFonts w:asciiTheme="minorHAnsi" w:eastAsiaTheme="minorHAnsi" w:hAnsiTheme="minorHAnsi" w:cstheme="minorHAnsi"/>
          <w:sz w:val="22"/>
          <w:szCs w:val="22"/>
          <w:lang w:eastAsia="en-US"/>
        </w:rPr>
        <w:lastRenderedPageBreak/>
        <w:t xml:space="preserve">Jacob, B. and S.D. Levitt, 2003, </w:t>
      </w:r>
      <w:r w:rsidR="006527EF" w:rsidRPr="0083156E">
        <w:rPr>
          <w:rFonts w:asciiTheme="minorHAnsi" w:eastAsiaTheme="minorHAnsi" w:hAnsiTheme="minorHAnsi" w:cstheme="minorHAnsi"/>
          <w:sz w:val="22"/>
          <w:szCs w:val="22"/>
          <w:lang w:eastAsia="en-US"/>
        </w:rPr>
        <w:t>‘</w:t>
      </w:r>
      <w:r w:rsidRPr="0083156E">
        <w:rPr>
          <w:rFonts w:asciiTheme="minorHAnsi" w:eastAsiaTheme="minorHAnsi" w:hAnsiTheme="minorHAnsi" w:cstheme="minorHAnsi"/>
          <w:sz w:val="22"/>
          <w:szCs w:val="22"/>
          <w:lang w:eastAsia="en-US"/>
        </w:rPr>
        <w:t>Rotten apples: An investigation of the p</w:t>
      </w:r>
      <w:r w:rsidR="00C44B70" w:rsidRPr="0083156E">
        <w:rPr>
          <w:rFonts w:asciiTheme="minorHAnsi" w:eastAsiaTheme="minorHAnsi" w:hAnsiTheme="minorHAnsi" w:cstheme="minorHAnsi"/>
          <w:sz w:val="22"/>
          <w:szCs w:val="22"/>
          <w:lang w:eastAsia="en-US"/>
        </w:rPr>
        <w:t>revalence an</w:t>
      </w:r>
      <w:r w:rsidRPr="0083156E">
        <w:rPr>
          <w:rFonts w:asciiTheme="minorHAnsi" w:eastAsiaTheme="minorHAnsi" w:hAnsiTheme="minorHAnsi" w:cstheme="minorHAnsi"/>
          <w:sz w:val="22"/>
          <w:szCs w:val="22"/>
          <w:lang w:eastAsia="en-US"/>
        </w:rPr>
        <w:t>d p</w:t>
      </w:r>
      <w:r w:rsidR="00C44B70" w:rsidRPr="0083156E">
        <w:rPr>
          <w:rFonts w:asciiTheme="minorHAnsi" w:eastAsiaTheme="minorHAnsi" w:hAnsiTheme="minorHAnsi" w:cstheme="minorHAnsi"/>
          <w:sz w:val="22"/>
          <w:szCs w:val="22"/>
          <w:lang w:eastAsia="en-US"/>
        </w:rPr>
        <w:t xml:space="preserve">redictors of </w:t>
      </w:r>
      <w:r w:rsidRPr="0083156E">
        <w:rPr>
          <w:rFonts w:asciiTheme="minorHAnsi" w:eastAsiaTheme="minorHAnsi" w:hAnsiTheme="minorHAnsi" w:cstheme="minorHAnsi"/>
          <w:sz w:val="22"/>
          <w:szCs w:val="22"/>
          <w:lang w:eastAsia="en-US"/>
        </w:rPr>
        <w:t>teacher cheating,</w:t>
      </w:r>
      <w:r w:rsidR="006527EF" w:rsidRPr="0083156E">
        <w:rPr>
          <w:rFonts w:asciiTheme="minorHAnsi" w:eastAsiaTheme="minorHAnsi" w:hAnsiTheme="minorHAnsi" w:cstheme="minorHAnsi"/>
          <w:sz w:val="22"/>
          <w:szCs w:val="22"/>
          <w:lang w:eastAsia="en-US"/>
        </w:rPr>
        <w:t>’</w:t>
      </w:r>
      <w:r w:rsidR="00C44B70" w:rsidRPr="0083156E">
        <w:rPr>
          <w:rFonts w:asciiTheme="minorHAnsi" w:eastAsiaTheme="minorHAnsi" w:hAnsiTheme="minorHAnsi" w:cstheme="minorHAnsi"/>
          <w:sz w:val="22"/>
          <w:szCs w:val="22"/>
          <w:lang w:eastAsia="en-US"/>
        </w:rPr>
        <w:t xml:space="preserve"> Quarterly Journal of Economics</w:t>
      </w:r>
      <w:r w:rsidRPr="0083156E">
        <w:rPr>
          <w:rFonts w:asciiTheme="minorHAnsi" w:eastAsiaTheme="minorHAnsi" w:hAnsiTheme="minorHAnsi" w:cstheme="minorHAnsi"/>
          <w:sz w:val="22"/>
          <w:szCs w:val="22"/>
          <w:lang w:eastAsia="en-US"/>
        </w:rPr>
        <w:t>, 143,</w:t>
      </w:r>
      <w:r w:rsidR="00C44B70" w:rsidRPr="0083156E">
        <w:rPr>
          <w:rFonts w:asciiTheme="minorHAnsi" w:eastAsiaTheme="minorHAnsi" w:hAnsiTheme="minorHAnsi" w:cstheme="minorHAnsi"/>
          <w:sz w:val="22"/>
          <w:szCs w:val="22"/>
          <w:lang w:eastAsia="en-US"/>
        </w:rPr>
        <w:t xml:space="preserve"> 843-77. </w:t>
      </w:r>
    </w:p>
    <w:p w14:paraId="0A4FAD83" w14:textId="77777777" w:rsidR="00DF2BD9" w:rsidRPr="0083156E" w:rsidRDefault="00DF2BD9" w:rsidP="0083156E">
      <w:pPr>
        <w:spacing w:after="0" w:line="240" w:lineRule="auto"/>
        <w:rPr>
          <w:rFonts w:cstheme="minorHAnsi"/>
        </w:rPr>
      </w:pPr>
      <w:r w:rsidRPr="0083156E">
        <w:rPr>
          <w:rFonts w:cstheme="minorHAnsi"/>
        </w:rPr>
        <w:t>Ka</w:t>
      </w:r>
      <w:r w:rsidR="00B060EC" w:rsidRPr="0083156E">
        <w:rPr>
          <w:rFonts w:cstheme="minorHAnsi"/>
        </w:rPr>
        <w:t>ltenborn, B., N. Wielage, A. Bothmer, A.I. Henkel, T. Weishaupt, H.L. Buchholz, F. Oschmiansky, 2011,</w:t>
      </w:r>
      <w:r w:rsidRPr="0083156E">
        <w:rPr>
          <w:rFonts w:cstheme="minorHAnsi"/>
        </w:rPr>
        <w:t xml:space="preserve"> </w:t>
      </w:r>
      <w:r w:rsidR="00B060EC" w:rsidRPr="0083156E">
        <w:rPr>
          <w:rFonts w:cstheme="minorHAnsi"/>
        </w:rPr>
        <w:t>‘</w:t>
      </w:r>
      <w:r w:rsidRPr="0083156E">
        <w:rPr>
          <w:rFonts w:cstheme="minorHAnsi"/>
        </w:rPr>
        <w:t>Zielsteu</w:t>
      </w:r>
      <w:r w:rsidR="00B060EC" w:rsidRPr="0083156E">
        <w:rPr>
          <w:rFonts w:cstheme="minorHAnsi"/>
        </w:rPr>
        <w:t>erung in der Arbeitsverwaltung: E</w:t>
      </w:r>
      <w:r w:rsidRPr="0083156E">
        <w:rPr>
          <w:rFonts w:cstheme="minorHAnsi"/>
        </w:rPr>
        <w:t>in europäischer Vergleich</w:t>
      </w:r>
      <w:r w:rsidR="006527EF" w:rsidRPr="0083156E">
        <w:rPr>
          <w:rFonts w:cstheme="minorHAnsi"/>
        </w:rPr>
        <w:t xml:space="preserve">,’ </w:t>
      </w:r>
      <w:r w:rsidRPr="0083156E">
        <w:rPr>
          <w:rFonts w:cstheme="minorHAnsi"/>
        </w:rPr>
        <w:t>Berlin, Ramboll Management.</w:t>
      </w:r>
    </w:p>
    <w:p w14:paraId="2DC025C0" w14:textId="77777777" w:rsidR="004B3337" w:rsidRPr="0083156E" w:rsidRDefault="004B3337" w:rsidP="0083156E">
      <w:pPr>
        <w:spacing w:after="0" w:line="240" w:lineRule="auto"/>
        <w:rPr>
          <w:rFonts w:cstheme="minorHAnsi"/>
        </w:rPr>
      </w:pPr>
    </w:p>
    <w:p w14:paraId="3F750234" w14:textId="77777777" w:rsidR="004B3337" w:rsidRPr="0083156E" w:rsidRDefault="00B060EC" w:rsidP="0083156E">
      <w:pPr>
        <w:spacing w:after="0" w:line="240" w:lineRule="auto"/>
        <w:rPr>
          <w:rFonts w:cstheme="minorHAnsi"/>
        </w:rPr>
      </w:pPr>
      <w:r w:rsidRPr="0083156E">
        <w:rPr>
          <w:rFonts w:cstheme="minorHAnsi"/>
        </w:rPr>
        <w:t>Kon</w:t>
      </w:r>
      <w:r w:rsidR="006527EF" w:rsidRPr="0083156E">
        <w:rPr>
          <w:rFonts w:cstheme="minorHAnsi"/>
        </w:rPr>
        <w:t>ing, P. and C.J. Heinrich, 2010,</w:t>
      </w:r>
      <w:r w:rsidRPr="0083156E">
        <w:rPr>
          <w:rFonts w:cstheme="minorHAnsi"/>
        </w:rPr>
        <w:t xml:space="preserve"> ‘</w:t>
      </w:r>
      <w:hyperlink r:id="rId22" w:history="1">
        <w:r w:rsidRPr="0083156E">
          <w:rPr>
            <w:rFonts w:cstheme="minorHAnsi"/>
          </w:rPr>
          <w:t>Cream-skimming, parking and other intended and unintended effects of performance-based contracting in social welfare s</w:t>
        </w:r>
        <w:r w:rsidR="004B3337" w:rsidRPr="0083156E">
          <w:rPr>
            <w:rFonts w:cstheme="minorHAnsi"/>
          </w:rPr>
          <w:t>ervices</w:t>
        </w:r>
      </w:hyperlink>
      <w:r w:rsidRPr="0083156E">
        <w:rPr>
          <w:rFonts w:cstheme="minorHAnsi"/>
        </w:rPr>
        <w:t>,’</w:t>
      </w:r>
      <w:r w:rsidR="004B3337" w:rsidRPr="0083156E">
        <w:rPr>
          <w:rFonts w:cstheme="minorHAnsi"/>
        </w:rPr>
        <w:t xml:space="preserve"> </w:t>
      </w:r>
      <w:hyperlink r:id="rId23" w:history="1">
        <w:r w:rsidR="004B3337" w:rsidRPr="0083156E">
          <w:rPr>
            <w:rFonts w:cstheme="minorHAnsi"/>
          </w:rPr>
          <w:t>IZA Discussion Papers</w:t>
        </w:r>
      </w:hyperlink>
      <w:r w:rsidR="004B3337" w:rsidRPr="0083156E">
        <w:rPr>
          <w:rFonts w:cstheme="minorHAnsi"/>
        </w:rPr>
        <w:t xml:space="preserve"> 4801, Institute for the Study of Labor (IZA).</w:t>
      </w:r>
    </w:p>
    <w:p w14:paraId="06E25B5D" w14:textId="77777777" w:rsidR="00DF2BD9" w:rsidRPr="0083156E" w:rsidRDefault="00DF2BD9" w:rsidP="0083156E">
      <w:pPr>
        <w:pStyle w:val="BodyText"/>
        <w:rPr>
          <w:rFonts w:asciiTheme="minorHAnsi" w:eastAsiaTheme="minorHAnsi" w:hAnsiTheme="minorHAnsi" w:cstheme="minorHAnsi"/>
          <w:b w:val="0"/>
          <w:bCs w:val="0"/>
          <w:sz w:val="22"/>
          <w:szCs w:val="22"/>
          <w:lang w:val="en-AU"/>
        </w:rPr>
      </w:pPr>
    </w:p>
    <w:p w14:paraId="34D7A36D" w14:textId="77777777" w:rsidR="005729EB" w:rsidRPr="0083156E" w:rsidRDefault="00B060EC" w:rsidP="0083156E">
      <w:pPr>
        <w:autoSpaceDE w:val="0"/>
        <w:autoSpaceDN w:val="0"/>
        <w:adjustRightInd w:val="0"/>
        <w:spacing w:after="0" w:line="240" w:lineRule="auto"/>
        <w:rPr>
          <w:rFonts w:cstheme="minorHAnsi"/>
        </w:rPr>
      </w:pPr>
      <w:r w:rsidRPr="0083156E">
        <w:rPr>
          <w:rFonts w:cstheme="minorHAnsi"/>
        </w:rPr>
        <w:t>Leibenstein, H., 1966, ‘Allocative efficiency versus x-efficiency,’</w:t>
      </w:r>
      <w:r w:rsidR="005729EB" w:rsidRPr="0083156E">
        <w:rPr>
          <w:rFonts w:cstheme="minorHAnsi"/>
        </w:rPr>
        <w:t xml:space="preserve"> </w:t>
      </w:r>
      <w:r w:rsidRPr="0083156E">
        <w:rPr>
          <w:rFonts w:cstheme="minorHAnsi"/>
        </w:rPr>
        <w:t>American Economic Review 56,</w:t>
      </w:r>
      <w:r w:rsidR="005729EB" w:rsidRPr="0083156E">
        <w:rPr>
          <w:rFonts w:cstheme="minorHAnsi"/>
        </w:rPr>
        <w:t xml:space="preserve"> 392-415.</w:t>
      </w:r>
    </w:p>
    <w:p w14:paraId="4FA55F9E" w14:textId="77777777" w:rsidR="00DF2BD9" w:rsidRPr="0083156E" w:rsidRDefault="00DF2BD9" w:rsidP="0083156E">
      <w:pPr>
        <w:spacing w:after="0" w:line="240" w:lineRule="auto"/>
        <w:rPr>
          <w:rFonts w:cstheme="minorHAnsi"/>
        </w:rPr>
      </w:pPr>
    </w:p>
    <w:p w14:paraId="16521422" w14:textId="77777777" w:rsidR="005729EB" w:rsidRPr="0083156E" w:rsidRDefault="00B060EC" w:rsidP="0083156E">
      <w:pPr>
        <w:spacing w:after="0" w:line="240" w:lineRule="auto"/>
        <w:rPr>
          <w:rFonts w:cstheme="minorHAnsi"/>
        </w:rPr>
      </w:pPr>
      <w:r w:rsidRPr="0083156E">
        <w:rPr>
          <w:rFonts w:cstheme="minorHAnsi"/>
        </w:rPr>
        <w:t>Levinthal, D.A. and J.</w:t>
      </w:r>
      <w:r w:rsidR="005729EB" w:rsidRPr="0083156E">
        <w:rPr>
          <w:rFonts w:cstheme="minorHAnsi"/>
        </w:rPr>
        <w:t>G. March</w:t>
      </w:r>
      <w:r w:rsidRPr="0083156E">
        <w:rPr>
          <w:rFonts w:cstheme="minorHAnsi"/>
        </w:rPr>
        <w:t>,</w:t>
      </w:r>
      <w:r w:rsidR="005729EB" w:rsidRPr="0083156E">
        <w:rPr>
          <w:rFonts w:cstheme="minorHAnsi"/>
        </w:rPr>
        <w:t xml:space="preserve"> 1994</w:t>
      </w:r>
      <w:r w:rsidRPr="0083156E">
        <w:rPr>
          <w:rFonts w:cstheme="minorHAnsi"/>
        </w:rPr>
        <w:t>, ‘</w:t>
      </w:r>
      <w:r w:rsidR="005729EB" w:rsidRPr="0083156E">
        <w:rPr>
          <w:rFonts w:cstheme="minorHAnsi"/>
        </w:rPr>
        <w:t>The myopia of learn</w:t>
      </w:r>
      <w:r w:rsidRPr="0083156E">
        <w:rPr>
          <w:rFonts w:cstheme="minorHAnsi"/>
        </w:rPr>
        <w:t>ing,’</w:t>
      </w:r>
      <w:r w:rsidR="005729EB" w:rsidRPr="0083156E">
        <w:rPr>
          <w:rFonts w:cstheme="minorHAnsi"/>
        </w:rPr>
        <w:t xml:space="preserve"> S</w:t>
      </w:r>
      <w:r w:rsidRPr="0083156E">
        <w:rPr>
          <w:rFonts w:cstheme="minorHAnsi"/>
        </w:rPr>
        <w:t>trategic Management Journal,</w:t>
      </w:r>
      <w:r w:rsidR="005729EB" w:rsidRPr="0083156E">
        <w:rPr>
          <w:rFonts w:cstheme="minorHAnsi"/>
        </w:rPr>
        <w:t xml:space="preserve"> 95-112.</w:t>
      </w:r>
    </w:p>
    <w:p w14:paraId="65DB06C2" w14:textId="77777777" w:rsidR="004C4D9A" w:rsidRPr="0083156E" w:rsidRDefault="004C4D9A" w:rsidP="0083156E">
      <w:pPr>
        <w:spacing w:after="0" w:line="240" w:lineRule="auto"/>
        <w:rPr>
          <w:rFonts w:cstheme="minorHAnsi"/>
        </w:rPr>
      </w:pPr>
    </w:p>
    <w:p w14:paraId="1E9F3957" w14:textId="77777777" w:rsidR="004C4D9A" w:rsidRPr="0083156E" w:rsidRDefault="004C4D9A" w:rsidP="0083156E">
      <w:pPr>
        <w:autoSpaceDE w:val="0"/>
        <w:autoSpaceDN w:val="0"/>
        <w:adjustRightInd w:val="0"/>
        <w:spacing w:after="0" w:line="240" w:lineRule="auto"/>
        <w:rPr>
          <w:rFonts w:cstheme="minorHAnsi"/>
        </w:rPr>
      </w:pPr>
      <w:r w:rsidRPr="0083156E">
        <w:rPr>
          <w:rFonts w:cstheme="minorHAnsi"/>
        </w:rPr>
        <w:t>Lilford, R.</w:t>
      </w:r>
      <w:r w:rsidR="00CF17BB" w:rsidRPr="0083156E">
        <w:rPr>
          <w:rFonts w:cstheme="minorHAnsi"/>
        </w:rPr>
        <w:t>, M.A.</w:t>
      </w:r>
      <w:r w:rsidRPr="0083156E">
        <w:rPr>
          <w:rFonts w:cstheme="minorHAnsi"/>
        </w:rPr>
        <w:t xml:space="preserve"> Mohammed</w:t>
      </w:r>
      <w:r w:rsidR="00CF17BB" w:rsidRPr="0083156E">
        <w:rPr>
          <w:rFonts w:cstheme="minorHAnsi"/>
        </w:rPr>
        <w:t>, D.</w:t>
      </w:r>
      <w:r w:rsidRPr="0083156E">
        <w:rPr>
          <w:rFonts w:cstheme="minorHAnsi"/>
        </w:rPr>
        <w:t xml:space="preserve"> Spieg</w:t>
      </w:r>
      <w:r w:rsidR="00CF17BB" w:rsidRPr="0083156E">
        <w:rPr>
          <w:rFonts w:cstheme="minorHAnsi"/>
        </w:rPr>
        <w:t>elhalter, R. Thomson, 2004,</w:t>
      </w:r>
      <w:r w:rsidRPr="0083156E">
        <w:rPr>
          <w:rFonts w:cstheme="minorHAnsi"/>
        </w:rPr>
        <w:t xml:space="preserve"> ‘Use and misuse of process and outcome data in managing perf</w:t>
      </w:r>
      <w:r w:rsidR="00CF17BB" w:rsidRPr="0083156E">
        <w:rPr>
          <w:rFonts w:cstheme="minorHAnsi"/>
        </w:rPr>
        <w:t>ormance of acute medical care: Avoiding institutional stigma,</w:t>
      </w:r>
      <w:r w:rsidRPr="0083156E">
        <w:rPr>
          <w:rFonts w:cstheme="minorHAnsi"/>
        </w:rPr>
        <w:t>’</w:t>
      </w:r>
      <w:r w:rsidR="00CF17BB" w:rsidRPr="0083156E">
        <w:rPr>
          <w:rFonts w:cstheme="minorHAnsi"/>
        </w:rPr>
        <w:t xml:space="preserve"> Lancet, 363,</w:t>
      </w:r>
      <w:r w:rsidRPr="0083156E">
        <w:rPr>
          <w:rFonts w:cstheme="minorHAnsi"/>
        </w:rPr>
        <w:t xml:space="preserve"> 1147</w:t>
      </w:r>
      <w:r w:rsidR="00A41504" w:rsidRPr="0083156E">
        <w:rPr>
          <w:rFonts w:cstheme="minorHAnsi"/>
        </w:rPr>
        <w:t>-</w:t>
      </w:r>
      <w:r w:rsidRPr="0083156E">
        <w:rPr>
          <w:rFonts w:cstheme="minorHAnsi"/>
        </w:rPr>
        <w:t>1154.</w:t>
      </w:r>
    </w:p>
    <w:p w14:paraId="5D67718E" w14:textId="77777777" w:rsidR="00DF2BD9" w:rsidRPr="0083156E" w:rsidRDefault="00DF2BD9" w:rsidP="0083156E">
      <w:pPr>
        <w:autoSpaceDE w:val="0"/>
        <w:autoSpaceDN w:val="0"/>
        <w:adjustRightInd w:val="0"/>
        <w:spacing w:after="0" w:line="240" w:lineRule="auto"/>
        <w:rPr>
          <w:rFonts w:cstheme="minorHAnsi"/>
        </w:rPr>
      </w:pPr>
    </w:p>
    <w:p w14:paraId="647C4234" w14:textId="77777777" w:rsidR="00A610B3" w:rsidRPr="0083156E" w:rsidRDefault="00CF17BB" w:rsidP="0083156E">
      <w:pPr>
        <w:autoSpaceDE w:val="0"/>
        <w:autoSpaceDN w:val="0"/>
        <w:adjustRightInd w:val="0"/>
        <w:spacing w:after="0" w:line="240" w:lineRule="auto"/>
        <w:rPr>
          <w:rFonts w:cstheme="minorHAnsi"/>
        </w:rPr>
      </w:pPr>
      <w:r w:rsidRPr="0083156E">
        <w:rPr>
          <w:rFonts w:cstheme="minorHAnsi"/>
        </w:rPr>
        <w:t>Loungani, P., 2001</w:t>
      </w:r>
      <w:r w:rsidR="00A610B3" w:rsidRPr="0083156E">
        <w:rPr>
          <w:rFonts w:cstheme="minorHAnsi"/>
        </w:rPr>
        <w:t xml:space="preserve">, </w:t>
      </w:r>
      <w:r w:rsidR="006527EF" w:rsidRPr="0083156E">
        <w:rPr>
          <w:rFonts w:cstheme="minorHAnsi"/>
        </w:rPr>
        <w:t>‘</w:t>
      </w:r>
      <w:r w:rsidR="00A610B3" w:rsidRPr="0083156E">
        <w:rPr>
          <w:rFonts w:cstheme="minorHAnsi"/>
        </w:rPr>
        <w:t>How accurate are private sector forecas</w:t>
      </w:r>
      <w:r w:rsidR="00D8782B" w:rsidRPr="0083156E">
        <w:rPr>
          <w:rFonts w:cstheme="minorHAnsi"/>
        </w:rPr>
        <w:t xml:space="preserve">ts? Cross-country evidence from </w:t>
      </w:r>
      <w:r w:rsidRPr="0083156E">
        <w:rPr>
          <w:rFonts w:cstheme="minorHAnsi"/>
        </w:rPr>
        <w:t>c</w:t>
      </w:r>
      <w:r w:rsidR="00A610B3" w:rsidRPr="0083156E">
        <w:rPr>
          <w:rFonts w:cstheme="minorHAnsi"/>
        </w:rPr>
        <w:t>onsensus forecasts of output growth</w:t>
      </w:r>
      <w:r w:rsidRPr="0083156E">
        <w:rPr>
          <w:rFonts w:cstheme="minorHAnsi"/>
        </w:rPr>
        <w:t>,</w:t>
      </w:r>
      <w:r w:rsidR="006527EF" w:rsidRPr="0083156E">
        <w:rPr>
          <w:rFonts w:cstheme="minorHAnsi"/>
        </w:rPr>
        <w:t>’</w:t>
      </w:r>
      <w:r w:rsidRPr="0083156E">
        <w:rPr>
          <w:rFonts w:cstheme="minorHAnsi"/>
        </w:rPr>
        <w:t xml:space="preserve"> International Journal of F</w:t>
      </w:r>
      <w:r w:rsidR="00A610B3" w:rsidRPr="0083156E">
        <w:rPr>
          <w:rFonts w:cstheme="minorHAnsi"/>
        </w:rPr>
        <w:t>orecasting, 17, 419-32</w:t>
      </w:r>
    </w:p>
    <w:p w14:paraId="0E04BB21" w14:textId="77777777" w:rsidR="00824842" w:rsidRPr="0083156E" w:rsidRDefault="00824842" w:rsidP="0083156E">
      <w:pPr>
        <w:pStyle w:val="Default"/>
        <w:rPr>
          <w:rFonts w:asciiTheme="minorHAnsi" w:hAnsiTheme="minorHAnsi" w:cstheme="minorHAnsi"/>
          <w:sz w:val="22"/>
          <w:szCs w:val="22"/>
        </w:rPr>
      </w:pPr>
    </w:p>
    <w:p w14:paraId="668BAC97" w14:textId="7040FD98" w:rsidR="00824842" w:rsidRPr="0083156E" w:rsidRDefault="00CF17BB" w:rsidP="0083156E">
      <w:pPr>
        <w:autoSpaceDE w:val="0"/>
        <w:autoSpaceDN w:val="0"/>
        <w:adjustRightInd w:val="0"/>
        <w:spacing w:after="0" w:line="240" w:lineRule="auto"/>
        <w:rPr>
          <w:rFonts w:cstheme="minorHAnsi"/>
        </w:rPr>
      </w:pPr>
      <w:r w:rsidRPr="0083156E">
        <w:rPr>
          <w:rFonts w:cstheme="minorHAnsi"/>
        </w:rPr>
        <w:t>Marschke, G</w:t>
      </w:r>
      <w:r w:rsidR="00824842" w:rsidRPr="0083156E">
        <w:rPr>
          <w:rFonts w:cstheme="minorHAnsi"/>
        </w:rPr>
        <w:t>.</w:t>
      </w:r>
      <w:r w:rsidRPr="0083156E">
        <w:rPr>
          <w:rFonts w:cstheme="minorHAnsi"/>
        </w:rPr>
        <w:t>, 2002, ‘Performance i</w:t>
      </w:r>
      <w:r w:rsidR="00824842" w:rsidRPr="0083156E">
        <w:rPr>
          <w:rFonts w:cstheme="minorHAnsi"/>
        </w:rPr>
        <w:t xml:space="preserve">ncentives and </w:t>
      </w:r>
      <w:r w:rsidRPr="0083156E">
        <w:rPr>
          <w:rFonts w:cstheme="minorHAnsi"/>
        </w:rPr>
        <w:t>o</w:t>
      </w:r>
      <w:r w:rsidR="00737EFD" w:rsidRPr="0083156E">
        <w:rPr>
          <w:rFonts w:cstheme="minorHAnsi"/>
        </w:rPr>
        <w:t>rganizational</w:t>
      </w:r>
      <w:r w:rsidRPr="0083156E">
        <w:rPr>
          <w:rFonts w:cstheme="minorHAnsi"/>
        </w:rPr>
        <w:t xml:space="preserve"> </w:t>
      </w:r>
      <w:r w:rsidR="001058A1" w:rsidRPr="0083156E">
        <w:rPr>
          <w:rFonts w:cstheme="minorHAnsi"/>
        </w:rPr>
        <w:t>behaviour</w:t>
      </w:r>
      <w:r w:rsidRPr="0083156E">
        <w:rPr>
          <w:rFonts w:cstheme="minorHAnsi"/>
        </w:rPr>
        <w:t>: Evidence from a federal bureaucracy,’</w:t>
      </w:r>
      <w:r w:rsidR="00824842" w:rsidRPr="0083156E">
        <w:rPr>
          <w:rFonts w:cstheme="minorHAnsi"/>
        </w:rPr>
        <w:t xml:space="preserve"> Working paper, Department of Economics, SUNY Albany, Albany, NY.</w:t>
      </w:r>
    </w:p>
    <w:p w14:paraId="17690143" w14:textId="77777777" w:rsidR="005729EB" w:rsidRPr="0083156E" w:rsidRDefault="005729EB" w:rsidP="0083156E">
      <w:pPr>
        <w:autoSpaceDE w:val="0"/>
        <w:autoSpaceDN w:val="0"/>
        <w:adjustRightInd w:val="0"/>
        <w:spacing w:after="0" w:line="240" w:lineRule="auto"/>
        <w:rPr>
          <w:rFonts w:cstheme="minorHAnsi"/>
        </w:rPr>
      </w:pPr>
    </w:p>
    <w:p w14:paraId="32622A1A" w14:textId="77777777" w:rsidR="00BB1B76" w:rsidRPr="0083156E" w:rsidRDefault="00CF17BB" w:rsidP="0083156E">
      <w:pPr>
        <w:autoSpaceDE w:val="0"/>
        <w:autoSpaceDN w:val="0"/>
        <w:adjustRightInd w:val="0"/>
        <w:spacing w:after="0" w:line="240" w:lineRule="auto"/>
        <w:rPr>
          <w:rFonts w:cstheme="minorHAnsi"/>
        </w:rPr>
      </w:pPr>
      <w:r w:rsidRPr="0083156E">
        <w:rPr>
          <w:rFonts w:cstheme="minorHAnsi"/>
        </w:rPr>
        <w:t>Marshall, M.N., P.G. Shekelle, H.T.O. Davies</w:t>
      </w:r>
      <w:r w:rsidR="00BB1B76" w:rsidRPr="0083156E">
        <w:rPr>
          <w:rFonts w:cstheme="minorHAnsi"/>
        </w:rPr>
        <w:t xml:space="preserve"> </w:t>
      </w:r>
      <w:r w:rsidRPr="0083156E">
        <w:rPr>
          <w:rFonts w:cstheme="minorHAnsi"/>
        </w:rPr>
        <w:t>and P.</w:t>
      </w:r>
      <w:r w:rsidR="00DF2BD9" w:rsidRPr="0083156E">
        <w:rPr>
          <w:rFonts w:cstheme="minorHAnsi"/>
        </w:rPr>
        <w:t>C. Smith</w:t>
      </w:r>
      <w:r w:rsidRPr="0083156E">
        <w:rPr>
          <w:rFonts w:cstheme="minorHAnsi"/>
        </w:rPr>
        <w:t>, 2003,</w:t>
      </w:r>
      <w:r w:rsidR="009F2FF4" w:rsidRPr="0083156E">
        <w:rPr>
          <w:rFonts w:cstheme="minorHAnsi"/>
        </w:rPr>
        <w:t xml:space="preserve"> </w:t>
      </w:r>
      <w:r w:rsidRPr="0083156E">
        <w:rPr>
          <w:rFonts w:cstheme="minorHAnsi"/>
        </w:rPr>
        <w:t>‘</w:t>
      </w:r>
      <w:r w:rsidR="00DF2BD9" w:rsidRPr="0083156E">
        <w:rPr>
          <w:rFonts w:cstheme="minorHAnsi"/>
        </w:rPr>
        <w:t xml:space="preserve">Public </w:t>
      </w:r>
      <w:r w:rsidRPr="0083156E">
        <w:rPr>
          <w:rFonts w:cstheme="minorHAnsi"/>
        </w:rPr>
        <w:t>reporting on quality in the United States and t</w:t>
      </w:r>
      <w:r w:rsidR="00BB1B76" w:rsidRPr="0083156E">
        <w:rPr>
          <w:rFonts w:cstheme="minorHAnsi"/>
        </w:rPr>
        <w:t>he Unite</w:t>
      </w:r>
      <w:r w:rsidRPr="0083156E">
        <w:rPr>
          <w:rFonts w:cstheme="minorHAnsi"/>
        </w:rPr>
        <w:t>d Kingdom,’ Health Affairs, 22</w:t>
      </w:r>
      <w:r w:rsidR="00BB1B76" w:rsidRPr="0083156E">
        <w:rPr>
          <w:rFonts w:cstheme="minorHAnsi"/>
        </w:rPr>
        <w:t>, 134-148.</w:t>
      </w:r>
    </w:p>
    <w:p w14:paraId="7AF5FB36" w14:textId="77777777" w:rsidR="00CF040C" w:rsidRPr="0083156E" w:rsidRDefault="00CF040C" w:rsidP="0083156E">
      <w:pPr>
        <w:autoSpaceDE w:val="0"/>
        <w:autoSpaceDN w:val="0"/>
        <w:adjustRightInd w:val="0"/>
        <w:spacing w:after="0" w:line="240" w:lineRule="auto"/>
        <w:rPr>
          <w:rFonts w:cstheme="minorHAnsi"/>
        </w:rPr>
      </w:pPr>
    </w:p>
    <w:p w14:paraId="49B349AB" w14:textId="77777777" w:rsidR="00CF040C" w:rsidRPr="0083156E" w:rsidRDefault="00CF17BB" w:rsidP="0083156E">
      <w:pPr>
        <w:autoSpaceDE w:val="0"/>
        <w:autoSpaceDN w:val="0"/>
        <w:adjustRightInd w:val="0"/>
        <w:spacing w:after="0" w:line="240" w:lineRule="auto"/>
        <w:rPr>
          <w:rFonts w:cstheme="minorHAnsi"/>
        </w:rPr>
      </w:pPr>
      <w:r w:rsidRPr="0083156E">
        <w:rPr>
          <w:rFonts w:cstheme="minorHAnsi"/>
        </w:rPr>
        <w:t>Matsumura, E.M. and J.Y. Shin, 2006,</w:t>
      </w:r>
      <w:r w:rsidR="00CF040C" w:rsidRPr="0083156E">
        <w:rPr>
          <w:rFonts w:cstheme="minorHAnsi"/>
        </w:rPr>
        <w:t xml:space="preserve"> </w:t>
      </w:r>
      <w:r w:rsidRPr="0083156E">
        <w:rPr>
          <w:rFonts w:cstheme="minorHAnsi"/>
        </w:rPr>
        <w:t>‘An empirical a</w:t>
      </w:r>
      <w:r w:rsidR="00CF040C" w:rsidRPr="0083156E">
        <w:rPr>
          <w:rFonts w:cstheme="minorHAnsi"/>
        </w:rPr>
        <w:t xml:space="preserve">nalysis of </w:t>
      </w:r>
      <w:r w:rsidRPr="0083156E">
        <w:rPr>
          <w:rFonts w:cstheme="minorHAnsi"/>
        </w:rPr>
        <w:t>an incentive plan with r</w:t>
      </w:r>
      <w:r w:rsidR="000966F2" w:rsidRPr="0083156E">
        <w:rPr>
          <w:rFonts w:cstheme="minorHAnsi"/>
        </w:rPr>
        <w:t xml:space="preserve">elative </w:t>
      </w:r>
      <w:r w:rsidRPr="0083156E">
        <w:rPr>
          <w:rFonts w:cstheme="minorHAnsi"/>
        </w:rPr>
        <w:t>performance measures: Evidence from a postal service,</w:t>
      </w:r>
      <w:r w:rsidR="006527EF" w:rsidRPr="0083156E">
        <w:rPr>
          <w:rFonts w:cstheme="minorHAnsi"/>
        </w:rPr>
        <w:t>’</w:t>
      </w:r>
      <w:r w:rsidR="00CF040C" w:rsidRPr="0083156E">
        <w:rPr>
          <w:rFonts w:cstheme="minorHAnsi"/>
        </w:rPr>
        <w:t xml:space="preserve"> The Accounting Review</w:t>
      </w:r>
      <w:r w:rsidRPr="0083156E">
        <w:rPr>
          <w:rFonts w:cstheme="minorHAnsi"/>
        </w:rPr>
        <w:t>,</w:t>
      </w:r>
      <w:r w:rsidR="00CF040C" w:rsidRPr="0083156E">
        <w:rPr>
          <w:rFonts w:cstheme="minorHAnsi"/>
        </w:rPr>
        <w:t xml:space="preserve"> </w:t>
      </w:r>
      <w:r w:rsidRPr="0083156E">
        <w:rPr>
          <w:rFonts w:cstheme="minorHAnsi"/>
        </w:rPr>
        <w:t>81,</w:t>
      </w:r>
      <w:r w:rsidR="000966F2" w:rsidRPr="0083156E">
        <w:rPr>
          <w:rFonts w:cstheme="minorHAnsi"/>
        </w:rPr>
        <w:t xml:space="preserve"> </w:t>
      </w:r>
      <w:r w:rsidR="00CF040C" w:rsidRPr="0083156E">
        <w:rPr>
          <w:rFonts w:cstheme="minorHAnsi"/>
        </w:rPr>
        <w:t>533-566.</w:t>
      </w:r>
    </w:p>
    <w:p w14:paraId="7E1DF31E" w14:textId="77777777" w:rsidR="00D61F36" w:rsidRPr="0083156E" w:rsidRDefault="00D61F36" w:rsidP="0083156E">
      <w:pPr>
        <w:autoSpaceDE w:val="0"/>
        <w:autoSpaceDN w:val="0"/>
        <w:adjustRightInd w:val="0"/>
        <w:spacing w:after="0" w:line="240" w:lineRule="auto"/>
        <w:rPr>
          <w:rFonts w:cstheme="minorHAnsi"/>
        </w:rPr>
      </w:pPr>
    </w:p>
    <w:p w14:paraId="5E04C979" w14:textId="77777777" w:rsidR="00015F87" w:rsidRPr="0083156E" w:rsidRDefault="00015F87" w:rsidP="0083156E">
      <w:pPr>
        <w:autoSpaceDE w:val="0"/>
        <w:autoSpaceDN w:val="0"/>
        <w:adjustRightInd w:val="0"/>
        <w:spacing w:after="0" w:line="240" w:lineRule="auto"/>
        <w:rPr>
          <w:rFonts w:cstheme="minorHAnsi"/>
        </w:rPr>
      </w:pPr>
      <w:r w:rsidRPr="0083156E">
        <w:rPr>
          <w:rFonts w:cstheme="minorHAnsi"/>
        </w:rPr>
        <w:t>Miller, G</w:t>
      </w:r>
      <w:r w:rsidR="00CF17BB" w:rsidRPr="0083156E">
        <w:rPr>
          <w:rFonts w:cstheme="minorHAnsi"/>
        </w:rPr>
        <w:t>.J. 1992,</w:t>
      </w:r>
      <w:r w:rsidRPr="0083156E">
        <w:rPr>
          <w:rFonts w:cstheme="minorHAnsi"/>
        </w:rPr>
        <w:t xml:space="preserve"> </w:t>
      </w:r>
      <w:r w:rsidR="00CF17BB" w:rsidRPr="0083156E">
        <w:rPr>
          <w:rFonts w:cstheme="minorHAnsi"/>
        </w:rPr>
        <w:t>‘</w:t>
      </w:r>
      <w:r w:rsidR="006527EF" w:rsidRPr="0083156E">
        <w:rPr>
          <w:rFonts w:cstheme="minorHAnsi"/>
          <w:iCs/>
        </w:rPr>
        <w:t>Managerial d</w:t>
      </w:r>
      <w:r w:rsidRPr="0083156E">
        <w:rPr>
          <w:rFonts w:cstheme="minorHAnsi"/>
          <w:iCs/>
        </w:rPr>
        <w:t>ilemmas</w:t>
      </w:r>
      <w:r w:rsidRPr="0083156E">
        <w:rPr>
          <w:rFonts w:cstheme="minorHAnsi"/>
        </w:rPr>
        <w:t>,</w:t>
      </w:r>
      <w:r w:rsidR="00CF17BB" w:rsidRPr="0083156E">
        <w:rPr>
          <w:rFonts w:cstheme="minorHAnsi"/>
        </w:rPr>
        <w:t>’</w:t>
      </w:r>
      <w:r w:rsidRPr="0083156E">
        <w:rPr>
          <w:rFonts w:cstheme="minorHAnsi"/>
        </w:rPr>
        <w:t xml:space="preserve"> Cambridge, Cambridge University Press.</w:t>
      </w:r>
    </w:p>
    <w:p w14:paraId="78B1FF4B" w14:textId="77777777" w:rsidR="00015F87" w:rsidRPr="0083156E" w:rsidRDefault="00015F87" w:rsidP="0083156E">
      <w:pPr>
        <w:autoSpaceDE w:val="0"/>
        <w:autoSpaceDN w:val="0"/>
        <w:adjustRightInd w:val="0"/>
        <w:spacing w:after="0" w:line="240" w:lineRule="auto"/>
        <w:rPr>
          <w:rFonts w:cstheme="minorHAnsi"/>
        </w:rPr>
      </w:pPr>
    </w:p>
    <w:p w14:paraId="5F9BE65E" w14:textId="77777777" w:rsidR="00D61F36" w:rsidRPr="0083156E" w:rsidRDefault="00CF17BB" w:rsidP="0083156E">
      <w:pPr>
        <w:autoSpaceDE w:val="0"/>
        <w:autoSpaceDN w:val="0"/>
        <w:adjustRightInd w:val="0"/>
        <w:spacing w:after="0" w:line="240" w:lineRule="auto"/>
        <w:rPr>
          <w:rFonts w:cstheme="minorHAnsi"/>
        </w:rPr>
      </w:pPr>
      <w:r w:rsidRPr="0083156E">
        <w:rPr>
          <w:rFonts w:cstheme="minorHAnsi"/>
        </w:rPr>
        <w:t>Mulheirn</w:t>
      </w:r>
      <w:r w:rsidR="00D61F36" w:rsidRPr="0083156E">
        <w:rPr>
          <w:rFonts w:cstheme="minorHAnsi"/>
        </w:rPr>
        <w:t>, I</w:t>
      </w:r>
      <w:r w:rsidRPr="0083156E">
        <w:rPr>
          <w:rFonts w:cstheme="minorHAnsi"/>
        </w:rPr>
        <w:t>.</w:t>
      </w:r>
      <w:r w:rsidR="00D61F36" w:rsidRPr="0083156E">
        <w:rPr>
          <w:rFonts w:cstheme="minorHAnsi"/>
        </w:rPr>
        <w:t xml:space="preserve">, 2011, </w:t>
      </w:r>
      <w:r w:rsidRPr="0083156E">
        <w:rPr>
          <w:rFonts w:cstheme="minorHAnsi"/>
        </w:rPr>
        <w:t>‘</w:t>
      </w:r>
      <w:r w:rsidR="00D61F36" w:rsidRPr="0083156E">
        <w:rPr>
          <w:rFonts w:cstheme="minorHAnsi"/>
        </w:rPr>
        <w:t>Will the work program work? Examining the viability of the Work Programme,</w:t>
      </w:r>
      <w:r w:rsidRPr="0083156E">
        <w:rPr>
          <w:rFonts w:cstheme="minorHAnsi"/>
        </w:rPr>
        <w:t>’</w:t>
      </w:r>
      <w:r w:rsidR="00D61F36" w:rsidRPr="0083156E">
        <w:rPr>
          <w:rFonts w:cstheme="minorHAnsi"/>
        </w:rPr>
        <w:t xml:space="preserve"> Social Market Foundation. </w:t>
      </w:r>
    </w:p>
    <w:p w14:paraId="7AE18361" w14:textId="77777777" w:rsidR="00015F87" w:rsidRPr="0083156E" w:rsidRDefault="00015F87" w:rsidP="0083156E">
      <w:pPr>
        <w:autoSpaceDE w:val="0"/>
        <w:autoSpaceDN w:val="0"/>
        <w:adjustRightInd w:val="0"/>
        <w:spacing w:after="0" w:line="240" w:lineRule="auto"/>
        <w:rPr>
          <w:rFonts w:cstheme="minorHAnsi"/>
        </w:rPr>
      </w:pPr>
    </w:p>
    <w:p w14:paraId="387A1B45" w14:textId="77777777" w:rsidR="00847B9D" w:rsidRPr="0083156E" w:rsidRDefault="00847B9D" w:rsidP="0083156E">
      <w:pPr>
        <w:spacing w:after="0" w:line="240" w:lineRule="auto"/>
        <w:rPr>
          <w:rStyle w:val="bibpubloc"/>
          <w:rFonts w:cstheme="minorHAnsi"/>
        </w:rPr>
      </w:pPr>
      <w:r w:rsidRPr="0083156E">
        <w:rPr>
          <w:rStyle w:val="bibauth"/>
          <w:rFonts w:cstheme="minorHAnsi"/>
        </w:rPr>
        <w:t>Newton, B.,</w:t>
      </w:r>
      <w:r w:rsidR="00CF17BB" w:rsidRPr="0083156E">
        <w:rPr>
          <w:rStyle w:val="bibauth"/>
          <w:rFonts w:cstheme="minorHAnsi"/>
        </w:rPr>
        <w:t xml:space="preserve"> N. Meager, C. Bertram, A. Corden, A. George, M. Lalani, H.</w:t>
      </w:r>
      <w:r w:rsidRPr="0083156E">
        <w:rPr>
          <w:rStyle w:val="bibauth"/>
          <w:rFonts w:cstheme="minorHAnsi"/>
        </w:rPr>
        <w:t xml:space="preserve"> Metcal</w:t>
      </w:r>
      <w:r w:rsidR="00CF17BB" w:rsidRPr="0083156E">
        <w:rPr>
          <w:rStyle w:val="bibauth"/>
          <w:rFonts w:cstheme="minorHAnsi"/>
        </w:rPr>
        <w:t xml:space="preserve">f, H. Rolfe, R. Sainsbury, and K. Weston, </w:t>
      </w:r>
      <w:r w:rsidRPr="0083156E">
        <w:rPr>
          <w:rStyle w:val="bibyear"/>
          <w:rFonts w:cstheme="minorHAnsi"/>
        </w:rPr>
        <w:t>2012</w:t>
      </w:r>
      <w:r w:rsidR="00CF17BB" w:rsidRPr="0083156E">
        <w:rPr>
          <w:rStyle w:val="bibref1"/>
          <w:rFonts w:cstheme="minorHAnsi"/>
        </w:rPr>
        <w:t>,</w:t>
      </w:r>
      <w:r w:rsidRPr="0083156E">
        <w:rPr>
          <w:rStyle w:val="bibref1"/>
          <w:rFonts w:cstheme="minorHAnsi"/>
        </w:rPr>
        <w:t xml:space="preserve"> </w:t>
      </w:r>
      <w:r w:rsidR="00CF17BB" w:rsidRPr="0083156E">
        <w:rPr>
          <w:rStyle w:val="bibref1"/>
          <w:rFonts w:cstheme="minorHAnsi"/>
        </w:rPr>
        <w:t>‘</w:t>
      </w:r>
      <w:r w:rsidRPr="0083156E">
        <w:rPr>
          <w:rStyle w:val="bibressummtitle"/>
          <w:rFonts w:cstheme="minorHAnsi"/>
        </w:rPr>
        <w:t>Work Programme evaluation: Findings from the first phase of qualitative</w:t>
      </w:r>
      <w:r w:rsidR="00CF17BB" w:rsidRPr="0083156E">
        <w:rPr>
          <w:rStyle w:val="bibressummtitle"/>
          <w:rFonts w:cstheme="minorHAnsi"/>
        </w:rPr>
        <w:t xml:space="preserve"> research on programme delivery</w:t>
      </w:r>
      <w:r w:rsidRPr="0083156E">
        <w:rPr>
          <w:rStyle w:val="bibressummtitle"/>
          <w:rFonts w:cstheme="minorHAnsi"/>
        </w:rPr>
        <w:t>,</w:t>
      </w:r>
      <w:r w:rsidR="00CF17BB" w:rsidRPr="0083156E">
        <w:rPr>
          <w:rStyle w:val="bibressummtitle"/>
          <w:rFonts w:cstheme="minorHAnsi"/>
        </w:rPr>
        <w:t>’</w:t>
      </w:r>
      <w:r w:rsidRPr="0083156E">
        <w:rPr>
          <w:rStyle w:val="bibressummtitle"/>
          <w:rFonts w:cstheme="minorHAnsi"/>
        </w:rPr>
        <w:t xml:space="preserve"> </w:t>
      </w:r>
      <w:r w:rsidRPr="0083156E">
        <w:rPr>
          <w:rStyle w:val="bibressummtitle"/>
          <w:rFonts w:cstheme="minorHAnsi"/>
          <w:iCs/>
        </w:rPr>
        <w:t>Department for Work and Pensions Research Summary</w:t>
      </w:r>
      <w:r w:rsidRPr="0083156E">
        <w:rPr>
          <w:rStyle w:val="bibressummtitle"/>
          <w:rFonts w:cstheme="minorHAnsi"/>
        </w:rPr>
        <w:t xml:space="preserve">, </w:t>
      </w:r>
      <w:r w:rsidRPr="0083156E">
        <w:rPr>
          <w:rStyle w:val="bibpub"/>
          <w:rFonts w:cstheme="minorHAnsi"/>
        </w:rPr>
        <w:t>Department for Work and Pensions</w:t>
      </w:r>
      <w:r w:rsidRPr="0083156E">
        <w:rPr>
          <w:rStyle w:val="bibref1"/>
          <w:rFonts w:cstheme="minorHAnsi"/>
        </w:rPr>
        <w:t xml:space="preserve">, </w:t>
      </w:r>
      <w:r w:rsidRPr="0083156E">
        <w:rPr>
          <w:rStyle w:val="bibpubloc"/>
          <w:rFonts w:cstheme="minorHAnsi"/>
        </w:rPr>
        <w:t>Sheffield</w:t>
      </w:r>
      <w:r w:rsidR="00CF17BB" w:rsidRPr="0083156E">
        <w:rPr>
          <w:rStyle w:val="bibpubloc"/>
          <w:rFonts w:cstheme="minorHAnsi"/>
        </w:rPr>
        <w:t>.</w:t>
      </w:r>
    </w:p>
    <w:p w14:paraId="3F7509CC" w14:textId="77777777" w:rsidR="00DF2BD9" w:rsidRPr="0083156E" w:rsidRDefault="00DF2BD9" w:rsidP="0083156E">
      <w:pPr>
        <w:shd w:val="clear" w:color="auto" w:fill="FFFFFF"/>
        <w:spacing w:after="0" w:line="240" w:lineRule="auto"/>
        <w:outlineLvl w:val="1"/>
        <w:rPr>
          <w:rFonts w:cstheme="minorHAnsi"/>
        </w:rPr>
      </w:pPr>
    </w:p>
    <w:p w14:paraId="0805A7E3" w14:textId="77777777" w:rsidR="005729EB" w:rsidRPr="0083156E" w:rsidRDefault="00CF17BB" w:rsidP="0083156E">
      <w:pPr>
        <w:spacing w:after="0" w:line="240" w:lineRule="auto"/>
        <w:rPr>
          <w:rStyle w:val="bibauth"/>
          <w:rFonts w:cstheme="minorHAnsi"/>
        </w:rPr>
      </w:pPr>
      <w:r w:rsidRPr="0083156E">
        <w:rPr>
          <w:rStyle w:val="bibauth"/>
          <w:rFonts w:cstheme="minorHAnsi"/>
        </w:rPr>
        <w:t>Nieto</w:t>
      </w:r>
      <w:r w:rsidR="005729EB" w:rsidRPr="0083156E">
        <w:rPr>
          <w:rStyle w:val="bibauth"/>
          <w:rFonts w:cstheme="minorHAnsi"/>
        </w:rPr>
        <w:t>, M.J</w:t>
      </w:r>
      <w:r w:rsidRPr="0083156E">
        <w:rPr>
          <w:rStyle w:val="bibauth"/>
          <w:rFonts w:cstheme="minorHAnsi"/>
        </w:rPr>
        <w:t>.</w:t>
      </w:r>
      <w:r w:rsidR="005729EB" w:rsidRPr="0083156E">
        <w:rPr>
          <w:rStyle w:val="bibauth"/>
          <w:rFonts w:cstheme="minorHAnsi"/>
        </w:rPr>
        <w:t xml:space="preserve"> and </w:t>
      </w:r>
      <w:r w:rsidRPr="0083156E">
        <w:rPr>
          <w:rStyle w:val="bibauth"/>
          <w:rFonts w:cstheme="minorHAnsi"/>
        </w:rPr>
        <w:t>L. Santamaria,</w:t>
      </w:r>
      <w:r w:rsidR="005729EB" w:rsidRPr="0083156E">
        <w:rPr>
          <w:rStyle w:val="bibauth"/>
          <w:rFonts w:cstheme="minorHAnsi"/>
        </w:rPr>
        <w:t xml:space="preserve"> 2007, </w:t>
      </w:r>
      <w:r w:rsidRPr="0083156E">
        <w:rPr>
          <w:rStyle w:val="bibauth"/>
          <w:rFonts w:cstheme="minorHAnsi"/>
        </w:rPr>
        <w:t>‘</w:t>
      </w:r>
      <w:r w:rsidR="005729EB" w:rsidRPr="0083156E">
        <w:rPr>
          <w:rStyle w:val="bibauth"/>
          <w:rFonts w:cstheme="minorHAnsi"/>
        </w:rPr>
        <w:t>The importance of diverse collaborative networks for the novelty of product innovation,</w:t>
      </w:r>
      <w:r w:rsidRPr="0083156E">
        <w:rPr>
          <w:rStyle w:val="bibauth"/>
          <w:rFonts w:cstheme="minorHAnsi"/>
        </w:rPr>
        <w:t>’</w:t>
      </w:r>
      <w:r w:rsidR="005729EB" w:rsidRPr="0083156E">
        <w:rPr>
          <w:rStyle w:val="bibauth"/>
          <w:rFonts w:cstheme="minorHAnsi"/>
        </w:rPr>
        <w:t xml:space="preserve"> Technovation, 27, 367-377</w:t>
      </w:r>
      <w:r w:rsidRPr="0083156E">
        <w:rPr>
          <w:rStyle w:val="bibauth"/>
          <w:rFonts w:cstheme="minorHAnsi"/>
        </w:rPr>
        <w:t>.</w:t>
      </w:r>
    </w:p>
    <w:p w14:paraId="5C065B99" w14:textId="77777777" w:rsidR="00B26979" w:rsidRPr="0083156E" w:rsidRDefault="00B26979" w:rsidP="0083156E">
      <w:pPr>
        <w:shd w:val="clear" w:color="auto" w:fill="FFFFFF"/>
        <w:spacing w:after="0" w:line="240" w:lineRule="auto"/>
        <w:outlineLvl w:val="1"/>
        <w:rPr>
          <w:rFonts w:cstheme="minorHAnsi"/>
        </w:rPr>
      </w:pPr>
    </w:p>
    <w:p w14:paraId="7AF4D5E5" w14:textId="542E61BB" w:rsidR="00B26979" w:rsidRPr="0083156E" w:rsidRDefault="00A071CB" w:rsidP="0083156E">
      <w:pPr>
        <w:rPr>
          <w:rFonts w:cstheme="minorHAnsi"/>
        </w:rPr>
      </w:pPr>
      <w:r w:rsidRPr="0083156E">
        <w:rPr>
          <w:rFonts w:cstheme="minorHAnsi"/>
        </w:rPr>
        <w:t>PBS Newshour 2010, PBS Newshour, United States, 14</w:t>
      </w:r>
      <w:r w:rsidRPr="0083156E">
        <w:rPr>
          <w:rFonts w:cstheme="minorHAnsi"/>
          <w:vertAlign w:val="superscript"/>
        </w:rPr>
        <w:t>th</w:t>
      </w:r>
      <w:r w:rsidRPr="0083156E">
        <w:rPr>
          <w:rFonts w:cstheme="minorHAnsi"/>
        </w:rPr>
        <w:t xml:space="preserve"> </w:t>
      </w:r>
      <w:r w:rsidR="001058A1" w:rsidRPr="0083156E">
        <w:rPr>
          <w:rFonts w:cstheme="minorHAnsi"/>
        </w:rPr>
        <w:t>April</w:t>
      </w:r>
      <w:r w:rsidRPr="0083156E">
        <w:rPr>
          <w:rFonts w:cstheme="minorHAnsi"/>
        </w:rPr>
        <w:t xml:space="preserve"> 2013. </w:t>
      </w:r>
      <w:r w:rsidRPr="0083156E">
        <w:rPr>
          <w:rFonts w:cstheme="minorHAnsi"/>
        </w:rPr>
        <w:tab/>
      </w:r>
      <w:r w:rsidR="00B26979" w:rsidRPr="0083156E">
        <w:rPr>
          <w:rFonts w:cstheme="minorHAnsi"/>
        </w:rPr>
        <w:t xml:space="preserve"> </w:t>
      </w:r>
      <w:r w:rsidR="00B26979" w:rsidRPr="005474D4">
        <w:rPr>
          <w:rStyle w:val="Hyperlink"/>
          <w:rFonts w:cstheme="minorHAnsi"/>
        </w:rPr>
        <w:t>http://www.pbs.org/newshour/indepth_coverage/education/no_child/map.php?state=nv</w:t>
      </w:r>
    </w:p>
    <w:p w14:paraId="1DBE9FD0" w14:textId="77777777" w:rsidR="00DF2BD9" w:rsidRPr="0083156E" w:rsidRDefault="007F107B" w:rsidP="0083156E">
      <w:pPr>
        <w:pStyle w:val="Default"/>
        <w:rPr>
          <w:rFonts w:asciiTheme="minorHAnsi" w:hAnsiTheme="minorHAnsi" w:cstheme="minorHAnsi"/>
          <w:sz w:val="22"/>
          <w:szCs w:val="22"/>
        </w:rPr>
      </w:pPr>
      <w:r w:rsidRPr="0083156E">
        <w:rPr>
          <w:rFonts w:asciiTheme="minorHAnsi" w:hAnsiTheme="minorHAnsi" w:cstheme="minorHAnsi"/>
          <w:sz w:val="22"/>
          <w:szCs w:val="22"/>
        </w:rPr>
        <w:lastRenderedPageBreak/>
        <w:t>OECD, 2007,</w:t>
      </w:r>
      <w:r w:rsidR="00DF2BD9" w:rsidRPr="0083156E">
        <w:rPr>
          <w:rFonts w:asciiTheme="minorHAnsi" w:hAnsiTheme="minorHAnsi" w:cstheme="minorHAnsi"/>
          <w:sz w:val="22"/>
          <w:szCs w:val="22"/>
        </w:rPr>
        <w:t xml:space="preserve"> </w:t>
      </w:r>
      <w:r w:rsidRPr="0083156E">
        <w:rPr>
          <w:rFonts w:asciiTheme="minorHAnsi" w:hAnsiTheme="minorHAnsi" w:cstheme="minorHAnsi"/>
          <w:sz w:val="22"/>
          <w:szCs w:val="22"/>
        </w:rPr>
        <w:t>‘</w:t>
      </w:r>
      <w:r w:rsidR="00DF2BD9" w:rsidRPr="0083156E">
        <w:rPr>
          <w:rFonts w:asciiTheme="minorHAnsi" w:hAnsiTheme="minorHAnsi" w:cstheme="minorHAnsi"/>
          <w:color w:val="auto"/>
          <w:sz w:val="22"/>
          <w:szCs w:val="22"/>
        </w:rPr>
        <w:t>Decentralisation and Coordination: The Twin Challenges of Labour Market Policy,</w:t>
      </w:r>
      <w:r w:rsidR="00A41504" w:rsidRPr="0083156E">
        <w:rPr>
          <w:rFonts w:asciiTheme="minorHAnsi" w:hAnsiTheme="minorHAnsi" w:cstheme="minorHAnsi"/>
          <w:color w:val="auto"/>
          <w:sz w:val="22"/>
          <w:szCs w:val="22"/>
        </w:rPr>
        <w:t>’ Preliminary B</w:t>
      </w:r>
      <w:r w:rsidR="00DF2BD9" w:rsidRPr="0083156E">
        <w:rPr>
          <w:rFonts w:asciiTheme="minorHAnsi" w:hAnsiTheme="minorHAnsi" w:cstheme="minorHAnsi"/>
          <w:color w:val="auto"/>
          <w:sz w:val="22"/>
          <w:szCs w:val="22"/>
        </w:rPr>
        <w:t>ack</w:t>
      </w:r>
      <w:r w:rsidR="00A41504" w:rsidRPr="0083156E">
        <w:rPr>
          <w:rFonts w:asciiTheme="minorHAnsi" w:hAnsiTheme="minorHAnsi" w:cstheme="minorHAnsi"/>
          <w:color w:val="auto"/>
          <w:sz w:val="22"/>
          <w:szCs w:val="22"/>
        </w:rPr>
        <w:t>ground N</w:t>
      </w:r>
      <w:r w:rsidR="00DF2BD9" w:rsidRPr="0083156E">
        <w:rPr>
          <w:rFonts w:asciiTheme="minorHAnsi" w:hAnsiTheme="minorHAnsi" w:cstheme="minorHAnsi"/>
          <w:color w:val="auto"/>
          <w:sz w:val="22"/>
          <w:szCs w:val="22"/>
        </w:rPr>
        <w:t>ote for the 2nd Ve</w:t>
      </w:r>
      <w:r w:rsidR="00A41504" w:rsidRPr="0083156E">
        <w:rPr>
          <w:rFonts w:asciiTheme="minorHAnsi" w:hAnsiTheme="minorHAnsi" w:cstheme="minorHAnsi"/>
          <w:color w:val="auto"/>
          <w:sz w:val="22"/>
          <w:szCs w:val="22"/>
        </w:rPr>
        <w:t xml:space="preserve">nice Conference, CFE/LEED </w:t>
      </w:r>
      <w:r w:rsidR="00DF2BD9" w:rsidRPr="0083156E">
        <w:rPr>
          <w:rFonts w:asciiTheme="minorHAnsi" w:hAnsiTheme="minorHAnsi" w:cstheme="minorHAnsi"/>
          <w:color w:val="auto"/>
          <w:sz w:val="22"/>
          <w:szCs w:val="22"/>
        </w:rPr>
        <w:t>14, Organisation for Economic Cooperation</w:t>
      </w:r>
      <w:r w:rsidR="00DF2BD9" w:rsidRPr="0083156E">
        <w:rPr>
          <w:rFonts w:asciiTheme="minorHAnsi" w:hAnsiTheme="minorHAnsi" w:cstheme="minorHAnsi"/>
          <w:sz w:val="22"/>
          <w:szCs w:val="22"/>
        </w:rPr>
        <w:t xml:space="preserve"> and Development, Paris.</w:t>
      </w:r>
    </w:p>
    <w:p w14:paraId="3505BE83" w14:textId="77777777" w:rsidR="00737EFD" w:rsidRPr="0083156E" w:rsidRDefault="00737EFD" w:rsidP="0083156E">
      <w:pPr>
        <w:pStyle w:val="Default"/>
        <w:rPr>
          <w:rFonts w:asciiTheme="minorHAnsi" w:hAnsiTheme="minorHAnsi" w:cstheme="minorHAnsi"/>
          <w:sz w:val="22"/>
          <w:szCs w:val="22"/>
        </w:rPr>
      </w:pPr>
    </w:p>
    <w:p w14:paraId="386A7A29" w14:textId="77777777" w:rsidR="00737EFD" w:rsidRPr="0083156E" w:rsidRDefault="00A41504" w:rsidP="0083156E">
      <w:pPr>
        <w:pStyle w:val="Default"/>
        <w:rPr>
          <w:rFonts w:asciiTheme="minorHAnsi" w:hAnsiTheme="minorHAnsi" w:cstheme="minorHAnsi"/>
          <w:sz w:val="22"/>
          <w:szCs w:val="22"/>
        </w:rPr>
      </w:pPr>
      <w:r w:rsidRPr="0083156E">
        <w:rPr>
          <w:rFonts w:asciiTheme="minorHAnsi" w:hAnsiTheme="minorHAnsi" w:cstheme="minorHAnsi"/>
          <w:sz w:val="22"/>
          <w:szCs w:val="22"/>
        </w:rPr>
        <w:t>OECD, 2012,</w:t>
      </w:r>
      <w:r w:rsidR="00737EFD" w:rsidRPr="0083156E">
        <w:rPr>
          <w:rFonts w:asciiTheme="minorHAnsi" w:hAnsiTheme="minorHAnsi" w:cstheme="minorHAnsi"/>
          <w:sz w:val="22"/>
          <w:szCs w:val="22"/>
        </w:rPr>
        <w:t xml:space="preserve"> </w:t>
      </w:r>
      <w:r w:rsidRPr="0083156E">
        <w:rPr>
          <w:rFonts w:asciiTheme="minorHAnsi" w:hAnsiTheme="minorHAnsi" w:cstheme="minorHAnsi"/>
          <w:sz w:val="22"/>
          <w:szCs w:val="22"/>
        </w:rPr>
        <w:t>‘</w:t>
      </w:r>
      <w:r w:rsidR="00737EFD" w:rsidRPr="0083156E">
        <w:rPr>
          <w:rFonts w:asciiTheme="minorHAnsi" w:hAnsiTheme="minorHAnsi" w:cstheme="minorHAnsi"/>
          <w:sz w:val="22"/>
          <w:szCs w:val="22"/>
        </w:rPr>
        <w:t>Activa</w:t>
      </w:r>
      <w:r w:rsidRPr="0083156E">
        <w:rPr>
          <w:rFonts w:asciiTheme="minorHAnsi" w:hAnsiTheme="minorHAnsi" w:cstheme="minorHAnsi"/>
          <w:sz w:val="22"/>
          <w:szCs w:val="22"/>
        </w:rPr>
        <w:t xml:space="preserve">ting </w:t>
      </w:r>
      <w:r w:rsidR="007957F5" w:rsidRPr="0083156E">
        <w:rPr>
          <w:rFonts w:asciiTheme="minorHAnsi" w:hAnsiTheme="minorHAnsi" w:cstheme="minorHAnsi"/>
          <w:sz w:val="22"/>
          <w:szCs w:val="22"/>
        </w:rPr>
        <w:t>job seeker</w:t>
      </w:r>
      <w:r w:rsidRPr="0083156E">
        <w:rPr>
          <w:rFonts w:asciiTheme="minorHAnsi" w:hAnsiTheme="minorHAnsi" w:cstheme="minorHAnsi"/>
          <w:sz w:val="22"/>
          <w:szCs w:val="22"/>
        </w:rPr>
        <w:t>s: How Australia d</w:t>
      </w:r>
      <w:r w:rsidR="00737EFD" w:rsidRPr="0083156E">
        <w:rPr>
          <w:rFonts w:asciiTheme="minorHAnsi" w:hAnsiTheme="minorHAnsi" w:cstheme="minorHAnsi"/>
          <w:sz w:val="22"/>
          <w:szCs w:val="22"/>
        </w:rPr>
        <w:t>oes it,</w:t>
      </w:r>
      <w:r w:rsidRPr="0083156E">
        <w:rPr>
          <w:rFonts w:asciiTheme="minorHAnsi" w:hAnsiTheme="minorHAnsi" w:cstheme="minorHAnsi"/>
          <w:sz w:val="22"/>
          <w:szCs w:val="22"/>
        </w:rPr>
        <w:t>’</w:t>
      </w:r>
      <w:r w:rsidR="00737EFD" w:rsidRPr="0083156E">
        <w:rPr>
          <w:rFonts w:asciiTheme="minorHAnsi" w:hAnsiTheme="minorHAnsi" w:cstheme="minorHAnsi"/>
          <w:sz w:val="22"/>
          <w:szCs w:val="22"/>
        </w:rPr>
        <w:t xml:space="preserve"> OECD Publishing. </w:t>
      </w:r>
    </w:p>
    <w:p w14:paraId="67DD572D" w14:textId="77777777" w:rsidR="00A74124" w:rsidRPr="0083156E" w:rsidRDefault="00A74124" w:rsidP="0083156E">
      <w:pPr>
        <w:pStyle w:val="Default"/>
        <w:rPr>
          <w:rFonts w:asciiTheme="minorHAnsi" w:hAnsiTheme="minorHAnsi" w:cstheme="minorHAnsi"/>
          <w:sz w:val="22"/>
          <w:szCs w:val="22"/>
        </w:rPr>
      </w:pPr>
    </w:p>
    <w:p w14:paraId="316642D9" w14:textId="77777777" w:rsidR="00A74124" w:rsidRPr="0083156E" w:rsidRDefault="00A74124" w:rsidP="0083156E">
      <w:pPr>
        <w:pStyle w:val="Default"/>
        <w:rPr>
          <w:rFonts w:asciiTheme="minorHAnsi" w:hAnsiTheme="minorHAnsi" w:cstheme="minorHAnsi"/>
          <w:sz w:val="22"/>
          <w:szCs w:val="22"/>
        </w:rPr>
      </w:pPr>
      <w:r w:rsidRPr="0083156E">
        <w:rPr>
          <w:rFonts w:asciiTheme="minorHAnsi" w:hAnsiTheme="minorHAnsi" w:cstheme="minorHAnsi"/>
          <w:sz w:val="22"/>
          <w:szCs w:val="22"/>
        </w:rPr>
        <w:t xml:space="preserve">OECD, 2013, ‘Employment Outlook, 2013,’ OECD Publishing. </w:t>
      </w:r>
    </w:p>
    <w:p w14:paraId="3B1F4F15" w14:textId="77777777" w:rsidR="00C2176B" w:rsidRPr="0083156E" w:rsidRDefault="00A41504" w:rsidP="0083156E">
      <w:pPr>
        <w:pStyle w:val="NormalWeb"/>
        <w:shd w:val="clear" w:color="auto" w:fill="FFFFFF"/>
        <w:spacing w:line="360" w:lineRule="atLeast"/>
        <w:rPr>
          <w:rFonts w:asciiTheme="minorHAnsi" w:eastAsiaTheme="minorHAnsi" w:hAnsiTheme="minorHAnsi" w:cstheme="minorHAnsi"/>
          <w:color w:val="000000"/>
          <w:sz w:val="22"/>
          <w:szCs w:val="22"/>
          <w:lang w:eastAsia="en-US"/>
        </w:rPr>
      </w:pPr>
      <w:r w:rsidRPr="0083156E">
        <w:rPr>
          <w:rFonts w:asciiTheme="minorHAnsi" w:eastAsiaTheme="minorHAnsi" w:hAnsiTheme="minorHAnsi" w:cstheme="minorHAnsi"/>
          <w:color w:val="000000"/>
          <w:sz w:val="22"/>
          <w:szCs w:val="22"/>
          <w:lang w:eastAsia="en-US"/>
        </w:rPr>
        <w:t>Offner, P., 2001, ‘Reducing non-marital births,’</w:t>
      </w:r>
      <w:r w:rsidR="00C2176B" w:rsidRPr="0083156E">
        <w:rPr>
          <w:rFonts w:asciiTheme="minorHAnsi" w:eastAsiaTheme="minorHAnsi" w:hAnsiTheme="minorHAnsi" w:cstheme="minorHAnsi"/>
          <w:color w:val="000000"/>
          <w:sz w:val="22"/>
          <w:szCs w:val="22"/>
          <w:lang w:eastAsia="en-US"/>
        </w:rPr>
        <w:t xml:space="preserve"> Policy Brief no. 5, Brookings Institution. </w:t>
      </w:r>
    </w:p>
    <w:p w14:paraId="3B29A0B6" w14:textId="77777777" w:rsidR="00847B9D" w:rsidRPr="0083156E" w:rsidRDefault="00A41504" w:rsidP="0083156E">
      <w:pPr>
        <w:autoSpaceDE w:val="0"/>
        <w:autoSpaceDN w:val="0"/>
        <w:adjustRightInd w:val="0"/>
        <w:spacing w:after="0" w:line="240" w:lineRule="auto"/>
        <w:rPr>
          <w:rFonts w:cstheme="minorHAnsi"/>
        </w:rPr>
      </w:pPr>
      <w:r w:rsidRPr="0083156E">
        <w:rPr>
          <w:rFonts w:cstheme="minorHAnsi"/>
        </w:rPr>
        <w:t>Oller, L.E. and B. Barot, 2000</w:t>
      </w:r>
      <w:r w:rsidR="00847B9D" w:rsidRPr="0083156E">
        <w:rPr>
          <w:rFonts w:cstheme="minorHAnsi"/>
        </w:rPr>
        <w:t xml:space="preserve">, </w:t>
      </w:r>
      <w:r w:rsidR="00A071CB" w:rsidRPr="0083156E">
        <w:rPr>
          <w:rFonts w:cstheme="minorHAnsi"/>
        </w:rPr>
        <w:t>‘</w:t>
      </w:r>
      <w:r w:rsidR="00847B9D" w:rsidRPr="0083156E">
        <w:rPr>
          <w:rFonts w:cstheme="minorHAnsi"/>
        </w:rPr>
        <w:t>The accuracy of European growth and infl</w:t>
      </w:r>
      <w:r w:rsidRPr="0083156E">
        <w:rPr>
          <w:rFonts w:cstheme="minorHAnsi"/>
        </w:rPr>
        <w:t>ation forecasts, International Journal of F</w:t>
      </w:r>
      <w:r w:rsidR="00847B9D" w:rsidRPr="0083156E">
        <w:rPr>
          <w:rFonts w:cstheme="minorHAnsi"/>
        </w:rPr>
        <w:t>orecasting</w:t>
      </w:r>
      <w:r w:rsidRPr="0083156E">
        <w:rPr>
          <w:rFonts w:cstheme="minorHAnsi"/>
        </w:rPr>
        <w:t>,</w:t>
      </w:r>
      <w:r w:rsidR="00A071CB" w:rsidRPr="0083156E">
        <w:rPr>
          <w:rFonts w:cstheme="minorHAnsi"/>
        </w:rPr>
        <w:t>’</w:t>
      </w:r>
      <w:r w:rsidR="00847B9D" w:rsidRPr="0083156E">
        <w:rPr>
          <w:rFonts w:cstheme="minorHAnsi"/>
        </w:rPr>
        <w:t xml:space="preserve"> 16, 293-315.</w:t>
      </w:r>
    </w:p>
    <w:p w14:paraId="470735EA" w14:textId="77777777" w:rsidR="000966F2" w:rsidRPr="0083156E" w:rsidRDefault="000966F2" w:rsidP="0083156E">
      <w:pPr>
        <w:spacing w:after="0" w:line="240" w:lineRule="auto"/>
        <w:rPr>
          <w:rFonts w:cstheme="minorHAnsi"/>
        </w:rPr>
      </w:pPr>
    </w:p>
    <w:p w14:paraId="7AAC3D01" w14:textId="77777777" w:rsidR="000966F2" w:rsidRPr="0083156E" w:rsidRDefault="00A41504" w:rsidP="0083156E">
      <w:pPr>
        <w:spacing w:after="0" w:line="240" w:lineRule="auto"/>
        <w:rPr>
          <w:rFonts w:cstheme="minorHAnsi"/>
        </w:rPr>
      </w:pPr>
      <w:r w:rsidRPr="0083156E">
        <w:rPr>
          <w:rFonts w:cstheme="minorHAnsi"/>
        </w:rPr>
        <w:t>Powell, W.W.,</w:t>
      </w:r>
      <w:r w:rsidR="000966F2" w:rsidRPr="0083156E">
        <w:rPr>
          <w:rFonts w:cstheme="minorHAnsi"/>
        </w:rPr>
        <w:t xml:space="preserve"> </w:t>
      </w:r>
      <w:r w:rsidRPr="0083156E">
        <w:rPr>
          <w:rFonts w:cstheme="minorHAnsi"/>
        </w:rPr>
        <w:t>K.W. Koput and L. Smith-Doerr,</w:t>
      </w:r>
      <w:r w:rsidR="000966F2" w:rsidRPr="0083156E">
        <w:rPr>
          <w:rFonts w:cstheme="minorHAnsi"/>
        </w:rPr>
        <w:t xml:space="preserve"> 1996, </w:t>
      </w:r>
      <w:r w:rsidR="00A071CB" w:rsidRPr="0083156E">
        <w:rPr>
          <w:rFonts w:cstheme="minorHAnsi"/>
        </w:rPr>
        <w:t>‘</w:t>
      </w:r>
      <w:r w:rsidR="000966F2" w:rsidRPr="0083156E">
        <w:rPr>
          <w:rFonts w:cstheme="minorHAnsi"/>
        </w:rPr>
        <w:t>Interorganizational collaboration and the locus of innovation: Networ</w:t>
      </w:r>
      <w:r w:rsidRPr="0083156E">
        <w:rPr>
          <w:rFonts w:cstheme="minorHAnsi"/>
        </w:rPr>
        <w:t>ks of learning in biotechnology,</w:t>
      </w:r>
      <w:r w:rsidR="00A071CB" w:rsidRPr="0083156E">
        <w:rPr>
          <w:rFonts w:cstheme="minorHAnsi"/>
        </w:rPr>
        <w:t>’</w:t>
      </w:r>
      <w:r w:rsidR="000966F2" w:rsidRPr="0083156E">
        <w:rPr>
          <w:rFonts w:cstheme="minorHAnsi"/>
        </w:rPr>
        <w:t xml:space="preserve"> Administrat</w:t>
      </w:r>
      <w:r w:rsidRPr="0083156E">
        <w:rPr>
          <w:rFonts w:cstheme="minorHAnsi"/>
        </w:rPr>
        <w:t>ive Science Quarterly, 41</w:t>
      </w:r>
      <w:r w:rsidR="000966F2" w:rsidRPr="0083156E">
        <w:rPr>
          <w:rFonts w:cstheme="minorHAnsi"/>
        </w:rPr>
        <w:t>, 116-145.</w:t>
      </w:r>
    </w:p>
    <w:p w14:paraId="3CAD37E4" w14:textId="77777777" w:rsidR="000966F2" w:rsidRPr="0083156E" w:rsidRDefault="000966F2" w:rsidP="0083156E">
      <w:pPr>
        <w:autoSpaceDE w:val="0"/>
        <w:autoSpaceDN w:val="0"/>
        <w:adjustRightInd w:val="0"/>
        <w:spacing w:after="0" w:line="240" w:lineRule="auto"/>
        <w:rPr>
          <w:rFonts w:cstheme="minorHAnsi"/>
        </w:rPr>
      </w:pPr>
    </w:p>
    <w:p w14:paraId="5C45E84A" w14:textId="77777777" w:rsidR="00DF2BD9" w:rsidRPr="0083156E" w:rsidRDefault="00A41504" w:rsidP="0083156E">
      <w:pPr>
        <w:autoSpaceDE w:val="0"/>
        <w:autoSpaceDN w:val="0"/>
        <w:adjustRightInd w:val="0"/>
        <w:spacing w:after="0" w:line="240" w:lineRule="auto"/>
        <w:rPr>
          <w:rFonts w:cstheme="minorHAnsi"/>
        </w:rPr>
      </w:pPr>
      <w:r w:rsidRPr="0083156E">
        <w:rPr>
          <w:rFonts w:cstheme="minorHAnsi"/>
        </w:rPr>
        <w:t>Prendergast, C</w:t>
      </w:r>
      <w:r w:rsidR="00DF2BD9" w:rsidRPr="0083156E">
        <w:rPr>
          <w:rFonts w:cstheme="minorHAnsi"/>
        </w:rPr>
        <w:t>.</w:t>
      </w:r>
      <w:r w:rsidRPr="0083156E">
        <w:rPr>
          <w:rFonts w:cstheme="minorHAnsi"/>
        </w:rPr>
        <w:t>, 1999, ‘</w:t>
      </w:r>
      <w:r w:rsidR="00DF2BD9" w:rsidRPr="0083156E">
        <w:rPr>
          <w:rFonts w:cstheme="minorHAnsi"/>
        </w:rPr>
        <w:t>The Pr</w:t>
      </w:r>
      <w:r w:rsidRPr="0083156E">
        <w:rPr>
          <w:rFonts w:cstheme="minorHAnsi"/>
        </w:rPr>
        <w:t>ovision of Incentives in Firms,’ Journal of Economic Literature,</w:t>
      </w:r>
      <w:r w:rsidR="00DF2BD9" w:rsidRPr="0083156E">
        <w:rPr>
          <w:rFonts w:cstheme="minorHAnsi"/>
        </w:rPr>
        <w:t xml:space="preserve"> </w:t>
      </w:r>
      <w:r w:rsidRPr="0083156E">
        <w:rPr>
          <w:rFonts w:cstheme="minorHAnsi"/>
        </w:rPr>
        <w:t>37,</w:t>
      </w:r>
      <w:r w:rsidR="00DF2BD9" w:rsidRPr="0083156E">
        <w:rPr>
          <w:rFonts w:cstheme="minorHAnsi"/>
        </w:rPr>
        <w:t xml:space="preserve"> 7-63.</w:t>
      </w:r>
    </w:p>
    <w:p w14:paraId="00ED3D26" w14:textId="77777777" w:rsidR="00DF2BD9" w:rsidRPr="0083156E" w:rsidRDefault="00DF2BD9" w:rsidP="0083156E">
      <w:pPr>
        <w:spacing w:after="0" w:line="240" w:lineRule="auto"/>
        <w:rPr>
          <w:rFonts w:cstheme="minorHAnsi"/>
        </w:rPr>
      </w:pPr>
    </w:p>
    <w:p w14:paraId="284F7B40" w14:textId="77777777" w:rsidR="000966F2" w:rsidRPr="0083156E" w:rsidRDefault="000966F2" w:rsidP="0083156E">
      <w:pPr>
        <w:autoSpaceDE w:val="0"/>
        <w:autoSpaceDN w:val="0"/>
        <w:adjustRightInd w:val="0"/>
        <w:spacing w:after="0" w:line="240" w:lineRule="auto"/>
        <w:rPr>
          <w:rFonts w:cstheme="minorHAnsi"/>
        </w:rPr>
      </w:pPr>
      <w:r w:rsidRPr="0083156E">
        <w:rPr>
          <w:rFonts w:cstheme="minorHAnsi"/>
        </w:rPr>
        <w:t>Productivity Commission</w:t>
      </w:r>
      <w:r w:rsidR="00A41504" w:rsidRPr="0083156E">
        <w:rPr>
          <w:rFonts w:cstheme="minorHAnsi"/>
        </w:rPr>
        <w:t xml:space="preserve">, 2002, </w:t>
      </w:r>
      <w:r w:rsidR="00A071CB" w:rsidRPr="0083156E">
        <w:rPr>
          <w:rFonts w:cstheme="minorHAnsi"/>
        </w:rPr>
        <w:t>‘</w:t>
      </w:r>
      <w:r w:rsidR="00A41504" w:rsidRPr="0083156E">
        <w:rPr>
          <w:rFonts w:cstheme="minorHAnsi"/>
        </w:rPr>
        <w:t>Independent r</w:t>
      </w:r>
      <w:r w:rsidRPr="0083156E">
        <w:rPr>
          <w:rFonts w:cstheme="minorHAnsi"/>
        </w:rPr>
        <w:t>eview of the Job Network,</w:t>
      </w:r>
      <w:r w:rsidR="00A071CB" w:rsidRPr="0083156E">
        <w:rPr>
          <w:rFonts w:cstheme="minorHAnsi"/>
        </w:rPr>
        <w:t>’</w:t>
      </w:r>
      <w:r w:rsidRPr="0083156E">
        <w:rPr>
          <w:rFonts w:cstheme="minorHAnsi"/>
        </w:rPr>
        <w:t xml:space="preserve"> Report No. 21, AusInfo, Canberra.</w:t>
      </w:r>
    </w:p>
    <w:p w14:paraId="0C3812AE" w14:textId="77777777" w:rsidR="001D041E" w:rsidRPr="0083156E" w:rsidRDefault="001D041E" w:rsidP="0083156E">
      <w:pPr>
        <w:spacing w:after="0" w:line="240" w:lineRule="auto"/>
        <w:rPr>
          <w:rFonts w:cstheme="minorHAnsi"/>
        </w:rPr>
      </w:pPr>
    </w:p>
    <w:p w14:paraId="5E3166AD" w14:textId="77777777" w:rsidR="001D041E" w:rsidRPr="0083156E" w:rsidRDefault="001D041E" w:rsidP="0083156E">
      <w:pPr>
        <w:autoSpaceDE w:val="0"/>
        <w:autoSpaceDN w:val="0"/>
        <w:adjustRightInd w:val="0"/>
        <w:spacing w:after="0" w:line="240" w:lineRule="auto"/>
        <w:rPr>
          <w:rFonts w:cstheme="minorHAnsi"/>
        </w:rPr>
      </w:pPr>
      <w:r w:rsidRPr="0083156E">
        <w:rPr>
          <w:rFonts w:cstheme="minorHAnsi"/>
        </w:rPr>
        <w:t xml:space="preserve">Propper, C., </w:t>
      </w:r>
      <w:r w:rsidR="00A41504" w:rsidRPr="0083156E">
        <w:rPr>
          <w:rFonts w:cstheme="minorHAnsi"/>
        </w:rPr>
        <w:t>M. Sutton, C. Whitnall and F. Windmeijer, 2008</w:t>
      </w:r>
      <w:r w:rsidRPr="0083156E">
        <w:rPr>
          <w:rFonts w:cstheme="minorHAnsi"/>
        </w:rPr>
        <w:t xml:space="preserve">, </w:t>
      </w:r>
      <w:r w:rsidR="00A41504" w:rsidRPr="0083156E">
        <w:rPr>
          <w:rFonts w:cstheme="minorHAnsi"/>
        </w:rPr>
        <w:t>‘</w:t>
      </w:r>
      <w:r w:rsidRPr="0083156E">
        <w:rPr>
          <w:rFonts w:cstheme="minorHAnsi"/>
        </w:rPr>
        <w:t>D</w:t>
      </w:r>
      <w:r w:rsidR="00A41504" w:rsidRPr="0083156E">
        <w:rPr>
          <w:rFonts w:cstheme="minorHAnsi"/>
        </w:rPr>
        <w:t>id ‘targets and terror’ reduce E</w:t>
      </w:r>
      <w:r w:rsidRPr="0083156E">
        <w:rPr>
          <w:rFonts w:cstheme="minorHAnsi"/>
        </w:rPr>
        <w:t>nglish waiting times for elective hosp</w:t>
      </w:r>
      <w:r w:rsidR="00A41504" w:rsidRPr="0083156E">
        <w:rPr>
          <w:rFonts w:cstheme="minorHAnsi"/>
        </w:rPr>
        <w:t>ital care?</w:t>
      </w:r>
      <w:r w:rsidRPr="0083156E">
        <w:rPr>
          <w:rFonts w:cstheme="minorHAnsi"/>
        </w:rPr>
        <w:t>,</w:t>
      </w:r>
      <w:r w:rsidR="00A41504" w:rsidRPr="0083156E">
        <w:rPr>
          <w:rFonts w:cstheme="minorHAnsi"/>
        </w:rPr>
        <w:t>’</w:t>
      </w:r>
      <w:r w:rsidRPr="0083156E">
        <w:rPr>
          <w:rFonts w:cstheme="minorHAnsi"/>
        </w:rPr>
        <w:t xml:space="preserve"> CMPO Working Paper Series No. 07/179.</w:t>
      </w:r>
    </w:p>
    <w:p w14:paraId="283CEBA7" w14:textId="77777777" w:rsidR="00C30ADC" w:rsidRPr="0083156E" w:rsidRDefault="00C30ADC" w:rsidP="0083156E">
      <w:pPr>
        <w:spacing w:after="0" w:line="240" w:lineRule="auto"/>
        <w:rPr>
          <w:rFonts w:cstheme="minorHAnsi"/>
        </w:rPr>
      </w:pPr>
    </w:p>
    <w:p w14:paraId="44293DEF" w14:textId="77777777" w:rsidR="00C30ADC" w:rsidRPr="0083156E" w:rsidRDefault="00C30ADC" w:rsidP="0083156E">
      <w:pPr>
        <w:spacing w:after="0" w:line="240" w:lineRule="auto"/>
        <w:rPr>
          <w:rFonts w:cstheme="minorHAnsi"/>
        </w:rPr>
      </w:pPr>
      <w:r w:rsidRPr="0083156E">
        <w:rPr>
          <w:rFonts w:cstheme="minorHAnsi"/>
        </w:rPr>
        <w:t xml:space="preserve">Ptok, H., F. Marusch, U. Schmidt, I. Gastinger, H.J.C. Wenisch and H. Lippert, 2010, </w:t>
      </w:r>
      <w:r w:rsidR="00A071CB" w:rsidRPr="0083156E">
        <w:rPr>
          <w:rFonts w:cstheme="minorHAnsi"/>
        </w:rPr>
        <w:t>‘</w:t>
      </w:r>
      <w:r w:rsidRPr="0083156E">
        <w:rPr>
          <w:rFonts w:cstheme="minorHAnsi"/>
        </w:rPr>
        <w:t>Risk adjustment as basis for rational benchmarking: The example of colon carcinoma,</w:t>
      </w:r>
      <w:r w:rsidR="00A071CB" w:rsidRPr="0083156E">
        <w:rPr>
          <w:rFonts w:cstheme="minorHAnsi"/>
        </w:rPr>
        <w:t>’</w:t>
      </w:r>
      <w:r w:rsidRPr="0083156E">
        <w:rPr>
          <w:rFonts w:cstheme="minorHAnsi"/>
        </w:rPr>
        <w:t xml:space="preserve"> World Journal of Surgery, 35, 196-205.</w:t>
      </w:r>
    </w:p>
    <w:p w14:paraId="7D39D29C" w14:textId="77777777" w:rsidR="00C44B70" w:rsidRPr="0083156E" w:rsidRDefault="00C30ADC" w:rsidP="0083156E">
      <w:pPr>
        <w:pStyle w:val="NormalWeb"/>
        <w:shd w:val="clear" w:color="auto" w:fill="FFFFFF"/>
        <w:rPr>
          <w:rFonts w:asciiTheme="minorHAnsi" w:eastAsiaTheme="minorHAnsi" w:hAnsiTheme="minorHAnsi" w:cstheme="minorHAnsi"/>
          <w:sz w:val="22"/>
          <w:szCs w:val="22"/>
          <w:lang w:eastAsia="en-US"/>
        </w:rPr>
      </w:pPr>
      <w:r w:rsidRPr="0083156E">
        <w:rPr>
          <w:rFonts w:asciiTheme="minorHAnsi" w:eastAsiaTheme="minorHAnsi" w:hAnsiTheme="minorHAnsi" w:cstheme="minorHAnsi"/>
          <w:sz w:val="22"/>
          <w:szCs w:val="22"/>
          <w:lang w:eastAsia="en-US"/>
        </w:rPr>
        <w:t>Radin, B.</w:t>
      </w:r>
      <w:r w:rsidR="00C44B70" w:rsidRPr="0083156E">
        <w:rPr>
          <w:rFonts w:asciiTheme="minorHAnsi" w:eastAsiaTheme="minorHAnsi" w:hAnsiTheme="minorHAnsi" w:cstheme="minorHAnsi"/>
          <w:sz w:val="22"/>
          <w:szCs w:val="22"/>
          <w:lang w:eastAsia="en-US"/>
        </w:rPr>
        <w:t>A.</w:t>
      </w:r>
      <w:r w:rsidRPr="0083156E">
        <w:rPr>
          <w:rFonts w:asciiTheme="minorHAnsi" w:eastAsiaTheme="minorHAnsi" w:hAnsiTheme="minorHAnsi" w:cstheme="minorHAnsi"/>
          <w:sz w:val="22"/>
          <w:szCs w:val="22"/>
          <w:lang w:eastAsia="en-US"/>
        </w:rPr>
        <w:t>, 2006,</w:t>
      </w:r>
      <w:r w:rsidR="00C44B70" w:rsidRPr="0083156E">
        <w:rPr>
          <w:rFonts w:asciiTheme="minorHAnsi" w:eastAsiaTheme="minorHAnsi" w:hAnsiTheme="minorHAnsi" w:cstheme="minorHAnsi"/>
          <w:sz w:val="22"/>
          <w:szCs w:val="22"/>
          <w:lang w:eastAsia="en-US"/>
        </w:rPr>
        <w:t xml:space="preserve"> </w:t>
      </w:r>
      <w:r w:rsidR="00A071CB" w:rsidRPr="0083156E">
        <w:rPr>
          <w:rFonts w:asciiTheme="minorHAnsi" w:eastAsiaTheme="minorHAnsi" w:hAnsiTheme="minorHAnsi" w:cstheme="minorHAnsi"/>
          <w:sz w:val="22"/>
          <w:szCs w:val="22"/>
          <w:lang w:eastAsia="en-US"/>
        </w:rPr>
        <w:t>‘</w:t>
      </w:r>
      <w:r w:rsidR="00C44B70" w:rsidRPr="0083156E">
        <w:rPr>
          <w:rFonts w:asciiTheme="minorHAnsi" w:eastAsiaTheme="minorHAnsi" w:hAnsiTheme="minorHAnsi" w:cstheme="minorHAnsi"/>
          <w:sz w:val="22"/>
          <w:szCs w:val="22"/>
          <w:lang w:eastAsia="en-US"/>
        </w:rPr>
        <w:t>Challenging th</w:t>
      </w:r>
      <w:r w:rsidRPr="0083156E">
        <w:rPr>
          <w:rFonts w:asciiTheme="minorHAnsi" w:eastAsiaTheme="minorHAnsi" w:hAnsiTheme="minorHAnsi" w:cstheme="minorHAnsi"/>
          <w:sz w:val="22"/>
          <w:szCs w:val="22"/>
          <w:lang w:eastAsia="en-US"/>
        </w:rPr>
        <w:t>e p</w:t>
      </w:r>
      <w:r w:rsidR="00C44B70" w:rsidRPr="0083156E">
        <w:rPr>
          <w:rFonts w:asciiTheme="minorHAnsi" w:eastAsiaTheme="minorHAnsi" w:hAnsiTheme="minorHAnsi" w:cstheme="minorHAnsi"/>
          <w:sz w:val="22"/>
          <w:szCs w:val="22"/>
          <w:lang w:eastAsia="en-US"/>
        </w:rPr>
        <w:t>erformanc</w:t>
      </w:r>
      <w:r w:rsidRPr="0083156E">
        <w:rPr>
          <w:rFonts w:asciiTheme="minorHAnsi" w:eastAsiaTheme="minorHAnsi" w:hAnsiTheme="minorHAnsi" w:cstheme="minorHAnsi"/>
          <w:sz w:val="22"/>
          <w:szCs w:val="22"/>
          <w:lang w:eastAsia="en-US"/>
        </w:rPr>
        <w:t>e movement,</w:t>
      </w:r>
      <w:r w:rsidR="00A071CB" w:rsidRPr="0083156E">
        <w:rPr>
          <w:rFonts w:asciiTheme="minorHAnsi" w:eastAsiaTheme="minorHAnsi" w:hAnsiTheme="minorHAnsi" w:cstheme="minorHAnsi"/>
          <w:sz w:val="22"/>
          <w:szCs w:val="22"/>
          <w:lang w:eastAsia="en-US"/>
        </w:rPr>
        <w:t>’</w:t>
      </w:r>
      <w:r w:rsidRPr="0083156E">
        <w:rPr>
          <w:rFonts w:asciiTheme="minorHAnsi" w:eastAsiaTheme="minorHAnsi" w:hAnsiTheme="minorHAnsi" w:cstheme="minorHAnsi"/>
          <w:sz w:val="22"/>
          <w:szCs w:val="22"/>
          <w:lang w:eastAsia="en-US"/>
        </w:rPr>
        <w:t xml:space="preserve"> Washington DC,</w:t>
      </w:r>
      <w:r w:rsidR="000966F2" w:rsidRPr="0083156E">
        <w:rPr>
          <w:rFonts w:asciiTheme="minorHAnsi" w:eastAsiaTheme="minorHAnsi" w:hAnsiTheme="minorHAnsi" w:cstheme="minorHAnsi"/>
          <w:sz w:val="22"/>
          <w:szCs w:val="22"/>
          <w:lang w:eastAsia="en-US"/>
        </w:rPr>
        <w:t xml:space="preserve"> </w:t>
      </w:r>
      <w:r w:rsidR="00C44B70" w:rsidRPr="0083156E">
        <w:rPr>
          <w:rFonts w:asciiTheme="minorHAnsi" w:eastAsiaTheme="minorHAnsi" w:hAnsiTheme="minorHAnsi" w:cstheme="minorHAnsi"/>
          <w:sz w:val="22"/>
          <w:szCs w:val="22"/>
          <w:lang w:eastAsia="en-US"/>
        </w:rPr>
        <w:t xml:space="preserve">Georgetown University Press. </w:t>
      </w:r>
    </w:p>
    <w:p w14:paraId="2E51B43E" w14:textId="77777777" w:rsidR="00847B9D" w:rsidRPr="0083156E" w:rsidRDefault="00C30ADC" w:rsidP="0083156E">
      <w:pPr>
        <w:autoSpaceDE w:val="0"/>
        <w:autoSpaceDN w:val="0"/>
        <w:adjustRightInd w:val="0"/>
        <w:spacing w:after="0" w:line="240" w:lineRule="auto"/>
        <w:rPr>
          <w:rFonts w:cstheme="minorHAnsi"/>
        </w:rPr>
      </w:pPr>
      <w:r w:rsidRPr="0083156E">
        <w:rPr>
          <w:rFonts w:cstheme="minorHAnsi"/>
        </w:rPr>
        <w:t>Reinganmn, J.F. 1983, ‘Uncertain innovation and the persistence of monopoly,’</w:t>
      </w:r>
      <w:r w:rsidR="00847B9D" w:rsidRPr="0083156E">
        <w:rPr>
          <w:rFonts w:cstheme="minorHAnsi"/>
        </w:rPr>
        <w:t xml:space="preserve"> American Economic Review</w:t>
      </w:r>
      <w:r w:rsidRPr="0083156E">
        <w:rPr>
          <w:rFonts w:cstheme="minorHAnsi"/>
        </w:rPr>
        <w:t>, 73,</w:t>
      </w:r>
      <w:r w:rsidR="00847B9D" w:rsidRPr="0083156E">
        <w:rPr>
          <w:rFonts w:cstheme="minorHAnsi"/>
        </w:rPr>
        <w:t xml:space="preserve"> 741-748.</w:t>
      </w:r>
    </w:p>
    <w:p w14:paraId="0F7C74E2" w14:textId="77777777" w:rsidR="009D2E2B" w:rsidRPr="0083156E" w:rsidRDefault="009D2E2B" w:rsidP="0083156E">
      <w:pPr>
        <w:autoSpaceDE w:val="0"/>
        <w:autoSpaceDN w:val="0"/>
        <w:adjustRightInd w:val="0"/>
        <w:spacing w:after="0" w:line="240" w:lineRule="auto"/>
        <w:rPr>
          <w:rFonts w:cstheme="minorHAnsi"/>
        </w:rPr>
      </w:pPr>
    </w:p>
    <w:p w14:paraId="349CCB15" w14:textId="77777777" w:rsidR="009D2E2B" w:rsidRPr="0083156E" w:rsidRDefault="00C30ADC" w:rsidP="0083156E">
      <w:pPr>
        <w:autoSpaceDE w:val="0"/>
        <w:autoSpaceDN w:val="0"/>
        <w:adjustRightInd w:val="0"/>
        <w:spacing w:after="0" w:line="240" w:lineRule="auto"/>
        <w:rPr>
          <w:rFonts w:cstheme="minorHAnsi"/>
        </w:rPr>
      </w:pPr>
      <w:r w:rsidRPr="0083156E">
        <w:rPr>
          <w:rFonts w:cstheme="minorHAnsi"/>
        </w:rPr>
        <w:t>Rosenberg, B., 2004, ‘What’s p</w:t>
      </w:r>
      <w:r w:rsidR="009D2E2B" w:rsidRPr="0083156E">
        <w:rPr>
          <w:rFonts w:cstheme="minorHAnsi"/>
        </w:rPr>
        <w:t>roficient? The No Child Left Behi</w:t>
      </w:r>
      <w:r w:rsidRPr="0083156E">
        <w:rPr>
          <w:rFonts w:cstheme="minorHAnsi"/>
        </w:rPr>
        <w:t>nd Act and the many meanings of p</w:t>
      </w:r>
      <w:r w:rsidR="009D2E2B" w:rsidRPr="0083156E">
        <w:rPr>
          <w:rFonts w:cstheme="minorHAnsi"/>
        </w:rPr>
        <w:t>roficiency,</w:t>
      </w:r>
      <w:r w:rsidRPr="0083156E">
        <w:rPr>
          <w:rFonts w:cstheme="minorHAnsi"/>
        </w:rPr>
        <w:t>’</w:t>
      </w:r>
      <w:r w:rsidR="009D2E2B" w:rsidRPr="0083156E">
        <w:rPr>
          <w:rFonts w:cstheme="minorHAnsi"/>
        </w:rPr>
        <w:t xml:space="preserve"> American Federation of Teachers</w:t>
      </w:r>
      <w:r w:rsidR="00C44B70" w:rsidRPr="0083156E">
        <w:rPr>
          <w:rFonts w:cstheme="minorHAnsi"/>
        </w:rPr>
        <w:t>.</w:t>
      </w:r>
    </w:p>
    <w:p w14:paraId="7E27BB51" w14:textId="77777777" w:rsidR="00C30ADC" w:rsidRPr="0083156E" w:rsidRDefault="00C30ADC" w:rsidP="0083156E">
      <w:pPr>
        <w:autoSpaceDE w:val="0"/>
        <w:autoSpaceDN w:val="0"/>
        <w:adjustRightInd w:val="0"/>
        <w:spacing w:after="0" w:line="240" w:lineRule="auto"/>
        <w:rPr>
          <w:rFonts w:cstheme="minorHAnsi"/>
        </w:rPr>
      </w:pPr>
    </w:p>
    <w:p w14:paraId="554A18B2" w14:textId="77777777" w:rsidR="00C44B70" w:rsidRPr="0083156E" w:rsidRDefault="00C44B70" w:rsidP="0083156E">
      <w:pPr>
        <w:autoSpaceDE w:val="0"/>
        <w:autoSpaceDN w:val="0"/>
        <w:adjustRightInd w:val="0"/>
        <w:spacing w:after="0" w:line="240" w:lineRule="auto"/>
        <w:rPr>
          <w:rFonts w:cstheme="minorHAnsi"/>
        </w:rPr>
      </w:pPr>
      <w:r w:rsidRPr="0083156E">
        <w:rPr>
          <w:rFonts w:cstheme="minorHAnsi"/>
        </w:rPr>
        <w:t>Rosenthal, G.E</w:t>
      </w:r>
      <w:r w:rsidR="00C30ADC" w:rsidRPr="0083156E">
        <w:rPr>
          <w:rFonts w:cstheme="minorHAnsi"/>
        </w:rPr>
        <w:t>.</w:t>
      </w:r>
      <w:r w:rsidRPr="0083156E">
        <w:rPr>
          <w:rFonts w:cstheme="minorHAnsi"/>
        </w:rPr>
        <w:t>,</w:t>
      </w:r>
      <w:r w:rsidR="00C30ADC" w:rsidRPr="0083156E">
        <w:rPr>
          <w:rFonts w:cstheme="minorHAnsi"/>
        </w:rPr>
        <w:t xml:space="preserve"> P.J. Hammar, L.E. Way, S.A. Shipley, D. Doner, B. Wojtala, J. Miller, D.L. Harper,</w:t>
      </w:r>
      <w:r w:rsidRPr="0083156E">
        <w:rPr>
          <w:rFonts w:cstheme="minorHAnsi"/>
        </w:rPr>
        <w:t xml:space="preserve"> 1998, </w:t>
      </w:r>
      <w:r w:rsidR="00C30ADC" w:rsidRPr="0083156E">
        <w:rPr>
          <w:rFonts w:cstheme="minorHAnsi"/>
        </w:rPr>
        <w:t>‘</w:t>
      </w:r>
      <w:r w:rsidRPr="0083156E">
        <w:rPr>
          <w:rFonts w:cstheme="minorHAnsi"/>
        </w:rPr>
        <w:t>Using hospital performance data in quality improvement: the Clevelan</w:t>
      </w:r>
      <w:r w:rsidR="00C30ADC" w:rsidRPr="0083156E">
        <w:rPr>
          <w:rFonts w:cstheme="minorHAnsi"/>
        </w:rPr>
        <w:t>d health quality choice experience,’ The Joint Commission On Quality I</w:t>
      </w:r>
      <w:r w:rsidR="00CF040C" w:rsidRPr="0083156E">
        <w:rPr>
          <w:rFonts w:cstheme="minorHAnsi"/>
        </w:rPr>
        <w:t>mprovement, 24, 347-60.</w:t>
      </w:r>
    </w:p>
    <w:p w14:paraId="16A251B0" w14:textId="77777777" w:rsidR="00765965" w:rsidRPr="0083156E" w:rsidRDefault="00765965" w:rsidP="0083156E">
      <w:pPr>
        <w:autoSpaceDE w:val="0"/>
        <w:autoSpaceDN w:val="0"/>
        <w:adjustRightInd w:val="0"/>
        <w:spacing w:after="0" w:line="240" w:lineRule="auto"/>
        <w:rPr>
          <w:rFonts w:cstheme="minorHAnsi"/>
        </w:rPr>
      </w:pPr>
    </w:p>
    <w:p w14:paraId="6C248B6D" w14:textId="77777777" w:rsidR="00765965" w:rsidRPr="0083156E" w:rsidRDefault="00C30ADC" w:rsidP="0083156E">
      <w:pPr>
        <w:autoSpaceDE w:val="0"/>
        <w:autoSpaceDN w:val="0"/>
        <w:adjustRightInd w:val="0"/>
        <w:spacing w:after="0" w:line="240" w:lineRule="auto"/>
        <w:rPr>
          <w:rFonts w:cstheme="minorHAnsi"/>
        </w:rPr>
      </w:pPr>
      <w:r w:rsidRPr="0083156E">
        <w:rPr>
          <w:rFonts w:cstheme="minorHAnsi"/>
        </w:rPr>
        <w:t>Rubenstein, R., A.E. Schwartz and L. Stiefel, 2003, ‘Better than raw: A guide to m</w:t>
      </w:r>
      <w:r w:rsidR="00765965" w:rsidRPr="0083156E">
        <w:rPr>
          <w:rFonts w:cstheme="minorHAnsi"/>
        </w:rPr>
        <w:t xml:space="preserve">easuring </w:t>
      </w:r>
      <w:r w:rsidRPr="0083156E">
        <w:rPr>
          <w:rFonts w:cstheme="minorHAnsi"/>
        </w:rPr>
        <w:t>organizational performance with adjusted performance m</w:t>
      </w:r>
      <w:r w:rsidR="00765965" w:rsidRPr="0083156E">
        <w:rPr>
          <w:rFonts w:cstheme="minorHAnsi"/>
        </w:rPr>
        <w:t>easu</w:t>
      </w:r>
      <w:r w:rsidRPr="0083156E">
        <w:rPr>
          <w:rFonts w:cstheme="minorHAnsi"/>
        </w:rPr>
        <w:t>res,’</w:t>
      </w:r>
      <w:r w:rsidR="00765965" w:rsidRPr="0083156E">
        <w:rPr>
          <w:rFonts w:cstheme="minorHAnsi"/>
        </w:rPr>
        <w:t xml:space="preserve"> Public Administration Review</w:t>
      </w:r>
      <w:r w:rsidRPr="0083156E">
        <w:rPr>
          <w:rFonts w:cstheme="minorHAnsi"/>
        </w:rPr>
        <w:t>,</w:t>
      </w:r>
      <w:r w:rsidR="00765965" w:rsidRPr="0083156E">
        <w:rPr>
          <w:rFonts w:cstheme="minorHAnsi"/>
        </w:rPr>
        <w:t xml:space="preserve"> </w:t>
      </w:r>
      <w:r w:rsidRPr="0083156E">
        <w:rPr>
          <w:rFonts w:cstheme="minorHAnsi"/>
        </w:rPr>
        <w:t>63,</w:t>
      </w:r>
      <w:r w:rsidR="00765965" w:rsidRPr="0083156E">
        <w:rPr>
          <w:rFonts w:cstheme="minorHAnsi"/>
        </w:rPr>
        <w:t xml:space="preserve"> 607-15.</w:t>
      </w:r>
    </w:p>
    <w:p w14:paraId="5105C12B" w14:textId="77777777" w:rsidR="00DF2BD9" w:rsidRPr="0083156E" w:rsidRDefault="00DF2BD9" w:rsidP="0083156E">
      <w:pPr>
        <w:autoSpaceDE w:val="0"/>
        <w:autoSpaceDN w:val="0"/>
        <w:adjustRightInd w:val="0"/>
        <w:spacing w:after="0" w:line="240" w:lineRule="auto"/>
        <w:rPr>
          <w:rFonts w:cstheme="minorHAnsi"/>
        </w:rPr>
      </w:pPr>
    </w:p>
    <w:p w14:paraId="64D0701A" w14:textId="77777777" w:rsidR="00824842" w:rsidRPr="0083156E" w:rsidRDefault="00E6122A" w:rsidP="0083156E">
      <w:pPr>
        <w:autoSpaceDE w:val="0"/>
        <w:autoSpaceDN w:val="0"/>
        <w:adjustRightInd w:val="0"/>
        <w:spacing w:after="0" w:line="240" w:lineRule="auto"/>
        <w:rPr>
          <w:rFonts w:cstheme="minorHAnsi"/>
        </w:rPr>
      </w:pPr>
      <w:r w:rsidRPr="0083156E">
        <w:rPr>
          <w:rFonts w:cstheme="minorHAnsi"/>
        </w:rPr>
        <w:t>Santoro, M.</w:t>
      </w:r>
      <w:r w:rsidR="00824842" w:rsidRPr="0083156E">
        <w:rPr>
          <w:rFonts w:cstheme="minorHAnsi"/>
        </w:rPr>
        <w:t>D.</w:t>
      </w:r>
      <w:r w:rsidRPr="0083156E">
        <w:rPr>
          <w:rFonts w:cstheme="minorHAnsi"/>
        </w:rPr>
        <w:t>, 2000,</w:t>
      </w:r>
      <w:r w:rsidR="00824842" w:rsidRPr="0083156E">
        <w:rPr>
          <w:rFonts w:cstheme="minorHAnsi"/>
        </w:rPr>
        <w:t xml:space="preserve"> </w:t>
      </w:r>
      <w:r w:rsidR="00A071CB" w:rsidRPr="0083156E">
        <w:rPr>
          <w:rFonts w:cstheme="minorHAnsi"/>
        </w:rPr>
        <w:t>‘</w:t>
      </w:r>
      <w:r w:rsidR="00824842" w:rsidRPr="0083156E">
        <w:rPr>
          <w:rFonts w:cstheme="minorHAnsi"/>
        </w:rPr>
        <w:t>Success breeds success: t</w:t>
      </w:r>
      <w:r w:rsidR="00DF2BD9" w:rsidRPr="0083156E">
        <w:rPr>
          <w:rFonts w:cstheme="minorHAnsi"/>
        </w:rPr>
        <w:t xml:space="preserve">he linkage between relationship </w:t>
      </w:r>
      <w:r w:rsidR="00824842" w:rsidRPr="0083156E">
        <w:rPr>
          <w:rFonts w:cstheme="minorHAnsi"/>
        </w:rPr>
        <w:t>intensity and tangible outcomes in industry-univers</w:t>
      </w:r>
      <w:r w:rsidRPr="0083156E">
        <w:rPr>
          <w:rFonts w:cstheme="minorHAnsi"/>
        </w:rPr>
        <w:t>ity collaborative ventures,</w:t>
      </w:r>
      <w:r w:rsidR="00A071CB" w:rsidRPr="0083156E">
        <w:rPr>
          <w:rFonts w:cstheme="minorHAnsi"/>
        </w:rPr>
        <w:t>’</w:t>
      </w:r>
      <w:r w:rsidR="00DF2BD9" w:rsidRPr="0083156E">
        <w:rPr>
          <w:rFonts w:cstheme="minorHAnsi"/>
        </w:rPr>
        <w:t xml:space="preserve"> The </w:t>
      </w:r>
      <w:r w:rsidR="00824842" w:rsidRPr="0083156E">
        <w:rPr>
          <w:rFonts w:cstheme="minorHAnsi"/>
        </w:rPr>
        <w:t>Journal of High Technology Management Resear</w:t>
      </w:r>
      <w:r w:rsidRPr="0083156E">
        <w:rPr>
          <w:rFonts w:cstheme="minorHAnsi"/>
        </w:rPr>
        <w:t xml:space="preserve">ch, 11, </w:t>
      </w:r>
      <w:r w:rsidR="00824842" w:rsidRPr="0083156E">
        <w:rPr>
          <w:rFonts w:cstheme="minorHAnsi"/>
        </w:rPr>
        <w:t>255-273.</w:t>
      </w:r>
    </w:p>
    <w:p w14:paraId="2B697B59" w14:textId="77777777" w:rsidR="00153C3E" w:rsidRPr="0083156E" w:rsidRDefault="00153C3E" w:rsidP="0083156E">
      <w:pPr>
        <w:autoSpaceDE w:val="0"/>
        <w:autoSpaceDN w:val="0"/>
        <w:adjustRightInd w:val="0"/>
        <w:spacing w:after="0" w:line="240" w:lineRule="auto"/>
        <w:rPr>
          <w:rFonts w:cstheme="minorHAnsi"/>
        </w:rPr>
      </w:pPr>
    </w:p>
    <w:p w14:paraId="08ADE060" w14:textId="77777777" w:rsidR="00153C3E" w:rsidRPr="0083156E" w:rsidRDefault="00A071CB" w:rsidP="0083156E">
      <w:pPr>
        <w:autoSpaceDE w:val="0"/>
        <w:autoSpaceDN w:val="0"/>
        <w:adjustRightInd w:val="0"/>
        <w:spacing w:after="0" w:line="240" w:lineRule="auto"/>
        <w:rPr>
          <w:rFonts w:cstheme="minorHAnsi"/>
        </w:rPr>
      </w:pPr>
      <w:r w:rsidRPr="0083156E">
        <w:rPr>
          <w:rFonts w:cstheme="minorHAnsi"/>
        </w:rPr>
        <w:lastRenderedPageBreak/>
        <w:t>Scherer, F.M., 1980, ‘Industrial market structure and economic p</w:t>
      </w:r>
      <w:r w:rsidR="00153C3E" w:rsidRPr="0083156E">
        <w:rPr>
          <w:rFonts w:cstheme="minorHAnsi"/>
        </w:rPr>
        <w:t>erformance,</w:t>
      </w:r>
      <w:r w:rsidRPr="0083156E">
        <w:rPr>
          <w:rFonts w:cstheme="minorHAnsi"/>
        </w:rPr>
        <w:t>’</w:t>
      </w:r>
      <w:r w:rsidR="00153C3E" w:rsidRPr="0083156E">
        <w:rPr>
          <w:rFonts w:cstheme="minorHAnsi"/>
        </w:rPr>
        <w:t xml:space="preserve"> 2nd Edition. Chicago: Rand McNally.</w:t>
      </w:r>
    </w:p>
    <w:p w14:paraId="11856A97" w14:textId="77777777" w:rsidR="00E41AD5" w:rsidRPr="0083156E" w:rsidRDefault="00E41AD5" w:rsidP="0083156E">
      <w:pPr>
        <w:autoSpaceDE w:val="0"/>
        <w:autoSpaceDN w:val="0"/>
        <w:adjustRightInd w:val="0"/>
        <w:spacing w:after="0" w:line="240" w:lineRule="auto"/>
        <w:rPr>
          <w:rFonts w:cstheme="minorHAnsi"/>
        </w:rPr>
      </w:pPr>
    </w:p>
    <w:p w14:paraId="4656E0AC" w14:textId="77777777" w:rsidR="005F5E54" w:rsidRPr="0083156E" w:rsidRDefault="005F5E54" w:rsidP="0083156E">
      <w:pPr>
        <w:autoSpaceDE w:val="0"/>
        <w:autoSpaceDN w:val="0"/>
        <w:adjustRightInd w:val="0"/>
        <w:spacing w:after="0" w:line="240" w:lineRule="auto"/>
        <w:rPr>
          <w:rFonts w:cstheme="minorHAnsi"/>
          <w:color w:val="000000"/>
        </w:rPr>
      </w:pPr>
      <w:r w:rsidRPr="0083156E">
        <w:rPr>
          <w:rFonts w:cstheme="minorHAnsi"/>
          <w:color w:val="000000"/>
        </w:rPr>
        <w:t xml:space="preserve">Schuh, S., 2001, </w:t>
      </w:r>
      <w:r w:rsidR="00A071CB" w:rsidRPr="0083156E">
        <w:rPr>
          <w:rFonts w:cstheme="minorHAnsi"/>
          <w:color w:val="000000"/>
        </w:rPr>
        <w:t>‘</w:t>
      </w:r>
      <w:r w:rsidRPr="0083156E">
        <w:rPr>
          <w:rFonts w:cstheme="minorHAnsi"/>
          <w:color w:val="000000"/>
        </w:rPr>
        <w:t>An evaluation of recent macroeconomic forecast errors,</w:t>
      </w:r>
      <w:r w:rsidR="00A071CB" w:rsidRPr="0083156E">
        <w:rPr>
          <w:rFonts w:cstheme="minorHAnsi"/>
          <w:color w:val="000000"/>
        </w:rPr>
        <w:t>’</w:t>
      </w:r>
      <w:r w:rsidRPr="0083156E">
        <w:rPr>
          <w:rFonts w:cstheme="minorHAnsi"/>
          <w:color w:val="000000"/>
        </w:rPr>
        <w:t xml:space="preserve"> N</w:t>
      </w:r>
      <w:r w:rsidR="00E6122A" w:rsidRPr="0083156E">
        <w:rPr>
          <w:rFonts w:cstheme="minorHAnsi"/>
          <w:color w:val="000000"/>
        </w:rPr>
        <w:t xml:space="preserve">ew England Economic Review, 1, </w:t>
      </w:r>
      <w:r w:rsidRPr="0083156E">
        <w:rPr>
          <w:rFonts w:cstheme="minorHAnsi"/>
          <w:color w:val="000000"/>
        </w:rPr>
        <w:t xml:space="preserve">35-56. </w:t>
      </w:r>
    </w:p>
    <w:p w14:paraId="0DF5FAB5" w14:textId="77777777" w:rsidR="005F5E54" w:rsidRPr="0083156E" w:rsidRDefault="005F5E54" w:rsidP="0083156E">
      <w:pPr>
        <w:autoSpaceDE w:val="0"/>
        <w:autoSpaceDN w:val="0"/>
        <w:adjustRightInd w:val="0"/>
        <w:spacing w:after="0" w:line="240" w:lineRule="auto"/>
        <w:rPr>
          <w:rFonts w:cstheme="minorHAnsi"/>
          <w:color w:val="000000"/>
        </w:rPr>
      </w:pPr>
    </w:p>
    <w:p w14:paraId="309FAB86" w14:textId="77777777" w:rsidR="00E41AD5" w:rsidRPr="0083156E" w:rsidRDefault="00E41AD5" w:rsidP="0083156E">
      <w:pPr>
        <w:autoSpaceDE w:val="0"/>
        <w:autoSpaceDN w:val="0"/>
        <w:adjustRightInd w:val="0"/>
        <w:spacing w:after="0" w:line="240" w:lineRule="auto"/>
        <w:rPr>
          <w:rFonts w:cstheme="minorHAnsi"/>
        </w:rPr>
      </w:pPr>
      <w:r w:rsidRPr="0083156E">
        <w:rPr>
          <w:rFonts w:cstheme="minorHAnsi"/>
        </w:rPr>
        <w:t>Shaw,</w:t>
      </w:r>
      <w:r w:rsidR="00E6122A" w:rsidRPr="0083156E">
        <w:rPr>
          <w:rFonts w:cstheme="minorHAnsi"/>
        </w:rPr>
        <w:t xml:space="preserve"> B., 1994,</w:t>
      </w:r>
      <w:r w:rsidRPr="0083156E">
        <w:rPr>
          <w:rFonts w:cstheme="minorHAnsi"/>
        </w:rPr>
        <w:t xml:space="preserve"> </w:t>
      </w:r>
      <w:r w:rsidR="00E6122A" w:rsidRPr="0083156E">
        <w:rPr>
          <w:rFonts w:cstheme="minorHAnsi"/>
        </w:rPr>
        <w:t>‘</w:t>
      </w:r>
      <w:r w:rsidRPr="0083156E">
        <w:rPr>
          <w:rFonts w:cstheme="minorHAnsi"/>
        </w:rPr>
        <w:t>Use</w:t>
      </w:r>
      <w:r w:rsidR="00E6122A" w:rsidRPr="0083156E">
        <w:rPr>
          <w:rFonts w:cstheme="minorHAnsi"/>
        </w:rPr>
        <w:t xml:space="preserve">r/Supplier links and innovation,’ In </w:t>
      </w:r>
      <w:r w:rsidR="00A071CB" w:rsidRPr="0083156E">
        <w:rPr>
          <w:rFonts w:cstheme="minorHAnsi"/>
        </w:rPr>
        <w:t xml:space="preserve">Dodgson, M. and R. Rothwell (eds.), </w:t>
      </w:r>
      <w:r w:rsidR="00E6122A" w:rsidRPr="0083156E">
        <w:rPr>
          <w:rFonts w:cstheme="minorHAnsi"/>
        </w:rPr>
        <w:t>The h</w:t>
      </w:r>
      <w:r w:rsidR="00DF2BD9" w:rsidRPr="0083156E">
        <w:rPr>
          <w:rFonts w:cstheme="minorHAnsi"/>
        </w:rPr>
        <w:t xml:space="preserve">andbook of industrial </w:t>
      </w:r>
      <w:r w:rsidRPr="0083156E">
        <w:rPr>
          <w:rFonts w:cstheme="minorHAnsi"/>
        </w:rPr>
        <w:t>innovation, Brookfield: Edward Elgar.</w:t>
      </w:r>
    </w:p>
    <w:p w14:paraId="78840F3D" w14:textId="77777777" w:rsidR="001D041E" w:rsidRPr="0083156E" w:rsidRDefault="00E6122A" w:rsidP="0083156E">
      <w:pPr>
        <w:pStyle w:val="NormalWeb"/>
        <w:shd w:val="clear" w:color="auto" w:fill="FFFFFF"/>
        <w:rPr>
          <w:rFonts w:asciiTheme="minorHAnsi" w:eastAsiaTheme="minorHAnsi" w:hAnsiTheme="minorHAnsi" w:cstheme="minorHAnsi"/>
          <w:sz w:val="22"/>
          <w:szCs w:val="22"/>
          <w:lang w:eastAsia="en-US"/>
        </w:rPr>
      </w:pPr>
      <w:r w:rsidRPr="0083156E">
        <w:rPr>
          <w:rFonts w:asciiTheme="minorHAnsi" w:eastAsiaTheme="minorHAnsi" w:hAnsiTheme="minorHAnsi" w:cstheme="minorHAnsi"/>
          <w:sz w:val="22"/>
          <w:szCs w:val="22"/>
          <w:lang w:eastAsia="en-US"/>
        </w:rPr>
        <w:t>Shulock, N.</w:t>
      </w:r>
      <w:r w:rsidR="00816810" w:rsidRPr="0083156E">
        <w:rPr>
          <w:rFonts w:asciiTheme="minorHAnsi" w:eastAsiaTheme="minorHAnsi" w:hAnsiTheme="minorHAnsi" w:cstheme="minorHAnsi"/>
          <w:sz w:val="22"/>
          <w:szCs w:val="22"/>
          <w:lang w:eastAsia="en-US"/>
        </w:rPr>
        <w:t>B.</w:t>
      </w:r>
      <w:r w:rsidRPr="0083156E">
        <w:rPr>
          <w:rFonts w:asciiTheme="minorHAnsi" w:eastAsiaTheme="minorHAnsi" w:hAnsiTheme="minorHAnsi" w:cstheme="minorHAnsi"/>
          <w:sz w:val="22"/>
          <w:szCs w:val="22"/>
          <w:lang w:eastAsia="en-US"/>
        </w:rPr>
        <w:t>, 1999,</w:t>
      </w:r>
      <w:r w:rsidR="00816810" w:rsidRPr="0083156E">
        <w:rPr>
          <w:rFonts w:asciiTheme="minorHAnsi" w:eastAsiaTheme="minorHAnsi" w:hAnsiTheme="minorHAnsi" w:cstheme="minorHAnsi"/>
          <w:sz w:val="22"/>
          <w:szCs w:val="22"/>
          <w:lang w:eastAsia="en-US"/>
        </w:rPr>
        <w:t xml:space="preserve"> </w:t>
      </w:r>
      <w:r w:rsidRPr="0083156E">
        <w:rPr>
          <w:rFonts w:asciiTheme="minorHAnsi" w:eastAsiaTheme="minorHAnsi" w:hAnsiTheme="minorHAnsi" w:cstheme="minorHAnsi"/>
          <w:sz w:val="22"/>
          <w:szCs w:val="22"/>
          <w:lang w:eastAsia="en-US"/>
        </w:rPr>
        <w:t>‘</w:t>
      </w:r>
      <w:r w:rsidR="00816810" w:rsidRPr="0083156E">
        <w:rPr>
          <w:rFonts w:asciiTheme="minorHAnsi" w:eastAsiaTheme="minorHAnsi" w:hAnsiTheme="minorHAnsi" w:cstheme="minorHAnsi"/>
          <w:sz w:val="22"/>
          <w:szCs w:val="22"/>
          <w:lang w:eastAsia="en-US"/>
        </w:rPr>
        <w:t>The paradox of policy a</w:t>
      </w:r>
      <w:r w:rsidR="001D041E" w:rsidRPr="0083156E">
        <w:rPr>
          <w:rFonts w:asciiTheme="minorHAnsi" w:eastAsiaTheme="minorHAnsi" w:hAnsiTheme="minorHAnsi" w:cstheme="minorHAnsi"/>
          <w:sz w:val="22"/>
          <w:szCs w:val="22"/>
          <w:lang w:eastAsia="en-US"/>
        </w:rPr>
        <w:t>nalysis: If</w:t>
      </w:r>
      <w:r w:rsidR="00816810" w:rsidRPr="0083156E">
        <w:rPr>
          <w:rFonts w:asciiTheme="minorHAnsi" w:eastAsiaTheme="minorHAnsi" w:hAnsiTheme="minorHAnsi" w:cstheme="minorHAnsi"/>
          <w:sz w:val="22"/>
          <w:szCs w:val="22"/>
          <w:lang w:eastAsia="en-US"/>
        </w:rPr>
        <w:t xml:space="preserve"> it is not used, why do we produce so much of i</w:t>
      </w:r>
      <w:r w:rsidR="001D041E" w:rsidRPr="0083156E">
        <w:rPr>
          <w:rFonts w:asciiTheme="minorHAnsi" w:eastAsiaTheme="minorHAnsi" w:hAnsiTheme="minorHAnsi" w:cstheme="minorHAnsi"/>
          <w:sz w:val="22"/>
          <w:szCs w:val="22"/>
          <w:lang w:eastAsia="en-US"/>
        </w:rPr>
        <w:t>t?</w:t>
      </w:r>
      <w:r w:rsidRPr="0083156E">
        <w:rPr>
          <w:rFonts w:asciiTheme="minorHAnsi" w:eastAsiaTheme="minorHAnsi" w:hAnsiTheme="minorHAnsi" w:cstheme="minorHAnsi"/>
          <w:sz w:val="22"/>
          <w:szCs w:val="22"/>
          <w:lang w:eastAsia="en-US"/>
        </w:rPr>
        <w:t>’</w:t>
      </w:r>
      <w:r w:rsidR="001D041E" w:rsidRPr="0083156E">
        <w:rPr>
          <w:rFonts w:asciiTheme="minorHAnsi" w:eastAsiaTheme="minorHAnsi" w:hAnsiTheme="minorHAnsi" w:cstheme="minorHAnsi"/>
          <w:sz w:val="22"/>
          <w:szCs w:val="22"/>
          <w:lang w:eastAsia="en-US"/>
        </w:rPr>
        <w:t xml:space="preserve"> Journal of 'Policy</w:t>
      </w:r>
      <w:r w:rsidRPr="0083156E">
        <w:rPr>
          <w:rFonts w:asciiTheme="minorHAnsi" w:eastAsiaTheme="minorHAnsi" w:hAnsiTheme="minorHAnsi" w:cstheme="minorHAnsi"/>
          <w:sz w:val="22"/>
          <w:szCs w:val="22"/>
          <w:lang w:eastAsia="en-US"/>
        </w:rPr>
        <w:t xml:space="preserve"> Analysis and Management</w:t>
      </w:r>
      <w:r w:rsidR="004B1BDE" w:rsidRPr="0083156E">
        <w:rPr>
          <w:rFonts w:asciiTheme="minorHAnsi" w:eastAsiaTheme="minorHAnsi" w:hAnsiTheme="minorHAnsi" w:cstheme="minorHAnsi"/>
          <w:sz w:val="22"/>
          <w:szCs w:val="22"/>
          <w:lang w:eastAsia="en-US"/>
        </w:rPr>
        <w:t>,</w:t>
      </w:r>
      <w:r w:rsidRPr="0083156E">
        <w:rPr>
          <w:rFonts w:asciiTheme="minorHAnsi" w:eastAsiaTheme="minorHAnsi" w:hAnsiTheme="minorHAnsi" w:cstheme="minorHAnsi"/>
          <w:sz w:val="22"/>
          <w:szCs w:val="22"/>
          <w:lang w:eastAsia="en-US"/>
        </w:rPr>
        <w:t xml:space="preserve"> 18, </w:t>
      </w:r>
      <w:r w:rsidR="001D041E" w:rsidRPr="0083156E">
        <w:rPr>
          <w:rFonts w:asciiTheme="minorHAnsi" w:eastAsiaTheme="minorHAnsi" w:hAnsiTheme="minorHAnsi" w:cstheme="minorHAnsi"/>
          <w:sz w:val="22"/>
          <w:szCs w:val="22"/>
          <w:lang w:eastAsia="en-US"/>
        </w:rPr>
        <w:t xml:space="preserve">226-44. </w:t>
      </w:r>
    </w:p>
    <w:p w14:paraId="7D499603" w14:textId="77777777" w:rsidR="00847B9D" w:rsidRPr="0083156E" w:rsidRDefault="00E6122A" w:rsidP="0083156E">
      <w:pPr>
        <w:autoSpaceDE w:val="0"/>
        <w:autoSpaceDN w:val="0"/>
        <w:adjustRightInd w:val="0"/>
        <w:spacing w:after="0" w:line="240" w:lineRule="auto"/>
        <w:rPr>
          <w:rFonts w:cstheme="minorHAnsi"/>
        </w:rPr>
      </w:pPr>
      <w:r w:rsidRPr="0083156E">
        <w:rPr>
          <w:rFonts w:cstheme="minorHAnsi"/>
        </w:rPr>
        <w:t>Simon, J., 2001</w:t>
      </w:r>
      <w:r w:rsidR="00847B9D" w:rsidRPr="0083156E">
        <w:rPr>
          <w:rFonts w:cstheme="minorHAnsi"/>
        </w:rPr>
        <w:t>, ‘The decline i</w:t>
      </w:r>
      <w:r w:rsidR="00A071CB" w:rsidRPr="0083156E">
        <w:rPr>
          <w:rFonts w:cstheme="minorHAnsi"/>
        </w:rPr>
        <w:t>n Australian output volatility,’</w:t>
      </w:r>
      <w:r w:rsidR="00847B9D" w:rsidRPr="0083156E">
        <w:rPr>
          <w:rFonts w:cstheme="minorHAnsi"/>
        </w:rPr>
        <w:t xml:space="preserve"> Reserve Bank of Australia Research Discussion Paper No 2001-01</w:t>
      </w:r>
      <w:r w:rsidRPr="0083156E">
        <w:rPr>
          <w:rFonts w:cstheme="minorHAnsi"/>
        </w:rPr>
        <w:t>.</w:t>
      </w:r>
      <w:r w:rsidR="00847B9D" w:rsidRPr="0083156E">
        <w:rPr>
          <w:rFonts w:cstheme="minorHAnsi"/>
        </w:rPr>
        <w:t xml:space="preserve"> </w:t>
      </w:r>
    </w:p>
    <w:p w14:paraId="0B0CDEDD" w14:textId="77777777" w:rsidR="00074579" w:rsidRPr="0083156E" w:rsidRDefault="004B1BDE" w:rsidP="0083156E">
      <w:pPr>
        <w:pStyle w:val="citation"/>
        <w:rPr>
          <w:rFonts w:asciiTheme="minorHAnsi" w:eastAsiaTheme="minorHAnsi" w:hAnsiTheme="minorHAnsi" w:cstheme="minorHAnsi"/>
          <w:color w:val="231F20"/>
          <w:sz w:val="22"/>
          <w:szCs w:val="22"/>
          <w:lang w:eastAsia="en-US"/>
        </w:rPr>
      </w:pPr>
      <w:r w:rsidRPr="0083156E">
        <w:rPr>
          <w:rFonts w:asciiTheme="minorHAnsi" w:eastAsiaTheme="minorHAnsi" w:hAnsiTheme="minorHAnsi" w:cstheme="minorHAnsi"/>
          <w:color w:val="231F20"/>
          <w:sz w:val="22"/>
          <w:szCs w:val="22"/>
          <w:lang w:eastAsia="en-US"/>
        </w:rPr>
        <w:t>Stapleton, D.C. and R.V. Burkhauser (eds),</w:t>
      </w:r>
      <w:r w:rsidR="00074579" w:rsidRPr="0083156E">
        <w:rPr>
          <w:rFonts w:asciiTheme="minorHAnsi" w:eastAsiaTheme="minorHAnsi" w:hAnsiTheme="minorHAnsi" w:cstheme="minorHAnsi"/>
          <w:color w:val="231F20"/>
          <w:sz w:val="22"/>
          <w:szCs w:val="22"/>
          <w:lang w:eastAsia="en-US"/>
        </w:rPr>
        <w:t xml:space="preserve"> 200</w:t>
      </w:r>
      <w:r w:rsidRPr="0083156E">
        <w:rPr>
          <w:rFonts w:asciiTheme="minorHAnsi" w:eastAsiaTheme="minorHAnsi" w:hAnsiTheme="minorHAnsi" w:cstheme="minorHAnsi"/>
          <w:color w:val="231F20"/>
          <w:sz w:val="22"/>
          <w:szCs w:val="22"/>
          <w:lang w:eastAsia="en-US"/>
        </w:rPr>
        <w:t>3,</w:t>
      </w:r>
      <w:r w:rsidR="00181ED6" w:rsidRPr="0083156E">
        <w:rPr>
          <w:rFonts w:asciiTheme="minorHAnsi" w:eastAsiaTheme="minorHAnsi" w:hAnsiTheme="minorHAnsi" w:cstheme="minorHAnsi"/>
          <w:color w:val="231F20"/>
          <w:sz w:val="22"/>
          <w:szCs w:val="22"/>
          <w:lang w:eastAsia="en-US"/>
        </w:rPr>
        <w:t xml:space="preserve"> </w:t>
      </w:r>
      <w:r w:rsidRPr="0083156E">
        <w:rPr>
          <w:rFonts w:asciiTheme="minorHAnsi" w:eastAsiaTheme="minorHAnsi" w:hAnsiTheme="minorHAnsi" w:cstheme="minorHAnsi"/>
          <w:color w:val="231F20"/>
          <w:sz w:val="22"/>
          <w:szCs w:val="22"/>
          <w:lang w:eastAsia="en-US"/>
        </w:rPr>
        <w:t>‘</w:t>
      </w:r>
      <w:r w:rsidR="00181ED6" w:rsidRPr="0083156E">
        <w:rPr>
          <w:rFonts w:asciiTheme="minorHAnsi" w:eastAsiaTheme="minorHAnsi" w:hAnsiTheme="minorHAnsi" w:cstheme="minorHAnsi"/>
          <w:color w:val="231F20"/>
          <w:sz w:val="22"/>
          <w:szCs w:val="22"/>
          <w:lang w:eastAsia="en-US"/>
        </w:rPr>
        <w:t xml:space="preserve">The Decline in Employment of </w:t>
      </w:r>
      <w:r w:rsidR="00074579" w:rsidRPr="0083156E">
        <w:rPr>
          <w:rFonts w:asciiTheme="minorHAnsi" w:eastAsiaTheme="minorHAnsi" w:hAnsiTheme="minorHAnsi" w:cstheme="minorHAnsi"/>
          <w:color w:val="231F20"/>
          <w:sz w:val="22"/>
          <w:szCs w:val="22"/>
          <w:lang w:eastAsia="en-US"/>
        </w:rPr>
        <w:t>People wit</w:t>
      </w:r>
      <w:r w:rsidRPr="0083156E">
        <w:rPr>
          <w:rFonts w:asciiTheme="minorHAnsi" w:eastAsiaTheme="minorHAnsi" w:hAnsiTheme="minorHAnsi" w:cstheme="minorHAnsi"/>
          <w:color w:val="231F20"/>
          <w:sz w:val="22"/>
          <w:szCs w:val="22"/>
          <w:lang w:eastAsia="en-US"/>
        </w:rPr>
        <w:t>h Disabilities: A Policy Puzzle,’</w:t>
      </w:r>
      <w:r w:rsidR="00074579" w:rsidRPr="0083156E">
        <w:rPr>
          <w:rFonts w:asciiTheme="minorHAnsi" w:eastAsiaTheme="minorHAnsi" w:hAnsiTheme="minorHAnsi" w:cstheme="minorHAnsi"/>
          <w:color w:val="231F20"/>
          <w:sz w:val="22"/>
          <w:szCs w:val="22"/>
          <w:lang w:eastAsia="en-US"/>
        </w:rPr>
        <w:t xml:space="preserve"> Kalamazoo, MI: W.E. Upjohn Institute for Employment Research.</w:t>
      </w:r>
    </w:p>
    <w:p w14:paraId="07CE7BD0" w14:textId="77777777" w:rsidR="005F5E54" w:rsidRPr="0083156E" w:rsidRDefault="005F5E54" w:rsidP="0083156E">
      <w:pPr>
        <w:autoSpaceDE w:val="0"/>
        <w:autoSpaceDN w:val="0"/>
        <w:adjustRightInd w:val="0"/>
        <w:spacing w:after="0" w:line="240" w:lineRule="auto"/>
        <w:rPr>
          <w:rFonts w:cstheme="minorHAnsi"/>
          <w:color w:val="231F20"/>
        </w:rPr>
      </w:pPr>
      <w:r w:rsidRPr="0083156E">
        <w:rPr>
          <w:rFonts w:cstheme="minorHAnsi"/>
          <w:color w:val="231F20"/>
        </w:rPr>
        <w:t>Stevens, G</w:t>
      </w:r>
      <w:r w:rsidR="004B1BDE" w:rsidRPr="0083156E">
        <w:rPr>
          <w:rFonts w:cstheme="minorHAnsi"/>
          <w:color w:val="231F20"/>
        </w:rPr>
        <w:t>.</w:t>
      </w:r>
      <w:r w:rsidRPr="0083156E">
        <w:rPr>
          <w:rFonts w:cstheme="minorHAnsi"/>
          <w:color w:val="231F20"/>
        </w:rPr>
        <w:t>R</w:t>
      </w:r>
      <w:r w:rsidR="004B1BDE" w:rsidRPr="0083156E">
        <w:rPr>
          <w:rFonts w:cstheme="minorHAnsi"/>
          <w:color w:val="231F20"/>
        </w:rPr>
        <w:t>.</w:t>
      </w:r>
      <w:r w:rsidRPr="0083156E">
        <w:rPr>
          <w:rFonts w:cstheme="minorHAnsi"/>
          <w:color w:val="231F20"/>
        </w:rPr>
        <w:t xml:space="preserve">, 2004, </w:t>
      </w:r>
      <w:r w:rsidR="004B1BDE" w:rsidRPr="0083156E">
        <w:rPr>
          <w:rFonts w:cstheme="minorHAnsi"/>
          <w:color w:val="231F20"/>
        </w:rPr>
        <w:t>‘</w:t>
      </w:r>
      <w:r w:rsidRPr="0083156E">
        <w:rPr>
          <w:rFonts w:cstheme="minorHAnsi"/>
          <w:color w:val="231F20"/>
        </w:rPr>
        <w:t>Better than a coin toss? The thankless task of economic forecasting,</w:t>
      </w:r>
      <w:r w:rsidR="004B1BDE" w:rsidRPr="0083156E">
        <w:rPr>
          <w:rFonts w:cstheme="minorHAnsi"/>
          <w:color w:val="231F20"/>
        </w:rPr>
        <w:t>’</w:t>
      </w:r>
      <w:r w:rsidRPr="0083156E">
        <w:rPr>
          <w:rFonts w:cstheme="minorHAnsi"/>
          <w:color w:val="231F20"/>
        </w:rPr>
        <w:t xml:space="preserve"> Reserve Bank of Australia Bulletin, Septem</w:t>
      </w:r>
      <w:r w:rsidR="004B1BDE" w:rsidRPr="0083156E">
        <w:rPr>
          <w:rFonts w:cstheme="minorHAnsi"/>
          <w:color w:val="231F20"/>
        </w:rPr>
        <w:t>ber, 6-</w:t>
      </w:r>
      <w:r w:rsidRPr="0083156E">
        <w:rPr>
          <w:rFonts w:cstheme="minorHAnsi"/>
          <w:color w:val="231F20"/>
        </w:rPr>
        <w:t>14.</w:t>
      </w:r>
    </w:p>
    <w:p w14:paraId="17707E88" w14:textId="77777777" w:rsidR="005F5E54" w:rsidRPr="0083156E" w:rsidRDefault="005F5E54" w:rsidP="0083156E">
      <w:pPr>
        <w:autoSpaceDE w:val="0"/>
        <w:autoSpaceDN w:val="0"/>
        <w:adjustRightInd w:val="0"/>
        <w:spacing w:after="0" w:line="240" w:lineRule="auto"/>
        <w:rPr>
          <w:rFonts w:cstheme="minorHAnsi"/>
          <w:color w:val="231F20"/>
        </w:rPr>
      </w:pPr>
    </w:p>
    <w:p w14:paraId="51B2E213" w14:textId="77777777" w:rsidR="00181ED6" w:rsidRPr="0083156E" w:rsidRDefault="00181ED6" w:rsidP="0083156E">
      <w:pPr>
        <w:autoSpaceDE w:val="0"/>
        <w:autoSpaceDN w:val="0"/>
        <w:adjustRightInd w:val="0"/>
        <w:spacing w:after="0" w:line="240" w:lineRule="auto"/>
        <w:rPr>
          <w:rFonts w:cstheme="minorHAnsi"/>
          <w:color w:val="231F20"/>
        </w:rPr>
      </w:pPr>
      <w:r w:rsidRPr="0083156E">
        <w:rPr>
          <w:rFonts w:cstheme="minorHAnsi"/>
          <w:color w:val="231F20"/>
        </w:rPr>
        <w:t>Stiefel,</w:t>
      </w:r>
      <w:r w:rsidR="004B1BDE" w:rsidRPr="0083156E">
        <w:rPr>
          <w:rFonts w:cstheme="minorHAnsi"/>
          <w:color w:val="231F20"/>
        </w:rPr>
        <w:t xml:space="preserve"> L., R. Rubenstein and A.E. Schwartz, 1999,</w:t>
      </w:r>
      <w:r w:rsidRPr="0083156E">
        <w:rPr>
          <w:rFonts w:cstheme="minorHAnsi"/>
          <w:color w:val="231F20"/>
        </w:rPr>
        <w:t xml:space="preserve"> </w:t>
      </w:r>
      <w:r w:rsidR="004B1BDE" w:rsidRPr="0083156E">
        <w:rPr>
          <w:rFonts w:cstheme="minorHAnsi"/>
          <w:color w:val="231F20"/>
        </w:rPr>
        <w:t>‘Using adjusted performance measures for evaluating resource use,’</w:t>
      </w:r>
      <w:r w:rsidRPr="0083156E">
        <w:rPr>
          <w:rFonts w:cstheme="minorHAnsi"/>
          <w:color w:val="231F20"/>
        </w:rPr>
        <w:t xml:space="preserve"> Public Budgeting and Finance,</w:t>
      </w:r>
      <w:r w:rsidR="004B1BDE" w:rsidRPr="0083156E">
        <w:rPr>
          <w:rFonts w:cstheme="minorHAnsi"/>
          <w:color w:val="231F20"/>
        </w:rPr>
        <w:t xml:space="preserve"> </w:t>
      </w:r>
      <w:r w:rsidRPr="0083156E">
        <w:rPr>
          <w:rFonts w:cstheme="minorHAnsi"/>
          <w:color w:val="231F20"/>
        </w:rPr>
        <w:t>19, 67-87.</w:t>
      </w:r>
    </w:p>
    <w:p w14:paraId="5697D55B" w14:textId="77777777" w:rsidR="00181ED6" w:rsidRPr="0083156E" w:rsidRDefault="00181ED6" w:rsidP="0083156E">
      <w:pPr>
        <w:autoSpaceDE w:val="0"/>
        <w:autoSpaceDN w:val="0"/>
        <w:adjustRightInd w:val="0"/>
        <w:spacing w:after="0" w:line="240" w:lineRule="auto"/>
        <w:rPr>
          <w:rFonts w:cstheme="minorHAnsi"/>
          <w:color w:val="231F20"/>
        </w:rPr>
      </w:pPr>
    </w:p>
    <w:p w14:paraId="19E0F7D3" w14:textId="77777777" w:rsidR="00DF2BD9" w:rsidRPr="0083156E" w:rsidRDefault="00DF2BD9" w:rsidP="0083156E">
      <w:pPr>
        <w:spacing w:after="0" w:line="240" w:lineRule="auto"/>
        <w:rPr>
          <w:rFonts w:cstheme="minorHAnsi"/>
          <w:color w:val="231F20"/>
        </w:rPr>
      </w:pPr>
      <w:r w:rsidRPr="0083156E">
        <w:rPr>
          <w:rFonts w:cstheme="minorHAnsi"/>
          <w:color w:val="231F20"/>
        </w:rPr>
        <w:t xml:space="preserve">Struyven, L. and </w:t>
      </w:r>
      <w:r w:rsidR="004B1BDE" w:rsidRPr="0083156E">
        <w:rPr>
          <w:rFonts w:cstheme="minorHAnsi"/>
          <w:color w:val="231F20"/>
        </w:rPr>
        <w:t>G. Steurs, 2005,</w:t>
      </w:r>
      <w:r w:rsidRPr="0083156E">
        <w:rPr>
          <w:rFonts w:cstheme="minorHAnsi"/>
          <w:color w:val="231F20"/>
        </w:rPr>
        <w:t xml:space="preserve"> </w:t>
      </w:r>
      <w:r w:rsidR="00A071CB" w:rsidRPr="0083156E">
        <w:rPr>
          <w:rFonts w:cstheme="minorHAnsi"/>
          <w:color w:val="231F20"/>
        </w:rPr>
        <w:t>‘</w:t>
      </w:r>
      <w:r w:rsidRPr="0083156E">
        <w:rPr>
          <w:rFonts w:cstheme="minorHAnsi"/>
          <w:color w:val="231F20"/>
        </w:rPr>
        <w:t>Design and Redesign of a Quasi-market for the Reintegration of Job Seekers: Empirical Evidence from Australia and Netherlands</w:t>
      </w:r>
      <w:r w:rsidR="004B1BDE" w:rsidRPr="0083156E">
        <w:rPr>
          <w:rFonts w:cstheme="minorHAnsi"/>
          <w:color w:val="231F20"/>
        </w:rPr>
        <w:t>,</w:t>
      </w:r>
      <w:r w:rsidR="004A7BA0">
        <w:rPr>
          <w:rFonts w:cstheme="minorHAnsi"/>
          <w:color w:val="231F20"/>
        </w:rPr>
        <w:t>’</w:t>
      </w:r>
      <w:r w:rsidR="004B1BDE" w:rsidRPr="0083156E">
        <w:rPr>
          <w:rFonts w:cstheme="minorHAnsi"/>
          <w:color w:val="231F20"/>
        </w:rPr>
        <w:t xml:space="preserve"> Journal of European Social Policy, 15, 211-229. </w:t>
      </w:r>
    </w:p>
    <w:p w14:paraId="6690257A" w14:textId="77777777" w:rsidR="004C4D9A" w:rsidRPr="0083156E" w:rsidRDefault="004C4D9A" w:rsidP="0083156E">
      <w:pPr>
        <w:pStyle w:val="NormalWeb"/>
        <w:shd w:val="clear" w:color="auto" w:fill="FFFFFF"/>
        <w:rPr>
          <w:rFonts w:asciiTheme="minorHAnsi" w:eastAsiaTheme="minorHAnsi" w:hAnsiTheme="minorHAnsi" w:cstheme="minorHAnsi"/>
          <w:color w:val="231F20"/>
          <w:sz w:val="22"/>
          <w:szCs w:val="22"/>
          <w:lang w:eastAsia="en-US"/>
        </w:rPr>
      </w:pPr>
      <w:r w:rsidRPr="0083156E">
        <w:rPr>
          <w:rFonts w:asciiTheme="minorHAnsi" w:eastAsiaTheme="minorHAnsi" w:hAnsiTheme="minorHAnsi" w:cstheme="minorHAnsi"/>
          <w:color w:val="231F20"/>
          <w:sz w:val="22"/>
          <w:szCs w:val="22"/>
          <w:lang w:eastAsia="en-US"/>
        </w:rPr>
        <w:t>Tapogna</w:t>
      </w:r>
      <w:r w:rsidR="004B1BDE" w:rsidRPr="0083156E">
        <w:rPr>
          <w:rFonts w:asciiTheme="minorHAnsi" w:eastAsiaTheme="minorHAnsi" w:hAnsiTheme="minorHAnsi" w:cstheme="minorHAnsi"/>
          <w:color w:val="231F20"/>
          <w:sz w:val="22"/>
          <w:szCs w:val="22"/>
          <w:lang w:eastAsia="en-US"/>
        </w:rPr>
        <w:t>, J.</w:t>
      </w:r>
      <w:r w:rsidRPr="0083156E">
        <w:rPr>
          <w:rFonts w:asciiTheme="minorHAnsi" w:eastAsiaTheme="minorHAnsi" w:hAnsiTheme="minorHAnsi" w:cstheme="minorHAnsi"/>
          <w:color w:val="231F20"/>
          <w:sz w:val="22"/>
          <w:szCs w:val="22"/>
          <w:lang w:eastAsia="en-US"/>
        </w:rPr>
        <w:t>K</w:t>
      </w:r>
      <w:r w:rsidR="004B1BDE" w:rsidRPr="0083156E">
        <w:rPr>
          <w:rFonts w:asciiTheme="minorHAnsi" w:eastAsiaTheme="minorHAnsi" w:hAnsiTheme="minorHAnsi" w:cstheme="minorHAnsi"/>
          <w:color w:val="231F20"/>
          <w:sz w:val="22"/>
          <w:szCs w:val="22"/>
          <w:lang w:eastAsia="en-US"/>
        </w:rPr>
        <w:t>., K. Gardiner, B. Batnow, M. Fishman and P. Nikolov, 2002, ‘Study of state demographic and economic v</w:t>
      </w:r>
      <w:r w:rsidRPr="0083156E">
        <w:rPr>
          <w:rFonts w:asciiTheme="minorHAnsi" w:eastAsiaTheme="minorHAnsi" w:hAnsiTheme="minorHAnsi" w:cstheme="minorHAnsi"/>
          <w:color w:val="231F20"/>
          <w:sz w:val="22"/>
          <w:szCs w:val="22"/>
          <w:lang w:eastAsia="en-US"/>
        </w:rPr>
        <w:t>ariables and their</w:t>
      </w:r>
      <w:r w:rsidR="004B1BDE" w:rsidRPr="0083156E">
        <w:rPr>
          <w:rFonts w:asciiTheme="minorHAnsi" w:eastAsiaTheme="minorHAnsi" w:hAnsiTheme="minorHAnsi" w:cstheme="minorHAnsi"/>
          <w:color w:val="231F20"/>
          <w:sz w:val="22"/>
          <w:szCs w:val="22"/>
          <w:lang w:eastAsia="en-US"/>
        </w:rPr>
        <w:t xml:space="preserve"> impact on the performance-based child support incentive system,’ Falls Church, VA,</w:t>
      </w:r>
      <w:r w:rsidRPr="0083156E">
        <w:rPr>
          <w:rFonts w:asciiTheme="minorHAnsi" w:eastAsiaTheme="minorHAnsi" w:hAnsiTheme="minorHAnsi" w:cstheme="minorHAnsi"/>
          <w:color w:val="231F20"/>
          <w:sz w:val="22"/>
          <w:szCs w:val="22"/>
          <w:lang w:eastAsia="en-US"/>
        </w:rPr>
        <w:t xml:space="preserve"> Lewin Group. </w:t>
      </w:r>
    </w:p>
    <w:p w14:paraId="42FAB2A1" w14:textId="77777777" w:rsidR="004C4D9A" w:rsidRPr="0083156E" w:rsidRDefault="00F06A4F" w:rsidP="0083156E">
      <w:pPr>
        <w:pStyle w:val="Default"/>
        <w:rPr>
          <w:rFonts w:asciiTheme="minorHAnsi" w:hAnsiTheme="minorHAnsi" w:cstheme="minorHAnsi"/>
          <w:color w:val="231F20"/>
          <w:sz w:val="22"/>
          <w:szCs w:val="22"/>
        </w:rPr>
      </w:pPr>
      <w:r w:rsidRPr="0083156E">
        <w:rPr>
          <w:rFonts w:asciiTheme="minorHAnsi" w:hAnsiTheme="minorHAnsi" w:cstheme="minorHAnsi"/>
          <w:color w:val="231F20"/>
          <w:sz w:val="22"/>
          <w:szCs w:val="22"/>
        </w:rPr>
        <w:t>TEGL No. 38-11,</w:t>
      </w:r>
      <w:r w:rsidR="004B1BDE" w:rsidRPr="0083156E">
        <w:rPr>
          <w:rFonts w:asciiTheme="minorHAnsi" w:hAnsiTheme="minorHAnsi" w:cstheme="minorHAnsi"/>
          <w:color w:val="231F20"/>
          <w:sz w:val="22"/>
          <w:szCs w:val="22"/>
        </w:rPr>
        <w:t xml:space="preserve"> 2012,</w:t>
      </w:r>
      <w:r w:rsidRPr="0083156E">
        <w:rPr>
          <w:rFonts w:asciiTheme="minorHAnsi" w:hAnsiTheme="minorHAnsi" w:cstheme="minorHAnsi"/>
          <w:color w:val="231F20"/>
          <w:sz w:val="22"/>
          <w:szCs w:val="22"/>
        </w:rPr>
        <w:t xml:space="preserve"> </w:t>
      </w:r>
      <w:r w:rsidR="004B1BDE" w:rsidRPr="0083156E">
        <w:rPr>
          <w:rFonts w:asciiTheme="minorHAnsi" w:hAnsiTheme="minorHAnsi" w:cstheme="minorHAnsi"/>
          <w:color w:val="231F20"/>
          <w:sz w:val="22"/>
          <w:szCs w:val="22"/>
        </w:rPr>
        <w:t>‘</w:t>
      </w:r>
      <w:r w:rsidRPr="0083156E">
        <w:rPr>
          <w:rFonts w:asciiTheme="minorHAnsi" w:hAnsiTheme="minorHAnsi" w:cstheme="minorHAnsi"/>
          <w:color w:val="231F20"/>
          <w:sz w:val="22"/>
          <w:szCs w:val="22"/>
        </w:rPr>
        <w:t>Negotiating Performance Goals for the Workforce Investment Act (WIA) Title 1B Programs and Wagner-Peyser Act Funded Activities for Program Year (PY) 2012,</w:t>
      </w:r>
      <w:r w:rsidR="004B1BDE" w:rsidRPr="0083156E">
        <w:rPr>
          <w:rFonts w:asciiTheme="minorHAnsi" w:hAnsiTheme="minorHAnsi" w:cstheme="minorHAnsi"/>
          <w:color w:val="231F20"/>
          <w:sz w:val="22"/>
          <w:szCs w:val="22"/>
        </w:rPr>
        <w:t>’ U.S. Department of Labour</w:t>
      </w:r>
      <w:r w:rsidRPr="0083156E">
        <w:rPr>
          <w:rFonts w:asciiTheme="minorHAnsi" w:hAnsiTheme="minorHAnsi" w:cstheme="minorHAnsi"/>
          <w:color w:val="231F20"/>
          <w:sz w:val="22"/>
          <w:szCs w:val="22"/>
        </w:rPr>
        <w:t xml:space="preserve">. </w:t>
      </w:r>
    </w:p>
    <w:p w14:paraId="26A3A740" w14:textId="77777777" w:rsidR="004C4D9A" w:rsidRPr="0083156E" w:rsidRDefault="004C4D9A" w:rsidP="0083156E">
      <w:pPr>
        <w:pStyle w:val="Default"/>
        <w:rPr>
          <w:rFonts w:asciiTheme="minorHAnsi" w:hAnsiTheme="minorHAnsi" w:cstheme="minorHAnsi"/>
          <w:color w:val="231F20"/>
          <w:sz w:val="22"/>
          <w:szCs w:val="22"/>
        </w:rPr>
      </w:pPr>
    </w:p>
    <w:p w14:paraId="6F541724" w14:textId="77777777" w:rsidR="004C4D9A" w:rsidRPr="0083156E" w:rsidRDefault="004B1BDE" w:rsidP="0083156E">
      <w:pPr>
        <w:autoSpaceDE w:val="0"/>
        <w:autoSpaceDN w:val="0"/>
        <w:adjustRightInd w:val="0"/>
        <w:spacing w:after="0" w:line="240" w:lineRule="auto"/>
        <w:rPr>
          <w:rFonts w:cstheme="minorHAnsi"/>
          <w:color w:val="231F20"/>
        </w:rPr>
      </w:pPr>
      <w:r w:rsidRPr="0083156E">
        <w:rPr>
          <w:rFonts w:cstheme="minorHAnsi"/>
          <w:color w:val="231F20"/>
        </w:rPr>
        <w:t xml:space="preserve">Tidd, J., </w:t>
      </w:r>
      <w:r w:rsidR="004E32CA" w:rsidRPr="0083156E">
        <w:rPr>
          <w:rFonts w:cstheme="minorHAnsi"/>
          <w:color w:val="231F20"/>
        </w:rPr>
        <w:t>J. Bessant and K. Pavitt, 2002,</w:t>
      </w:r>
      <w:r w:rsidR="004C4D9A" w:rsidRPr="0083156E">
        <w:rPr>
          <w:rFonts w:cstheme="minorHAnsi"/>
          <w:color w:val="231F20"/>
        </w:rPr>
        <w:t xml:space="preserve"> </w:t>
      </w:r>
      <w:r w:rsidR="00A071CB" w:rsidRPr="0083156E">
        <w:rPr>
          <w:rFonts w:cstheme="minorHAnsi"/>
          <w:color w:val="231F20"/>
        </w:rPr>
        <w:t>‘</w:t>
      </w:r>
      <w:r w:rsidR="004C4D9A" w:rsidRPr="0083156E">
        <w:rPr>
          <w:rFonts w:cstheme="minorHAnsi"/>
          <w:color w:val="231F20"/>
        </w:rPr>
        <w:t xml:space="preserve">Learning </w:t>
      </w:r>
      <w:r w:rsidR="00A071CB" w:rsidRPr="0083156E">
        <w:rPr>
          <w:rFonts w:cstheme="minorHAnsi"/>
          <w:color w:val="231F20"/>
        </w:rPr>
        <w:t>through alliances,’ In Henry, J. and D. Mayle (eds.),</w:t>
      </w:r>
      <w:r w:rsidR="004C4D9A" w:rsidRPr="0083156E">
        <w:rPr>
          <w:rFonts w:cstheme="minorHAnsi"/>
          <w:color w:val="231F20"/>
        </w:rPr>
        <w:t xml:space="preserve"> Managing </w:t>
      </w:r>
      <w:r w:rsidR="00A071CB" w:rsidRPr="0083156E">
        <w:rPr>
          <w:rFonts w:cstheme="minorHAnsi"/>
          <w:color w:val="231F20"/>
        </w:rPr>
        <w:t xml:space="preserve">innovation and change, </w:t>
      </w:r>
      <w:r w:rsidR="004C4D9A" w:rsidRPr="0083156E">
        <w:rPr>
          <w:rFonts w:cstheme="minorHAnsi"/>
          <w:color w:val="231F20"/>
        </w:rPr>
        <w:t>London: SAGE.</w:t>
      </w:r>
    </w:p>
    <w:p w14:paraId="0808B891" w14:textId="77777777" w:rsidR="00F06A4F" w:rsidRPr="0083156E" w:rsidRDefault="00F06A4F" w:rsidP="0083156E">
      <w:pPr>
        <w:pStyle w:val="Default"/>
        <w:rPr>
          <w:rFonts w:asciiTheme="minorHAnsi" w:hAnsiTheme="minorHAnsi" w:cstheme="minorHAnsi"/>
          <w:color w:val="231F20"/>
          <w:sz w:val="22"/>
          <w:szCs w:val="22"/>
        </w:rPr>
      </w:pPr>
      <w:r w:rsidRPr="0083156E">
        <w:rPr>
          <w:rFonts w:asciiTheme="minorHAnsi" w:hAnsiTheme="minorHAnsi" w:cstheme="minorHAnsi"/>
          <w:color w:val="231F20"/>
          <w:sz w:val="22"/>
          <w:szCs w:val="22"/>
        </w:rPr>
        <w:t xml:space="preserve"> </w:t>
      </w:r>
    </w:p>
    <w:p w14:paraId="519D4926" w14:textId="138DB18E" w:rsidR="005F5E54" w:rsidRPr="0083156E" w:rsidRDefault="005F5E54" w:rsidP="0083156E">
      <w:pPr>
        <w:autoSpaceDE w:val="0"/>
        <w:autoSpaceDN w:val="0"/>
        <w:adjustRightInd w:val="0"/>
        <w:spacing w:after="0" w:line="240" w:lineRule="auto"/>
        <w:rPr>
          <w:rFonts w:cstheme="minorHAnsi"/>
          <w:color w:val="231F20"/>
        </w:rPr>
      </w:pPr>
      <w:r w:rsidRPr="0083156E">
        <w:rPr>
          <w:rFonts w:cstheme="minorHAnsi"/>
          <w:color w:val="231F20"/>
        </w:rPr>
        <w:t>Treasury</w:t>
      </w:r>
      <w:r w:rsidR="00027302">
        <w:rPr>
          <w:rFonts w:cstheme="minorHAnsi"/>
          <w:color w:val="231F20"/>
        </w:rPr>
        <w:t xml:space="preserve"> (Australia)</w:t>
      </w:r>
      <w:r w:rsidRPr="0083156E">
        <w:rPr>
          <w:rFonts w:cstheme="minorHAnsi"/>
          <w:color w:val="231F20"/>
        </w:rPr>
        <w:t xml:space="preserve">, 2012, </w:t>
      </w:r>
      <w:r w:rsidR="00A071CB" w:rsidRPr="0083156E">
        <w:rPr>
          <w:rFonts w:cstheme="minorHAnsi"/>
          <w:color w:val="231F20"/>
        </w:rPr>
        <w:t>‘</w:t>
      </w:r>
      <w:r w:rsidRPr="0083156E">
        <w:rPr>
          <w:rFonts w:cstheme="minorHAnsi"/>
          <w:color w:val="231F20"/>
        </w:rPr>
        <w:t>Review of Treasury macroeconomic and revenue forecasting.</w:t>
      </w:r>
      <w:r w:rsidR="00A071CB" w:rsidRPr="0083156E">
        <w:rPr>
          <w:rFonts w:cstheme="minorHAnsi"/>
          <w:color w:val="231F20"/>
        </w:rPr>
        <w:t>’</w:t>
      </w:r>
    </w:p>
    <w:p w14:paraId="1A0C12AB" w14:textId="77777777" w:rsidR="005F5E54" w:rsidRPr="0083156E" w:rsidRDefault="005F5E54" w:rsidP="0083156E">
      <w:pPr>
        <w:autoSpaceDE w:val="0"/>
        <w:autoSpaceDN w:val="0"/>
        <w:adjustRightInd w:val="0"/>
        <w:spacing w:after="0" w:line="240" w:lineRule="auto"/>
        <w:rPr>
          <w:rFonts w:cstheme="minorHAnsi"/>
          <w:color w:val="231F20"/>
        </w:rPr>
      </w:pPr>
    </w:p>
    <w:p w14:paraId="5C34F81F" w14:textId="77777777" w:rsidR="001D1C5D" w:rsidRPr="0083156E" w:rsidRDefault="001D1C5D" w:rsidP="0083156E">
      <w:pPr>
        <w:autoSpaceDE w:val="0"/>
        <w:autoSpaceDN w:val="0"/>
        <w:adjustRightInd w:val="0"/>
        <w:spacing w:after="0" w:line="240" w:lineRule="auto"/>
        <w:rPr>
          <w:rFonts w:cstheme="minorHAnsi"/>
          <w:color w:val="231F20"/>
        </w:rPr>
      </w:pPr>
      <w:r w:rsidRPr="0083156E">
        <w:rPr>
          <w:rFonts w:cstheme="minorHAnsi"/>
          <w:color w:val="231F20"/>
        </w:rPr>
        <w:t>Tulip., P</w:t>
      </w:r>
      <w:r w:rsidR="004E32CA" w:rsidRPr="0083156E">
        <w:rPr>
          <w:rFonts w:cstheme="minorHAnsi"/>
          <w:color w:val="231F20"/>
        </w:rPr>
        <w:t xml:space="preserve">. and S. Wallace, </w:t>
      </w:r>
      <w:r w:rsidR="00A071CB" w:rsidRPr="0083156E">
        <w:rPr>
          <w:rFonts w:cstheme="minorHAnsi"/>
          <w:color w:val="231F20"/>
        </w:rPr>
        <w:t>‘</w:t>
      </w:r>
      <w:r w:rsidR="004E32CA" w:rsidRPr="0083156E">
        <w:rPr>
          <w:rFonts w:cstheme="minorHAnsi"/>
          <w:color w:val="231F20"/>
        </w:rPr>
        <w:t>Estimates of uncertainty around the RBA’s f</w:t>
      </w:r>
      <w:r w:rsidRPr="0083156E">
        <w:rPr>
          <w:rFonts w:cstheme="minorHAnsi"/>
          <w:color w:val="231F20"/>
        </w:rPr>
        <w:t>orecasts,</w:t>
      </w:r>
      <w:r w:rsidR="00A071CB" w:rsidRPr="0083156E">
        <w:rPr>
          <w:rFonts w:cstheme="minorHAnsi"/>
          <w:color w:val="231F20"/>
        </w:rPr>
        <w:t>’</w:t>
      </w:r>
      <w:r w:rsidRPr="0083156E">
        <w:rPr>
          <w:rFonts w:cstheme="minorHAnsi"/>
          <w:color w:val="231F20"/>
        </w:rPr>
        <w:t xml:space="preserve"> RBA Research Discussion Paper No 2012-07. </w:t>
      </w:r>
    </w:p>
    <w:p w14:paraId="771F9A78" w14:textId="7663AA03" w:rsidR="00C2176B" w:rsidRPr="0083156E" w:rsidRDefault="004E32CA" w:rsidP="0083156E">
      <w:pPr>
        <w:pStyle w:val="NormalWeb"/>
        <w:shd w:val="clear" w:color="auto" w:fill="FFFFFF"/>
        <w:rPr>
          <w:rFonts w:asciiTheme="minorHAnsi" w:eastAsiaTheme="minorHAnsi" w:hAnsiTheme="minorHAnsi" w:cstheme="minorHAnsi"/>
          <w:color w:val="231F20"/>
          <w:sz w:val="22"/>
          <w:szCs w:val="22"/>
          <w:lang w:eastAsia="en-US"/>
        </w:rPr>
      </w:pPr>
      <w:r w:rsidRPr="0083156E">
        <w:rPr>
          <w:rFonts w:asciiTheme="minorHAnsi" w:eastAsiaTheme="minorHAnsi" w:hAnsiTheme="minorHAnsi" w:cstheme="minorHAnsi"/>
          <w:color w:val="231F20"/>
          <w:sz w:val="22"/>
          <w:szCs w:val="22"/>
          <w:lang w:eastAsia="en-US"/>
        </w:rPr>
        <w:t>U.S. Department of Health and Human Services, 2000,</w:t>
      </w:r>
      <w:r w:rsidR="00C2176B" w:rsidRPr="0083156E">
        <w:rPr>
          <w:rFonts w:asciiTheme="minorHAnsi" w:eastAsiaTheme="minorHAnsi" w:hAnsiTheme="minorHAnsi" w:cstheme="minorHAnsi"/>
          <w:color w:val="231F20"/>
          <w:sz w:val="22"/>
          <w:szCs w:val="22"/>
          <w:lang w:eastAsia="en-US"/>
        </w:rPr>
        <w:t xml:space="preserve"> </w:t>
      </w:r>
      <w:r w:rsidRPr="0083156E">
        <w:rPr>
          <w:rFonts w:asciiTheme="minorHAnsi" w:eastAsiaTheme="minorHAnsi" w:hAnsiTheme="minorHAnsi" w:cstheme="minorHAnsi"/>
          <w:color w:val="231F20"/>
          <w:sz w:val="22"/>
          <w:szCs w:val="22"/>
          <w:lang w:eastAsia="en-US"/>
        </w:rPr>
        <w:t>‘</w:t>
      </w:r>
      <w:r w:rsidR="00C2176B" w:rsidRPr="0083156E">
        <w:rPr>
          <w:rFonts w:asciiTheme="minorHAnsi" w:eastAsiaTheme="minorHAnsi" w:hAnsiTheme="minorHAnsi" w:cstheme="minorHAnsi"/>
          <w:color w:val="231F20"/>
          <w:sz w:val="22"/>
          <w:szCs w:val="22"/>
          <w:lang w:eastAsia="en-US"/>
        </w:rPr>
        <w:t>HHS Awards $100 Million Bonuses to States Achieving Largest Red</w:t>
      </w:r>
      <w:r w:rsidRPr="0083156E">
        <w:rPr>
          <w:rFonts w:asciiTheme="minorHAnsi" w:eastAsiaTheme="minorHAnsi" w:hAnsiTheme="minorHAnsi" w:cstheme="minorHAnsi"/>
          <w:color w:val="231F20"/>
          <w:sz w:val="22"/>
          <w:szCs w:val="22"/>
          <w:lang w:eastAsia="en-US"/>
        </w:rPr>
        <w:t>uctions in Out-of</w:t>
      </w:r>
      <w:r w:rsidR="001058A1">
        <w:rPr>
          <w:rFonts w:asciiTheme="minorHAnsi" w:eastAsiaTheme="minorHAnsi" w:hAnsiTheme="minorHAnsi" w:cstheme="minorHAnsi"/>
          <w:color w:val="231F20"/>
          <w:sz w:val="22"/>
          <w:szCs w:val="22"/>
          <w:lang w:eastAsia="en-US"/>
        </w:rPr>
        <w:t>-</w:t>
      </w:r>
      <w:r w:rsidRPr="0083156E">
        <w:rPr>
          <w:rFonts w:asciiTheme="minorHAnsi" w:eastAsiaTheme="minorHAnsi" w:hAnsiTheme="minorHAnsi" w:cstheme="minorHAnsi"/>
          <w:color w:val="231F20"/>
          <w:sz w:val="22"/>
          <w:szCs w:val="22"/>
          <w:lang w:eastAsia="en-US"/>
        </w:rPr>
        <w:t>Wedlock Births,’</w:t>
      </w:r>
      <w:r w:rsidR="00C2176B" w:rsidRPr="0083156E">
        <w:rPr>
          <w:rFonts w:asciiTheme="minorHAnsi" w:eastAsiaTheme="minorHAnsi" w:hAnsiTheme="minorHAnsi" w:cstheme="minorHAnsi"/>
          <w:color w:val="231F20"/>
          <w:sz w:val="22"/>
          <w:szCs w:val="22"/>
          <w:lang w:eastAsia="en-US"/>
        </w:rPr>
        <w:t xml:space="preserve"> News release, September 15. </w:t>
      </w:r>
    </w:p>
    <w:p w14:paraId="1275EC4D" w14:textId="738AD91F" w:rsidR="00F03545" w:rsidRPr="0083156E" w:rsidRDefault="00F03545" w:rsidP="0083156E">
      <w:pPr>
        <w:autoSpaceDE w:val="0"/>
        <w:autoSpaceDN w:val="0"/>
        <w:adjustRightInd w:val="0"/>
        <w:spacing w:after="0" w:line="240" w:lineRule="auto"/>
        <w:rPr>
          <w:rFonts w:cstheme="minorHAnsi"/>
          <w:color w:val="231F20"/>
        </w:rPr>
      </w:pPr>
      <w:r w:rsidRPr="0083156E">
        <w:rPr>
          <w:rFonts w:cstheme="minorHAnsi"/>
          <w:color w:val="231F20"/>
        </w:rPr>
        <w:t xml:space="preserve">U.S. Department of Labor (DOL), 2002, </w:t>
      </w:r>
      <w:r w:rsidR="004E32CA" w:rsidRPr="0083156E">
        <w:rPr>
          <w:rFonts w:cstheme="minorHAnsi"/>
          <w:color w:val="231F20"/>
        </w:rPr>
        <w:t>‘</w:t>
      </w:r>
      <w:r w:rsidRPr="0083156E">
        <w:rPr>
          <w:rFonts w:cstheme="minorHAnsi"/>
          <w:color w:val="231F20"/>
        </w:rPr>
        <w:t>Summary Report on WIA Implementation,</w:t>
      </w:r>
      <w:r w:rsidR="004E32CA" w:rsidRPr="0083156E">
        <w:rPr>
          <w:rFonts w:cstheme="minorHAnsi"/>
          <w:color w:val="231F20"/>
        </w:rPr>
        <w:t>’</w:t>
      </w:r>
      <w:r w:rsidRPr="0083156E">
        <w:rPr>
          <w:rFonts w:cstheme="minorHAnsi"/>
          <w:color w:val="231F20"/>
        </w:rPr>
        <w:t xml:space="preserve"> Washington, DC: Employment and Training Administration.</w:t>
      </w:r>
    </w:p>
    <w:p w14:paraId="50F6FF71" w14:textId="77777777" w:rsidR="00DF2BD9" w:rsidRPr="0083156E" w:rsidRDefault="00DF2BD9" w:rsidP="0083156E">
      <w:pPr>
        <w:spacing w:after="0" w:line="240" w:lineRule="auto"/>
        <w:rPr>
          <w:rFonts w:cstheme="minorHAnsi"/>
          <w:color w:val="231F20"/>
        </w:rPr>
      </w:pPr>
    </w:p>
    <w:p w14:paraId="2EB2781B" w14:textId="77777777" w:rsidR="00DF2BD9" w:rsidRPr="0083156E" w:rsidRDefault="004E32CA" w:rsidP="0083156E">
      <w:pPr>
        <w:spacing w:after="0" w:line="240" w:lineRule="auto"/>
        <w:rPr>
          <w:rFonts w:cstheme="minorHAnsi"/>
          <w:color w:val="231F20"/>
        </w:rPr>
      </w:pPr>
      <w:r w:rsidRPr="0083156E">
        <w:rPr>
          <w:rFonts w:cstheme="minorHAnsi"/>
          <w:color w:val="231F20"/>
        </w:rPr>
        <w:t>Von, H., 1988,</w:t>
      </w:r>
      <w:r w:rsidR="00DF2BD9" w:rsidRPr="0083156E">
        <w:rPr>
          <w:rFonts w:cstheme="minorHAnsi"/>
          <w:color w:val="231F20"/>
        </w:rPr>
        <w:t xml:space="preserve"> </w:t>
      </w:r>
      <w:r w:rsidRPr="0083156E">
        <w:rPr>
          <w:rFonts w:cstheme="minorHAnsi"/>
          <w:color w:val="231F20"/>
        </w:rPr>
        <w:t>‘</w:t>
      </w:r>
      <w:r w:rsidR="00DF2BD9" w:rsidRPr="0083156E">
        <w:rPr>
          <w:rFonts w:cstheme="minorHAnsi"/>
          <w:color w:val="231F20"/>
        </w:rPr>
        <w:t>The sources of innovat</w:t>
      </w:r>
      <w:r w:rsidRPr="0083156E">
        <w:rPr>
          <w:rFonts w:cstheme="minorHAnsi"/>
          <w:color w:val="231F20"/>
        </w:rPr>
        <w:t>ion,’</w:t>
      </w:r>
      <w:r w:rsidR="00DF2BD9" w:rsidRPr="0083156E">
        <w:rPr>
          <w:rFonts w:cstheme="minorHAnsi"/>
          <w:color w:val="231F20"/>
        </w:rPr>
        <w:t xml:space="preserve"> New York: Oxford University Press.</w:t>
      </w:r>
    </w:p>
    <w:p w14:paraId="0FB6666C" w14:textId="77777777" w:rsidR="00DF2BD9" w:rsidRPr="0083156E" w:rsidRDefault="00DF2BD9" w:rsidP="0083156E">
      <w:pPr>
        <w:autoSpaceDE w:val="0"/>
        <w:autoSpaceDN w:val="0"/>
        <w:adjustRightInd w:val="0"/>
        <w:spacing w:after="0" w:line="240" w:lineRule="auto"/>
        <w:rPr>
          <w:rFonts w:cstheme="minorHAnsi"/>
          <w:color w:val="231F20"/>
        </w:rPr>
      </w:pPr>
    </w:p>
    <w:p w14:paraId="63840311" w14:textId="77777777" w:rsidR="007C23C7" w:rsidRPr="0083156E" w:rsidRDefault="007C23C7" w:rsidP="0083156E">
      <w:pPr>
        <w:autoSpaceDE w:val="0"/>
        <w:autoSpaceDN w:val="0"/>
        <w:adjustRightInd w:val="0"/>
        <w:spacing w:after="0" w:line="240" w:lineRule="auto"/>
        <w:rPr>
          <w:rFonts w:cstheme="minorHAnsi"/>
          <w:color w:val="231F20"/>
        </w:rPr>
      </w:pPr>
      <w:r w:rsidRPr="0083156E">
        <w:rPr>
          <w:rFonts w:cstheme="minorHAnsi"/>
          <w:color w:val="231F20"/>
        </w:rPr>
        <w:t>Werner,</w:t>
      </w:r>
      <w:r w:rsidR="004E32CA" w:rsidRPr="0083156E">
        <w:rPr>
          <w:rFonts w:cstheme="minorHAnsi"/>
          <w:color w:val="231F20"/>
        </w:rPr>
        <w:t xml:space="preserve"> R.M., E.T. Bradlow and D.A. Asch, 2008,</w:t>
      </w:r>
      <w:r w:rsidRPr="0083156E">
        <w:rPr>
          <w:rFonts w:cstheme="minorHAnsi"/>
          <w:color w:val="231F20"/>
        </w:rPr>
        <w:t xml:space="preserve"> </w:t>
      </w:r>
      <w:r w:rsidR="004E32CA" w:rsidRPr="0083156E">
        <w:rPr>
          <w:rFonts w:cstheme="minorHAnsi"/>
          <w:color w:val="231F20"/>
        </w:rPr>
        <w:t>‘</w:t>
      </w:r>
      <w:r w:rsidRPr="0083156E">
        <w:rPr>
          <w:rFonts w:cstheme="minorHAnsi"/>
          <w:color w:val="231F20"/>
        </w:rPr>
        <w:t>Does hospital performance on process measures directly</w:t>
      </w:r>
      <w:r w:rsidR="00824842" w:rsidRPr="0083156E">
        <w:rPr>
          <w:rFonts w:cstheme="minorHAnsi"/>
          <w:color w:val="231F20"/>
        </w:rPr>
        <w:t xml:space="preserve"> </w:t>
      </w:r>
      <w:r w:rsidRPr="0083156E">
        <w:rPr>
          <w:rFonts w:cstheme="minorHAnsi"/>
          <w:color w:val="231F20"/>
        </w:rPr>
        <w:t>measure high quality care or is it a marker of u</w:t>
      </w:r>
      <w:r w:rsidR="00824842" w:rsidRPr="0083156E">
        <w:rPr>
          <w:rFonts w:cstheme="minorHAnsi"/>
          <w:color w:val="231F20"/>
        </w:rPr>
        <w:t>nmeasured care?</w:t>
      </w:r>
      <w:r w:rsidR="004E32CA" w:rsidRPr="0083156E">
        <w:rPr>
          <w:rFonts w:cstheme="minorHAnsi"/>
          <w:color w:val="231F20"/>
        </w:rPr>
        <w:t>’</w:t>
      </w:r>
      <w:r w:rsidR="00824842" w:rsidRPr="0083156E">
        <w:rPr>
          <w:rFonts w:cstheme="minorHAnsi"/>
          <w:color w:val="231F20"/>
        </w:rPr>
        <w:t xml:space="preserve"> Health Services </w:t>
      </w:r>
      <w:r w:rsidR="004E32CA" w:rsidRPr="0083156E">
        <w:rPr>
          <w:rFonts w:cstheme="minorHAnsi"/>
          <w:color w:val="231F20"/>
        </w:rPr>
        <w:t>Research.</w:t>
      </w:r>
    </w:p>
    <w:p w14:paraId="5A76881A" w14:textId="77777777" w:rsidR="007C23C7" w:rsidRPr="0083156E" w:rsidRDefault="007C23C7" w:rsidP="0083156E">
      <w:pPr>
        <w:autoSpaceDE w:val="0"/>
        <w:autoSpaceDN w:val="0"/>
        <w:adjustRightInd w:val="0"/>
        <w:spacing w:after="0" w:line="240" w:lineRule="auto"/>
        <w:rPr>
          <w:rFonts w:cstheme="minorHAnsi"/>
          <w:color w:val="231F20"/>
        </w:rPr>
      </w:pPr>
    </w:p>
    <w:p w14:paraId="105040FD" w14:textId="77777777" w:rsidR="00DF2BD9" w:rsidRPr="0083156E" w:rsidRDefault="004E32CA" w:rsidP="0083156E">
      <w:pPr>
        <w:spacing w:after="0" w:line="240" w:lineRule="auto"/>
        <w:rPr>
          <w:rFonts w:cstheme="minorHAnsi"/>
          <w:color w:val="231F20"/>
        </w:rPr>
      </w:pPr>
      <w:r w:rsidRPr="0083156E">
        <w:rPr>
          <w:rFonts w:cstheme="minorHAnsi"/>
          <w:color w:val="231F20"/>
        </w:rPr>
        <w:t>Williamson, O.</w:t>
      </w:r>
      <w:r w:rsidR="00DF2BD9" w:rsidRPr="0083156E">
        <w:rPr>
          <w:rFonts w:cstheme="minorHAnsi"/>
          <w:color w:val="231F20"/>
        </w:rPr>
        <w:t>E.</w:t>
      </w:r>
      <w:r w:rsidRPr="0083156E">
        <w:rPr>
          <w:rFonts w:cstheme="minorHAnsi"/>
          <w:color w:val="231F20"/>
        </w:rPr>
        <w:t>,</w:t>
      </w:r>
      <w:r w:rsidR="00DF2BD9" w:rsidRPr="0083156E">
        <w:rPr>
          <w:rFonts w:cstheme="minorHAnsi"/>
          <w:color w:val="231F20"/>
        </w:rPr>
        <w:t xml:space="preserve"> 1991</w:t>
      </w:r>
      <w:r w:rsidRPr="0083156E">
        <w:rPr>
          <w:rFonts w:cstheme="minorHAnsi"/>
          <w:color w:val="231F20"/>
        </w:rPr>
        <w:t>,</w:t>
      </w:r>
      <w:r w:rsidR="00DF2BD9" w:rsidRPr="0083156E">
        <w:rPr>
          <w:rFonts w:cstheme="minorHAnsi"/>
          <w:color w:val="231F20"/>
        </w:rPr>
        <w:t xml:space="preserve"> </w:t>
      </w:r>
      <w:r w:rsidRPr="0083156E">
        <w:rPr>
          <w:rFonts w:cstheme="minorHAnsi"/>
          <w:color w:val="231F20"/>
        </w:rPr>
        <w:t>‘</w:t>
      </w:r>
      <w:r w:rsidR="00DF2BD9" w:rsidRPr="0083156E">
        <w:rPr>
          <w:rFonts w:cstheme="minorHAnsi"/>
          <w:color w:val="231F20"/>
        </w:rPr>
        <w:t>Comparative economic organization: The analysis of d</w:t>
      </w:r>
      <w:r w:rsidRPr="0083156E">
        <w:rPr>
          <w:rFonts w:cstheme="minorHAnsi"/>
          <w:color w:val="231F20"/>
        </w:rPr>
        <w:t>iscrete structural alternatives,’</w:t>
      </w:r>
      <w:r w:rsidR="00DF2BD9" w:rsidRPr="0083156E">
        <w:rPr>
          <w:rFonts w:cstheme="minorHAnsi"/>
          <w:color w:val="231F20"/>
        </w:rPr>
        <w:t xml:space="preserve"> Administrative Science Quarterly, 36, 269-296</w:t>
      </w:r>
      <w:r w:rsidRPr="0083156E">
        <w:rPr>
          <w:rFonts w:cstheme="minorHAnsi"/>
          <w:color w:val="231F20"/>
        </w:rPr>
        <w:t>.</w:t>
      </w:r>
    </w:p>
    <w:p w14:paraId="71D9E0D4" w14:textId="77777777" w:rsidR="00DF2BD9" w:rsidRPr="0083156E" w:rsidRDefault="00DF2BD9" w:rsidP="0083156E">
      <w:pPr>
        <w:pStyle w:val="Default"/>
        <w:rPr>
          <w:rFonts w:asciiTheme="minorHAnsi" w:hAnsiTheme="minorHAnsi" w:cstheme="minorHAnsi"/>
          <w:color w:val="231F20"/>
          <w:sz w:val="22"/>
          <w:szCs w:val="22"/>
        </w:rPr>
      </w:pPr>
    </w:p>
    <w:p w14:paraId="4E932AB0" w14:textId="77777777" w:rsidR="00B26979" w:rsidRPr="0083156E" w:rsidRDefault="00A071CB" w:rsidP="0083156E">
      <w:pPr>
        <w:pStyle w:val="Default"/>
        <w:rPr>
          <w:rFonts w:asciiTheme="minorHAnsi" w:hAnsiTheme="minorHAnsi" w:cstheme="minorHAnsi"/>
          <w:color w:val="231F20"/>
          <w:sz w:val="22"/>
          <w:szCs w:val="22"/>
        </w:rPr>
      </w:pPr>
      <w:r w:rsidRPr="0083156E">
        <w:rPr>
          <w:rFonts w:asciiTheme="minorHAnsi" w:hAnsiTheme="minorHAnsi" w:cstheme="minorHAnsi"/>
          <w:color w:val="231F20"/>
          <w:sz w:val="22"/>
          <w:szCs w:val="22"/>
        </w:rPr>
        <w:t>Waghorn</w:t>
      </w:r>
      <w:r w:rsidR="00B26979" w:rsidRPr="0083156E">
        <w:rPr>
          <w:rFonts w:asciiTheme="minorHAnsi" w:hAnsiTheme="minorHAnsi" w:cstheme="minorHAnsi"/>
          <w:color w:val="231F20"/>
          <w:sz w:val="22"/>
          <w:szCs w:val="22"/>
        </w:rPr>
        <w:t>, G</w:t>
      </w:r>
      <w:r w:rsidRPr="0083156E">
        <w:rPr>
          <w:rFonts w:asciiTheme="minorHAnsi" w:hAnsiTheme="minorHAnsi" w:cstheme="minorHAnsi"/>
          <w:color w:val="231F20"/>
          <w:sz w:val="22"/>
          <w:szCs w:val="22"/>
        </w:rPr>
        <w:t>.</w:t>
      </w:r>
      <w:r w:rsidR="00B26979" w:rsidRPr="0083156E">
        <w:rPr>
          <w:rFonts w:asciiTheme="minorHAnsi" w:hAnsiTheme="minorHAnsi" w:cstheme="minorHAnsi"/>
          <w:color w:val="231F20"/>
          <w:sz w:val="22"/>
          <w:szCs w:val="22"/>
        </w:rPr>
        <w:t xml:space="preserve">, 2011, </w:t>
      </w:r>
      <w:r w:rsidR="004E32CA" w:rsidRPr="0083156E">
        <w:rPr>
          <w:rFonts w:asciiTheme="minorHAnsi" w:hAnsiTheme="minorHAnsi" w:cstheme="minorHAnsi"/>
          <w:color w:val="231F20"/>
          <w:sz w:val="22"/>
          <w:szCs w:val="22"/>
        </w:rPr>
        <w:t>‘</w:t>
      </w:r>
      <w:r w:rsidR="00B26979" w:rsidRPr="0083156E">
        <w:rPr>
          <w:rFonts w:asciiTheme="minorHAnsi" w:hAnsiTheme="minorHAnsi" w:cstheme="minorHAnsi"/>
          <w:color w:val="231F20"/>
          <w:sz w:val="22"/>
          <w:szCs w:val="22"/>
        </w:rPr>
        <w:t>Increasing workforce participation among people with severe mental health conditions and psychiatric disabilities,</w:t>
      </w:r>
      <w:r w:rsidR="004E32CA" w:rsidRPr="0083156E">
        <w:rPr>
          <w:rFonts w:asciiTheme="minorHAnsi" w:hAnsiTheme="minorHAnsi" w:cstheme="minorHAnsi"/>
          <w:color w:val="231F20"/>
          <w:sz w:val="22"/>
          <w:szCs w:val="22"/>
        </w:rPr>
        <w:t>’</w:t>
      </w:r>
      <w:r w:rsidR="00B26979" w:rsidRPr="0083156E">
        <w:rPr>
          <w:rFonts w:asciiTheme="minorHAnsi" w:hAnsiTheme="minorHAnsi" w:cstheme="minorHAnsi"/>
          <w:color w:val="231F20"/>
          <w:sz w:val="22"/>
          <w:szCs w:val="22"/>
        </w:rPr>
        <w:t xml:space="preserve"> Presentation to the Australian Government's parliamentary inquiry into mental health and workforce participation, Submission no. 15.1</w:t>
      </w:r>
      <w:r w:rsidR="004E32CA" w:rsidRPr="0083156E">
        <w:rPr>
          <w:rFonts w:asciiTheme="minorHAnsi" w:hAnsiTheme="minorHAnsi" w:cstheme="minorHAnsi"/>
          <w:color w:val="231F20"/>
          <w:sz w:val="22"/>
          <w:szCs w:val="22"/>
        </w:rPr>
        <w:t>.</w:t>
      </w:r>
    </w:p>
    <w:p w14:paraId="7ED97D92" w14:textId="77777777" w:rsidR="00B26979" w:rsidRPr="0083156E" w:rsidRDefault="00B26979" w:rsidP="0083156E">
      <w:pPr>
        <w:pStyle w:val="Default"/>
        <w:rPr>
          <w:rFonts w:asciiTheme="minorHAnsi" w:hAnsiTheme="minorHAnsi" w:cstheme="minorHAnsi"/>
          <w:color w:val="231F20"/>
          <w:sz w:val="22"/>
          <w:szCs w:val="22"/>
        </w:rPr>
      </w:pPr>
    </w:p>
    <w:p w14:paraId="78B34FDC" w14:textId="77777777" w:rsidR="00B26979" w:rsidRPr="0083156E" w:rsidRDefault="00B26979" w:rsidP="0083156E">
      <w:pPr>
        <w:pStyle w:val="Default"/>
        <w:rPr>
          <w:rFonts w:asciiTheme="minorHAnsi" w:hAnsiTheme="minorHAnsi" w:cstheme="minorHAnsi"/>
          <w:color w:val="231F20"/>
          <w:sz w:val="22"/>
          <w:szCs w:val="22"/>
        </w:rPr>
      </w:pPr>
      <w:r w:rsidRPr="0083156E">
        <w:rPr>
          <w:rFonts w:asciiTheme="minorHAnsi" w:hAnsiTheme="minorHAnsi" w:cstheme="minorHAnsi"/>
          <w:color w:val="231F20"/>
          <w:sz w:val="22"/>
          <w:szCs w:val="22"/>
        </w:rPr>
        <w:t xml:space="preserve">Waghorn, G., </w:t>
      </w:r>
      <w:r w:rsidR="004E32CA" w:rsidRPr="0083156E">
        <w:rPr>
          <w:rFonts w:asciiTheme="minorHAnsi" w:hAnsiTheme="minorHAnsi" w:cstheme="minorHAnsi"/>
          <w:color w:val="231F20"/>
          <w:sz w:val="22"/>
          <w:szCs w:val="22"/>
        </w:rPr>
        <w:t>A. Stephenson and D. Browne, 2011,</w:t>
      </w:r>
      <w:r w:rsidRPr="0083156E">
        <w:rPr>
          <w:rFonts w:asciiTheme="minorHAnsi" w:hAnsiTheme="minorHAnsi" w:cstheme="minorHAnsi"/>
          <w:color w:val="231F20"/>
          <w:sz w:val="22"/>
          <w:szCs w:val="22"/>
        </w:rPr>
        <w:t xml:space="preserve"> </w:t>
      </w:r>
      <w:r w:rsidR="00A071CB" w:rsidRPr="0083156E">
        <w:rPr>
          <w:rFonts w:asciiTheme="minorHAnsi" w:hAnsiTheme="minorHAnsi" w:cstheme="minorHAnsi"/>
          <w:color w:val="231F20"/>
          <w:sz w:val="22"/>
          <w:szCs w:val="22"/>
        </w:rPr>
        <w:t>‘</w:t>
      </w:r>
      <w:r w:rsidRPr="0083156E">
        <w:rPr>
          <w:rFonts w:asciiTheme="minorHAnsi" w:hAnsiTheme="minorHAnsi" w:cstheme="minorHAnsi"/>
          <w:color w:val="231F20"/>
          <w:sz w:val="22"/>
          <w:szCs w:val="22"/>
        </w:rPr>
        <w:t xml:space="preserve">The importance of service integration in developing effective employment services for people with severe mental health </w:t>
      </w:r>
      <w:r w:rsidR="004E32CA" w:rsidRPr="0083156E">
        <w:rPr>
          <w:rFonts w:asciiTheme="minorHAnsi" w:hAnsiTheme="minorHAnsi" w:cstheme="minorHAnsi"/>
          <w:color w:val="231F20"/>
          <w:sz w:val="22"/>
          <w:szCs w:val="22"/>
        </w:rPr>
        <w:t>conditions,</w:t>
      </w:r>
      <w:r w:rsidR="00AE08C2" w:rsidRPr="0083156E">
        <w:rPr>
          <w:rFonts w:asciiTheme="minorHAnsi" w:hAnsiTheme="minorHAnsi" w:cstheme="minorHAnsi"/>
          <w:color w:val="231F20"/>
          <w:sz w:val="22"/>
          <w:szCs w:val="22"/>
        </w:rPr>
        <w:t>’</w:t>
      </w:r>
      <w:r w:rsidR="00A5333A" w:rsidRPr="0083156E">
        <w:rPr>
          <w:rFonts w:asciiTheme="minorHAnsi" w:hAnsiTheme="minorHAnsi" w:cstheme="minorHAnsi"/>
          <w:color w:val="231F20"/>
          <w:sz w:val="22"/>
          <w:szCs w:val="22"/>
        </w:rPr>
        <w:t xml:space="preserve"> British Journa</w:t>
      </w:r>
      <w:r w:rsidR="004E32CA" w:rsidRPr="0083156E">
        <w:rPr>
          <w:rFonts w:asciiTheme="minorHAnsi" w:hAnsiTheme="minorHAnsi" w:cstheme="minorHAnsi"/>
          <w:color w:val="231F20"/>
          <w:sz w:val="22"/>
          <w:szCs w:val="22"/>
        </w:rPr>
        <w:t>l of Occupational Therapy, 74</w:t>
      </w:r>
      <w:r w:rsidR="00A5333A" w:rsidRPr="0083156E">
        <w:rPr>
          <w:rFonts w:asciiTheme="minorHAnsi" w:hAnsiTheme="minorHAnsi" w:cstheme="minorHAnsi"/>
          <w:color w:val="231F20"/>
          <w:sz w:val="22"/>
          <w:szCs w:val="22"/>
        </w:rPr>
        <w:t>, 339-347.</w:t>
      </w:r>
    </w:p>
    <w:p w14:paraId="120B94A6" w14:textId="77777777" w:rsidR="00B26979" w:rsidRPr="0083156E" w:rsidRDefault="00B26979" w:rsidP="0083156E">
      <w:pPr>
        <w:pStyle w:val="Default"/>
        <w:rPr>
          <w:rFonts w:asciiTheme="minorHAnsi" w:hAnsiTheme="minorHAnsi" w:cstheme="minorHAnsi"/>
          <w:color w:val="231F20"/>
          <w:sz w:val="22"/>
          <w:szCs w:val="22"/>
        </w:rPr>
      </w:pPr>
    </w:p>
    <w:p w14:paraId="6A510049" w14:textId="5AA1C1A4" w:rsidR="00692186" w:rsidRPr="0083156E" w:rsidRDefault="004C4D9A" w:rsidP="0083156E">
      <w:pPr>
        <w:pStyle w:val="Default"/>
        <w:rPr>
          <w:rFonts w:asciiTheme="minorHAnsi" w:hAnsiTheme="minorHAnsi" w:cstheme="minorHAnsi"/>
          <w:color w:val="231F20"/>
          <w:sz w:val="22"/>
          <w:szCs w:val="22"/>
        </w:rPr>
      </w:pPr>
      <w:r w:rsidRPr="0083156E">
        <w:rPr>
          <w:rFonts w:asciiTheme="minorHAnsi" w:hAnsiTheme="minorHAnsi" w:cstheme="minorHAnsi"/>
          <w:color w:val="231F20"/>
          <w:sz w:val="22"/>
          <w:szCs w:val="22"/>
        </w:rPr>
        <w:t>Werner</w:t>
      </w:r>
      <w:r w:rsidR="004E32CA" w:rsidRPr="0083156E">
        <w:rPr>
          <w:rFonts w:asciiTheme="minorHAnsi" w:hAnsiTheme="minorHAnsi" w:cstheme="minorHAnsi"/>
          <w:color w:val="231F20"/>
          <w:sz w:val="22"/>
          <w:szCs w:val="22"/>
        </w:rPr>
        <w:t>,</w:t>
      </w:r>
      <w:r w:rsidRPr="0083156E">
        <w:rPr>
          <w:rFonts w:asciiTheme="minorHAnsi" w:hAnsiTheme="minorHAnsi" w:cstheme="minorHAnsi"/>
          <w:color w:val="231F20"/>
          <w:sz w:val="22"/>
          <w:szCs w:val="22"/>
        </w:rPr>
        <w:t xml:space="preserve"> R</w:t>
      </w:r>
      <w:r w:rsidR="004E32CA" w:rsidRPr="0083156E">
        <w:rPr>
          <w:rFonts w:asciiTheme="minorHAnsi" w:hAnsiTheme="minorHAnsi" w:cstheme="minorHAnsi"/>
          <w:color w:val="231F20"/>
          <w:sz w:val="22"/>
          <w:szCs w:val="22"/>
        </w:rPr>
        <w:t>.</w:t>
      </w:r>
      <w:r w:rsidRPr="0083156E">
        <w:rPr>
          <w:rFonts w:asciiTheme="minorHAnsi" w:hAnsiTheme="minorHAnsi" w:cstheme="minorHAnsi"/>
          <w:color w:val="231F20"/>
          <w:sz w:val="22"/>
          <w:szCs w:val="22"/>
        </w:rPr>
        <w:t>M</w:t>
      </w:r>
      <w:r w:rsidR="004E32CA" w:rsidRPr="0083156E">
        <w:rPr>
          <w:rFonts w:asciiTheme="minorHAnsi" w:hAnsiTheme="minorHAnsi" w:cstheme="minorHAnsi"/>
          <w:color w:val="231F20"/>
          <w:sz w:val="22"/>
          <w:szCs w:val="22"/>
        </w:rPr>
        <w:t xml:space="preserve">., E.T. Bradlow </w:t>
      </w:r>
      <w:r w:rsidRPr="0083156E">
        <w:rPr>
          <w:rFonts w:asciiTheme="minorHAnsi" w:hAnsiTheme="minorHAnsi" w:cstheme="minorHAnsi"/>
          <w:color w:val="231F20"/>
          <w:sz w:val="22"/>
          <w:szCs w:val="22"/>
        </w:rPr>
        <w:t xml:space="preserve">and </w:t>
      </w:r>
      <w:r w:rsidR="004E32CA" w:rsidRPr="0083156E">
        <w:rPr>
          <w:rFonts w:asciiTheme="minorHAnsi" w:hAnsiTheme="minorHAnsi" w:cstheme="minorHAnsi"/>
          <w:color w:val="231F20"/>
          <w:sz w:val="22"/>
          <w:szCs w:val="22"/>
        </w:rPr>
        <w:t>D.A Asch, 2008, ‘Does hospital performance on process measures directly measure high quality care or is i</w:t>
      </w:r>
      <w:r w:rsidRPr="0083156E">
        <w:rPr>
          <w:rFonts w:asciiTheme="minorHAnsi" w:hAnsiTheme="minorHAnsi" w:cstheme="minorHAnsi"/>
          <w:color w:val="231F20"/>
          <w:sz w:val="22"/>
          <w:szCs w:val="22"/>
        </w:rPr>
        <w:t xml:space="preserve">t </w:t>
      </w:r>
      <w:r w:rsidR="004E32CA" w:rsidRPr="0083156E">
        <w:rPr>
          <w:rFonts w:asciiTheme="minorHAnsi" w:hAnsiTheme="minorHAnsi" w:cstheme="minorHAnsi"/>
          <w:color w:val="231F20"/>
          <w:sz w:val="22"/>
          <w:szCs w:val="22"/>
        </w:rPr>
        <w:t>a marker of unmeasured care?’</w:t>
      </w:r>
      <w:r w:rsidRPr="0083156E">
        <w:rPr>
          <w:rFonts w:asciiTheme="minorHAnsi" w:hAnsiTheme="minorHAnsi" w:cstheme="minorHAnsi"/>
          <w:color w:val="231F20"/>
          <w:sz w:val="22"/>
          <w:szCs w:val="22"/>
        </w:rPr>
        <w:t xml:space="preserve"> Health Services Research</w:t>
      </w:r>
      <w:r w:rsidR="004E32CA" w:rsidRPr="0083156E">
        <w:rPr>
          <w:rFonts w:asciiTheme="minorHAnsi" w:hAnsiTheme="minorHAnsi" w:cstheme="minorHAnsi"/>
          <w:color w:val="231F20"/>
          <w:sz w:val="22"/>
          <w:szCs w:val="22"/>
        </w:rPr>
        <w:t>, 43, 1464-1484</w:t>
      </w:r>
      <w:r w:rsidR="005474D4">
        <w:rPr>
          <w:rFonts w:asciiTheme="minorHAnsi" w:hAnsiTheme="minorHAnsi" w:cstheme="minorHAnsi"/>
          <w:color w:val="231F20"/>
          <w:sz w:val="22"/>
          <w:szCs w:val="22"/>
        </w:rPr>
        <w:t>.</w:t>
      </w:r>
    </w:p>
    <w:p w14:paraId="4084D154" w14:textId="77777777" w:rsidR="00692186" w:rsidRDefault="00692186">
      <w:pPr>
        <w:rPr>
          <w:rFonts w:cstheme="minorHAnsi"/>
          <w:color w:val="000000"/>
          <w:sz w:val="26"/>
          <w:szCs w:val="26"/>
        </w:rPr>
      </w:pPr>
      <w:r>
        <w:rPr>
          <w:rFonts w:cstheme="minorHAnsi"/>
          <w:sz w:val="26"/>
          <w:szCs w:val="26"/>
        </w:rPr>
        <w:br w:type="page"/>
      </w:r>
    </w:p>
    <w:p w14:paraId="425F5111" w14:textId="77777777" w:rsidR="00692186" w:rsidRPr="00692186" w:rsidRDefault="00692186" w:rsidP="00692186">
      <w:pPr>
        <w:jc w:val="both"/>
        <w:rPr>
          <w:rFonts w:cstheme="minorHAnsi"/>
          <w:b/>
          <w:sz w:val="24"/>
          <w:szCs w:val="24"/>
        </w:rPr>
      </w:pPr>
      <w:r w:rsidRPr="00692186">
        <w:rPr>
          <w:rFonts w:cstheme="minorHAnsi"/>
          <w:b/>
          <w:sz w:val="24"/>
          <w:szCs w:val="24"/>
        </w:rPr>
        <w:lastRenderedPageBreak/>
        <w:t>Appendix</w:t>
      </w:r>
      <w:r>
        <w:rPr>
          <w:rFonts w:cstheme="minorHAnsi"/>
          <w:b/>
          <w:sz w:val="24"/>
          <w:szCs w:val="24"/>
        </w:rPr>
        <w:t xml:space="preserve"> A</w:t>
      </w:r>
    </w:p>
    <w:p w14:paraId="5DB5D2F0" w14:textId="77777777" w:rsidR="00692186" w:rsidRPr="00FC03F0" w:rsidRDefault="00692186" w:rsidP="00692186">
      <w:pPr>
        <w:jc w:val="both"/>
        <w:rPr>
          <w:rFonts w:cstheme="minorHAnsi"/>
          <w:sz w:val="24"/>
          <w:szCs w:val="24"/>
        </w:rPr>
      </w:pPr>
      <w:r w:rsidRPr="00FC03F0">
        <w:rPr>
          <w:rFonts w:cstheme="minorHAnsi"/>
          <w:sz w:val="24"/>
          <w:szCs w:val="24"/>
        </w:rPr>
        <w:t xml:space="preserve">The six main steps in calculating </w:t>
      </w:r>
      <w:r w:rsidR="007957F5">
        <w:rPr>
          <w:rFonts w:cstheme="minorHAnsi"/>
          <w:sz w:val="24"/>
          <w:szCs w:val="24"/>
        </w:rPr>
        <w:t>Star Rating</w:t>
      </w:r>
      <w:r w:rsidRPr="00FC03F0">
        <w:rPr>
          <w:rFonts w:cstheme="minorHAnsi"/>
          <w:sz w:val="24"/>
          <w:szCs w:val="24"/>
        </w:rPr>
        <w:t>s are as follows:</w:t>
      </w:r>
    </w:p>
    <w:p w14:paraId="236A3242" w14:textId="77777777" w:rsidR="00692186" w:rsidRPr="00FC03F0" w:rsidRDefault="00692186" w:rsidP="00692186">
      <w:pPr>
        <w:autoSpaceDE w:val="0"/>
        <w:autoSpaceDN w:val="0"/>
        <w:adjustRightInd w:val="0"/>
        <w:spacing w:after="0" w:line="240" w:lineRule="auto"/>
        <w:rPr>
          <w:rFonts w:cstheme="minorHAnsi"/>
          <w:i/>
          <w:sz w:val="24"/>
          <w:szCs w:val="24"/>
        </w:rPr>
      </w:pPr>
      <w:r w:rsidRPr="00FC03F0">
        <w:rPr>
          <w:rFonts w:cstheme="minorHAnsi"/>
          <w:i/>
          <w:sz w:val="24"/>
          <w:szCs w:val="24"/>
        </w:rPr>
        <w:t xml:space="preserve">Step 1: Calculate Actual Rate </w:t>
      </w:r>
    </w:p>
    <w:p w14:paraId="3C16C520" w14:textId="77777777" w:rsidR="00692186" w:rsidRPr="00FC03F0" w:rsidRDefault="00692186" w:rsidP="00692186">
      <w:pPr>
        <w:pStyle w:val="ListParagraph"/>
        <w:numPr>
          <w:ilvl w:val="0"/>
          <w:numId w:val="11"/>
        </w:numPr>
        <w:autoSpaceDE w:val="0"/>
        <w:autoSpaceDN w:val="0"/>
        <w:adjustRightInd w:val="0"/>
        <w:spacing w:after="0" w:line="240" w:lineRule="auto"/>
        <w:rPr>
          <w:rFonts w:cstheme="minorHAnsi"/>
          <w:sz w:val="24"/>
          <w:szCs w:val="24"/>
        </w:rPr>
      </w:pPr>
      <w:r w:rsidRPr="00FC03F0">
        <w:rPr>
          <w:rFonts w:cstheme="minorHAnsi"/>
          <w:sz w:val="24"/>
          <w:szCs w:val="24"/>
        </w:rPr>
        <w:t xml:space="preserve">For the outcome rate (e.g. 13 week full outcomes) performance measures, the model calculates the actual outcome rates which have been achieved. </w:t>
      </w:r>
    </w:p>
    <w:p w14:paraId="50952A7A" w14:textId="77777777" w:rsidR="00692186" w:rsidRPr="00FC03F0" w:rsidRDefault="00692186" w:rsidP="00692186">
      <w:pPr>
        <w:pStyle w:val="ListParagraph"/>
        <w:numPr>
          <w:ilvl w:val="0"/>
          <w:numId w:val="11"/>
        </w:numPr>
        <w:autoSpaceDE w:val="0"/>
        <w:autoSpaceDN w:val="0"/>
        <w:adjustRightInd w:val="0"/>
        <w:spacing w:after="0" w:line="240" w:lineRule="auto"/>
        <w:rPr>
          <w:rFonts w:cstheme="minorHAnsi"/>
          <w:sz w:val="24"/>
          <w:szCs w:val="24"/>
        </w:rPr>
      </w:pPr>
      <w:r w:rsidRPr="00FC03F0">
        <w:rPr>
          <w:rFonts w:cstheme="minorHAnsi"/>
          <w:sz w:val="24"/>
          <w:szCs w:val="24"/>
        </w:rPr>
        <w:t xml:space="preserve">For the time to outcome (e.g. time to job placement) performance measures, the model calculates the average number of days taken to achieve the outcomes. </w:t>
      </w:r>
    </w:p>
    <w:p w14:paraId="058B5999" w14:textId="77777777" w:rsidR="00692186" w:rsidRPr="00FC03F0" w:rsidRDefault="00692186" w:rsidP="00692186">
      <w:pPr>
        <w:autoSpaceDE w:val="0"/>
        <w:autoSpaceDN w:val="0"/>
        <w:adjustRightInd w:val="0"/>
        <w:spacing w:after="0" w:line="240" w:lineRule="auto"/>
        <w:rPr>
          <w:rFonts w:cstheme="minorHAnsi"/>
          <w:sz w:val="24"/>
          <w:szCs w:val="24"/>
        </w:rPr>
      </w:pPr>
    </w:p>
    <w:p w14:paraId="4DF8FCCD" w14:textId="77777777" w:rsidR="00692186" w:rsidRPr="00FC03F0" w:rsidRDefault="00692186" w:rsidP="00692186">
      <w:pPr>
        <w:autoSpaceDE w:val="0"/>
        <w:autoSpaceDN w:val="0"/>
        <w:adjustRightInd w:val="0"/>
        <w:spacing w:after="0" w:line="240" w:lineRule="auto"/>
        <w:rPr>
          <w:rFonts w:cstheme="minorHAnsi"/>
          <w:i/>
          <w:sz w:val="24"/>
          <w:szCs w:val="24"/>
        </w:rPr>
      </w:pPr>
      <w:r w:rsidRPr="00FC03F0">
        <w:rPr>
          <w:rFonts w:cstheme="minorHAnsi"/>
          <w:i/>
          <w:sz w:val="24"/>
          <w:szCs w:val="24"/>
        </w:rPr>
        <w:t xml:space="preserve">Step 2: Calculate Expected Rate </w:t>
      </w:r>
    </w:p>
    <w:p w14:paraId="6407237B" w14:textId="77777777" w:rsidR="00692186" w:rsidRPr="00FC03F0" w:rsidRDefault="00692186" w:rsidP="00692186">
      <w:pPr>
        <w:autoSpaceDE w:val="0"/>
        <w:autoSpaceDN w:val="0"/>
        <w:adjustRightInd w:val="0"/>
        <w:spacing w:after="0" w:line="240" w:lineRule="auto"/>
        <w:rPr>
          <w:rFonts w:cstheme="minorHAnsi"/>
          <w:sz w:val="24"/>
          <w:szCs w:val="24"/>
        </w:rPr>
      </w:pPr>
      <w:r w:rsidRPr="00FC03F0">
        <w:rPr>
          <w:rFonts w:cstheme="minorHAnsi"/>
          <w:sz w:val="24"/>
          <w:szCs w:val="24"/>
        </w:rPr>
        <w:t xml:space="preserve">By statistical regression, which takes account of variable job seeker and labour market characteristics, the model calculates: </w:t>
      </w:r>
    </w:p>
    <w:p w14:paraId="00E90BD1" w14:textId="77777777" w:rsidR="00692186" w:rsidRPr="00FC03F0" w:rsidRDefault="00692186" w:rsidP="00692186">
      <w:pPr>
        <w:pStyle w:val="ListParagraph"/>
        <w:numPr>
          <w:ilvl w:val="0"/>
          <w:numId w:val="12"/>
        </w:numPr>
        <w:autoSpaceDE w:val="0"/>
        <w:autoSpaceDN w:val="0"/>
        <w:adjustRightInd w:val="0"/>
        <w:spacing w:after="37" w:line="240" w:lineRule="auto"/>
        <w:rPr>
          <w:rFonts w:cstheme="minorHAnsi"/>
          <w:sz w:val="24"/>
          <w:szCs w:val="24"/>
        </w:rPr>
      </w:pPr>
      <w:r w:rsidRPr="00FC03F0">
        <w:rPr>
          <w:rFonts w:cstheme="minorHAnsi"/>
          <w:sz w:val="24"/>
          <w:szCs w:val="24"/>
        </w:rPr>
        <w:t xml:space="preserve">expected outcome rates for the outcome rate measures, and </w:t>
      </w:r>
    </w:p>
    <w:p w14:paraId="0776F425" w14:textId="77777777" w:rsidR="00692186" w:rsidRPr="00FC03F0" w:rsidRDefault="00692186" w:rsidP="00692186">
      <w:pPr>
        <w:pStyle w:val="ListParagraph"/>
        <w:numPr>
          <w:ilvl w:val="0"/>
          <w:numId w:val="12"/>
        </w:numPr>
        <w:autoSpaceDE w:val="0"/>
        <w:autoSpaceDN w:val="0"/>
        <w:adjustRightInd w:val="0"/>
        <w:spacing w:after="0" w:line="240" w:lineRule="auto"/>
        <w:rPr>
          <w:rFonts w:cstheme="minorHAnsi"/>
          <w:sz w:val="24"/>
          <w:szCs w:val="24"/>
        </w:rPr>
      </w:pPr>
      <w:r w:rsidRPr="00FC03F0">
        <w:rPr>
          <w:rFonts w:cstheme="minorHAnsi"/>
          <w:sz w:val="24"/>
          <w:szCs w:val="24"/>
        </w:rPr>
        <w:t xml:space="preserve">expected average number of days for the time to outcome measures. </w:t>
      </w:r>
    </w:p>
    <w:p w14:paraId="7980F127" w14:textId="77777777" w:rsidR="00692186" w:rsidRPr="00FC03F0" w:rsidRDefault="00692186" w:rsidP="00692186">
      <w:pPr>
        <w:jc w:val="both"/>
        <w:rPr>
          <w:rFonts w:cstheme="minorHAnsi"/>
          <w:sz w:val="24"/>
          <w:szCs w:val="24"/>
        </w:rPr>
      </w:pPr>
    </w:p>
    <w:p w14:paraId="62B055F9" w14:textId="77777777" w:rsidR="00692186" w:rsidRPr="00FC03F0" w:rsidRDefault="00692186" w:rsidP="00692186">
      <w:pPr>
        <w:autoSpaceDE w:val="0"/>
        <w:autoSpaceDN w:val="0"/>
        <w:adjustRightInd w:val="0"/>
        <w:spacing w:after="0" w:line="240" w:lineRule="auto"/>
        <w:rPr>
          <w:rFonts w:cstheme="minorHAnsi"/>
          <w:i/>
          <w:sz w:val="24"/>
          <w:szCs w:val="24"/>
        </w:rPr>
      </w:pPr>
      <w:r w:rsidRPr="00FC03F0">
        <w:rPr>
          <w:rFonts w:cstheme="minorHAnsi"/>
          <w:i/>
          <w:sz w:val="24"/>
          <w:szCs w:val="24"/>
        </w:rPr>
        <w:t xml:space="preserve">Step 3: Calculate Ratio of Actual Rate to Expected Rate </w:t>
      </w:r>
    </w:p>
    <w:p w14:paraId="21DF09CD" w14:textId="77777777" w:rsidR="00692186" w:rsidRPr="00FC03F0" w:rsidRDefault="00692186" w:rsidP="00692186">
      <w:pPr>
        <w:pStyle w:val="ListParagraph"/>
        <w:numPr>
          <w:ilvl w:val="0"/>
          <w:numId w:val="13"/>
        </w:numPr>
        <w:autoSpaceDE w:val="0"/>
        <w:autoSpaceDN w:val="0"/>
        <w:adjustRightInd w:val="0"/>
        <w:spacing w:after="0" w:line="240" w:lineRule="auto"/>
        <w:rPr>
          <w:rFonts w:cstheme="minorHAnsi"/>
          <w:sz w:val="24"/>
          <w:szCs w:val="24"/>
        </w:rPr>
      </w:pPr>
      <w:r w:rsidRPr="00FC03F0">
        <w:rPr>
          <w:rFonts w:cstheme="minorHAnsi"/>
          <w:sz w:val="24"/>
          <w:szCs w:val="24"/>
        </w:rPr>
        <w:t xml:space="preserve">For the outcome rate performance measures, the ratio of actual rate to expected rate is calculated. </w:t>
      </w:r>
    </w:p>
    <w:p w14:paraId="0487B6DF" w14:textId="77777777" w:rsidR="00692186" w:rsidRPr="00FC03F0" w:rsidRDefault="00692186" w:rsidP="00692186">
      <w:pPr>
        <w:pStyle w:val="ListParagraph"/>
        <w:numPr>
          <w:ilvl w:val="0"/>
          <w:numId w:val="13"/>
        </w:numPr>
        <w:jc w:val="both"/>
        <w:rPr>
          <w:rFonts w:cstheme="minorHAnsi"/>
          <w:sz w:val="24"/>
          <w:szCs w:val="24"/>
        </w:rPr>
      </w:pPr>
      <w:r w:rsidRPr="00FC03F0">
        <w:rPr>
          <w:rFonts w:cstheme="minorHAnsi"/>
          <w:sz w:val="24"/>
          <w:szCs w:val="24"/>
        </w:rPr>
        <w:t>For the time to outcome performance measures, the ratio is reversed, to give higher ratios to sites which are achieving their outcomes more quickly.</w:t>
      </w:r>
    </w:p>
    <w:p w14:paraId="657F41BB" w14:textId="77777777" w:rsidR="00692186" w:rsidRPr="00FC03F0" w:rsidRDefault="00692186" w:rsidP="00692186">
      <w:pPr>
        <w:autoSpaceDE w:val="0"/>
        <w:autoSpaceDN w:val="0"/>
        <w:adjustRightInd w:val="0"/>
        <w:spacing w:after="0" w:line="240" w:lineRule="auto"/>
        <w:rPr>
          <w:rFonts w:cstheme="minorHAnsi"/>
          <w:i/>
          <w:sz w:val="24"/>
          <w:szCs w:val="24"/>
        </w:rPr>
      </w:pPr>
      <w:r w:rsidRPr="00FC03F0">
        <w:rPr>
          <w:rFonts w:cstheme="minorHAnsi"/>
          <w:i/>
          <w:sz w:val="24"/>
          <w:szCs w:val="24"/>
        </w:rPr>
        <w:t xml:space="preserve">Step 4: Transform the Ratios to Performance Measure Scores Between 0 and 4 </w:t>
      </w:r>
    </w:p>
    <w:p w14:paraId="5E099007" w14:textId="7236AF00" w:rsidR="00692186" w:rsidRPr="00FC03F0" w:rsidRDefault="00692186" w:rsidP="00692186">
      <w:pPr>
        <w:pStyle w:val="ListParagraph"/>
        <w:numPr>
          <w:ilvl w:val="0"/>
          <w:numId w:val="14"/>
        </w:numPr>
        <w:jc w:val="both"/>
        <w:rPr>
          <w:rFonts w:cstheme="minorHAnsi"/>
          <w:sz w:val="24"/>
          <w:szCs w:val="24"/>
        </w:rPr>
      </w:pPr>
      <w:r w:rsidRPr="00FC03F0">
        <w:rPr>
          <w:rFonts w:cstheme="minorHAnsi"/>
          <w:sz w:val="24"/>
          <w:szCs w:val="24"/>
        </w:rPr>
        <w:t>The model transforms the ratios to performance measure scores between 0 and 4. This ensures that the performance measure weightings are applied correctly.</w:t>
      </w:r>
    </w:p>
    <w:p w14:paraId="2FE7485E" w14:textId="5F97C4AF" w:rsidR="00692186" w:rsidRPr="00FC03F0" w:rsidRDefault="006F44C4" w:rsidP="00692186">
      <w:pPr>
        <w:autoSpaceDE w:val="0"/>
        <w:autoSpaceDN w:val="0"/>
        <w:adjustRightInd w:val="0"/>
        <w:spacing w:after="0" w:line="240" w:lineRule="auto"/>
        <w:rPr>
          <w:rFonts w:cstheme="minorHAnsi"/>
          <w:i/>
          <w:sz w:val="24"/>
          <w:szCs w:val="24"/>
        </w:rPr>
      </w:pPr>
      <w:r>
        <w:rPr>
          <w:rFonts w:cstheme="minorHAnsi"/>
          <w:i/>
          <w:sz w:val="24"/>
          <w:szCs w:val="24"/>
        </w:rPr>
        <w:t>Step 5: Calculate the</w:t>
      </w:r>
      <w:r w:rsidR="00692186" w:rsidRPr="00FC03F0">
        <w:rPr>
          <w:rFonts w:cstheme="minorHAnsi"/>
          <w:i/>
          <w:sz w:val="24"/>
          <w:szCs w:val="24"/>
        </w:rPr>
        <w:t xml:space="preserve"> Performance Score </w:t>
      </w:r>
    </w:p>
    <w:p w14:paraId="56D0003C" w14:textId="069D65BA" w:rsidR="00692186" w:rsidRPr="00FC03F0" w:rsidRDefault="00692186" w:rsidP="00692186">
      <w:pPr>
        <w:pStyle w:val="ListParagraph"/>
        <w:numPr>
          <w:ilvl w:val="0"/>
          <w:numId w:val="14"/>
        </w:numPr>
        <w:jc w:val="both"/>
        <w:rPr>
          <w:rFonts w:cstheme="minorHAnsi"/>
          <w:sz w:val="24"/>
          <w:szCs w:val="24"/>
        </w:rPr>
      </w:pPr>
      <w:r w:rsidRPr="00FC03F0">
        <w:rPr>
          <w:rFonts w:cstheme="minorHAnsi"/>
          <w:sz w:val="24"/>
          <w:szCs w:val="24"/>
        </w:rPr>
        <w:t>Each performance measure score for a site</w:t>
      </w:r>
      <w:r w:rsidR="006F44C4">
        <w:rPr>
          <w:rFonts w:cstheme="minorHAnsi"/>
          <w:sz w:val="24"/>
          <w:szCs w:val="24"/>
        </w:rPr>
        <w:t xml:space="preserve"> is multiplied by the weighting, </w:t>
      </w:r>
      <w:r w:rsidRPr="00FC03F0">
        <w:rPr>
          <w:rFonts w:cstheme="minorHAnsi"/>
          <w:sz w:val="24"/>
          <w:szCs w:val="24"/>
        </w:rPr>
        <w:t>to give a weighted score. All weighted scores are then aggregated to calculate the Stream performance score.</w:t>
      </w:r>
    </w:p>
    <w:p w14:paraId="04A5DF95" w14:textId="5C9CAF79" w:rsidR="00692186" w:rsidRPr="00FC03F0" w:rsidRDefault="00692186" w:rsidP="00692186">
      <w:pPr>
        <w:autoSpaceDE w:val="0"/>
        <w:autoSpaceDN w:val="0"/>
        <w:adjustRightInd w:val="0"/>
        <w:spacing w:after="0" w:line="240" w:lineRule="auto"/>
        <w:rPr>
          <w:rFonts w:cstheme="minorHAnsi"/>
          <w:i/>
          <w:sz w:val="24"/>
          <w:szCs w:val="24"/>
        </w:rPr>
      </w:pPr>
      <w:r w:rsidRPr="00FC03F0">
        <w:rPr>
          <w:rFonts w:cstheme="minorHAnsi"/>
          <w:i/>
          <w:sz w:val="24"/>
          <w:szCs w:val="24"/>
        </w:rPr>
        <w:t xml:space="preserve">Step 6: Calculate the Star Percentage </w:t>
      </w:r>
      <w:r w:rsidR="006F44C4">
        <w:rPr>
          <w:rFonts w:cstheme="minorHAnsi"/>
          <w:i/>
          <w:sz w:val="24"/>
          <w:szCs w:val="24"/>
        </w:rPr>
        <w:t>a</w:t>
      </w:r>
      <w:r w:rsidRPr="00FC03F0">
        <w:rPr>
          <w:rFonts w:cstheme="minorHAnsi"/>
          <w:i/>
          <w:sz w:val="24"/>
          <w:szCs w:val="24"/>
        </w:rPr>
        <w:t xml:space="preserve">nd </w:t>
      </w:r>
      <w:r w:rsidR="007957F5">
        <w:rPr>
          <w:rFonts w:cstheme="minorHAnsi"/>
          <w:i/>
          <w:sz w:val="24"/>
          <w:szCs w:val="24"/>
        </w:rPr>
        <w:t>Star Rating</w:t>
      </w:r>
      <w:r w:rsidRPr="00FC03F0">
        <w:rPr>
          <w:rFonts w:cstheme="minorHAnsi"/>
          <w:i/>
          <w:sz w:val="24"/>
          <w:szCs w:val="24"/>
        </w:rPr>
        <w:t xml:space="preserve"> </w:t>
      </w:r>
    </w:p>
    <w:p w14:paraId="6A7F0C2D" w14:textId="41E18484" w:rsidR="00692186" w:rsidRPr="00FC03F0" w:rsidRDefault="006F44C4" w:rsidP="00692186">
      <w:pPr>
        <w:pStyle w:val="ListParagraph"/>
        <w:numPr>
          <w:ilvl w:val="0"/>
          <w:numId w:val="14"/>
        </w:numPr>
        <w:autoSpaceDE w:val="0"/>
        <w:autoSpaceDN w:val="0"/>
        <w:adjustRightInd w:val="0"/>
        <w:spacing w:after="0" w:line="240" w:lineRule="auto"/>
        <w:rPr>
          <w:rFonts w:cstheme="minorHAnsi"/>
          <w:sz w:val="24"/>
          <w:szCs w:val="24"/>
        </w:rPr>
      </w:pPr>
      <w:r>
        <w:rPr>
          <w:rFonts w:cstheme="minorHAnsi"/>
          <w:sz w:val="24"/>
          <w:szCs w:val="24"/>
        </w:rPr>
        <w:t xml:space="preserve">From the </w:t>
      </w:r>
      <w:r w:rsidR="00692186" w:rsidRPr="00FC03F0">
        <w:rPr>
          <w:rFonts w:cstheme="minorHAnsi"/>
          <w:sz w:val="24"/>
          <w:szCs w:val="24"/>
        </w:rPr>
        <w:t xml:space="preserve"> performance scores for all sites across Australia, the national average site performance score is calculated. The example below shows </w:t>
      </w:r>
      <w:r>
        <w:rPr>
          <w:rFonts w:cstheme="minorHAnsi"/>
          <w:sz w:val="24"/>
          <w:szCs w:val="24"/>
        </w:rPr>
        <w:t>a national average site</w:t>
      </w:r>
      <w:r w:rsidR="00692186" w:rsidRPr="00FC03F0">
        <w:rPr>
          <w:rFonts w:cstheme="minorHAnsi"/>
          <w:sz w:val="24"/>
          <w:szCs w:val="24"/>
        </w:rPr>
        <w:t xml:space="preserve"> performance score of 1.90. This average score is subject to change from release to releas</w:t>
      </w:r>
      <w:r>
        <w:rPr>
          <w:rFonts w:cstheme="minorHAnsi"/>
          <w:sz w:val="24"/>
          <w:szCs w:val="24"/>
        </w:rPr>
        <w:t>e and is variable across programs/streams</w:t>
      </w:r>
      <w:r w:rsidR="00692186" w:rsidRPr="00FC03F0">
        <w:rPr>
          <w:rFonts w:cstheme="minorHAnsi"/>
          <w:sz w:val="24"/>
          <w:szCs w:val="24"/>
        </w:rPr>
        <w:t xml:space="preserve">. </w:t>
      </w:r>
    </w:p>
    <w:p w14:paraId="27030B44" w14:textId="1661D956" w:rsidR="00692186" w:rsidRDefault="00692186" w:rsidP="00692186">
      <w:pPr>
        <w:pStyle w:val="ListParagraph"/>
        <w:numPr>
          <w:ilvl w:val="0"/>
          <w:numId w:val="14"/>
        </w:numPr>
        <w:spacing w:after="0" w:line="240" w:lineRule="auto"/>
        <w:ind w:left="714" w:hanging="357"/>
        <w:jc w:val="both"/>
        <w:rPr>
          <w:rFonts w:cstheme="minorHAnsi"/>
          <w:sz w:val="24"/>
          <w:szCs w:val="24"/>
        </w:rPr>
      </w:pPr>
      <w:r w:rsidRPr="00FC03F0">
        <w:rPr>
          <w:rFonts w:cstheme="minorHAnsi"/>
          <w:sz w:val="24"/>
          <w:szCs w:val="24"/>
        </w:rPr>
        <w:t>Each site’s Star Percentage is then calculated by comparing their performance scores with the national average site performance score. The decimal components of the final calculated percentages are always rounded down. For example, a Star Percentage of 19.82 is rounded down to ‘+ 19’, and a Star Percentage of -1</w:t>
      </w:r>
      <w:r w:rsidR="006F44C4">
        <w:rPr>
          <w:rFonts w:cstheme="minorHAnsi"/>
          <w:sz w:val="24"/>
          <w:szCs w:val="24"/>
        </w:rPr>
        <w:t>9.82 is rounded down to ‘- 19’.</w:t>
      </w:r>
    </w:p>
    <w:p w14:paraId="42DB6340" w14:textId="52F20951" w:rsidR="006F44C4" w:rsidRPr="00FC03F0" w:rsidRDefault="006F44C4" w:rsidP="00692186">
      <w:pPr>
        <w:pStyle w:val="ListParagraph"/>
        <w:numPr>
          <w:ilvl w:val="0"/>
          <w:numId w:val="14"/>
        </w:numPr>
        <w:spacing w:after="0" w:line="240" w:lineRule="auto"/>
        <w:ind w:left="714" w:hanging="357"/>
        <w:jc w:val="both"/>
        <w:rPr>
          <w:rFonts w:cstheme="minorHAnsi"/>
          <w:sz w:val="24"/>
          <w:szCs w:val="24"/>
        </w:rPr>
      </w:pPr>
      <w:r>
        <w:rPr>
          <w:rFonts w:cstheme="minorHAnsi"/>
          <w:sz w:val="24"/>
          <w:szCs w:val="24"/>
        </w:rPr>
        <w:t>Based on the Star Rating bands, a Star Percentage of -19 receives a Star Rating of 3-Stars.</w:t>
      </w:r>
    </w:p>
    <w:p w14:paraId="71F51CE2" w14:textId="0B9177D8" w:rsidR="00692186" w:rsidRPr="00FC03F0" w:rsidRDefault="00692186" w:rsidP="00692186">
      <w:pPr>
        <w:jc w:val="both"/>
        <w:rPr>
          <w:rFonts w:cstheme="minorHAnsi"/>
          <w:sz w:val="23"/>
          <w:szCs w:val="23"/>
        </w:rPr>
      </w:pPr>
    </w:p>
    <w:sectPr w:rsidR="00692186" w:rsidRPr="00FC03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74E4E" w14:textId="77777777" w:rsidR="004022AF" w:rsidRDefault="004022AF" w:rsidP="00AF174E">
      <w:pPr>
        <w:spacing w:after="0" w:line="240" w:lineRule="auto"/>
      </w:pPr>
      <w:r>
        <w:separator/>
      </w:r>
    </w:p>
  </w:endnote>
  <w:endnote w:type="continuationSeparator" w:id="0">
    <w:p w14:paraId="1021D706" w14:textId="77777777" w:rsidR="004022AF" w:rsidRDefault="004022AF" w:rsidP="00AF1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S Me Light">
    <w:altName w:val="FS Me Light"/>
    <w:panose1 w:val="00000000000000000000"/>
    <w:charset w:val="00"/>
    <w:family w:val="swiss"/>
    <w:notTrueType/>
    <w:pitch w:val="default"/>
    <w:sig w:usb0="00000003" w:usb1="00000000" w:usb2="00000000" w:usb3="00000000" w:csb0="00000001" w:csb1="00000000"/>
  </w:font>
  <w:font w:name="AGHJE O+ Century">
    <w:altName w:val="Century"/>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lbertus Extra Bold">
    <w:panose1 w:val="00000000000000000000"/>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Sabon-Roman">
    <w:altName w:val="Malgun Gothic"/>
    <w:panose1 w:val="00000000000000000000"/>
    <w:charset w:val="81"/>
    <w:family w:val="roman"/>
    <w:notTrueType/>
    <w:pitch w:val="default"/>
    <w:sig w:usb0="00000000" w:usb1="09060000" w:usb2="00000010" w:usb3="00000000" w:csb0="00080001" w:csb1="00000000"/>
  </w:font>
  <w:font w:name="Cambria Math">
    <w:panose1 w:val="02040503050406030204"/>
    <w:charset w:val="00"/>
    <w:family w:val="roman"/>
    <w:pitch w:val="variable"/>
    <w:sig w:usb0="E00002FF" w:usb1="420024FF" w:usb2="00000000" w:usb3="00000000" w:csb0="0000019F" w:csb1="00000000"/>
  </w:font>
  <w:font w:name="Sabon-Italic">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928956"/>
      <w:docPartObj>
        <w:docPartGallery w:val="Page Numbers (Bottom of Page)"/>
        <w:docPartUnique/>
      </w:docPartObj>
    </w:sdtPr>
    <w:sdtEndPr>
      <w:rPr>
        <w:color w:val="808080" w:themeColor="background1" w:themeShade="80"/>
        <w:spacing w:val="60"/>
      </w:rPr>
    </w:sdtEndPr>
    <w:sdtContent>
      <w:p w14:paraId="02E5A509" w14:textId="57332245" w:rsidR="004022AF" w:rsidRDefault="004022AF">
        <w:pPr>
          <w:pStyle w:val="Footer"/>
          <w:pBdr>
            <w:top w:val="single" w:sz="4" w:space="1" w:color="D9D9D9" w:themeColor="background1" w:themeShade="D9"/>
          </w:pBdr>
          <w:jc w:val="right"/>
        </w:pPr>
        <w:r>
          <w:fldChar w:fldCharType="begin"/>
        </w:r>
        <w:r>
          <w:instrText xml:space="preserve"> PAGE   \* MERGEFORMAT </w:instrText>
        </w:r>
        <w:r>
          <w:fldChar w:fldCharType="separate"/>
        </w:r>
        <w:r w:rsidR="00BD3140">
          <w:rPr>
            <w:noProof/>
          </w:rPr>
          <w:t>23</w:t>
        </w:r>
        <w:r>
          <w:rPr>
            <w:noProof/>
          </w:rPr>
          <w:fldChar w:fldCharType="end"/>
        </w:r>
        <w:r>
          <w:t xml:space="preserve"> | </w:t>
        </w:r>
        <w:r>
          <w:rPr>
            <w:color w:val="808080" w:themeColor="background1" w:themeShade="80"/>
            <w:spacing w:val="60"/>
          </w:rPr>
          <w:t>Page</w:t>
        </w:r>
      </w:p>
    </w:sdtContent>
  </w:sdt>
  <w:p w14:paraId="3EF8FAC0" w14:textId="77777777" w:rsidR="004022AF" w:rsidRDefault="00402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5693E" w14:textId="77777777" w:rsidR="004022AF" w:rsidRDefault="004022AF" w:rsidP="00AF174E">
      <w:pPr>
        <w:spacing w:after="0" w:line="240" w:lineRule="auto"/>
      </w:pPr>
      <w:r>
        <w:separator/>
      </w:r>
    </w:p>
  </w:footnote>
  <w:footnote w:type="continuationSeparator" w:id="0">
    <w:p w14:paraId="6E6F3B26" w14:textId="77777777" w:rsidR="004022AF" w:rsidRDefault="004022AF" w:rsidP="00AF174E">
      <w:pPr>
        <w:spacing w:after="0" w:line="240" w:lineRule="auto"/>
      </w:pPr>
      <w:r>
        <w:continuationSeparator/>
      </w:r>
    </w:p>
  </w:footnote>
  <w:footnote w:id="1">
    <w:p w14:paraId="2F3A5885" w14:textId="77777777" w:rsidR="004022AF" w:rsidRPr="00546F40" w:rsidRDefault="004022AF">
      <w:pPr>
        <w:pStyle w:val="FootnoteText"/>
        <w:rPr>
          <w:rFonts w:asciiTheme="minorHAnsi" w:hAnsiTheme="minorHAnsi" w:cstheme="minorHAnsi"/>
        </w:rPr>
      </w:pPr>
      <w:r w:rsidRPr="00546F40">
        <w:rPr>
          <w:rStyle w:val="FootnoteReference"/>
          <w:rFonts w:asciiTheme="minorHAnsi" w:hAnsiTheme="minorHAnsi" w:cstheme="minorHAnsi"/>
        </w:rPr>
        <w:footnoteRef/>
      </w:r>
      <w:r w:rsidRPr="00546F40">
        <w:rPr>
          <w:rFonts w:asciiTheme="minorHAnsi" w:hAnsiTheme="minorHAnsi" w:cstheme="minorHAnsi"/>
        </w:rPr>
        <w:t xml:space="preserve"> The methodology to calculate the stars is given in Appendix A</w:t>
      </w:r>
    </w:p>
  </w:footnote>
  <w:footnote w:id="2">
    <w:p w14:paraId="6C62A661" w14:textId="77777777" w:rsidR="004022AF" w:rsidRPr="00795EF0" w:rsidRDefault="004022AF">
      <w:pPr>
        <w:pStyle w:val="FootnoteText"/>
        <w:rPr>
          <w:rFonts w:asciiTheme="minorHAnsi" w:hAnsiTheme="minorHAnsi" w:cstheme="minorHAnsi"/>
        </w:rPr>
      </w:pPr>
      <w:r w:rsidRPr="00795EF0">
        <w:rPr>
          <w:rStyle w:val="FootnoteReference"/>
          <w:rFonts w:asciiTheme="minorHAnsi" w:hAnsiTheme="minorHAnsi" w:cstheme="minorHAnsi"/>
        </w:rPr>
        <w:footnoteRef/>
      </w:r>
      <w:r w:rsidRPr="00795EF0">
        <w:rPr>
          <w:rFonts w:asciiTheme="minorHAnsi" w:hAnsiTheme="minorHAnsi" w:cstheme="minorHAnsi"/>
        </w:rPr>
        <w:t xml:space="preserve">  As an example of the challenge in forecasting, note the significant revisions in the short period between the Commonwealth 2013–14 Budget on 14 May 2013 and the release of the Economic Statement on </w:t>
      </w:r>
      <w:r>
        <w:rPr>
          <w:rFonts w:asciiTheme="minorHAnsi" w:hAnsiTheme="minorHAnsi" w:cstheme="minorHAnsi"/>
        </w:rPr>
        <w:br/>
      </w:r>
      <w:r w:rsidRPr="00795EF0">
        <w:rPr>
          <w:rFonts w:asciiTheme="minorHAnsi" w:hAnsiTheme="minorHAnsi" w:cstheme="minorHAnsi"/>
        </w:rPr>
        <w:t>2 August 2013.</w:t>
      </w:r>
    </w:p>
  </w:footnote>
  <w:footnote w:id="3">
    <w:p w14:paraId="4F96D555" w14:textId="77777777" w:rsidR="004022AF" w:rsidRPr="00F20E38" w:rsidRDefault="004022AF" w:rsidP="00121F38">
      <w:pPr>
        <w:pStyle w:val="FootnoteText"/>
        <w:jc w:val="both"/>
        <w:rPr>
          <w:rFonts w:asciiTheme="minorHAnsi" w:hAnsiTheme="minorHAnsi" w:cstheme="minorHAnsi"/>
        </w:rPr>
      </w:pPr>
      <w:r w:rsidRPr="00F20E38">
        <w:rPr>
          <w:rStyle w:val="FootnoteReference"/>
          <w:rFonts w:asciiTheme="minorHAnsi" w:hAnsiTheme="minorHAnsi" w:cstheme="minorHAnsi"/>
        </w:rPr>
        <w:footnoteRef/>
      </w:r>
      <w:r w:rsidRPr="00F20E38">
        <w:rPr>
          <w:rFonts w:asciiTheme="minorHAnsi" w:hAnsiTheme="minorHAnsi" w:cstheme="minorHAnsi"/>
        </w:rPr>
        <w:t xml:space="preserve"> As outlined previously the DWP calculated the non-intervention performance level based on an analysis of historical job entry rates. </w:t>
      </w:r>
      <w:r>
        <w:rPr>
          <w:rFonts w:asciiTheme="minorHAnsi" w:hAnsiTheme="minorHAnsi" w:cstheme="minorHAnsi"/>
        </w:rPr>
        <w:t>This analysis has not been released by</w:t>
      </w:r>
      <w:r w:rsidRPr="00F20E38">
        <w:rPr>
          <w:rFonts w:asciiTheme="minorHAnsi" w:hAnsiTheme="minorHAnsi" w:cstheme="minorHAnsi"/>
        </w:rPr>
        <w:t xml:space="preserve"> the DWP.</w:t>
      </w:r>
    </w:p>
  </w:footnote>
  <w:footnote w:id="4">
    <w:p w14:paraId="4E74AA0B" w14:textId="77777777" w:rsidR="004022AF" w:rsidRPr="002F6A3D" w:rsidRDefault="004022AF">
      <w:pPr>
        <w:pStyle w:val="FootnoteText"/>
        <w:rPr>
          <w:rFonts w:asciiTheme="minorHAnsi" w:hAnsiTheme="minorHAnsi" w:cstheme="minorHAnsi"/>
        </w:rPr>
      </w:pPr>
      <w:r w:rsidRPr="002F6A3D">
        <w:rPr>
          <w:rStyle w:val="FootnoteReference"/>
          <w:rFonts w:asciiTheme="minorHAnsi" w:hAnsiTheme="minorHAnsi" w:cstheme="minorHAnsi"/>
        </w:rPr>
        <w:footnoteRef/>
      </w:r>
      <w:r w:rsidRPr="002F6A3D">
        <w:rPr>
          <w:rFonts w:asciiTheme="minorHAnsi" w:hAnsiTheme="minorHAnsi" w:cstheme="minorHAnsi"/>
        </w:rPr>
        <w:t xml:space="preserve"> In the </w:t>
      </w:r>
      <w:r w:rsidRPr="002F6A3D">
        <w:rPr>
          <w:rFonts w:asciiTheme="minorHAnsi" w:hAnsiTheme="minorHAnsi" w:cstheme="minorHAnsi"/>
          <w:i/>
        </w:rPr>
        <w:t xml:space="preserve">Labour Market Assistance Outcomes </w:t>
      </w:r>
      <w:r w:rsidRPr="002F6A3D">
        <w:rPr>
          <w:rFonts w:asciiTheme="minorHAnsi" w:hAnsiTheme="minorHAnsi" w:cstheme="minorHAnsi"/>
        </w:rPr>
        <w:t>report, the New Enterprise Incentive Scheme consistently reports around an 80 per cent employment rate.</w:t>
      </w:r>
    </w:p>
  </w:footnote>
  <w:footnote w:id="5">
    <w:p w14:paraId="0E4553C6" w14:textId="77777777" w:rsidR="0039746B" w:rsidRPr="005F15B1" w:rsidRDefault="0039746B" w:rsidP="005F15B1">
      <w:pPr>
        <w:autoSpaceDE w:val="0"/>
        <w:autoSpaceDN w:val="0"/>
        <w:adjustRightInd w:val="0"/>
        <w:spacing w:after="0" w:line="240" w:lineRule="auto"/>
        <w:jc w:val="both"/>
        <w:rPr>
          <w:rFonts w:cstheme="minorHAnsi"/>
          <w:sz w:val="16"/>
          <w:szCs w:val="16"/>
        </w:rPr>
      </w:pPr>
      <w:r w:rsidRPr="005F15B1">
        <w:rPr>
          <w:rStyle w:val="FootnoteReference"/>
          <w:rFonts w:cstheme="minorHAnsi"/>
          <w:sz w:val="16"/>
          <w:szCs w:val="16"/>
        </w:rPr>
        <w:footnoteRef/>
      </w:r>
      <w:r w:rsidRPr="005F15B1">
        <w:rPr>
          <w:rFonts w:cstheme="minorHAnsi"/>
          <w:sz w:val="16"/>
          <w:szCs w:val="16"/>
        </w:rPr>
        <w:t xml:space="preserve"> The Government Performance and Results </w:t>
      </w:r>
      <w:r>
        <w:rPr>
          <w:rFonts w:cstheme="minorHAnsi"/>
          <w:sz w:val="16"/>
          <w:szCs w:val="16"/>
        </w:rPr>
        <w:t xml:space="preserve">Act (GPRA) of 1993 mandated the </w:t>
      </w:r>
      <w:r w:rsidRPr="005F15B1">
        <w:rPr>
          <w:rFonts w:cstheme="minorHAnsi"/>
          <w:sz w:val="16"/>
          <w:szCs w:val="16"/>
        </w:rPr>
        <w:t>development of outcomes-based performance measurement systems</w:t>
      </w:r>
      <w:r>
        <w:rPr>
          <w:rFonts w:cstheme="minorHAnsi"/>
          <w:sz w:val="16"/>
          <w:szCs w:val="16"/>
        </w:rPr>
        <w:t xml:space="preserve"> in federal agencies, including </w:t>
      </w:r>
      <w:r w:rsidRPr="005F15B1">
        <w:rPr>
          <w:rFonts w:cstheme="minorHAnsi"/>
          <w:sz w:val="16"/>
          <w:szCs w:val="16"/>
        </w:rPr>
        <w:t>annual performance plans specifying quantitatively measurable goa</w:t>
      </w:r>
      <w:r>
        <w:rPr>
          <w:rFonts w:cstheme="minorHAnsi"/>
          <w:sz w:val="16"/>
          <w:szCs w:val="16"/>
        </w:rPr>
        <w:t xml:space="preserve">ls and levels of performance to </w:t>
      </w:r>
      <w:r w:rsidRPr="005F15B1">
        <w:rPr>
          <w:rFonts w:cstheme="minorHAnsi"/>
          <w:sz w:val="16"/>
          <w:szCs w:val="16"/>
        </w:rPr>
        <w:t>be achieved and annual reports comparing actual performance with goals.</w:t>
      </w:r>
    </w:p>
  </w:footnote>
  <w:footnote w:id="6">
    <w:p w14:paraId="4C048E55" w14:textId="77777777" w:rsidR="00902727" w:rsidRPr="007F214C" w:rsidRDefault="00902727" w:rsidP="007F214C">
      <w:pPr>
        <w:pStyle w:val="Default"/>
        <w:rPr>
          <w:rFonts w:asciiTheme="minorHAnsi" w:hAnsiTheme="minorHAnsi" w:cstheme="minorHAnsi"/>
          <w:sz w:val="16"/>
          <w:szCs w:val="16"/>
        </w:rPr>
      </w:pPr>
      <w:r w:rsidRPr="007F214C">
        <w:rPr>
          <w:rStyle w:val="FootnoteReference"/>
          <w:rFonts w:asciiTheme="minorHAnsi" w:hAnsiTheme="minorHAnsi" w:cstheme="minorHAnsi"/>
          <w:sz w:val="16"/>
          <w:szCs w:val="16"/>
        </w:rPr>
        <w:footnoteRef/>
      </w:r>
      <w:r w:rsidRPr="007F214C">
        <w:rPr>
          <w:rFonts w:asciiTheme="minorHAnsi" w:hAnsiTheme="minorHAnsi" w:cstheme="minorHAnsi"/>
          <w:sz w:val="16"/>
          <w:szCs w:val="16"/>
        </w:rPr>
        <w:t xml:space="preserve"> Workforce System Results, January 1-March 31, 2010, Employment and Training Administration, United States Department of Labor, p. 8.  </w:t>
      </w:r>
    </w:p>
  </w:footnote>
  <w:footnote w:id="7">
    <w:p w14:paraId="2C16C228" w14:textId="77777777" w:rsidR="005474D4" w:rsidRDefault="005474D4">
      <w:pPr>
        <w:pStyle w:val="FootnoteText"/>
      </w:pPr>
      <w:r>
        <w:rPr>
          <w:rStyle w:val="FootnoteReference"/>
        </w:rPr>
        <w:footnoteRef/>
      </w:r>
      <w:r>
        <w:t xml:space="preserve"> </w:t>
      </w:r>
      <w:r w:rsidRPr="002D54C4">
        <w:t>http://data.bls.gov/timeseries/LNS14000000</w:t>
      </w:r>
    </w:p>
  </w:footnote>
  <w:footnote w:id="8">
    <w:p w14:paraId="00233F0B" w14:textId="77777777" w:rsidR="005474D4" w:rsidRDefault="005474D4">
      <w:pPr>
        <w:pStyle w:val="FootnoteText"/>
      </w:pPr>
      <w:r>
        <w:rPr>
          <w:rStyle w:val="FootnoteReference"/>
        </w:rPr>
        <w:footnoteRef/>
      </w:r>
      <w:r>
        <w:t xml:space="preserve"> </w:t>
      </w:r>
      <w:r w:rsidRPr="005576C3">
        <w:t>http://www.federalreserve.gov/monetarypolicy/fomcminutes20081029ep.htm</w:t>
      </w:r>
    </w:p>
  </w:footnote>
  <w:footnote w:id="9">
    <w:p w14:paraId="5558DAD8" w14:textId="77777777" w:rsidR="004022AF" w:rsidRPr="00146DD7" w:rsidRDefault="004022AF" w:rsidP="003E2C2B">
      <w:pPr>
        <w:pStyle w:val="FootnoteText"/>
        <w:jc w:val="both"/>
        <w:rPr>
          <w:rFonts w:asciiTheme="minorHAnsi" w:hAnsiTheme="minorHAnsi" w:cstheme="minorHAnsi"/>
        </w:rPr>
      </w:pPr>
      <w:r w:rsidRPr="00146DD7">
        <w:rPr>
          <w:rStyle w:val="FootnoteReference"/>
          <w:rFonts w:asciiTheme="minorHAnsi" w:hAnsiTheme="minorHAnsi" w:cstheme="minorHAnsi"/>
        </w:rPr>
        <w:footnoteRef/>
      </w:r>
      <w:r w:rsidRPr="00146DD7">
        <w:rPr>
          <w:rFonts w:asciiTheme="minorHAnsi" w:hAnsiTheme="minorHAnsi" w:cstheme="minorHAnsi"/>
        </w:rPr>
        <w:t xml:space="preserve"> The overall ratio is a weighted average of each of the actual versus predicted ratios from the regressions of the individual outcome components.</w:t>
      </w:r>
    </w:p>
  </w:footnote>
  <w:footnote w:id="10">
    <w:p w14:paraId="4CD063A4" w14:textId="62FFBA44" w:rsidR="004022AF" w:rsidRDefault="004022AF" w:rsidP="00775FBC">
      <w:pPr>
        <w:autoSpaceDE w:val="0"/>
        <w:autoSpaceDN w:val="0"/>
        <w:adjustRightInd w:val="0"/>
        <w:jc w:val="both"/>
      </w:pPr>
      <w:r w:rsidRPr="00546F40">
        <w:rPr>
          <w:rStyle w:val="FootnoteReference"/>
          <w:rFonts w:cstheme="minorHAnsi"/>
          <w:sz w:val="20"/>
          <w:szCs w:val="20"/>
        </w:rPr>
        <w:footnoteRef/>
      </w:r>
      <w:r w:rsidRPr="00546F40">
        <w:rPr>
          <w:rFonts w:cstheme="minorHAnsi"/>
          <w:sz w:val="20"/>
          <w:szCs w:val="20"/>
        </w:rPr>
        <w:t xml:space="preserve"> See, Independent Review of the Job Network, Productivity Commission, 2001, p 11.26.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6.55pt;height:36.55pt" o:bullet="t">
        <v:imagedata r:id="rId1" o:title="provider_icon"/>
      </v:shape>
    </w:pict>
  </w:numPicBullet>
  <w:abstractNum w:abstractNumId="0" w15:restartNumberingAfterBreak="0">
    <w:nsid w:val="FFFFFF89"/>
    <w:multiLevelType w:val="singleLevel"/>
    <w:tmpl w:val="A57611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87629"/>
    <w:multiLevelType w:val="hybridMultilevel"/>
    <w:tmpl w:val="C720C7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EB02E1"/>
    <w:multiLevelType w:val="multilevel"/>
    <w:tmpl w:val="3B3C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492DA3"/>
    <w:multiLevelType w:val="hybridMultilevel"/>
    <w:tmpl w:val="A6DA7B7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9613FC"/>
    <w:multiLevelType w:val="hybridMultilevel"/>
    <w:tmpl w:val="8BE41D1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787620"/>
    <w:multiLevelType w:val="hybridMultilevel"/>
    <w:tmpl w:val="F7A4D77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6" w15:restartNumberingAfterBreak="0">
    <w:nsid w:val="1AEA4632"/>
    <w:multiLevelType w:val="hybridMultilevel"/>
    <w:tmpl w:val="51CA0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0A37F8"/>
    <w:multiLevelType w:val="hybridMultilevel"/>
    <w:tmpl w:val="D5DE1C8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EA7157"/>
    <w:multiLevelType w:val="hybridMultilevel"/>
    <w:tmpl w:val="FCD8B2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E15A2B"/>
    <w:multiLevelType w:val="multilevel"/>
    <w:tmpl w:val="03367F0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B11632F"/>
    <w:multiLevelType w:val="multilevel"/>
    <w:tmpl w:val="C096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CE0047"/>
    <w:multiLevelType w:val="hybridMultilevel"/>
    <w:tmpl w:val="8E7CD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F43E4C"/>
    <w:multiLevelType w:val="hybridMultilevel"/>
    <w:tmpl w:val="2D1A91B2"/>
    <w:lvl w:ilvl="0" w:tplc="80221C32">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6FF0FFD"/>
    <w:multiLevelType w:val="hybridMultilevel"/>
    <w:tmpl w:val="35461E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C4F6404"/>
    <w:multiLevelType w:val="hybridMultilevel"/>
    <w:tmpl w:val="5F0842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D743F1C"/>
    <w:multiLevelType w:val="hybridMultilevel"/>
    <w:tmpl w:val="A9720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885A56"/>
    <w:multiLevelType w:val="hybridMultilevel"/>
    <w:tmpl w:val="CCC42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6176C0"/>
    <w:multiLevelType w:val="hybridMultilevel"/>
    <w:tmpl w:val="017EB2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27093"/>
    <w:multiLevelType w:val="hybridMultilevel"/>
    <w:tmpl w:val="13F87E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3997F85"/>
    <w:multiLevelType w:val="hybridMultilevel"/>
    <w:tmpl w:val="BC3CC8C0"/>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462B22FF"/>
    <w:multiLevelType w:val="multilevel"/>
    <w:tmpl w:val="03367F0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B595C33"/>
    <w:multiLevelType w:val="hybridMultilevel"/>
    <w:tmpl w:val="D8B66732"/>
    <w:lvl w:ilvl="0" w:tplc="A18E52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D685B00"/>
    <w:multiLevelType w:val="hybridMultilevel"/>
    <w:tmpl w:val="B1F6D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CB1BB9"/>
    <w:multiLevelType w:val="hybridMultilevel"/>
    <w:tmpl w:val="51FEE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4918AB"/>
    <w:multiLevelType w:val="hybridMultilevel"/>
    <w:tmpl w:val="1298AC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41B5C25"/>
    <w:multiLevelType w:val="hybridMultilevel"/>
    <w:tmpl w:val="62002BA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75543"/>
    <w:multiLevelType w:val="hybridMultilevel"/>
    <w:tmpl w:val="F49E16A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7" w15:restartNumberingAfterBreak="0">
    <w:nsid w:val="5E3B3B4B"/>
    <w:multiLevelType w:val="hybridMultilevel"/>
    <w:tmpl w:val="C7B64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A60E40"/>
    <w:multiLevelType w:val="hybridMultilevel"/>
    <w:tmpl w:val="63CCF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BC01A7"/>
    <w:multiLevelType w:val="hybridMultilevel"/>
    <w:tmpl w:val="0E3A0D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46309B"/>
    <w:multiLevelType w:val="hybridMultilevel"/>
    <w:tmpl w:val="585403B6"/>
    <w:lvl w:ilvl="0" w:tplc="32207772">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6144D8"/>
    <w:multiLevelType w:val="multilevel"/>
    <w:tmpl w:val="12489778"/>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176031C"/>
    <w:multiLevelType w:val="hybridMultilevel"/>
    <w:tmpl w:val="9EF489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FA1443"/>
    <w:multiLevelType w:val="multilevel"/>
    <w:tmpl w:val="EAD6C8E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920067F"/>
    <w:multiLevelType w:val="hybridMultilevel"/>
    <w:tmpl w:val="A8C2BD70"/>
    <w:lvl w:ilvl="0" w:tplc="E8082938">
      <w:start w:val="17"/>
      <w:numFmt w:val="bullet"/>
      <w:lvlText w:val=""/>
      <w:lvlJc w:val="left"/>
      <w:pPr>
        <w:ind w:left="786" w:hanging="360"/>
      </w:pPr>
      <w:rPr>
        <w:rFonts w:ascii="Wingdings" w:eastAsiaTheme="minorHAnsi" w:hAnsi="Wingdings" w:cstheme="minorHAns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5" w15:restartNumberingAfterBreak="0">
    <w:nsid w:val="7951688D"/>
    <w:multiLevelType w:val="hybridMultilevel"/>
    <w:tmpl w:val="8850F2A8"/>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6" w15:restartNumberingAfterBreak="0">
    <w:nsid w:val="79D70ED9"/>
    <w:multiLevelType w:val="hybridMultilevel"/>
    <w:tmpl w:val="6068F9A8"/>
    <w:lvl w:ilvl="0" w:tplc="933044B8">
      <w:start w:val="1"/>
      <w:numFmt w:val="bullet"/>
      <w:lvlText w:val=""/>
      <w:lvlJc w:val="left"/>
      <w:pPr>
        <w:tabs>
          <w:tab w:val="num" w:pos="1247"/>
        </w:tabs>
        <w:ind w:left="1247" w:hanging="1247"/>
      </w:pPr>
      <w:rPr>
        <w:rFonts w:ascii="Symbol" w:hAnsi="Symbol" w:hint="default"/>
      </w:rPr>
    </w:lvl>
    <w:lvl w:ilvl="1" w:tplc="8568891E">
      <w:start w:val="3"/>
      <w:numFmt w:val="bullet"/>
      <w:lvlText w:val="-"/>
      <w:lvlJc w:val="left"/>
      <w:pPr>
        <w:tabs>
          <w:tab w:val="num" w:pos="1440"/>
        </w:tabs>
        <w:ind w:left="1440" w:hanging="360"/>
      </w:pPr>
      <w:rPr>
        <w:rFonts w:ascii="Times New Roman" w:eastAsia="Times New Roman" w:hAnsi="Times New Roman" w:cs="Times New Roman" w:hint="default"/>
      </w:rPr>
    </w:lvl>
    <w:lvl w:ilvl="2" w:tplc="933044B8">
      <w:start w:val="1"/>
      <w:numFmt w:val="bullet"/>
      <w:lvlText w:val=""/>
      <w:lvlJc w:val="left"/>
      <w:pPr>
        <w:tabs>
          <w:tab w:val="num" w:pos="3047"/>
        </w:tabs>
        <w:ind w:left="3047" w:hanging="1247"/>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4268D4"/>
    <w:multiLevelType w:val="hybridMultilevel"/>
    <w:tmpl w:val="52ECBA90"/>
    <w:lvl w:ilvl="0" w:tplc="B48CCE9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7CD84324"/>
    <w:multiLevelType w:val="hybridMultilevel"/>
    <w:tmpl w:val="2ECED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1C01FF"/>
    <w:multiLevelType w:val="multilevel"/>
    <w:tmpl w:val="03367F0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DBA12AE"/>
    <w:multiLevelType w:val="multilevel"/>
    <w:tmpl w:val="B36CB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30"/>
  </w:num>
  <w:num w:numId="3">
    <w:abstractNumId w:val="8"/>
  </w:num>
  <w:num w:numId="4">
    <w:abstractNumId w:val="25"/>
  </w:num>
  <w:num w:numId="5">
    <w:abstractNumId w:val="3"/>
  </w:num>
  <w:num w:numId="6">
    <w:abstractNumId w:val="4"/>
  </w:num>
  <w:num w:numId="7">
    <w:abstractNumId w:val="32"/>
  </w:num>
  <w:num w:numId="8">
    <w:abstractNumId w:val="12"/>
  </w:num>
  <w:num w:numId="9">
    <w:abstractNumId w:val="17"/>
  </w:num>
  <w:num w:numId="10">
    <w:abstractNumId w:val="40"/>
  </w:num>
  <w:num w:numId="11">
    <w:abstractNumId w:val="5"/>
  </w:num>
  <w:num w:numId="12">
    <w:abstractNumId w:val="26"/>
  </w:num>
  <w:num w:numId="13">
    <w:abstractNumId w:val="23"/>
  </w:num>
  <w:num w:numId="14">
    <w:abstractNumId w:val="28"/>
  </w:num>
  <w:num w:numId="15">
    <w:abstractNumId w:val="11"/>
  </w:num>
  <w:num w:numId="16">
    <w:abstractNumId w:val="31"/>
  </w:num>
  <w:num w:numId="17">
    <w:abstractNumId w:val="36"/>
  </w:num>
  <w:num w:numId="18">
    <w:abstractNumId w:val="0"/>
  </w:num>
  <w:num w:numId="19">
    <w:abstractNumId w:val="33"/>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
  </w:num>
  <w:num w:numId="23">
    <w:abstractNumId w:val="29"/>
  </w:num>
  <w:num w:numId="24">
    <w:abstractNumId w:val="1"/>
  </w:num>
  <w:num w:numId="25">
    <w:abstractNumId w:val="27"/>
  </w:num>
  <w:num w:numId="26">
    <w:abstractNumId w:val="38"/>
  </w:num>
  <w:num w:numId="27">
    <w:abstractNumId w:val="15"/>
  </w:num>
  <w:num w:numId="28">
    <w:abstractNumId w:val="20"/>
  </w:num>
  <w:num w:numId="29">
    <w:abstractNumId w:val="9"/>
  </w:num>
  <w:num w:numId="30">
    <w:abstractNumId w:val="39"/>
  </w:num>
  <w:num w:numId="31">
    <w:abstractNumId w:val="6"/>
  </w:num>
  <w:num w:numId="32">
    <w:abstractNumId w:val="24"/>
  </w:num>
  <w:num w:numId="33">
    <w:abstractNumId w:val="10"/>
  </w:num>
  <w:num w:numId="34">
    <w:abstractNumId w:val="16"/>
  </w:num>
  <w:num w:numId="35">
    <w:abstractNumId w:val="18"/>
  </w:num>
  <w:num w:numId="36">
    <w:abstractNumId w:val="22"/>
  </w:num>
  <w:num w:numId="37">
    <w:abstractNumId w:val="7"/>
  </w:num>
  <w:num w:numId="38">
    <w:abstractNumId w:val="21"/>
  </w:num>
  <w:num w:numId="39">
    <w:abstractNumId w:val="37"/>
  </w:num>
  <w:num w:numId="40">
    <w:abstractNumId w:val="13"/>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DE1077"/>
    <w:rsid w:val="00000134"/>
    <w:rsid w:val="00001260"/>
    <w:rsid w:val="00004C46"/>
    <w:rsid w:val="00006144"/>
    <w:rsid w:val="0000738C"/>
    <w:rsid w:val="00007A35"/>
    <w:rsid w:val="00011653"/>
    <w:rsid w:val="0001301D"/>
    <w:rsid w:val="00015E45"/>
    <w:rsid w:val="00015F87"/>
    <w:rsid w:val="0001649B"/>
    <w:rsid w:val="00017C50"/>
    <w:rsid w:val="00022CD8"/>
    <w:rsid w:val="000257F7"/>
    <w:rsid w:val="00026F90"/>
    <w:rsid w:val="0002706E"/>
    <w:rsid w:val="00027114"/>
    <w:rsid w:val="00027302"/>
    <w:rsid w:val="000350D6"/>
    <w:rsid w:val="00035796"/>
    <w:rsid w:val="000361AF"/>
    <w:rsid w:val="0003758E"/>
    <w:rsid w:val="00042B59"/>
    <w:rsid w:val="00042DB1"/>
    <w:rsid w:val="00044307"/>
    <w:rsid w:val="00047D8D"/>
    <w:rsid w:val="000563C4"/>
    <w:rsid w:val="00070B9F"/>
    <w:rsid w:val="00074579"/>
    <w:rsid w:val="000752B7"/>
    <w:rsid w:val="00081D71"/>
    <w:rsid w:val="00085A64"/>
    <w:rsid w:val="00085DD1"/>
    <w:rsid w:val="00092B30"/>
    <w:rsid w:val="00094833"/>
    <w:rsid w:val="000964DB"/>
    <w:rsid w:val="000966F2"/>
    <w:rsid w:val="000A076C"/>
    <w:rsid w:val="000A2152"/>
    <w:rsid w:val="000A2AD5"/>
    <w:rsid w:val="000A36F0"/>
    <w:rsid w:val="000A397B"/>
    <w:rsid w:val="000A3B05"/>
    <w:rsid w:val="000A4BBC"/>
    <w:rsid w:val="000A5EFC"/>
    <w:rsid w:val="000B19C5"/>
    <w:rsid w:val="000B1BFD"/>
    <w:rsid w:val="000B1ECE"/>
    <w:rsid w:val="000B3523"/>
    <w:rsid w:val="000B779B"/>
    <w:rsid w:val="000B7F7F"/>
    <w:rsid w:val="000C14FF"/>
    <w:rsid w:val="000C1599"/>
    <w:rsid w:val="000C3F79"/>
    <w:rsid w:val="000C51FB"/>
    <w:rsid w:val="000C5754"/>
    <w:rsid w:val="000C75D3"/>
    <w:rsid w:val="000C78AB"/>
    <w:rsid w:val="000D0306"/>
    <w:rsid w:val="000D157B"/>
    <w:rsid w:val="000E0CC6"/>
    <w:rsid w:val="000E1E93"/>
    <w:rsid w:val="000E1F24"/>
    <w:rsid w:val="000E2283"/>
    <w:rsid w:val="000E23E8"/>
    <w:rsid w:val="000E3196"/>
    <w:rsid w:val="000E3FF1"/>
    <w:rsid w:val="000E410D"/>
    <w:rsid w:val="000E5967"/>
    <w:rsid w:val="000E607B"/>
    <w:rsid w:val="000E650E"/>
    <w:rsid w:val="000E7666"/>
    <w:rsid w:val="000F026C"/>
    <w:rsid w:val="000F0839"/>
    <w:rsid w:val="000F0D0B"/>
    <w:rsid w:val="000F4593"/>
    <w:rsid w:val="000F79AC"/>
    <w:rsid w:val="00100B77"/>
    <w:rsid w:val="00102939"/>
    <w:rsid w:val="0010333F"/>
    <w:rsid w:val="00103D67"/>
    <w:rsid w:val="001058A1"/>
    <w:rsid w:val="0011057D"/>
    <w:rsid w:val="001119B0"/>
    <w:rsid w:val="00112251"/>
    <w:rsid w:val="001138F5"/>
    <w:rsid w:val="00114CC7"/>
    <w:rsid w:val="0012047C"/>
    <w:rsid w:val="00121F38"/>
    <w:rsid w:val="00122F4B"/>
    <w:rsid w:val="00124519"/>
    <w:rsid w:val="0012686D"/>
    <w:rsid w:val="00126E7F"/>
    <w:rsid w:val="00127754"/>
    <w:rsid w:val="00133F85"/>
    <w:rsid w:val="00134DDA"/>
    <w:rsid w:val="0013694B"/>
    <w:rsid w:val="001420FA"/>
    <w:rsid w:val="00143503"/>
    <w:rsid w:val="00144292"/>
    <w:rsid w:val="0014485D"/>
    <w:rsid w:val="00146DD7"/>
    <w:rsid w:val="00150E30"/>
    <w:rsid w:val="00152737"/>
    <w:rsid w:val="00153B50"/>
    <w:rsid w:val="00153C3E"/>
    <w:rsid w:val="00154839"/>
    <w:rsid w:val="00155123"/>
    <w:rsid w:val="0016071C"/>
    <w:rsid w:val="00161902"/>
    <w:rsid w:val="001629AC"/>
    <w:rsid w:val="00163106"/>
    <w:rsid w:val="00165065"/>
    <w:rsid w:val="0016556B"/>
    <w:rsid w:val="0016645F"/>
    <w:rsid w:val="00166A8D"/>
    <w:rsid w:val="00167861"/>
    <w:rsid w:val="00170498"/>
    <w:rsid w:val="00170754"/>
    <w:rsid w:val="00172613"/>
    <w:rsid w:val="00172EE6"/>
    <w:rsid w:val="001742B3"/>
    <w:rsid w:val="00174A42"/>
    <w:rsid w:val="00175751"/>
    <w:rsid w:val="00176552"/>
    <w:rsid w:val="0018167B"/>
    <w:rsid w:val="0018171C"/>
    <w:rsid w:val="00181ED6"/>
    <w:rsid w:val="00183554"/>
    <w:rsid w:val="0018370F"/>
    <w:rsid w:val="0018468F"/>
    <w:rsid w:val="001848D8"/>
    <w:rsid w:val="00184F94"/>
    <w:rsid w:val="00185C1D"/>
    <w:rsid w:val="001876B1"/>
    <w:rsid w:val="00190051"/>
    <w:rsid w:val="00193E51"/>
    <w:rsid w:val="00194A64"/>
    <w:rsid w:val="00195379"/>
    <w:rsid w:val="001A4745"/>
    <w:rsid w:val="001A66A9"/>
    <w:rsid w:val="001B02C8"/>
    <w:rsid w:val="001B3BAD"/>
    <w:rsid w:val="001B647D"/>
    <w:rsid w:val="001B70DB"/>
    <w:rsid w:val="001C0EB2"/>
    <w:rsid w:val="001C1805"/>
    <w:rsid w:val="001C3C59"/>
    <w:rsid w:val="001C57A7"/>
    <w:rsid w:val="001D03DE"/>
    <w:rsid w:val="001D041E"/>
    <w:rsid w:val="001D04A7"/>
    <w:rsid w:val="001D1C5D"/>
    <w:rsid w:val="001D3D97"/>
    <w:rsid w:val="001D49AC"/>
    <w:rsid w:val="001D49FC"/>
    <w:rsid w:val="001D4D85"/>
    <w:rsid w:val="001D6AA3"/>
    <w:rsid w:val="001D6B9E"/>
    <w:rsid w:val="001E2019"/>
    <w:rsid w:val="001E5F7C"/>
    <w:rsid w:val="001E6668"/>
    <w:rsid w:val="001E6FE9"/>
    <w:rsid w:val="001F4320"/>
    <w:rsid w:val="001F47AF"/>
    <w:rsid w:val="001F5E77"/>
    <w:rsid w:val="001F6696"/>
    <w:rsid w:val="001F6B96"/>
    <w:rsid w:val="00200D04"/>
    <w:rsid w:val="0020127E"/>
    <w:rsid w:val="0020240C"/>
    <w:rsid w:val="0020746E"/>
    <w:rsid w:val="00212E16"/>
    <w:rsid w:val="002138AA"/>
    <w:rsid w:val="002160AF"/>
    <w:rsid w:val="0021758A"/>
    <w:rsid w:val="0022059F"/>
    <w:rsid w:val="00220B77"/>
    <w:rsid w:val="00221DE0"/>
    <w:rsid w:val="00224DF1"/>
    <w:rsid w:val="0022569E"/>
    <w:rsid w:val="002302F6"/>
    <w:rsid w:val="00233FAD"/>
    <w:rsid w:val="00234842"/>
    <w:rsid w:val="002366F4"/>
    <w:rsid w:val="00237376"/>
    <w:rsid w:val="00241210"/>
    <w:rsid w:val="002413EA"/>
    <w:rsid w:val="0024412D"/>
    <w:rsid w:val="00245B50"/>
    <w:rsid w:val="00246007"/>
    <w:rsid w:val="00250DA7"/>
    <w:rsid w:val="00251E87"/>
    <w:rsid w:val="00252ED9"/>
    <w:rsid w:val="00256A80"/>
    <w:rsid w:val="00257F82"/>
    <w:rsid w:val="00260A49"/>
    <w:rsid w:val="00260C54"/>
    <w:rsid w:val="00261170"/>
    <w:rsid w:val="0026149A"/>
    <w:rsid w:val="00261B3C"/>
    <w:rsid w:val="00261C04"/>
    <w:rsid w:val="00262E98"/>
    <w:rsid w:val="00263EB5"/>
    <w:rsid w:val="00264B03"/>
    <w:rsid w:val="00265E83"/>
    <w:rsid w:val="00270C25"/>
    <w:rsid w:val="0027136C"/>
    <w:rsid w:val="0027179A"/>
    <w:rsid w:val="002755CF"/>
    <w:rsid w:val="00276628"/>
    <w:rsid w:val="0027788C"/>
    <w:rsid w:val="00283967"/>
    <w:rsid w:val="002860FC"/>
    <w:rsid w:val="00286777"/>
    <w:rsid w:val="0028743A"/>
    <w:rsid w:val="002912D0"/>
    <w:rsid w:val="00297B46"/>
    <w:rsid w:val="002A5280"/>
    <w:rsid w:val="002A541F"/>
    <w:rsid w:val="002A6050"/>
    <w:rsid w:val="002B0D8B"/>
    <w:rsid w:val="002B0E34"/>
    <w:rsid w:val="002B1792"/>
    <w:rsid w:val="002B6AC8"/>
    <w:rsid w:val="002B6CEC"/>
    <w:rsid w:val="002B7585"/>
    <w:rsid w:val="002B75AB"/>
    <w:rsid w:val="002C00A1"/>
    <w:rsid w:val="002C1139"/>
    <w:rsid w:val="002C1F52"/>
    <w:rsid w:val="002C2832"/>
    <w:rsid w:val="002C2F2E"/>
    <w:rsid w:val="002C6701"/>
    <w:rsid w:val="002C6713"/>
    <w:rsid w:val="002D0899"/>
    <w:rsid w:val="002D10AB"/>
    <w:rsid w:val="002D1219"/>
    <w:rsid w:val="002D54C4"/>
    <w:rsid w:val="002D6723"/>
    <w:rsid w:val="002D7416"/>
    <w:rsid w:val="002D7E2F"/>
    <w:rsid w:val="002E1580"/>
    <w:rsid w:val="002E2B83"/>
    <w:rsid w:val="002E376D"/>
    <w:rsid w:val="002E3D78"/>
    <w:rsid w:val="002E45D1"/>
    <w:rsid w:val="002E5941"/>
    <w:rsid w:val="002E5EFC"/>
    <w:rsid w:val="002F1F9F"/>
    <w:rsid w:val="002F303F"/>
    <w:rsid w:val="002F3190"/>
    <w:rsid w:val="002F6A3D"/>
    <w:rsid w:val="003039E2"/>
    <w:rsid w:val="003056B5"/>
    <w:rsid w:val="00305E38"/>
    <w:rsid w:val="003067C9"/>
    <w:rsid w:val="003106A9"/>
    <w:rsid w:val="003112F0"/>
    <w:rsid w:val="00311755"/>
    <w:rsid w:val="00311F62"/>
    <w:rsid w:val="0031243C"/>
    <w:rsid w:val="00312ADB"/>
    <w:rsid w:val="00314E03"/>
    <w:rsid w:val="00315A3B"/>
    <w:rsid w:val="00321B37"/>
    <w:rsid w:val="0032246D"/>
    <w:rsid w:val="00322964"/>
    <w:rsid w:val="00322B4A"/>
    <w:rsid w:val="003240D3"/>
    <w:rsid w:val="00326C47"/>
    <w:rsid w:val="003300F6"/>
    <w:rsid w:val="00334046"/>
    <w:rsid w:val="003345DD"/>
    <w:rsid w:val="003348D8"/>
    <w:rsid w:val="00335BEC"/>
    <w:rsid w:val="0034092E"/>
    <w:rsid w:val="003439C6"/>
    <w:rsid w:val="00343D54"/>
    <w:rsid w:val="00344F6D"/>
    <w:rsid w:val="00345342"/>
    <w:rsid w:val="00346BCA"/>
    <w:rsid w:val="00347BA5"/>
    <w:rsid w:val="00347D89"/>
    <w:rsid w:val="003527F9"/>
    <w:rsid w:val="00352AB7"/>
    <w:rsid w:val="00356E21"/>
    <w:rsid w:val="00357984"/>
    <w:rsid w:val="00357C30"/>
    <w:rsid w:val="00360BFE"/>
    <w:rsid w:val="0036177C"/>
    <w:rsid w:val="00362AE7"/>
    <w:rsid w:val="00363416"/>
    <w:rsid w:val="00367750"/>
    <w:rsid w:val="00367C5E"/>
    <w:rsid w:val="00367CB8"/>
    <w:rsid w:val="00367CC3"/>
    <w:rsid w:val="003711D0"/>
    <w:rsid w:val="00371C42"/>
    <w:rsid w:val="00373338"/>
    <w:rsid w:val="00373789"/>
    <w:rsid w:val="00375201"/>
    <w:rsid w:val="003800D1"/>
    <w:rsid w:val="00380159"/>
    <w:rsid w:val="0038211A"/>
    <w:rsid w:val="0038223E"/>
    <w:rsid w:val="00383594"/>
    <w:rsid w:val="00383B3D"/>
    <w:rsid w:val="003842A7"/>
    <w:rsid w:val="00385100"/>
    <w:rsid w:val="00385E56"/>
    <w:rsid w:val="00387457"/>
    <w:rsid w:val="0039277C"/>
    <w:rsid w:val="00392954"/>
    <w:rsid w:val="00396577"/>
    <w:rsid w:val="0039746B"/>
    <w:rsid w:val="00397AB0"/>
    <w:rsid w:val="00397C4F"/>
    <w:rsid w:val="003A0916"/>
    <w:rsid w:val="003A17F6"/>
    <w:rsid w:val="003A2A23"/>
    <w:rsid w:val="003A726C"/>
    <w:rsid w:val="003B00D8"/>
    <w:rsid w:val="003B3A48"/>
    <w:rsid w:val="003B59E6"/>
    <w:rsid w:val="003B5F1A"/>
    <w:rsid w:val="003C50EE"/>
    <w:rsid w:val="003C6514"/>
    <w:rsid w:val="003C775A"/>
    <w:rsid w:val="003C79DE"/>
    <w:rsid w:val="003D0934"/>
    <w:rsid w:val="003D3500"/>
    <w:rsid w:val="003D5588"/>
    <w:rsid w:val="003D594C"/>
    <w:rsid w:val="003D65B7"/>
    <w:rsid w:val="003E26BA"/>
    <w:rsid w:val="003E2C2B"/>
    <w:rsid w:val="003E4036"/>
    <w:rsid w:val="003E6768"/>
    <w:rsid w:val="003E73D6"/>
    <w:rsid w:val="003E7571"/>
    <w:rsid w:val="003E7B7B"/>
    <w:rsid w:val="003F5441"/>
    <w:rsid w:val="003F6935"/>
    <w:rsid w:val="0040103F"/>
    <w:rsid w:val="004022AF"/>
    <w:rsid w:val="004028D6"/>
    <w:rsid w:val="00404FA6"/>
    <w:rsid w:val="0040579A"/>
    <w:rsid w:val="00405948"/>
    <w:rsid w:val="00406AD2"/>
    <w:rsid w:val="00412CEB"/>
    <w:rsid w:val="00414917"/>
    <w:rsid w:val="0042222B"/>
    <w:rsid w:val="00424101"/>
    <w:rsid w:val="0042480C"/>
    <w:rsid w:val="00432B58"/>
    <w:rsid w:val="00435F48"/>
    <w:rsid w:val="00441068"/>
    <w:rsid w:val="00441956"/>
    <w:rsid w:val="0044226A"/>
    <w:rsid w:val="00444577"/>
    <w:rsid w:val="0044500F"/>
    <w:rsid w:val="00447DCC"/>
    <w:rsid w:val="00450348"/>
    <w:rsid w:val="004505EF"/>
    <w:rsid w:val="00453A84"/>
    <w:rsid w:val="00456870"/>
    <w:rsid w:val="004568C8"/>
    <w:rsid w:val="00456F49"/>
    <w:rsid w:val="00457E40"/>
    <w:rsid w:val="00463A0B"/>
    <w:rsid w:val="00464CAF"/>
    <w:rsid w:val="004675D3"/>
    <w:rsid w:val="00472EBD"/>
    <w:rsid w:val="0047555F"/>
    <w:rsid w:val="004758B1"/>
    <w:rsid w:val="004770D5"/>
    <w:rsid w:val="0048327A"/>
    <w:rsid w:val="004847CA"/>
    <w:rsid w:val="004917DE"/>
    <w:rsid w:val="00492DA1"/>
    <w:rsid w:val="00494E72"/>
    <w:rsid w:val="004965EC"/>
    <w:rsid w:val="0049698B"/>
    <w:rsid w:val="004978DF"/>
    <w:rsid w:val="004A02CD"/>
    <w:rsid w:val="004A0EA2"/>
    <w:rsid w:val="004A15D9"/>
    <w:rsid w:val="004A22A5"/>
    <w:rsid w:val="004A2F68"/>
    <w:rsid w:val="004A45C2"/>
    <w:rsid w:val="004A5C0B"/>
    <w:rsid w:val="004A7BA0"/>
    <w:rsid w:val="004B1BDE"/>
    <w:rsid w:val="004B3337"/>
    <w:rsid w:val="004B7985"/>
    <w:rsid w:val="004C10C2"/>
    <w:rsid w:val="004C4AD1"/>
    <w:rsid w:val="004C4D9A"/>
    <w:rsid w:val="004C511B"/>
    <w:rsid w:val="004D0C7A"/>
    <w:rsid w:val="004D13A2"/>
    <w:rsid w:val="004D20C8"/>
    <w:rsid w:val="004D3146"/>
    <w:rsid w:val="004D4282"/>
    <w:rsid w:val="004D473B"/>
    <w:rsid w:val="004E0DA4"/>
    <w:rsid w:val="004E1084"/>
    <w:rsid w:val="004E2BC0"/>
    <w:rsid w:val="004E32CA"/>
    <w:rsid w:val="004E3435"/>
    <w:rsid w:val="004E3AB3"/>
    <w:rsid w:val="004E4C63"/>
    <w:rsid w:val="004E4F47"/>
    <w:rsid w:val="004E59CE"/>
    <w:rsid w:val="004E7A7B"/>
    <w:rsid w:val="004E7EB2"/>
    <w:rsid w:val="004F0991"/>
    <w:rsid w:val="004F25B7"/>
    <w:rsid w:val="004F3287"/>
    <w:rsid w:val="004F34F9"/>
    <w:rsid w:val="00502452"/>
    <w:rsid w:val="00502B9D"/>
    <w:rsid w:val="00503D22"/>
    <w:rsid w:val="005040FB"/>
    <w:rsid w:val="005046C9"/>
    <w:rsid w:val="00507A67"/>
    <w:rsid w:val="005130F0"/>
    <w:rsid w:val="005135AB"/>
    <w:rsid w:val="005143AE"/>
    <w:rsid w:val="00515891"/>
    <w:rsid w:val="005167F5"/>
    <w:rsid w:val="00516AB9"/>
    <w:rsid w:val="00523394"/>
    <w:rsid w:val="005248C0"/>
    <w:rsid w:val="00530974"/>
    <w:rsid w:val="00530C4E"/>
    <w:rsid w:val="00530DCF"/>
    <w:rsid w:val="00532882"/>
    <w:rsid w:val="0053379C"/>
    <w:rsid w:val="00535428"/>
    <w:rsid w:val="00536036"/>
    <w:rsid w:val="00536445"/>
    <w:rsid w:val="00537C49"/>
    <w:rsid w:val="00542A18"/>
    <w:rsid w:val="00543434"/>
    <w:rsid w:val="00543D99"/>
    <w:rsid w:val="005462BA"/>
    <w:rsid w:val="00546F40"/>
    <w:rsid w:val="005474D4"/>
    <w:rsid w:val="00551438"/>
    <w:rsid w:val="00554ED8"/>
    <w:rsid w:val="005551D8"/>
    <w:rsid w:val="00555FAB"/>
    <w:rsid w:val="005576C3"/>
    <w:rsid w:val="00557DDB"/>
    <w:rsid w:val="0056186F"/>
    <w:rsid w:val="0056284D"/>
    <w:rsid w:val="005703B8"/>
    <w:rsid w:val="00571012"/>
    <w:rsid w:val="005729EB"/>
    <w:rsid w:val="005753D6"/>
    <w:rsid w:val="005761A3"/>
    <w:rsid w:val="00576CEA"/>
    <w:rsid w:val="005803E9"/>
    <w:rsid w:val="00583688"/>
    <w:rsid w:val="00584605"/>
    <w:rsid w:val="00584727"/>
    <w:rsid w:val="00587743"/>
    <w:rsid w:val="00587D66"/>
    <w:rsid w:val="00591253"/>
    <w:rsid w:val="00591E03"/>
    <w:rsid w:val="005944E5"/>
    <w:rsid w:val="0059681A"/>
    <w:rsid w:val="005968D1"/>
    <w:rsid w:val="00597236"/>
    <w:rsid w:val="005A059D"/>
    <w:rsid w:val="005A205E"/>
    <w:rsid w:val="005A3344"/>
    <w:rsid w:val="005A3C97"/>
    <w:rsid w:val="005A3F8F"/>
    <w:rsid w:val="005A44FB"/>
    <w:rsid w:val="005A4D4E"/>
    <w:rsid w:val="005A6042"/>
    <w:rsid w:val="005A768F"/>
    <w:rsid w:val="005B1EA6"/>
    <w:rsid w:val="005B4F89"/>
    <w:rsid w:val="005B5324"/>
    <w:rsid w:val="005B6572"/>
    <w:rsid w:val="005C13B0"/>
    <w:rsid w:val="005C4AD2"/>
    <w:rsid w:val="005C74F9"/>
    <w:rsid w:val="005D2D81"/>
    <w:rsid w:val="005D342B"/>
    <w:rsid w:val="005D3AE9"/>
    <w:rsid w:val="005D52E8"/>
    <w:rsid w:val="005D5C49"/>
    <w:rsid w:val="005D68E8"/>
    <w:rsid w:val="005E1164"/>
    <w:rsid w:val="005E16CA"/>
    <w:rsid w:val="005E21AC"/>
    <w:rsid w:val="005E4AB0"/>
    <w:rsid w:val="005E5B46"/>
    <w:rsid w:val="005F0538"/>
    <w:rsid w:val="005F15B1"/>
    <w:rsid w:val="005F5DDD"/>
    <w:rsid w:val="005F5E54"/>
    <w:rsid w:val="005F6644"/>
    <w:rsid w:val="005F714C"/>
    <w:rsid w:val="005F7D35"/>
    <w:rsid w:val="00600201"/>
    <w:rsid w:val="006005EE"/>
    <w:rsid w:val="006037D2"/>
    <w:rsid w:val="00606DDA"/>
    <w:rsid w:val="00610C80"/>
    <w:rsid w:val="00611146"/>
    <w:rsid w:val="00613AB8"/>
    <w:rsid w:val="00614C03"/>
    <w:rsid w:val="00617585"/>
    <w:rsid w:val="0062114E"/>
    <w:rsid w:val="00622D15"/>
    <w:rsid w:val="00623987"/>
    <w:rsid w:val="00625540"/>
    <w:rsid w:val="006345F0"/>
    <w:rsid w:val="006345F7"/>
    <w:rsid w:val="006355A2"/>
    <w:rsid w:val="006373E8"/>
    <w:rsid w:val="0064197A"/>
    <w:rsid w:val="0064265E"/>
    <w:rsid w:val="006516C7"/>
    <w:rsid w:val="00651869"/>
    <w:rsid w:val="006527EF"/>
    <w:rsid w:val="00653DE6"/>
    <w:rsid w:val="00657701"/>
    <w:rsid w:val="00661186"/>
    <w:rsid w:val="00666790"/>
    <w:rsid w:val="00666D8A"/>
    <w:rsid w:val="00670BCD"/>
    <w:rsid w:val="00672C43"/>
    <w:rsid w:val="006752C1"/>
    <w:rsid w:val="0068288B"/>
    <w:rsid w:val="0068554C"/>
    <w:rsid w:val="00685A73"/>
    <w:rsid w:val="00685DCD"/>
    <w:rsid w:val="00685DEA"/>
    <w:rsid w:val="00690887"/>
    <w:rsid w:val="00690F76"/>
    <w:rsid w:val="00691152"/>
    <w:rsid w:val="006917D2"/>
    <w:rsid w:val="00692186"/>
    <w:rsid w:val="00692AEC"/>
    <w:rsid w:val="00693398"/>
    <w:rsid w:val="00693FDE"/>
    <w:rsid w:val="00695D31"/>
    <w:rsid w:val="006A1281"/>
    <w:rsid w:val="006A1B48"/>
    <w:rsid w:val="006A68B5"/>
    <w:rsid w:val="006A76C4"/>
    <w:rsid w:val="006B1899"/>
    <w:rsid w:val="006B36C7"/>
    <w:rsid w:val="006B4782"/>
    <w:rsid w:val="006B4CCF"/>
    <w:rsid w:val="006C0207"/>
    <w:rsid w:val="006C2DF1"/>
    <w:rsid w:val="006D0D22"/>
    <w:rsid w:val="006D0D7A"/>
    <w:rsid w:val="006D3397"/>
    <w:rsid w:val="006D4100"/>
    <w:rsid w:val="006E27A9"/>
    <w:rsid w:val="006E3C00"/>
    <w:rsid w:val="006E6EAA"/>
    <w:rsid w:val="006E7987"/>
    <w:rsid w:val="006F0F71"/>
    <w:rsid w:val="006F191B"/>
    <w:rsid w:val="006F44C4"/>
    <w:rsid w:val="006F4A33"/>
    <w:rsid w:val="006F5CA6"/>
    <w:rsid w:val="006F62D1"/>
    <w:rsid w:val="006F6B97"/>
    <w:rsid w:val="0070041D"/>
    <w:rsid w:val="0070074A"/>
    <w:rsid w:val="0070257E"/>
    <w:rsid w:val="007025E7"/>
    <w:rsid w:val="00706A50"/>
    <w:rsid w:val="007112A6"/>
    <w:rsid w:val="00712F2B"/>
    <w:rsid w:val="0072051D"/>
    <w:rsid w:val="007216C5"/>
    <w:rsid w:val="00726265"/>
    <w:rsid w:val="007265DE"/>
    <w:rsid w:val="00727C52"/>
    <w:rsid w:val="0073057D"/>
    <w:rsid w:val="00733695"/>
    <w:rsid w:val="007341FA"/>
    <w:rsid w:val="0073639B"/>
    <w:rsid w:val="0073734F"/>
    <w:rsid w:val="00737EFD"/>
    <w:rsid w:val="00742B54"/>
    <w:rsid w:val="0074301C"/>
    <w:rsid w:val="0074337F"/>
    <w:rsid w:val="00746592"/>
    <w:rsid w:val="00751580"/>
    <w:rsid w:val="007526F3"/>
    <w:rsid w:val="007555A2"/>
    <w:rsid w:val="00757796"/>
    <w:rsid w:val="00760F8C"/>
    <w:rsid w:val="00761F15"/>
    <w:rsid w:val="007635F0"/>
    <w:rsid w:val="00764B29"/>
    <w:rsid w:val="00765652"/>
    <w:rsid w:val="007657B0"/>
    <w:rsid w:val="00765965"/>
    <w:rsid w:val="00765C13"/>
    <w:rsid w:val="0076638C"/>
    <w:rsid w:val="007669EC"/>
    <w:rsid w:val="00767CAA"/>
    <w:rsid w:val="007728CC"/>
    <w:rsid w:val="00773B53"/>
    <w:rsid w:val="00775FBC"/>
    <w:rsid w:val="0077737E"/>
    <w:rsid w:val="00780F83"/>
    <w:rsid w:val="00781FDA"/>
    <w:rsid w:val="00784659"/>
    <w:rsid w:val="00785721"/>
    <w:rsid w:val="00786388"/>
    <w:rsid w:val="00786A26"/>
    <w:rsid w:val="007878D5"/>
    <w:rsid w:val="00790B18"/>
    <w:rsid w:val="0079266A"/>
    <w:rsid w:val="007957F5"/>
    <w:rsid w:val="0079588E"/>
    <w:rsid w:val="00795EF0"/>
    <w:rsid w:val="007A0226"/>
    <w:rsid w:val="007A0827"/>
    <w:rsid w:val="007B07D4"/>
    <w:rsid w:val="007B1018"/>
    <w:rsid w:val="007B181B"/>
    <w:rsid w:val="007B2B78"/>
    <w:rsid w:val="007B2E1E"/>
    <w:rsid w:val="007B3847"/>
    <w:rsid w:val="007B54EB"/>
    <w:rsid w:val="007B72D5"/>
    <w:rsid w:val="007B750D"/>
    <w:rsid w:val="007B7A92"/>
    <w:rsid w:val="007B7AA8"/>
    <w:rsid w:val="007C23C7"/>
    <w:rsid w:val="007C3A98"/>
    <w:rsid w:val="007C3F14"/>
    <w:rsid w:val="007C4718"/>
    <w:rsid w:val="007C5752"/>
    <w:rsid w:val="007C57D3"/>
    <w:rsid w:val="007C657D"/>
    <w:rsid w:val="007D3594"/>
    <w:rsid w:val="007D683E"/>
    <w:rsid w:val="007E1DF2"/>
    <w:rsid w:val="007E1E98"/>
    <w:rsid w:val="007E262B"/>
    <w:rsid w:val="007E2E5B"/>
    <w:rsid w:val="007E4E9F"/>
    <w:rsid w:val="007E713F"/>
    <w:rsid w:val="007F107B"/>
    <w:rsid w:val="007F214C"/>
    <w:rsid w:val="007F2DB5"/>
    <w:rsid w:val="007F2F9A"/>
    <w:rsid w:val="007F34D5"/>
    <w:rsid w:val="007F3907"/>
    <w:rsid w:val="007F3AEA"/>
    <w:rsid w:val="007F5880"/>
    <w:rsid w:val="007F7898"/>
    <w:rsid w:val="0080069B"/>
    <w:rsid w:val="00803498"/>
    <w:rsid w:val="00803C0F"/>
    <w:rsid w:val="00804261"/>
    <w:rsid w:val="008056CD"/>
    <w:rsid w:val="00805D5D"/>
    <w:rsid w:val="00810AA4"/>
    <w:rsid w:val="008116F9"/>
    <w:rsid w:val="00811C53"/>
    <w:rsid w:val="00811F1E"/>
    <w:rsid w:val="0081318C"/>
    <w:rsid w:val="008133B5"/>
    <w:rsid w:val="00816810"/>
    <w:rsid w:val="0082154E"/>
    <w:rsid w:val="00821965"/>
    <w:rsid w:val="00824842"/>
    <w:rsid w:val="00826640"/>
    <w:rsid w:val="00826B69"/>
    <w:rsid w:val="0083156E"/>
    <w:rsid w:val="00832A94"/>
    <w:rsid w:val="0083330C"/>
    <w:rsid w:val="00834EBB"/>
    <w:rsid w:val="00837D9F"/>
    <w:rsid w:val="00841B35"/>
    <w:rsid w:val="008465F8"/>
    <w:rsid w:val="00847B9D"/>
    <w:rsid w:val="00847F5E"/>
    <w:rsid w:val="008501CC"/>
    <w:rsid w:val="00850D8E"/>
    <w:rsid w:val="0085142F"/>
    <w:rsid w:val="0085248B"/>
    <w:rsid w:val="00853B4F"/>
    <w:rsid w:val="008543BF"/>
    <w:rsid w:val="00855223"/>
    <w:rsid w:val="00860FFE"/>
    <w:rsid w:val="00862E94"/>
    <w:rsid w:val="00862FC2"/>
    <w:rsid w:val="00862FF6"/>
    <w:rsid w:val="00870377"/>
    <w:rsid w:val="00870A12"/>
    <w:rsid w:val="00870C88"/>
    <w:rsid w:val="008710E5"/>
    <w:rsid w:val="00872E47"/>
    <w:rsid w:val="00874693"/>
    <w:rsid w:val="00875D67"/>
    <w:rsid w:val="008766D4"/>
    <w:rsid w:val="008769BB"/>
    <w:rsid w:val="00877FCC"/>
    <w:rsid w:val="00884FB1"/>
    <w:rsid w:val="0088632D"/>
    <w:rsid w:val="008867CA"/>
    <w:rsid w:val="008872BC"/>
    <w:rsid w:val="0089167E"/>
    <w:rsid w:val="0089376D"/>
    <w:rsid w:val="008951EA"/>
    <w:rsid w:val="00896778"/>
    <w:rsid w:val="008A34DC"/>
    <w:rsid w:val="008A641F"/>
    <w:rsid w:val="008B1543"/>
    <w:rsid w:val="008B21E0"/>
    <w:rsid w:val="008B362E"/>
    <w:rsid w:val="008B50E0"/>
    <w:rsid w:val="008B54F3"/>
    <w:rsid w:val="008B5DCA"/>
    <w:rsid w:val="008C2F50"/>
    <w:rsid w:val="008C4272"/>
    <w:rsid w:val="008C6468"/>
    <w:rsid w:val="008D3516"/>
    <w:rsid w:val="008D49C4"/>
    <w:rsid w:val="008D65A8"/>
    <w:rsid w:val="008D690E"/>
    <w:rsid w:val="008D706F"/>
    <w:rsid w:val="008D762B"/>
    <w:rsid w:val="008E367F"/>
    <w:rsid w:val="008E41CC"/>
    <w:rsid w:val="008E442A"/>
    <w:rsid w:val="008E4919"/>
    <w:rsid w:val="008E640D"/>
    <w:rsid w:val="008F23CB"/>
    <w:rsid w:val="008F624A"/>
    <w:rsid w:val="008F709A"/>
    <w:rsid w:val="009015A8"/>
    <w:rsid w:val="00902727"/>
    <w:rsid w:val="00903B21"/>
    <w:rsid w:val="0090444D"/>
    <w:rsid w:val="00904654"/>
    <w:rsid w:val="00906166"/>
    <w:rsid w:val="00906E07"/>
    <w:rsid w:val="00907285"/>
    <w:rsid w:val="009110A5"/>
    <w:rsid w:val="0091296E"/>
    <w:rsid w:val="00913686"/>
    <w:rsid w:val="00913AB5"/>
    <w:rsid w:val="00914199"/>
    <w:rsid w:val="009162B1"/>
    <w:rsid w:val="00916EE7"/>
    <w:rsid w:val="00916F03"/>
    <w:rsid w:val="00934853"/>
    <w:rsid w:val="00934BA5"/>
    <w:rsid w:val="00935AC6"/>
    <w:rsid w:val="00937384"/>
    <w:rsid w:val="009407BA"/>
    <w:rsid w:val="00941065"/>
    <w:rsid w:val="009462B5"/>
    <w:rsid w:val="0095178F"/>
    <w:rsid w:val="00951BE3"/>
    <w:rsid w:val="00953002"/>
    <w:rsid w:val="00954B46"/>
    <w:rsid w:val="00954BA3"/>
    <w:rsid w:val="00955517"/>
    <w:rsid w:val="009569BE"/>
    <w:rsid w:val="00956AED"/>
    <w:rsid w:val="00957C27"/>
    <w:rsid w:val="00957FB3"/>
    <w:rsid w:val="00967A97"/>
    <w:rsid w:val="00971003"/>
    <w:rsid w:val="00973190"/>
    <w:rsid w:val="00974081"/>
    <w:rsid w:val="009752F5"/>
    <w:rsid w:val="00975B53"/>
    <w:rsid w:val="00975C0B"/>
    <w:rsid w:val="00976841"/>
    <w:rsid w:val="0097727F"/>
    <w:rsid w:val="00977577"/>
    <w:rsid w:val="00980330"/>
    <w:rsid w:val="00980C46"/>
    <w:rsid w:val="00985DE5"/>
    <w:rsid w:val="00992079"/>
    <w:rsid w:val="00992419"/>
    <w:rsid w:val="00994B89"/>
    <w:rsid w:val="00996373"/>
    <w:rsid w:val="009971CB"/>
    <w:rsid w:val="0099738F"/>
    <w:rsid w:val="009A1C78"/>
    <w:rsid w:val="009A27CF"/>
    <w:rsid w:val="009A7ADD"/>
    <w:rsid w:val="009B0EC2"/>
    <w:rsid w:val="009B19EC"/>
    <w:rsid w:val="009B21D7"/>
    <w:rsid w:val="009B4B0C"/>
    <w:rsid w:val="009B4D8F"/>
    <w:rsid w:val="009C01AB"/>
    <w:rsid w:val="009D1116"/>
    <w:rsid w:val="009D1DB3"/>
    <w:rsid w:val="009D21B3"/>
    <w:rsid w:val="009D2E2B"/>
    <w:rsid w:val="009D379B"/>
    <w:rsid w:val="009D5541"/>
    <w:rsid w:val="009E016B"/>
    <w:rsid w:val="009E07DF"/>
    <w:rsid w:val="009E447D"/>
    <w:rsid w:val="009F0CF6"/>
    <w:rsid w:val="009F13D3"/>
    <w:rsid w:val="009F2FF4"/>
    <w:rsid w:val="009F37AB"/>
    <w:rsid w:val="009F4C84"/>
    <w:rsid w:val="009F5195"/>
    <w:rsid w:val="009F5C8D"/>
    <w:rsid w:val="009F6F29"/>
    <w:rsid w:val="00A00B2B"/>
    <w:rsid w:val="00A00B4E"/>
    <w:rsid w:val="00A01119"/>
    <w:rsid w:val="00A03DC0"/>
    <w:rsid w:val="00A06CFC"/>
    <w:rsid w:val="00A071CB"/>
    <w:rsid w:val="00A12DA2"/>
    <w:rsid w:val="00A134F8"/>
    <w:rsid w:val="00A1408E"/>
    <w:rsid w:val="00A17B24"/>
    <w:rsid w:val="00A20564"/>
    <w:rsid w:val="00A20D13"/>
    <w:rsid w:val="00A22913"/>
    <w:rsid w:val="00A2508A"/>
    <w:rsid w:val="00A31817"/>
    <w:rsid w:val="00A32D40"/>
    <w:rsid w:val="00A3352E"/>
    <w:rsid w:val="00A3471D"/>
    <w:rsid w:val="00A349DB"/>
    <w:rsid w:val="00A37584"/>
    <w:rsid w:val="00A411A1"/>
    <w:rsid w:val="00A41504"/>
    <w:rsid w:val="00A44D0C"/>
    <w:rsid w:val="00A506E8"/>
    <w:rsid w:val="00A526D3"/>
    <w:rsid w:val="00A5333A"/>
    <w:rsid w:val="00A54C9F"/>
    <w:rsid w:val="00A5530F"/>
    <w:rsid w:val="00A5646D"/>
    <w:rsid w:val="00A610B3"/>
    <w:rsid w:val="00A624F3"/>
    <w:rsid w:val="00A710F0"/>
    <w:rsid w:val="00A72F06"/>
    <w:rsid w:val="00A74124"/>
    <w:rsid w:val="00A75C73"/>
    <w:rsid w:val="00A77EA7"/>
    <w:rsid w:val="00A80361"/>
    <w:rsid w:val="00A8092A"/>
    <w:rsid w:val="00A83971"/>
    <w:rsid w:val="00A83C03"/>
    <w:rsid w:val="00A859F6"/>
    <w:rsid w:val="00A86B5C"/>
    <w:rsid w:val="00A86E0B"/>
    <w:rsid w:val="00A90C68"/>
    <w:rsid w:val="00A910E3"/>
    <w:rsid w:val="00A921D9"/>
    <w:rsid w:val="00A97F66"/>
    <w:rsid w:val="00AA0722"/>
    <w:rsid w:val="00AA4B31"/>
    <w:rsid w:val="00AA508D"/>
    <w:rsid w:val="00AB12A5"/>
    <w:rsid w:val="00AB17FC"/>
    <w:rsid w:val="00AB1FC3"/>
    <w:rsid w:val="00AB426B"/>
    <w:rsid w:val="00AB4967"/>
    <w:rsid w:val="00AB658E"/>
    <w:rsid w:val="00AB709B"/>
    <w:rsid w:val="00AB768A"/>
    <w:rsid w:val="00AC050C"/>
    <w:rsid w:val="00AC1D5D"/>
    <w:rsid w:val="00AC673E"/>
    <w:rsid w:val="00AD079E"/>
    <w:rsid w:val="00AD2631"/>
    <w:rsid w:val="00AD26F0"/>
    <w:rsid w:val="00AD28C1"/>
    <w:rsid w:val="00AD3843"/>
    <w:rsid w:val="00AD3FF2"/>
    <w:rsid w:val="00AD4335"/>
    <w:rsid w:val="00AD4C4D"/>
    <w:rsid w:val="00AD6BCA"/>
    <w:rsid w:val="00AE08C2"/>
    <w:rsid w:val="00AE2BDD"/>
    <w:rsid w:val="00AE3006"/>
    <w:rsid w:val="00AE3BED"/>
    <w:rsid w:val="00AE6C02"/>
    <w:rsid w:val="00AE772C"/>
    <w:rsid w:val="00AF0073"/>
    <w:rsid w:val="00AF174E"/>
    <w:rsid w:val="00AF1FFA"/>
    <w:rsid w:val="00AF43A9"/>
    <w:rsid w:val="00AF4E62"/>
    <w:rsid w:val="00AF7297"/>
    <w:rsid w:val="00B04334"/>
    <w:rsid w:val="00B04361"/>
    <w:rsid w:val="00B060EC"/>
    <w:rsid w:val="00B10320"/>
    <w:rsid w:val="00B105DD"/>
    <w:rsid w:val="00B11BC7"/>
    <w:rsid w:val="00B129A5"/>
    <w:rsid w:val="00B17A60"/>
    <w:rsid w:val="00B17FAB"/>
    <w:rsid w:val="00B23ED9"/>
    <w:rsid w:val="00B25BAD"/>
    <w:rsid w:val="00B26979"/>
    <w:rsid w:val="00B304BF"/>
    <w:rsid w:val="00B3171D"/>
    <w:rsid w:val="00B342FF"/>
    <w:rsid w:val="00B34310"/>
    <w:rsid w:val="00B412F9"/>
    <w:rsid w:val="00B41F90"/>
    <w:rsid w:val="00B4249C"/>
    <w:rsid w:val="00B42ACB"/>
    <w:rsid w:val="00B44019"/>
    <w:rsid w:val="00B46FB9"/>
    <w:rsid w:val="00B51056"/>
    <w:rsid w:val="00B52268"/>
    <w:rsid w:val="00B52499"/>
    <w:rsid w:val="00B524D6"/>
    <w:rsid w:val="00B55FEF"/>
    <w:rsid w:val="00B572B3"/>
    <w:rsid w:val="00B6149E"/>
    <w:rsid w:val="00B669E3"/>
    <w:rsid w:val="00B672D7"/>
    <w:rsid w:val="00B70EBF"/>
    <w:rsid w:val="00B717AF"/>
    <w:rsid w:val="00B724C7"/>
    <w:rsid w:val="00B76B08"/>
    <w:rsid w:val="00B82281"/>
    <w:rsid w:val="00B847FB"/>
    <w:rsid w:val="00B8491D"/>
    <w:rsid w:val="00B84B57"/>
    <w:rsid w:val="00B85AD1"/>
    <w:rsid w:val="00B85B88"/>
    <w:rsid w:val="00B86136"/>
    <w:rsid w:val="00B86A17"/>
    <w:rsid w:val="00B87C85"/>
    <w:rsid w:val="00B87E04"/>
    <w:rsid w:val="00B91DCA"/>
    <w:rsid w:val="00B929F4"/>
    <w:rsid w:val="00B92E9C"/>
    <w:rsid w:val="00B93C88"/>
    <w:rsid w:val="00BA073B"/>
    <w:rsid w:val="00BA4693"/>
    <w:rsid w:val="00BA7815"/>
    <w:rsid w:val="00BB1B76"/>
    <w:rsid w:val="00BB5B5B"/>
    <w:rsid w:val="00BC3CD0"/>
    <w:rsid w:val="00BC5C33"/>
    <w:rsid w:val="00BC6871"/>
    <w:rsid w:val="00BC7F91"/>
    <w:rsid w:val="00BD14AB"/>
    <w:rsid w:val="00BD1CCF"/>
    <w:rsid w:val="00BD2376"/>
    <w:rsid w:val="00BD3140"/>
    <w:rsid w:val="00BD3C9A"/>
    <w:rsid w:val="00BD42D4"/>
    <w:rsid w:val="00BE13EE"/>
    <w:rsid w:val="00BE2E36"/>
    <w:rsid w:val="00BE4505"/>
    <w:rsid w:val="00BE791D"/>
    <w:rsid w:val="00BF0531"/>
    <w:rsid w:val="00BF1B1F"/>
    <w:rsid w:val="00BF33BB"/>
    <w:rsid w:val="00BF3851"/>
    <w:rsid w:val="00BF4FEA"/>
    <w:rsid w:val="00BF5A65"/>
    <w:rsid w:val="00BF7FEE"/>
    <w:rsid w:val="00C00068"/>
    <w:rsid w:val="00C0088A"/>
    <w:rsid w:val="00C01ECA"/>
    <w:rsid w:val="00C02175"/>
    <w:rsid w:val="00C02684"/>
    <w:rsid w:val="00C02F03"/>
    <w:rsid w:val="00C04981"/>
    <w:rsid w:val="00C0601D"/>
    <w:rsid w:val="00C1158B"/>
    <w:rsid w:val="00C11CA8"/>
    <w:rsid w:val="00C12EF7"/>
    <w:rsid w:val="00C16CA9"/>
    <w:rsid w:val="00C17294"/>
    <w:rsid w:val="00C202A2"/>
    <w:rsid w:val="00C214F2"/>
    <w:rsid w:val="00C2176B"/>
    <w:rsid w:val="00C21F78"/>
    <w:rsid w:val="00C23DD7"/>
    <w:rsid w:val="00C26F8B"/>
    <w:rsid w:val="00C30ADC"/>
    <w:rsid w:val="00C3218B"/>
    <w:rsid w:val="00C32E25"/>
    <w:rsid w:val="00C41977"/>
    <w:rsid w:val="00C42327"/>
    <w:rsid w:val="00C4235B"/>
    <w:rsid w:val="00C44B70"/>
    <w:rsid w:val="00C456EF"/>
    <w:rsid w:val="00C45BEF"/>
    <w:rsid w:val="00C46784"/>
    <w:rsid w:val="00C46AEA"/>
    <w:rsid w:val="00C54D86"/>
    <w:rsid w:val="00C560EF"/>
    <w:rsid w:val="00C62952"/>
    <w:rsid w:val="00C639CD"/>
    <w:rsid w:val="00C67D20"/>
    <w:rsid w:val="00C70A11"/>
    <w:rsid w:val="00C7162F"/>
    <w:rsid w:val="00C719C4"/>
    <w:rsid w:val="00C737A1"/>
    <w:rsid w:val="00C74D2C"/>
    <w:rsid w:val="00C7615E"/>
    <w:rsid w:val="00C76178"/>
    <w:rsid w:val="00C7619C"/>
    <w:rsid w:val="00C76AD1"/>
    <w:rsid w:val="00C811CC"/>
    <w:rsid w:val="00C81E81"/>
    <w:rsid w:val="00C82170"/>
    <w:rsid w:val="00C8799B"/>
    <w:rsid w:val="00C91CFB"/>
    <w:rsid w:val="00C91EA7"/>
    <w:rsid w:val="00C963D4"/>
    <w:rsid w:val="00C969DE"/>
    <w:rsid w:val="00C971BA"/>
    <w:rsid w:val="00CA042C"/>
    <w:rsid w:val="00CA15E1"/>
    <w:rsid w:val="00CA2769"/>
    <w:rsid w:val="00CA2B86"/>
    <w:rsid w:val="00CA4001"/>
    <w:rsid w:val="00CA49FB"/>
    <w:rsid w:val="00CA521E"/>
    <w:rsid w:val="00CB2277"/>
    <w:rsid w:val="00CB3327"/>
    <w:rsid w:val="00CB567E"/>
    <w:rsid w:val="00CB5C50"/>
    <w:rsid w:val="00CC16D4"/>
    <w:rsid w:val="00CC25B5"/>
    <w:rsid w:val="00CC3842"/>
    <w:rsid w:val="00CC3EC9"/>
    <w:rsid w:val="00CC4722"/>
    <w:rsid w:val="00CC5443"/>
    <w:rsid w:val="00CC5A94"/>
    <w:rsid w:val="00CC72CA"/>
    <w:rsid w:val="00CC786B"/>
    <w:rsid w:val="00CD146D"/>
    <w:rsid w:val="00CD1C7C"/>
    <w:rsid w:val="00CD317E"/>
    <w:rsid w:val="00CD3D1C"/>
    <w:rsid w:val="00CD4130"/>
    <w:rsid w:val="00CD5197"/>
    <w:rsid w:val="00CD5D96"/>
    <w:rsid w:val="00CD634A"/>
    <w:rsid w:val="00CE2F10"/>
    <w:rsid w:val="00CE3699"/>
    <w:rsid w:val="00CE42A2"/>
    <w:rsid w:val="00CE42AA"/>
    <w:rsid w:val="00CE4D36"/>
    <w:rsid w:val="00CE62E1"/>
    <w:rsid w:val="00CF0007"/>
    <w:rsid w:val="00CF040C"/>
    <w:rsid w:val="00CF0708"/>
    <w:rsid w:val="00CF0E1A"/>
    <w:rsid w:val="00CF17BB"/>
    <w:rsid w:val="00CF1A9F"/>
    <w:rsid w:val="00CF4574"/>
    <w:rsid w:val="00CF5007"/>
    <w:rsid w:val="00CF5486"/>
    <w:rsid w:val="00D00519"/>
    <w:rsid w:val="00D02585"/>
    <w:rsid w:val="00D02720"/>
    <w:rsid w:val="00D04156"/>
    <w:rsid w:val="00D04BCC"/>
    <w:rsid w:val="00D050DE"/>
    <w:rsid w:val="00D05390"/>
    <w:rsid w:val="00D1206D"/>
    <w:rsid w:val="00D13EE8"/>
    <w:rsid w:val="00D1501B"/>
    <w:rsid w:val="00D1699E"/>
    <w:rsid w:val="00D2298C"/>
    <w:rsid w:val="00D22B06"/>
    <w:rsid w:val="00D2670A"/>
    <w:rsid w:val="00D269C6"/>
    <w:rsid w:val="00D310C3"/>
    <w:rsid w:val="00D33238"/>
    <w:rsid w:val="00D40EDF"/>
    <w:rsid w:val="00D4142D"/>
    <w:rsid w:val="00D41504"/>
    <w:rsid w:val="00D44A67"/>
    <w:rsid w:val="00D45237"/>
    <w:rsid w:val="00D46EC2"/>
    <w:rsid w:val="00D50E07"/>
    <w:rsid w:val="00D51316"/>
    <w:rsid w:val="00D51A8D"/>
    <w:rsid w:val="00D5369A"/>
    <w:rsid w:val="00D559C9"/>
    <w:rsid w:val="00D56CDA"/>
    <w:rsid w:val="00D56EB6"/>
    <w:rsid w:val="00D61F36"/>
    <w:rsid w:val="00D64282"/>
    <w:rsid w:val="00D64F57"/>
    <w:rsid w:val="00D651D3"/>
    <w:rsid w:val="00D656F4"/>
    <w:rsid w:val="00D66B50"/>
    <w:rsid w:val="00D66BB8"/>
    <w:rsid w:val="00D71306"/>
    <w:rsid w:val="00D764B1"/>
    <w:rsid w:val="00D776E8"/>
    <w:rsid w:val="00D807FD"/>
    <w:rsid w:val="00D80F5C"/>
    <w:rsid w:val="00D81FBF"/>
    <w:rsid w:val="00D8782B"/>
    <w:rsid w:val="00D91E34"/>
    <w:rsid w:val="00D93C9F"/>
    <w:rsid w:val="00D94E80"/>
    <w:rsid w:val="00D95057"/>
    <w:rsid w:val="00DA555D"/>
    <w:rsid w:val="00DA643F"/>
    <w:rsid w:val="00DA7A8E"/>
    <w:rsid w:val="00DB1B7A"/>
    <w:rsid w:val="00DB2374"/>
    <w:rsid w:val="00DB317E"/>
    <w:rsid w:val="00DB5B5D"/>
    <w:rsid w:val="00DB5D4C"/>
    <w:rsid w:val="00DB7CB2"/>
    <w:rsid w:val="00DC08F4"/>
    <w:rsid w:val="00DC1C3F"/>
    <w:rsid w:val="00DC1C87"/>
    <w:rsid w:val="00DC21F0"/>
    <w:rsid w:val="00DC2CA4"/>
    <w:rsid w:val="00DC2F5B"/>
    <w:rsid w:val="00DC3116"/>
    <w:rsid w:val="00DC4B1B"/>
    <w:rsid w:val="00DC6C44"/>
    <w:rsid w:val="00DD0077"/>
    <w:rsid w:val="00DD3537"/>
    <w:rsid w:val="00DD46E2"/>
    <w:rsid w:val="00DD66BE"/>
    <w:rsid w:val="00DE1077"/>
    <w:rsid w:val="00DE2B6A"/>
    <w:rsid w:val="00DE5DD1"/>
    <w:rsid w:val="00DE6775"/>
    <w:rsid w:val="00DE6A67"/>
    <w:rsid w:val="00DE6EE2"/>
    <w:rsid w:val="00DE714C"/>
    <w:rsid w:val="00DE7634"/>
    <w:rsid w:val="00DF03E7"/>
    <w:rsid w:val="00DF120A"/>
    <w:rsid w:val="00DF227D"/>
    <w:rsid w:val="00DF2BD9"/>
    <w:rsid w:val="00DF3194"/>
    <w:rsid w:val="00DF40D9"/>
    <w:rsid w:val="00DF4D84"/>
    <w:rsid w:val="00DF5378"/>
    <w:rsid w:val="00DF603B"/>
    <w:rsid w:val="00DF6B53"/>
    <w:rsid w:val="00DF7672"/>
    <w:rsid w:val="00E0056A"/>
    <w:rsid w:val="00E0459B"/>
    <w:rsid w:val="00E0514A"/>
    <w:rsid w:val="00E05B29"/>
    <w:rsid w:val="00E10586"/>
    <w:rsid w:val="00E117C5"/>
    <w:rsid w:val="00E167B8"/>
    <w:rsid w:val="00E178F1"/>
    <w:rsid w:val="00E17D6A"/>
    <w:rsid w:val="00E20E54"/>
    <w:rsid w:val="00E21317"/>
    <w:rsid w:val="00E21687"/>
    <w:rsid w:val="00E22431"/>
    <w:rsid w:val="00E22676"/>
    <w:rsid w:val="00E22BC2"/>
    <w:rsid w:val="00E22CB7"/>
    <w:rsid w:val="00E23B9C"/>
    <w:rsid w:val="00E2436A"/>
    <w:rsid w:val="00E25320"/>
    <w:rsid w:val="00E253BF"/>
    <w:rsid w:val="00E25FBE"/>
    <w:rsid w:val="00E26038"/>
    <w:rsid w:val="00E27A86"/>
    <w:rsid w:val="00E27E7E"/>
    <w:rsid w:val="00E316E9"/>
    <w:rsid w:val="00E348E0"/>
    <w:rsid w:val="00E36615"/>
    <w:rsid w:val="00E36F23"/>
    <w:rsid w:val="00E40040"/>
    <w:rsid w:val="00E4024E"/>
    <w:rsid w:val="00E408D8"/>
    <w:rsid w:val="00E41AD5"/>
    <w:rsid w:val="00E42EF3"/>
    <w:rsid w:val="00E46B5A"/>
    <w:rsid w:val="00E46E36"/>
    <w:rsid w:val="00E4718C"/>
    <w:rsid w:val="00E47AF9"/>
    <w:rsid w:val="00E53460"/>
    <w:rsid w:val="00E57953"/>
    <w:rsid w:val="00E6122A"/>
    <w:rsid w:val="00E62202"/>
    <w:rsid w:val="00E622FF"/>
    <w:rsid w:val="00E63DE4"/>
    <w:rsid w:val="00E647B2"/>
    <w:rsid w:val="00E659AB"/>
    <w:rsid w:val="00E66B86"/>
    <w:rsid w:val="00E7104B"/>
    <w:rsid w:val="00E7236C"/>
    <w:rsid w:val="00E7258C"/>
    <w:rsid w:val="00E7333F"/>
    <w:rsid w:val="00E753EE"/>
    <w:rsid w:val="00E762EF"/>
    <w:rsid w:val="00E767CF"/>
    <w:rsid w:val="00E775C2"/>
    <w:rsid w:val="00E7775F"/>
    <w:rsid w:val="00E80170"/>
    <w:rsid w:val="00E80F64"/>
    <w:rsid w:val="00E81F49"/>
    <w:rsid w:val="00E82158"/>
    <w:rsid w:val="00E82E3D"/>
    <w:rsid w:val="00E87009"/>
    <w:rsid w:val="00E90203"/>
    <w:rsid w:val="00E92931"/>
    <w:rsid w:val="00E92A32"/>
    <w:rsid w:val="00E92BE2"/>
    <w:rsid w:val="00E9583C"/>
    <w:rsid w:val="00E958B9"/>
    <w:rsid w:val="00E95FEB"/>
    <w:rsid w:val="00EA2A6B"/>
    <w:rsid w:val="00EA3940"/>
    <w:rsid w:val="00EA52BE"/>
    <w:rsid w:val="00EA6A1E"/>
    <w:rsid w:val="00EB07A4"/>
    <w:rsid w:val="00EB0BFB"/>
    <w:rsid w:val="00EB2835"/>
    <w:rsid w:val="00EB4247"/>
    <w:rsid w:val="00EB472C"/>
    <w:rsid w:val="00EB7741"/>
    <w:rsid w:val="00EB7CEB"/>
    <w:rsid w:val="00EC00D5"/>
    <w:rsid w:val="00EC01CB"/>
    <w:rsid w:val="00EC0F47"/>
    <w:rsid w:val="00EC3D08"/>
    <w:rsid w:val="00EC655C"/>
    <w:rsid w:val="00ED0F9D"/>
    <w:rsid w:val="00ED142F"/>
    <w:rsid w:val="00ED180D"/>
    <w:rsid w:val="00ED1BDD"/>
    <w:rsid w:val="00ED51D7"/>
    <w:rsid w:val="00EE0C53"/>
    <w:rsid w:val="00EE15CA"/>
    <w:rsid w:val="00EE4383"/>
    <w:rsid w:val="00EE5981"/>
    <w:rsid w:val="00EE60FF"/>
    <w:rsid w:val="00EE7796"/>
    <w:rsid w:val="00EE7FFA"/>
    <w:rsid w:val="00EF3D62"/>
    <w:rsid w:val="00EF5052"/>
    <w:rsid w:val="00EF606F"/>
    <w:rsid w:val="00EF7E62"/>
    <w:rsid w:val="00F00A42"/>
    <w:rsid w:val="00F03545"/>
    <w:rsid w:val="00F05CDF"/>
    <w:rsid w:val="00F06A4F"/>
    <w:rsid w:val="00F06FED"/>
    <w:rsid w:val="00F0700B"/>
    <w:rsid w:val="00F1328C"/>
    <w:rsid w:val="00F1728B"/>
    <w:rsid w:val="00F20E38"/>
    <w:rsid w:val="00F22B7F"/>
    <w:rsid w:val="00F23D3A"/>
    <w:rsid w:val="00F23E5F"/>
    <w:rsid w:val="00F24DF7"/>
    <w:rsid w:val="00F26D98"/>
    <w:rsid w:val="00F27EA0"/>
    <w:rsid w:val="00F327A6"/>
    <w:rsid w:val="00F33784"/>
    <w:rsid w:val="00F3496B"/>
    <w:rsid w:val="00F4671A"/>
    <w:rsid w:val="00F53D77"/>
    <w:rsid w:val="00F546F6"/>
    <w:rsid w:val="00F551E2"/>
    <w:rsid w:val="00F567AE"/>
    <w:rsid w:val="00F56AE1"/>
    <w:rsid w:val="00F57D5F"/>
    <w:rsid w:val="00F60635"/>
    <w:rsid w:val="00F60D45"/>
    <w:rsid w:val="00F6191E"/>
    <w:rsid w:val="00F619C7"/>
    <w:rsid w:val="00F6353A"/>
    <w:rsid w:val="00F63696"/>
    <w:rsid w:val="00F63ABF"/>
    <w:rsid w:val="00F63C78"/>
    <w:rsid w:val="00F66144"/>
    <w:rsid w:val="00F670A0"/>
    <w:rsid w:val="00F7014B"/>
    <w:rsid w:val="00F720E9"/>
    <w:rsid w:val="00F72F91"/>
    <w:rsid w:val="00F7444D"/>
    <w:rsid w:val="00F74658"/>
    <w:rsid w:val="00F74C52"/>
    <w:rsid w:val="00F81D31"/>
    <w:rsid w:val="00F821A4"/>
    <w:rsid w:val="00F83492"/>
    <w:rsid w:val="00F86AA2"/>
    <w:rsid w:val="00F87A16"/>
    <w:rsid w:val="00F91064"/>
    <w:rsid w:val="00F9170B"/>
    <w:rsid w:val="00F91E9B"/>
    <w:rsid w:val="00F961A4"/>
    <w:rsid w:val="00FA240F"/>
    <w:rsid w:val="00FA3128"/>
    <w:rsid w:val="00FA37A2"/>
    <w:rsid w:val="00FA7C0B"/>
    <w:rsid w:val="00FB0670"/>
    <w:rsid w:val="00FB113C"/>
    <w:rsid w:val="00FB1A1F"/>
    <w:rsid w:val="00FB265B"/>
    <w:rsid w:val="00FB376D"/>
    <w:rsid w:val="00FB686D"/>
    <w:rsid w:val="00FC03F0"/>
    <w:rsid w:val="00FC4465"/>
    <w:rsid w:val="00FC70C9"/>
    <w:rsid w:val="00FC74C7"/>
    <w:rsid w:val="00FD0BA2"/>
    <w:rsid w:val="00FD10C1"/>
    <w:rsid w:val="00FD2287"/>
    <w:rsid w:val="00FD3CA5"/>
    <w:rsid w:val="00FD3DF7"/>
    <w:rsid w:val="00FD437C"/>
    <w:rsid w:val="00FD4C20"/>
    <w:rsid w:val="00FD6583"/>
    <w:rsid w:val="00FD7F3E"/>
    <w:rsid w:val="00FE0130"/>
    <w:rsid w:val="00FE170F"/>
    <w:rsid w:val="00FE214A"/>
    <w:rsid w:val="00FE22C4"/>
    <w:rsid w:val="00FE2FF4"/>
    <w:rsid w:val="00FE380B"/>
    <w:rsid w:val="00FE5BC2"/>
    <w:rsid w:val="00FE7C28"/>
    <w:rsid w:val="00FF0D43"/>
    <w:rsid w:val="00FF3530"/>
    <w:rsid w:val="00FF37FC"/>
    <w:rsid w:val="00FF6725"/>
    <w:rsid w:val="00FF7247"/>
    <w:rsid w:val="00FF7D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DE864B"/>
  <w15:docId w15:val="{3E02B4CA-809F-492B-82C1-811A8DA7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C42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E41AD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9D1116"/>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7B7AA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107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348D8"/>
    <w:rPr>
      <w:color w:val="0000FF" w:themeColor="hyperlink"/>
      <w:u w:val="single"/>
    </w:rPr>
  </w:style>
  <w:style w:type="character" w:styleId="FootnoteReference">
    <w:name w:val="footnote reference"/>
    <w:rsid w:val="00B04334"/>
    <w:rPr>
      <w:color w:val="000000"/>
    </w:rPr>
  </w:style>
  <w:style w:type="paragraph" w:styleId="FootnoteText">
    <w:name w:val="footnote text"/>
    <w:basedOn w:val="Normal"/>
    <w:link w:val="FootnoteTextChar"/>
    <w:semiHidden/>
    <w:rsid w:val="00AF174E"/>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AF174E"/>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464CAF"/>
    <w:pPr>
      <w:ind w:left="720"/>
      <w:contextualSpacing/>
    </w:pPr>
    <w:rPr>
      <w:rFonts w:eastAsiaTheme="minorEastAsia"/>
      <w:lang w:eastAsia="en-AU"/>
    </w:rPr>
  </w:style>
  <w:style w:type="paragraph" w:styleId="Bibliography">
    <w:name w:val="Bibliography"/>
    <w:basedOn w:val="Normal"/>
    <w:next w:val="Normal"/>
    <w:uiPriority w:val="37"/>
    <w:unhideWhenUsed/>
    <w:rsid w:val="00784659"/>
  </w:style>
  <w:style w:type="character" w:styleId="PlaceholderText">
    <w:name w:val="Placeholder Text"/>
    <w:basedOn w:val="DefaultParagraphFont"/>
    <w:uiPriority w:val="99"/>
    <w:semiHidden/>
    <w:rsid w:val="00EE60FF"/>
    <w:rPr>
      <w:color w:val="808080"/>
    </w:rPr>
  </w:style>
  <w:style w:type="paragraph" w:styleId="BalloonText">
    <w:name w:val="Balloon Text"/>
    <w:basedOn w:val="Normal"/>
    <w:link w:val="BalloonTextChar"/>
    <w:uiPriority w:val="99"/>
    <w:semiHidden/>
    <w:unhideWhenUsed/>
    <w:rsid w:val="00EE6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0FF"/>
    <w:rPr>
      <w:rFonts w:ascii="Tahoma" w:hAnsi="Tahoma" w:cs="Tahoma"/>
      <w:sz w:val="16"/>
      <w:szCs w:val="16"/>
    </w:rPr>
  </w:style>
  <w:style w:type="table" w:styleId="TableGrid">
    <w:name w:val="Table Grid"/>
    <w:basedOn w:val="TableNormal"/>
    <w:uiPriority w:val="59"/>
    <w:rsid w:val="00D95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625540"/>
    <w:rPr>
      <w:rFonts w:cs="FS Me Light"/>
      <w:color w:val="000000"/>
      <w:sz w:val="12"/>
      <w:szCs w:val="12"/>
    </w:rPr>
  </w:style>
  <w:style w:type="character" w:customStyle="1" w:styleId="bibref1">
    <w:name w:val="bib_ref1"/>
    <w:basedOn w:val="DefaultParagraphFont"/>
    <w:rsid w:val="00334046"/>
  </w:style>
  <w:style w:type="character" w:customStyle="1" w:styleId="bibauth">
    <w:name w:val="bib_auth"/>
    <w:basedOn w:val="DefaultParagraphFont"/>
    <w:rsid w:val="00334046"/>
  </w:style>
  <w:style w:type="character" w:customStyle="1" w:styleId="bibyear">
    <w:name w:val="bib_year"/>
    <w:basedOn w:val="DefaultParagraphFont"/>
    <w:rsid w:val="00334046"/>
  </w:style>
  <w:style w:type="character" w:customStyle="1" w:styleId="bibressummtitle">
    <w:name w:val="bib_res_summ_title"/>
    <w:basedOn w:val="DefaultParagraphFont"/>
    <w:rsid w:val="00334046"/>
  </w:style>
  <w:style w:type="character" w:customStyle="1" w:styleId="bibressummseries1">
    <w:name w:val="bib_res_summ_series1"/>
    <w:basedOn w:val="DefaultParagraphFont"/>
    <w:rsid w:val="00334046"/>
    <w:rPr>
      <w:i/>
      <w:iCs/>
    </w:rPr>
  </w:style>
  <w:style w:type="character" w:customStyle="1" w:styleId="bibpub">
    <w:name w:val="bib_pub"/>
    <w:basedOn w:val="DefaultParagraphFont"/>
    <w:rsid w:val="00334046"/>
  </w:style>
  <w:style w:type="character" w:customStyle="1" w:styleId="bibpubloc">
    <w:name w:val="bib_publoc"/>
    <w:basedOn w:val="DefaultParagraphFont"/>
    <w:rsid w:val="00334046"/>
  </w:style>
  <w:style w:type="character" w:styleId="Emphasis">
    <w:name w:val="Emphasis"/>
    <w:basedOn w:val="DefaultParagraphFont"/>
    <w:uiPriority w:val="20"/>
    <w:qFormat/>
    <w:rsid w:val="00DE7634"/>
    <w:rPr>
      <w:i/>
      <w:iCs/>
    </w:rPr>
  </w:style>
  <w:style w:type="character" w:styleId="Strong">
    <w:name w:val="Strong"/>
    <w:basedOn w:val="DefaultParagraphFont"/>
    <w:uiPriority w:val="22"/>
    <w:qFormat/>
    <w:rsid w:val="00DE7634"/>
    <w:rPr>
      <w:b/>
      <w:bCs/>
    </w:rPr>
  </w:style>
  <w:style w:type="paragraph" w:styleId="NormalWeb">
    <w:name w:val="Normal (Web)"/>
    <w:basedOn w:val="Normal"/>
    <w:uiPriority w:val="99"/>
    <w:semiHidden/>
    <w:unhideWhenUsed/>
    <w:rsid w:val="00DE763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aps1">
    <w:name w:val="caps1"/>
    <w:basedOn w:val="DefaultParagraphFont"/>
    <w:rsid w:val="00DE7634"/>
    <w:rPr>
      <w:sz w:val="22"/>
      <w:szCs w:val="22"/>
    </w:rPr>
  </w:style>
  <w:style w:type="paragraph" w:customStyle="1" w:styleId="Pa12">
    <w:name w:val="Pa12"/>
    <w:basedOn w:val="Default"/>
    <w:next w:val="Default"/>
    <w:uiPriority w:val="99"/>
    <w:rsid w:val="005944E5"/>
    <w:pPr>
      <w:spacing w:line="321" w:lineRule="atLeast"/>
    </w:pPr>
    <w:rPr>
      <w:rFonts w:ascii="FS Me Light" w:hAnsi="FS Me Light" w:cstheme="minorBidi"/>
      <w:color w:val="auto"/>
    </w:rPr>
  </w:style>
  <w:style w:type="paragraph" w:customStyle="1" w:styleId="Pa13">
    <w:name w:val="Pa13"/>
    <w:basedOn w:val="Default"/>
    <w:next w:val="Default"/>
    <w:uiPriority w:val="99"/>
    <w:rsid w:val="005944E5"/>
    <w:pPr>
      <w:spacing w:line="221" w:lineRule="atLeast"/>
    </w:pPr>
    <w:rPr>
      <w:rFonts w:ascii="FS Me Light" w:hAnsi="FS Me Light" w:cstheme="minorBidi"/>
      <w:color w:val="auto"/>
    </w:rPr>
  </w:style>
  <w:style w:type="character" w:customStyle="1" w:styleId="bibreporttitle1">
    <w:name w:val="bib_report_title1"/>
    <w:basedOn w:val="DefaultParagraphFont"/>
    <w:rsid w:val="00EB4247"/>
    <w:rPr>
      <w:i/>
      <w:iCs/>
    </w:rPr>
  </w:style>
  <w:style w:type="character" w:customStyle="1" w:styleId="bibreportseries">
    <w:name w:val="bib_report_series"/>
    <w:basedOn w:val="DefaultParagraphFont"/>
    <w:rsid w:val="00EB4247"/>
  </w:style>
  <w:style w:type="character" w:customStyle="1" w:styleId="bibvol">
    <w:name w:val="bib_vol"/>
    <w:basedOn w:val="DefaultParagraphFont"/>
    <w:rsid w:val="00EB4247"/>
  </w:style>
  <w:style w:type="character" w:styleId="CommentReference">
    <w:name w:val="annotation reference"/>
    <w:basedOn w:val="DefaultParagraphFont"/>
    <w:uiPriority w:val="99"/>
    <w:semiHidden/>
    <w:unhideWhenUsed/>
    <w:rsid w:val="005703B8"/>
    <w:rPr>
      <w:sz w:val="16"/>
      <w:szCs w:val="16"/>
    </w:rPr>
  </w:style>
  <w:style w:type="paragraph" w:styleId="CommentText">
    <w:name w:val="annotation text"/>
    <w:basedOn w:val="Normal"/>
    <w:link w:val="CommentTextChar"/>
    <w:uiPriority w:val="99"/>
    <w:unhideWhenUsed/>
    <w:rsid w:val="005703B8"/>
    <w:pPr>
      <w:spacing w:line="240" w:lineRule="auto"/>
    </w:pPr>
    <w:rPr>
      <w:sz w:val="20"/>
      <w:szCs w:val="20"/>
    </w:rPr>
  </w:style>
  <w:style w:type="character" w:customStyle="1" w:styleId="CommentTextChar">
    <w:name w:val="Comment Text Char"/>
    <w:basedOn w:val="DefaultParagraphFont"/>
    <w:link w:val="CommentText"/>
    <w:uiPriority w:val="99"/>
    <w:rsid w:val="005703B8"/>
    <w:rPr>
      <w:sz w:val="20"/>
      <w:szCs w:val="20"/>
    </w:rPr>
  </w:style>
  <w:style w:type="paragraph" w:styleId="CommentSubject">
    <w:name w:val="annotation subject"/>
    <w:basedOn w:val="CommentText"/>
    <w:next w:val="CommentText"/>
    <w:link w:val="CommentSubjectChar"/>
    <w:uiPriority w:val="99"/>
    <w:semiHidden/>
    <w:unhideWhenUsed/>
    <w:rsid w:val="005703B8"/>
    <w:rPr>
      <w:b/>
      <w:bCs/>
    </w:rPr>
  </w:style>
  <w:style w:type="character" w:customStyle="1" w:styleId="CommentSubjectChar">
    <w:name w:val="Comment Subject Char"/>
    <w:basedOn w:val="CommentTextChar"/>
    <w:link w:val="CommentSubject"/>
    <w:uiPriority w:val="99"/>
    <w:semiHidden/>
    <w:rsid w:val="005703B8"/>
    <w:rPr>
      <w:b/>
      <w:bCs/>
      <w:sz w:val="20"/>
      <w:szCs w:val="20"/>
    </w:rPr>
  </w:style>
  <w:style w:type="paragraph" w:styleId="BodyText">
    <w:name w:val="Body Text"/>
    <w:basedOn w:val="Normal"/>
    <w:link w:val="BodyTextChar"/>
    <w:unhideWhenUsed/>
    <w:rsid w:val="00AB658E"/>
    <w:pPr>
      <w:spacing w:after="0" w:line="240" w:lineRule="auto"/>
    </w:pPr>
    <w:rPr>
      <w:rFonts w:ascii="Times New Roman" w:eastAsia="Times New Roman" w:hAnsi="Times New Roman" w:cs="Times New Roman"/>
      <w:b/>
      <w:bCs/>
      <w:sz w:val="32"/>
      <w:szCs w:val="24"/>
      <w:lang w:val="en-US"/>
    </w:rPr>
  </w:style>
  <w:style w:type="character" w:customStyle="1" w:styleId="BodyTextChar">
    <w:name w:val="Body Text Char"/>
    <w:basedOn w:val="DefaultParagraphFont"/>
    <w:link w:val="BodyText"/>
    <w:rsid w:val="00AB658E"/>
    <w:rPr>
      <w:rFonts w:ascii="Times New Roman" w:eastAsia="Times New Roman" w:hAnsi="Times New Roman" w:cs="Times New Roman"/>
      <w:b/>
      <w:bCs/>
      <w:sz w:val="32"/>
      <w:szCs w:val="24"/>
      <w:lang w:val="en-US"/>
    </w:rPr>
  </w:style>
  <w:style w:type="paragraph" w:styleId="EndnoteText">
    <w:name w:val="endnote text"/>
    <w:basedOn w:val="Normal"/>
    <w:link w:val="EndnoteTextChar"/>
    <w:semiHidden/>
    <w:unhideWhenUsed/>
    <w:rsid w:val="00D71306"/>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semiHidden/>
    <w:rsid w:val="00D71306"/>
    <w:rPr>
      <w:rFonts w:ascii="Times New Roman" w:eastAsia="Times New Roman" w:hAnsi="Times New Roman" w:cs="Times New Roman"/>
      <w:sz w:val="20"/>
      <w:szCs w:val="20"/>
      <w:lang w:val="en-US"/>
    </w:rPr>
  </w:style>
  <w:style w:type="character" w:customStyle="1" w:styleId="slug-pub-date3">
    <w:name w:val="slug-pub-date3"/>
    <w:basedOn w:val="DefaultParagraphFont"/>
    <w:rsid w:val="00D71306"/>
    <w:rPr>
      <w:b/>
      <w:bCs/>
    </w:rPr>
  </w:style>
  <w:style w:type="character" w:customStyle="1" w:styleId="slug-vol">
    <w:name w:val="slug-vol"/>
    <w:basedOn w:val="DefaultParagraphFont"/>
    <w:rsid w:val="00D71306"/>
  </w:style>
  <w:style w:type="character" w:customStyle="1" w:styleId="slug-issue">
    <w:name w:val="slug-issue"/>
    <w:basedOn w:val="DefaultParagraphFont"/>
    <w:rsid w:val="00D71306"/>
  </w:style>
  <w:style w:type="character" w:customStyle="1" w:styleId="slug-pages3">
    <w:name w:val="slug-pages3"/>
    <w:basedOn w:val="DefaultParagraphFont"/>
    <w:rsid w:val="00D71306"/>
    <w:rPr>
      <w:b/>
      <w:bCs/>
    </w:rPr>
  </w:style>
  <w:style w:type="paragraph" w:customStyle="1" w:styleId="citation">
    <w:name w:val="citation"/>
    <w:basedOn w:val="Normal"/>
    <w:rsid w:val="00BE79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906166"/>
    <w:rPr>
      <w:color w:val="800080" w:themeColor="followedHyperlink"/>
      <w:u w:val="single"/>
    </w:rPr>
  </w:style>
  <w:style w:type="paragraph" w:customStyle="1" w:styleId="CM2">
    <w:name w:val="CM2"/>
    <w:basedOn w:val="Default"/>
    <w:next w:val="Default"/>
    <w:uiPriority w:val="99"/>
    <w:rsid w:val="00F6191E"/>
    <w:pPr>
      <w:spacing w:line="260" w:lineRule="atLeast"/>
    </w:pPr>
    <w:rPr>
      <w:rFonts w:ascii="AGHJE O+ Century" w:hAnsi="AGHJE O+ Century" w:cstheme="minorBidi"/>
      <w:color w:val="auto"/>
    </w:rPr>
  </w:style>
  <w:style w:type="paragraph" w:customStyle="1" w:styleId="CM9">
    <w:name w:val="CM9"/>
    <w:basedOn w:val="Default"/>
    <w:next w:val="Default"/>
    <w:uiPriority w:val="99"/>
    <w:rsid w:val="00F6191E"/>
    <w:pPr>
      <w:spacing w:line="200" w:lineRule="atLeast"/>
    </w:pPr>
    <w:rPr>
      <w:rFonts w:ascii="AGHJE O+ Century" w:hAnsi="AGHJE O+ Century" w:cstheme="minorBidi"/>
      <w:color w:val="auto"/>
    </w:rPr>
  </w:style>
  <w:style w:type="character" w:customStyle="1" w:styleId="maintitle">
    <w:name w:val="maintitle"/>
    <w:basedOn w:val="DefaultParagraphFont"/>
    <w:rsid w:val="00AC050C"/>
  </w:style>
  <w:style w:type="paragraph" w:styleId="BodyText2">
    <w:name w:val="Body Text 2"/>
    <w:basedOn w:val="Normal"/>
    <w:link w:val="BodyText2Char"/>
    <w:uiPriority w:val="99"/>
    <w:unhideWhenUsed/>
    <w:rsid w:val="00AC050C"/>
    <w:pPr>
      <w:spacing w:after="120" w:line="480" w:lineRule="auto"/>
    </w:pPr>
  </w:style>
  <w:style w:type="character" w:customStyle="1" w:styleId="BodyText2Char">
    <w:name w:val="Body Text 2 Char"/>
    <w:basedOn w:val="DefaultParagraphFont"/>
    <w:link w:val="BodyText2"/>
    <w:uiPriority w:val="99"/>
    <w:rsid w:val="00AC050C"/>
  </w:style>
  <w:style w:type="character" w:customStyle="1" w:styleId="biblio-authors">
    <w:name w:val="biblio-authors"/>
    <w:basedOn w:val="DefaultParagraphFont"/>
    <w:rsid w:val="00BD14AB"/>
  </w:style>
  <w:style w:type="character" w:customStyle="1" w:styleId="biblio-title">
    <w:name w:val="biblio-title"/>
    <w:basedOn w:val="DefaultParagraphFont"/>
    <w:rsid w:val="00BD14AB"/>
  </w:style>
  <w:style w:type="character" w:customStyle="1" w:styleId="Heading2Char">
    <w:name w:val="Heading 2 Char"/>
    <w:basedOn w:val="DefaultParagraphFont"/>
    <w:link w:val="Heading2"/>
    <w:uiPriority w:val="9"/>
    <w:rsid w:val="00E41AD5"/>
    <w:rPr>
      <w:rFonts w:ascii="Times New Roman" w:eastAsia="Times New Roman" w:hAnsi="Times New Roman" w:cs="Times New Roman"/>
      <w:b/>
      <w:bCs/>
      <w:sz w:val="36"/>
      <w:szCs w:val="36"/>
      <w:lang w:eastAsia="en-AU"/>
    </w:rPr>
  </w:style>
  <w:style w:type="character" w:customStyle="1" w:styleId="Heading1Char">
    <w:name w:val="Heading 1 Char"/>
    <w:basedOn w:val="DefaultParagraphFont"/>
    <w:link w:val="Heading1"/>
    <w:rsid w:val="008C4272"/>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7B7AA8"/>
    <w:rPr>
      <w:rFonts w:asciiTheme="majorHAnsi" w:eastAsiaTheme="majorEastAsia" w:hAnsiTheme="majorHAnsi" w:cstheme="majorBidi"/>
      <w:color w:val="243F60" w:themeColor="accent1" w:themeShade="7F"/>
    </w:rPr>
  </w:style>
  <w:style w:type="paragraph" w:customStyle="1" w:styleId="ui-helper-hidden-accessible">
    <w:name w:val="ui-helper-hidden-accessible"/>
    <w:basedOn w:val="Normal"/>
    <w:rsid w:val="0090444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bstract">
    <w:name w:val="abstract"/>
    <w:basedOn w:val="Normal"/>
    <w:rsid w:val="00FD10C1"/>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styleId="ListBullet">
    <w:name w:val="List Bullet"/>
    <w:basedOn w:val="Normal"/>
    <w:rsid w:val="003F6935"/>
    <w:pPr>
      <w:numPr>
        <w:numId w:val="18"/>
      </w:numPr>
      <w:spacing w:after="0" w:line="240" w:lineRule="auto"/>
      <w:contextualSpacing/>
    </w:pPr>
    <w:rPr>
      <w:rFonts w:ascii="Times New Roman" w:eastAsia="Times New Roman" w:hAnsi="Times New Roman" w:cs="Times New Roman"/>
      <w:sz w:val="24"/>
      <w:szCs w:val="24"/>
      <w:lang w:eastAsia="en-AU"/>
    </w:rPr>
  </w:style>
  <w:style w:type="character" w:customStyle="1" w:styleId="searchword">
    <w:name w:val="searchword"/>
    <w:basedOn w:val="DefaultParagraphFont"/>
    <w:rsid w:val="008D762B"/>
    <w:rPr>
      <w:shd w:val="clear" w:color="auto" w:fill="FFFF00"/>
    </w:rPr>
  </w:style>
  <w:style w:type="character" w:customStyle="1" w:styleId="field-content">
    <w:name w:val="field-content"/>
    <w:basedOn w:val="DefaultParagraphFont"/>
    <w:rsid w:val="009D1116"/>
  </w:style>
  <w:style w:type="character" w:customStyle="1" w:styleId="Heading3Char">
    <w:name w:val="Heading 3 Char"/>
    <w:basedOn w:val="DefaultParagraphFont"/>
    <w:link w:val="Heading3"/>
    <w:uiPriority w:val="9"/>
    <w:semiHidden/>
    <w:rsid w:val="009D1116"/>
    <w:rPr>
      <w:rFonts w:asciiTheme="majorHAnsi" w:eastAsiaTheme="majorEastAsia" w:hAnsiTheme="majorHAnsi" w:cstheme="majorBidi"/>
      <w:b/>
      <w:bCs/>
      <w:color w:val="4F81BD" w:themeColor="accent1"/>
    </w:rPr>
  </w:style>
  <w:style w:type="paragraph" w:customStyle="1" w:styleId="Sub-SubTitle">
    <w:name w:val="Sub-Sub Title"/>
    <w:basedOn w:val="Heading3"/>
    <w:link w:val="Sub-SubTitleChar"/>
    <w:qFormat/>
    <w:rsid w:val="00FE380B"/>
    <w:pPr>
      <w:numPr>
        <w:ilvl w:val="2"/>
      </w:numPr>
      <w:spacing w:before="0" w:after="300"/>
      <w:ind w:right="-454"/>
    </w:pPr>
    <w:rPr>
      <w:rFonts w:ascii="Arial" w:hAnsi="Arial"/>
      <w:b w:val="0"/>
      <w:color w:val="616365"/>
      <w:sz w:val="24"/>
    </w:rPr>
  </w:style>
  <w:style w:type="character" w:customStyle="1" w:styleId="Sub-SubTitleChar">
    <w:name w:val="Sub-Sub Title Char"/>
    <w:basedOn w:val="DefaultParagraphFont"/>
    <w:link w:val="Sub-SubTitle"/>
    <w:rsid w:val="00FE380B"/>
    <w:rPr>
      <w:rFonts w:ascii="Arial" w:eastAsiaTheme="majorEastAsia" w:hAnsi="Arial" w:cstheme="majorBidi"/>
      <w:bCs/>
      <w:color w:val="616365"/>
      <w:sz w:val="24"/>
    </w:rPr>
  </w:style>
  <w:style w:type="character" w:styleId="EndnoteReference">
    <w:name w:val="endnote reference"/>
    <w:basedOn w:val="DefaultParagraphFont"/>
    <w:uiPriority w:val="99"/>
    <w:semiHidden/>
    <w:unhideWhenUsed/>
    <w:rsid w:val="006D3397"/>
    <w:rPr>
      <w:vertAlign w:val="superscript"/>
    </w:rPr>
  </w:style>
  <w:style w:type="paragraph" w:styleId="TOC1">
    <w:name w:val="toc 1"/>
    <w:basedOn w:val="Normal"/>
    <w:next w:val="Normal"/>
    <w:autoRedefine/>
    <w:uiPriority w:val="39"/>
    <w:unhideWhenUsed/>
    <w:rsid w:val="00A8092A"/>
    <w:pPr>
      <w:spacing w:after="100"/>
    </w:pPr>
  </w:style>
  <w:style w:type="paragraph" w:styleId="TOC2">
    <w:name w:val="toc 2"/>
    <w:basedOn w:val="Normal"/>
    <w:next w:val="Normal"/>
    <w:autoRedefine/>
    <w:uiPriority w:val="39"/>
    <w:unhideWhenUsed/>
    <w:rsid w:val="00A8092A"/>
    <w:pPr>
      <w:spacing w:after="100"/>
      <w:ind w:left="220"/>
    </w:pPr>
  </w:style>
  <w:style w:type="paragraph" w:styleId="TOC3">
    <w:name w:val="toc 3"/>
    <w:basedOn w:val="Normal"/>
    <w:next w:val="Normal"/>
    <w:autoRedefine/>
    <w:uiPriority w:val="39"/>
    <w:unhideWhenUsed/>
    <w:rsid w:val="00A8092A"/>
    <w:pPr>
      <w:spacing w:after="100"/>
      <w:ind w:left="440"/>
    </w:pPr>
  </w:style>
  <w:style w:type="paragraph" w:styleId="Header">
    <w:name w:val="header"/>
    <w:basedOn w:val="Normal"/>
    <w:link w:val="HeaderChar"/>
    <w:uiPriority w:val="99"/>
    <w:unhideWhenUsed/>
    <w:rsid w:val="002C1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139"/>
  </w:style>
  <w:style w:type="paragraph" w:styleId="Footer">
    <w:name w:val="footer"/>
    <w:basedOn w:val="Normal"/>
    <w:link w:val="FooterChar"/>
    <w:uiPriority w:val="99"/>
    <w:unhideWhenUsed/>
    <w:rsid w:val="002C1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6066">
      <w:bodyDiv w:val="1"/>
      <w:marLeft w:val="0"/>
      <w:marRight w:val="0"/>
      <w:marTop w:val="0"/>
      <w:marBottom w:val="0"/>
      <w:divBdr>
        <w:top w:val="none" w:sz="0" w:space="0" w:color="auto"/>
        <w:left w:val="none" w:sz="0" w:space="0" w:color="auto"/>
        <w:bottom w:val="none" w:sz="0" w:space="0" w:color="auto"/>
        <w:right w:val="none" w:sz="0" w:space="0" w:color="auto"/>
      </w:divBdr>
      <w:divsChild>
        <w:div w:id="1882132087">
          <w:marLeft w:val="0"/>
          <w:marRight w:val="0"/>
          <w:marTop w:val="150"/>
          <w:marBottom w:val="0"/>
          <w:divBdr>
            <w:top w:val="none" w:sz="0" w:space="0" w:color="auto"/>
            <w:left w:val="none" w:sz="0" w:space="0" w:color="auto"/>
            <w:bottom w:val="none" w:sz="0" w:space="0" w:color="auto"/>
            <w:right w:val="none" w:sz="0" w:space="0" w:color="auto"/>
          </w:divBdr>
          <w:divsChild>
            <w:div w:id="4596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295">
      <w:bodyDiv w:val="1"/>
      <w:marLeft w:val="0"/>
      <w:marRight w:val="0"/>
      <w:marTop w:val="0"/>
      <w:marBottom w:val="0"/>
      <w:divBdr>
        <w:top w:val="none" w:sz="0" w:space="0" w:color="auto"/>
        <w:left w:val="none" w:sz="0" w:space="0" w:color="auto"/>
        <w:bottom w:val="none" w:sz="0" w:space="0" w:color="auto"/>
        <w:right w:val="none" w:sz="0" w:space="0" w:color="auto"/>
      </w:divBdr>
      <w:divsChild>
        <w:div w:id="570847050">
          <w:marLeft w:val="0"/>
          <w:marRight w:val="0"/>
          <w:marTop w:val="0"/>
          <w:marBottom w:val="0"/>
          <w:divBdr>
            <w:top w:val="none" w:sz="0" w:space="0" w:color="auto"/>
            <w:left w:val="none" w:sz="0" w:space="0" w:color="auto"/>
            <w:bottom w:val="none" w:sz="0" w:space="0" w:color="auto"/>
            <w:right w:val="none" w:sz="0" w:space="0" w:color="auto"/>
          </w:divBdr>
          <w:divsChild>
            <w:div w:id="595023041">
              <w:marLeft w:val="0"/>
              <w:marRight w:val="0"/>
              <w:marTop w:val="0"/>
              <w:marBottom w:val="0"/>
              <w:divBdr>
                <w:top w:val="none" w:sz="0" w:space="0" w:color="auto"/>
                <w:left w:val="none" w:sz="0" w:space="0" w:color="auto"/>
                <w:bottom w:val="none" w:sz="0" w:space="0" w:color="auto"/>
                <w:right w:val="none" w:sz="0" w:space="0" w:color="auto"/>
              </w:divBdr>
              <w:divsChild>
                <w:div w:id="1767192924">
                  <w:marLeft w:val="0"/>
                  <w:marRight w:val="0"/>
                  <w:marTop w:val="0"/>
                  <w:marBottom w:val="0"/>
                  <w:divBdr>
                    <w:top w:val="none" w:sz="0" w:space="0" w:color="auto"/>
                    <w:left w:val="none" w:sz="0" w:space="0" w:color="auto"/>
                    <w:bottom w:val="none" w:sz="0" w:space="0" w:color="auto"/>
                    <w:right w:val="none" w:sz="0" w:space="0" w:color="auto"/>
                  </w:divBdr>
                  <w:divsChild>
                    <w:div w:id="834339045">
                      <w:marLeft w:val="0"/>
                      <w:marRight w:val="0"/>
                      <w:marTop w:val="0"/>
                      <w:marBottom w:val="0"/>
                      <w:divBdr>
                        <w:top w:val="none" w:sz="0" w:space="0" w:color="auto"/>
                        <w:left w:val="none" w:sz="0" w:space="0" w:color="auto"/>
                        <w:bottom w:val="none" w:sz="0" w:space="0" w:color="auto"/>
                        <w:right w:val="none" w:sz="0" w:space="0" w:color="auto"/>
                      </w:divBdr>
                      <w:divsChild>
                        <w:div w:id="1875534309">
                          <w:marLeft w:val="0"/>
                          <w:marRight w:val="0"/>
                          <w:marTop w:val="0"/>
                          <w:marBottom w:val="0"/>
                          <w:divBdr>
                            <w:top w:val="none" w:sz="0" w:space="0" w:color="auto"/>
                            <w:left w:val="none" w:sz="0" w:space="0" w:color="auto"/>
                            <w:bottom w:val="none" w:sz="0" w:space="0" w:color="auto"/>
                            <w:right w:val="none" w:sz="0" w:space="0" w:color="auto"/>
                          </w:divBdr>
                          <w:divsChild>
                            <w:div w:id="610630397">
                              <w:marLeft w:val="0"/>
                              <w:marRight w:val="0"/>
                              <w:marTop w:val="0"/>
                              <w:marBottom w:val="0"/>
                              <w:divBdr>
                                <w:top w:val="none" w:sz="0" w:space="0" w:color="auto"/>
                                <w:left w:val="none" w:sz="0" w:space="0" w:color="auto"/>
                                <w:bottom w:val="none" w:sz="0" w:space="0" w:color="auto"/>
                                <w:right w:val="none" w:sz="0" w:space="0" w:color="auto"/>
                              </w:divBdr>
                              <w:divsChild>
                                <w:div w:id="1268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29300">
      <w:bodyDiv w:val="1"/>
      <w:marLeft w:val="0"/>
      <w:marRight w:val="0"/>
      <w:marTop w:val="0"/>
      <w:marBottom w:val="0"/>
      <w:divBdr>
        <w:top w:val="none" w:sz="0" w:space="0" w:color="auto"/>
        <w:left w:val="none" w:sz="0" w:space="0" w:color="auto"/>
        <w:bottom w:val="none" w:sz="0" w:space="0" w:color="auto"/>
        <w:right w:val="none" w:sz="0" w:space="0" w:color="auto"/>
      </w:divBdr>
    </w:div>
    <w:div w:id="147288768">
      <w:bodyDiv w:val="1"/>
      <w:marLeft w:val="0"/>
      <w:marRight w:val="0"/>
      <w:marTop w:val="0"/>
      <w:marBottom w:val="0"/>
      <w:divBdr>
        <w:top w:val="none" w:sz="0" w:space="0" w:color="auto"/>
        <w:left w:val="none" w:sz="0" w:space="0" w:color="auto"/>
        <w:bottom w:val="none" w:sz="0" w:space="0" w:color="auto"/>
        <w:right w:val="none" w:sz="0" w:space="0" w:color="auto"/>
      </w:divBdr>
    </w:div>
    <w:div w:id="179584358">
      <w:bodyDiv w:val="1"/>
      <w:marLeft w:val="0"/>
      <w:marRight w:val="0"/>
      <w:marTop w:val="0"/>
      <w:marBottom w:val="0"/>
      <w:divBdr>
        <w:top w:val="none" w:sz="0" w:space="0" w:color="auto"/>
        <w:left w:val="none" w:sz="0" w:space="0" w:color="auto"/>
        <w:bottom w:val="none" w:sz="0" w:space="0" w:color="auto"/>
        <w:right w:val="none" w:sz="0" w:space="0" w:color="auto"/>
      </w:divBdr>
    </w:div>
    <w:div w:id="195437509">
      <w:bodyDiv w:val="1"/>
      <w:marLeft w:val="0"/>
      <w:marRight w:val="0"/>
      <w:marTop w:val="0"/>
      <w:marBottom w:val="0"/>
      <w:divBdr>
        <w:top w:val="none" w:sz="0" w:space="0" w:color="auto"/>
        <w:left w:val="none" w:sz="0" w:space="0" w:color="auto"/>
        <w:bottom w:val="none" w:sz="0" w:space="0" w:color="auto"/>
        <w:right w:val="none" w:sz="0" w:space="0" w:color="auto"/>
      </w:divBdr>
      <w:divsChild>
        <w:div w:id="1716735549">
          <w:marLeft w:val="0"/>
          <w:marRight w:val="0"/>
          <w:marTop w:val="150"/>
          <w:marBottom w:val="0"/>
          <w:divBdr>
            <w:top w:val="none" w:sz="0" w:space="0" w:color="auto"/>
            <w:left w:val="none" w:sz="0" w:space="0" w:color="auto"/>
            <w:bottom w:val="none" w:sz="0" w:space="0" w:color="auto"/>
            <w:right w:val="none" w:sz="0" w:space="0" w:color="auto"/>
          </w:divBdr>
          <w:divsChild>
            <w:div w:id="273288936">
              <w:marLeft w:val="0"/>
              <w:marRight w:val="0"/>
              <w:marTop w:val="0"/>
              <w:marBottom w:val="0"/>
              <w:divBdr>
                <w:top w:val="none" w:sz="0" w:space="0" w:color="auto"/>
                <w:left w:val="none" w:sz="0" w:space="0" w:color="auto"/>
                <w:bottom w:val="none" w:sz="0" w:space="0" w:color="auto"/>
                <w:right w:val="none" w:sz="0" w:space="0" w:color="auto"/>
              </w:divBdr>
              <w:divsChild>
                <w:div w:id="20166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70043">
      <w:bodyDiv w:val="1"/>
      <w:marLeft w:val="0"/>
      <w:marRight w:val="0"/>
      <w:marTop w:val="0"/>
      <w:marBottom w:val="0"/>
      <w:divBdr>
        <w:top w:val="none" w:sz="0" w:space="0" w:color="auto"/>
        <w:left w:val="none" w:sz="0" w:space="0" w:color="auto"/>
        <w:bottom w:val="none" w:sz="0" w:space="0" w:color="auto"/>
        <w:right w:val="none" w:sz="0" w:space="0" w:color="auto"/>
      </w:divBdr>
      <w:divsChild>
        <w:div w:id="285502972">
          <w:marLeft w:val="0"/>
          <w:marRight w:val="0"/>
          <w:marTop w:val="0"/>
          <w:marBottom w:val="0"/>
          <w:divBdr>
            <w:top w:val="single" w:sz="18" w:space="0" w:color="6C9D30"/>
            <w:left w:val="single" w:sz="2" w:space="0" w:color="2E2E2E"/>
            <w:bottom w:val="single" w:sz="2" w:space="0" w:color="2E2E2E"/>
            <w:right w:val="single" w:sz="2" w:space="0" w:color="2E2E2E"/>
          </w:divBdr>
          <w:divsChild>
            <w:div w:id="461577782">
              <w:marLeft w:val="0"/>
              <w:marRight w:val="0"/>
              <w:marTop w:val="15"/>
              <w:marBottom w:val="0"/>
              <w:divBdr>
                <w:top w:val="none" w:sz="0" w:space="0" w:color="auto"/>
                <w:left w:val="none" w:sz="0" w:space="0" w:color="auto"/>
                <w:bottom w:val="none" w:sz="0" w:space="0" w:color="auto"/>
                <w:right w:val="none" w:sz="0" w:space="0" w:color="auto"/>
              </w:divBdr>
              <w:divsChild>
                <w:div w:id="1713994388">
                  <w:marLeft w:val="0"/>
                  <w:marRight w:val="0"/>
                  <w:marTop w:val="0"/>
                  <w:marBottom w:val="0"/>
                  <w:divBdr>
                    <w:top w:val="none" w:sz="0" w:space="0" w:color="auto"/>
                    <w:left w:val="none" w:sz="0" w:space="0" w:color="auto"/>
                    <w:bottom w:val="none" w:sz="0" w:space="0" w:color="auto"/>
                    <w:right w:val="none" w:sz="0" w:space="0" w:color="auto"/>
                  </w:divBdr>
                  <w:divsChild>
                    <w:div w:id="12531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532781">
      <w:bodyDiv w:val="1"/>
      <w:marLeft w:val="0"/>
      <w:marRight w:val="0"/>
      <w:marTop w:val="0"/>
      <w:marBottom w:val="0"/>
      <w:divBdr>
        <w:top w:val="none" w:sz="0" w:space="0" w:color="auto"/>
        <w:left w:val="none" w:sz="0" w:space="0" w:color="auto"/>
        <w:bottom w:val="none" w:sz="0" w:space="0" w:color="auto"/>
        <w:right w:val="none" w:sz="0" w:space="0" w:color="auto"/>
      </w:divBdr>
    </w:div>
    <w:div w:id="308365074">
      <w:bodyDiv w:val="1"/>
      <w:marLeft w:val="0"/>
      <w:marRight w:val="0"/>
      <w:marTop w:val="0"/>
      <w:marBottom w:val="0"/>
      <w:divBdr>
        <w:top w:val="none" w:sz="0" w:space="0" w:color="auto"/>
        <w:left w:val="none" w:sz="0" w:space="0" w:color="auto"/>
        <w:bottom w:val="none" w:sz="0" w:space="0" w:color="auto"/>
        <w:right w:val="none" w:sz="0" w:space="0" w:color="auto"/>
      </w:divBdr>
      <w:divsChild>
        <w:div w:id="1104417797">
          <w:marLeft w:val="0"/>
          <w:marRight w:val="0"/>
          <w:marTop w:val="0"/>
          <w:marBottom w:val="0"/>
          <w:divBdr>
            <w:top w:val="none" w:sz="0" w:space="0" w:color="auto"/>
            <w:left w:val="none" w:sz="0" w:space="0" w:color="auto"/>
            <w:bottom w:val="none" w:sz="0" w:space="0" w:color="auto"/>
            <w:right w:val="none" w:sz="0" w:space="0" w:color="auto"/>
          </w:divBdr>
          <w:divsChild>
            <w:div w:id="327680208">
              <w:marLeft w:val="0"/>
              <w:marRight w:val="0"/>
              <w:marTop w:val="0"/>
              <w:marBottom w:val="0"/>
              <w:divBdr>
                <w:top w:val="none" w:sz="0" w:space="0" w:color="auto"/>
                <w:left w:val="none" w:sz="0" w:space="0" w:color="auto"/>
                <w:bottom w:val="none" w:sz="0" w:space="0" w:color="auto"/>
                <w:right w:val="none" w:sz="0" w:space="0" w:color="auto"/>
              </w:divBdr>
              <w:divsChild>
                <w:div w:id="1652901783">
                  <w:marLeft w:val="0"/>
                  <w:marRight w:val="0"/>
                  <w:marTop w:val="0"/>
                  <w:marBottom w:val="0"/>
                  <w:divBdr>
                    <w:top w:val="none" w:sz="0" w:space="0" w:color="auto"/>
                    <w:left w:val="none" w:sz="0" w:space="0" w:color="auto"/>
                    <w:bottom w:val="none" w:sz="0" w:space="0" w:color="auto"/>
                    <w:right w:val="none" w:sz="0" w:space="0" w:color="auto"/>
                  </w:divBdr>
                  <w:divsChild>
                    <w:div w:id="556624432">
                      <w:marLeft w:val="0"/>
                      <w:marRight w:val="0"/>
                      <w:marTop w:val="0"/>
                      <w:marBottom w:val="0"/>
                      <w:divBdr>
                        <w:top w:val="none" w:sz="0" w:space="0" w:color="auto"/>
                        <w:left w:val="none" w:sz="0" w:space="0" w:color="auto"/>
                        <w:bottom w:val="none" w:sz="0" w:space="0" w:color="auto"/>
                        <w:right w:val="none" w:sz="0" w:space="0" w:color="auto"/>
                      </w:divBdr>
                      <w:divsChild>
                        <w:div w:id="21261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068505">
      <w:bodyDiv w:val="1"/>
      <w:marLeft w:val="0"/>
      <w:marRight w:val="0"/>
      <w:marTop w:val="0"/>
      <w:marBottom w:val="0"/>
      <w:divBdr>
        <w:top w:val="none" w:sz="0" w:space="0" w:color="auto"/>
        <w:left w:val="none" w:sz="0" w:space="0" w:color="auto"/>
        <w:bottom w:val="none" w:sz="0" w:space="0" w:color="auto"/>
        <w:right w:val="none" w:sz="0" w:space="0" w:color="auto"/>
      </w:divBdr>
      <w:divsChild>
        <w:div w:id="451092579">
          <w:marLeft w:val="0"/>
          <w:marRight w:val="0"/>
          <w:marTop w:val="0"/>
          <w:marBottom w:val="0"/>
          <w:divBdr>
            <w:top w:val="none" w:sz="0" w:space="0" w:color="auto"/>
            <w:left w:val="none" w:sz="0" w:space="0" w:color="auto"/>
            <w:bottom w:val="none" w:sz="0" w:space="0" w:color="auto"/>
            <w:right w:val="none" w:sz="0" w:space="0" w:color="auto"/>
          </w:divBdr>
          <w:divsChild>
            <w:div w:id="540676591">
              <w:marLeft w:val="0"/>
              <w:marRight w:val="0"/>
              <w:marTop w:val="0"/>
              <w:marBottom w:val="0"/>
              <w:divBdr>
                <w:top w:val="none" w:sz="0" w:space="0" w:color="auto"/>
                <w:left w:val="none" w:sz="0" w:space="0" w:color="auto"/>
                <w:bottom w:val="none" w:sz="0" w:space="0" w:color="auto"/>
                <w:right w:val="none" w:sz="0" w:space="0" w:color="auto"/>
              </w:divBdr>
              <w:divsChild>
                <w:div w:id="333605376">
                  <w:marLeft w:val="0"/>
                  <w:marRight w:val="0"/>
                  <w:marTop w:val="0"/>
                  <w:marBottom w:val="0"/>
                  <w:divBdr>
                    <w:top w:val="none" w:sz="0" w:space="0" w:color="auto"/>
                    <w:left w:val="none" w:sz="0" w:space="0" w:color="auto"/>
                    <w:bottom w:val="none" w:sz="0" w:space="0" w:color="auto"/>
                    <w:right w:val="none" w:sz="0" w:space="0" w:color="auto"/>
                  </w:divBdr>
                  <w:divsChild>
                    <w:div w:id="759840449">
                      <w:marLeft w:val="0"/>
                      <w:marRight w:val="0"/>
                      <w:marTop w:val="0"/>
                      <w:marBottom w:val="0"/>
                      <w:divBdr>
                        <w:top w:val="none" w:sz="0" w:space="0" w:color="auto"/>
                        <w:left w:val="none" w:sz="0" w:space="0" w:color="auto"/>
                        <w:bottom w:val="none" w:sz="0" w:space="0" w:color="auto"/>
                        <w:right w:val="none" w:sz="0" w:space="0" w:color="auto"/>
                      </w:divBdr>
                      <w:divsChild>
                        <w:div w:id="340399203">
                          <w:marLeft w:val="0"/>
                          <w:marRight w:val="0"/>
                          <w:marTop w:val="0"/>
                          <w:marBottom w:val="0"/>
                          <w:divBdr>
                            <w:top w:val="none" w:sz="0" w:space="0" w:color="auto"/>
                            <w:left w:val="none" w:sz="0" w:space="0" w:color="auto"/>
                            <w:bottom w:val="none" w:sz="0" w:space="0" w:color="auto"/>
                            <w:right w:val="none" w:sz="0" w:space="0" w:color="auto"/>
                          </w:divBdr>
                          <w:divsChild>
                            <w:div w:id="466438983">
                              <w:marLeft w:val="0"/>
                              <w:marRight w:val="0"/>
                              <w:marTop w:val="0"/>
                              <w:marBottom w:val="0"/>
                              <w:divBdr>
                                <w:top w:val="none" w:sz="0" w:space="0" w:color="auto"/>
                                <w:left w:val="none" w:sz="0" w:space="0" w:color="auto"/>
                                <w:bottom w:val="none" w:sz="0" w:space="0" w:color="auto"/>
                                <w:right w:val="none" w:sz="0" w:space="0" w:color="auto"/>
                              </w:divBdr>
                              <w:divsChild>
                                <w:div w:id="347560703">
                                  <w:marLeft w:val="0"/>
                                  <w:marRight w:val="0"/>
                                  <w:marTop w:val="0"/>
                                  <w:marBottom w:val="0"/>
                                  <w:divBdr>
                                    <w:top w:val="none" w:sz="0" w:space="0" w:color="auto"/>
                                    <w:left w:val="none" w:sz="0" w:space="0" w:color="auto"/>
                                    <w:bottom w:val="none" w:sz="0" w:space="0" w:color="auto"/>
                                    <w:right w:val="none" w:sz="0" w:space="0" w:color="auto"/>
                                  </w:divBdr>
                                  <w:divsChild>
                                    <w:div w:id="9553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921115">
      <w:bodyDiv w:val="1"/>
      <w:marLeft w:val="0"/>
      <w:marRight w:val="0"/>
      <w:marTop w:val="0"/>
      <w:marBottom w:val="0"/>
      <w:divBdr>
        <w:top w:val="none" w:sz="0" w:space="0" w:color="auto"/>
        <w:left w:val="none" w:sz="0" w:space="0" w:color="auto"/>
        <w:bottom w:val="none" w:sz="0" w:space="0" w:color="auto"/>
        <w:right w:val="none" w:sz="0" w:space="0" w:color="auto"/>
      </w:divBdr>
      <w:divsChild>
        <w:div w:id="991907299">
          <w:marLeft w:val="0"/>
          <w:marRight w:val="0"/>
          <w:marTop w:val="0"/>
          <w:marBottom w:val="0"/>
          <w:divBdr>
            <w:top w:val="none" w:sz="0" w:space="0" w:color="auto"/>
            <w:left w:val="none" w:sz="0" w:space="0" w:color="auto"/>
            <w:bottom w:val="none" w:sz="0" w:space="0" w:color="auto"/>
            <w:right w:val="none" w:sz="0" w:space="0" w:color="auto"/>
          </w:divBdr>
          <w:divsChild>
            <w:div w:id="1376001444">
              <w:marLeft w:val="0"/>
              <w:marRight w:val="0"/>
              <w:marTop w:val="0"/>
              <w:marBottom w:val="0"/>
              <w:divBdr>
                <w:top w:val="none" w:sz="0" w:space="0" w:color="auto"/>
                <w:left w:val="none" w:sz="0" w:space="0" w:color="auto"/>
                <w:bottom w:val="none" w:sz="0" w:space="0" w:color="auto"/>
                <w:right w:val="none" w:sz="0" w:space="0" w:color="auto"/>
              </w:divBdr>
              <w:divsChild>
                <w:div w:id="1155604554">
                  <w:marLeft w:val="0"/>
                  <w:marRight w:val="0"/>
                  <w:marTop w:val="0"/>
                  <w:marBottom w:val="0"/>
                  <w:divBdr>
                    <w:top w:val="none" w:sz="0" w:space="0" w:color="auto"/>
                    <w:left w:val="none" w:sz="0" w:space="0" w:color="auto"/>
                    <w:bottom w:val="none" w:sz="0" w:space="0" w:color="auto"/>
                    <w:right w:val="none" w:sz="0" w:space="0" w:color="auto"/>
                  </w:divBdr>
                  <w:divsChild>
                    <w:div w:id="10101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773339">
      <w:bodyDiv w:val="1"/>
      <w:marLeft w:val="0"/>
      <w:marRight w:val="0"/>
      <w:marTop w:val="0"/>
      <w:marBottom w:val="0"/>
      <w:divBdr>
        <w:top w:val="none" w:sz="0" w:space="0" w:color="auto"/>
        <w:left w:val="none" w:sz="0" w:space="0" w:color="auto"/>
        <w:bottom w:val="none" w:sz="0" w:space="0" w:color="auto"/>
        <w:right w:val="none" w:sz="0" w:space="0" w:color="auto"/>
      </w:divBdr>
      <w:divsChild>
        <w:div w:id="1574075732">
          <w:marLeft w:val="0"/>
          <w:marRight w:val="0"/>
          <w:marTop w:val="0"/>
          <w:marBottom w:val="0"/>
          <w:divBdr>
            <w:top w:val="none" w:sz="0" w:space="0" w:color="auto"/>
            <w:left w:val="none" w:sz="0" w:space="0" w:color="auto"/>
            <w:bottom w:val="none" w:sz="0" w:space="0" w:color="auto"/>
            <w:right w:val="none" w:sz="0" w:space="0" w:color="auto"/>
          </w:divBdr>
          <w:divsChild>
            <w:div w:id="163790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92337">
      <w:bodyDiv w:val="1"/>
      <w:marLeft w:val="0"/>
      <w:marRight w:val="0"/>
      <w:marTop w:val="0"/>
      <w:marBottom w:val="0"/>
      <w:divBdr>
        <w:top w:val="none" w:sz="0" w:space="0" w:color="auto"/>
        <w:left w:val="none" w:sz="0" w:space="0" w:color="auto"/>
        <w:bottom w:val="none" w:sz="0" w:space="0" w:color="auto"/>
        <w:right w:val="none" w:sz="0" w:space="0" w:color="auto"/>
      </w:divBdr>
      <w:divsChild>
        <w:div w:id="564678966">
          <w:marLeft w:val="0"/>
          <w:marRight w:val="0"/>
          <w:marTop w:val="0"/>
          <w:marBottom w:val="0"/>
          <w:divBdr>
            <w:top w:val="none" w:sz="0" w:space="0" w:color="auto"/>
            <w:left w:val="single" w:sz="2" w:space="0" w:color="2E2E2E"/>
            <w:bottom w:val="single" w:sz="2" w:space="0" w:color="2E2E2E"/>
            <w:right w:val="single" w:sz="2" w:space="0" w:color="2E2E2E"/>
          </w:divBdr>
          <w:divsChild>
            <w:div w:id="1655450821">
              <w:marLeft w:val="0"/>
              <w:marRight w:val="0"/>
              <w:marTop w:val="15"/>
              <w:marBottom w:val="0"/>
              <w:divBdr>
                <w:top w:val="none" w:sz="0" w:space="0" w:color="auto"/>
                <w:left w:val="none" w:sz="0" w:space="0" w:color="auto"/>
                <w:bottom w:val="none" w:sz="0" w:space="0" w:color="auto"/>
                <w:right w:val="none" w:sz="0" w:space="0" w:color="auto"/>
              </w:divBdr>
              <w:divsChild>
                <w:div w:id="1592277202">
                  <w:marLeft w:val="0"/>
                  <w:marRight w:val="0"/>
                  <w:marTop w:val="0"/>
                  <w:marBottom w:val="0"/>
                  <w:divBdr>
                    <w:top w:val="none" w:sz="0" w:space="0" w:color="auto"/>
                    <w:left w:val="none" w:sz="0" w:space="0" w:color="auto"/>
                    <w:bottom w:val="none" w:sz="0" w:space="0" w:color="auto"/>
                    <w:right w:val="none" w:sz="0" w:space="0" w:color="auto"/>
                  </w:divBdr>
                  <w:divsChild>
                    <w:div w:id="209651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533583">
      <w:bodyDiv w:val="1"/>
      <w:marLeft w:val="0"/>
      <w:marRight w:val="0"/>
      <w:marTop w:val="0"/>
      <w:marBottom w:val="0"/>
      <w:divBdr>
        <w:top w:val="none" w:sz="0" w:space="0" w:color="auto"/>
        <w:left w:val="none" w:sz="0" w:space="0" w:color="auto"/>
        <w:bottom w:val="none" w:sz="0" w:space="0" w:color="auto"/>
        <w:right w:val="none" w:sz="0" w:space="0" w:color="auto"/>
      </w:divBdr>
      <w:divsChild>
        <w:div w:id="1121806875">
          <w:marLeft w:val="3075"/>
          <w:marRight w:val="0"/>
          <w:marTop w:val="0"/>
          <w:marBottom w:val="0"/>
          <w:divBdr>
            <w:top w:val="single" w:sz="6" w:space="4" w:color="CCCCCC"/>
            <w:left w:val="single" w:sz="6" w:space="15" w:color="CCCCCC"/>
            <w:bottom w:val="single" w:sz="6" w:space="4" w:color="CCCCCC"/>
            <w:right w:val="single" w:sz="6" w:space="15" w:color="CCCCCC"/>
          </w:divBdr>
          <w:divsChild>
            <w:div w:id="7775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29790">
      <w:bodyDiv w:val="1"/>
      <w:marLeft w:val="0"/>
      <w:marRight w:val="0"/>
      <w:marTop w:val="0"/>
      <w:marBottom w:val="0"/>
      <w:divBdr>
        <w:top w:val="none" w:sz="0" w:space="0" w:color="auto"/>
        <w:left w:val="none" w:sz="0" w:space="0" w:color="auto"/>
        <w:bottom w:val="none" w:sz="0" w:space="0" w:color="auto"/>
        <w:right w:val="none" w:sz="0" w:space="0" w:color="auto"/>
      </w:divBdr>
      <w:divsChild>
        <w:div w:id="1236011225">
          <w:marLeft w:val="300"/>
          <w:marRight w:val="300"/>
          <w:marTop w:val="300"/>
          <w:marBottom w:val="300"/>
          <w:divBdr>
            <w:top w:val="none" w:sz="0" w:space="0" w:color="auto"/>
            <w:left w:val="none" w:sz="0" w:space="0" w:color="auto"/>
            <w:bottom w:val="none" w:sz="0" w:space="0" w:color="auto"/>
            <w:right w:val="none" w:sz="0" w:space="0" w:color="auto"/>
          </w:divBdr>
        </w:div>
      </w:divsChild>
    </w:div>
    <w:div w:id="625890688">
      <w:bodyDiv w:val="1"/>
      <w:marLeft w:val="0"/>
      <w:marRight w:val="0"/>
      <w:marTop w:val="0"/>
      <w:marBottom w:val="0"/>
      <w:divBdr>
        <w:top w:val="none" w:sz="0" w:space="0" w:color="auto"/>
        <w:left w:val="none" w:sz="0" w:space="0" w:color="auto"/>
        <w:bottom w:val="none" w:sz="0" w:space="0" w:color="auto"/>
        <w:right w:val="none" w:sz="0" w:space="0" w:color="auto"/>
      </w:divBdr>
      <w:divsChild>
        <w:div w:id="1429156488">
          <w:marLeft w:val="0"/>
          <w:marRight w:val="0"/>
          <w:marTop w:val="0"/>
          <w:marBottom w:val="0"/>
          <w:divBdr>
            <w:top w:val="none" w:sz="0" w:space="0" w:color="auto"/>
            <w:left w:val="none" w:sz="0" w:space="0" w:color="auto"/>
            <w:bottom w:val="none" w:sz="0" w:space="0" w:color="auto"/>
            <w:right w:val="none" w:sz="0" w:space="0" w:color="auto"/>
          </w:divBdr>
          <w:divsChild>
            <w:div w:id="1277447189">
              <w:marLeft w:val="0"/>
              <w:marRight w:val="0"/>
              <w:marTop w:val="0"/>
              <w:marBottom w:val="0"/>
              <w:divBdr>
                <w:top w:val="none" w:sz="0" w:space="0" w:color="auto"/>
                <w:left w:val="none" w:sz="0" w:space="0" w:color="auto"/>
                <w:bottom w:val="none" w:sz="0" w:space="0" w:color="auto"/>
                <w:right w:val="none" w:sz="0" w:space="0" w:color="auto"/>
              </w:divBdr>
              <w:divsChild>
                <w:div w:id="618493305">
                  <w:marLeft w:val="0"/>
                  <w:marRight w:val="0"/>
                  <w:marTop w:val="0"/>
                  <w:marBottom w:val="0"/>
                  <w:divBdr>
                    <w:top w:val="none" w:sz="0" w:space="0" w:color="auto"/>
                    <w:left w:val="none" w:sz="0" w:space="0" w:color="auto"/>
                    <w:bottom w:val="none" w:sz="0" w:space="0" w:color="auto"/>
                    <w:right w:val="none" w:sz="0" w:space="0" w:color="auto"/>
                  </w:divBdr>
                  <w:divsChild>
                    <w:div w:id="815418488">
                      <w:marLeft w:val="0"/>
                      <w:marRight w:val="0"/>
                      <w:marTop w:val="0"/>
                      <w:marBottom w:val="0"/>
                      <w:divBdr>
                        <w:top w:val="none" w:sz="0" w:space="0" w:color="auto"/>
                        <w:left w:val="none" w:sz="0" w:space="0" w:color="auto"/>
                        <w:bottom w:val="none" w:sz="0" w:space="0" w:color="auto"/>
                        <w:right w:val="none" w:sz="0" w:space="0" w:color="auto"/>
                      </w:divBdr>
                      <w:divsChild>
                        <w:div w:id="168447813">
                          <w:marLeft w:val="0"/>
                          <w:marRight w:val="0"/>
                          <w:marTop w:val="0"/>
                          <w:marBottom w:val="0"/>
                          <w:divBdr>
                            <w:top w:val="none" w:sz="0" w:space="0" w:color="auto"/>
                            <w:left w:val="none" w:sz="0" w:space="0" w:color="auto"/>
                            <w:bottom w:val="none" w:sz="0" w:space="0" w:color="auto"/>
                            <w:right w:val="none" w:sz="0" w:space="0" w:color="auto"/>
                          </w:divBdr>
                          <w:divsChild>
                            <w:div w:id="1855997750">
                              <w:marLeft w:val="0"/>
                              <w:marRight w:val="0"/>
                              <w:marTop w:val="0"/>
                              <w:marBottom w:val="0"/>
                              <w:divBdr>
                                <w:top w:val="none" w:sz="0" w:space="0" w:color="auto"/>
                                <w:left w:val="none" w:sz="0" w:space="0" w:color="auto"/>
                                <w:bottom w:val="none" w:sz="0" w:space="0" w:color="auto"/>
                                <w:right w:val="none" w:sz="0" w:space="0" w:color="auto"/>
                              </w:divBdr>
                              <w:divsChild>
                                <w:div w:id="1201698400">
                                  <w:marLeft w:val="0"/>
                                  <w:marRight w:val="0"/>
                                  <w:marTop w:val="0"/>
                                  <w:marBottom w:val="0"/>
                                  <w:divBdr>
                                    <w:top w:val="none" w:sz="0" w:space="0" w:color="auto"/>
                                    <w:left w:val="none" w:sz="0" w:space="0" w:color="auto"/>
                                    <w:bottom w:val="none" w:sz="0" w:space="0" w:color="auto"/>
                                    <w:right w:val="none" w:sz="0" w:space="0" w:color="auto"/>
                                  </w:divBdr>
                                  <w:divsChild>
                                    <w:div w:id="104047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124196">
      <w:bodyDiv w:val="1"/>
      <w:marLeft w:val="0"/>
      <w:marRight w:val="0"/>
      <w:marTop w:val="0"/>
      <w:marBottom w:val="0"/>
      <w:divBdr>
        <w:top w:val="none" w:sz="0" w:space="0" w:color="auto"/>
        <w:left w:val="none" w:sz="0" w:space="0" w:color="auto"/>
        <w:bottom w:val="none" w:sz="0" w:space="0" w:color="auto"/>
        <w:right w:val="none" w:sz="0" w:space="0" w:color="auto"/>
      </w:divBdr>
    </w:div>
    <w:div w:id="633756981">
      <w:bodyDiv w:val="1"/>
      <w:marLeft w:val="0"/>
      <w:marRight w:val="0"/>
      <w:marTop w:val="0"/>
      <w:marBottom w:val="0"/>
      <w:divBdr>
        <w:top w:val="none" w:sz="0" w:space="0" w:color="auto"/>
        <w:left w:val="none" w:sz="0" w:space="0" w:color="auto"/>
        <w:bottom w:val="none" w:sz="0" w:space="0" w:color="auto"/>
        <w:right w:val="none" w:sz="0" w:space="0" w:color="auto"/>
      </w:divBdr>
    </w:div>
    <w:div w:id="643389738">
      <w:bodyDiv w:val="1"/>
      <w:marLeft w:val="0"/>
      <w:marRight w:val="0"/>
      <w:marTop w:val="0"/>
      <w:marBottom w:val="0"/>
      <w:divBdr>
        <w:top w:val="none" w:sz="0" w:space="0" w:color="auto"/>
        <w:left w:val="none" w:sz="0" w:space="0" w:color="auto"/>
        <w:bottom w:val="none" w:sz="0" w:space="0" w:color="auto"/>
        <w:right w:val="none" w:sz="0" w:space="0" w:color="auto"/>
      </w:divBdr>
      <w:divsChild>
        <w:div w:id="442652249">
          <w:marLeft w:val="0"/>
          <w:marRight w:val="0"/>
          <w:marTop w:val="0"/>
          <w:marBottom w:val="0"/>
          <w:divBdr>
            <w:top w:val="single" w:sz="18" w:space="0" w:color="6C9D30"/>
            <w:left w:val="single" w:sz="2" w:space="0" w:color="2E2E2E"/>
            <w:bottom w:val="single" w:sz="2" w:space="0" w:color="2E2E2E"/>
            <w:right w:val="single" w:sz="2" w:space="0" w:color="2E2E2E"/>
          </w:divBdr>
          <w:divsChild>
            <w:div w:id="106042617">
              <w:marLeft w:val="0"/>
              <w:marRight w:val="0"/>
              <w:marTop w:val="15"/>
              <w:marBottom w:val="0"/>
              <w:divBdr>
                <w:top w:val="none" w:sz="0" w:space="0" w:color="auto"/>
                <w:left w:val="none" w:sz="0" w:space="0" w:color="auto"/>
                <w:bottom w:val="none" w:sz="0" w:space="0" w:color="auto"/>
                <w:right w:val="none" w:sz="0" w:space="0" w:color="auto"/>
              </w:divBdr>
              <w:divsChild>
                <w:div w:id="771585039">
                  <w:marLeft w:val="0"/>
                  <w:marRight w:val="0"/>
                  <w:marTop w:val="0"/>
                  <w:marBottom w:val="0"/>
                  <w:divBdr>
                    <w:top w:val="none" w:sz="0" w:space="0" w:color="auto"/>
                    <w:left w:val="none" w:sz="0" w:space="0" w:color="auto"/>
                    <w:bottom w:val="none" w:sz="0" w:space="0" w:color="auto"/>
                    <w:right w:val="none" w:sz="0" w:space="0" w:color="auto"/>
                  </w:divBdr>
                  <w:divsChild>
                    <w:div w:id="442967801">
                      <w:marLeft w:val="0"/>
                      <w:marRight w:val="0"/>
                      <w:marTop w:val="0"/>
                      <w:marBottom w:val="0"/>
                      <w:divBdr>
                        <w:top w:val="none" w:sz="0" w:space="0" w:color="auto"/>
                        <w:left w:val="none" w:sz="0" w:space="0" w:color="auto"/>
                        <w:bottom w:val="none" w:sz="0" w:space="0" w:color="auto"/>
                        <w:right w:val="none" w:sz="0" w:space="0" w:color="auto"/>
                      </w:divBdr>
                      <w:divsChild>
                        <w:div w:id="152914696">
                          <w:marLeft w:val="0"/>
                          <w:marRight w:val="0"/>
                          <w:marTop w:val="0"/>
                          <w:marBottom w:val="315"/>
                          <w:divBdr>
                            <w:top w:val="single" w:sz="6" w:space="0" w:color="D7D7D7"/>
                            <w:left w:val="single" w:sz="2" w:space="0" w:color="D7D7D7"/>
                            <w:bottom w:val="single" w:sz="6" w:space="0" w:color="D7D7D7"/>
                            <w:right w:val="single" w:sz="2" w:space="0" w:color="D7D7D7"/>
                          </w:divBdr>
                          <w:divsChild>
                            <w:div w:id="288708557">
                              <w:marLeft w:val="0"/>
                              <w:marRight w:val="0"/>
                              <w:marTop w:val="0"/>
                              <w:marBottom w:val="0"/>
                              <w:divBdr>
                                <w:top w:val="none" w:sz="0" w:space="0" w:color="auto"/>
                                <w:left w:val="none" w:sz="0" w:space="0" w:color="auto"/>
                                <w:bottom w:val="none" w:sz="0" w:space="0" w:color="auto"/>
                                <w:right w:val="none" w:sz="0" w:space="0" w:color="auto"/>
                              </w:divBdr>
                            </w:div>
                            <w:div w:id="1762987138">
                              <w:marLeft w:val="0"/>
                              <w:marRight w:val="0"/>
                              <w:marTop w:val="0"/>
                              <w:marBottom w:val="0"/>
                              <w:divBdr>
                                <w:top w:val="none" w:sz="0" w:space="0" w:color="auto"/>
                                <w:left w:val="none" w:sz="0" w:space="0" w:color="auto"/>
                                <w:bottom w:val="none" w:sz="0" w:space="0" w:color="auto"/>
                                <w:right w:val="none" w:sz="0" w:space="0" w:color="auto"/>
                              </w:divBdr>
                            </w:div>
                            <w:div w:id="17900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065355">
      <w:bodyDiv w:val="1"/>
      <w:marLeft w:val="0"/>
      <w:marRight w:val="0"/>
      <w:marTop w:val="0"/>
      <w:marBottom w:val="0"/>
      <w:divBdr>
        <w:top w:val="none" w:sz="0" w:space="0" w:color="auto"/>
        <w:left w:val="none" w:sz="0" w:space="0" w:color="auto"/>
        <w:bottom w:val="none" w:sz="0" w:space="0" w:color="auto"/>
        <w:right w:val="none" w:sz="0" w:space="0" w:color="auto"/>
      </w:divBdr>
      <w:divsChild>
        <w:div w:id="1633901762">
          <w:marLeft w:val="0"/>
          <w:marRight w:val="0"/>
          <w:marTop w:val="0"/>
          <w:marBottom w:val="0"/>
          <w:divBdr>
            <w:top w:val="single" w:sz="18" w:space="0" w:color="6C9D30"/>
            <w:left w:val="single" w:sz="2" w:space="0" w:color="2E2E2E"/>
            <w:bottom w:val="single" w:sz="2" w:space="0" w:color="2E2E2E"/>
            <w:right w:val="single" w:sz="2" w:space="0" w:color="2E2E2E"/>
          </w:divBdr>
          <w:divsChild>
            <w:div w:id="1168211295">
              <w:marLeft w:val="0"/>
              <w:marRight w:val="0"/>
              <w:marTop w:val="15"/>
              <w:marBottom w:val="0"/>
              <w:divBdr>
                <w:top w:val="none" w:sz="0" w:space="0" w:color="auto"/>
                <w:left w:val="none" w:sz="0" w:space="0" w:color="auto"/>
                <w:bottom w:val="none" w:sz="0" w:space="0" w:color="auto"/>
                <w:right w:val="none" w:sz="0" w:space="0" w:color="auto"/>
              </w:divBdr>
              <w:divsChild>
                <w:div w:id="39941200">
                  <w:marLeft w:val="0"/>
                  <w:marRight w:val="0"/>
                  <w:marTop w:val="0"/>
                  <w:marBottom w:val="0"/>
                  <w:divBdr>
                    <w:top w:val="none" w:sz="0" w:space="0" w:color="auto"/>
                    <w:left w:val="none" w:sz="0" w:space="0" w:color="auto"/>
                    <w:bottom w:val="none" w:sz="0" w:space="0" w:color="auto"/>
                    <w:right w:val="none" w:sz="0" w:space="0" w:color="auto"/>
                  </w:divBdr>
                  <w:divsChild>
                    <w:div w:id="745297976">
                      <w:marLeft w:val="0"/>
                      <w:marRight w:val="0"/>
                      <w:marTop w:val="0"/>
                      <w:marBottom w:val="0"/>
                      <w:divBdr>
                        <w:top w:val="none" w:sz="0" w:space="0" w:color="auto"/>
                        <w:left w:val="none" w:sz="0" w:space="0" w:color="auto"/>
                        <w:bottom w:val="none" w:sz="0" w:space="0" w:color="auto"/>
                        <w:right w:val="none" w:sz="0" w:space="0" w:color="auto"/>
                      </w:divBdr>
                      <w:divsChild>
                        <w:div w:id="18409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599548">
      <w:bodyDiv w:val="1"/>
      <w:marLeft w:val="0"/>
      <w:marRight w:val="0"/>
      <w:marTop w:val="0"/>
      <w:marBottom w:val="0"/>
      <w:divBdr>
        <w:top w:val="none" w:sz="0" w:space="0" w:color="auto"/>
        <w:left w:val="none" w:sz="0" w:space="0" w:color="auto"/>
        <w:bottom w:val="none" w:sz="0" w:space="0" w:color="auto"/>
        <w:right w:val="none" w:sz="0" w:space="0" w:color="auto"/>
      </w:divBdr>
    </w:div>
    <w:div w:id="687291212">
      <w:bodyDiv w:val="1"/>
      <w:marLeft w:val="0"/>
      <w:marRight w:val="0"/>
      <w:marTop w:val="0"/>
      <w:marBottom w:val="0"/>
      <w:divBdr>
        <w:top w:val="none" w:sz="0" w:space="0" w:color="auto"/>
        <w:left w:val="none" w:sz="0" w:space="0" w:color="auto"/>
        <w:bottom w:val="none" w:sz="0" w:space="0" w:color="auto"/>
        <w:right w:val="none" w:sz="0" w:space="0" w:color="auto"/>
      </w:divBdr>
    </w:div>
    <w:div w:id="697044610">
      <w:bodyDiv w:val="1"/>
      <w:marLeft w:val="0"/>
      <w:marRight w:val="0"/>
      <w:marTop w:val="0"/>
      <w:marBottom w:val="0"/>
      <w:divBdr>
        <w:top w:val="none" w:sz="0" w:space="0" w:color="auto"/>
        <w:left w:val="none" w:sz="0" w:space="0" w:color="auto"/>
        <w:bottom w:val="none" w:sz="0" w:space="0" w:color="auto"/>
        <w:right w:val="none" w:sz="0" w:space="0" w:color="auto"/>
      </w:divBdr>
      <w:divsChild>
        <w:div w:id="874537878">
          <w:marLeft w:val="0"/>
          <w:marRight w:val="0"/>
          <w:marTop w:val="0"/>
          <w:marBottom w:val="0"/>
          <w:divBdr>
            <w:top w:val="none" w:sz="0" w:space="0" w:color="auto"/>
            <w:left w:val="none" w:sz="0" w:space="0" w:color="auto"/>
            <w:bottom w:val="none" w:sz="0" w:space="0" w:color="auto"/>
            <w:right w:val="none" w:sz="0" w:space="0" w:color="auto"/>
          </w:divBdr>
          <w:divsChild>
            <w:div w:id="1446464502">
              <w:marLeft w:val="0"/>
              <w:marRight w:val="0"/>
              <w:marTop w:val="0"/>
              <w:marBottom w:val="0"/>
              <w:divBdr>
                <w:top w:val="none" w:sz="0" w:space="0" w:color="auto"/>
                <w:left w:val="none" w:sz="0" w:space="0" w:color="auto"/>
                <w:bottom w:val="none" w:sz="0" w:space="0" w:color="auto"/>
                <w:right w:val="none" w:sz="0" w:space="0" w:color="auto"/>
              </w:divBdr>
              <w:divsChild>
                <w:div w:id="1793330252">
                  <w:marLeft w:val="0"/>
                  <w:marRight w:val="0"/>
                  <w:marTop w:val="0"/>
                  <w:marBottom w:val="0"/>
                  <w:divBdr>
                    <w:top w:val="none" w:sz="0" w:space="0" w:color="auto"/>
                    <w:left w:val="none" w:sz="0" w:space="0" w:color="auto"/>
                    <w:bottom w:val="none" w:sz="0" w:space="0" w:color="auto"/>
                    <w:right w:val="none" w:sz="0" w:space="0" w:color="auto"/>
                  </w:divBdr>
                  <w:divsChild>
                    <w:div w:id="664406770">
                      <w:marLeft w:val="0"/>
                      <w:marRight w:val="0"/>
                      <w:marTop w:val="0"/>
                      <w:marBottom w:val="0"/>
                      <w:divBdr>
                        <w:top w:val="none" w:sz="0" w:space="0" w:color="auto"/>
                        <w:left w:val="none" w:sz="0" w:space="0" w:color="auto"/>
                        <w:bottom w:val="none" w:sz="0" w:space="0" w:color="auto"/>
                        <w:right w:val="none" w:sz="0" w:space="0" w:color="auto"/>
                      </w:divBdr>
                      <w:divsChild>
                        <w:div w:id="570238793">
                          <w:marLeft w:val="0"/>
                          <w:marRight w:val="0"/>
                          <w:marTop w:val="0"/>
                          <w:marBottom w:val="0"/>
                          <w:divBdr>
                            <w:top w:val="none" w:sz="0" w:space="0" w:color="auto"/>
                            <w:left w:val="none" w:sz="0" w:space="0" w:color="auto"/>
                            <w:bottom w:val="none" w:sz="0" w:space="0" w:color="auto"/>
                            <w:right w:val="none" w:sz="0" w:space="0" w:color="auto"/>
                          </w:divBdr>
                          <w:divsChild>
                            <w:div w:id="19819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645248">
      <w:bodyDiv w:val="1"/>
      <w:marLeft w:val="0"/>
      <w:marRight w:val="0"/>
      <w:marTop w:val="0"/>
      <w:marBottom w:val="0"/>
      <w:divBdr>
        <w:top w:val="none" w:sz="0" w:space="0" w:color="auto"/>
        <w:left w:val="none" w:sz="0" w:space="0" w:color="auto"/>
        <w:bottom w:val="none" w:sz="0" w:space="0" w:color="auto"/>
        <w:right w:val="none" w:sz="0" w:space="0" w:color="auto"/>
      </w:divBdr>
      <w:divsChild>
        <w:div w:id="1725829399">
          <w:marLeft w:val="0"/>
          <w:marRight w:val="0"/>
          <w:marTop w:val="0"/>
          <w:marBottom w:val="0"/>
          <w:divBdr>
            <w:top w:val="none" w:sz="0" w:space="0" w:color="auto"/>
            <w:left w:val="none" w:sz="0" w:space="0" w:color="auto"/>
            <w:bottom w:val="none" w:sz="0" w:space="0" w:color="auto"/>
            <w:right w:val="none" w:sz="0" w:space="0" w:color="auto"/>
          </w:divBdr>
          <w:divsChild>
            <w:div w:id="938484427">
              <w:marLeft w:val="0"/>
              <w:marRight w:val="0"/>
              <w:marTop w:val="0"/>
              <w:marBottom w:val="0"/>
              <w:divBdr>
                <w:top w:val="none" w:sz="0" w:space="0" w:color="auto"/>
                <w:left w:val="none" w:sz="0" w:space="0" w:color="auto"/>
                <w:bottom w:val="none" w:sz="0" w:space="0" w:color="auto"/>
                <w:right w:val="none" w:sz="0" w:space="0" w:color="auto"/>
              </w:divBdr>
              <w:divsChild>
                <w:div w:id="84764600">
                  <w:marLeft w:val="0"/>
                  <w:marRight w:val="0"/>
                  <w:marTop w:val="0"/>
                  <w:marBottom w:val="0"/>
                  <w:divBdr>
                    <w:top w:val="none" w:sz="0" w:space="0" w:color="auto"/>
                    <w:left w:val="none" w:sz="0" w:space="0" w:color="auto"/>
                    <w:bottom w:val="none" w:sz="0" w:space="0" w:color="auto"/>
                    <w:right w:val="none" w:sz="0" w:space="0" w:color="auto"/>
                  </w:divBdr>
                  <w:divsChild>
                    <w:div w:id="1964263709">
                      <w:marLeft w:val="0"/>
                      <w:marRight w:val="0"/>
                      <w:marTop w:val="0"/>
                      <w:marBottom w:val="0"/>
                      <w:divBdr>
                        <w:top w:val="none" w:sz="0" w:space="0" w:color="auto"/>
                        <w:left w:val="none" w:sz="0" w:space="0" w:color="auto"/>
                        <w:bottom w:val="none" w:sz="0" w:space="0" w:color="auto"/>
                        <w:right w:val="none" w:sz="0" w:space="0" w:color="auto"/>
                      </w:divBdr>
                      <w:divsChild>
                        <w:div w:id="965547323">
                          <w:marLeft w:val="0"/>
                          <w:marRight w:val="0"/>
                          <w:marTop w:val="0"/>
                          <w:marBottom w:val="0"/>
                          <w:divBdr>
                            <w:top w:val="none" w:sz="0" w:space="0" w:color="auto"/>
                            <w:left w:val="none" w:sz="0" w:space="0" w:color="auto"/>
                            <w:bottom w:val="none" w:sz="0" w:space="0" w:color="auto"/>
                            <w:right w:val="none" w:sz="0" w:space="0" w:color="auto"/>
                          </w:divBdr>
                          <w:divsChild>
                            <w:div w:id="1313756921">
                              <w:marLeft w:val="0"/>
                              <w:marRight w:val="0"/>
                              <w:marTop w:val="0"/>
                              <w:marBottom w:val="0"/>
                              <w:divBdr>
                                <w:top w:val="none" w:sz="0" w:space="0" w:color="auto"/>
                                <w:left w:val="none" w:sz="0" w:space="0" w:color="auto"/>
                                <w:bottom w:val="none" w:sz="0" w:space="0" w:color="auto"/>
                                <w:right w:val="none" w:sz="0" w:space="0" w:color="auto"/>
                              </w:divBdr>
                              <w:divsChild>
                                <w:div w:id="131919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136434">
      <w:bodyDiv w:val="1"/>
      <w:marLeft w:val="0"/>
      <w:marRight w:val="0"/>
      <w:marTop w:val="0"/>
      <w:marBottom w:val="0"/>
      <w:divBdr>
        <w:top w:val="none" w:sz="0" w:space="0" w:color="auto"/>
        <w:left w:val="none" w:sz="0" w:space="0" w:color="auto"/>
        <w:bottom w:val="none" w:sz="0" w:space="0" w:color="auto"/>
        <w:right w:val="none" w:sz="0" w:space="0" w:color="auto"/>
      </w:divBdr>
      <w:divsChild>
        <w:div w:id="1077094100">
          <w:marLeft w:val="0"/>
          <w:marRight w:val="0"/>
          <w:marTop w:val="0"/>
          <w:marBottom w:val="0"/>
          <w:divBdr>
            <w:top w:val="single" w:sz="18" w:space="0" w:color="6C9D30"/>
            <w:left w:val="single" w:sz="2" w:space="0" w:color="2E2E2E"/>
            <w:bottom w:val="single" w:sz="2" w:space="0" w:color="2E2E2E"/>
            <w:right w:val="single" w:sz="2" w:space="0" w:color="2E2E2E"/>
          </w:divBdr>
          <w:divsChild>
            <w:div w:id="620578639">
              <w:marLeft w:val="0"/>
              <w:marRight w:val="0"/>
              <w:marTop w:val="15"/>
              <w:marBottom w:val="0"/>
              <w:divBdr>
                <w:top w:val="none" w:sz="0" w:space="0" w:color="auto"/>
                <w:left w:val="none" w:sz="0" w:space="0" w:color="auto"/>
                <w:bottom w:val="none" w:sz="0" w:space="0" w:color="auto"/>
                <w:right w:val="none" w:sz="0" w:space="0" w:color="auto"/>
              </w:divBdr>
              <w:divsChild>
                <w:div w:id="1895659616">
                  <w:marLeft w:val="0"/>
                  <w:marRight w:val="0"/>
                  <w:marTop w:val="0"/>
                  <w:marBottom w:val="0"/>
                  <w:divBdr>
                    <w:top w:val="none" w:sz="0" w:space="0" w:color="auto"/>
                    <w:left w:val="none" w:sz="0" w:space="0" w:color="auto"/>
                    <w:bottom w:val="none" w:sz="0" w:space="0" w:color="auto"/>
                    <w:right w:val="none" w:sz="0" w:space="0" w:color="auto"/>
                  </w:divBdr>
                  <w:divsChild>
                    <w:div w:id="217712540">
                      <w:marLeft w:val="0"/>
                      <w:marRight w:val="0"/>
                      <w:marTop w:val="0"/>
                      <w:marBottom w:val="0"/>
                      <w:divBdr>
                        <w:top w:val="none" w:sz="0" w:space="0" w:color="auto"/>
                        <w:left w:val="none" w:sz="0" w:space="0" w:color="auto"/>
                        <w:bottom w:val="none" w:sz="0" w:space="0" w:color="auto"/>
                        <w:right w:val="none" w:sz="0" w:space="0" w:color="auto"/>
                      </w:divBdr>
                      <w:divsChild>
                        <w:div w:id="2603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365561">
      <w:bodyDiv w:val="1"/>
      <w:marLeft w:val="0"/>
      <w:marRight w:val="0"/>
      <w:marTop w:val="0"/>
      <w:marBottom w:val="0"/>
      <w:divBdr>
        <w:top w:val="none" w:sz="0" w:space="0" w:color="auto"/>
        <w:left w:val="none" w:sz="0" w:space="0" w:color="auto"/>
        <w:bottom w:val="none" w:sz="0" w:space="0" w:color="auto"/>
        <w:right w:val="none" w:sz="0" w:space="0" w:color="auto"/>
      </w:divBdr>
    </w:div>
    <w:div w:id="782773256">
      <w:bodyDiv w:val="1"/>
      <w:marLeft w:val="0"/>
      <w:marRight w:val="0"/>
      <w:marTop w:val="0"/>
      <w:marBottom w:val="0"/>
      <w:divBdr>
        <w:top w:val="none" w:sz="0" w:space="0" w:color="auto"/>
        <w:left w:val="none" w:sz="0" w:space="0" w:color="auto"/>
        <w:bottom w:val="none" w:sz="0" w:space="0" w:color="auto"/>
        <w:right w:val="none" w:sz="0" w:space="0" w:color="auto"/>
      </w:divBdr>
    </w:div>
    <w:div w:id="791900918">
      <w:bodyDiv w:val="1"/>
      <w:marLeft w:val="0"/>
      <w:marRight w:val="0"/>
      <w:marTop w:val="0"/>
      <w:marBottom w:val="0"/>
      <w:divBdr>
        <w:top w:val="none" w:sz="0" w:space="0" w:color="auto"/>
        <w:left w:val="none" w:sz="0" w:space="0" w:color="auto"/>
        <w:bottom w:val="none" w:sz="0" w:space="0" w:color="auto"/>
        <w:right w:val="none" w:sz="0" w:space="0" w:color="auto"/>
      </w:divBdr>
    </w:div>
    <w:div w:id="804079899">
      <w:bodyDiv w:val="1"/>
      <w:marLeft w:val="0"/>
      <w:marRight w:val="0"/>
      <w:marTop w:val="0"/>
      <w:marBottom w:val="0"/>
      <w:divBdr>
        <w:top w:val="none" w:sz="0" w:space="0" w:color="auto"/>
        <w:left w:val="none" w:sz="0" w:space="0" w:color="auto"/>
        <w:bottom w:val="none" w:sz="0" w:space="0" w:color="auto"/>
        <w:right w:val="none" w:sz="0" w:space="0" w:color="auto"/>
      </w:divBdr>
      <w:divsChild>
        <w:div w:id="1664701243">
          <w:marLeft w:val="0"/>
          <w:marRight w:val="0"/>
          <w:marTop w:val="0"/>
          <w:marBottom w:val="0"/>
          <w:divBdr>
            <w:top w:val="single" w:sz="18" w:space="0" w:color="6C9D30"/>
            <w:left w:val="single" w:sz="2" w:space="0" w:color="2E2E2E"/>
            <w:bottom w:val="single" w:sz="2" w:space="0" w:color="2E2E2E"/>
            <w:right w:val="single" w:sz="2" w:space="0" w:color="2E2E2E"/>
          </w:divBdr>
          <w:divsChild>
            <w:div w:id="1211529510">
              <w:marLeft w:val="0"/>
              <w:marRight w:val="0"/>
              <w:marTop w:val="15"/>
              <w:marBottom w:val="0"/>
              <w:divBdr>
                <w:top w:val="none" w:sz="0" w:space="0" w:color="auto"/>
                <w:left w:val="none" w:sz="0" w:space="0" w:color="auto"/>
                <w:bottom w:val="none" w:sz="0" w:space="0" w:color="auto"/>
                <w:right w:val="none" w:sz="0" w:space="0" w:color="auto"/>
              </w:divBdr>
              <w:divsChild>
                <w:div w:id="1510409725">
                  <w:marLeft w:val="0"/>
                  <w:marRight w:val="0"/>
                  <w:marTop w:val="0"/>
                  <w:marBottom w:val="0"/>
                  <w:divBdr>
                    <w:top w:val="none" w:sz="0" w:space="0" w:color="auto"/>
                    <w:left w:val="none" w:sz="0" w:space="0" w:color="auto"/>
                    <w:bottom w:val="none" w:sz="0" w:space="0" w:color="auto"/>
                    <w:right w:val="none" w:sz="0" w:space="0" w:color="auto"/>
                  </w:divBdr>
                  <w:divsChild>
                    <w:div w:id="1668360674">
                      <w:marLeft w:val="0"/>
                      <w:marRight w:val="0"/>
                      <w:marTop w:val="0"/>
                      <w:marBottom w:val="0"/>
                      <w:divBdr>
                        <w:top w:val="none" w:sz="0" w:space="0" w:color="auto"/>
                        <w:left w:val="none" w:sz="0" w:space="0" w:color="auto"/>
                        <w:bottom w:val="none" w:sz="0" w:space="0" w:color="auto"/>
                        <w:right w:val="none" w:sz="0" w:space="0" w:color="auto"/>
                      </w:divBdr>
                      <w:divsChild>
                        <w:div w:id="191230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246284">
      <w:bodyDiv w:val="1"/>
      <w:marLeft w:val="0"/>
      <w:marRight w:val="0"/>
      <w:marTop w:val="0"/>
      <w:marBottom w:val="0"/>
      <w:divBdr>
        <w:top w:val="none" w:sz="0" w:space="0" w:color="auto"/>
        <w:left w:val="none" w:sz="0" w:space="0" w:color="auto"/>
        <w:bottom w:val="none" w:sz="0" w:space="0" w:color="auto"/>
        <w:right w:val="none" w:sz="0" w:space="0" w:color="auto"/>
      </w:divBdr>
    </w:div>
    <w:div w:id="832183756">
      <w:bodyDiv w:val="1"/>
      <w:marLeft w:val="0"/>
      <w:marRight w:val="0"/>
      <w:marTop w:val="0"/>
      <w:marBottom w:val="0"/>
      <w:divBdr>
        <w:top w:val="none" w:sz="0" w:space="0" w:color="auto"/>
        <w:left w:val="none" w:sz="0" w:space="0" w:color="auto"/>
        <w:bottom w:val="none" w:sz="0" w:space="0" w:color="auto"/>
        <w:right w:val="none" w:sz="0" w:space="0" w:color="auto"/>
      </w:divBdr>
      <w:divsChild>
        <w:div w:id="901064247">
          <w:marLeft w:val="0"/>
          <w:marRight w:val="0"/>
          <w:marTop w:val="0"/>
          <w:marBottom w:val="0"/>
          <w:divBdr>
            <w:top w:val="none" w:sz="0" w:space="0" w:color="auto"/>
            <w:left w:val="none" w:sz="0" w:space="0" w:color="auto"/>
            <w:bottom w:val="none" w:sz="0" w:space="0" w:color="auto"/>
            <w:right w:val="none" w:sz="0" w:space="0" w:color="auto"/>
          </w:divBdr>
          <w:divsChild>
            <w:div w:id="1589464574">
              <w:marLeft w:val="0"/>
              <w:marRight w:val="0"/>
              <w:marTop w:val="0"/>
              <w:marBottom w:val="0"/>
              <w:divBdr>
                <w:top w:val="none" w:sz="0" w:space="0" w:color="auto"/>
                <w:left w:val="none" w:sz="0" w:space="0" w:color="auto"/>
                <w:bottom w:val="none" w:sz="0" w:space="0" w:color="auto"/>
                <w:right w:val="none" w:sz="0" w:space="0" w:color="auto"/>
              </w:divBdr>
              <w:divsChild>
                <w:div w:id="1355424376">
                  <w:marLeft w:val="0"/>
                  <w:marRight w:val="0"/>
                  <w:marTop w:val="0"/>
                  <w:marBottom w:val="0"/>
                  <w:divBdr>
                    <w:top w:val="none" w:sz="0" w:space="0" w:color="auto"/>
                    <w:left w:val="none" w:sz="0" w:space="0" w:color="auto"/>
                    <w:bottom w:val="none" w:sz="0" w:space="0" w:color="auto"/>
                    <w:right w:val="none" w:sz="0" w:space="0" w:color="auto"/>
                  </w:divBdr>
                  <w:divsChild>
                    <w:div w:id="728651691">
                      <w:marLeft w:val="150"/>
                      <w:marRight w:val="150"/>
                      <w:marTop w:val="0"/>
                      <w:marBottom w:val="0"/>
                      <w:divBdr>
                        <w:top w:val="none" w:sz="0" w:space="0" w:color="auto"/>
                        <w:left w:val="none" w:sz="0" w:space="0" w:color="auto"/>
                        <w:bottom w:val="none" w:sz="0" w:space="0" w:color="auto"/>
                        <w:right w:val="none" w:sz="0" w:space="0" w:color="auto"/>
                      </w:divBdr>
                      <w:divsChild>
                        <w:div w:id="274600285">
                          <w:marLeft w:val="0"/>
                          <w:marRight w:val="0"/>
                          <w:marTop w:val="0"/>
                          <w:marBottom w:val="105"/>
                          <w:divBdr>
                            <w:top w:val="single" w:sz="6" w:space="0" w:color="E1E1E1"/>
                            <w:left w:val="single" w:sz="6" w:space="0" w:color="E1E1E1"/>
                            <w:bottom w:val="single" w:sz="6" w:space="0" w:color="E1E1E1"/>
                            <w:right w:val="single" w:sz="6" w:space="0" w:color="E1E1E1"/>
                          </w:divBdr>
                          <w:divsChild>
                            <w:div w:id="408038317">
                              <w:marLeft w:val="0"/>
                              <w:marRight w:val="0"/>
                              <w:marTop w:val="0"/>
                              <w:marBottom w:val="0"/>
                              <w:divBdr>
                                <w:top w:val="none" w:sz="0" w:space="0" w:color="auto"/>
                                <w:left w:val="none" w:sz="0" w:space="0" w:color="auto"/>
                                <w:bottom w:val="none" w:sz="0" w:space="0" w:color="auto"/>
                                <w:right w:val="none" w:sz="0" w:space="0" w:color="auto"/>
                              </w:divBdr>
                              <w:divsChild>
                                <w:div w:id="2143229761">
                                  <w:marLeft w:val="0"/>
                                  <w:marRight w:val="0"/>
                                  <w:marTop w:val="0"/>
                                  <w:marBottom w:val="0"/>
                                  <w:divBdr>
                                    <w:top w:val="none" w:sz="0" w:space="0" w:color="auto"/>
                                    <w:left w:val="none" w:sz="0" w:space="0" w:color="auto"/>
                                    <w:bottom w:val="none" w:sz="0" w:space="0" w:color="auto"/>
                                    <w:right w:val="none" w:sz="0" w:space="0" w:color="auto"/>
                                  </w:divBdr>
                                  <w:divsChild>
                                    <w:div w:id="1981576260">
                                      <w:marLeft w:val="0"/>
                                      <w:marRight w:val="0"/>
                                      <w:marTop w:val="0"/>
                                      <w:marBottom w:val="0"/>
                                      <w:divBdr>
                                        <w:top w:val="none" w:sz="0" w:space="0" w:color="auto"/>
                                        <w:left w:val="none" w:sz="0" w:space="0" w:color="auto"/>
                                        <w:bottom w:val="none" w:sz="0" w:space="0" w:color="auto"/>
                                        <w:right w:val="none" w:sz="0" w:space="0" w:color="auto"/>
                                      </w:divBdr>
                                      <w:divsChild>
                                        <w:div w:id="345910111">
                                          <w:marLeft w:val="0"/>
                                          <w:marRight w:val="0"/>
                                          <w:marTop w:val="0"/>
                                          <w:marBottom w:val="0"/>
                                          <w:divBdr>
                                            <w:top w:val="none" w:sz="0" w:space="0" w:color="auto"/>
                                            <w:left w:val="none" w:sz="0" w:space="0" w:color="auto"/>
                                            <w:bottom w:val="none" w:sz="0" w:space="0" w:color="auto"/>
                                            <w:right w:val="none" w:sz="0" w:space="0" w:color="auto"/>
                                          </w:divBdr>
                                          <w:divsChild>
                                            <w:div w:id="1672444090">
                                              <w:marLeft w:val="0"/>
                                              <w:marRight w:val="0"/>
                                              <w:marTop w:val="0"/>
                                              <w:marBottom w:val="0"/>
                                              <w:divBdr>
                                                <w:top w:val="none" w:sz="0" w:space="0" w:color="auto"/>
                                                <w:left w:val="none" w:sz="0" w:space="0" w:color="auto"/>
                                                <w:bottom w:val="none" w:sz="0" w:space="0" w:color="auto"/>
                                                <w:right w:val="none" w:sz="0" w:space="0" w:color="auto"/>
                                              </w:divBdr>
                                              <w:divsChild>
                                                <w:div w:id="10856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008816">
      <w:bodyDiv w:val="1"/>
      <w:marLeft w:val="0"/>
      <w:marRight w:val="0"/>
      <w:marTop w:val="0"/>
      <w:marBottom w:val="0"/>
      <w:divBdr>
        <w:top w:val="none" w:sz="0" w:space="0" w:color="auto"/>
        <w:left w:val="none" w:sz="0" w:space="0" w:color="auto"/>
        <w:bottom w:val="none" w:sz="0" w:space="0" w:color="auto"/>
        <w:right w:val="none" w:sz="0" w:space="0" w:color="auto"/>
      </w:divBdr>
      <w:divsChild>
        <w:div w:id="156112545">
          <w:marLeft w:val="0"/>
          <w:marRight w:val="0"/>
          <w:marTop w:val="0"/>
          <w:marBottom w:val="0"/>
          <w:divBdr>
            <w:top w:val="none" w:sz="0" w:space="0" w:color="auto"/>
            <w:left w:val="none" w:sz="0" w:space="0" w:color="auto"/>
            <w:bottom w:val="none" w:sz="0" w:space="0" w:color="auto"/>
            <w:right w:val="none" w:sz="0" w:space="0" w:color="auto"/>
          </w:divBdr>
          <w:divsChild>
            <w:div w:id="19839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21602">
      <w:bodyDiv w:val="1"/>
      <w:marLeft w:val="0"/>
      <w:marRight w:val="0"/>
      <w:marTop w:val="0"/>
      <w:marBottom w:val="0"/>
      <w:divBdr>
        <w:top w:val="none" w:sz="0" w:space="0" w:color="auto"/>
        <w:left w:val="none" w:sz="0" w:space="0" w:color="auto"/>
        <w:bottom w:val="none" w:sz="0" w:space="0" w:color="auto"/>
        <w:right w:val="none" w:sz="0" w:space="0" w:color="auto"/>
      </w:divBdr>
      <w:divsChild>
        <w:div w:id="633680867">
          <w:marLeft w:val="0"/>
          <w:marRight w:val="0"/>
          <w:marTop w:val="0"/>
          <w:marBottom w:val="0"/>
          <w:divBdr>
            <w:top w:val="single" w:sz="18" w:space="0" w:color="6C9D30"/>
            <w:left w:val="single" w:sz="2" w:space="0" w:color="2E2E2E"/>
            <w:bottom w:val="single" w:sz="2" w:space="0" w:color="2E2E2E"/>
            <w:right w:val="single" w:sz="2" w:space="0" w:color="2E2E2E"/>
          </w:divBdr>
          <w:divsChild>
            <w:div w:id="1283805257">
              <w:marLeft w:val="0"/>
              <w:marRight w:val="0"/>
              <w:marTop w:val="15"/>
              <w:marBottom w:val="0"/>
              <w:divBdr>
                <w:top w:val="none" w:sz="0" w:space="0" w:color="auto"/>
                <w:left w:val="none" w:sz="0" w:space="0" w:color="auto"/>
                <w:bottom w:val="none" w:sz="0" w:space="0" w:color="auto"/>
                <w:right w:val="none" w:sz="0" w:space="0" w:color="auto"/>
              </w:divBdr>
              <w:divsChild>
                <w:div w:id="1160586294">
                  <w:marLeft w:val="0"/>
                  <w:marRight w:val="0"/>
                  <w:marTop w:val="0"/>
                  <w:marBottom w:val="0"/>
                  <w:divBdr>
                    <w:top w:val="none" w:sz="0" w:space="0" w:color="auto"/>
                    <w:left w:val="none" w:sz="0" w:space="0" w:color="auto"/>
                    <w:bottom w:val="none" w:sz="0" w:space="0" w:color="auto"/>
                    <w:right w:val="none" w:sz="0" w:space="0" w:color="auto"/>
                  </w:divBdr>
                  <w:divsChild>
                    <w:div w:id="398938199">
                      <w:marLeft w:val="0"/>
                      <w:marRight w:val="0"/>
                      <w:marTop w:val="0"/>
                      <w:marBottom w:val="0"/>
                      <w:divBdr>
                        <w:top w:val="none" w:sz="0" w:space="0" w:color="auto"/>
                        <w:left w:val="none" w:sz="0" w:space="0" w:color="auto"/>
                        <w:bottom w:val="none" w:sz="0" w:space="0" w:color="auto"/>
                        <w:right w:val="none" w:sz="0" w:space="0" w:color="auto"/>
                      </w:divBdr>
                      <w:divsChild>
                        <w:div w:id="5401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369141">
      <w:bodyDiv w:val="1"/>
      <w:marLeft w:val="0"/>
      <w:marRight w:val="0"/>
      <w:marTop w:val="0"/>
      <w:marBottom w:val="0"/>
      <w:divBdr>
        <w:top w:val="none" w:sz="0" w:space="0" w:color="auto"/>
        <w:left w:val="none" w:sz="0" w:space="0" w:color="auto"/>
        <w:bottom w:val="none" w:sz="0" w:space="0" w:color="auto"/>
        <w:right w:val="none" w:sz="0" w:space="0" w:color="auto"/>
      </w:divBdr>
      <w:divsChild>
        <w:div w:id="1540122282">
          <w:marLeft w:val="0"/>
          <w:marRight w:val="0"/>
          <w:marTop w:val="0"/>
          <w:marBottom w:val="0"/>
          <w:divBdr>
            <w:top w:val="none" w:sz="0" w:space="0" w:color="auto"/>
            <w:left w:val="none" w:sz="0" w:space="0" w:color="auto"/>
            <w:bottom w:val="none" w:sz="0" w:space="0" w:color="auto"/>
            <w:right w:val="none" w:sz="0" w:space="0" w:color="auto"/>
          </w:divBdr>
          <w:divsChild>
            <w:div w:id="1729646486">
              <w:marLeft w:val="0"/>
              <w:marRight w:val="0"/>
              <w:marTop w:val="0"/>
              <w:marBottom w:val="0"/>
              <w:divBdr>
                <w:top w:val="none" w:sz="0" w:space="0" w:color="auto"/>
                <w:left w:val="none" w:sz="0" w:space="0" w:color="auto"/>
                <w:bottom w:val="none" w:sz="0" w:space="0" w:color="auto"/>
                <w:right w:val="none" w:sz="0" w:space="0" w:color="auto"/>
              </w:divBdr>
              <w:divsChild>
                <w:div w:id="1793591379">
                  <w:marLeft w:val="0"/>
                  <w:marRight w:val="0"/>
                  <w:marTop w:val="0"/>
                  <w:marBottom w:val="0"/>
                  <w:divBdr>
                    <w:top w:val="none" w:sz="0" w:space="0" w:color="auto"/>
                    <w:left w:val="none" w:sz="0" w:space="0" w:color="auto"/>
                    <w:bottom w:val="none" w:sz="0" w:space="0" w:color="auto"/>
                    <w:right w:val="none" w:sz="0" w:space="0" w:color="auto"/>
                  </w:divBdr>
                  <w:divsChild>
                    <w:div w:id="1609659186">
                      <w:marLeft w:val="0"/>
                      <w:marRight w:val="0"/>
                      <w:marTop w:val="0"/>
                      <w:marBottom w:val="0"/>
                      <w:divBdr>
                        <w:top w:val="none" w:sz="0" w:space="0" w:color="auto"/>
                        <w:left w:val="none" w:sz="0" w:space="0" w:color="auto"/>
                        <w:bottom w:val="none" w:sz="0" w:space="0" w:color="auto"/>
                        <w:right w:val="none" w:sz="0" w:space="0" w:color="auto"/>
                      </w:divBdr>
                      <w:divsChild>
                        <w:div w:id="461046843">
                          <w:marLeft w:val="0"/>
                          <w:marRight w:val="0"/>
                          <w:marTop w:val="0"/>
                          <w:marBottom w:val="0"/>
                          <w:divBdr>
                            <w:top w:val="none" w:sz="0" w:space="0" w:color="auto"/>
                            <w:left w:val="none" w:sz="0" w:space="0" w:color="auto"/>
                            <w:bottom w:val="none" w:sz="0" w:space="0" w:color="auto"/>
                            <w:right w:val="none" w:sz="0" w:space="0" w:color="auto"/>
                          </w:divBdr>
                          <w:divsChild>
                            <w:div w:id="1244146808">
                              <w:marLeft w:val="0"/>
                              <w:marRight w:val="0"/>
                              <w:marTop w:val="0"/>
                              <w:marBottom w:val="0"/>
                              <w:divBdr>
                                <w:top w:val="none" w:sz="0" w:space="0" w:color="auto"/>
                                <w:left w:val="none" w:sz="0" w:space="0" w:color="auto"/>
                                <w:bottom w:val="none" w:sz="0" w:space="0" w:color="auto"/>
                                <w:right w:val="none" w:sz="0" w:space="0" w:color="auto"/>
                              </w:divBdr>
                              <w:divsChild>
                                <w:div w:id="317618169">
                                  <w:marLeft w:val="0"/>
                                  <w:marRight w:val="0"/>
                                  <w:marTop w:val="0"/>
                                  <w:marBottom w:val="0"/>
                                  <w:divBdr>
                                    <w:top w:val="none" w:sz="0" w:space="0" w:color="auto"/>
                                    <w:left w:val="none" w:sz="0" w:space="0" w:color="auto"/>
                                    <w:bottom w:val="none" w:sz="0" w:space="0" w:color="auto"/>
                                    <w:right w:val="none" w:sz="0" w:space="0" w:color="auto"/>
                                  </w:divBdr>
                                  <w:divsChild>
                                    <w:div w:id="549807862">
                                      <w:marLeft w:val="0"/>
                                      <w:marRight w:val="0"/>
                                      <w:marTop w:val="0"/>
                                      <w:marBottom w:val="0"/>
                                      <w:divBdr>
                                        <w:top w:val="none" w:sz="0" w:space="0" w:color="auto"/>
                                        <w:left w:val="none" w:sz="0" w:space="0" w:color="auto"/>
                                        <w:bottom w:val="none" w:sz="0" w:space="0" w:color="auto"/>
                                        <w:right w:val="none" w:sz="0" w:space="0" w:color="auto"/>
                                      </w:divBdr>
                                      <w:divsChild>
                                        <w:div w:id="1895116887">
                                          <w:marLeft w:val="0"/>
                                          <w:marRight w:val="0"/>
                                          <w:marTop w:val="0"/>
                                          <w:marBottom w:val="0"/>
                                          <w:divBdr>
                                            <w:top w:val="none" w:sz="0" w:space="0" w:color="auto"/>
                                            <w:left w:val="none" w:sz="0" w:space="0" w:color="auto"/>
                                            <w:bottom w:val="none" w:sz="0" w:space="0" w:color="auto"/>
                                            <w:right w:val="none" w:sz="0" w:space="0" w:color="auto"/>
                                          </w:divBdr>
                                          <w:divsChild>
                                            <w:div w:id="1184634954">
                                              <w:marLeft w:val="0"/>
                                              <w:marRight w:val="0"/>
                                              <w:marTop w:val="0"/>
                                              <w:marBottom w:val="0"/>
                                              <w:divBdr>
                                                <w:top w:val="none" w:sz="0" w:space="0" w:color="auto"/>
                                                <w:left w:val="none" w:sz="0" w:space="0" w:color="auto"/>
                                                <w:bottom w:val="none" w:sz="0" w:space="0" w:color="auto"/>
                                                <w:right w:val="none" w:sz="0" w:space="0" w:color="auto"/>
                                              </w:divBdr>
                                              <w:divsChild>
                                                <w:div w:id="735932092">
                                                  <w:marLeft w:val="0"/>
                                                  <w:marRight w:val="0"/>
                                                  <w:marTop w:val="0"/>
                                                  <w:marBottom w:val="0"/>
                                                  <w:divBdr>
                                                    <w:top w:val="none" w:sz="0" w:space="0" w:color="auto"/>
                                                    <w:left w:val="none" w:sz="0" w:space="0" w:color="auto"/>
                                                    <w:bottom w:val="none" w:sz="0" w:space="0" w:color="auto"/>
                                                    <w:right w:val="none" w:sz="0" w:space="0" w:color="auto"/>
                                                  </w:divBdr>
                                                  <w:divsChild>
                                                    <w:div w:id="168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629050">
      <w:bodyDiv w:val="1"/>
      <w:marLeft w:val="0"/>
      <w:marRight w:val="0"/>
      <w:marTop w:val="0"/>
      <w:marBottom w:val="0"/>
      <w:divBdr>
        <w:top w:val="none" w:sz="0" w:space="0" w:color="auto"/>
        <w:left w:val="none" w:sz="0" w:space="0" w:color="auto"/>
        <w:bottom w:val="none" w:sz="0" w:space="0" w:color="auto"/>
        <w:right w:val="none" w:sz="0" w:space="0" w:color="auto"/>
      </w:divBdr>
    </w:div>
    <w:div w:id="996804233">
      <w:bodyDiv w:val="1"/>
      <w:marLeft w:val="0"/>
      <w:marRight w:val="0"/>
      <w:marTop w:val="0"/>
      <w:marBottom w:val="0"/>
      <w:divBdr>
        <w:top w:val="none" w:sz="0" w:space="0" w:color="auto"/>
        <w:left w:val="none" w:sz="0" w:space="0" w:color="auto"/>
        <w:bottom w:val="none" w:sz="0" w:space="0" w:color="auto"/>
        <w:right w:val="none" w:sz="0" w:space="0" w:color="auto"/>
      </w:divBdr>
      <w:divsChild>
        <w:div w:id="1497652569">
          <w:marLeft w:val="0"/>
          <w:marRight w:val="0"/>
          <w:marTop w:val="0"/>
          <w:marBottom w:val="0"/>
          <w:divBdr>
            <w:top w:val="single" w:sz="18" w:space="0" w:color="6C9D30"/>
            <w:left w:val="single" w:sz="2" w:space="0" w:color="2E2E2E"/>
            <w:bottom w:val="single" w:sz="2" w:space="0" w:color="2E2E2E"/>
            <w:right w:val="single" w:sz="2" w:space="0" w:color="2E2E2E"/>
          </w:divBdr>
          <w:divsChild>
            <w:div w:id="974677855">
              <w:marLeft w:val="0"/>
              <w:marRight w:val="0"/>
              <w:marTop w:val="15"/>
              <w:marBottom w:val="0"/>
              <w:divBdr>
                <w:top w:val="none" w:sz="0" w:space="0" w:color="auto"/>
                <w:left w:val="none" w:sz="0" w:space="0" w:color="auto"/>
                <w:bottom w:val="none" w:sz="0" w:space="0" w:color="auto"/>
                <w:right w:val="none" w:sz="0" w:space="0" w:color="auto"/>
              </w:divBdr>
              <w:divsChild>
                <w:div w:id="310788189">
                  <w:marLeft w:val="0"/>
                  <w:marRight w:val="0"/>
                  <w:marTop w:val="0"/>
                  <w:marBottom w:val="0"/>
                  <w:divBdr>
                    <w:top w:val="none" w:sz="0" w:space="0" w:color="auto"/>
                    <w:left w:val="none" w:sz="0" w:space="0" w:color="auto"/>
                    <w:bottom w:val="none" w:sz="0" w:space="0" w:color="auto"/>
                    <w:right w:val="none" w:sz="0" w:space="0" w:color="auto"/>
                  </w:divBdr>
                  <w:divsChild>
                    <w:div w:id="826896699">
                      <w:marLeft w:val="0"/>
                      <w:marRight w:val="0"/>
                      <w:marTop w:val="0"/>
                      <w:marBottom w:val="0"/>
                      <w:divBdr>
                        <w:top w:val="none" w:sz="0" w:space="0" w:color="auto"/>
                        <w:left w:val="none" w:sz="0" w:space="0" w:color="auto"/>
                        <w:bottom w:val="none" w:sz="0" w:space="0" w:color="auto"/>
                        <w:right w:val="none" w:sz="0" w:space="0" w:color="auto"/>
                      </w:divBdr>
                      <w:divsChild>
                        <w:div w:id="20231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729245">
      <w:bodyDiv w:val="1"/>
      <w:marLeft w:val="0"/>
      <w:marRight w:val="0"/>
      <w:marTop w:val="0"/>
      <w:marBottom w:val="0"/>
      <w:divBdr>
        <w:top w:val="none" w:sz="0" w:space="0" w:color="auto"/>
        <w:left w:val="none" w:sz="0" w:space="0" w:color="auto"/>
        <w:bottom w:val="none" w:sz="0" w:space="0" w:color="auto"/>
        <w:right w:val="none" w:sz="0" w:space="0" w:color="auto"/>
      </w:divBdr>
    </w:div>
    <w:div w:id="1026371123">
      <w:bodyDiv w:val="1"/>
      <w:marLeft w:val="0"/>
      <w:marRight w:val="0"/>
      <w:marTop w:val="0"/>
      <w:marBottom w:val="0"/>
      <w:divBdr>
        <w:top w:val="none" w:sz="0" w:space="0" w:color="auto"/>
        <w:left w:val="none" w:sz="0" w:space="0" w:color="auto"/>
        <w:bottom w:val="none" w:sz="0" w:space="0" w:color="auto"/>
        <w:right w:val="none" w:sz="0" w:space="0" w:color="auto"/>
      </w:divBdr>
      <w:divsChild>
        <w:div w:id="222176277">
          <w:marLeft w:val="0"/>
          <w:marRight w:val="1"/>
          <w:marTop w:val="0"/>
          <w:marBottom w:val="0"/>
          <w:divBdr>
            <w:top w:val="none" w:sz="0" w:space="0" w:color="auto"/>
            <w:left w:val="none" w:sz="0" w:space="0" w:color="auto"/>
            <w:bottom w:val="none" w:sz="0" w:space="0" w:color="auto"/>
            <w:right w:val="none" w:sz="0" w:space="0" w:color="auto"/>
          </w:divBdr>
          <w:divsChild>
            <w:div w:id="548228785">
              <w:marLeft w:val="0"/>
              <w:marRight w:val="0"/>
              <w:marTop w:val="0"/>
              <w:marBottom w:val="0"/>
              <w:divBdr>
                <w:top w:val="none" w:sz="0" w:space="0" w:color="auto"/>
                <w:left w:val="none" w:sz="0" w:space="0" w:color="auto"/>
                <w:bottom w:val="none" w:sz="0" w:space="0" w:color="auto"/>
                <w:right w:val="none" w:sz="0" w:space="0" w:color="auto"/>
              </w:divBdr>
              <w:divsChild>
                <w:div w:id="115412347">
                  <w:marLeft w:val="0"/>
                  <w:marRight w:val="1"/>
                  <w:marTop w:val="0"/>
                  <w:marBottom w:val="0"/>
                  <w:divBdr>
                    <w:top w:val="none" w:sz="0" w:space="0" w:color="auto"/>
                    <w:left w:val="none" w:sz="0" w:space="0" w:color="auto"/>
                    <w:bottom w:val="none" w:sz="0" w:space="0" w:color="auto"/>
                    <w:right w:val="none" w:sz="0" w:space="0" w:color="auto"/>
                  </w:divBdr>
                  <w:divsChild>
                    <w:div w:id="2062630376">
                      <w:marLeft w:val="0"/>
                      <w:marRight w:val="0"/>
                      <w:marTop w:val="0"/>
                      <w:marBottom w:val="0"/>
                      <w:divBdr>
                        <w:top w:val="none" w:sz="0" w:space="0" w:color="auto"/>
                        <w:left w:val="none" w:sz="0" w:space="0" w:color="auto"/>
                        <w:bottom w:val="none" w:sz="0" w:space="0" w:color="auto"/>
                        <w:right w:val="none" w:sz="0" w:space="0" w:color="auto"/>
                      </w:divBdr>
                      <w:divsChild>
                        <w:div w:id="1693844713">
                          <w:marLeft w:val="0"/>
                          <w:marRight w:val="0"/>
                          <w:marTop w:val="0"/>
                          <w:marBottom w:val="0"/>
                          <w:divBdr>
                            <w:top w:val="none" w:sz="0" w:space="0" w:color="auto"/>
                            <w:left w:val="none" w:sz="0" w:space="0" w:color="auto"/>
                            <w:bottom w:val="none" w:sz="0" w:space="0" w:color="auto"/>
                            <w:right w:val="none" w:sz="0" w:space="0" w:color="auto"/>
                          </w:divBdr>
                          <w:divsChild>
                            <w:div w:id="2003309272">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378179">
      <w:bodyDiv w:val="1"/>
      <w:marLeft w:val="0"/>
      <w:marRight w:val="0"/>
      <w:marTop w:val="0"/>
      <w:marBottom w:val="0"/>
      <w:divBdr>
        <w:top w:val="none" w:sz="0" w:space="0" w:color="auto"/>
        <w:left w:val="none" w:sz="0" w:space="0" w:color="auto"/>
        <w:bottom w:val="none" w:sz="0" w:space="0" w:color="auto"/>
        <w:right w:val="none" w:sz="0" w:space="0" w:color="auto"/>
      </w:divBdr>
      <w:divsChild>
        <w:div w:id="1405297862">
          <w:marLeft w:val="0"/>
          <w:marRight w:val="0"/>
          <w:marTop w:val="0"/>
          <w:marBottom w:val="0"/>
          <w:divBdr>
            <w:top w:val="single" w:sz="18" w:space="0" w:color="6C9D30"/>
            <w:left w:val="single" w:sz="2" w:space="0" w:color="2E2E2E"/>
            <w:bottom w:val="single" w:sz="2" w:space="0" w:color="2E2E2E"/>
            <w:right w:val="single" w:sz="2" w:space="0" w:color="2E2E2E"/>
          </w:divBdr>
          <w:divsChild>
            <w:div w:id="1585870004">
              <w:marLeft w:val="0"/>
              <w:marRight w:val="0"/>
              <w:marTop w:val="15"/>
              <w:marBottom w:val="0"/>
              <w:divBdr>
                <w:top w:val="none" w:sz="0" w:space="0" w:color="auto"/>
                <w:left w:val="none" w:sz="0" w:space="0" w:color="auto"/>
                <w:bottom w:val="none" w:sz="0" w:space="0" w:color="auto"/>
                <w:right w:val="none" w:sz="0" w:space="0" w:color="auto"/>
              </w:divBdr>
              <w:divsChild>
                <w:div w:id="1556888542">
                  <w:marLeft w:val="0"/>
                  <w:marRight w:val="0"/>
                  <w:marTop w:val="0"/>
                  <w:marBottom w:val="0"/>
                  <w:divBdr>
                    <w:top w:val="none" w:sz="0" w:space="0" w:color="auto"/>
                    <w:left w:val="none" w:sz="0" w:space="0" w:color="auto"/>
                    <w:bottom w:val="none" w:sz="0" w:space="0" w:color="auto"/>
                    <w:right w:val="none" w:sz="0" w:space="0" w:color="auto"/>
                  </w:divBdr>
                  <w:divsChild>
                    <w:div w:id="2011367070">
                      <w:marLeft w:val="0"/>
                      <w:marRight w:val="0"/>
                      <w:marTop w:val="0"/>
                      <w:marBottom w:val="0"/>
                      <w:divBdr>
                        <w:top w:val="none" w:sz="0" w:space="0" w:color="auto"/>
                        <w:left w:val="none" w:sz="0" w:space="0" w:color="auto"/>
                        <w:bottom w:val="none" w:sz="0" w:space="0" w:color="auto"/>
                        <w:right w:val="none" w:sz="0" w:space="0" w:color="auto"/>
                      </w:divBdr>
                      <w:divsChild>
                        <w:div w:id="4757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354250">
      <w:bodyDiv w:val="1"/>
      <w:marLeft w:val="0"/>
      <w:marRight w:val="0"/>
      <w:marTop w:val="0"/>
      <w:marBottom w:val="0"/>
      <w:divBdr>
        <w:top w:val="none" w:sz="0" w:space="0" w:color="auto"/>
        <w:left w:val="none" w:sz="0" w:space="0" w:color="auto"/>
        <w:bottom w:val="none" w:sz="0" w:space="0" w:color="auto"/>
        <w:right w:val="none" w:sz="0" w:space="0" w:color="auto"/>
      </w:divBdr>
    </w:div>
    <w:div w:id="1349527958">
      <w:bodyDiv w:val="1"/>
      <w:marLeft w:val="0"/>
      <w:marRight w:val="0"/>
      <w:marTop w:val="0"/>
      <w:marBottom w:val="0"/>
      <w:divBdr>
        <w:top w:val="none" w:sz="0" w:space="0" w:color="auto"/>
        <w:left w:val="none" w:sz="0" w:space="0" w:color="auto"/>
        <w:bottom w:val="none" w:sz="0" w:space="0" w:color="auto"/>
        <w:right w:val="none" w:sz="0" w:space="0" w:color="auto"/>
      </w:divBdr>
    </w:div>
    <w:div w:id="1379891881">
      <w:bodyDiv w:val="1"/>
      <w:marLeft w:val="0"/>
      <w:marRight w:val="0"/>
      <w:marTop w:val="0"/>
      <w:marBottom w:val="0"/>
      <w:divBdr>
        <w:top w:val="none" w:sz="0" w:space="0" w:color="auto"/>
        <w:left w:val="none" w:sz="0" w:space="0" w:color="auto"/>
        <w:bottom w:val="none" w:sz="0" w:space="0" w:color="auto"/>
        <w:right w:val="none" w:sz="0" w:space="0" w:color="auto"/>
      </w:divBdr>
    </w:div>
    <w:div w:id="1393457779">
      <w:bodyDiv w:val="1"/>
      <w:marLeft w:val="0"/>
      <w:marRight w:val="0"/>
      <w:marTop w:val="0"/>
      <w:marBottom w:val="0"/>
      <w:divBdr>
        <w:top w:val="none" w:sz="0" w:space="0" w:color="auto"/>
        <w:left w:val="none" w:sz="0" w:space="0" w:color="auto"/>
        <w:bottom w:val="none" w:sz="0" w:space="0" w:color="auto"/>
        <w:right w:val="none" w:sz="0" w:space="0" w:color="auto"/>
      </w:divBdr>
      <w:divsChild>
        <w:div w:id="72555084">
          <w:marLeft w:val="0"/>
          <w:marRight w:val="0"/>
          <w:marTop w:val="0"/>
          <w:marBottom w:val="0"/>
          <w:divBdr>
            <w:top w:val="none" w:sz="0" w:space="0" w:color="auto"/>
            <w:left w:val="none" w:sz="0" w:space="0" w:color="auto"/>
            <w:bottom w:val="none" w:sz="0" w:space="0" w:color="auto"/>
            <w:right w:val="none" w:sz="0" w:space="0" w:color="auto"/>
          </w:divBdr>
          <w:divsChild>
            <w:div w:id="1767193901">
              <w:marLeft w:val="0"/>
              <w:marRight w:val="0"/>
              <w:marTop w:val="0"/>
              <w:marBottom w:val="0"/>
              <w:divBdr>
                <w:top w:val="none" w:sz="0" w:space="0" w:color="auto"/>
                <w:left w:val="none" w:sz="0" w:space="0" w:color="auto"/>
                <w:bottom w:val="none" w:sz="0" w:space="0" w:color="auto"/>
                <w:right w:val="none" w:sz="0" w:space="0" w:color="auto"/>
              </w:divBdr>
              <w:divsChild>
                <w:div w:id="434520945">
                  <w:marLeft w:val="0"/>
                  <w:marRight w:val="0"/>
                  <w:marTop w:val="0"/>
                  <w:marBottom w:val="0"/>
                  <w:divBdr>
                    <w:top w:val="none" w:sz="0" w:space="0" w:color="auto"/>
                    <w:left w:val="none" w:sz="0" w:space="0" w:color="auto"/>
                    <w:bottom w:val="none" w:sz="0" w:space="0" w:color="auto"/>
                    <w:right w:val="none" w:sz="0" w:space="0" w:color="auto"/>
                  </w:divBdr>
                  <w:divsChild>
                    <w:div w:id="2006132369">
                      <w:marLeft w:val="0"/>
                      <w:marRight w:val="0"/>
                      <w:marTop w:val="0"/>
                      <w:marBottom w:val="0"/>
                      <w:divBdr>
                        <w:top w:val="none" w:sz="0" w:space="0" w:color="auto"/>
                        <w:left w:val="none" w:sz="0" w:space="0" w:color="auto"/>
                        <w:bottom w:val="none" w:sz="0" w:space="0" w:color="auto"/>
                        <w:right w:val="none" w:sz="0" w:space="0" w:color="auto"/>
                      </w:divBdr>
                      <w:divsChild>
                        <w:div w:id="599215356">
                          <w:marLeft w:val="0"/>
                          <w:marRight w:val="0"/>
                          <w:marTop w:val="0"/>
                          <w:marBottom w:val="0"/>
                          <w:divBdr>
                            <w:top w:val="none" w:sz="0" w:space="0" w:color="auto"/>
                            <w:left w:val="none" w:sz="0" w:space="0" w:color="auto"/>
                            <w:bottom w:val="none" w:sz="0" w:space="0" w:color="auto"/>
                            <w:right w:val="none" w:sz="0" w:space="0" w:color="auto"/>
                          </w:divBdr>
                          <w:divsChild>
                            <w:div w:id="250085907">
                              <w:marLeft w:val="0"/>
                              <w:marRight w:val="0"/>
                              <w:marTop w:val="0"/>
                              <w:marBottom w:val="0"/>
                              <w:divBdr>
                                <w:top w:val="none" w:sz="0" w:space="0" w:color="auto"/>
                                <w:left w:val="none" w:sz="0" w:space="0" w:color="auto"/>
                                <w:bottom w:val="none" w:sz="0" w:space="0" w:color="auto"/>
                                <w:right w:val="none" w:sz="0" w:space="0" w:color="auto"/>
                              </w:divBdr>
                              <w:divsChild>
                                <w:div w:id="113136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962712">
      <w:bodyDiv w:val="1"/>
      <w:marLeft w:val="0"/>
      <w:marRight w:val="0"/>
      <w:marTop w:val="0"/>
      <w:marBottom w:val="0"/>
      <w:divBdr>
        <w:top w:val="none" w:sz="0" w:space="0" w:color="auto"/>
        <w:left w:val="none" w:sz="0" w:space="0" w:color="auto"/>
        <w:bottom w:val="none" w:sz="0" w:space="0" w:color="auto"/>
        <w:right w:val="none" w:sz="0" w:space="0" w:color="auto"/>
      </w:divBdr>
      <w:divsChild>
        <w:div w:id="1498888055">
          <w:marLeft w:val="0"/>
          <w:marRight w:val="0"/>
          <w:marTop w:val="0"/>
          <w:marBottom w:val="0"/>
          <w:divBdr>
            <w:top w:val="single" w:sz="18" w:space="0" w:color="6C9D30"/>
            <w:left w:val="single" w:sz="2" w:space="0" w:color="2E2E2E"/>
            <w:bottom w:val="single" w:sz="2" w:space="0" w:color="2E2E2E"/>
            <w:right w:val="single" w:sz="2" w:space="0" w:color="2E2E2E"/>
          </w:divBdr>
          <w:divsChild>
            <w:div w:id="1701782202">
              <w:marLeft w:val="0"/>
              <w:marRight w:val="0"/>
              <w:marTop w:val="15"/>
              <w:marBottom w:val="0"/>
              <w:divBdr>
                <w:top w:val="none" w:sz="0" w:space="0" w:color="auto"/>
                <w:left w:val="none" w:sz="0" w:space="0" w:color="auto"/>
                <w:bottom w:val="none" w:sz="0" w:space="0" w:color="auto"/>
                <w:right w:val="none" w:sz="0" w:space="0" w:color="auto"/>
              </w:divBdr>
              <w:divsChild>
                <w:div w:id="857505433">
                  <w:marLeft w:val="0"/>
                  <w:marRight w:val="0"/>
                  <w:marTop w:val="0"/>
                  <w:marBottom w:val="0"/>
                  <w:divBdr>
                    <w:top w:val="none" w:sz="0" w:space="0" w:color="auto"/>
                    <w:left w:val="none" w:sz="0" w:space="0" w:color="auto"/>
                    <w:bottom w:val="none" w:sz="0" w:space="0" w:color="auto"/>
                    <w:right w:val="none" w:sz="0" w:space="0" w:color="auto"/>
                  </w:divBdr>
                  <w:divsChild>
                    <w:div w:id="1783835979">
                      <w:marLeft w:val="0"/>
                      <w:marRight w:val="0"/>
                      <w:marTop w:val="0"/>
                      <w:marBottom w:val="0"/>
                      <w:divBdr>
                        <w:top w:val="none" w:sz="0" w:space="0" w:color="auto"/>
                        <w:left w:val="none" w:sz="0" w:space="0" w:color="auto"/>
                        <w:bottom w:val="none" w:sz="0" w:space="0" w:color="auto"/>
                        <w:right w:val="none" w:sz="0" w:space="0" w:color="auto"/>
                      </w:divBdr>
                      <w:divsChild>
                        <w:div w:id="18761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022534">
      <w:bodyDiv w:val="1"/>
      <w:marLeft w:val="0"/>
      <w:marRight w:val="0"/>
      <w:marTop w:val="0"/>
      <w:marBottom w:val="0"/>
      <w:divBdr>
        <w:top w:val="none" w:sz="0" w:space="0" w:color="auto"/>
        <w:left w:val="none" w:sz="0" w:space="0" w:color="auto"/>
        <w:bottom w:val="none" w:sz="0" w:space="0" w:color="auto"/>
        <w:right w:val="none" w:sz="0" w:space="0" w:color="auto"/>
      </w:divBdr>
    </w:div>
    <w:div w:id="1545678377">
      <w:bodyDiv w:val="1"/>
      <w:marLeft w:val="0"/>
      <w:marRight w:val="1"/>
      <w:marTop w:val="0"/>
      <w:marBottom w:val="1500"/>
      <w:divBdr>
        <w:top w:val="none" w:sz="0" w:space="0" w:color="auto"/>
        <w:left w:val="none" w:sz="0" w:space="0" w:color="auto"/>
        <w:bottom w:val="none" w:sz="0" w:space="0" w:color="auto"/>
        <w:right w:val="none" w:sz="0" w:space="0" w:color="auto"/>
      </w:divBdr>
      <w:divsChild>
        <w:div w:id="1092051544">
          <w:marLeft w:val="2700"/>
          <w:marRight w:val="0"/>
          <w:marTop w:val="0"/>
          <w:marBottom w:val="0"/>
          <w:divBdr>
            <w:top w:val="none" w:sz="0" w:space="0" w:color="auto"/>
            <w:left w:val="none" w:sz="0" w:space="0" w:color="auto"/>
            <w:bottom w:val="none" w:sz="0" w:space="0" w:color="auto"/>
            <w:right w:val="none" w:sz="0" w:space="0" w:color="auto"/>
          </w:divBdr>
          <w:divsChild>
            <w:div w:id="1112021115">
              <w:marLeft w:val="0"/>
              <w:marRight w:val="0"/>
              <w:marTop w:val="0"/>
              <w:marBottom w:val="0"/>
              <w:divBdr>
                <w:top w:val="none" w:sz="0" w:space="0" w:color="auto"/>
                <w:left w:val="none" w:sz="0" w:space="0" w:color="auto"/>
                <w:bottom w:val="none" w:sz="0" w:space="0" w:color="auto"/>
                <w:right w:val="none" w:sz="0" w:space="0" w:color="auto"/>
              </w:divBdr>
              <w:divsChild>
                <w:div w:id="7202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531459">
      <w:bodyDiv w:val="1"/>
      <w:marLeft w:val="0"/>
      <w:marRight w:val="0"/>
      <w:marTop w:val="0"/>
      <w:marBottom w:val="0"/>
      <w:divBdr>
        <w:top w:val="none" w:sz="0" w:space="0" w:color="auto"/>
        <w:left w:val="none" w:sz="0" w:space="0" w:color="auto"/>
        <w:bottom w:val="none" w:sz="0" w:space="0" w:color="auto"/>
        <w:right w:val="none" w:sz="0" w:space="0" w:color="auto"/>
      </w:divBdr>
      <w:divsChild>
        <w:div w:id="1661348626">
          <w:marLeft w:val="0"/>
          <w:marRight w:val="0"/>
          <w:marTop w:val="0"/>
          <w:marBottom w:val="0"/>
          <w:divBdr>
            <w:top w:val="single" w:sz="2" w:space="0" w:color="2E2E2E"/>
            <w:left w:val="single" w:sz="2" w:space="0" w:color="2E2E2E"/>
            <w:bottom w:val="single" w:sz="2" w:space="0" w:color="2E2E2E"/>
            <w:right w:val="single" w:sz="2" w:space="0" w:color="2E2E2E"/>
          </w:divBdr>
          <w:divsChild>
            <w:div w:id="155848444">
              <w:marLeft w:val="0"/>
              <w:marRight w:val="0"/>
              <w:marTop w:val="15"/>
              <w:marBottom w:val="0"/>
              <w:divBdr>
                <w:top w:val="none" w:sz="0" w:space="0" w:color="auto"/>
                <w:left w:val="none" w:sz="0" w:space="0" w:color="auto"/>
                <w:bottom w:val="none" w:sz="0" w:space="0" w:color="auto"/>
                <w:right w:val="none" w:sz="0" w:space="0" w:color="auto"/>
              </w:divBdr>
              <w:divsChild>
                <w:div w:id="1973245561">
                  <w:marLeft w:val="0"/>
                  <w:marRight w:val="0"/>
                  <w:marTop w:val="0"/>
                  <w:marBottom w:val="0"/>
                  <w:divBdr>
                    <w:top w:val="none" w:sz="0" w:space="0" w:color="auto"/>
                    <w:left w:val="none" w:sz="0" w:space="0" w:color="auto"/>
                    <w:bottom w:val="none" w:sz="0" w:space="0" w:color="auto"/>
                    <w:right w:val="none" w:sz="0" w:space="0" w:color="auto"/>
                  </w:divBdr>
                  <w:divsChild>
                    <w:div w:id="15876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19313">
      <w:bodyDiv w:val="1"/>
      <w:marLeft w:val="0"/>
      <w:marRight w:val="0"/>
      <w:marTop w:val="0"/>
      <w:marBottom w:val="0"/>
      <w:divBdr>
        <w:top w:val="none" w:sz="0" w:space="0" w:color="auto"/>
        <w:left w:val="none" w:sz="0" w:space="0" w:color="auto"/>
        <w:bottom w:val="none" w:sz="0" w:space="0" w:color="auto"/>
        <w:right w:val="none" w:sz="0" w:space="0" w:color="auto"/>
      </w:divBdr>
    </w:div>
    <w:div w:id="1588878321">
      <w:bodyDiv w:val="1"/>
      <w:marLeft w:val="0"/>
      <w:marRight w:val="0"/>
      <w:marTop w:val="0"/>
      <w:marBottom w:val="0"/>
      <w:divBdr>
        <w:top w:val="none" w:sz="0" w:space="0" w:color="auto"/>
        <w:left w:val="none" w:sz="0" w:space="0" w:color="auto"/>
        <w:bottom w:val="none" w:sz="0" w:space="0" w:color="auto"/>
        <w:right w:val="none" w:sz="0" w:space="0" w:color="auto"/>
      </w:divBdr>
      <w:divsChild>
        <w:div w:id="1116212874">
          <w:marLeft w:val="0"/>
          <w:marRight w:val="0"/>
          <w:marTop w:val="0"/>
          <w:marBottom w:val="0"/>
          <w:divBdr>
            <w:top w:val="none" w:sz="0" w:space="0" w:color="auto"/>
            <w:left w:val="none" w:sz="0" w:space="0" w:color="auto"/>
            <w:bottom w:val="none" w:sz="0" w:space="0" w:color="auto"/>
            <w:right w:val="none" w:sz="0" w:space="0" w:color="auto"/>
          </w:divBdr>
          <w:divsChild>
            <w:div w:id="687415603">
              <w:marLeft w:val="0"/>
              <w:marRight w:val="0"/>
              <w:marTop w:val="0"/>
              <w:marBottom w:val="0"/>
              <w:divBdr>
                <w:top w:val="none" w:sz="0" w:space="0" w:color="auto"/>
                <w:left w:val="none" w:sz="0" w:space="0" w:color="auto"/>
                <w:bottom w:val="none" w:sz="0" w:space="0" w:color="auto"/>
                <w:right w:val="none" w:sz="0" w:space="0" w:color="auto"/>
              </w:divBdr>
              <w:divsChild>
                <w:div w:id="248198179">
                  <w:marLeft w:val="0"/>
                  <w:marRight w:val="0"/>
                  <w:marTop w:val="0"/>
                  <w:marBottom w:val="0"/>
                  <w:divBdr>
                    <w:top w:val="none" w:sz="0" w:space="0" w:color="auto"/>
                    <w:left w:val="none" w:sz="0" w:space="0" w:color="auto"/>
                    <w:bottom w:val="none" w:sz="0" w:space="0" w:color="auto"/>
                    <w:right w:val="none" w:sz="0" w:space="0" w:color="auto"/>
                  </w:divBdr>
                  <w:divsChild>
                    <w:div w:id="1474953820">
                      <w:marLeft w:val="0"/>
                      <w:marRight w:val="0"/>
                      <w:marTop w:val="0"/>
                      <w:marBottom w:val="0"/>
                      <w:divBdr>
                        <w:top w:val="none" w:sz="0" w:space="0" w:color="auto"/>
                        <w:left w:val="none" w:sz="0" w:space="0" w:color="auto"/>
                        <w:bottom w:val="none" w:sz="0" w:space="0" w:color="auto"/>
                        <w:right w:val="none" w:sz="0" w:space="0" w:color="auto"/>
                      </w:divBdr>
                      <w:divsChild>
                        <w:div w:id="1834761212">
                          <w:marLeft w:val="0"/>
                          <w:marRight w:val="0"/>
                          <w:marTop w:val="0"/>
                          <w:marBottom w:val="0"/>
                          <w:divBdr>
                            <w:top w:val="none" w:sz="0" w:space="0" w:color="auto"/>
                            <w:left w:val="none" w:sz="0" w:space="0" w:color="auto"/>
                            <w:bottom w:val="none" w:sz="0" w:space="0" w:color="auto"/>
                            <w:right w:val="none" w:sz="0" w:space="0" w:color="auto"/>
                          </w:divBdr>
                          <w:divsChild>
                            <w:div w:id="1418016097">
                              <w:marLeft w:val="0"/>
                              <w:marRight w:val="0"/>
                              <w:marTop w:val="0"/>
                              <w:marBottom w:val="0"/>
                              <w:divBdr>
                                <w:top w:val="none" w:sz="0" w:space="0" w:color="auto"/>
                                <w:left w:val="none" w:sz="0" w:space="0" w:color="auto"/>
                                <w:bottom w:val="none" w:sz="0" w:space="0" w:color="auto"/>
                                <w:right w:val="none" w:sz="0" w:space="0" w:color="auto"/>
                              </w:divBdr>
                              <w:divsChild>
                                <w:div w:id="1219244748">
                                  <w:marLeft w:val="0"/>
                                  <w:marRight w:val="0"/>
                                  <w:marTop w:val="0"/>
                                  <w:marBottom w:val="0"/>
                                  <w:divBdr>
                                    <w:top w:val="none" w:sz="0" w:space="0" w:color="auto"/>
                                    <w:left w:val="none" w:sz="0" w:space="0" w:color="auto"/>
                                    <w:bottom w:val="none" w:sz="0" w:space="0" w:color="auto"/>
                                    <w:right w:val="none" w:sz="0" w:space="0" w:color="auto"/>
                                  </w:divBdr>
                                  <w:divsChild>
                                    <w:div w:id="2067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942972">
      <w:bodyDiv w:val="1"/>
      <w:marLeft w:val="0"/>
      <w:marRight w:val="0"/>
      <w:marTop w:val="0"/>
      <w:marBottom w:val="0"/>
      <w:divBdr>
        <w:top w:val="none" w:sz="0" w:space="0" w:color="auto"/>
        <w:left w:val="none" w:sz="0" w:space="0" w:color="auto"/>
        <w:bottom w:val="none" w:sz="0" w:space="0" w:color="auto"/>
        <w:right w:val="none" w:sz="0" w:space="0" w:color="auto"/>
      </w:divBdr>
      <w:divsChild>
        <w:div w:id="1203133038">
          <w:marLeft w:val="0"/>
          <w:marRight w:val="0"/>
          <w:marTop w:val="0"/>
          <w:marBottom w:val="0"/>
          <w:divBdr>
            <w:top w:val="none" w:sz="0" w:space="0" w:color="auto"/>
            <w:left w:val="none" w:sz="0" w:space="0" w:color="auto"/>
            <w:bottom w:val="none" w:sz="0" w:space="0" w:color="auto"/>
            <w:right w:val="none" w:sz="0" w:space="0" w:color="auto"/>
          </w:divBdr>
          <w:divsChild>
            <w:div w:id="832381940">
              <w:marLeft w:val="0"/>
              <w:marRight w:val="0"/>
              <w:marTop w:val="0"/>
              <w:marBottom w:val="0"/>
              <w:divBdr>
                <w:top w:val="none" w:sz="0" w:space="0" w:color="auto"/>
                <w:left w:val="none" w:sz="0" w:space="0" w:color="auto"/>
                <w:bottom w:val="none" w:sz="0" w:space="0" w:color="auto"/>
                <w:right w:val="none" w:sz="0" w:space="0" w:color="auto"/>
              </w:divBdr>
              <w:divsChild>
                <w:div w:id="1066993746">
                  <w:marLeft w:val="0"/>
                  <w:marRight w:val="0"/>
                  <w:marTop w:val="0"/>
                  <w:marBottom w:val="0"/>
                  <w:divBdr>
                    <w:top w:val="none" w:sz="0" w:space="0" w:color="auto"/>
                    <w:left w:val="none" w:sz="0" w:space="0" w:color="auto"/>
                    <w:bottom w:val="none" w:sz="0" w:space="0" w:color="auto"/>
                    <w:right w:val="none" w:sz="0" w:space="0" w:color="auto"/>
                  </w:divBdr>
                  <w:divsChild>
                    <w:div w:id="609049888">
                      <w:marLeft w:val="0"/>
                      <w:marRight w:val="0"/>
                      <w:marTop w:val="0"/>
                      <w:marBottom w:val="0"/>
                      <w:divBdr>
                        <w:top w:val="none" w:sz="0" w:space="0" w:color="auto"/>
                        <w:left w:val="none" w:sz="0" w:space="0" w:color="auto"/>
                        <w:bottom w:val="none" w:sz="0" w:space="0" w:color="auto"/>
                        <w:right w:val="none" w:sz="0" w:space="0" w:color="auto"/>
                      </w:divBdr>
                      <w:divsChild>
                        <w:div w:id="381054020">
                          <w:marLeft w:val="0"/>
                          <w:marRight w:val="0"/>
                          <w:marTop w:val="0"/>
                          <w:marBottom w:val="0"/>
                          <w:divBdr>
                            <w:top w:val="none" w:sz="0" w:space="0" w:color="auto"/>
                            <w:left w:val="none" w:sz="0" w:space="0" w:color="auto"/>
                            <w:bottom w:val="none" w:sz="0" w:space="0" w:color="auto"/>
                            <w:right w:val="none" w:sz="0" w:space="0" w:color="auto"/>
                          </w:divBdr>
                          <w:divsChild>
                            <w:div w:id="490098501">
                              <w:marLeft w:val="0"/>
                              <w:marRight w:val="0"/>
                              <w:marTop w:val="0"/>
                              <w:marBottom w:val="0"/>
                              <w:divBdr>
                                <w:top w:val="none" w:sz="0" w:space="0" w:color="auto"/>
                                <w:left w:val="none" w:sz="0" w:space="0" w:color="auto"/>
                                <w:bottom w:val="none" w:sz="0" w:space="0" w:color="auto"/>
                                <w:right w:val="none" w:sz="0" w:space="0" w:color="auto"/>
                              </w:divBdr>
                              <w:divsChild>
                                <w:div w:id="113332133">
                                  <w:marLeft w:val="0"/>
                                  <w:marRight w:val="0"/>
                                  <w:marTop w:val="0"/>
                                  <w:marBottom w:val="0"/>
                                  <w:divBdr>
                                    <w:top w:val="none" w:sz="0" w:space="0" w:color="auto"/>
                                    <w:left w:val="none" w:sz="0" w:space="0" w:color="auto"/>
                                    <w:bottom w:val="none" w:sz="0" w:space="0" w:color="auto"/>
                                    <w:right w:val="none" w:sz="0" w:space="0" w:color="auto"/>
                                  </w:divBdr>
                                  <w:divsChild>
                                    <w:div w:id="11287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698954">
      <w:bodyDiv w:val="1"/>
      <w:marLeft w:val="0"/>
      <w:marRight w:val="0"/>
      <w:marTop w:val="0"/>
      <w:marBottom w:val="0"/>
      <w:divBdr>
        <w:top w:val="none" w:sz="0" w:space="0" w:color="auto"/>
        <w:left w:val="none" w:sz="0" w:space="0" w:color="auto"/>
        <w:bottom w:val="none" w:sz="0" w:space="0" w:color="auto"/>
        <w:right w:val="none" w:sz="0" w:space="0" w:color="auto"/>
      </w:divBdr>
      <w:divsChild>
        <w:div w:id="512964201">
          <w:marLeft w:val="0"/>
          <w:marRight w:val="0"/>
          <w:marTop w:val="0"/>
          <w:marBottom w:val="0"/>
          <w:divBdr>
            <w:top w:val="none" w:sz="0" w:space="0" w:color="auto"/>
            <w:left w:val="none" w:sz="0" w:space="0" w:color="auto"/>
            <w:bottom w:val="none" w:sz="0" w:space="0" w:color="auto"/>
            <w:right w:val="none" w:sz="0" w:space="0" w:color="auto"/>
          </w:divBdr>
          <w:divsChild>
            <w:div w:id="636372481">
              <w:marLeft w:val="0"/>
              <w:marRight w:val="0"/>
              <w:marTop w:val="0"/>
              <w:marBottom w:val="0"/>
              <w:divBdr>
                <w:top w:val="none" w:sz="0" w:space="0" w:color="auto"/>
                <w:left w:val="none" w:sz="0" w:space="0" w:color="auto"/>
                <w:bottom w:val="none" w:sz="0" w:space="0" w:color="auto"/>
                <w:right w:val="none" w:sz="0" w:space="0" w:color="auto"/>
              </w:divBdr>
              <w:divsChild>
                <w:div w:id="1861046969">
                  <w:marLeft w:val="0"/>
                  <w:marRight w:val="0"/>
                  <w:marTop w:val="0"/>
                  <w:marBottom w:val="0"/>
                  <w:divBdr>
                    <w:top w:val="none" w:sz="0" w:space="0" w:color="auto"/>
                    <w:left w:val="none" w:sz="0" w:space="0" w:color="auto"/>
                    <w:bottom w:val="none" w:sz="0" w:space="0" w:color="auto"/>
                    <w:right w:val="none" w:sz="0" w:space="0" w:color="auto"/>
                  </w:divBdr>
                  <w:divsChild>
                    <w:div w:id="35814205">
                      <w:marLeft w:val="0"/>
                      <w:marRight w:val="0"/>
                      <w:marTop w:val="0"/>
                      <w:marBottom w:val="0"/>
                      <w:divBdr>
                        <w:top w:val="none" w:sz="0" w:space="0" w:color="auto"/>
                        <w:left w:val="none" w:sz="0" w:space="0" w:color="auto"/>
                        <w:bottom w:val="none" w:sz="0" w:space="0" w:color="auto"/>
                        <w:right w:val="none" w:sz="0" w:space="0" w:color="auto"/>
                      </w:divBdr>
                      <w:divsChild>
                        <w:div w:id="128938562">
                          <w:marLeft w:val="0"/>
                          <w:marRight w:val="0"/>
                          <w:marTop w:val="0"/>
                          <w:marBottom w:val="0"/>
                          <w:divBdr>
                            <w:top w:val="none" w:sz="0" w:space="0" w:color="auto"/>
                            <w:left w:val="none" w:sz="0" w:space="0" w:color="auto"/>
                            <w:bottom w:val="none" w:sz="0" w:space="0" w:color="auto"/>
                            <w:right w:val="none" w:sz="0" w:space="0" w:color="auto"/>
                          </w:divBdr>
                          <w:divsChild>
                            <w:div w:id="269625043">
                              <w:marLeft w:val="0"/>
                              <w:marRight w:val="0"/>
                              <w:marTop w:val="0"/>
                              <w:marBottom w:val="0"/>
                              <w:divBdr>
                                <w:top w:val="none" w:sz="0" w:space="0" w:color="auto"/>
                                <w:left w:val="none" w:sz="0" w:space="0" w:color="auto"/>
                                <w:bottom w:val="none" w:sz="0" w:space="0" w:color="auto"/>
                                <w:right w:val="none" w:sz="0" w:space="0" w:color="auto"/>
                              </w:divBdr>
                              <w:divsChild>
                                <w:div w:id="1910462517">
                                  <w:marLeft w:val="0"/>
                                  <w:marRight w:val="0"/>
                                  <w:marTop w:val="0"/>
                                  <w:marBottom w:val="0"/>
                                  <w:divBdr>
                                    <w:top w:val="none" w:sz="0" w:space="0" w:color="auto"/>
                                    <w:left w:val="none" w:sz="0" w:space="0" w:color="auto"/>
                                    <w:bottom w:val="none" w:sz="0" w:space="0" w:color="auto"/>
                                    <w:right w:val="none" w:sz="0" w:space="0" w:color="auto"/>
                                  </w:divBdr>
                                  <w:divsChild>
                                    <w:div w:id="675114808">
                                      <w:marLeft w:val="0"/>
                                      <w:marRight w:val="0"/>
                                      <w:marTop w:val="0"/>
                                      <w:marBottom w:val="0"/>
                                      <w:divBdr>
                                        <w:top w:val="none" w:sz="0" w:space="0" w:color="auto"/>
                                        <w:left w:val="none" w:sz="0" w:space="0" w:color="auto"/>
                                        <w:bottom w:val="none" w:sz="0" w:space="0" w:color="auto"/>
                                        <w:right w:val="none" w:sz="0" w:space="0" w:color="auto"/>
                                      </w:divBdr>
                                      <w:divsChild>
                                        <w:div w:id="3465675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257147">
      <w:bodyDiv w:val="1"/>
      <w:marLeft w:val="0"/>
      <w:marRight w:val="0"/>
      <w:marTop w:val="0"/>
      <w:marBottom w:val="0"/>
      <w:divBdr>
        <w:top w:val="none" w:sz="0" w:space="0" w:color="auto"/>
        <w:left w:val="none" w:sz="0" w:space="0" w:color="auto"/>
        <w:bottom w:val="none" w:sz="0" w:space="0" w:color="auto"/>
        <w:right w:val="none" w:sz="0" w:space="0" w:color="auto"/>
      </w:divBdr>
      <w:divsChild>
        <w:div w:id="599070280">
          <w:marLeft w:val="0"/>
          <w:marRight w:val="0"/>
          <w:marTop w:val="0"/>
          <w:marBottom w:val="0"/>
          <w:divBdr>
            <w:top w:val="none" w:sz="0" w:space="0" w:color="auto"/>
            <w:left w:val="single" w:sz="2" w:space="0" w:color="2E2E2E"/>
            <w:bottom w:val="single" w:sz="2" w:space="0" w:color="2E2E2E"/>
            <w:right w:val="single" w:sz="2" w:space="0" w:color="2E2E2E"/>
          </w:divBdr>
          <w:divsChild>
            <w:div w:id="62797458">
              <w:marLeft w:val="0"/>
              <w:marRight w:val="0"/>
              <w:marTop w:val="15"/>
              <w:marBottom w:val="0"/>
              <w:divBdr>
                <w:top w:val="none" w:sz="0" w:space="0" w:color="auto"/>
                <w:left w:val="none" w:sz="0" w:space="0" w:color="auto"/>
                <w:bottom w:val="none" w:sz="0" w:space="0" w:color="auto"/>
                <w:right w:val="none" w:sz="0" w:space="0" w:color="auto"/>
              </w:divBdr>
              <w:divsChild>
                <w:div w:id="1890913795">
                  <w:marLeft w:val="0"/>
                  <w:marRight w:val="0"/>
                  <w:marTop w:val="0"/>
                  <w:marBottom w:val="0"/>
                  <w:divBdr>
                    <w:top w:val="none" w:sz="0" w:space="0" w:color="auto"/>
                    <w:left w:val="none" w:sz="0" w:space="0" w:color="auto"/>
                    <w:bottom w:val="none" w:sz="0" w:space="0" w:color="auto"/>
                    <w:right w:val="none" w:sz="0" w:space="0" w:color="auto"/>
                  </w:divBdr>
                  <w:divsChild>
                    <w:div w:id="143469577">
                      <w:marLeft w:val="0"/>
                      <w:marRight w:val="0"/>
                      <w:marTop w:val="0"/>
                      <w:marBottom w:val="0"/>
                      <w:divBdr>
                        <w:top w:val="none" w:sz="0" w:space="0" w:color="auto"/>
                        <w:left w:val="none" w:sz="0" w:space="0" w:color="auto"/>
                        <w:bottom w:val="none" w:sz="0" w:space="0" w:color="auto"/>
                        <w:right w:val="none" w:sz="0" w:space="0" w:color="auto"/>
                      </w:divBdr>
                      <w:divsChild>
                        <w:div w:id="121931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260159">
      <w:bodyDiv w:val="1"/>
      <w:marLeft w:val="0"/>
      <w:marRight w:val="0"/>
      <w:marTop w:val="0"/>
      <w:marBottom w:val="0"/>
      <w:divBdr>
        <w:top w:val="none" w:sz="0" w:space="0" w:color="auto"/>
        <w:left w:val="none" w:sz="0" w:space="0" w:color="auto"/>
        <w:bottom w:val="none" w:sz="0" w:space="0" w:color="auto"/>
        <w:right w:val="none" w:sz="0" w:space="0" w:color="auto"/>
      </w:divBdr>
      <w:divsChild>
        <w:div w:id="1617131404">
          <w:marLeft w:val="0"/>
          <w:marRight w:val="0"/>
          <w:marTop w:val="0"/>
          <w:marBottom w:val="0"/>
          <w:divBdr>
            <w:top w:val="none" w:sz="0" w:space="0" w:color="auto"/>
            <w:left w:val="none" w:sz="0" w:space="0" w:color="auto"/>
            <w:bottom w:val="none" w:sz="0" w:space="0" w:color="auto"/>
            <w:right w:val="none" w:sz="0" w:space="0" w:color="auto"/>
          </w:divBdr>
          <w:divsChild>
            <w:div w:id="1988124274">
              <w:marLeft w:val="0"/>
              <w:marRight w:val="0"/>
              <w:marTop w:val="0"/>
              <w:marBottom w:val="0"/>
              <w:divBdr>
                <w:top w:val="none" w:sz="0" w:space="0" w:color="auto"/>
                <w:left w:val="none" w:sz="0" w:space="0" w:color="auto"/>
                <w:bottom w:val="none" w:sz="0" w:space="0" w:color="auto"/>
                <w:right w:val="none" w:sz="0" w:space="0" w:color="auto"/>
              </w:divBdr>
              <w:divsChild>
                <w:div w:id="1009481603">
                  <w:marLeft w:val="0"/>
                  <w:marRight w:val="0"/>
                  <w:marTop w:val="0"/>
                  <w:marBottom w:val="0"/>
                  <w:divBdr>
                    <w:top w:val="none" w:sz="0" w:space="0" w:color="auto"/>
                    <w:left w:val="none" w:sz="0" w:space="0" w:color="auto"/>
                    <w:bottom w:val="none" w:sz="0" w:space="0" w:color="auto"/>
                    <w:right w:val="none" w:sz="0" w:space="0" w:color="auto"/>
                  </w:divBdr>
                  <w:divsChild>
                    <w:div w:id="1685091331">
                      <w:marLeft w:val="0"/>
                      <w:marRight w:val="0"/>
                      <w:marTop w:val="0"/>
                      <w:marBottom w:val="0"/>
                      <w:divBdr>
                        <w:top w:val="none" w:sz="0" w:space="0" w:color="auto"/>
                        <w:left w:val="none" w:sz="0" w:space="0" w:color="auto"/>
                        <w:bottom w:val="none" w:sz="0" w:space="0" w:color="auto"/>
                        <w:right w:val="none" w:sz="0" w:space="0" w:color="auto"/>
                      </w:divBdr>
                      <w:divsChild>
                        <w:div w:id="891423797">
                          <w:marLeft w:val="0"/>
                          <w:marRight w:val="0"/>
                          <w:marTop w:val="0"/>
                          <w:marBottom w:val="0"/>
                          <w:divBdr>
                            <w:top w:val="none" w:sz="0" w:space="0" w:color="auto"/>
                            <w:left w:val="none" w:sz="0" w:space="0" w:color="auto"/>
                            <w:bottom w:val="none" w:sz="0" w:space="0" w:color="auto"/>
                            <w:right w:val="none" w:sz="0" w:space="0" w:color="auto"/>
                          </w:divBdr>
                          <w:divsChild>
                            <w:div w:id="1088187841">
                              <w:marLeft w:val="0"/>
                              <w:marRight w:val="0"/>
                              <w:marTop w:val="0"/>
                              <w:marBottom w:val="0"/>
                              <w:divBdr>
                                <w:top w:val="none" w:sz="0" w:space="0" w:color="auto"/>
                                <w:left w:val="none" w:sz="0" w:space="0" w:color="auto"/>
                                <w:bottom w:val="none" w:sz="0" w:space="0" w:color="auto"/>
                                <w:right w:val="none" w:sz="0" w:space="0" w:color="auto"/>
                              </w:divBdr>
                              <w:divsChild>
                                <w:div w:id="129572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764181">
      <w:bodyDiv w:val="1"/>
      <w:marLeft w:val="0"/>
      <w:marRight w:val="0"/>
      <w:marTop w:val="0"/>
      <w:marBottom w:val="0"/>
      <w:divBdr>
        <w:top w:val="none" w:sz="0" w:space="0" w:color="auto"/>
        <w:left w:val="none" w:sz="0" w:space="0" w:color="auto"/>
        <w:bottom w:val="none" w:sz="0" w:space="0" w:color="auto"/>
        <w:right w:val="none" w:sz="0" w:space="0" w:color="auto"/>
      </w:divBdr>
    </w:div>
    <w:div w:id="1885436049">
      <w:bodyDiv w:val="1"/>
      <w:marLeft w:val="0"/>
      <w:marRight w:val="0"/>
      <w:marTop w:val="0"/>
      <w:marBottom w:val="0"/>
      <w:divBdr>
        <w:top w:val="none" w:sz="0" w:space="0" w:color="auto"/>
        <w:left w:val="none" w:sz="0" w:space="0" w:color="auto"/>
        <w:bottom w:val="none" w:sz="0" w:space="0" w:color="auto"/>
        <w:right w:val="none" w:sz="0" w:space="0" w:color="auto"/>
      </w:divBdr>
      <w:divsChild>
        <w:div w:id="395125265">
          <w:marLeft w:val="3075"/>
          <w:marRight w:val="0"/>
          <w:marTop w:val="0"/>
          <w:marBottom w:val="0"/>
          <w:divBdr>
            <w:top w:val="single" w:sz="6" w:space="4" w:color="CCCCCC"/>
            <w:left w:val="single" w:sz="6" w:space="15" w:color="CCCCCC"/>
            <w:bottom w:val="single" w:sz="6" w:space="4" w:color="CCCCCC"/>
            <w:right w:val="single" w:sz="6" w:space="15" w:color="CCCCCC"/>
          </w:divBdr>
          <w:divsChild>
            <w:div w:id="11089668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53047248">
      <w:bodyDiv w:val="1"/>
      <w:marLeft w:val="0"/>
      <w:marRight w:val="0"/>
      <w:marTop w:val="0"/>
      <w:marBottom w:val="0"/>
      <w:divBdr>
        <w:top w:val="none" w:sz="0" w:space="0" w:color="auto"/>
        <w:left w:val="none" w:sz="0" w:space="0" w:color="auto"/>
        <w:bottom w:val="none" w:sz="0" w:space="0" w:color="auto"/>
        <w:right w:val="none" w:sz="0" w:space="0" w:color="auto"/>
      </w:divBdr>
      <w:divsChild>
        <w:div w:id="1489513314">
          <w:marLeft w:val="0"/>
          <w:marRight w:val="0"/>
          <w:marTop w:val="0"/>
          <w:marBottom w:val="0"/>
          <w:divBdr>
            <w:top w:val="none" w:sz="0" w:space="0" w:color="auto"/>
            <w:left w:val="single" w:sz="2" w:space="0" w:color="2E2E2E"/>
            <w:bottom w:val="single" w:sz="2" w:space="0" w:color="2E2E2E"/>
            <w:right w:val="single" w:sz="2" w:space="0" w:color="2E2E2E"/>
          </w:divBdr>
          <w:divsChild>
            <w:div w:id="1262687095">
              <w:marLeft w:val="0"/>
              <w:marRight w:val="0"/>
              <w:marTop w:val="15"/>
              <w:marBottom w:val="0"/>
              <w:divBdr>
                <w:top w:val="none" w:sz="0" w:space="0" w:color="auto"/>
                <w:left w:val="none" w:sz="0" w:space="0" w:color="auto"/>
                <w:bottom w:val="none" w:sz="0" w:space="0" w:color="auto"/>
                <w:right w:val="none" w:sz="0" w:space="0" w:color="auto"/>
              </w:divBdr>
              <w:divsChild>
                <w:div w:id="1986884228">
                  <w:marLeft w:val="0"/>
                  <w:marRight w:val="0"/>
                  <w:marTop w:val="0"/>
                  <w:marBottom w:val="0"/>
                  <w:divBdr>
                    <w:top w:val="none" w:sz="0" w:space="0" w:color="auto"/>
                    <w:left w:val="none" w:sz="0" w:space="0" w:color="auto"/>
                    <w:bottom w:val="none" w:sz="0" w:space="0" w:color="auto"/>
                    <w:right w:val="none" w:sz="0" w:space="0" w:color="auto"/>
                  </w:divBdr>
                  <w:divsChild>
                    <w:div w:id="15809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939320">
      <w:bodyDiv w:val="1"/>
      <w:marLeft w:val="0"/>
      <w:marRight w:val="0"/>
      <w:marTop w:val="0"/>
      <w:marBottom w:val="0"/>
      <w:divBdr>
        <w:top w:val="none" w:sz="0" w:space="0" w:color="auto"/>
        <w:left w:val="none" w:sz="0" w:space="0" w:color="auto"/>
        <w:bottom w:val="none" w:sz="0" w:space="0" w:color="auto"/>
        <w:right w:val="none" w:sz="0" w:space="0" w:color="auto"/>
      </w:divBdr>
    </w:div>
    <w:div w:id="1979148333">
      <w:bodyDiv w:val="1"/>
      <w:marLeft w:val="0"/>
      <w:marRight w:val="0"/>
      <w:marTop w:val="0"/>
      <w:marBottom w:val="0"/>
      <w:divBdr>
        <w:top w:val="none" w:sz="0" w:space="0" w:color="auto"/>
        <w:left w:val="none" w:sz="0" w:space="0" w:color="auto"/>
        <w:bottom w:val="none" w:sz="0" w:space="0" w:color="auto"/>
        <w:right w:val="none" w:sz="0" w:space="0" w:color="auto"/>
      </w:divBdr>
      <w:divsChild>
        <w:div w:id="318774067">
          <w:marLeft w:val="0"/>
          <w:marRight w:val="0"/>
          <w:marTop w:val="0"/>
          <w:marBottom w:val="0"/>
          <w:divBdr>
            <w:top w:val="none" w:sz="0" w:space="0" w:color="auto"/>
            <w:left w:val="none" w:sz="0" w:space="0" w:color="auto"/>
            <w:bottom w:val="none" w:sz="0" w:space="0" w:color="auto"/>
            <w:right w:val="none" w:sz="0" w:space="0" w:color="auto"/>
          </w:divBdr>
          <w:divsChild>
            <w:div w:id="13265104">
              <w:marLeft w:val="0"/>
              <w:marRight w:val="0"/>
              <w:marTop w:val="0"/>
              <w:marBottom w:val="0"/>
              <w:divBdr>
                <w:top w:val="none" w:sz="0" w:space="0" w:color="auto"/>
                <w:left w:val="none" w:sz="0" w:space="0" w:color="auto"/>
                <w:bottom w:val="none" w:sz="0" w:space="0" w:color="auto"/>
                <w:right w:val="none" w:sz="0" w:space="0" w:color="auto"/>
              </w:divBdr>
              <w:divsChild>
                <w:div w:id="819613244">
                  <w:marLeft w:val="0"/>
                  <w:marRight w:val="0"/>
                  <w:marTop w:val="0"/>
                  <w:marBottom w:val="0"/>
                  <w:divBdr>
                    <w:top w:val="none" w:sz="0" w:space="0" w:color="auto"/>
                    <w:left w:val="none" w:sz="0" w:space="0" w:color="auto"/>
                    <w:bottom w:val="none" w:sz="0" w:space="0" w:color="auto"/>
                    <w:right w:val="none" w:sz="0" w:space="0" w:color="auto"/>
                  </w:divBdr>
                  <w:divsChild>
                    <w:div w:id="7372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161404">
      <w:bodyDiv w:val="1"/>
      <w:marLeft w:val="0"/>
      <w:marRight w:val="0"/>
      <w:marTop w:val="0"/>
      <w:marBottom w:val="0"/>
      <w:divBdr>
        <w:top w:val="none" w:sz="0" w:space="0" w:color="auto"/>
        <w:left w:val="none" w:sz="0" w:space="0" w:color="auto"/>
        <w:bottom w:val="none" w:sz="0" w:space="0" w:color="auto"/>
        <w:right w:val="none" w:sz="0" w:space="0" w:color="auto"/>
      </w:divBdr>
      <w:divsChild>
        <w:div w:id="505706734">
          <w:marLeft w:val="0"/>
          <w:marRight w:val="0"/>
          <w:marTop w:val="0"/>
          <w:marBottom w:val="0"/>
          <w:divBdr>
            <w:top w:val="none" w:sz="0" w:space="0" w:color="auto"/>
            <w:left w:val="none" w:sz="0" w:space="0" w:color="auto"/>
            <w:bottom w:val="none" w:sz="0" w:space="0" w:color="auto"/>
            <w:right w:val="none" w:sz="0" w:space="0" w:color="auto"/>
          </w:divBdr>
          <w:divsChild>
            <w:div w:id="591818177">
              <w:marLeft w:val="0"/>
              <w:marRight w:val="0"/>
              <w:marTop w:val="0"/>
              <w:marBottom w:val="0"/>
              <w:divBdr>
                <w:top w:val="none" w:sz="0" w:space="0" w:color="auto"/>
                <w:left w:val="none" w:sz="0" w:space="0" w:color="auto"/>
                <w:bottom w:val="none" w:sz="0" w:space="0" w:color="auto"/>
                <w:right w:val="none" w:sz="0" w:space="0" w:color="auto"/>
              </w:divBdr>
              <w:divsChild>
                <w:div w:id="1888451053">
                  <w:marLeft w:val="0"/>
                  <w:marRight w:val="150"/>
                  <w:marTop w:val="0"/>
                  <w:marBottom w:val="0"/>
                  <w:divBdr>
                    <w:top w:val="none" w:sz="0" w:space="0" w:color="auto"/>
                    <w:left w:val="none" w:sz="0" w:space="0" w:color="auto"/>
                    <w:bottom w:val="single" w:sz="6" w:space="0" w:color="EEEEEE"/>
                    <w:right w:val="single" w:sz="6" w:space="0" w:color="EEEEEE"/>
                  </w:divBdr>
                  <w:divsChild>
                    <w:div w:id="1417897250">
                      <w:marLeft w:val="0"/>
                      <w:marRight w:val="0"/>
                      <w:marTop w:val="0"/>
                      <w:marBottom w:val="0"/>
                      <w:divBdr>
                        <w:top w:val="none" w:sz="0" w:space="0" w:color="auto"/>
                        <w:left w:val="single" w:sz="6" w:space="0" w:color="D5DABA"/>
                        <w:bottom w:val="none" w:sz="0" w:space="0" w:color="auto"/>
                        <w:right w:val="none" w:sz="0" w:space="0" w:color="auto"/>
                      </w:divBdr>
                      <w:divsChild>
                        <w:div w:id="1982416966">
                          <w:marLeft w:val="-15"/>
                          <w:marRight w:val="0"/>
                          <w:marTop w:val="0"/>
                          <w:marBottom w:val="0"/>
                          <w:divBdr>
                            <w:top w:val="none" w:sz="0" w:space="0" w:color="auto"/>
                            <w:left w:val="single" w:sz="6" w:space="0" w:color="FFFFFF"/>
                            <w:bottom w:val="none" w:sz="0" w:space="0" w:color="auto"/>
                            <w:right w:val="single" w:sz="48" w:space="0" w:color="EEEEEE"/>
                          </w:divBdr>
                          <w:divsChild>
                            <w:div w:id="5341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065206">
      <w:bodyDiv w:val="1"/>
      <w:marLeft w:val="0"/>
      <w:marRight w:val="0"/>
      <w:marTop w:val="0"/>
      <w:marBottom w:val="0"/>
      <w:divBdr>
        <w:top w:val="none" w:sz="0" w:space="0" w:color="auto"/>
        <w:left w:val="none" w:sz="0" w:space="0" w:color="auto"/>
        <w:bottom w:val="none" w:sz="0" w:space="0" w:color="auto"/>
        <w:right w:val="none" w:sz="0" w:space="0" w:color="auto"/>
      </w:divBdr>
    </w:div>
    <w:div w:id="2066759206">
      <w:bodyDiv w:val="1"/>
      <w:marLeft w:val="0"/>
      <w:marRight w:val="0"/>
      <w:marTop w:val="0"/>
      <w:marBottom w:val="0"/>
      <w:divBdr>
        <w:top w:val="none" w:sz="0" w:space="0" w:color="auto"/>
        <w:left w:val="none" w:sz="0" w:space="0" w:color="auto"/>
        <w:bottom w:val="none" w:sz="0" w:space="0" w:color="auto"/>
        <w:right w:val="none" w:sz="0" w:space="0" w:color="auto"/>
      </w:divBdr>
      <w:divsChild>
        <w:div w:id="1303197032">
          <w:marLeft w:val="0"/>
          <w:marRight w:val="0"/>
          <w:marTop w:val="0"/>
          <w:marBottom w:val="0"/>
          <w:divBdr>
            <w:top w:val="none" w:sz="0" w:space="0" w:color="auto"/>
            <w:left w:val="none" w:sz="0" w:space="0" w:color="auto"/>
            <w:bottom w:val="none" w:sz="0" w:space="0" w:color="auto"/>
            <w:right w:val="none" w:sz="0" w:space="0" w:color="auto"/>
          </w:divBdr>
          <w:divsChild>
            <w:div w:id="1794057160">
              <w:marLeft w:val="0"/>
              <w:marRight w:val="0"/>
              <w:marTop w:val="60"/>
              <w:marBottom w:val="0"/>
              <w:divBdr>
                <w:top w:val="none" w:sz="0" w:space="0" w:color="auto"/>
                <w:left w:val="none" w:sz="0" w:space="0" w:color="auto"/>
                <w:bottom w:val="none" w:sz="0" w:space="0" w:color="auto"/>
                <w:right w:val="none" w:sz="0" w:space="0" w:color="auto"/>
              </w:divBdr>
              <w:divsChild>
                <w:div w:id="1798984045">
                  <w:marLeft w:val="0"/>
                  <w:marRight w:val="0"/>
                  <w:marTop w:val="0"/>
                  <w:marBottom w:val="0"/>
                  <w:divBdr>
                    <w:top w:val="none" w:sz="0" w:space="0" w:color="auto"/>
                    <w:left w:val="none" w:sz="0" w:space="0" w:color="auto"/>
                    <w:bottom w:val="none" w:sz="0" w:space="0" w:color="auto"/>
                    <w:right w:val="none" w:sz="0" w:space="0" w:color="auto"/>
                  </w:divBdr>
                  <w:divsChild>
                    <w:div w:id="1038118429">
                      <w:marLeft w:val="0"/>
                      <w:marRight w:val="0"/>
                      <w:marTop w:val="0"/>
                      <w:marBottom w:val="0"/>
                      <w:divBdr>
                        <w:top w:val="none" w:sz="0" w:space="0" w:color="auto"/>
                        <w:left w:val="none" w:sz="0" w:space="0" w:color="auto"/>
                        <w:bottom w:val="none" w:sz="0" w:space="0" w:color="auto"/>
                        <w:right w:val="none" w:sz="0" w:space="0" w:color="auto"/>
                      </w:divBdr>
                      <w:divsChild>
                        <w:div w:id="17714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644541">
      <w:bodyDiv w:val="1"/>
      <w:marLeft w:val="0"/>
      <w:marRight w:val="0"/>
      <w:marTop w:val="0"/>
      <w:marBottom w:val="0"/>
      <w:divBdr>
        <w:top w:val="none" w:sz="0" w:space="0" w:color="auto"/>
        <w:left w:val="none" w:sz="0" w:space="0" w:color="auto"/>
        <w:bottom w:val="none" w:sz="0" w:space="0" w:color="auto"/>
        <w:right w:val="none" w:sz="0" w:space="0" w:color="auto"/>
      </w:divBdr>
      <w:divsChild>
        <w:div w:id="1123773250">
          <w:marLeft w:val="0"/>
          <w:marRight w:val="0"/>
          <w:marTop w:val="0"/>
          <w:marBottom w:val="0"/>
          <w:divBdr>
            <w:top w:val="none" w:sz="0" w:space="0" w:color="auto"/>
            <w:left w:val="none" w:sz="0" w:space="0" w:color="auto"/>
            <w:bottom w:val="none" w:sz="0" w:space="0" w:color="auto"/>
            <w:right w:val="none" w:sz="0" w:space="0" w:color="auto"/>
          </w:divBdr>
          <w:divsChild>
            <w:div w:id="193226861">
              <w:marLeft w:val="0"/>
              <w:marRight w:val="0"/>
              <w:marTop w:val="0"/>
              <w:marBottom w:val="0"/>
              <w:divBdr>
                <w:top w:val="none" w:sz="0" w:space="0" w:color="auto"/>
                <w:left w:val="none" w:sz="0" w:space="0" w:color="auto"/>
                <w:bottom w:val="none" w:sz="0" w:space="0" w:color="auto"/>
                <w:right w:val="none" w:sz="0" w:space="0" w:color="auto"/>
              </w:divBdr>
              <w:divsChild>
                <w:div w:id="285355782">
                  <w:marLeft w:val="0"/>
                  <w:marRight w:val="0"/>
                  <w:marTop w:val="0"/>
                  <w:marBottom w:val="0"/>
                  <w:divBdr>
                    <w:top w:val="none" w:sz="0" w:space="0" w:color="auto"/>
                    <w:left w:val="none" w:sz="0" w:space="0" w:color="auto"/>
                    <w:bottom w:val="none" w:sz="0" w:space="0" w:color="auto"/>
                    <w:right w:val="none" w:sz="0" w:space="0" w:color="auto"/>
                  </w:divBdr>
                  <w:divsChild>
                    <w:div w:id="1066026232">
                      <w:marLeft w:val="240"/>
                      <w:marRight w:val="240"/>
                      <w:marTop w:val="0"/>
                      <w:marBottom w:val="0"/>
                      <w:divBdr>
                        <w:top w:val="none" w:sz="0" w:space="0" w:color="auto"/>
                        <w:left w:val="none" w:sz="0" w:space="0" w:color="auto"/>
                        <w:bottom w:val="none" w:sz="0" w:space="0" w:color="auto"/>
                        <w:right w:val="none" w:sz="0" w:space="0" w:color="auto"/>
                      </w:divBdr>
                      <w:divsChild>
                        <w:div w:id="12773284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4207723">
      <w:bodyDiv w:val="1"/>
      <w:marLeft w:val="0"/>
      <w:marRight w:val="0"/>
      <w:marTop w:val="0"/>
      <w:marBottom w:val="0"/>
      <w:divBdr>
        <w:top w:val="none" w:sz="0" w:space="0" w:color="auto"/>
        <w:left w:val="none" w:sz="0" w:space="0" w:color="auto"/>
        <w:bottom w:val="none" w:sz="0" w:space="0" w:color="auto"/>
        <w:right w:val="none" w:sz="0" w:space="0" w:color="auto"/>
      </w:divBdr>
      <w:divsChild>
        <w:div w:id="1831483889">
          <w:marLeft w:val="0"/>
          <w:marRight w:val="1"/>
          <w:marTop w:val="0"/>
          <w:marBottom w:val="0"/>
          <w:divBdr>
            <w:top w:val="none" w:sz="0" w:space="0" w:color="auto"/>
            <w:left w:val="none" w:sz="0" w:space="0" w:color="auto"/>
            <w:bottom w:val="none" w:sz="0" w:space="0" w:color="auto"/>
            <w:right w:val="none" w:sz="0" w:space="0" w:color="auto"/>
          </w:divBdr>
          <w:divsChild>
            <w:div w:id="374158653">
              <w:marLeft w:val="0"/>
              <w:marRight w:val="0"/>
              <w:marTop w:val="0"/>
              <w:marBottom w:val="0"/>
              <w:divBdr>
                <w:top w:val="none" w:sz="0" w:space="0" w:color="auto"/>
                <w:left w:val="none" w:sz="0" w:space="0" w:color="auto"/>
                <w:bottom w:val="none" w:sz="0" w:space="0" w:color="auto"/>
                <w:right w:val="none" w:sz="0" w:space="0" w:color="auto"/>
              </w:divBdr>
              <w:divsChild>
                <w:div w:id="1937400980">
                  <w:marLeft w:val="0"/>
                  <w:marRight w:val="1"/>
                  <w:marTop w:val="0"/>
                  <w:marBottom w:val="0"/>
                  <w:divBdr>
                    <w:top w:val="none" w:sz="0" w:space="0" w:color="auto"/>
                    <w:left w:val="none" w:sz="0" w:space="0" w:color="auto"/>
                    <w:bottom w:val="none" w:sz="0" w:space="0" w:color="auto"/>
                    <w:right w:val="none" w:sz="0" w:space="0" w:color="auto"/>
                  </w:divBdr>
                  <w:divsChild>
                    <w:div w:id="2131824731">
                      <w:marLeft w:val="0"/>
                      <w:marRight w:val="0"/>
                      <w:marTop w:val="0"/>
                      <w:marBottom w:val="0"/>
                      <w:divBdr>
                        <w:top w:val="none" w:sz="0" w:space="0" w:color="auto"/>
                        <w:left w:val="none" w:sz="0" w:space="0" w:color="auto"/>
                        <w:bottom w:val="none" w:sz="0" w:space="0" w:color="auto"/>
                        <w:right w:val="none" w:sz="0" w:space="0" w:color="auto"/>
                      </w:divBdr>
                      <w:divsChild>
                        <w:div w:id="1275600644">
                          <w:marLeft w:val="0"/>
                          <w:marRight w:val="0"/>
                          <w:marTop w:val="0"/>
                          <w:marBottom w:val="0"/>
                          <w:divBdr>
                            <w:top w:val="none" w:sz="0" w:space="0" w:color="auto"/>
                            <w:left w:val="none" w:sz="0" w:space="0" w:color="auto"/>
                            <w:bottom w:val="none" w:sz="0" w:space="0" w:color="auto"/>
                            <w:right w:val="none" w:sz="0" w:space="0" w:color="auto"/>
                          </w:divBdr>
                          <w:divsChild>
                            <w:div w:id="1272740234">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292560">
      <w:bodyDiv w:val="1"/>
      <w:marLeft w:val="0"/>
      <w:marRight w:val="0"/>
      <w:marTop w:val="0"/>
      <w:marBottom w:val="0"/>
      <w:divBdr>
        <w:top w:val="none" w:sz="0" w:space="0" w:color="auto"/>
        <w:left w:val="none" w:sz="0" w:space="0" w:color="auto"/>
        <w:bottom w:val="none" w:sz="0" w:space="0" w:color="auto"/>
        <w:right w:val="none" w:sz="0" w:space="0" w:color="auto"/>
      </w:divBdr>
      <w:divsChild>
        <w:div w:id="2092655349">
          <w:marLeft w:val="0"/>
          <w:marRight w:val="0"/>
          <w:marTop w:val="0"/>
          <w:marBottom w:val="0"/>
          <w:divBdr>
            <w:top w:val="none" w:sz="0" w:space="0" w:color="auto"/>
            <w:left w:val="none" w:sz="0" w:space="0" w:color="auto"/>
            <w:bottom w:val="none" w:sz="0" w:space="0" w:color="auto"/>
            <w:right w:val="none" w:sz="0" w:space="0" w:color="auto"/>
          </w:divBdr>
          <w:divsChild>
            <w:div w:id="1502694465">
              <w:marLeft w:val="0"/>
              <w:marRight w:val="0"/>
              <w:marTop w:val="0"/>
              <w:marBottom w:val="0"/>
              <w:divBdr>
                <w:top w:val="none" w:sz="0" w:space="0" w:color="auto"/>
                <w:left w:val="none" w:sz="0" w:space="0" w:color="auto"/>
                <w:bottom w:val="none" w:sz="0" w:space="0" w:color="auto"/>
                <w:right w:val="none" w:sz="0" w:space="0" w:color="auto"/>
              </w:divBdr>
              <w:divsChild>
                <w:div w:id="1604653653">
                  <w:marLeft w:val="0"/>
                  <w:marRight w:val="-3075"/>
                  <w:marTop w:val="0"/>
                  <w:marBottom w:val="0"/>
                  <w:divBdr>
                    <w:top w:val="none" w:sz="0" w:space="0" w:color="auto"/>
                    <w:left w:val="none" w:sz="0" w:space="0" w:color="auto"/>
                    <w:bottom w:val="none" w:sz="0" w:space="0" w:color="auto"/>
                    <w:right w:val="none" w:sz="0" w:space="0" w:color="auto"/>
                  </w:divBdr>
                  <w:divsChild>
                    <w:div w:id="475222294">
                      <w:marLeft w:val="75"/>
                      <w:marRight w:val="3075"/>
                      <w:marTop w:val="0"/>
                      <w:marBottom w:val="0"/>
                      <w:divBdr>
                        <w:top w:val="none" w:sz="0" w:space="0" w:color="auto"/>
                        <w:left w:val="none" w:sz="0" w:space="0" w:color="auto"/>
                        <w:bottom w:val="none" w:sz="0" w:space="0" w:color="auto"/>
                        <w:right w:val="none" w:sz="0" w:space="0" w:color="auto"/>
                      </w:divBdr>
                      <w:divsChild>
                        <w:div w:id="1804033995">
                          <w:marLeft w:val="-2880"/>
                          <w:marRight w:val="0"/>
                          <w:marTop w:val="0"/>
                          <w:marBottom w:val="0"/>
                          <w:divBdr>
                            <w:top w:val="none" w:sz="0" w:space="0" w:color="auto"/>
                            <w:left w:val="none" w:sz="0" w:space="0" w:color="auto"/>
                            <w:bottom w:val="none" w:sz="0" w:space="0" w:color="auto"/>
                            <w:right w:val="none" w:sz="0" w:space="0" w:color="auto"/>
                          </w:divBdr>
                          <w:divsChild>
                            <w:div w:id="566763161">
                              <w:marLeft w:val="2880"/>
                              <w:marRight w:val="0"/>
                              <w:marTop w:val="0"/>
                              <w:marBottom w:val="300"/>
                              <w:divBdr>
                                <w:top w:val="none" w:sz="0" w:space="0" w:color="auto"/>
                                <w:left w:val="none" w:sz="0" w:space="0" w:color="auto"/>
                                <w:bottom w:val="none" w:sz="0" w:space="0" w:color="auto"/>
                                <w:right w:val="none" w:sz="0" w:space="0" w:color="auto"/>
                              </w:divBdr>
                              <w:divsChild>
                                <w:div w:id="57200589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cid:image001.png@01CE35D7.2741D670" TargetMode="External"/><Relationship Id="rId18" Type="http://schemas.openxmlformats.org/officeDocument/2006/relationships/hyperlink" Target="http://vbn.aau.dk/en/publications/quasimarkets-in-employment-policy-do-they-deliver-on-promises(e0660e20-3de6-11dd-a199-000ea68e967b).html" TargetMode="External"/><Relationship Id="rId3" Type="http://schemas.openxmlformats.org/officeDocument/2006/relationships/styles" Target="styles.xml"/><Relationship Id="rId21" Type="http://schemas.openxmlformats.org/officeDocument/2006/relationships/hyperlink" Target="http://ideas.repec.org/s/eee/labeco.html"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vbn.aau.dk/en/persons/thomas-bredgaard(366bb954-5bb6-41f9-8dfd-bcb0f0a7ae4d).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holar.harvard.edu/aghion/publications/competition-financial-discipline-and-growth" TargetMode="External"/><Relationship Id="rId20" Type="http://schemas.openxmlformats.org/officeDocument/2006/relationships/hyperlink" Target="http://ideas.repec.org/a/eee/labeco/v18y2011i5p643-65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cid:image002.png@01CE35D7.2741D670" TargetMode="External"/><Relationship Id="rId23" Type="http://schemas.openxmlformats.org/officeDocument/2006/relationships/hyperlink" Target="http://ideas.repec.org/s/iza/izadps.html" TargetMode="External"/><Relationship Id="rId10" Type="http://schemas.openxmlformats.org/officeDocument/2006/relationships/hyperlink" Target="http://en.wikipedia.org/wiki/United_States_Department_of_Health_and_Human_Services" TargetMode="External"/><Relationship Id="rId19" Type="http://schemas.openxmlformats.org/officeDocument/2006/relationships/hyperlink" Target="http://vbn.aau.dk/en/journals/social-policy-and-society(64605a57-4f4d-4d2a-995d-cd7c10c8d891).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yperlink" Target="http://ideas.repec.org/p/iza/izadps/dp4801.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EPNAS001\50030132\Anthony\Benchmarking%20Tab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779053538072565E-2"/>
          <c:y val="2.6085207880433024E-2"/>
          <c:w val="0.88693837409631371"/>
          <c:h val="0.70263765810695489"/>
        </c:manualLayout>
      </c:layout>
      <c:barChart>
        <c:barDir val="col"/>
        <c:grouping val="clustered"/>
        <c:varyColors val="0"/>
        <c:ser>
          <c:idx val="0"/>
          <c:order val="0"/>
          <c:invertIfNegative val="0"/>
          <c:cat>
            <c:strRef>
              <c:f>Sheet2!$A$2:$A$21</c:f>
              <c:strCache>
                <c:ptCount val="20"/>
                <c:pt idx="0">
                  <c:v>ESG </c:v>
                </c:pt>
                <c:pt idx="1">
                  <c:v>Maximus </c:v>
                </c:pt>
                <c:pt idx="2">
                  <c:v>EOS-Works </c:v>
                </c:pt>
                <c:pt idx="3">
                  <c:v>Serco </c:v>
                </c:pt>
                <c:pt idx="4">
                  <c:v>G4S</c:v>
                </c:pt>
                <c:pt idx="5">
                  <c:v>Ingeus</c:v>
                </c:pt>
                <c:pt idx="6">
                  <c:v>Reed</c:v>
                </c:pt>
                <c:pt idx="7">
                  <c:v>Working Links </c:v>
                </c:pt>
                <c:pt idx="8">
                  <c:v>Pertemps </c:v>
                </c:pt>
                <c:pt idx="9">
                  <c:v>Careers Development Group </c:v>
                </c:pt>
                <c:pt idx="10">
                  <c:v>A4e </c:v>
                </c:pt>
                <c:pt idx="11">
                  <c:v>Avanta </c:v>
                </c:pt>
                <c:pt idx="12">
                  <c:v>Seetec </c:v>
                </c:pt>
                <c:pt idx="13">
                  <c:v>BEST</c:v>
                </c:pt>
                <c:pt idx="14">
                  <c:v>Rehab </c:v>
                </c:pt>
                <c:pt idx="15">
                  <c:v>Newcastle College Group</c:v>
                </c:pt>
                <c:pt idx="16">
                  <c:v>Prospects</c:v>
                </c:pt>
                <c:pt idx="17">
                  <c:v>JHP Group </c:v>
                </c:pt>
                <c:pt idx="18">
                  <c:v>Total </c:v>
                </c:pt>
                <c:pt idx="19">
                  <c:v>Minimum Performance Standard</c:v>
                </c:pt>
              </c:strCache>
            </c:strRef>
          </c:cat>
          <c:val>
            <c:numRef>
              <c:f>Sheet2!$B$2:$B$21</c:f>
              <c:numCache>
                <c:formatCode>General</c:formatCode>
                <c:ptCount val="20"/>
                <c:pt idx="0">
                  <c:v>5</c:v>
                </c:pt>
                <c:pt idx="1">
                  <c:v>4.5999999999999996</c:v>
                </c:pt>
                <c:pt idx="2">
                  <c:v>4.2</c:v>
                </c:pt>
                <c:pt idx="3">
                  <c:v>4.0999999999999996</c:v>
                </c:pt>
                <c:pt idx="4">
                  <c:v>4.0999999999999996</c:v>
                </c:pt>
                <c:pt idx="5">
                  <c:v>4.0999999999999996</c:v>
                </c:pt>
                <c:pt idx="6">
                  <c:v>3.7</c:v>
                </c:pt>
                <c:pt idx="7">
                  <c:v>3.6</c:v>
                </c:pt>
                <c:pt idx="8">
                  <c:v>3.5</c:v>
                </c:pt>
                <c:pt idx="9">
                  <c:v>3.4</c:v>
                </c:pt>
                <c:pt idx="10">
                  <c:v>3.3</c:v>
                </c:pt>
                <c:pt idx="11">
                  <c:v>3.1</c:v>
                </c:pt>
                <c:pt idx="12">
                  <c:v>2.9</c:v>
                </c:pt>
                <c:pt idx="13">
                  <c:v>2.7</c:v>
                </c:pt>
                <c:pt idx="14">
                  <c:v>2.7</c:v>
                </c:pt>
                <c:pt idx="15">
                  <c:v>2.4</c:v>
                </c:pt>
                <c:pt idx="16">
                  <c:v>2.2999999999999998</c:v>
                </c:pt>
                <c:pt idx="17">
                  <c:v>2.2000000000000002</c:v>
                </c:pt>
                <c:pt idx="18">
                  <c:v>3.6</c:v>
                </c:pt>
                <c:pt idx="19">
                  <c:v>11.9</c:v>
                </c:pt>
              </c:numCache>
            </c:numRef>
          </c:val>
          <c:extLst>
            <c:ext xmlns:c16="http://schemas.microsoft.com/office/drawing/2014/chart" uri="{C3380CC4-5D6E-409C-BE32-E72D297353CC}">
              <c16:uniqueId val="{00000000-853F-4CB1-95F9-6773FF446890}"/>
            </c:ext>
          </c:extLst>
        </c:ser>
        <c:dLbls>
          <c:showLegendKey val="0"/>
          <c:showVal val="0"/>
          <c:showCatName val="0"/>
          <c:showSerName val="0"/>
          <c:showPercent val="0"/>
          <c:showBubbleSize val="0"/>
        </c:dLbls>
        <c:gapWidth val="150"/>
        <c:axId val="181062272"/>
        <c:axId val="180888320"/>
      </c:barChart>
      <c:catAx>
        <c:axId val="181062272"/>
        <c:scaling>
          <c:orientation val="minMax"/>
        </c:scaling>
        <c:delete val="0"/>
        <c:axPos val="b"/>
        <c:title>
          <c:tx>
            <c:rich>
              <a:bodyPr/>
              <a:lstStyle/>
              <a:p>
                <a:pPr>
                  <a:defRPr/>
                </a:pPr>
                <a:r>
                  <a:rPr lang="en-US" sz="1200">
                    <a:latin typeface="Times New Roman" pitchFamily="18" charset="0"/>
                    <a:cs typeface="Times New Roman" pitchFamily="18" charset="0"/>
                  </a:rPr>
                  <a:t>Providers</a:t>
                </a:r>
              </a:p>
            </c:rich>
          </c:tx>
          <c:layout>
            <c:manualLayout>
              <c:xMode val="edge"/>
              <c:yMode val="edge"/>
              <c:x val="0.48396734983724782"/>
              <c:y val="0.94956797954134009"/>
            </c:manualLayout>
          </c:layout>
          <c:overlay val="0"/>
        </c:title>
        <c:numFmt formatCode="General" sourceLinked="0"/>
        <c:majorTickMark val="none"/>
        <c:minorTickMark val="none"/>
        <c:tickLblPos val="nextTo"/>
        <c:crossAx val="180888320"/>
        <c:crosses val="autoZero"/>
        <c:auto val="1"/>
        <c:lblAlgn val="ctr"/>
        <c:lblOffset val="100"/>
        <c:noMultiLvlLbl val="0"/>
      </c:catAx>
      <c:valAx>
        <c:axId val="180888320"/>
        <c:scaling>
          <c:orientation val="minMax"/>
        </c:scaling>
        <c:delete val="0"/>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prstDash val="sysDot"/>
            </a:ln>
          </c:spPr>
        </c:majorGridlines>
        <c:title>
          <c:tx>
            <c:rich>
              <a:bodyPr rot="-5400000" vert="horz"/>
              <a:lstStyle/>
              <a:p>
                <a:pPr>
                  <a:defRPr/>
                </a:pPr>
                <a:r>
                  <a:rPr lang="en-US" sz="1200" b="1" i="0" u="none" strike="noStrike" kern="1200" baseline="0">
                    <a:solidFill>
                      <a:sysClr val="windowText" lastClr="000000"/>
                    </a:solidFill>
                    <a:latin typeface="Times New Roman" pitchFamily="18" charset="0"/>
                    <a:ea typeface="+mn-ea"/>
                    <a:cs typeface="Times New Roman" pitchFamily="18" charset="0"/>
                  </a:rPr>
                  <a:t>per cent</a:t>
                </a:r>
                <a:endParaRPr lang="en-US" sz="1200">
                  <a:latin typeface="Times New Roman" pitchFamily="18" charset="0"/>
                  <a:cs typeface="Times New Roman" pitchFamily="18" charset="0"/>
                </a:endParaRPr>
              </a:p>
            </c:rich>
          </c:tx>
          <c:layout/>
          <c:overlay val="0"/>
        </c:title>
        <c:numFmt formatCode="General" sourceLinked="1"/>
        <c:majorTickMark val="none"/>
        <c:minorTickMark val="none"/>
        <c:tickLblPos val="nextTo"/>
        <c:crossAx val="181062272"/>
        <c:crosses val="autoZero"/>
        <c:crossBetween val="between"/>
        <c:majorUnit val="2"/>
      </c:valAx>
      <c:spPr>
        <a:noFill/>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Ind09</b:Tag>
    <b:SourceType>Report</b:SourceType>
    <b:Guid>{39408EE9-6A5E-4F3D-9C99-35F4B9869ACF}</b:Guid>
    <b:Title>Disability Employment Services Performance Framework Report</b:Title>
    <b:Year>2009</b:Year>
    <b:Publisher>Department of Education, Employment &amp; Workplace Relations</b:Publisher>
    <b:Author>
      <b:Author>
        <b:Corporate>Industry Reference Group</b:Corporate>
      </b:Author>
    </b:Author>
    <b:RefOrder>1</b:RefOrder>
  </b:Source>
  <b:Source>
    <b:Tag>Acc10</b:Tag>
    <b:SourceType>Report</b:SourceType>
    <b:Guid>{11A66824-CE8B-4A1D-8FA0-AF73E9A6833C}</b:Guid>
    <b:Title>DES Performance Modelling Final Report</b:Title>
    <b:Year>2010</b:Year>
    <b:Author>
      <b:Author>
        <b:Corporate>Access Economics</b:Corporate>
      </b:Author>
    </b:Author>
    <b:RefOrder>2</b:RefOrder>
  </b:Source>
  <b:Source>
    <b:Tag>Con03</b:Tag>
    <b:SourceType>JournalArticle</b:SourceType>
    <b:Guid>{1EB115BF-C298-471D-B0B6-4F7AD53BEA4B}</b:Guid>
    <b:Title>Governance and Competition: The Role of Non-profit Organisations in the Delivery of Public Services</b:Title>
    <b:Year>2003</b:Year>
    <b:Month>Mar</b:Month>
    <b:Author>
      <b:Author>
        <b:NameList>
          <b:Person>
            <b:Last>Considine</b:Last>
            <b:First>M</b:First>
          </b:Person>
        </b:NameList>
      </b:Author>
    </b:Author>
    <b:JournalName>Australian Journal of Political Science</b:JournalName>
    <b:Pages>63-78</b:Pages>
    <b:RefOrder>3</b:RefOrder>
  </b:Source>
  <b:Source>
    <b:Tag>Ins10</b:Tag>
    <b:SourceType>BookSection</b:SourceType>
    <b:Guid>{34645B0C-A56A-4B27-B807-678DF9E18F3F}</b:Guid>
    <b:Title>The Australian experience of employment services: what have we learnt?</b:Title>
    <b:Year>2010</b:Year>
    <b:Author>
      <b:Author>
        <b:NameList>
          <b:Person>
            <b:Last>Bowman</b:Last>
            <b:First>D</b:First>
          </b:Person>
          <b:Person>
            <b:Last>Horn</b:Last>
            <b:First>M</b:First>
          </b:Person>
        </b:NameList>
      </b:Author>
      <b:Editor>
        <b:NameList>
          <b:Person>
            <b:Last>Ban-Galim</b:Last>
            <b:First>D</b:First>
          </b:Person>
          <b:Person>
            <b:Last>Sachradjda</b:Last>
          </b:Person>
        </b:NameList>
      </b:Editor>
    </b:Author>
    <b:URL>http://www.ippr.org/images/media/files/publication/2011/09/Now%20Its%20Personal%20International_1790.pdf</b:URL>
    <b:Publisher>Institute for Public Policy Research</b:Publisher>
    <b:BookTitle>Now It’s Personal: Learning from welfare-to-work approaches around the world</b:BookTitle>
    <b:Pages>8-10</b:Pages>
    <b:RefOrder>4</b:RefOrder>
  </b:Source>
  <b:Source>
    <b:Tag>Wag11</b:Tag>
    <b:SourceType>ElectronicSource</b:SourceType>
    <b:Guid>{A0FC44ED-7519-40B5-B702-F302AA91ECD0}</b:Guid>
    <b:Title>Presentation to the Australian Government's Parliamentary Inquiry into Mental Health and Workforce Participation</b:Title>
    <b:Year>2011</b:Year>
    <b:Author>
      <b:Author>
        <b:NameList>
          <b:Person>
            <b:Last>Waghorn</b:Last>
            <b:First>G</b:First>
          </b:Person>
        </b:NameList>
      </b:Author>
    </b:Author>
    <b:Month>Aug</b:Month>
    <b:Day>9</b:Day>
    <b:URL>http://www.google.com.au/url?sa=t&amp;rct=j&amp;q=waghorn%20submission%20to%20parliamentary%20inquiry&amp;source=web&amp;cd=1&amp;ved=0CEoQFjAA&amp;url=http%3A%2F%2Fwww.aph.gov.au%2FParliamentary_Business%2FCommittees%2FHouse_of_Representatives_Committees%3Furl%3Dee%2Fmentalheal</b:URL>
    <b:City>Brisbane</b:City>
    <b:StateProvince>Queensland</b:StateProvince>
    <b:CountryRegion>Australia</b:CountryRegion>
    <b:RefOrder>6</b:RefOrder>
  </b:Source>
  <b:Source>
    <b:Tag>Fin09</b:Tag>
    <b:SourceType>JournalArticle</b:SourceType>
    <b:Guid>{A5B54807-D99C-43CC-8FD9-FDA548548F40}</b:Guid>
    <b:Title>The ‘Welfare Market’ and the Flexible New Deal: Lessons from Other Countries</b:Title>
    <b:Year>2009</b:Year>
    <b:JournalName>Local Economy</b:JournalName>
    <b:Pages>38-45</b:Pages>
    <b:Author>
      <b:Author>
        <b:NameList>
          <b:Person>
            <b:Last>Finn</b:Last>
            <b:First>D</b:First>
          </b:Person>
        </b:NameList>
      </b:Author>
    </b:Author>
    <b:Month>Feb</b:Month>
    <b:Volume>24</b:Volume>
    <b:Issue>1</b:Issue>
    <b:RefOrder>7</b:RefOrder>
  </b:Source>
  <b:Source>
    <b:Tag>Aus11</b:Tag>
    <b:SourceType>Report</b:SourceType>
    <b:Guid>{9BB9AF99-71E1-491B-90EA-51B0AA76E6EC}</b:Guid>
    <b:Author>
      <b:Author>
        <b:Corporate>Australian Government</b:Corporate>
      </b:Author>
    </b:Author>
    <b:Title>Labour Market Assistance Outcomes December 2011</b:Title>
    <b:Year>2011</b:Year>
    <b:Publisher>Australian Government</b:Publisher>
    <b:City>Canberra</b:City>
    <b:Department>Department of Employment, Education and Workplace Relations</b:Department>
    <b:URL>http://www.deewr.gov.au/Employment/ResearchStatistics/ProgEval/Documents/LMAODecember2011.pdf</b:URL>
    <b:RefOrder>8</b:RefOrder>
  </b:Source>
  <b:Source>
    <b:Tag>Mar10</b:Tag>
    <b:SourceType>JournalArticle</b:SourceType>
    <b:Guid>{210AF402-48F1-4EB9-ACCE-D49AF5573C78}</b:Guid>
    <b:Title>Unemployed citizen or 'at risk' client? Classification systems and employment services in Denmark and Australia</b:Title>
    <b:Year>2010</b:Year>
    <b:JournalName>Critical Social Policy</b:JournalName>
    <b:Pages>384-404</b:Pages>
    <b:Author>
      <b:Author>
        <b:NameList>
          <b:Person>
            <b:Last>Marston</b:Last>
            <b:First>G</b:First>
          </b:Person>
          <b:Person>
            <b:Last>Larsen</b:Last>
            <b:First>J</b:First>
          </b:Person>
        </b:NameList>
      </b:Author>
    </b:Author>
    <b:Month>Aug</b:Month>
    <b:Volume>30</b:Volume>
    <b:Issue>3</b:Issue>
    <b:RefOrder>9</b:RefOrder>
  </b:Source>
  <b:Source>
    <b:Tag>Aus08</b:Tag>
    <b:SourceType>Report</b:SourceType>
    <b:Guid>{D6AD803F-68C9-4736-A7C8-D0E3E1762974}</b:Guid>
    <b:Title>Employer attitudes to employing people with mental illness</b:Title>
    <b:Year>2008</b:Year>
    <b:Publisher>Australian Government</b:Publisher>
    <b:City>Canberra</b:City>
    <b:Author>
      <b:Author>
        <b:Corporate>Australian Government</b:Corporate>
      </b:Author>
    </b:Author>
    <b:Department>Department of Employment, Education and Workplace Relations</b:Department>
    <b:URL>http://www.deewr.gov.au/Employment/ResearchStatistics/Documents/EmployerAttitudesReport.pdf</b:URL>
    <b:RefOrder>10</b:RefOrder>
  </b:Source>
  <b:Source>
    <b:Tag>Aus8a</b:Tag>
    <b:SourceType>Report</b:SourceType>
    <b:Guid>{54E4526D-2A69-4D64-B71C-428E6D90DB1F}</b:Guid>
    <b:Author>
      <b:Author>
        <b:Corporate>Australian Government</b:Corporate>
      </b:Author>
    </b:Author>
    <b:Title>Promoting best practice use of job in jeopardy assistance and intermittent support</b:Title>
    <b:Year>2008a</b:Year>
    <b:Publisher>Australian Government</b:Publisher>
    <b:City>Canberra</b:City>
    <b:Department>Department of Employment, Education and Workplace Relations</b:Department>
    <b:RefOrder>11</b:RefOrder>
  </b:Source>
  <b:Source>
    <b:Tag>Sta12</b:Tag>
    <b:SourceType>Report</b:SourceType>
    <b:Guid>{E533D95E-C4FF-4350-BF39-ABBC975F1E95}</b:Guid>
    <b:Title>Work Wanted: Mental health and workforce participation</b:Title>
    <b:Year>2012</b:Year>
    <b:Author>
      <b:Author>
        <b:Corporate>Standing Committee on Education and Employment</b:Corporate>
      </b:Author>
    </b:Author>
    <b:Publisher>Commonwealth of Australia</b:Publisher>
    <b:City>Canberra</b:City>
    <b:Department>House of Representatives</b:Department>
    <b:URL>http://www.aph.gov.au/parliamentary_business/committees/house_of_representatives_committees?url=ee/mentalhealth/report.htm</b:URL>
    <b:RefOrder>12</b:RefOrder>
  </b:Source>
  <b:Source>
    <b:Tag>Edu11</b:Tag>
    <b:SourceType>Report</b:SourceType>
    <b:Guid>{844DF5BB-808E-451B-8EA8-9656998742B7}</b:Guid>
    <b:Author>
      <b:Author>
        <b:Corporate>Education, Employment and Workplace Relations References Committee</b:Corporate>
      </b:Author>
    </b:Author>
    <b:Title>The administration and purchasing of Disability Employment Services in Australia</b:Title>
    <b:Year>2011</b:Year>
    <b:Publisher>Commonwealth of Australia</b:Publisher>
    <b:Department>The Senate</b:Department>
    <b:URL>http://www.aph.gov.au/Parliamentary_Business/Committees/Senate_Committees?url=eet_ctte/disability_employment/report/report.pdf</b:URL>
    <b:RefOrder>13</b:RefOrder>
  </b:Source>
  <b:Source>
    <b:Tag>Sha08</b:Tag>
    <b:SourceType>JournalArticle</b:SourceType>
    <b:Guid>{C6B20665-182E-4E74-8481-20177C8BA85B}</b:Guid>
    <b:Title>Policy Barriers to the Employment of People Experiencing Psychiatric Disabilities</b:Title>
    <b:JournalName>Social Work in Mental Health</b:JournalName>
    <b:Year>2008</b:Year>
    <b:Pages>271-282</b:Pages>
    <b:Author>
      <b:Author>
        <b:NameList>
          <b:Person>
            <b:Last>Shankar</b:Last>
            <b:First>J</b:First>
          </b:Person>
        </b:NameList>
      </b:Author>
    </b:Author>
    <b:Volume>7</b:Volume>
    <b:Issue>1-3</b:Issue>
    <b:RefOrder>14</b:RefOrder>
  </b:Source>
  <b:Source>
    <b:Tag>Gov11</b:Tag>
    <b:SourceType>Report</b:SourceType>
    <b:Guid>{DFB4B47B-34BC-453C-9540-041C9C166947}</b:Guid>
    <b:Author>
      <b:Author>
        <b:Corporate>Australian Government</b:Corporate>
      </b:Author>
    </b:Author>
    <b:Title>Employer perspectives on recruiting people with disability and the role of Disability Employment Services</b:Title>
    <b:Year>2011</b:Year>
    <b:Publisher>Australian Government</b:Publisher>
    <b:City>Canberra</b:City>
    <b:URL>http://jobaccess.gov.au/Publications/Documents/Employer%20persepctives%20on%20recruiting%20people%20with%20disability%20and%20the%20role%20of%20Disability%20Employment%20Services%20%28791KB%20PDF%29.pdf</b:URL>
    <b:Department>Department of Education, Employment and Workplace Relations</b:Department>
    <b:RefOrder>15</b:RefOrder>
  </b:Source>
  <b:Source>
    <b:Tag>Com081</b:Tag>
    <b:SourceType>Report</b:SourceType>
    <b:Guid>{5306E693-EBB6-46CD-9A03-5A3243019640}</b:Guid>
    <b:Title>Employment assistance for people with mental illness: literature review</b:Title>
    <b:Year>2008</b:Year>
    <b:Author>
      <b:Author>
        <b:Corporate>Commonwealth of Australia</b:Corporate>
      </b:Author>
    </b:Author>
    <b:Publisher>Australian Government</b:Publisher>
    <b:City>Canberra</b:City>
    <b:Department>Department of Employment, Education and Workplace Relations</b:Department>
    <b:RefOrder>16</b:RefOrder>
  </b:Source>
  <b:Source>
    <b:Tag>Com11</b:Tag>
    <b:SourceType>Report</b:SourceType>
    <b:Guid>{5E098392-59C4-4CF9-A95B-97A2088C19EB}</b:Guid>
    <b:Title>National Disability Strategy 2010-2020</b:Title>
    <b:Year>2011</b:Year>
    <b:Author>
      <b:Author>
        <b:Corporate>Commonwealth of Australia</b:Corporate>
      </b:Author>
    </b:Author>
    <b:Publisher>Commonwealth of Australia</b:Publisher>
    <b:City>Canberra</b:City>
    <b:URL>http://www.coag.gov.au/coag_meeting_outcomes/2011-02-13/docs/national_disability_strategy_2010-2020.pdf</b:URL>
    <b:RefOrder>17</b:RefOrder>
  </b:Source>
  <b:Source>
    <b:Tag>Con11</b:Tag>
    <b:SourceType>JournalArticle</b:SourceType>
    <b:Guid>{48A890E8-6471-4C6A-AEF0-511228C41DA9}</b:Guid>
    <b:Title>Quasi-Markets and Service Delivery Flexibility Following a Decade of Employment Assistance Reform in Australia</b:Title>
    <b:JournalName>Journal of Social Policy</b:JournalName>
    <b:Year>2011</b:Year>
    <b:Pages>811-833</b:Pages>
    <b:Author>
      <b:Author>
        <b:NameList>
          <b:Person>
            <b:Last>Considine</b:Last>
            <b:First>M</b:First>
          </b:Person>
          <b:Person>
            <b:Last>Lewis</b:Last>
            <b:First>J</b:First>
          </b:Person>
          <b:Person>
            <b:Last>O'Sullivan</b:Last>
            <b:First>S</b:First>
          </b:Person>
        </b:NameList>
      </b:Author>
    </b:Author>
    <b:Month>Oct</b:Month>
    <b:Volume>40</b:Volume>
    <b:Issue>4</b:Issue>
    <b:RefOrder>18</b:RefOrder>
  </b:Source>
  <b:Source>
    <b:Tag>Wri11</b:Tag>
    <b:SourceType>JournalArticle</b:SourceType>
    <b:Guid>{CA2092DB-20A3-4252-AB76-F573F7EAABB9}</b:Guid>
    <b:Title>The Role of Non-profit Organizations in the Mixed Economy of Welfare-to-Work in the UK and Australia</b:Title>
    <b:JournalName>Social Policy &amp; Administration</b:JournalName>
    <b:Year>2011</b:Year>
    <b:Pages>299-318</b:Pages>
    <b:Author>
      <b:Author>
        <b:NameList>
          <b:Person>
            <b:Last>Wright</b:Last>
            <b:First>S</b:First>
          </b:Person>
          <b:Person>
            <b:Last>Marston</b:Last>
            <b:First>G</b:First>
          </b:Person>
          <b:Person>
            <b:Last>McDonald</b:Last>
            <b:First>C</b:First>
          </b:Person>
        </b:NameList>
      </b:Author>
    </b:Author>
    <b:Month>Jun</b:Month>
    <b:Volume>45</b:Volume>
    <b:Issue>3</b:Issue>
    <b:RefOrder>5</b:RefOrder>
  </b:Source>
  <b:Source>
    <b:Tag>Nev11</b:Tag>
    <b:SourceType>Report</b:SourceType>
    <b:Guid>{A4906F3E-2B26-4A6A-910E-BB8FE6420D44}</b:Guid>
    <b:Title>'It's like they just don't trust us': Balancing trust and control in the provision of Disability Employment Services</b:Title>
    <b:Year>2011</b:Year>
    <b:City>Canberra</b:City>
    <b:Author>
      <b:Author>
        <b:NameList>
          <b:Person>
            <b:Last>Nevile</b:Last>
            <b:First>A</b:First>
          </b:Person>
          <b:Person>
            <b:Last>Lohman</b:Last>
            <b:First>R</b:First>
          </b:Person>
        </b:NameList>
      </b:Author>
    </b:Author>
    <b:Institution>Australian National University</b:Institution>
    <b:URL>http://disabilityemployment.org.au/members/library/reference‐material/item/315/</b:URL>
    <b:RefOrder>19</b:RefOrder>
  </b:Source>
</b:Sources>
</file>

<file path=customXml/itemProps1.xml><?xml version="1.0" encoding="utf-8"?>
<ds:datastoreItem xmlns:ds="http://schemas.openxmlformats.org/officeDocument/2006/customXml" ds:itemID="{E1FA7E0A-AA5D-4447-BEE8-EBF3E529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30796</Words>
  <Characters>175542</Characters>
  <Application>Microsoft Office Word</Application>
  <DocSecurity>4</DocSecurity>
  <Lines>1462</Lines>
  <Paragraphs>411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205927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Flint</dc:creator>
  <cp:lastModifiedBy>WHITER, Shaun</cp:lastModifiedBy>
  <cp:revision>2</cp:revision>
  <cp:lastPrinted>2017-10-17T23:30:00Z</cp:lastPrinted>
  <dcterms:created xsi:type="dcterms:W3CDTF">2018-09-10T01:36:00Z</dcterms:created>
  <dcterms:modified xsi:type="dcterms:W3CDTF">2018-09-10T01:36:00Z</dcterms:modified>
</cp:coreProperties>
</file>