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9252C" w14:textId="5B5AEE8E" w:rsidR="009633A2" w:rsidRPr="006E3288" w:rsidRDefault="00D51287" w:rsidP="00D771A4">
      <w:pPr>
        <w:pStyle w:val="Covertitle1108pt"/>
        <w:spacing w:before="120" w:line="1400" w:lineRule="exact"/>
        <w:rPr>
          <w:color w:val="00338D"/>
          <w:sz w:val="108"/>
          <w:szCs w:val="108"/>
        </w:rPr>
      </w:pPr>
      <w:bookmarkStart w:id="0" w:name="_GoBack"/>
      <w:bookmarkEnd w:id="0"/>
      <w:r w:rsidRPr="006E3288">
        <w:rPr>
          <w:color w:val="00338D"/>
          <w:sz w:val="108"/>
          <w:szCs w:val="108"/>
        </w:rPr>
        <w:t xml:space="preserve">Review of the </w:t>
      </w:r>
      <w:r w:rsidRPr="006E3288">
        <w:rPr>
          <w:i/>
          <w:iCs/>
          <w:color w:val="00338D"/>
          <w:sz w:val="108"/>
          <w:szCs w:val="108"/>
        </w:rPr>
        <w:t>Social Services</w:t>
      </w:r>
      <w:r w:rsidR="003D023B" w:rsidRPr="006E3288">
        <w:rPr>
          <w:i/>
          <w:iCs/>
          <w:color w:val="00338D"/>
          <w:sz w:val="108"/>
          <w:szCs w:val="108"/>
        </w:rPr>
        <w:t xml:space="preserve"> and Other Legislati</w:t>
      </w:r>
      <w:r w:rsidR="00FE6B63" w:rsidRPr="006E3288">
        <w:rPr>
          <w:i/>
          <w:iCs/>
          <w:color w:val="00338D"/>
          <w:sz w:val="108"/>
          <w:szCs w:val="108"/>
        </w:rPr>
        <w:t>on</w:t>
      </w:r>
      <w:r w:rsidR="003D023B" w:rsidRPr="006E3288">
        <w:rPr>
          <w:i/>
          <w:iCs/>
          <w:color w:val="00338D"/>
          <w:sz w:val="108"/>
          <w:szCs w:val="108"/>
        </w:rPr>
        <w:t xml:space="preserve"> Amendment (Simplifying Income Reporting and Other Measures) Act 2020</w:t>
      </w:r>
      <w:r w:rsidRPr="006E3288">
        <w:rPr>
          <w:color w:val="00338D"/>
          <w:sz w:val="108"/>
          <w:szCs w:val="108"/>
        </w:rPr>
        <w:t xml:space="preserve"> </w:t>
      </w:r>
    </w:p>
    <w:p w14:paraId="44673071" w14:textId="4C5E8499" w:rsidR="003D023B" w:rsidRPr="006E3288" w:rsidRDefault="003D023B" w:rsidP="001B41A0">
      <w:pPr>
        <w:pStyle w:val="Covertitle216ptB"/>
        <w:rPr>
          <w:color w:val="00338D"/>
        </w:rPr>
      </w:pPr>
    </w:p>
    <w:p w14:paraId="23D9D6C2" w14:textId="2876C365" w:rsidR="00A51D93" w:rsidRPr="006E3288" w:rsidRDefault="00A51D93" w:rsidP="001B41A0">
      <w:pPr>
        <w:pStyle w:val="Covertitle216ptB"/>
        <w:rPr>
          <w:color w:val="00338D"/>
        </w:rPr>
      </w:pPr>
    </w:p>
    <w:p w14:paraId="6F32B2EF" w14:textId="77777777" w:rsidR="00A51D93" w:rsidRPr="006E3288" w:rsidRDefault="00A51D93" w:rsidP="001B41A0">
      <w:pPr>
        <w:pStyle w:val="Covertitle216ptB"/>
        <w:rPr>
          <w:color w:val="00338D"/>
        </w:rPr>
      </w:pPr>
    </w:p>
    <w:p w14:paraId="1819112E" w14:textId="77777777" w:rsidR="009F4AE7" w:rsidRPr="006E3288" w:rsidRDefault="003D023B" w:rsidP="002B6792">
      <w:pPr>
        <w:pStyle w:val="Covertitle216ptB"/>
        <w:rPr>
          <w:b w:val="0"/>
          <w:bCs/>
          <w:color w:val="00338D"/>
        </w:rPr>
      </w:pPr>
      <w:r w:rsidRPr="006E3288">
        <w:rPr>
          <w:b w:val="0"/>
          <w:color w:val="00338D"/>
        </w:rPr>
        <w:lastRenderedPageBreak/>
        <w:t xml:space="preserve">Independent </w:t>
      </w:r>
      <w:r w:rsidR="002B6792" w:rsidRPr="006E3288">
        <w:rPr>
          <w:b w:val="0"/>
          <w:color w:val="00338D"/>
        </w:rPr>
        <w:t>r</w:t>
      </w:r>
      <w:r w:rsidRPr="006E3288">
        <w:rPr>
          <w:b w:val="0"/>
          <w:color w:val="00338D"/>
        </w:rPr>
        <w:t>eview by KPMG</w:t>
      </w:r>
    </w:p>
    <w:p w14:paraId="10586900" w14:textId="7EE5012A" w:rsidR="009F4AE7" w:rsidRPr="006E3288" w:rsidRDefault="009F4AE7" w:rsidP="002B6792">
      <w:pPr>
        <w:pStyle w:val="Covertitle216ptB"/>
        <w:rPr>
          <w:color w:val="00338D"/>
        </w:rPr>
      </w:pPr>
    </w:p>
    <w:p w14:paraId="326AA1B8" w14:textId="194146AA" w:rsidR="009F4AE7" w:rsidRPr="006E3288" w:rsidRDefault="009F4AE7" w:rsidP="002B6792">
      <w:pPr>
        <w:pStyle w:val="Covertitle216ptB"/>
        <w:rPr>
          <w:color w:val="00338D"/>
        </w:rPr>
      </w:pPr>
    </w:p>
    <w:p w14:paraId="7840AAAA" w14:textId="63E043D3" w:rsidR="009F4AE7" w:rsidRPr="006E3288" w:rsidRDefault="009F4AE7" w:rsidP="002B6792">
      <w:pPr>
        <w:pStyle w:val="Covertitle216ptB"/>
        <w:rPr>
          <w:color w:val="00338D"/>
        </w:rPr>
      </w:pPr>
    </w:p>
    <w:p w14:paraId="2D96F076" w14:textId="1293AD8C" w:rsidR="009F4AE7" w:rsidRPr="006E3288" w:rsidRDefault="009F4AE7" w:rsidP="002B6792">
      <w:pPr>
        <w:pStyle w:val="Covertitle216ptB"/>
        <w:rPr>
          <w:color w:val="00338D"/>
        </w:rPr>
      </w:pPr>
    </w:p>
    <w:p w14:paraId="46757CB2" w14:textId="243D9248" w:rsidR="009F4AE7" w:rsidRPr="006E3288" w:rsidRDefault="009F4AE7" w:rsidP="002B6792">
      <w:pPr>
        <w:pStyle w:val="Covertitle216ptB"/>
        <w:rPr>
          <w:color w:val="00338D"/>
        </w:rPr>
      </w:pPr>
    </w:p>
    <w:p w14:paraId="692190EC" w14:textId="77777777" w:rsidR="009F4AE7" w:rsidRPr="006E3288" w:rsidRDefault="009F4AE7" w:rsidP="002B6792">
      <w:pPr>
        <w:pStyle w:val="Covertitle216ptB"/>
        <w:rPr>
          <w:color w:val="00338D"/>
        </w:rPr>
      </w:pPr>
    </w:p>
    <w:p w14:paraId="633D953B" w14:textId="77777777" w:rsidR="009F4AE7" w:rsidRPr="006E3288" w:rsidRDefault="009F4AE7" w:rsidP="002B6792">
      <w:pPr>
        <w:pStyle w:val="Covertitle216ptB"/>
        <w:rPr>
          <w:color w:val="00338D"/>
        </w:rPr>
      </w:pPr>
    </w:p>
    <w:p w14:paraId="5B9F6261" w14:textId="3D240F4E" w:rsidR="009633A2" w:rsidRPr="009F4AE7" w:rsidRDefault="00182033" w:rsidP="002B6792">
      <w:pPr>
        <w:pStyle w:val="Covertitle216ptB"/>
        <w:rPr>
          <w:b w:val="0"/>
        </w:rPr>
        <w:sectPr w:rsidR="009633A2" w:rsidRPr="009F4AE7" w:rsidSect="001B41A0">
          <w:headerReference w:type="even" r:id="rId11"/>
          <w:footerReference w:type="default" r:id="rId12"/>
          <w:headerReference w:type="first" r:id="rId13"/>
          <w:pgSz w:w="11906" w:h="16838"/>
          <w:pgMar w:top="2665" w:right="1418" w:bottom="1418" w:left="1899" w:header="709" w:footer="709" w:gutter="0"/>
          <w:cols w:space="708"/>
          <w:docGrid w:linePitch="360"/>
        </w:sectPr>
      </w:pPr>
      <w:r w:rsidRPr="006E3288">
        <w:rPr>
          <w:b w:val="0"/>
          <w:color w:val="00338D"/>
        </w:rPr>
        <w:t>24</w:t>
      </w:r>
      <w:r w:rsidR="00B962CD" w:rsidRPr="006E3288">
        <w:rPr>
          <w:b w:val="0"/>
          <w:color w:val="00338D"/>
        </w:rPr>
        <w:t xml:space="preserve"> </w:t>
      </w:r>
      <w:r w:rsidR="00354FE9" w:rsidRPr="006E3288">
        <w:rPr>
          <w:b w:val="0"/>
          <w:color w:val="00338D"/>
        </w:rPr>
        <w:t>June</w:t>
      </w:r>
      <w:r w:rsidR="002B6792" w:rsidRPr="006E3288">
        <w:rPr>
          <w:b w:val="0"/>
          <w:color w:val="00338D"/>
        </w:rPr>
        <w:t xml:space="preserve"> 2022</w:t>
      </w:r>
    </w:p>
    <w:p w14:paraId="0C8E0E2A" w14:textId="77777777" w:rsidR="00E07C40" w:rsidRDefault="00E07C40" w:rsidP="00E07C40">
      <w:pPr>
        <w:pStyle w:val="BodyText"/>
        <w:spacing w:before="80" w:after="80"/>
        <w:rPr>
          <w:b/>
          <w:bCs/>
          <w:iCs/>
          <w:sz w:val="16"/>
        </w:rPr>
      </w:pPr>
    </w:p>
    <w:p w14:paraId="40C21C74" w14:textId="77777777" w:rsidR="00E07C40" w:rsidRDefault="00E07C40" w:rsidP="00E07C40">
      <w:pPr>
        <w:pStyle w:val="BodyText"/>
        <w:spacing w:before="80" w:after="80"/>
        <w:rPr>
          <w:b/>
          <w:bCs/>
          <w:iCs/>
          <w:sz w:val="16"/>
        </w:rPr>
      </w:pPr>
    </w:p>
    <w:p w14:paraId="71CA54A5" w14:textId="77777777" w:rsidR="00E07C40" w:rsidRDefault="00E07C40" w:rsidP="00E07C40">
      <w:pPr>
        <w:pStyle w:val="BodyText"/>
        <w:spacing w:before="80" w:after="80"/>
        <w:rPr>
          <w:b/>
          <w:bCs/>
          <w:iCs/>
          <w:sz w:val="16"/>
        </w:rPr>
      </w:pPr>
    </w:p>
    <w:p w14:paraId="7A1E3B38" w14:textId="77777777" w:rsidR="00E07C40" w:rsidRDefault="00E07C40" w:rsidP="00E07C40">
      <w:pPr>
        <w:pStyle w:val="BodyText"/>
        <w:spacing w:before="80" w:after="80"/>
        <w:rPr>
          <w:b/>
          <w:bCs/>
          <w:iCs/>
          <w:sz w:val="16"/>
        </w:rPr>
      </w:pPr>
    </w:p>
    <w:p w14:paraId="74D2C827" w14:textId="77777777" w:rsidR="00E07C40" w:rsidRDefault="00E07C40" w:rsidP="00E07C40">
      <w:pPr>
        <w:pStyle w:val="BodyText"/>
        <w:spacing w:before="80" w:after="80"/>
        <w:rPr>
          <w:b/>
          <w:bCs/>
          <w:iCs/>
          <w:sz w:val="16"/>
        </w:rPr>
      </w:pPr>
    </w:p>
    <w:p w14:paraId="55558743" w14:textId="77777777" w:rsidR="00E07C40" w:rsidRDefault="00E07C40" w:rsidP="00E07C40">
      <w:pPr>
        <w:pStyle w:val="BodyText"/>
        <w:spacing w:before="80" w:after="80"/>
        <w:rPr>
          <w:b/>
          <w:bCs/>
          <w:iCs/>
          <w:sz w:val="16"/>
        </w:rPr>
      </w:pPr>
    </w:p>
    <w:p w14:paraId="4D33025C" w14:textId="77777777" w:rsidR="00E07C40" w:rsidRDefault="00E07C40" w:rsidP="00E07C40">
      <w:pPr>
        <w:pStyle w:val="BodyText"/>
        <w:spacing w:before="80" w:after="80"/>
        <w:rPr>
          <w:b/>
          <w:bCs/>
          <w:iCs/>
          <w:sz w:val="16"/>
        </w:rPr>
      </w:pPr>
    </w:p>
    <w:p w14:paraId="38EE6847" w14:textId="77777777" w:rsidR="00E07C40" w:rsidRDefault="00E07C40" w:rsidP="00E07C40">
      <w:pPr>
        <w:pStyle w:val="BodyText"/>
        <w:spacing w:before="80" w:after="80"/>
        <w:rPr>
          <w:b/>
          <w:bCs/>
          <w:iCs/>
          <w:sz w:val="16"/>
        </w:rPr>
      </w:pPr>
    </w:p>
    <w:p w14:paraId="2D233201" w14:textId="77777777" w:rsidR="00E07C40" w:rsidRDefault="00E07C40" w:rsidP="00E07C40">
      <w:pPr>
        <w:pStyle w:val="BodyText"/>
        <w:spacing w:before="80" w:after="80"/>
        <w:rPr>
          <w:b/>
          <w:bCs/>
          <w:iCs/>
          <w:sz w:val="16"/>
        </w:rPr>
      </w:pPr>
    </w:p>
    <w:p w14:paraId="3A420B68" w14:textId="77777777" w:rsidR="00E07C40" w:rsidRDefault="00E07C40" w:rsidP="00E07C40">
      <w:pPr>
        <w:pStyle w:val="BodyText"/>
        <w:spacing w:before="80" w:after="80"/>
        <w:rPr>
          <w:b/>
          <w:bCs/>
          <w:iCs/>
          <w:sz w:val="16"/>
        </w:rPr>
      </w:pPr>
    </w:p>
    <w:p w14:paraId="12BC73B8" w14:textId="77777777" w:rsidR="00E07C40" w:rsidRDefault="00E07C40" w:rsidP="00E07C40">
      <w:pPr>
        <w:pStyle w:val="BodyText"/>
        <w:spacing w:before="80" w:after="80"/>
        <w:rPr>
          <w:b/>
          <w:bCs/>
          <w:iCs/>
          <w:sz w:val="16"/>
        </w:rPr>
      </w:pPr>
    </w:p>
    <w:p w14:paraId="62B012A3" w14:textId="77777777" w:rsidR="00E07C40" w:rsidRDefault="00E07C40" w:rsidP="00E07C40">
      <w:pPr>
        <w:pStyle w:val="BodyText"/>
        <w:spacing w:before="80" w:after="80"/>
        <w:rPr>
          <w:b/>
          <w:bCs/>
          <w:iCs/>
          <w:sz w:val="16"/>
        </w:rPr>
      </w:pPr>
    </w:p>
    <w:p w14:paraId="17C7EB48" w14:textId="77777777" w:rsidR="00E07C40" w:rsidRDefault="00E07C40" w:rsidP="00E07C40">
      <w:pPr>
        <w:pStyle w:val="BodyText"/>
        <w:spacing w:before="80" w:after="80"/>
        <w:rPr>
          <w:b/>
          <w:bCs/>
          <w:iCs/>
          <w:sz w:val="16"/>
        </w:rPr>
      </w:pPr>
    </w:p>
    <w:p w14:paraId="6B99EA7E" w14:textId="77777777" w:rsidR="00E07C40" w:rsidRDefault="00E07C40" w:rsidP="00E07C40">
      <w:pPr>
        <w:pStyle w:val="BodyText"/>
        <w:spacing w:before="80" w:after="80"/>
        <w:rPr>
          <w:b/>
          <w:bCs/>
          <w:iCs/>
          <w:sz w:val="16"/>
        </w:rPr>
      </w:pPr>
    </w:p>
    <w:p w14:paraId="0AC5CC9A" w14:textId="77777777" w:rsidR="00E07C40" w:rsidRDefault="00E07C40" w:rsidP="00E07C40">
      <w:pPr>
        <w:pStyle w:val="BodyText"/>
        <w:spacing w:before="80" w:after="80"/>
        <w:rPr>
          <w:b/>
          <w:bCs/>
          <w:iCs/>
          <w:sz w:val="16"/>
        </w:rPr>
      </w:pPr>
    </w:p>
    <w:p w14:paraId="6146E7EA" w14:textId="77777777" w:rsidR="00E07C40" w:rsidRDefault="00E07C40" w:rsidP="00E07C40">
      <w:pPr>
        <w:pStyle w:val="BodyText"/>
        <w:spacing w:before="80" w:after="80"/>
        <w:rPr>
          <w:b/>
          <w:bCs/>
          <w:iCs/>
          <w:sz w:val="16"/>
        </w:rPr>
      </w:pPr>
    </w:p>
    <w:p w14:paraId="783BF025" w14:textId="77777777" w:rsidR="00E07C40" w:rsidRDefault="00E07C40" w:rsidP="00E07C40">
      <w:pPr>
        <w:pStyle w:val="BodyText"/>
        <w:spacing w:before="80" w:after="80"/>
        <w:rPr>
          <w:b/>
          <w:bCs/>
          <w:iCs/>
          <w:sz w:val="16"/>
        </w:rPr>
      </w:pPr>
    </w:p>
    <w:p w14:paraId="2E78AA1D" w14:textId="77777777" w:rsidR="00E07C40" w:rsidRDefault="00E07C40" w:rsidP="00E07C40">
      <w:pPr>
        <w:pStyle w:val="BodyText"/>
        <w:spacing w:before="80" w:after="80"/>
        <w:rPr>
          <w:b/>
          <w:bCs/>
          <w:iCs/>
          <w:sz w:val="16"/>
        </w:rPr>
      </w:pPr>
    </w:p>
    <w:p w14:paraId="6622D8F3" w14:textId="77777777" w:rsidR="00E07C40" w:rsidRDefault="00E07C40" w:rsidP="00E07C40">
      <w:pPr>
        <w:pStyle w:val="BodyText"/>
        <w:spacing w:before="80" w:after="80"/>
        <w:rPr>
          <w:b/>
          <w:bCs/>
          <w:iCs/>
          <w:sz w:val="16"/>
        </w:rPr>
      </w:pPr>
    </w:p>
    <w:p w14:paraId="61E9C7E1" w14:textId="77777777" w:rsidR="00E07C40" w:rsidRDefault="00E07C40" w:rsidP="00E07C40">
      <w:pPr>
        <w:pStyle w:val="BodyText"/>
        <w:spacing w:before="80" w:after="80"/>
        <w:rPr>
          <w:b/>
          <w:bCs/>
          <w:iCs/>
          <w:sz w:val="16"/>
        </w:rPr>
      </w:pPr>
    </w:p>
    <w:p w14:paraId="60A5E844" w14:textId="77777777" w:rsidR="00E07C40" w:rsidRDefault="00E07C40" w:rsidP="00E07C40">
      <w:pPr>
        <w:pStyle w:val="BodyText"/>
        <w:spacing w:before="80" w:after="80"/>
        <w:rPr>
          <w:b/>
          <w:bCs/>
          <w:iCs/>
          <w:sz w:val="16"/>
        </w:rPr>
      </w:pPr>
    </w:p>
    <w:p w14:paraId="57CC5743" w14:textId="77777777" w:rsidR="00E07C40" w:rsidRDefault="00E07C40" w:rsidP="00E07C40">
      <w:pPr>
        <w:pStyle w:val="BodyText"/>
        <w:spacing w:before="80" w:after="80"/>
        <w:rPr>
          <w:b/>
          <w:bCs/>
          <w:iCs/>
          <w:sz w:val="16"/>
        </w:rPr>
      </w:pPr>
    </w:p>
    <w:p w14:paraId="553C8805" w14:textId="77777777" w:rsidR="00E07C40" w:rsidRDefault="00E07C40" w:rsidP="00E07C40">
      <w:pPr>
        <w:pStyle w:val="BodyText"/>
        <w:spacing w:before="80" w:after="80"/>
        <w:rPr>
          <w:b/>
          <w:bCs/>
          <w:iCs/>
          <w:sz w:val="16"/>
        </w:rPr>
      </w:pPr>
    </w:p>
    <w:p w14:paraId="0E3B0A20" w14:textId="77777777" w:rsidR="00E07C40" w:rsidRDefault="00E07C40" w:rsidP="00E07C40">
      <w:pPr>
        <w:pStyle w:val="BodyText"/>
        <w:spacing w:before="80" w:after="80"/>
        <w:rPr>
          <w:b/>
          <w:bCs/>
          <w:iCs/>
          <w:sz w:val="16"/>
        </w:rPr>
      </w:pPr>
    </w:p>
    <w:p w14:paraId="0A002D18" w14:textId="77777777" w:rsidR="00E07C40" w:rsidRDefault="00E07C40" w:rsidP="00E07C40">
      <w:pPr>
        <w:pStyle w:val="BodyText"/>
        <w:spacing w:before="80" w:after="80"/>
        <w:rPr>
          <w:b/>
          <w:bCs/>
          <w:iCs/>
          <w:sz w:val="16"/>
        </w:rPr>
      </w:pPr>
    </w:p>
    <w:p w14:paraId="43CE9F6D" w14:textId="77777777" w:rsidR="00E07C40" w:rsidRDefault="00E07C40" w:rsidP="00E07C40">
      <w:pPr>
        <w:pStyle w:val="BodyText"/>
        <w:spacing w:before="80" w:after="80"/>
        <w:rPr>
          <w:b/>
          <w:bCs/>
          <w:iCs/>
          <w:sz w:val="16"/>
        </w:rPr>
      </w:pPr>
    </w:p>
    <w:p w14:paraId="68C6EACB" w14:textId="77777777" w:rsidR="00E07C40" w:rsidRDefault="00E07C40" w:rsidP="00E07C40">
      <w:pPr>
        <w:pStyle w:val="BodyText"/>
        <w:spacing w:before="80" w:after="80"/>
        <w:rPr>
          <w:b/>
          <w:bCs/>
          <w:iCs/>
          <w:sz w:val="16"/>
        </w:rPr>
      </w:pPr>
    </w:p>
    <w:p w14:paraId="77F6506F" w14:textId="77777777" w:rsidR="003871F1" w:rsidRDefault="003871F1" w:rsidP="003871F1">
      <w:pPr>
        <w:pStyle w:val="BodyText"/>
        <w:rPr>
          <w:b/>
          <w:bCs/>
          <w:sz w:val="16"/>
          <w:szCs w:val="18"/>
        </w:rPr>
      </w:pPr>
    </w:p>
    <w:p w14:paraId="155CEBAC" w14:textId="77777777" w:rsidR="003871F1" w:rsidRDefault="003871F1" w:rsidP="003871F1">
      <w:pPr>
        <w:pStyle w:val="BodyText"/>
        <w:rPr>
          <w:b/>
          <w:bCs/>
          <w:sz w:val="16"/>
          <w:szCs w:val="18"/>
        </w:rPr>
      </w:pPr>
    </w:p>
    <w:p w14:paraId="62308B90" w14:textId="77777777" w:rsidR="003871F1" w:rsidRDefault="003871F1" w:rsidP="003871F1">
      <w:pPr>
        <w:pStyle w:val="BodyText"/>
        <w:rPr>
          <w:b/>
          <w:bCs/>
          <w:sz w:val="16"/>
          <w:szCs w:val="18"/>
        </w:rPr>
      </w:pPr>
    </w:p>
    <w:p w14:paraId="2BC8C558" w14:textId="77777777" w:rsidR="003871F1" w:rsidRDefault="003871F1" w:rsidP="003871F1">
      <w:pPr>
        <w:pStyle w:val="BodyText"/>
        <w:rPr>
          <w:b/>
          <w:bCs/>
          <w:sz w:val="16"/>
          <w:szCs w:val="18"/>
        </w:rPr>
      </w:pPr>
    </w:p>
    <w:p w14:paraId="6AD1EAD7" w14:textId="25C25878" w:rsidR="003871F1" w:rsidRPr="003871F1" w:rsidRDefault="007C7E05" w:rsidP="003871F1">
      <w:pPr>
        <w:pStyle w:val="BodyText"/>
        <w:rPr>
          <w:rFonts w:asciiTheme="minorHAnsi" w:hAnsiTheme="minorHAnsi"/>
          <w:b/>
          <w:bCs/>
          <w:sz w:val="16"/>
          <w:szCs w:val="18"/>
        </w:rPr>
      </w:pPr>
      <w:r>
        <w:rPr>
          <w:b/>
          <w:bCs/>
          <w:sz w:val="16"/>
          <w:szCs w:val="18"/>
        </w:rPr>
        <w:t>I</w:t>
      </w:r>
      <w:r w:rsidRPr="003871F1">
        <w:rPr>
          <w:b/>
          <w:bCs/>
          <w:sz w:val="16"/>
          <w:szCs w:val="18"/>
        </w:rPr>
        <w:t>nherent</w:t>
      </w:r>
      <w:r w:rsidR="003871F1" w:rsidRPr="003871F1">
        <w:rPr>
          <w:b/>
          <w:bCs/>
          <w:sz w:val="16"/>
          <w:szCs w:val="18"/>
        </w:rPr>
        <w:t xml:space="preserve"> Limitations Disclaimer </w:t>
      </w:r>
    </w:p>
    <w:p w14:paraId="122B3810" w14:textId="77777777" w:rsidR="003871F1" w:rsidRPr="003871F1" w:rsidRDefault="003871F1" w:rsidP="003871F1">
      <w:pPr>
        <w:pStyle w:val="BodyText"/>
        <w:rPr>
          <w:sz w:val="16"/>
          <w:szCs w:val="18"/>
        </w:rPr>
      </w:pPr>
      <w:r w:rsidRPr="003871F1">
        <w:rPr>
          <w:sz w:val="16"/>
          <w:szCs w:val="18"/>
        </w:rPr>
        <w:t>This deliverable has been prepared as outlined with the Department of Social Services (DSS) in the Scope Section of the contract dated 2 February 2022. 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 No warranty of completeness, accuracy or reliability is given in relation to the statements and representations made by, and the information and documentation provided by, DSS stakeholders consulted as part of the process.</w:t>
      </w:r>
    </w:p>
    <w:p w14:paraId="1F127E54" w14:textId="0E4B9F7D" w:rsidR="003871F1" w:rsidRPr="003871F1" w:rsidRDefault="003871F1" w:rsidP="003871F1">
      <w:pPr>
        <w:pStyle w:val="BodyText"/>
        <w:rPr>
          <w:sz w:val="16"/>
          <w:szCs w:val="18"/>
        </w:rPr>
      </w:pPr>
      <w:r w:rsidRPr="003871F1">
        <w:rPr>
          <w:sz w:val="16"/>
          <w:szCs w:val="18"/>
        </w:rPr>
        <w:t xml:space="preserve">KPMG </w:t>
      </w:r>
      <w:r w:rsidR="00412CB3" w:rsidRPr="003871F1">
        <w:rPr>
          <w:sz w:val="16"/>
          <w:szCs w:val="18"/>
        </w:rPr>
        <w:t>ha</w:t>
      </w:r>
      <w:r w:rsidR="00412CB3">
        <w:rPr>
          <w:sz w:val="16"/>
          <w:szCs w:val="18"/>
        </w:rPr>
        <w:t>s</w:t>
      </w:r>
      <w:r w:rsidR="00412CB3" w:rsidRPr="003871F1">
        <w:rPr>
          <w:sz w:val="16"/>
          <w:szCs w:val="18"/>
        </w:rPr>
        <w:t xml:space="preserve"> </w:t>
      </w:r>
      <w:r w:rsidRPr="003871F1">
        <w:rPr>
          <w:sz w:val="16"/>
          <w:szCs w:val="18"/>
        </w:rPr>
        <w:t>indicated within this deliverable the sources of the information provided. We have not sought to independently verify those sources unless otherwise noted within the report.</w:t>
      </w:r>
    </w:p>
    <w:p w14:paraId="23851F0E" w14:textId="77777777" w:rsidR="003871F1" w:rsidRPr="003871F1" w:rsidRDefault="003871F1" w:rsidP="003871F1">
      <w:pPr>
        <w:pStyle w:val="BodyText"/>
        <w:rPr>
          <w:sz w:val="16"/>
          <w:szCs w:val="18"/>
        </w:rPr>
      </w:pPr>
      <w:r w:rsidRPr="003871F1">
        <w:rPr>
          <w:sz w:val="16"/>
          <w:szCs w:val="18"/>
        </w:rPr>
        <w:t>KPMG is under no obligation in any circumstance to update this deliverable, in either oral or written form, for events occurring after the report has been issued in final form.</w:t>
      </w:r>
    </w:p>
    <w:p w14:paraId="45051AF3" w14:textId="77777777" w:rsidR="003871F1" w:rsidRPr="003871F1" w:rsidRDefault="003871F1" w:rsidP="003871F1">
      <w:pPr>
        <w:pStyle w:val="BodyText"/>
        <w:rPr>
          <w:sz w:val="16"/>
          <w:szCs w:val="18"/>
        </w:rPr>
      </w:pPr>
      <w:r w:rsidRPr="003871F1">
        <w:rPr>
          <w:b/>
          <w:bCs/>
          <w:sz w:val="16"/>
          <w:szCs w:val="18"/>
        </w:rPr>
        <w:t>Accessibility</w:t>
      </w:r>
    </w:p>
    <w:p w14:paraId="6FE7C553" w14:textId="0A07B43B" w:rsidR="003871F1" w:rsidRPr="003871F1" w:rsidRDefault="003871F1" w:rsidP="003871F1">
      <w:pPr>
        <w:pStyle w:val="BodyText"/>
        <w:rPr>
          <w:sz w:val="16"/>
          <w:szCs w:val="18"/>
        </w:rPr>
      </w:pPr>
      <w:r w:rsidRPr="003871F1">
        <w:rPr>
          <w:sz w:val="16"/>
          <w:szCs w:val="18"/>
        </w:rPr>
        <w:t>To comply with the Commonwealth Government’s accessibility requirements, two versions of this Report are available: a KPMG-branded PDF version and an unbranded Microsoft Word version. The KPMG-branded PDF version of this Report remains the definitive version of this Report</w:t>
      </w:r>
      <w:r w:rsidR="007B2F98">
        <w:rPr>
          <w:sz w:val="16"/>
          <w:szCs w:val="18"/>
        </w:rPr>
        <w:t>.</w:t>
      </w:r>
    </w:p>
    <w:p w14:paraId="2989F452" w14:textId="77777777" w:rsidR="003871F1" w:rsidRPr="003871F1" w:rsidRDefault="003871F1" w:rsidP="003871F1">
      <w:pPr>
        <w:pStyle w:val="BodyText"/>
        <w:rPr>
          <w:b/>
          <w:bCs/>
          <w:sz w:val="16"/>
          <w:szCs w:val="18"/>
        </w:rPr>
      </w:pPr>
      <w:r w:rsidRPr="003871F1">
        <w:rPr>
          <w:b/>
          <w:bCs/>
          <w:sz w:val="16"/>
          <w:szCs w:val="18"/>
        </w:rPr>
        <w:t>Notice to Third Parties Disclaimer</w:t>
      </w:r>
    </w:p>
    <w:p w14:paraId="2C6EA84F" w14:textId="77777777" w:rsidR="003871F1" w:rsidRPr="003871F1" w:rsidRDefault="003871F1" w:rsidP="003871F1">
      <w:pPr>
        <w:pStyle w:val="BodyText"/>
        <w:rPr>
          <w:sz w:val="16"/>
          <w:szCs w:val="18"/>
        </w:rPr>
      </w:pPr>
      <w:r w:rsidRPr="003871F1">
        <w:rPr>
          <w:sz w:val="16"/>
          <w:szCs w:val="18"/>
        </w:rPr>
        <w:t>This deliverable is solely for the purpose set out in the Scope Section and for DSS’ information, and is not to be used for any purpose not contemplated in the contract or to be distributed to any third party without KPMG’s prior written consent.</w:t>
      </w:r>
    </w:p>
    <w:p w14:paraId="2C3BB338" w14:textId="77777777" w:rsidR="003871F1" w:rsidRPr="003871F1" w:rsidRDefault="003871F1" w:rsidP="003871F1">
      <w:pPr>
        <w:pStyle w:val="BodyText"/>
        <w:rPr>
          <w:sz w:val="16"/>
          <w:szCs w:val="18"/>
        </w:rPr>
      </w:pPr>
      <w:r w:rsidRPr="003871F1">
        <w:rPr>
          <w:sz w:val="16"/>
          <w:szCs w:val="18"/>
        </w:rPr>
        <w:t>This report has been prepared at the request of DSS in accordance with the terms of KPMG’s contract dated 2 February 2022. Other than our responsibility to DSS, neither KPMG nor any member or employee of KPMG undertakes responsibility arising in any way from reliance placed by a third party on this report. Any reliance placed is that party’s sole responsibility.</w:t>
      </w:r>
    </w:p>
    <w:p w14:paraId="6E0E4AE8" w14:textId="77777777" w:rsidR="009633A2" w:rsidRPr="00926C88" w:rsidRDefault="007634C5" w:rsidP="00926C88">
      <w:pPr>
        <w:pStyle w:val="Heading1Noshow"/>
      </w:pPr>
      <w:r w:rsidRPr="00926C88">
        <w:lastRenderedPageBreak/>
        <w:t>Contents</w:t>
      </w:r>
    </w:p>
    <w:p w14:paraId="32205A8A" w14:textId="4C808EA2" w:rsidR="00F17FEC" w:rsidRDefault="00AD5D9B">
      <w:pPr>
        <w:pStyle w:val="TOC1"/>
        <w:rPr>
          <w:rFonts w:asciiTheme="minorHAnsi" w:eastAsiaTheme="minorEastAsia" w:hAnsiTheme="minorHAnsi"/>
          <w:sz w:val="22"/>
          <w:lang w:eastAsia="en-AU"/>
        </w:rPr>
      </w:pPr>
      <w:r>
        <w:fldChar w:fldCharType="begin"/>
      </w:r>
      <w:r>
        <w:instrText xml:space="preserve"> TOC \h \z \t "Heading 1,1,Heading 2,2,HeadingLevel1NoNumber,1,Appendix heading,1" </w:instrText>
      </w:r>
      <w:r>
        <w:fldChar w:fldCharType="separate"/>
      </w:r>
      <w:hyperlink w:anchor="_Toc104983811" w:history="1">
        <w:r w:rsidR="00F17FEC" w:rsidRPr="00D049EB">
          <w:rPr>
            <w:rStyle w:val="Hyperlink"/>
          </w:rPr>
          <w:t>Glossary of Terms</w:t>
        </w:r>
        <w:r w:rsidR="00F17FEC">
          <w:rPr>
            <w:webHidden/>
          </w:rPr>
          <w:tab/>
        </w:r>
        <w:r w:rsidR="00F17FEC">
          <w:rPr>
            <w:webHidden/>
          </w:rPr>
          <w:fldChar w:fldCharType="begin"/>
        </w:r>
        <w:r w:rsidR="00F17FEC">
          <w:rPr>
            <w:webHidden/>
          </w:rPr>
          <w:instrText xml:space="preserve"> PAGEREF _Toc104983811 \h </w:instrText>
        </w:r>
        <w:r w:rsidR="00F17FEC">
          <w:rPr>
            <w:webHidden/>
          </w:rPr>
        </w:r>
        <w:r w:rsidR="00F17FEC">
          <w:rPr>
            <w:webHidden/>
          </w:rPr>
          <w:fldChar w:fldCharType="separate"/>
        </w:r>
        <w:r w:rsidR="00F17FEC">
          <w:rPr>
            <w:webHidden/>
          </w:rPr>
          <w:t>4</w:t>
        </w:r>
        <w:r w:rsidR="00F17FEC">
          <w:rPr>
            <w:webHidden/>
          </w:rPr>
          <w:fldChar w:fldCharType="end"/>
        </w:r>
      </w:hyperlink>
    </w:p>
    <w:p w14:paraId="1E3E3F25" w14:textId="722AD676" w:rsidR="00F17FEC" w:rsidRDefault="00480605">
      <w:pPr>
        <w:pStyle w:val="TOC1"/>
        <w:rPr>
          <w:rFonts w:asciiTheme="minorHAnsi" w:eastAsiaTheme="minorEastAsia" w:hAnsiTheme="minorHAnsi"/>
          <w:sz w:val="22"/>
          <w:lang w:eastAsia="en-AU"/>
        </w:rPr>
      </w:pPr>
      <w:hyperlink w:anchor="_Toc104983812" w:history="1">
        <w:r w:rsidR="00F17FEC" w:rsidRPr="00D049EB">
          <w:rPr>
            <w:rStyle w:val="Hyperlink"/>
          </w:rPr>
          <w:t>Executive Summary</w:t>
        </w:r>
        <w:r w:rsidR="00F17FEC">
          <w:rPr>
            <w:webHidden/>
          </w:rPr>
          <w:tab/>
        </w:r>
        <w:r w:rsidR="00F17FEC">
          <w:rPr>
            <w:webHidden/>
          </w:rPr>
          <w:fldChar w:fldCharType="begin"/>
        </w:r>
        <w:r w:rsidR="00F17FEC">
          <w:rPr>
            <w:webHidden/>
          </w:rPr>
          <w:instrText xml:space="preserve"> PAGEREF _Toc104983812 \h </w:instrText>
        </w:r>
        <w:r w:rsidR="00F17FEC">
          <w:rPr>
            <w:webHidden/>
          </w:rPr>
        </w:r>
        <w:r w:rsidR="00F17FEC">
          <w:rPr>
            <w:webHidden/>
          </w:rPr>
          <w:fldChar w:fldCharType="separate"/>
        </w:r>
        <w:r w:rsidR="00F17FEC">
          <w:rPr>
            <w:webHidden/>
          </w:rPr>
          <w:t>5</w:t>
        </w:r>
        <w:r w:rsidR="00F17FEC">
          <w:rPr>
            <w:webHidden/>
          </w:rPr>
          <w:fldChar w:fldCharType="end"/>
        </w:r>
      </w:hyperlink>
    </w:p>
    <w:p w14:paraId="55092E34" w14:textId="5688ABD4" w:rsidR="00F17FEC" w:rsidRDefault="00480605">
      <w:pPr>
        <w:pStyle w:val="TOC1"/>
        <w:rPr>
          <w:rFonts w:asciiTheme="minorHAnsi" w:eastAsiaTheme="minorEastAsia" w:hAnsiTheme="minorHAnsi"/>
          <w:sz w:val="22"/>
          <w:lang w:eastAsia="en-AU"/>
        </w:rPr>
      </w:pPr>
      <w:hyperlink w:anchor="_Toc104983813" w:history="1">
        <w:r w:rsidR="00F17FEC" w:rsidRPr="00D049EB">
          <w:rPr>
            <w:rStyle w:val="Hyperlink"/>
          </w:rPr>
          <w:t>1</w:t>
        </w:r>
        <w:r w:rsidR="00F17FEC">
          <w:rPr>
            <w:rFonts w:asciiTheme="minorHAnsi" w:eastAsiaTheme="minorEastAsia" w:hAnsiTheme="minorHAnsi"/>
            <w:sz w:val="22"/>
            <w:lang w:eastAsia="en-AU"/>
          </w:rPr>
          <w:tab/>
        </w:r>
        <w:r w:rsidR="00F17FEC" w:rsidRPr="00D049EB">
          <w:rPr>
            <w:rStyle w:val="Hyperlink"/>
          </w:rPr>
          <w:t>Introduction</w:t>
        </w:r>
        <w:r w:rsidR="00F17FEC">
          <w:rPr>
            <w:webHidden/>
          </w:rPr>
          <w:tab/>
        </w:r>
        <w:r w:rsidR="00F17FEC">
          <w:rPr>
            <w:webHidden/>
          </w:rPr>
          <w:fldChar w:fldCharType="begin"/>
        </w:r>
        <w:r w:rsidR="00F17FEC">
          <w:rPr>
            <w:webHidden/>
          </w:rPr>
          <w:instrText xml:space="preserve"> PAGEREF _Toc104983813 \h </w:instrText>
        </w:r>
        <w:r w:rsidR="00F17FEC">
          <w:rPr>
            <w:webHidden/>
          </w:rPr>
        </w:r>
        <w:r w:rsidR="00F17FEC">
          <w:rPr>
            <w:webHidden/>
          </w:rPr>
          <w:fldChar w:fldCharType="separate"/>
        </w:r>
        <w:r w:rsidR="00F17FEC">
          <w:rPr>
            <w:webHidden/>
          </w:rPr>
          <w:t>8</w:t>
        </w:r>
        <w:r w:rsidR="00F17FEC">
          <w:rPr>
            <w:webHidden/>
          </w:rPr>
          <w:fldChar w:fldCharType="end"/>
        </w:r>
      </w:hyperlink>
    </w:p>
    <w:p w14:paraId="5C3E70D5" w14:textId="2653C976" w:rsidR="00F17FEC" w:rsidRDefault="00480605">
      <w:pPr>
        <w:pStyle w:val="TOC2"/>
        <w:rPr>
          <w:rFonts w:asciiTheme="minorHAnsi" w:eastAsiaTheme="minorEastAsia" w:hAnsiTheme="minorHAnsi"/>
          <w:sz w:val="22"/>
          <w:lang w:eastAsia="en-AU"/>
        </w:rPr>
      </w:pPr>
      <w:hyperlink w:anchor="_Toc104983814" w:history="1">
        <w:r w:rsidR="00F17FEC" w:rsidRPr="00D049EB">
          <w:rPr>
            <w:rStyle w:val="Hyperlink"/>
          </w:rPr>
          <w:t>1.1</w:t>
        </w:r>
        <w:r w:rsidR="00F17FEC">
          <w:rPr>
            <w:rFonts w:asciiTheme="minorHAnsi" w:eastAsiaTheme="minorEastAsia" w:hAnsiTheme="minorHAnsi"/>
            <w:sz w:val="22"/>
            <w:lang w:eastAsia="en-AU"/>
          </w:rPr>
          <w:tab/>
        </w:r>
        <w:r w:rsidR="00F17FEC" w:rsidRPr="00D049EB">
          <w:rPr>
            <w:rStyle w:val="Hyperlink"/>
          </w:rPr>
          <w:t>Overview of the change of income assessment model</w:t>
        </w:r>
        <w:r w:rsidR="00F17FEC">
          <w:rPr>
            <w:webHidden/>
          </w:rPr>
          <w:tab/>
        </w:r>
        <w:r w:rsidR="00F17FEC">
          <w:rPr>
            <w:webHidden/>
          </w:rPr>
          <w:fldChar w:fldCharType="begin"/>
        </w:r>
        <w:r w:rsidR="00F17FEC">
          <w:rPr>
            <w:webHidden/>
          </w:rPr>
          <w:instrText xml:space="preserve"> PAGEREF _Toc104983814 \h </w:instrText>
        </w:r>
        <w:r w:rsidR="00F17FEC">
          <w:rPr>
            <w:webHidden/>
          </w:rPr>
        </w:r>
        <w:r w:rsidR="00F17FEC">
          <w:rPr>
            <w:webHidden/>
          </w:rPr>
          <w:fldChar w:fldCharType="separate"/>
        </w:r>
        <w:r w:rsidR="00F17FEC">
          <w:rPr>
            <w:webHidden/>
          </w:rPr>
          <w:t>8</w:t>
        </w:r>
        <w:r w:rsidR="00F17FEC">
          <w:rPr>
            <w:webHidden/>
          </w:rPr>
          <w:fldChar w:fldCharType="end"/>
        </w:r>
      </w:hyperlink>
    </w:p>
    <w:p w14:paraId="627B8374" w14:textId="1026504F" w:rsidR="00F17FEC" w:rsidRDefault="00480605">
      <w:pPr>
        <w:pStyle w:val="TOC2"/>
        <w:rPr>
          <w:rFonts w:asciiTheme="minorHAnsi" w:eastAsiaTheme="minorEastAsia" w:hAnsiTheme="minorHAnsi"/>
          <w:sz w:val="22"/>
          <w:lang w:eastAsia="en-AU"/>
        </w:rPr>
      </w:pPr>
      <w:hyperlink w:anchor="_Toc104983815" w:history="1">
        <w:r w:rsidR="00F17FEC" w:rsidRPr="00D049EB">
          <w:rPr>
            <w:rStyle w:val="Hyperlink"/>
          </w:rPr>
          <w:t>1.2</w:t>
        </w:r>
        <w:r w:rsidR="00F17FEC">
          <w:rPr>
            <w:rFonts w:asciiTheme="minorHAnsi" w:eastAsiaTheme="minorEastAsia" w:hAnsiTheme="minorHAnsi"/>
            <w:sz w:val="22"/>
            <w:lang w:eastAsia="en-AU"/>
          </w:rPr>
          <w:tab/>
        </w:r>
        <w:r w:rsidR="00F17FEC" w:rsidRPr="00D049EB">
          <w:rPr>
            <w:rStyle w:val="Hyperlink"/>
          </w:rPr>
          <w:t>Legislative review requirement</w:t>
        </w:r>
        <w:r w:rsidR="00F17FEC">
          <w:rPr>
            <w:webHidden/>
          </w:rPr>
          <w:tab/>
        </w:r>
        <w:r w:rsidR="00F17FEC">
          <w:rPr>
            <w:webHidden/>
          </w:rPr>
          <w:fldChar w:fldCharType="begin"/>
        </w:r>
        <w:r w:rsidR="00F17FEC">
          <w:rPr>
            <w:webHidden/>
          </w:rPr>
          <w:instrText xml:space="preserve"> PAGEREF _Toc104983815 \h </w:instrText>
        </w:r>
        <w:r w:rsidR="00F17FEC">
          <w:rPr>
            <w:webHidden/>
          </w:rPr>
        </w:r>
        <w:r w:rsidR="00F17FEC">
          <w:rPr>
            <w:webHidden/>
          </w:rPr>
          <w:fldChar w:fldCharType="separate"/>
        </w:r>
        <w:r w:rsidR="00F17FEC">
          <w:rPr>
            <w:webHidden/>
          </w:rPr>
          <w:t>9</w:t>
        </w:r>
        <w:r w:rsidR="00F17FEC">
          <w:rPr>
            <w:webHidden/>
          </w:rPr>
          <w:fldChar w:fldCharType="end"/>
        </w:r>
      </w:hyperlink>
    </w:p>
    <w:p w14:paraId="376EDE72" w14:textId="5660C9E3" w:rsidR="00F17FEC" w:rsidRDefault="00480605">
      <w:pPr>
        <w:pStyle w:val="TOC2"/>
        <w:rPr>
          <w:rFonts w:asciiTheme="minorHAnsi" w:eastAsiaTheme="minorEastAsia" w:hAnsiTheme="minorHAnsi"/>
          <w:sz w:val="22"/>
          <w:lang w:eastAsia="en-AU"/>
        </w:rPr>
      </w:pPr>
      <w:hyperlink w:anchor="_Toc104983816" w:history="1">
        <w:r w:rsidR="00F17FEC" w:rsidRPr="00D049EB">
          <w:rPr>
            <w:rStyle w:val="Hyperlink"/>
          </w:rPr>
          <w:t>1.3</w:t>
        </w:r>
        <w:r w:rsidR="00F17FEC">
          <w:rPr>
            <w:rFonts w:asciiTheme="minorHAnsi" w:eastAsiaTheme="minorEastAsia" w:hAnsiTheme="minorHAnsi"/>
            <w:sz w:val="22"/>
            <w:lang w:eastAsia="en-AU"/>
          </w:rPr>
          <w:tab/>
        </w:r>
        <w:r w:rsidR="00F17FEC" w:rsidRPr="00D049EB">
          <w:rPr>
            <w:rStyle w:val="Hyperlink"/>
          </w:rPr>
          <w:t>Scope of the review</w:t>
        </w:r>
        <w:r w:rsidR="00F17FEC">
          <w:rPr>
            <w:webHidden/>
          </w:rPr>
          <w:tab/>
        </w:r>
        <w:r w:rsidR="00F17FEC">
          <w:rPr>
            <w:webHidden/>
          </w:rPr>
          <w:fldChar w:fldCharType="begin"/>
        </w:r>
        <w:r w:rsidR="00F17FEC">
          <w:rPr>
            <w:webHidden/>
          </w:rPr>
          <w:instrText xml:space="preserve"> PAGEREF _Toc104983816 \h </w:instrText>
        </w:r>
        <w:r w:rsidR="00F17FEC">
          <w:rPr>
            <w:webHidden/>
          </w:rPr>
        </w:r>
        <w:r w:rsidR="00F17FEC">
          <w:rPr>
            <w:webHidden/>
          </w:rPr>
          <w:fldChar w:fldCharType="separate"/>
        </w:r>
        <w:r w:rsidR="00F17FEC">
          <w:rPr>
            <w:webHidden/>
          </w:rPr>
          <w:t>10</w:t>
        </w:r>
        <w:r w:rsidR="00F17FEC">
          <w:rPr>
            <w:webHidden/>
          </w:rPr>
          <w:fldChar w:fldCharType="end"/>
        </w:r>
      </w:hyperlink>
    </w:p>
    <w:p w14:paraId="33588512" w14:textId="7A1F0B87" w:rsidR="00F17FEC" w:rsidRDefault="00480605">
      <w:pPr>
        <w:pStyle w:val="TOC1"/>
        <w:rPr>
          <w:rFonts w:asciiTheme="minorHAnsi" w:eastAsiaTheme="minorEastAsia" w:hAnsiTheme="minorHAnsi"/>
          <w:sz w:val="22"/>
          <w:lang w:eastAsia="en-AU"/>
        </w:rPr>
      </w:pPr>
      <w:hyperlink w:anchor="_Toc104983817" w:history="1">
        <w:r w:rsidR="00F17FEC" w:rsidRPr="00D049EB">
          <w:rPr>
            <w:rStyle w:val="Hyperlink"/>
          </w:rPr>
          <w:t>2</w:t>
        </w:r>
        <w:r w:rsidR="00F17FEC">
          <w:rPr>
            <w:rFonts w:asciiTheme="minorHAnsi" w:eastAsiaTheme="minorEastAsia" w:hAnsiTheme="minorHAnsi"/>
            <w:sz w:val="22"/>
            <w:lang w:eastAsia="en-AU"/>
          </w:rPr>
          <w:tab/>
        </w:r>
        <w:r w:rsidR="00F17FEC" w:rsidRPr="00D049EB">
          <w:rPr>
            <w:rStyle w:val="Hyperlink"/>
          </w:rPr>
          <w:t>Approach to the Review</w:t>
        </w:r>
        <w:r w:rsidR="00F17FEC">
          <w:rPr>
            <w:webHidden/>
          </w:rPr>
          <w:tab/>
        </w:r>
        <w:r w:rsidR="00F17FEC">
          <w:rPr>
            <w:webHidden/>
          </w:rPr>
          <w:fldChar w:fldCharType="begin"/>
        </w:r>
        <w:r w:rsidR="00F17FEC">
          <w:rPr>
            <w:webHidden/>
          </w:rPr>
          <w:instrText xml:space="preserve"> PAGEREF _Toc104983817 \h </w:instrText>
        </w:r>
        <w:r w:rsidR="00F17FEC">
          <w:rPr>
            <w:webHidden/>
          </w:rPr>
        </w:r>
        <w:r w:rsidR="00F17FEC">
          <w:rPr>
            <w:webHidden/>
          </w:rPr>
          <w:fldChar w:fldCharType="separate"/>
        </w:r>
        <w:r w:rsidR="00F17FEC">
          <w:rPr>
            <w:webHidden/>
          </w:rPr>
          <w:t>15</w:t>
        </w:r>
        <w:r w:rsidR="00F17FEC">
          <w:rPr>
            <w:webHidden/>
          </w:rPr>
          <w:fldChar w:fldCharType="end"/>
        </w:r>
      </w:hyperlink>
    </w:p>
    <w:p w14:paraId="65F5CC38" w14:textId="54B91838" w:rsidR="00F17FEC" w:rsidRDefault="00480605">
      <w:pPr>
        <w:pStyle w:val="TOC2"/>
        <w:rPr>
          <w:rFonts w:asciiTheme="minorHAnsi" w:eastAsiaTheme="minorEastAsia" w:hAnsiTheme="minorHAnsi"/>
          <w:sz w:val="22"/>
          <w:lang w:eastAsia="en-AU"/>
        </w:rPr>
      </w:pPr>
      <w:hyperlink w:anchor="_Toc104983818" w:history="1">
        <w:r w:rsidR="00F17FEC" w:rsidRPr="00D049EB">
          <w:rPr>
            <w:rStyle w:val="Hyperlink"/>
          </w:rPr>
          <w:t>2.1</w:t>
        </w:r>
        <w:r w:rsidR="00F17FEC">
          <w:rPr>
            <w:rFonts w:asciiTheme="minorHAnsi" w:eastAsiaTheme="minorEastAsia" w:hAnsiTheme="minorHAnsi"/>
            <w:sz w:val="22"/>
            <w:lang w:eastAsia="en-AU"/>
          </w:rPr>
          <w:tab/>
        </w:r>
        <w:r w:rsidR="00F17FEC" w:rsidRPr="00D049EB">
          <w:rPr>
            <w:rStyle w:val="Hyperlink"/>
          </w:rPr>
          <w:t>Consultation approach</w:t>
        </w:r>
        <w:r w:rsidR="00F17FEC">
          <w:rPr>
            <w:webHidden/>
          </w:rPr>
          <w:tab/>
        </w:r>
        <w:r w:rsidR="00F17FEC">
          <w:rPr>
            <w:webHidden/>
          </w:rPr>
          <w:fldChar w:fldCharType="begin"/>
        </w:r>
        <w:r w:rsidR="00F17FEC">
          <w:rPr>
            <w:webHidden/>
          </w:rPr>
          <w:instrText xml:space="preserve"> PAGEREF _Toc104983818 \h </w:instrText>
        </w:r>
        <w:r w:rsidR="00F17FEC">
          <w:rPr>
            <w:webHidden/>
          </w:rPr>
        </w:r>
        <w:r w:rsidR="00F17FEC">
          <w:rPr>
            <w:webHidden/>
          </w:rPr>
          <w:fldChar w:fldCharType="separate"/>
        </w:r>
        <w:r w:rsidR="00F17FEC">
          <w:rPr>
            <w:webHidden/>
          </w:rPr>
          <w:t>15</w:t>
        </w:r>
        <w:r w:rsidR="00F17FEC">
          <w:rPr>
            <w:webHidden/>
          </w:rPr>
          <w:fldChar w:fldCharType="end"/>
        </w:r>
      </w:hyperlink>
    </w:p>
    <w:p w14:paraId="21A86187" w14:textId="157B20DE" w:rsidR="00F17FEC" w:rsidRDefault="00480605">
      <w:pPr>
        <w:pStyle w:val="TOC1"/>
        <w:rPr>
          <w:rFonts w:asciiTheme="minorHAnsi" w:eastAsiaTheme="minorEastAsia" w:hAnsiTheme="minorHAnsi"/>
          <w:sz w:val="22"/>
          <w:lang w:eastAsia="en-AU"/>
        </w:rPr>
      </w:pPr>
      <w:hyperlink w:anchor="_Toc104983819" w:history="1">
        <w:r w:rsidR="00F17FEC" w:rsidRPr="00D049EB">
          <w:rPr>
            <w:rStyle w:val="Hyperlink"/>
          </w:rPr>
          <w:t>3</w:t>
        </w:r>
        <w:r w:rsidR="00F17FEC">
          <w:rPr>
            <w:rFonts w:asciiTheme="minorHAnsi" w:eastAsiaTheme="minorEastAsia" w:hAnsiTheme="minorHAnsi"/>
            <w:sz w:val="22"/>
            <w:lang w:eastAsia="en-AU"/>
          </w:rPr>
          <w:tab/>
        </w:r>
        <w:r w:rsidR="00F17FEC" w:rsidRPr="00D049EB">
          <w:rPr>
            <w:rStyle w:val="Hyperlink"/>
          </w:rPr>
          <w:t>Review Findings</w:t>
        </w:r>
        <w:r w:rsidR="00F17FEC">
          <w:rPr>
            <w:webHidden/>
          </w:rPr>
          <w:tab/>
        </w:r>
        <w:r w:rsidR="00F17FEC">
          <w:rPr>
            <w:webHidden/>
          </w:rPr>
          <w:fldChar w:fldCharType="begin"/>
        </w:r>
        <w:r w:rsidR="00F17FEC">
          <w:rPr>
            <w:webHidden/>
          </w:rPr>
          <w:instrText xml:space="preserve"> PAGEREF _Toc104983819 \h </w:instrText>
        </w:r>
        <w:r w:rsidR="00F17FEC">
          <w:rPr>
            <w:webHidden/>
          </w:rPr>
        </w:r>
        <w:r w:rsidR="00F17FEC">
          <w:rPr>
            <w:webHidden/>
          </w:rPr>
          <w:fldChar w:fldCharType="separate"/>
        </w:r>
        <w:r w:rsidR="00F17FEC">
          <w:rPr>
            <w:webHidden/>
          </w:rPr>
          <w:t>18</w:t>
        </w:r>
        <w:r w:rsidR="00F17FEC">
          <w:rPr>
            <w:webHidden/>
          </w:rPr>
          <w:fldChar w:fldCharType="end"/>
        </w:r>
      </w:hyperlink>
    </w:p>
    <w:p w14:paraId="53B24212" w14:textId="443848A4" w:rsidR="00F17FEC" w:rsidRDefault="00480605">
      <w:pPr>
        <w:pStyle w:val="TOC2"/>
        <w:rPr>
          <w:rFonts w:asciiTheme="minorHAnsi" w:eastAsiaTheme="minorEastAsia" w:hAnsiTheme="minorHAnsi"/>
          <w:sz w:val="22"/>
          <w:lang w:eastAsia="en-AU"/>
        </w:rPr>
      </w:pPr>
      <w:hyperlink w:anchor="_Toc104983820" w:history="1">
        <w:r w:rsidR="00F17FEC" w:rsidRPr="00D049EB">
          <w:rPr>
            <w:rStyle w:val="Hyperlink"/>
          </w:rPr>
          <w:t>3.2</w:t>
        </w:r>
        <w:r w:rsidR="00F17FEC">
          <w:rPr>
            <w:rFonts w:asciiTheme="minorHAnsi" w:eastAsiaTheme="minorEastAsia" w:hAnsiTheme="minorHAnsi"/>
            <w:sz w:val="22"/>
            <w:lang w:eastAsia="en-AU"/>
          </w:rPr>
          <w:tab/>
        </w:r>
        <w:r w:rsidR="00F17FEC" w:rsidRPr="00D049EB">
          <w:rPr>
            <w:rStyle w:val="Hyperlink"/>
          </w:rPr>
          <w:t>Consultation findings</w:t>
        </w:r>
        <w:r w:rsidR="00F17FEC">
          <w:rPr>
            <w:webHidden/>
          </w:rPr>
          <w:tab/>
        </w:r>
        <w:r w:rsidR="00F17FEC">
          <w:rPr>
            <w:webHidden/>
          </w:rPr>
          <w:fldChar w:fldCharType="begin"/>
        </w:r>
        <w:r w:rsidR="00F17FEC">
          <w:rPr>
            <w:webHidden/>
          </w:rPr>
          <w:instrText xml:space="preserve"> PAGEREF _Toc104983820 \h </w:instrText>
        </w:r>
        <w:r w:rsidR="00F17FEC">
          <w:rPr>
            <w:webHidden/>
          </w:rPr>
        </w:r>
        <w:r w:rsidR="00F17FEC">
          <w:rPr>
            <w:webHidden/>
          </w:rPr>
          <w:fldChar w:fldCharType="separate"/>
        </w:r>
        <w:r w:rsidR="00F17FEC">
          <w:rPr>
            <w:webHidden/>
          </w:rPr>
          <w:t>20</w:t>
        </w:r>
        <w:r w:rsidR="00F17FEC">
          <w:rPr>
            <w:webHidden/>
          </w:rPr>
          <w:fldChar w:fldCharType="end"/>
        </w:r>
      </w:hyperlink>
    </w:p>
    <w:p w14:paraId="789D980F" w14:textId="73ED58B2" w:rsidR="00F17FEC" w:rsidRDefault="00480605">
      <w:pPr>
        <w:pStyle w:val="TOC1"/>
        <w:rPr>
          <w:rFonts w:asciiTheme="minorHAnsi" w:eastAsiaTheme="minorEastAsia" w:hAnsiTheme="minorHAnsi"/>
          <w:sz w:val="22"/>
          <w:lang w:eastAsia="en-AU"/>
        </w:rPr>
      </w:pPr>
      <w:hyperlink w:anchor="_Toc104983821" w:history="1">
        <w:r w:rsidR="00F17FEC" w:rsidRPr="00D049EB">
          <w:rPr>
            <w:rStyle w:val="Hyperlink"/>
          </w:rPr>
          <w:t>Appendix A : Consultation materials</w:t>
        </w:r>
        <w:r w:rsidR="00F17FEC">
          <w:rPr>
            <w:webHidden/>
          </w:rPr>
          <w:tab/>
        </w:r>
        <w:r w:rsidR="00F17FEC">
          <w:rPr>
            <w:webHidden/>
          </w:rPr>
          <w:fldChar w:fldCharType="begin"/>
        </w:r>
        <w:r w:rsidR="00F17FEC">
          <w:rPr>
            <w:webHidden/>
          </w:rPr>
          <w:instrText xml:space="preserve"> PAGEREF _Toc104983821 \h </w:instrText>
        </w:r>
        <w:r w:rsidR="00F17FEC">
          <w:rPr>
            <w:webHidden/>
          </w:rPr>
        </w:r>
        <w:r w:rsidR="00F17FEC">
          <w:rPr>
            <w:webHidden/>
          </w:rPr>
          <w:fldChar w:fldCharType="separate"/>
        </w:r>
        <w:r w:rsidR="00F17FEC">
          <w:rPr>
            <w:webHidden/>
          </w:rPr>
          <w:t>32</w:t>
        </w:r>
        <w:r w:rsidR="00F17FEC">
          <w:rPr>
            <w:webHidden/>
          </w:rPr>
          <w:fldChar w:fldCharType="end"/>
        </w:r>
      </w:hyperlink>
    </w:p>
    <w:p w14:paraId="50DF6A63" w14:textId="127D05F0" w:rsidR="00F17FEC" w:rsidRDefault="00480605">
      <w:pPr>
        <w:pStyle w:val="TOC1"/>
        <w:rPr>
          <w:rFonts w:asciiTheme="minorHAnsi" w:eastAsiaTheme="minorEastAsia" w:hAnsiTheme="minorHAnsi"/>
          <w:sz w:val="22"/>
          <w:lang w:eastAsia="en-AU"/>
        </w:rPr>
      </w:pPr>
      <w:hyperlink w:anchor="_Toc104983822" w:history="1">
        <w:r w:rsidR="00F17FEC" w:rsidRPr="00D049EB">
          <w:rPr>
            <w:rStyle w:val="Hyperlink"/>
          </w:rPr>
          <w:t>Appendix B : Discussion Paper</w:t>
        </w:r>
        <w:r w:rsidR="00F17FEC">
          <w:rPr>
            <w:webHidden/>
          </w:rPr>
          <w:tab/>
        </w:r>
        <w:r w:rsidR="00F17FEC">
          <w:rPr>
            <w:webHidden/>
          </w:rPr>
          <w:fldChar w:fldCharType="begin"/>
        </w:r>
        <w:r w:rsidR="00F17FEC">
          <w:rPr>
            <w:webHidden/>
          </w:rPr>
          <w:instrText xml:space="preserve"> PAGEREF _Toc104983822 \h </w:instrText>
        </w:r>
        <w:r w:rsidR="00F17FEC">
          <w:rPr>
            <w:webHidden/>
          </w:rPr>
        </w:r>
        <w:r w:rsidR="00F17FEC">
          <w:rPr>
            <w:webHidden/>
          </w:rPr>
          <w:fldChar w:fldCharType="separate"/>
        </w:r>
        <w:r w:rsidR="00F17FEC">
          <w:rPr>
            <w:webHidden/>
          </w:rPr>
          <w:t>34</w:t>
        </w:r>
        <w:r w:rsidR="00F17FEC">
          <w:rPr>
            <w:webHidden/>
          </w:rPr>
          <w:fldChar w:fldCharType="end"/>
        </w:r>
      </w:hyperlink>
    </w:p>
    <w:p w14:paraId="26014A62" w14:textId="409F8D94" w:rsidR="00F17FEC" w:rsidRDefault="00480605">
      <w:pPr>
        <w:pStyle w:val="TOC1"/>
        <w:rPr>
          <w:rFonts w:asciiTheme="minorHAnsi" w:eastAsiaTheme="minorEastAsia" w:hAnsiTheme="minorHAnsi"/>
          <w:sz w:val="22"/>
          <w:lang w:eastAsia="en-AU"/>
        </w:rPr>
      </w:pPr>
      <w:hyperlink w:anchor="_Toc104983823" w:history="1">
        <w:r w:rsidR="00F17FEC" w:rsidRPr="00D049EB">
          <w:rPr>
            <w:rStyle w:val="Hyperlink"/>
          </w:rPr>
          <w:t>Appendix C : Survey Outlines</w:t>
        </w:r>
        <w:r w:rsidR="00F17FEC">
          <w:rPr>
            <w:webHidden/>
          </w:rPr>
          <w:tab/>
        </w:r>
        <w:r w:rsidR="00F17FEC">
          <w:rPr>
            <w:webHidden/>
          </w:rPr>
          <w:fldChar w:fldCharType="begin"/>
        </w:r>
        <w:r w:rsidR="00F17FEC">
          <w:rPr>
            <w:webHidden/>
          </w:rPr>
          <w:instrText xml:space="preserve"> PAGEREF _Toc104983823 \h </w:instrText>
        </w:r>
        <w:r w:rsidR="00F17FEC">
          <w:rPr>
            <w:webHidden/>
          </w:rPr>
        </w:r>
        <w:r w:rsidR="00F17FEC">
          <w:rPr>
            <w:webHidden/>
          </w:rPr>
          <w:fldChar w:fldCharType="separate"/>
        </w:r>
        <w:r w:rsidR="00F17FEC">
          <w:rPr>
            <w:webHidden/>
          </w:rPr>
          <w:t>40</w:t>
        </w:r>
        <w:r w:rsidR="00F17FEC">
          <w:rPr>
            <w:webHidden/>
          </w:rPr>
          <w:fldChar w:fldCharType="end"/>
        </w:r>
      </w:hyperlink>
    </w:p>
    <w:p w14:paraId="1A8F5317" w14:textId="0B62C85D" w:rsidR="00F17FEC" w:rsidRDefault="00480605">
      <w:pPr>
        <w:pStyle w:val="TOC1"/>
        <w:rPr>
          <w:rFonts w:asciiTheme="minorHAnsi" w:eastAsiaTheme="minorEastAsia" w:hAnsiTheme="minorHAnsi"/>
          <w:sz w:val="22"/>
          <w:lang w:eastAsia="en-AU"/>
        </w:rPr>
      </w:pPr>
      <w:hyperlink w:anchor="_Toc104983824" w:history="1">
        <w:r w:rsidR="00F17FEC" w:rsidRPr="00D049EB">
          <w:rPr>
            <w:rStyle w:val="Hyperlink"/>
          </w:rPr>
          <w:t>Appendix D: Stakeholders who participated in consultation</w:t>
        </w:r>
        <w:r w:rsidR="00F17FEC">
          <w:rPr>
            <w:webHidden/>
          </w:rPr>
          <w:tab/>
        </w:r>
        <w:r w:rsidR="00F17FEC">
          <w:rPr>
            <w:webHidden/>
          </w:rPr>
          <w:fldChar w:fldCharType="begin"/>
        </w:r>
        <w:r w:rsidR="00F17FEC">
          <w:rPr>
            <w:webHidden/>
          </w:rPr>
          <w:instrText xml:space="preserve"> PAGEREF _Toc104983824 \h </w:instrText>
        </w:r>
        <w:r w:rsidR="00F17FEC">
          <w:rPr>
            <w:webHidden/>
          </w:rPr>
        </w:r>
        <w:r w:rsidR="00F17FEC">
          <w:rPr>
            <w:webHidden/>
          </w:rPr>
          <w:fldChar w:fldCharType="separate"/>
        </w:r>
        <w:r w:rsidR="00F17FEC">
          <w:rPr>
            <w:webHidden/>
          </w:rPr>
          <w:t>42</w:t>
        </w:r>
        <w:r w:rsidR="00F17FEC">
          <w:rPr>
            <w:webHidden/>
          </w:rPr>
          <w:fldChar w:fldCharType="end"/>
        </w:r>
      </w:hyperlink>
    </w:p>
    <w:p w14:paraId="182F2547" w14:textId="077369C2" w:rsidR="00BD7266" w:rsidRPr="00860227" w:rsidRDefault="00AD5D9B" w:rsidP="00860227">
      <w:pPr>
        <w:pStyle w:val="TOC1"/>
      </w:pPr>
      <w:r>
        <w:fldChar w:fldCharType="end"/>
      </w:r>
    </w:p>
    <w:p w14:paraId="63B5CDBD" w14:textId="77777777" w:rsidR="00050A3F" w:rsidRPr="00050A3F" w:rsidRDefault="00050A3F" w:rsidP="00506FC0">
      <w:pPr>
        <w:pStyle w:val="BodyText1"/>
        <w:rPr>
          <w:iCs/>
          <w:sz w:val="16"/>
          <w:lang w:val="en-US"/>
        </w:rPr>
        <w:sectPr w:rsidR="00050A3F" w:rsidRPr="00050A3F" w:rsidSect="00013847">
          <w:headerReference w:type="default" r:id="rId14"/>
          <w:pgSz w:w="11906" w:h="16838"/>
          <w:pgMar w:top="1418" w:right="1418" w:bottom="1418" w:left="1560" w:header="709" w:footer="709" w:gutter="0"/>
          <w:pgNumType w:fmt="lowerRoman"/>
          <w:cols w:space="708"/>
          <w:docGrid w:linePitch="360"/>
        </w:sectPr>
      </w:pPr>
    </w:p>
    <w:p w14:paraId="1EEF7FD4" w14:textId="67CC1BDA" w:rsidR="00315A92" w:rsidRPr="00B64E54" w:rsidRDefault="00315A92" w:rsidP="00315A92">
      <w:pPr>
        <w:pStyle w:val="HeadingLevel1NoNumber"/>
      </w:pPr>
      <w:bookmarkStart w:id="1" w:name="_Toc104983811"/>
      <w:bookmarkStart w:id="2" w:name="_Toc509246609"/>
      <w:r>
        <w:lastRenderedPageBreak/>
        <w:t xml:space="preserve">Glossary of </w:t>
      </w:r>
      <w:r w:rsidR="00C25EC7">
        <w:t>T</w:t>
      </w:r>
      <w:r>
        <w:t>erms</w:t>
      </w:r>
      <w:bookmarkEnd w:id="1"/>
    </w:p>
    <w:p w14:paraId="6507A741" w14:textId="2713DAEE" w:rsidR="00315A92" w:rsidRPr="00C0398F" w:rsidRDefault="00C0398F" w:rsidP="00C0398F">
      <w:pPr>
        <w:pStyle w:val="Caption"/>
        <w:rPr>
          <w:color w:val="auto"/>
        </w:rPr>
      </w:pPr>
      <w:r w:rsidRPr="00C0398F">
        <w:rPr>
          <w:color w:val="auto"/>
        </w:rPr>
        <w:t xml:space="preserve">Table </w:t>
      </w:r>
      <w:r w:rsidRPr="00C0398F">
        <w:rPr>
          <w:color w:val="auto"/>
        </w:rPr>
        <w:fldChar w:fldCharType="begin"/>
      </w:r>
      <w:r w:rsidRPr="00C0398F">
        <w:rPr>
          <w:color w:val="auto"/>
        </w:rPr>
        <w:instrText xml:space="preserve"> SEQ Table \* ARABIC </w:instrText>
      </w:r>
      <w:r w:rsidRPr="00C0398F">
        <w:rPr>
          <w:color w:val="auto"/>
        </w:rPr>
        <w:fldChar w:fldCharType="separate"/>
      </w:r>
      <w:r w:rsidR="004969AE">
        <w:rPr>
          <w:noProof/>
          <w:color w:val="auto"/>
        </w:rPr>
        <w:t>1</w:t>
      </w:r>
      <w:r w:rsidRPr="00C0398F">
        <w:rPr>
          <w:color w:val="auto"/>
        </w:rPr>
        <w:fldChar w:fldCharType="end"/>
      </w:r>
      <w:r w:rsidRPr="00C0398F">
        <w:rPr>
          <w:color w:val="auto"/>
        </w:rPr>
        <w:t>: Glossary of terms used in this report</w:t>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 Glossary of terms used in this report"/>
        <w:tblDescription w:val="Table 1 is a table which identifies key terms used throughout the report and their definition. Column 1 is ‘term’ as lists all the common terms or acronyms that have been used throughout the report. Column 2 is ‘definition’ and describes each of these terms or acronyms in more detail."/>
      </w:tblPr>
      <w:tblGrid>
        <w:gridCol w:w="2835"/>
        <w:gridCol w:w="6225"/>
      </w:tblGrid>
      <w:tr w:rsidR="00315A92" w:rsidRPr="00315A92" w14:paraId="76AED332" w14:textId="77777777" w:rsidTr="00857DE3">
        <w:tc>
          <w:tcPr>
            <w:tcW w:w="2835" w:type="dxa"/>
          </w:tcPr>
          <w:p w14:paraId="71A859A4" w14:textId="77777777" w:rsidR="00315A92" w:rsidRPr="00315A92" w:rsidRDefault="00315A92" w:rsidP="00134EE4">
            <w:pPr>
              <w:pStyle w:val="Tableheading"/>
            </w:pPr>
            <w:r w:rsidRPr="00315A92">
              <w:t>Term</w:t>
            </w:r>
          </w:p>
        </w:tc>
        <w:tc>
          <w:tcPr>
            <w:tcW w:w="6225" w:type="dxa"/>
          </w:tcPr>
          <w:p w14:paraId="6283D5D2" w14:textId="35DC9B4E" w:rsidR="00315A92" w:rsidRPr="00315A92" w:rsidRDefault="00315A92" w:rsidP="00134EE4">
            <w:pPr>
              <w:pStyle w:val="Tableheading"/>
            </w:pPr>
            <w:r w:rsidRPr="00315A92">
              <w:t>Definition</w:t>
            </w:r>
          </w:p>
        </w:tc>
      </w:tr>
      <w:tr w:rsidR="00694333" w:rsidRPr="00315A92" w14:paraId="1528D85A" w14:textId="77777777" w:rsidTr="00857DE3">
        <w:tc>
          <w:tcPr>
            <w:tcW w:w="2835" w:type="dxa"/>
            <w:vAlign w:val="center"/>
          </w:tcPr>
          <w:p w14:paraId="1534FA9B" w14:textId="0CB1C915" w:rsidR="00694333" w:rsidRDefault="00694333" w:rsidP="00134EE4">
            <w:pPr>
              <w:pStyle w:val="Tabletext"/>
            </w:pPr>
            <w:r>
              <w:t>ATO</w:t>
            </w:r>
          </w:p>
        </w:tc>
        <w:tc>
          <w:tcPr>
            <w:tcW w:w="6225" w:type="dxa"/>
            <w:vAlign w:val="center"/>
          </w:tcPr>
          <w:p w14:paraId="2C7EBD17" w14:textId="5492A473" w:rsidR="00694333" w:rsidRDefault="00694333" w:rsidP="00134EE4">
            <w:pPr>
              <w:pStyle w:val="Tabletext"/>
              <w:rPr>
                <w:color w:val="000000"/>
              </w:rPr>
            </w:pPr>
            <w:r>
              <w:rPr>
                <w:color w:val="000000"/>
              </w:rPr>
              <w:t>Australian Taxation Office</w:t>
            </w:r>
          </w:p>
        </w:tc>
      </w:tr>
      <w:tr w:rsidR="005C62C4" w:rsidRPr="00315A92" w14:paraId="10A94E17" w14:textId="77777777" w:rsidTr="00857DE3">
        <w:tc>
          <w:tcPr>
            <w:tcW w:w="2835" w:type="dxa"/>
            <w:vAlign w:val="center"/>
          </w:tcPr>
          <w:p w14:paraId="2635F35E" w14:textId="00A5EBC6" w:rsidR="005C62C4" w:rsidRPr="00315A92" w:rsidRDefault="005C62C4" w:rsidP="00134EE4">
            <w:pPr>
              <w:pStyle w:val="Tabletext"/>
            </w:pPr>
            <w:r>
              <w:t>The Act</w:t>
            </w:r>
          </w:p>
        </w:tc>
        <w:tc>
          <w:tcPr>
            <w:tcW w:w="6225" w:type="dxa"/>
            <w:vAlign w:val="center"/>
          </w:tcPr>
          <w:p w14:paraId="7EC61890" w14:textId="5AE4D8DB" w:rsidR="005C62C4" w:rsidRPr="00315A92" w:rsidRDefault="00C871A3" w:rsidP="00134EE4">
            <w:pPr>
              <w:pStyle w:val="Tabletext"/>
            </w:pPr>
            <w:r>
              <w:rPr>
                <w:color w:val="000000"/>
              </w:rPr>
              <w:t>The</w:t>
            </w:r>
            <w:r w:rsidR="005C62C4">
              <w:rPr>
                <w:color w:val="000000"/>
              </w:rPr>
              <w:t xml:space="preserve"> </w:t>
            </w:r>
            <w:r w:rsidR="005C62C4">
              <w:rPr>
                <w:i/>
                <w:iCs/>
                <w:color w:val="000000"/>
              </w:rPr>
              <w:t>Social Services and Other Legislati</w:t>
            </w:r>
            <w:r w:rsidR="00FE6B63">
              <w:rPr>
                <w:i/>
                <w:iCs/>
                <w:color w:val="000000"/>
              </w:rPr>
              <w:t>on</w:t>
            </w:r>
            <w:r w:rsidR="005C62C4">
              <w:rPr>
                <w:i/>
                <w:iCs/>
                <w:color w:val="000000"/>
              </w:rPr>
              <w:t xml:space="preserve"> Amendment (Simplifying Income Reporting and Other Measures) Act 2020 </w:t>
            </w:r>
            <w:r w:rsidR="005C62C4">
              <w:rPr>
                <w:color w:val="000000"/>
              </w:rPr>
              <w:t xml:space="preserve">was introduced into Parliament in February 2020 and implemented on 7 December 2020. This Act is the subject of this review and report. </w:t>
            </w:r>
          </w:p>
        </w:tc>
      </w:tr>
      <w:tr w:rsidR="004F107F" w:rsidRPr="00315A92" w14:paraId="4546FB7D" w14:textId="77777777" w:rsidTr="00857DE3">
        <w:tc>
          <w:tcPr>
            <w:tcW w:w="2835" w:type="dxa"/>
            <w:vAlign w:val="center"/>
          </w:tcPr>
          <w:p w14:paraId="3BAB7CB1" w14:textId="5C30F5CF" w:rsidR="004F107F" w:rsidRDefault="004F107F" w:rsidP="00134EE4">
            <w:pPr>
              <w:pStyle w:val="Tabletext"/>
            </w:pPr>
            <w:r>
              <w:t>CALD</w:t>
            </w:r>
          </w:p>
        </w:tc>
        <w:tc>
          <w:tcPr>
            <w:tcW w:w="6225" w:type="dxa"/>
            <w:vAlign w:val="center"/>
          </w:tcPr>
          <w:p w14:paraId="3CDB548A" w14:textId="6FD576A0" w:rsidR="004F107F" w:rsidRDefault="004F107F" w:rsidP="00134EE4">
            <w:pPr>
              <w:pStyle w:val="Tabletext"/>
            </w:pPr>
            <w:r>
              <w:t>Culturally and Linguistically Diverse</w:t>
            </w:r>
          </w:p>
        </w:tc>
      </w:tr>
      <w:tr w:rsidR="005C62C4" w:rsidRPr="00315A92" w14:paraId="575759C5" w14:textId="77777777" w:rsidTr="00857DE3">
        <w:tc>
          <w:tcPr>
            <w:tcW w:w="2835" w:type="dxa"/>
            <w:vAlign w:val="center"/>
          </w:tcPr>
          <w:p w14:paraId="2BE9134F" w14:textId="45B991ED" w:rsidR="005C62C4" w:rsidRPr="00315A92" w:rsidRDefault="005C62C4" w:rsidP="00134EE4">
            <w:pPr>
              <w:pStyle w:val="Tabletext"/>
            </w:pPr>
            <w:r>
              <w:t>CAM</w:t>
            </w:r>
          </w:p>
        </w:tc>
        <w:tc>
          <w:tcPr>
            <w:tcW w:w="6225" w:type="dxa"/>
            <w:vAlign w:val="center"/>
          </w:tcPr>
          <w:p w14:paraId="27969824" w14:textId="09395C98" w:rsidR="005C62C4" w:rsidRPr="00315A92" w:rsidRDefault="005C62C4" w:rsidP="00134EE4">
            <w:pPr>
              <w:pStyle w:val="Tabletext"/>
            </w:pPr>
            <w:r>
              <w:t xml:space="preserve">Change </w:t>
            </w:r>
            <w:r w:rsidR="00D671CA">
              <w:t>of income assessment model</w:t>
            </w:r>
          </w:p>
        </w:tc>
      </w:tr>
      <w:tr w:rsidR="005C62C4" w:rsidRPr="00315A92" w14:paraId="64854750" w14:textId="77777777" w:rsidTr="00857DE3">
        <w:tc>
          <w:tcPr>
            <w:tcW w:w="2835" w:type="dxa"/>
            <w:vAlign w:val="center"/>
          </w:tcPr>
          <w:p w14:paraId="4D1BB95A" w14:textId="3AD634C2" w:rsidR="005C62C4" w:rsidRPr="00315A92" w:rsidRDefault="005C62C4" w:rsidP="00134EE4">
            <w:pPr>
              <w:pStyle w:val="Tabletext"/>
            </w:pPr>
            <w:r>
              <w:t>CSAG</w:t>
            </w:r>
          </w:p>
        </w:tc>
        <w:tc>
          <w:tcPr>
            <w:tcW w:w="6225" w:type="dxa"/>
            <w:vAlign w:val="center"/>
          </w:tcPr>
          <w:p w14:paraId="3BA282EB" w14:textId="5516C349" w:rsidR="005C62C4" w:rsidRPr="00315A92" w:rsidRDefault="005C62C4" w:rsidP="00134EE4">
            <w:pPr>
              <w:pStyle w:val="Tabletext"/>
            </w:pPr>
            <w:r>
              <w:t>Community Services Advisory Group</w:t>
            </w:r>
          </w:p>
        </w:tc>
      </w:tr>
      <w:tr w:rsidR="005C62C4" w:rsidRPr="00315A92" w14:paraId="498B991C" w14:textId="77777777" w:rsidTr="00857DE3">
        <w:tc>
          <w:tcPr>
            <w:tcW w:w="2835" w:type="dxa"/>
            <w:vAlign w:val="center"/>
          </w:tcPr>
          <w:p w14:paraId="680DAF03" w14:textId="1759F806" w:rsidR="005C62C4" w:rsidRPr="00315A92" w:rsidRDefault="005C62C4" w:rsidP="00134EE4">
            <w:pPr>
              <w:pStyle w:val="Tabletext"/>
            </w:pPr>
            <w:r>
              <w:t>DHS</w:t>
            </w:r>
          </w:p>
        </w:tc>
        <w:tc>
          <w:tcPr>
            <w:tcW w:w="6225" w:type="dxa"/>
            <w:vAlign w:val="center"/>
          </w:tcPr>
          <w:p w14:paraId="6FFFF5F5" w14:textId="3F87F4AF" w:rsidR="005C62C4" w:rsidRPr="00315A92" w:rsidRDefault="005C62C4" w:rsidP="00134EE4">
            <w:pPr>
              <w:pStyle w:val="Tabletext"/>
            </w:pPr>
            <w:r>
              <w:t>Department of Human Services</w:t>
            </w:r>
          </w:p>
        </w:tc>
      </w:tr>
      <w:tr w:rsidR="005C62C4" w:rsidRPr="00315A92" w14:paraId="64CA387C" w14:textId="77777777" w:rsidTr="00857DE3">
        <w:tc>
          <w:tcPr>
            <w:tcW w:w="2835" w:type="dxa"/>
            <w:vAlign w:val="center"/>
          </w:tcPr>
          <w:p w14:paraId="0B7DB099" w14:textId="113FB7FA" w:rsidR="005C62C4" w:rsidRPr="00315A92" w:rsidRDefault="005C62C4" w:rsidP="00134EE4">
            <w:pPr>
              <w:pStyle w:val="Tabletext"/>
            </w:pPr>
            <w:r>
              <w:t>DSP</w:t>
            </w:r>
          </w:p>
        </w:tc>
        <w:tc>
          <w:tcPr>
            <w:tcW w:w="6225" w:type="dxa"/>
            <w:vAlign w:val="center"/>
          </w:tcPr>
          <w:p w14:paraId="6FECA6DC" w14:textId="0E5E52E3" w:rsidR="005C62C4" w:rsidRPr="00315A92" w:rsidRDefault="005C62C4" w:rsidP="00134EE4">
            <w:pPr>
              <w:pStyle w:val="Tabletext"/>
            </w:pPr>
            <w:r>
              <w:t>Disability Support Pension</w:t>
            </w:r>
          </w:p>
        </w:tc>
      </w:tr>
      <w:tr w:rsidR="00CB648F" w:rsidRPr="00315A92" w14:paraId="57CF9A9B" w14:textId="77777777" w:rsidTr="00857DE3">
        <w:tc>
          <w:tcPr>
            <w:tcW w:w="2835" w:type="dxa"/>
            <w:vAlign w:val="center"/>
          </w:tcPr>
          <w:p w14:paraId="7707F7D9" w14:textId="17E5D1A0" w:rsidR="00CB648F" w:rsidRDefault="00CB648F" w:rsidP="00134EE4">
            <w:pPr>
              <w:pStyle w:val="Tabletext"/>
            </w:pPr>
            <w:r>
              <w:t>DSS</w:t>
            </w:r>
          </w:p>
        </w:tc>
        <w:tc>
          <w:tcPr>
            <w:tcW w:w="6225" w:type="dxa"/>
            <w:vAlign w:val="center"/>
          </w:tcPr>
          <w:p w14:paraId="07BC2477" w14:textId="792541E0" w:rsidR="00CB648F" w:rsidRDefault="00CB648F" w:rsidP="00134EE4">
            <w:pPr>
              <w:pStyle w:val="Tabletext"/>
            </w:pPr>
            <w:r>
              <w:t>Department of Social Services</w:t>
            </w:r>
          </w:p>
        </w:tc>
      </w:tr>
      <w:tr w:rsidR="00CB648F" w:rsidRPr="00315A92" w14:paraId="28F3EEF1" w14:textId="77777777" w:rsidTr="00857DE3">
        <w:tc>
          <w:tcPr>
            <w:tcW w:w="2835" w:type="dxa"/>
            <w:vAlign w:val="center"/>
          </w:tcPr>
          <w:p w14:paraId="3405506A" w14:textId="5A0BC859" w:rsidR="00CB648F" w:rsidRDefault="00CB648F" w:rsidP="00134EE4">
            <w:pPr>
              <w:pStyle w:val="Tabletext"/>
            </w:pPr>
            <w:r>
              <w:t>DSS Engage</w:t>
            </w:r>
          </w:p>
        </w:tc>
        <w:tc>
          <w:tcPr>
            <w:tcW w:w="6225" w:type="dxa"/>
            <w:vAlign w:val="center"/>
          </w:tcPr>
          <w:p w14:paraId="4AEAB378" w14:textId="60EE2C60" w:rsidR="00CB648F" w:rsidRDefault="00CB648F" w:rsidP="00134EE4">
            <w:pPr>
              <w:pStyle w:val="Tabletext"/>
            </w:pPr>
            <w:r>
              <w:rPr>
                <w:rFonts w:cs="Arial"/>
              </w:rPr>
              <w:t>The DSS Engage platform is an online website accessible to any individual with access to the Internet. The website hosts a range of topics open for any member of the public to provide their feedback to help shape policy decisions</w:t>
            </w:r>
          </w:p>
        </w:tc>
      </w:tr>
      <w:tr w:rsidR="005C62C4" w:rsidRPr="00315A92" w14:paraId="374EFF37" w14:textId="77777777" w:rsidTr="00857DE3">
        <w:tc>
          <w:tcPr>
            <w:tcW w:w="2835" w:type="dxa"/>
            <w:vAlign w:val="center"/>
          </w:tcPr>
          <w:p w14:paraId="3CE5E2E9" w14:textId="0233D481" w:rsidR="005C62C4" w:rsidRPr="00315A92" w:rsidRDefault="005C62C4" w:rsidP="00134EE4">
            <w:pPr>
              <w:pStyle w:val="Tabletext"/>
            </w:pPr>
            <w:r>
              <w:t>Earned income model</w:t>
            </w:r>
          </w:p>
        </w:tc>
        <w:tc>
          <w:tcPr>
            <w:tcW w:w="6225" w:type="dxa"/>
            <w:vAlign w:val="center"/>
          </w:tcPr>
          <w:p w14:paraId="5A3ED3C4" w14:textId="5A0D0A80" w:rsidR="005C62C4" w:rsidRPr="00315A92" w:rsidRDefault="005C62C4" w:rsidP="00134EE4">
            <w:pPr>
              <w:pStyle w:val="Tabletext"/>
            </w:pPr>
            <w:r>
              <w:t xml:space="preserve">Reporting employment income based on payment </w:t>
            </w:r>
            <w:r w:rsidR="00182033">
              <w:t xml:space="preserve">amount </w:t>
            </w:r>
            <w:r>
              <w:t>earned in each fortnightly reporting period. This amount was reported to Centrelink by social security income recipients, their partners and / or nominees</w:t>
            </w:r>
            <w:r w:rsidR="00906F8F">
              <w:t xml:space="preserve"> prior to the </w:t>
            </w:r>
            <w:r w:rsidR="00987120">
              <w:t>change of income assessment model</w:t>
            </w:r>
            <w:r w:rsidR="00906F8F">
              <w:t>.</w:t>
            </w:r>
          </w:p>
        </w:tc>
      </w:tr>
      <w:tr w:rsidR="005C62C4" w:rsidRPr="00315A92" w14:paraId="2274B79C" w14:textId="77777777" w:rsidTr="00857DE3">
        <w:tc>
          <w:tcPr>
            <w:tcW w:w="2835" w:type="dxa"/>
            <w:vAlign w:val="center"/>
          </w:tcPr>
          <w:p w14:paraId="4D6A9EAE" w14:textId="1B36FB68" w:rsidR="005C62C4" w:rsidRPr="00315A92" w:rsidRDefault="005C62C4" w:rsidP="00134EE4">
            <w:pPr>
              <w:pStyle w:val="Tabletext"/>
            </w:pPr>
            <w:r>
              <w:t>FHA</w:t>
            </w:r>
          </w:p>
        </w:tc>
        <w:tc>
          <w:tcPr>
            <w:tcW w:w="6225" w:type="dxa"/>
            <w:vAlign w:val="center"/>
          </w:tcPr>
          <w:p w14:paraId="0E565E84" w14:textId="62232858" w:rsidR="005C62C4" w:rsidRPr="00315A92" w:rsidRDefault="005C62C4" w:rsidP="00134EE4">
            <w:pPr>
              <w:pStyle w:val="Tabletext"/>
            </w:pPr>
            <w:r>
              <w:t>Farm Household Allowance</w:t>
            </w:r>
          </w:p>
        </w:tc>
      </w:tr>
      <w:tr w:rsidR="005C62C4" w:rsidRPr="00315A92" w14:paraId="31321257" w14:textId="77777777" w:rsidTr="00543B25">
        <w:tc>
          <w:tcPr>
            <w:tcW w:w="2835" w:type="dxa"/>
            <w:vAlign w:val="center"/>
          </w:tcPr>
          <w:p w14:paraId="27C4EF29" w14:textId="2E74FD34" w:rsidR="005C62C4" w:rsidRDefault="005C62C4" w:rsidP="00134EE4">
            <w:pPr>
              <w:pStyle w:val="Tabletext"/>
            </w:pPr>
            <w:r>
              <w:t>IRSB</w:t>
            </w:r>
          </w:p>
        </w:tc>
        <w:tc>
          <w:tcPr>
            <w:tcW w:w="6225" w:type="dxa"/>
            <w:vAlign w:val="center"/>
          </w:tcPr>
          <w:p w14:paraId="4917CD76" w14:textId="1CE65925" w:rsidR="005C62C4" w:rsidRDefault="005C62C4" w:rsidP="00134EE4">
            <w:pPr>
              <w:pStyle w:val="Tabletext"/>
            </w:pPr>
            <w:r>
              <w:t>Indigenous and Remote Servicing Branch</w:t>
            </w:r>
          </w:p>
        </w:tc>
      </w:tr>
      <w:tr w:rsidR="005C62C4" w:rsidRPr="00315A92" w14:paraId="4CF5891E" w14:textId="77777777" w:rsidTr="00543B25">
        <w:tc>
          <w:tcPr>
            <w:tcW w:w="2835" w:type="dxa"/>
            <w:vAlign w:val="center"/>
          </w:tcPr>
          <w:p w14:paraId="524114AE" w14:textId="4E086ADF" w:rsidR="005C62C4" w:rsidRDefault="005C62C4" w:rsidP="00134EE4">
            <w:pPr>
              <w:pStyle w:val="Tabletext"/>
            </w:pPr>
            <w:r>
              <w:t>MTE</w:t>
            </w:r>
            <w:r>
              <w:rPr>
                <w:color w:val="000000"/>
                <w:sz w:val="16"/>
                <w:szCs w:val="16"/>
              </w:rPr>
              <w:t> </w:t>
            </w:r>
          </w:p>
        </w:tc>
        <w:tc>
          <w:tcPr>
            <w:tcW w:w="6225" w:type="dxa"/>
            <w:vAlign w:val="center"/>
          </w:tcPr>
          <w:p w14:paraId="25C335D9" w14:textId="05DBE84D" w:rsidR="005C62C4" w:rsidRDefault="00606B9D" w:rsidP="00134EE4">
            <w:pPr>
              <w:pStyle w:val="Tabletext"/>
            </w:pPr>
            <w:r>
              <w:t>A</w:t>
            </w:r>
            <w:r w:rsidR="00987120">
              <w:t>n internal</w:t>
            </w:r>
            <w:r>
              <w:t xml:space="preserve"> </w:t>
            </w:r>
            <w:r w:rsidR="002E0B8D">
              <w:t xml:space="preserve">Services Australia code used </w:t>
            </w:r>
            <w:r w:rsidR="006C6831">
              <w:t xml:space="preserve">from </w:t>
            </w:r>
            <w:r w:rsidR="002E0B8D">
              <w:t>the implementation of the change of income assessment model. It identifie</w:t>
            </w:r>
            <w:r w:rsidR="006C6831">
              <w:t>s</w:t>
            </w:r>
            <w:r w:rsidR="002E0B8D">
              <w:t xml:space="preserve"> a cohort of social security </w:t>
            </w:r>
            <w:r w:rsidR="003D2038">
              <w:t xml:space="preserve">payment </w:t>
            </w:r>
            <w:r w:rsidR="002E0B8D">
              <w:t>recipients</w:t>
            </w:r>
            <w:r w:rsidR="00974911">
              <w:t xml:space="preserve"> that are not required to report their employment income fortnightly.</w:t>
            </w:r>
          </w:p>
        </w:tc>
      </w:tr>
      <w:tr w:rsidR="00E64E6A" w:rsidRPr="00315A92" w14:paraId="699716BD" w14:textId="77777777" w:rsidTr="00857DE3">
        <w:tc>
          <w:tcPr>
            <w:tcW w:w="2835" w:type="dxa"/>
            <w:vAlign w:val="center"/>
          </w:tcPr>
          <w:p w14:paraId="0A977FD0" w14:textId="1F931E99" w:rsidR="00E64E6A" w:rsidRDefault="00E64E6A" w:rsidP="00134EE4">
            <w:pPr>
              <w:pStyle w:val="Tabletext"/>
            </w:pPr>
            <w:r>
              <w:t>NMAG</w:t>
            </w:r>
          </w:p>
        </w:tc>
        <w:tc>
          <w:tcPr>
            <w:tcW w:w="6225" w:type="dxa"/>
            <w:vAlign w:val="center"/>
          </w:tcPr>
          <w:p w14:paraId="710F0DF3" w14:textId="490D914D" w:rsidR="00E64E6A" w:rsidRDefault="00E64E6A" w:rsidP="00134EE4">
            <w:pPr>
              <w:pStyle w:val="Tabletext"/>
            </w:pPr>
            <w:r>
              <w:t>National Multicultural Advisory Group</w:t>
            </w:r>
          </w:p>
        </w:tc>
      </w:tr>
      <w:tr w:rsidR="005C62C4" w:rsidRPr="00315A92" w14:paraId="4B51EC15" w14:textId="77777777" w:rsidTr="00857DE3">
        <w:tc>
          <w:tcPr>
            <w:tcW w:w="2835" w:type="dxa"/>
            <w:vAlign w:val="center"/>
          </w:tcPr>
          <w:p w14:paraId="0784F5A1" w14:textId="49F7EDD2" w:rsidR="005C62C4" w:rsidRDefault="005C62C4" w:rsidP="00134EE4">
            <w:pPr>
              <w:pStyle w:val="Tabletext"/>
            </w:pPr>
            <w:r>
              <w:t>NACCHO</w:t>
            </w:r>
          </w:p>
        </w:tc>
        <w:tc>
          <w:tcPr>
            <w:tcW w:w="6225" w:type="dxa"/>
            <w:vAlign w:val="center"/>
          </w:tcPr>
          <w:p w14:paraId="12CFDCAF" w14:textId="7FC2D99B" w:rsidR="005C62C4" w:rsidRDefault="005C62C4" w:rsidP="00134EE4">
            <w:pPr>
              <w:pStyle w:val="Tabletext"/>
            </w:pPr>
            <w:r>
              <w:t>National Aboriginal Community Controlled Health Organisation</w:t>
            </w:r>
          </w:p>
        </w:tc>
      </w:tr>
      <w:tr w:rsidR="005C62C4" w:rsidRPr="00315A92" w14:paraId="07C7345C" w14:textId="77777777" w:rsidTr="00857DE3">
        <w:tc>
          <w:tcPr>
            <w:tcW w:w="2835" w:type="dxa"/>
            <w:vAlign w:val="center"/>
          </w:tcPr>
          <w:p w14:paraId="20DAB88C" w14:textId="66090983" w:rsidR="005C62C4" w:rsidRDefault="005C62C4" w:rsidP="00134EE4">
            <w:pPr>
              <w:pStyle w:val="Tabletext"/>
            </w:pPr>
            <w:r>
              <w:t>Paid income model</w:t>
            </w:r>
          </w:p>
        </w:tc>
        <w:tc>
          <w:tcPr>
            <w:tcW w:w="6225" w:type="dxa"/>
            <w:vAlign w:val="center"/>
          </w:tcPr>
          <w:p w14:paraId="01E6A150" w14:textId="4A27F3C4" w:rsidR="005C62C4" w:rsidRDefault="005C62C4" w:rsidP="00134EE4">
            <w:pPr>
              <w:pStyle w:val="Tabletext"/>
            </w:pPr>
            <w:r>
              <w:t>Reporting employment income based on payment received from one’s employer in each fortnightly reporting period. This amount is reported to Centrelink by social security income recipients, their partners and / or nominees.</w:t>
            </w:r>
          </w:p>
        </w:tc>
      </w:tr>
      <w:tr w:rsidR="005C62C4" w:rsidRPr="00315A92" w14:paraId="48F58E10" w14:textId="77777777" w:rsidTr="00857DE3">
        <w:tc>
          <w:tcPr>
            <w:tcW w:w="2835" w:type="dxa"/>
            <w:vAlign w:val="center"/>
          </w:tcPr>
          <w:p w14:paraId="00306D0B" w14:textId="4585964D" w:rsidR="005C62C4" w:rsidRDefault="005C62C4" w:rsidP="00134EE4">
            <w:pPr>
              <w:pStyle w:val="Tabletext"/>
            </w:pPr>
            <w:r>
              <w:t>REI</w:t>
            </w:r>
          </w:p>
        </w:tc>
        <w:tc>
          <w:tcPr>
            <w:tcW w:w="6225" w:type="dxa"/>
            <w:vAlign w:val="center"/>
          </w:tcPr>
          <w:p w14:paraId="5CD3EB45" w14:textId="32ED2821" w:rsidR="005C62C4" w:rsidRDefault="005C62C4" w:rsidP="00134EE4">
            <w:pPr>
              <w:pStyle w:val="Tabletext"/>
            </w:pPr>
            <w:r>
              <w:t>Reporting Employment Income</w:t>
            </w:r>
          </w:p>
        </w:tc>
      </w:tr>
      <w:tr w:rsidR="005C62C4" w:rsidRPr="00315A92" w14:paraId="78FF4C61" w14:textId="77777777" w:rsidTr="00857DE3">
        <w:tc>
          <w:tcPr>
            <w:tcW w:w="2835" w:type="dxa"/>
            <w:vAlign w:val="center"/>
          </w:tcPr>
          <w:p w14:paraId="0F57CE89" w14:textId="7F37010C" w:rsidR="005C62C4" w:rsidRDefault="005C62C4" w:rsidP="00134EE4">
            <w:pPr>
              <w:pStyle w:val="Tabletext"/>
            </w:pPr>
            <w:r>
              <w:t>STP</w:t>
            </w:r>
          </w:p>
        </w:tc>
        <w:tc>
          <w:tcPr>
            <w:tcW w:w="6225" w:type="dxa"/>
            <w:vAlign w:val="center"/>
          </w:tcPr>
          <w:p w14:paraId="369B25A0" w14:textId="5D75598B" w:rsidR="005C62C4" w:rsidRDefault="005C62C4" w:rsidP="00134EE4">
            <w:pPr>
              <w:pStyle w:val="Tabletext"/>
            </w:pPr>
            <w:r>
              <w:t>Single Touch Payroll</w:t>
            </w:r>
          </w:p>
        </w:tc>
      </w:tr>
    </w:tbl>
    <w:p w14:paraId="4567C233" w14:textId="77777777" w:rsidR="00884E90" w:rsidRDefault="00884E90" w:rsidP="00624365">
      <w:pPr>
        <w:pStyle w:val="BodyText1"/>
      </w:pPr>
    </w:p>
    <w:p w14:paraId="544250B0" w14:textId="77777777" w:rsidR="00884E90" w:rsidRPr="00624365" w:rsidRDefault="00884E90" w:rsidP="00624365">
      <w:pPr>
        <w:pStyle w:val="BodyText1"/>
      </w:pPr>
      <w:r>
        <w:br w:type="page"/>
      </w:r>
    </w:p>
    <w:p w14:paraId="75B5F480" w14:textId="38920122" w:rsidR="008955E5" w:rsidRDefault="00D06719" w:rsidP="008955E5">
      <w:pPr>
        <w:pStyle w:val="HeadingLevel1NoNumber"/>
      </w:pPr>
      <w:bookmarkStart w:id="3" w:name="_Toc104983812"/>
      <w:r>
        <w:lastRenderedPageBreak/>
        <w:t>Executive Summary</w:t>
      </w:r>
      <w:bookmarkEnd w:id="3"/>
    </w:p>
    <w:p w14:paraId="2504B273" w14:textId="77777777" w:rsidR="00617E79" w:rsidRPr="00617E79" w:rsidRDefault="008955E5" w:rsidP="00617E79">
      <w:pPr>
        <w:pStyle w:val="BodyText1"/>
        <w:rPr>
          <w:rFonts w:ascii="KPMG Light" w:eastAsiaTheme="majorEastAsia" w:hAnsi="KPMG Light" w:cstheme="majorBidi"/>
          <w:color w:val="00338D"/>
          <w:sz w:val="72"/>
          <w:szCs w:val="26"/>
        </w:rPr>
      </w:pPr>
      <w:r w:rsidRPr="00617E79">
        <w:rPr>
          <w:rFonts w:ascii="KPMG Light" w:eastAsiaTheme="majorEastAsia" w:hAnsi="KPMG Light" w:cstheme="majorBidi"/>
          <w:color w:val="00338D"/>
          <w:sz w:val="72"/>
          <w:szCs w:val="26"/>
        </w:rPr>
        <w:t>Overall</w:t>
      </w:r>
      <w:r w:rsidR="00D06719" w:rsidRPr="00617E79">
        <w:rPr>
          <w:rFonts w:ascii="KPMG Light" w:eastAsiaTheme="majorEastAsia" w:hAnsi="KPMG Light" w:cstheme="majorBidi"/>
          <w:color w:val="00338D"/>
          <w:sz w:val="72"/>
          <w:szCs w:val="26"/>
        </w:rPr>
        <w:t xml:space="preserve"> </w:t>
      </w:r>
      <w:r w:rsidR="00617E79">
        <w:rPr>
          <w:rFonts w:ascii="KPMG Light" w:eastAsiaTheme="majorEastAsia" w:hAnsi="KPMG Light" w:cstheme="majorBidi"/>
          <w:color w:val="00338D"/>
          <w:sz w:val="72"/>
          <w:szCs w:val="26"/>
        </w:rPr>
        <w:t>findings</w:t>
      </w:r>
      <w:r w:rsidR="00617E79" w:rsidRPr="00617E79">
        <w:rPr>
          <w:rFonts w:ascii="KPMG Light" w:eastAsiaTheme="majorEastAsia" w:hAnsi="KPMG Light" w:cstheme="majorBidi"/>
          <w:color w:val="00338D"/>
          <w:sz w:val="72"/>
          <w:szCs w:val="26"/>
        </w:rPr>
        <w:t xml:space="preserve"> </w:t>
      </w:r>
    </w:p>
    <w:p w14:paraId="78699F3E" w14:textId="3AE44618" w:rsidR="00617E79" w:rsidRPr="001A5453" w:rsidRDefault="00617E79" w:rsidP="00617E79">
      <w:pPr>
        <w:pStyle w:val="BodyText1"/>
      </w:pPr>
      <w:r w:rsidRPr="001A5453">
        <w:t xml:space="preserve">On 7 December 2020, the </w:t>
      </w:r>
      <w:r w:rsidRPr="001A5453">
        <w:rPr>
          <w:i/>
        </w:rPr>
        <w:t xml:space="preserve">Social Services and other Legislation Amendment </w:t>
      </w:r>
      <w:r w:rsidR="006C6831">
        <w:rPr>
          <w:i/>
        </w:rPr>
        <w:t>(</w:t>
      </w:r>
      <w:r w:rsidRPr="001A5453">
        <w:rPr>
          <w:i/>
        </w:rPr>
        <w:t>Simplifying Income Report and other Measures) Act 2020</w:t>
      </w:r>
      <w:r w:rsidRPr="001A5453">
        <w:t xml:space="preserve"> amended the </w:t>
      </w:r>
      <w:r w:rsidRPr="003B798F">
        <w:rPr>
          <w:i/>
        </w:rPr>
        <w:t>Social Security Act 1991</w:t>
      </w:r>
      <w:r w:rsidRPr="001A5453">
        <w:t xml:space="preserve"> to require employment income to be assessed when paid rather than when earned. To comply with the Act, the Department of Social Services</w:t>
      </w:r>
      <w:r>
        <w:t xml:space="preserve"> (DSS)</w:t>
      </w:r>
      <w:r w:rsidRPr="001A5453">
        <w:t xml:space="preserve"> engaged KPMG Australia </w:t>
      </w:r>
      <w:r>
        <w:t xml:space="preserve">(KPMG) </w:t>
      </w:r>
      <w:r w:rsidRPr="001A5453">
        <w:t>to independently review t</w:t>
      </w:r>
      <w:r>
        <w:t xml:space="preserve">he impact of the change of </w:t>
      </w:r>
      <w:r w:rsidR="0073725E">
        <w:t xml:space="preserve">income </w:t>
      </w:r>
      <w:r>
        <w:t>assessment model.</w:t>
      </w:r>
    </w:p>
    <w:p w14:paraId="070F0556" w14:textId="058648F1" w:rsidR="00617E79" w:rsidRPr="001A5453" w:rsidRDefault="00617E79" w:rsidP="00617E79">
      <w:pPr>
        <w:pStyle w:val="BodyText1"/>
      </w:pPr>
      <w:r w:rsidRPr="001A5453">
        <w:t xml:space="preserve">To fulfil the legislative requirement, </w:t>
      </w:r>
      <w:r>
        <w:t>KPMG designed a review approach and consulted with</w:t>
      </w:r>
      <w:r w:rsidR="00590D21">
        <w:t>:</w:t>
      </w:r>
      <w:r>
        <w:t xml:space="preserve"> </w:t>
      </w:r>
      <w:r w:rsidRPr="001A5453">
        <w:t xml:space="preserve"> </w:t>
      </w:r>
    </w:p>
    <w:p w14:paraId="664C78CD" w14:textId="360E35B5" w:rsidR="00617E79" w:rsidRPr="001A5453" w:rsidRDefault="001E3977" w:rsidP="00617E79">
      <w:pPr>
        <w:pStyle w:val="BodyText1"/>
        <w:numPr>
          <w:ilvl w:val="0"/>
          <w:numId w:val="38"/>
        </w:numPr>
      </w:pPr>
      <w:r>
        <w:t>i</w:t>
      </w:r>
      <w:r w:rsidR="00617E79" w:rsidRPr="001A5453">
        <w:t xml:space="preserve">ncome support recipients impacted by the amendments made by the Act; </w:t>
      </w:r>
    </w:p>
    <w:p w14:paraId="1EC33208" w14:textId="5A2F2D8E" w:rsidR="00617E79" w:rsidRPr="001A5453" w:rsidRDefault="001E3977" w:rsidP="00617E79">
      <w:pPr>
        <w:pStyle w:val="BodyText1"/>
        <w:numPr>
          <w:ilvl w:val="0"/>
          <w:numId w:val="38"/>
        </w:numPr>
      </w:pPr>
      <w:r>
        <w:t>p</w:t>
      </w:r>
      <w:r w:rsidR="00617E79" w:rsidRPr="001A5453">
        <w:t xml:space="preserve">ersons who have expertise in social security law; and </w:t>
      </w:r>
    </w:p>
    <w:p w14:paraId="4163236A" w14:textId="5EF38164" w:rsidR="00617E79" w:rsidRPr="001A5453" w:rsidRDefault="001E3977" w:rsidP="00617E79">
      <w:pPr>
        <w:pStyle w:val="BodyText1"/>
        <w:numPr>
          <w:ilvl w:val="0"/>
          <w:numId w:val="38"/>
        </w:numPr>
      </w:pPr>
      <w:r>
        <w:t>p</w:t>
      </w:r>
      <w:r w:rsidR="00617E79" w:rsidRPr="001A5453">
        <w:t xml:space="preserve">ersons who have relevant expertise in other </w:t>
      </w:r>
      <w:r w:rsidR="00590D21">
        <w:t>areas</w:t>
      </w:r>
      <w:r w:rsidR="00617E79" w:rsidRPr="001A5453">
        <w:t xml:space="preserve"> of public policy. </w:t>
      </w:r>
    </w:p>
    <w:p w14:paraId="1352706D" w14:textId="712807FC" w:rsidR="00617E79" w:rsidRDefault="00617E79" w:rsidP="00134EE4">
      <w:pPr>
        <w:pStyle w:val="BodyText1"/>
      </w:pPr>
      <w:r>
        <w:t>From consultation it was observed that, since the implementation of the change</w:t>
      </w:r>
      <w:r w:rsidR="0073725E">
        <w:t xml:space="preserve"> of income assessment model</w:t>
      </w:r>
      <w:r>
        <w:t xml:space="preserve">, there have been mixed views about the experiences of social security </w:t>
      </w:r>
      <w:r w:rsidR="003D2038">
        <w:t xml:space="preserve">payment </w:t>
      </w:r>
      <w:r>
        <w:t xml:space="preserve">recipients who are required to report their income. It has been observed that the change of income assessment model has reduced complexity </w:t>
      </w:r>
      <w:r w:rsidR="00D86F48">
        <w:t>of</w:t>
      </w:r>
      <w:r>
        <w:t xml:space="preserve"> the income reporting </w:t>
      </w:r>
      <w:r w:rsidR="00D86F48">
        <w:t xml:space="preserve">process </w:t>
      </w:r>
      <w:r>
        <w:t xml:space="preserve">compared with the earned model and </w:t>
      </w:r>
      <w:r w:rsidR="00DD3E89">
        <w:t xml:space="preserve">is perceived to have </w:t>
      </w:r>
      <w:r>
        <w:t>increased the accuracy of payments received. This perception was stronger among organisations and individuals that</w:t>
      </w:r>
      <w:r w:rsidR="002E6EDB">
        <w:t xml:space="preserve"> appeared to</w:t>
      </w:r>
      <w:r>
        <w:t xml:space="preserve"> underst</w:t>
      </w:r>
      <w:r w:rsidR="002E6EDB">
        <w:t>an</w:t>
      </w:r>
      <w:r>
        <w:t xml:space="preserve">d the purpose and specific scope of the </w:t>
      </w:r>
      <w:r w:rsidR="0073725E">
        <w:t>change of income assessment model</w:t>
      </w:r>
      <w:r>
        <w:t xml:space="preserve">. </w:t>
      </w:r>
    </w:p>
    <w:p w14:paraId="591EA234" w14:textId="77777777" w:rsidR="00F41B11" w:rsidRDefault="00617E79" w:rsidP="00134EE4">
      <w:pPr>
        <w:pStyle w:val="BodyText1"/>
      </w:pPr>
      <w:r>
        <w:t>Individuals that viewed the change of</w:t>
      </w:r>
      <w:r w:rsidR="00EF5826">
        <w:t xml:space="preserve"> income</w:t>
      </w:r>
      <w:r>
        <w:t xml:space="preserve"> assessment model as having a negative impact on them consistently conflated </w:t>
      </w:r>
      <w:r w:rsidR="00DD3E89">
        <w:t>the change of income assessment model</w:t>
      </w:r>
      <w:r>
        <w:t xml:space="preserve"> with </w:t>
      </w:r>
      <w:r w:rsidR="00F26318">
        <w:t xml:space="preserve">other changes or aspects of </w:t>
      </w:r>
      <w:r w:rsidR="00DB69C9">
        <w:t>reporting employment income that were</w:t>
      </w:r>
      <w:r>
        <w:t xml:space="preserve"> out of scope </w:t>
      </w:r>
      <w:r w:rsidR="00DB69C9">
        <w:t>for</w:t>
      </w:r>
      <w:r>
        <w:t xml:space="preserve"> this review. </w:t>
      </w:r>
      <w:r w:rsidR="009507BD">
        <w:t>There was some negative sentiment expressed about the process and experience of income reporting more generally, but which was beyond the scope of this review.</w:t>
      </w:r>
      <w:r w:rsidR="00204C1A">
        <w:t xml:space="preserve"> </w:t>
      </w:r>
    </w:p>
    <w:p w14:paraId="5CAFD40C" w14:textId="13B3504D" w:rsidR="00617E79" w:rsidRDefault="00943FAA" w:rsidP="00134EE4">
      <w:pPr>
        <w:pStyle w:val="BodyText1"/>
      </w:pPr>
      <w:r>
        <w:t xml:space="preserve">The Australian welfare system has been designed to </w:t>
      </w:r>
      <w:r w:rsidR="004C5420">
        <w:t>provide individuals with a ‘minimum adequate standard of living’</w:t>
      </w:r>
      <w:r w:rsidR="00482B7E">
        <w:rPr>
          <w:rStyle w:val="FootnoteReference"/>
        </w:rPr>
        <w:footnoteReference w:id="2"/>
      </w:r>
      <w:r w:rsidR="00482B7E">
        <w:t xml:space="preserve">. To support this, the system is </w:t>
      </w:r>
      <w:r>
        <w:t>highly targeted, with strong mechanisms for assessing eligibility based on people’s need and means</w:t>
      </w:r>
      <w:r w:rsidR="005D6497">
        <w:rPr>
          <w:rStyle w:val="FootnoteReference"/>
        </w:rPr>
        <w:footnoteReference w:id="3"/>
      </w:r>
      <w:r>
        <w:t>. These mechanisms include reporting of employment income for the purposes of determining whether a person is and remains eligible for income support.</w:t>
      </w:r>
    </w:p>
    <w:p w14:paraId="769B5DF5" w14:textId="452375E9" w:rsidR="005174DB" w:rsidRDefault="005174DB" w:rsidP="00134EE4">
      <w:pPr>
        <w:pStyle w:val="BodyText1"/>
      </w:pPr>
      <w:r>
        <w:t>It is acknowledged that r</w:t>
      </w:r>
      <w:r w:rsidRPr="000811FD">
        <w:t xml:space="preserve">eporting improvements and </w:t>
      </w:r>
      <w:r>
        <w:t>any other impacts have been observed</w:t>
      </w:r>
      <w:r w:rsidRPr="000811FD">
        <w:t xml:space="preserve"> at a unique point </w:t>
      </w:r>
      <w:r>
        <w:t>in</w:t>
      </w:r>
      <w:r w:rsidRPr="000811FD">
        <w:t xml:space="preserve"> time </w:t>
      </w:r>
      <w:r>
        <w:t>during</w:t>
      </w:r>
      <w:r w:rsidRPr="000811FD">
        <w:t xml:space="preserve"> the global </w:t>
      </w:r>
      <w:r>
        <w:t xml:space="preserve">COVID-19 </w:t>
      </w:r>
      <w:r w:rsidRPr="000811FD">
        <w:t>pandemic</w:t>
      </w:r>
      <w:r>
        <w:t>. At this point, there was a significant increase in the number of people receiving income support payments</w:t>
      </w:r>
      <w:r w:rsidR="009A0140">
        <w:t xml:space="preserve">, including those who were </w:t>
      </w:r>
      <w:r w:rsidR="003C5ED5">
        <w:t xml:space="preserve">interacting with the income support system for the first time. There was also </w:t>
      </w:r>
      <w:r>
        <w:t>a pause placed on all debt activity</w:t>
      </w:r>
      <w:r w:rsidR="00B95FA9">
        <w:rPr>
          <w:rStyle w:val="FootnoteReference"/>
        </w:rPr>
        <w:footnoteReference w:id="4"/>
      </w:r>
      <w:r w:rsidR="003C5ED5">
        <w:t xml:space="preserve">, and significant </w:t>
      </w:r>
      <w:r w:rsidR="0091263F">
        <w:t>service delivery pressures resulting from increased volumes</w:t>
      </w:r>
      <w:r>
        <w:t>.</w:t>
      </w:r>
      <w:r w:rsidR="006F37C5">
        <w:t xml:space="preserve"> </w:t>
      </w:r>
    </w:p>
    <w:p w14:paraId="127CF9E0" w14:textId="69C20D5F" w:rsidR="00B02CC8" w:rsidRDefault="00B02CC8" w:rsidP="00134EE4">
      <w:pPr>
        <w:pStyle w:val="BodyText1"/>
      </w:pPr>
      <w:r>
        <w:t>Due to the ‘opt-in’ nature of the consultation methodology, a statistically representative sample of the total potentially impacted population was not achieved.</w:t>
      </w:r>
      <w:r w:rsidRPr="00B02CC8">
        <w:t xml:space="preserve"> </w:t>
      </w:r>
      <w:r>
        <w:t xml:space="preserve">When reviewing the findings, it is important to consider the relatively small sample size and that </w:t>
      </w:r>
      <w:r w:rsidR="00DD3E89">
        <w:t>findings</w:t>
      </w:r>
      <w:r>
        <w:t xml:space="preserve"> are not statistically representative, instead reflect</w:t>
      </w:r>
      <w:r w:rsidR="00DD3E89">
        <w:t>ing</w:t>
      </w:r>
      <w:r>
        <w:t xml:space="preserve"> the opinions and views of a subset of impacted individuals and organisations.</w:t>
      </w:r>
    </w:p>
    <w:p w14:paraId="6066B104" w14:textId="0D2A5F9B" w:rsidR="00617E79" w:rsidRDefault="00617E79" w:rsidP="00617E79">
      <w:pPr>
        <w:pStyle w:val="BodyText1"/>
      </w:pPr>
      <w:r>
        <w:t xml:space="preserve">Findings from the consultation have been synthesised across </w:t>
      </w:r>
      <w:r w:rsidR="00B02CC8">
        <w:t xml:space="preserve">four </w:t>
      </w:r>
      <w:r>
        <w:t>key topics, as described below.</w:t>
      </w:r>
    </w:p>
    <w:p w14:paraId="25AC55EB" w14:textId="77777777" w:rsidR="00617E79" w:rsidRPr="001A5453" w:rsidRDefault="00617E79" w:rsidP="00793207">
      <w:pPr>
        <w:pStyle w:val="HeadingLevel3NoNumber"/>
      </w:pPr>
      <w:r w:rsidRPr="001A5453">
        <w:lastRenderedPageBreak/>
        <w:t>Experience with the transition from the earned income model to the paid income model</w:t>
      </w:r>
    </w:p>
    <w:p w14:paraId="63C19D88" w14:textId="091DC5EA" w:rsidR="0044685D" w:rsidRDefault="0044685D" w:rsidP="0044685D">
      <w:pPr>
        <w:pStyle w:val="BodyText1"/>
      </w:pPr>
      <w:r>
        <w:t xml:space="preserve">Services Australia and DSS designed and deployed a communications and transition plan during the implementation of the change of income assessment model. </w:t>
      </w:r>
      <w:r w:rsidRPr="00E23A1B">
        <w:t>Although stakeholders raised a range of issues with reporting employment income, few of these were dir</w:t>
      </w:r>
      <w:r w:rsidRPr="0003318A">
        <w:t xml:space="preserve">ectly attributable to the transition from the </w:t>
      </w:r>
      <w:r w:rsidRPr="002011F0">
        <w:t>earned to paid model</w:t>
      </w:r>
      <w:r>
        <w:t xml:space="preserve">. </w:t>
      </w:r>
      <w:r w:rsidR="00833EDF">
        <w:t xml:space="preserve">It is acknowledged that this review of the change of income assessment model </w:t>
      </w:r>
      <w:r w:rsidR="00941126">
        <w:t>was</w:t>
      </w:r>
      <w:r w:rsidR="00833EDF">
        <w:t xml:space="preserve"> undertaken approximately 15 months following implementation, and that individuals may not accurately recall the transition period in light of the elapsed time.</w:t>
      </w:r>
      <w:r w:rsidR="00E22B0D">
        <w:t xml:space="preserve"> </w:t>
      </w:r>
      <w:r w:rsidR="000B0599">
        <w:t>As the consultation methodology was designed to maximise participation, it was not a requirement that respondents had been through the transition from the earned to paid model</w:t>
      </w:r>
      <w:r w:rsidR="00C757AA">
        <w:t>; respondents had the opportunity to select ‘not applicable’ where relevant, and these results have been excluded from reporting.</w:t>
      </w:r>
    </w:p>
    <w:p w14:paraId="602213A3" w14:textId="25198302" w:rsidR="00D52826" w:rsidRDefault="004777E1" w:rsidP="00D52826">
      <w:pPr>
        <w:pStyle w:val="BodyText1"/>
      </w:pPr>
      <w:r>
        <w:t xml:space="preserve">Services Australia’s communications plan included </w:t>
      </w:r>
      <w:r w:rsidR="001A21D3">
        <w:t xml:space="preserve">raising awareness of the change across a range of channels including via established Government reference groups, </w:t>
      </w:r>
      <w:r w:rsidR="00BF17E9">
        <w:t xml:space="preserve">factsheets, </w:t>
      </w:r>
      <w:r w:rsidR="001A21D3">
        <w:t xml:space="preserve">social media, </w:t>
      </w:r>
      <w:r w:rsidR="00F016CF">
        <w:t xml:space="preserve">messaging via online accounts and web and video updates. </w:t>
      </w:r>
      <w:r w:rsidR="00833EDF">
        <w:t>Feedback suggests that there was a relatively low level of awareness of the change of income assessment model prior to it being implemented. Organisations were more likely than individuals to recall having heard about the change</w:t>
      </w:r>
      <w:r w:rsidR="003579B3">
        <w:t>.</w:t>
      </w:r>
      <w:r w:rsidR="00D52826">
        <w:t xml:space="preserve"> Four of nine organisations surveyed recalled hearing about the change before it was implemented, three do not recall hearing about the change and two are unsure. </w:t>
      </w:r>
    </w:p>
    <w:p w14:paraId="5F68D117" w14:textId="78016B88" w:rsidR="00617E79" w:rsidRDefault="00C77F9B" w:rsidP="00134EE4">
      <w:pPr>
        <w:pStyle w:val="BodyText1"/>
      </w:pPr>
      <w:r>
        <w:t>Slightly more than half</w:t>
      </w:r>
      <w:r w:rsidR="00617E79" w:rsidRPr="00643A11">
        <w:t xml:space="preserve"> </w:t>
      </w:r>
      <w:r w:rsidR="00617E79">
        <w:t xml:space="preserve">of individuals </w:t>
      </w:r>
      <w:r w:rsidR="00617E79" w:rsidRPr="00643A11">
        <w:t xml:space="preserve">surveyed </w:t>
      </w:r>
      <w:r w:rsidR="00617E79">
        <w:t>did not</w:t>
      </w:r>
      <w:r w:rsidR="00617E79" w:rsidRPr="00643A11">
        <w:t xml:space="preserve"> recall hearing about or being notified </w:t>
      </w:r>
      <w:r w:rsidR="00617E79">
        <w:t>about</w:t>
      </w:r>
      <w:r w:rsidR="00617E79" w:rsidRPr="00643A11">
        <w:t xml:space="preserve"> the change</w:t>
      </w:r>
      <w:r w:rsidR="00617E79">
        <w:t xml:space="preserve"> prior to implementation.</w:t>
      </w:r>
      <w:r w:rsidR="00617E79" w:rsidRPr="00643A11">
        <w:t xml:space="preserve"> </w:t>
      </w:r>
    </w:p>
    <w:p w14:paraId="18C3C39A" w14:textId="7C37B7AF" w:rsidR="00617E79" w:rsidRPr="0019143F" w:rsidRDefault="00C77F9B" w:rsidP="00134EE4">
      <w:pPr>
        <w:pStyle w:val="BodyText1"/>
      </w:pPr>
      <w:r>
        <w:t>Slightly less than half</w:t>
      </w:r>
      <w:r w:rsidR="00617E79" w:rsidRPr="00183CEB">
        <w:t xml:space="preserve"> of individuals surveyed claim</w:t>
      </w:r>
      <w:r w:rsidR="00617E79">
        <w:t>ed</w:t>
      </w:r>
      <w:r w:rsidR="00617E79" w:rsidRPr="00183CEB">
        <w:t xml:space="preserve"> to have had issues during the transition period</w:t>
      </w:r>
      <w:r w:rsidR="00617E79">
        <w:t>. Of th</w:t>
      </w:r>
      <w:r w:rsidR="000830F4">
        <w:t>ese individuals,</w:t>
      </w:r>
      <w:r w:rsidR="00617E79">
        <w:t xml:space="preserve"> only four individuals raised issues during transition directly attributable to the change of income assessment model. Two of these related to receiving payslips that did not align to a recipient’s reporting date and two individuals were unsure of what to report during the transition period, one observing the instructions on how to report differently were somewhat obtuse.</w:t>
      </w:r>
    </w:p>
    <w:p w14:paraId="2933AD09" w14:textId="2C20B35A" w:rsidR="00617E79" w:rsidRPr="001A5453" w:rsidRDefault="00617E79" w:rsidP="00793207">
      <w:pPr>
        <w:pStyle w:val="HeadingLevel3NoNumber"/>
      </w:pPr>
      <w:r w:rsidRPr="001A5453">
        <w:t xml:space="preserve">Experiences since the change </w:t>
      </w:r>
      <w:r w:rsidR="00321C4E">
        <w:t>of income assessment model</w:t>
      </w:r>
    </w:p>
    <w:p w14:paraId="3E81EDB0" w14:textId="62DA2A75" w:rsidR="00617E79" w:rsidRDefault="00617E79" w:rsidP="00617E79">
      <w:pPr>
        <w:pStyle w:val="BodyText"/>
      </w:pPr>
      <w:r>
        <w:t xml:space="preserve">Since the implementation of the </w:t>
      </w:r>
      <w:r w:rsidR="00E63855">
        <w:t>change of income assessment model</w:t>
      </w:r>
      <w:r>
        <w:t xml:space="preserve">, there have been mixed views about the experiences of social security </w:t>
      </w:r>
      <w:r w:rsidR="003D2038">
        <w:t xml:space="preserve">payment </w:t>
      </w:r>
      <w:r>
        <w:t>recipients who are required to report their income.</w:t>
      </w:r>
    </w:p>
    <w:p w14:paraId="1988545A" w14:textId="77777777" w:rsidR="00617E79" w:rsidRPr="006B6479" w:rsidRDefault="00617E79" w:rsidP="00617E79">
      <w:pPr>
        <w:pStyle w:val="BodyText1"/>
      </w:pPr>
      <w:r>
        <w:t xml:space="preserve">Organisations who provided submissions or responded to the organisational survey observed that this change was a positive step to reduce the complexity of income reporting processes for payment recipients. </w:t>
      </w:r>
      <w:r w:rsidRPr="006B6479">
        <w:t xml:space="preserve">There was </w:t>
      </w:r>
      <w:r>
        <w:t>consistent feedback from organisations that</w:t>
      </w:r>
      <w:r w:rsidRPr="006B6479">
        <w:t xml:space="preserve"> the previous </w:t>
      </w:r>
      <w:r>
        <w:t>‘earned income’ model was challenging, particularly for individuals with fluctuating incomes.</w:t>
      </w:r>
    </w:p>
    <w:p w14:paraId="1E18CB40" w14:textId="008EB3BB" w:rsidR="00617E79" w:rsidRPr="00201A81" w:rsidRDefault="00617E79" w:rsidP="00617E79">
      <w:pPr>
        <w:pStyle w:val="BodyText1"/>
      </w:pPr>
      <w:r>
        <w:t>However, t</w:t>
      </w:r>
      <w:r w:rsidRPr="00201A81">
        <w:t xml:space="preserve">here is </w:t>
      </w:r>
      <w:r>
        <w:t>limited</w:t>
      </w:r>
      <w:r w:rsidRPr="00201A81">
        <w:t xml:space="preserve"> understanding </w:t>
      </w:r>
      <w:r>
        <w:t>of</w:t>
      </w:r>
      <w:r w:rsidRPr="00201A81">
        <w:t xml:space="preserve"> the specific </w:t>
      </w:r>
      <w:r w:rsidR="00E63855">
        <w:t>change of income assessment model</w:t>
      </w:r>
      <w:r w:rsidRPr="00201A81">
        <w:t xml:space="preserve"> in the context of reporting employment income </w:t>
      </w:r>
      <w:r>
        <w:t>more broadly.</w:t>
      </w:r>
      <w:r w:rsidRPr="00BB0BCA">
        <w:t xml:space="preserve"> </w:t>
      </w:r>
      <w:r>
        <w:t xml:space="preserve">Customers often conflated other specific issues or income reporting processes more broadly with </w:t>
      </w:r>
      <w:r w:rsidR="00E63855">
        <w:t>the change of income assessment model</w:t>
      </w:r>
      <w:r>
        <w:t>.</w:t>
      </w:r>
    </w:p>
    <w:p w14:paraId="383A25D3" w14:textId="10CDA25D" w:rsidR="00617E79" w:rsidRDefault="00617E79" w:rsidP="00617E79">
      <w:pPr>
        <w:pStyle w:val="BodyText1"/>
      </w:pPr>
      <w:r>
        <w:t xml:space="preserve">For stakeholders who </w:t>
      </w:r>
      <w:r w:rsidR="000B46AA">
        <w:t xml:space="preserve">appeared to </w:t>
      </w:r>
      <w:r>
        <w:t>underst</w:t>
      </w:r>
      <w:r w:rsidR="000B46AA">
        <w:t>an</w:t>
      </w:r>
      <w:r>
        <w:t>d the purpose and specific scope of the</w:t>
      </w:r>
      <w:r w:rsidRPr="0090549B">
        <w:t xml:space="preserve"> </w:t>
      </w:r>
      <w:r w:rsidR="00E63855">
        <w:t>change of income assessment model</w:t>
      </w:r>
      <w:r>
        <w:t>,</w:t>
      </w:r>
      <w:r w:rsidRPr="0090549B">
        <w:t xml:space="preserve"> and its impact on reporting employment income, </w:t>
      </w:r>
      <w:r>
        <w:t xml:space="preserve">there was a general perception that </w:t>
      </w:r>
      <w:r w:rsidR="00E63855">
        <w:t>it</w:t>
      </w:r>
      <w:r>
        <w:t xml:space="preserve"> has </w:t>
      </w:r>
      <w:r w:rsidRPr="0090549B">
        <w:t xml:space="preserve">made the process </w:t>
      </w:r>
      <w:r>
        <w:t xml:space="preserve">simpler and </w:t>
      </w:r>
      <w:r w:rsidRPr="0090549B">
        <w:t>more accurate</w:t>
      </w:r>
      <w:r>
        <w:t>.</w:t>
      </w:r>
      <w:r w:rsidRPr="007D4FE4">
        <w:t xml:space="preserve"> </w:t>
      </w:r>
      <w:r>
        <w:t>Positive experiences noted by organisations included:</w:t>
      </w:r>
    </w:p>
    <w:p w14:paraId="173BAB8D" w14:textId="5CF97D85" w:rsidR="009E7DF0" w:rsidRDefault="003579B3" w:rsidP="009E7DF0">
      <w:pPr>
        <w:pStyle w:val="Bullet1stlevel"/>
      </w:pPr>
      <w:r>
        <w:t>r</w:t>
      </w:r>
      <w:r w:rsidR="009E7DF0">
        <w:t xml:space="preserve">eporting was less complicated for individuals, as it relies on copying income from a payslip, rather </w:t>
      </w:r>
      <w:r w:rsidR="009E7DF0" w:rsidRPr="009E7DF0">
        <w:t>than</w:t>
      </w:r>
      <w:r w:rsidR="009E7DF0">
        <w:t xml:space="preserve"> calculation of earned income</w:t>
      </w:r>
      <w:r>
        <w:t>;</w:t>
      </w:r>
    </w:p>
    <w:p w14:paraId="6730EB87" w14:textId="4C2D2B48" w:rsidR="009E7DF0" w:rsidRDefault="003579B3" w:rsidP="009E7DF0">
      <w:pPr>
        <w:pStyle w:val="Bullet1stlevel"/>
      </w:pPr>
      <w:r>
        <w:t>t</w:t>
      </w:r>
      <w:r w:rsidR="009E7DF0">
        <w:t>here was direct support to meet an individuals’ immediate financial resource needs</w:t>
      </w:r>
      <w:r>
        <w:t>; and</w:t>
      </w:r>
    </w:p>
    <w:p w14:paraId="5AC899CB" w14:textId="7BE25713" w:rsidR="009E7DF0" w:rsidRDefault="003579B3" w:rsidP="009E7DF0">
      <w:pPr>
        <w:pStyle w:val="Bullet1stlevel"/>
      </w:pPr>
      <w:r>
        <w:t>m</w:t>
      </w:r>
      <w:r w:rsidR="009E7DF0">
        <w:t>ore streamlined and predictable reporting for individuals.</w:t>
      </w:r>
    </w:p>
    <w:p w14:paraId="1B7B90ED" w14:textId="4BB6B157" w:rsidR="00617E79" w:rsidRDefault="00617E79" w:rsidP="00617E79">
      <w:pPr>
        <w:pStyle w:val="BodyText1"/>
        <w:spacing w:before="60" w:after="60"/>
      </w:pPr>
      <w:r>
        <w:t xml:space="preserve">Aspects of the </w:t>
      </w:r>
      <w:r w:rsidR="00321C4E">
        <w:t>change of income assessment model</w:t>
      </w:r>
      <w:r>
        <w:t xml:space="preserve"> raised by organisations as potentially challenging included:</w:t>
      </w:r>
    </w:p>
    <w:p w14:paraId="6E73901D" w14:textId="35335FA6" w:rsidR="00617E79" w:rsidRDefault="003579B3" w:rsidP="00617E79">
      <w:pPr>
        <w:pStyle w:val="Bullet1stlevel"/>
        <w:spacing w:before="60" w:after="60"/>
      </w:pPr>
      <w:r>
        <w:t>d</w:t>
      </w:r>
      <w:r w:rsidR="00617E79">
        <w:t>ifficulties for individuals who are unable to secure payslips from their employer to support reporting</w:t>
      </w:r>
      <w:r>
        <w:t>;</w:t>
      </w:r>
    </w:p>
    <w:p w14:paraId="626C9554" w14:textId="44D234D4" w:rsidR="00617E79" w:rsidRDefault="003579B3" w:rsidP="00617E79">
      <w:pPr>
        <w:pStyle w:val="Bullet1stlevel"/>
        <w:spacing w:before="60" w:after="60"/>
      </w:pPr>
      <w:r>
        <w:t>s</w:t>
      </w:r>
      <w:r w:rsidR="00617E79">
        <w:t xml:space="preserve">ome anxiety for individuals regarding whether the change would result in a payment debt, as the </w:t>
      </w:r>
      <w:r w:rsidR="00617E79" w:rsidRPr="00407FC4">
        <w:t>implications</w:t>
      </w:r>
      <w:r w:rsidR="00617E79">
        <w:t xml:space="preserve"> of the change were unfamiliar to individuals. This was indicated as being more common </w:t>
      </w:r>
      <w:r w:rsidR="00617E79">
        <w:lastRenderedPageBreak/>
        <w:t xml:space="preserve">for some individuals, for example, those receiving the Farm Household Allowance as this group of social security </w:t>
      </w:r>
      <w:r w:rsidR="003D2038">
        <w:t xml:space="preserve">payment </w:t>
      </w:r>
      <w:r w:rsidR="00617E79">
        <w:t>recipients may be hypersensitive to debt</w:t>
      </w:r>
      <w:r w:rsidR="008D4A80">
        <w:rPr>
          <w:rStyle w:val="FootnoteReference"/>
        </w:rPr>
        <w:footnoteReference w:id="5"/>
      </w:r>
      <w:r>
        <w:t>; and</w:t>
      </w:r>
    </w:p>
    <w:p w14:paraId="5C5BB51A" w14:textId="755C61F8" w:rsidR="005A78A5" w:rsidRDefault="003579B3" w:rsidP="00617E79">
      <w:pPr>
        <w:pStyle w:val="Bullet1stlevel"/>
        <w:spacing w:before="60" w:after="60"/>
      </w:pPr>
      <w:r>
        <w:t>l</w:t>
      </w:r>
      <w:r w:rsidR="00F23E8D">
        <w:t>ump sum payments were perceived to disrupt income support, for some recipients.</w:t>
      </w:r>
    </w:p>
    <w:p w14:paraId="7AA9ADD3" w14:textId="7AD89736" w:rsidR="00617E79" w:rsidRPr="000D3D8A" w:rsidRDefault="000830F4" w:rsidP="00134EE4">
      <w:pPr>
        <w:pStyle w:val="BodyText1"/>
      </w:pPr>
      <w:r>
        <w:t xml:space="preserve">Approximately </w:t>
      </w:r>
      <w:r w:rsidR="00617E79" w:rsidRPr="000E7FF8">
        <w:t xml:space="preserve">half of individuals </w:t>
      </w:r>
      <w:r w:rsidR="00617E79">
        <w:t xml:space="preserve">surveyed indicated </w:t>
      </w:r>
      <w:r w:rsidR="00617E79" w:rsidRPr="000E7FF8">
        <w:t xml:space="preserve">the change was significantly different from reporting employment income before December 2020. This contrasts with some organisations </w:t>
      </w:r>
      <w:r w:rsidR="00617E79">
        <w:t>who indicated</w:t>
      </w:r>
      <w:r w:rsidR="00617E79" w:rsidRPr="000E7FF8">
        <w:t xml:space="preserve"> it had ‘minimal impact’ on the </w:t>
      </w:r>
      <w:r w:rsidR="00617E79" w:rsidRPr="005B6455">
        <w:t xml:space="preserve">reporting income process. Feedback received indicated that where the change </w:t>
      </w:r>
      <w:r w:rsidR="00D671CA" w:rsidRPr="005B6455">
        <w:t xml:space="preserve">of income assessment model </w:t>
      </w:r>
      <w:r w:rsidR="00321C4E" w:rsidRPr="005B6455">
        <w:t>was</w:t>
      </w:r>
      <w:r w:rsidR="00617E79" w:rsidRPr="005B6455">
        <w:t xml:space="preserve"> perceived to have made things more complex for individuals, this largely related to other policy and service delivery considerations</w:t>
      </w:r>
      <w:r w:rsidR="00F016CF" w:rsidRPr="005B6455">
        <w:t xml:space="preserve"> (e.g. the removal of continuous earnings provisions</w:t>
      </w:r>
      <w:r w:rsidR="00553EDD">
        <w:t xml:space="preserve"> for those not covered by Clause 1073b</w:t>
      </w:r>
      <w:r w:rsidR="00F016CF" w:rsidRPr="005B6455">
        <w:t>)</w:t>
      </w:r>
      <w:r w:rsidR="00617E79" w:rsidRPr="005B6455" w:rsidDel="00837471">
        <w:t xml:space="preserve">, </w:t>
      </w:r>
      <w:r w:rsidR="00617E79" w:rsidRPr="000D3D8A">
        <w:t>rather than this change specifically.</w:t>
      </w:r>
    </w:p>
    <w:p w14:paraId="3F44251C" w14:textId="77777777" w:rsidR="007F718F" w:rsidRDefault="007F718F" w:rsidP="007F718F">
      <w:pPr>
        <w:pStyle w:val="BodyText1"/>
      </w:pPr>
      <w:r w:rsidRPr="000D3D8A">
        <w:t>Some individuals’ feedback indicated that they believed they needed to report income paid monthly in a single period, leading to fl</w:t>
      </w:r>
      <w:r>
        <w:t xml:space="preserve">uctuation in social security payments received. Upon examination, this reflects challenges with navigating the reporting process and interface, rather than policy consequences. There is an option for income support recipients to apportion this over the relevant number of days (e.g. a month, rather than a fortnight).  </w:t>
      </w:r>
    </w:p>
    <w:p w14:paraId="11073A7E" w14:textId="77777777" w:rsidR="007F718F" w:rsidRPr="00201A81" w:rsidRDefault="007F718F" w:rsidP="00134EE4">
      <w:pPr>
        <w:pStyle w:val="BodyText1"/>
      </w:pPr>
    </w:p>
    <w:p w14:paraId="5A7E7096" w14:textId="77777777" w:rsidR="00617E79" w:rsidRPr="001A5453" w:rsidRDefault="00617E79" w:rsidP="00793207">
      <w:pPr>
        <w:pStyle w:val="HeadingLevel3NoNumber"/>
      </w:pPr>
      <w:r>
        <w:t>Unintended consequences</w:t>
      </w:r>
    </w:p>
    <w:p w14:paraId="027B55C1" w14:textId="5EA4A205" w:rsidR="00F23E8D" w:rsidRDefault="00F23E8D" w:rsidP="00F23E8D">
      <w:pPr>
        <w:pStyle w:val="BodyText1"/>
      </w:pPr>
      <w:r>
        <w:t xml:space="preserve">This review did not identify any unintended consequences </w:t>
      </w:r>
      <w:r w:rsidRPr="00890826">
        <w:t>arising from the introduction of, or the transition to, the paid income model.</w:t>
      </w:r>
    </w:p>
    <w:p w14:paraId="2C59F72C" w14:textId="7E06C580" w:rsidR="00617E79" w:rsidRDefault="00617E79" w:rsidP="00617E79">
      <w:pPr>
        <w:pStyle w:val="BodyText1"/>
      </w:pPr>
    </w:p>
    <w:p w14:paraId="126C1AFE" w14:textId="77777777" w:rsidR="00617E79" w:rsidRPr="001A5453" w:rsidRDefault="00617E79" w:rsidP="00793207">
      <w:pPr>
        <w:pStyle w:val="HeadingLevel3NoNumber"/>
      </w:pPr>
      <w:r w:rsidRPr="001A5453">
        <w:t>Pension payments</w:t>
      </w:r>
    </w:p>
    <w:p w14:paraId="58544B1A" w14:textId="24AE6E0B" w:rsidR="00617E79" w:rsidRDefault="00617E79" w:rsidP="00617E79">
      <w:pPr>
        <w:pStyle w:val="BodyText1"/>
      </w:pPr>
      <w:r>
        <w:t>C</w:t>
      </w:r>
      <w:r w:rsidRPr="004C20CA">
        <w:t xml:space="preserve">lause 1073B of the legislation sets out a special employment income attribution rule for a small group of social security pension recipients who are paid the same amount of employment income on the same day of each month. Those affected do not need to report their </w:t>
      </w:r>
      <w:r w:rsidR="00D70B55">
        <w:t xml:space="preserve">employment </w:t>
      </w:r>
      <w:r w:rsidRPr="004C20CA">
        <w:t>income each fortnight or month to Centrelink</w:t>
      </w:r>
      <w:r>
        <w:t xml:space="preserve">. Therefore, </w:t>
      </w:r>
      <w:r w:rsidRPr="004C20CA">
        <w:t xml:space="preserve">the change </w:t>
      </w:r>
      <w:r w:rsidR="005A6062">
        <w:t>on</w:t>
      </w:r>
      <w:r w:rsidRPr="004C20CA">
        <w:t xml:space="preserve"> how to report earned income is not observed by the</w:t>
      </w:r>
      <w:r>
        <w:t>se</w:t>
      </w:r>
      <w:r w:rsidRPr="004C20CA">
        <w:t xml:space="preserve"> pension recipient</w:t>
      </w:r>
      <w:r>
        <w:t>s.</w:t>
      </w:r>
    </w:p>
    <w:p w14:paraId="7AE39E59" w14:textId="2FDCD278" w:rsidR="00690E37" w:rsidRDefault="00617E79" w:rsidP="003B798F">
      <w:pPr>
        <w:pStyle w:val="BodyText1"/>
      </w:pPr>
      <w:r>
        <w:t>As expected, based on this clause</w:t>
      </w:r>
      <w:r w:rsidR="000C4C77">
        <w:t xml:space="preserve"> and the proportion of pensioners affected</w:t>
      </w:r>
      <w:r>
        <w:t xml:space="preserve">, very limited commentary on the impact of the change on pension payments was provided during the review. However, feedback received indicated there was minimal impact from the change </w:t>
      </w:r>
      <w:r w:rsidR="00D671CA">
        <w:t>of income assessment model</w:t>
      </w:r>
      <w:r>
        <w:t xml:space="preserve"> for individuals receiving pension-based payments.</w:t>
      </w:r>
      <w:r w:rsidR="00690E37">
        <w:br w:type="page"/>
      </w:r>
    </w:p>
    <w:p w14:paraId="291D6F56" w14:textId="72CE66FB" w:rsidR="0056263A" w:rsidRDefault="00506FC0" w:rsidP="0056263A">
      <w:pPr>
        <w:pStyle w:val="Heading1"/>
      </w:pPr>
      <w:bookmarkStart w:id="4" w:name="_Ref103588812"/>
      <w:bookmarkStart w:id="5" w:name="_Toc104983813"/>
      <w:bookmarkEnd w:id="2"/>
      <w:r>
        <w:lastRenderedPageBreak/>
        <w:t>Introduction</w:t>
      </w:r>
      <w:bookmarkEnd w:id="4"/>
      <w:bookmarkEnd w:id="5"/>
      <w:r>
        <w:t xml:space="preserve"> </w:t>
      </w:r>
    </w:p>
    <w:p w14:paraId="56E891A9" w14:textId="62CD0957" w:rsidR="00843251" w:rsidRPr="00843251" w:rsidRDefault="007C0352" w:rsidP="00843251">
      <w:pPr>
        <w:pStyle w:val="Heading2"/>
      </w:pPr>
      <w:bookmarkStart w:id="6" w:name="_Ref103750320"/>
      <w:bookmarkStart w:id="7" w:name="_Toc104983814"/>
      <w:r>
        <w:t xml:space="preserve">Overview of </w:t>
      </w:r>
      <w:r w:rsidR="00BB5490">
        <w:t xml:space="preserve">the </w:t>
      </w:r>
      <w:bookmarkEnd w:id="6"/>
      <w:r w:rsidR="00ED7BD1">
        <w:t>change of income assessment model</w:t>
      </w:r>
      <w:bookmarkEnd w:id="7"/>
    </w:p>
    <w:p w14:paraId="3FA1B465" w14:textId="257BBB02" w:rsidR="00843251" w:rsidRDefault="00843251" w:rsidP="00A74EC8">
      <w:pPr>
        <w:pStyle w:val="Heading3"/>
      </w:pPr>
      <w:r>
        <w:t xml:space="preserve">The change to reporting employment income </w:t>
      </w:r>
    </w:p>
    <w:p w14:paraId="07186CDC" w14:textId="7E21EDF4" w:rsidR="00843251" w:rsidRPr="00365E62" w:rsidRDefault="00843251" w:rsidP="00AB5DD7">
      <w:pPr>
        <w:pStyle w:val="BodyText1"/>
      </w:pPr>
      <w:r w:rsidRPr="00365E62">
        <w:t xml:space="preserve">The </w:t>
      </w:r>
      <w:r w:rsidRPr="00365E62">
        <w:rPr>
          <w:i/>
          <w:iCs/>
        </w:rPr>
        <w:t xml:space="preserve">Social Services and </w:t>
      </w:r>
      <w:r w:rsidR="00137C96">
        <w:rPr>
          <w:i/>
          <w:iCs/>
        </w:rPr>
        <w:t>O</w:t>
      </w:r>
      <w:r w:rsidRPr="00365E62">
        <w:rPr>
          <w:i/>
          <w:iCs/>
        </w:rPr>
        <w:t>ther Legislati</w:t>
      </w:r>
      <w:r w:rsidR="00FE6B63">
        <w:rPr>
          <w:i/>
          <w:iCs/>
        </w:rPr>
        <w:t>on</w:t>
      </w:r>
      <w:r w:rsidRPr="00365E62">
        <w:rPr>
          <w:i/>
          <w:iCs/>
        </w:rPr>
        <w:t xml:space="preserve"> Amendment (Simplifying Income Reporting and Other Measures) Act 2020</w:t>
      </w:r>
      <w:r w:rsidR="0092006B">
        <w:rPr>
          <w:i/>
          <w:iCs/>
        </w:rPr>
        <w:t xml:space="preserve"> </w:t>
      </w:r>
      <w:r w:rsidRPr="00365E62">
        <w:t xml:space="preserve">was introduced into Parliament in February 2020 and </w:t>
      </w:r>
      <w:r w:rsidR="00B26A95">
        <w:t>commenced</w:t>
      </w:r>
      <w:r w:rsidR="00B642E2" w:rsidRPr="00365E62">
        <w:t xml:space="preserve"> </w:t>
      </w:r>
      <w:r w:rsidRPr="00365E62">
        <w:t>on 7 December 2020. The intent of the change</w:t>
      </w:r>
      <w:r w:rsidR="004638B2">
        <w:t xml:space="preserve"> of income assessment model</w:t>
      </w:r>
      <w:r w:rsidRPr="00365E62">
        <w:t xml:space="preserve"> was to make it easier for social security </w:t>
      </w:r>
      <w:r w:rsidR="003D2038">
        <w:t xml:space="preserve">payment </w:t>
      </w:r>
      <w:r w:rsidRPr="00365E62">
        <w:t>recipients to report their income correctly, reducing the likelihood of overpayment and delivering estimated savings of $2.1 billion over four years through improved accuracy of payments.</w:t>
      </w:r>
    </w:p>
    <w:p w14:paraId="4F14D87C" w14:textId="3E50C968" w:rsidR="00843251" w:rsidRDefault="00843251" w:rsidP="00AB5DD7">
      <w:pPr>
        <w:pStyle w:val="BodyText1"/>
      </w:pPr>
      <w:r w:rsidRPr="00365E62">
        <w:t xml:space="preserve">Specifically, for the purposes of determining a person's rate of payment under social security law, employment </w:t>
      </w:r>
      <w:r w:rsidR="00D52D0B" w:rsidRPr="00365E62">
        <w:t>income is</w:t>
      </w:r>
      <w:r w:rsidR="00D52D0B">
        <w:t xml:space="preserve"> </w:t>
      </w:r>
      <w:r w:rsidRPr="00365E62">
        <w:t>assessed once paid to a recipient. This replace</w:t>
      </w:r>
      <w:r w:rsidR="009800A1">
        <w:t>d</w:t>
      </w:r>
      <w:r w:rsidRPr="00365E62">
        <w:t xml:space="preserve"> requirements for recipients to estimate and report the amount of employment income they ha</w:t>
      </w:r>
      <w:r w:rsidR="001E69EB">
        <w:t>d</w:t>
      </w:r>
      <w:r w:rsidRPr="00365E62">
        <w:t xml:space="preserve"> earned in a given social security </w:t>
      </w:r>
      <w:r w:rsidR="002A2090">
        <w:t>entitlement perio</w:t>
      </w:r>
      <w:r w:rsidR="002A2090" w:rsidRPr="00CE7A32">
        <w:t>d. Thi</w:t>
      </w:r>
      <w:r w:rsidR="00CE7A32" w:rsidRPr="00CE7A32">
        <w:t>s is the period over which a recipient</w:t>
      </w:r>
      <w:r w:rsidR="00694333">
        <w:t>’s</w:t>
      </w:r>
      <w:r w:rsidR="00CE7A32" w:rsidRPr="00CE7A32">
        <w:t xml:space="preserve"> entitlement will accrue and normally ends </w:t>
      </w:r>
      <w:r w:rsidR="00916C82">
        <w:t>1-</w:t>
      </w:r>
      <w:r w:rsidR="00CE7A32" w:rsidRPr="00CE7A32">
        <w:t xml:space="preserve">2 working days before </w:t>
      </w:r>
      <w:r w:rsidR="00AE19E0">
        <w:t>the day on which they receive their payment</w:t>
      </w:r>
      <w:r w:rsidR="00CE7A32" w:rsidRPr="00CE7A32">
        <w:t>.</w:t>
      </w:r>
      <w:r w:rsidR="00CE7A32">
        <w:t xml:space="preserve"> </w:t>
      </w:r>
      <w:r w:rsidRPr="00365E62">
        <w:t>T</w:t>
      </w:r>
      <w:r w:rsidR="004638B2">
        <w:t>he</w:t>
      </w:r>
      <w:r w:rsidRPr="00365E62">
        <w:t xml:space="preserve"> change enable</w:t>
      </w:r>
      <w:r w:rsidR="00C0249B">
        <w:t>d</w:t>
      </w:r>
      <w:r w:rsidRPr="00365E62">
        <w:t xml:space="preserve"> Services Australia to use data collected by the Australian Taxation Office (ATO), primarily through the Single Touch Payroll (STP) system, in connection with the new assessment model</w:t>
      </w:r>
      <w:r w:rsidR="00AE19E0">
        <w:t xml:space="preserve"> to improve the accuracy of payments.</w:t>
      </w:r>
    </w:p>
    <w:p w14:paraId="7C93F8D5" w14:textId="2A8FAD54" w:rsidR="0092006B" w:rsidRPr="0092006B" w:rsidRDefault="0092006B" w:rsidP="00AB5DD7">
      <w:pPr>
        <w:pStyle w:val="BodyText1"/>
      </w:pPr>
      <w:r>
        <w:t xml:space="preserve">In this report, the </w:t>
      </w:r>
      <w:r w:rsidRPr="00365E62">
        <w:rPr>
          <w:i/>
          <w:iCs/>
        </w:rPr>
        <w:t xml:space="preserve">Social Services and </w:t>
      </w:r>
      <w:r w:rsidR="001E69EB">
        <w:rPr>
          <w:i/>
          <w:iCs/>
        </w:rPr>
        <w:t>O</w:t>
      </w:r>
      <w:r w:rsidRPr="00365E62">
        <w:rPr>
          <w:i/>
          <w:iCs/>
        </w:rPr>
        <w:t>ther Legislati</w:t>
      </w:r>
      <w:r w:rsidR="00FE6B63">
        <w:rPr>
          <w:i/>
          <w:iCs/>
        </w:rPr>
        <w:t>on</w:t>
      </w:r>
      <w:r w:rsidRPr="00365E62">
        <w:rPr>
          <w:i/>
          <w:iCs/>
        </w:rPr>
        <w:t xml:space="preserve"> Amendment (Simplifying Income Reporting and Other Measures) Act 2020</w:t>
      </w:r>
      <w:r>
        <w:rPr>
          <w:i/>
          <w:iCs/>
        </w:rPr>
        <w:t xml:space="preserve"> </w:t>
      </w:r>
      <w:r w:rsidR="00834E3C">
        <w:t>is</w:t>
      </w:r>
      <w:r>
        <w:t xml:space="preserve"> referred to as </w:t>
      </w:r>
      <w:r w:rsidR="00206381">
        <w:t>‘</w:t>
      </w:r>
      <w:r>
        <w:t>the Act</w:t>
      </w:r>
      <w:r w:rsidR="00206381">
        <w:t>’</w:t>
      </w:r>
      <w:r>
        <w:t>.</w:t>
      </w:r>
      <w:r w:rsidR="00834E3C">
        <w:t xml:space="preserve"> The change resulting from the legislation is referred to as the ‘</w:t>
      </w:r>
      <w:r w:rsidR="00CF05C0">
        <w:t>change of income assessment model’</w:t>
      </w:r>
      <w:r w:rsidR="008C5810">
        <w:t>.</w:t>
      </w:r>
    </w:p>
    <w:p w14:paraId="67BB766A" w14:textId="04EF27E3" w:rsidR="007941B0" w:rsidRDefault="007941B0" w:rsidP="00A74EC8">
      <w:pPr>
        <w:pStyle w:val="Heading3"/>
      </w:pPr>
      <w:r>
        <w:t>Affected payments</w:t>
      </w:r>
    </w:p>
    <w:p w14:paraId="5DF6CA91" w14:textId="1C4D5A3A" w:rsidR="004C20CA" w:rsidRPr="004C20CA" w:rsidRDefault="004C20CA" w:rsidP="00AB5DD7">
      <w:pPr>
        <w:pStyle w:val="BodyText1"/>
      </w:pPr>
      <w:r w:rsidRPr="004C20CA">
        <w:t xml:space="preserve">The </w:t>
      </w:r>
      <w:r w:rsidR="004638B2">
        <w:t>change of income assessment model</w:t>
      </w:r>
      <w:r w:rsidRPr="004C20CA">
        <w:t xml:space="preserve"> impacted individuals (and / or their nominee</w:t>
      </w:r>
      <w:r w:rsidR="0001643E">
        <w:t>s</w:t>
      </w:r>
      <w:r w:rsidRPr="004C20CA">
        <w:t xml:space="preserve"> and partners) receiving the following social security payments: ABSTUD</w:t>
      </w:r>
      <w:r w:rsidR="00347C80">
        <w:t xml:space="preserve">Y, </w:t>
      </w:r>
      <w:r w:rsidRPr="004C20CA">
        <w:t xml:space="preserve">Age Pension, Austudy, Carer Payment, Disability Support Pension, Farm Household </w:t>
      </w:r>
      <w:r w:rsidR="00BB5490" w:rsidRPr="004C20CA">
        <w:t xml:space="preserve">Allowance, </w:t>
      </w:r>
      <w:r w:rsidR="006B01CC">
        <w:t>JobSeeker</w:t>
      </w:r>
      <w:r w:rsidRPr="004C20CA">
        <w:t xml:space="preserve"> Payment, Partner Allowance, Parenting Payment (single and partnered), Special Benefit, Status Resolution Support Services, Widow Allowance and Youth Allowance.</w:t>
      </w:r>
    </w:p>
    <w:p w14:paraId="5FC5F8D6" w14:textId="035D2ECC" w:rsidR="004C20CA" w:rsidRPr="004C20CA" w:rsidRDefault="004C20CA" w:rsidP="00AB5DD7">
      <w:pPr>
        <w:pStyle w:val="BodyText1"/>
      </w:pPr>
      <w:r w:rsidRPr="004C20CA">
        <w:t xml:space="preserve">The </w:t>
      </w:r>
      <w:r w:rsidR="004638B2">
        <w:t>change of income assessment model</w:t>
      </w:r>
      <w:r w:rsidRPr="004C20CA">
        <w:t xml:space="preserve"> </w:t>
      </w:r>
      <w:r w:rsidR="008E3116">
        <w:t>did</w:t>
      </w:r>
      <w:r w:rsidRPr="004C20CA">
        <w:t xml:space="preserve"> not apply to </w:t>
      </w:r>
      <w:r w:rsidR="004A0F0D">
        <w:t xml:space="preserve">other payments not listed above, including the </w:t>
      </w:r>
      <w:r w:rsidR="004A0F0D" w:rsidRPr="004C20CA">
        <w:t xml:space="preserve">Family Tax Benefit, Carer Allowance </w:t>
      </w:r>
      <w:r w:rsidR="004A0F0D">
        <w:t xml:space="preserve">or </w:t>
      </w:r>
      <w:r w:rsidRPr="004C20CA">
        <w:t xml:space="preserve">one-off payments such as the COVID-19 Disaster Payment. </w:t>
      </w:r>
    </w:p>
    <w:p w14:paraId="67952933" w14:textId="1C95359C" w:rsidR="00412C9B" w:rsidRPr="00412C9B" w:rsidRDefault="00412C9B" w:rsidP="00A74EC8">
      <w:pPr>
        <w:pStyle w:val="Heading4"/>
      </w:pPr>
      <w:r w:rsidRPr="00412C9B">
        <w:rPr>
          <w:bCs/>
        </w:rPr>
        <w:t xml:space="preserve">Payments for people receiving a social security pension </w:t>
      </w:r>
    </w:p>
    <w:p w14:paraId="65595E2C" w14:textId="15B466D2" w:rsidR="0056263A" w:rsidRDefault="00745384" w:rsidP="00AB5DD7">
      <w:pPr>
        <w:pStyle w:val="BodyText1"/>
      </w:pPr>
      <w:r>
        <w:t xml:space="preserve">A social security pension relates </w:t>
      </w:r>
      <w:r w:rsidDel="00F3251D">
        <w:t xml:space="preserve">to </w:t>
      </w:r>
      <w:r>
        <w:t xml:space="preserve">the Disability Support Pension, Age Pension or the Carer Payment. </w:t>
      </w:r>
      <w:r w:rsidR="004C20CA" w:rsidRPr="004C20CA">
        <w:t xml:space="preserve">Clause 1073B of the </w:t>
      </w:r>
      <w:r w:rsidR="000D7041">
        <w:t>Act</w:t>
      </w:r>
      <w:r w:rsidR="004C20CA" w:rsidRPr="004C20CA">
        <w:t xml:space="preserve"> sets out a special employment income attribution rule for a small group of social security pension recipients who are paid the same amount of employment income on the same day of each month. Those affected do not need to report their income each fortnight or month to Centrelink</w:t>
      </w:r>
      <w:r w:rsidR="00BE6A82">
        <w:t xml:space="preserve">. </w:t>
      </w:r>
      <w:r w:rsidR="004C20CA" w:rsidRPr="004C20CA">
        <w:t>Pensioners assessed this way will only be required to report to Centrelink if there is a change to their income.</w:t>
      </w:r>
    </w:p>
    <w:p w14:paraId="4AB6DCC9" w14:textId="35B8C878" w:rsidR="003C7845" w:rsidRDefault="00353E1D" w:rsidP="00A74EC8">
      <w:pPr>
        <w:pStyle w:val="Heading4"/>
      </w:pPr>
      <w:r>
        <w:t>Number of people affected by the change</w:t>
      </w:r>
      <w:r w:rsidR="00745384">
        <w:t xml:space="preserve"> of income assessment model</w:t>
      </w:r>
    </w:p>
    <w:p w14:paraId="5A9C1A7C" w14:textId="2654833E" w:rsidR="004E342D" w:rsidRDefault="002B2F5C" w:rsidP="00CA05BB">
      <w:pPr>
        <w:pStyle w:val="BodyText1"/>
      </w:pPr>
      <w:r w:rsidRPr="00CA05BB">
        <w:rPr>
          <w:lang w:eastAsia="en-AU"/>
        </w:rPr>
        <w:t>In March 2020, data analysed to finalise the ‘</w:t>
      </w:r>
      <w:r w:rsidR="00345CB6" w:rsidRPr="00CA05BB">
        <w:rPr>
          <w:lang w:eastAsia="en-AU"/>
        </w:rPr>
        <w:t>Change of Income Assessment Model (CAM)</w:t>
      </w:r>
      <w:r w:rsidRPr="00CA05BB">
        <w:rPr>
          <w:lang w:eastAsia="en-AU"/>
        </w:rPr>
        <w:t xml:space="preserve"> Communication Plan’ showed that “</w:t>
      </w:r>
      <w:r w:rsidRPr="00CA05BB">
        <w:t>more than 800,000 customers are required to declare their and/or their non-customer partner’s gross employment income to Services Australia before they’re paid their income support payment.</w:t>
      </w:r>
      <w:r w:rsidR="00BD7B2A">
        <w:t xml:space="preserve"> </w:t>
      </w:r>
      <w:r w:rsidRPr="00CA05BB">
        <w:t xml:space="preserve">Prior to the change being implemented, this was considered to be the number of individuals likely to be impacted by the legislative change. However, due to the impact of the Coronavirus Pandemic, a significant number of people commenced receiving an income support payment, with the majority </w:t>
      </w:r>
      <w:r w:rsidRPr="00CA05BB">
        <w:lastRenderedPageBreak/>
        <w:t xml:space="preserve">required to report fortnightly. This new cohort of people were also more likely to need to report employment income, for example as a result of employment income received through JobKeeper Payment. </w:t>
      </w:r>
    </w:p>
    <w:p w14:paraId="5F8F5807" w14:textId="77777777" w:rsidR="004E342D" w:rsidRDefault="002B2F5C" w:rsidP="00CA05BB">
      <w:pPr>
        <w:pStyle w:val="BodyText1"/>
        <w:rPr>
          <w:lang w:eastAsia="en-AU"/>
        </w:rPr>
      </w:pPr>
      <w:r w:rsidRPr="00CA05BB">
        <w:t>In order to understand the impact of the legislative change, a baseline</w:t>
      </w:r>
      <w:r w:rsidR="004E342D">
        <w:t xml:space="preserve"> was </w:t>
      </w:r>
      <w:r w:rsidRPr="00CA05BB">
        <w:t>identified as at 31 December 2021, which reflects a more stable reporting population over a December period. There were approximately</w:t>
      </w:r>
      <w:r w:rsidR="00CA05BB">
        <w:t xml:space="preserve"> </w:t>
      </w:r>
      <w:r w:rsidRPr="00CA05BB">
        <w:t xml:space="preserve">2 million </w:t>
      </w:r>
      <w:r w:rsidRPr="00CA05BB">
        <w:rPr>
          <w:lang w:eastAsia="en-AU"/>
        </w:rPr>
        <w:t>statement reporters</w:t>
      </w:r>
      <w:r w:rsidR="0003247D">
        <w:rPr>
          <w:rStyle w:val="FootnoteReference"/>
          <w:lang w:eastAsia="en-AU"/>
        </w:rPr>
        <w:footnoteReference w:id="6"/>
      </w:r>
      <w:r w:rsidRPr="00CA05BB">
        <w:rPr>
          <w:lang w:eastAsia="en-AU"/>
        </w:rPr>
        <w:t xml:space="preserve">, of which 622,771 reported paid income at least once during the month of December. This would suggest over 600,000 statement reporters were required to report their, or their partner’s, paid income according to the new model upon implementation, and thus impacted by the legislative change. </w:t>
      </w:r>
    </w:p>
    <w:p w14:paraId="2EE4B1D5" w14:textId="7A4FB994" w:rsidR="002B2F5C" w:rsidRPr="00CA05BB" w:rsidRDefault="00CA05BB" w:rsidP="00CA05BB">
      <w:pPr>
        <w:pStyle w:val="BodyText1"/>
        <w:rPr>
          <w:rFonts w:ascii="Calibri" w:hAnsi="Calibri"/>
        </w:rPr>
      </w:pPr>
      <w:r w:rsidRPr="00CA05BB">
        <w:rPr>
          <w:lang w:eastAsia="en-AU"/>
        </w:rPr>
        <w:t>It is acknowledged that</w:t>
      </w:r>
      <w:r w:rsidR="002B2F5C" w:rsidRPr="00CA05BB">
        <w:rPr>
          <w:lang w:eastAsia="en-AU"/>
        </w:rPr>
        <w:t xml:space="preserve"> the number of statement reporters required to report their, or their partner’s, paid income fortnightly fluctuates depending on the frequency </w:t>
      </w:r>
      <w:r w:rsidRPr="00CA05BB">
        <w:rPr>
          <w:lang w:eastAsia="en-AU"/>
        </w:rPr>
        <w:t>with</w:t>
      </w:r>
      <w:r w:rsidR="002B2F5C" w:rsidRPr="00CA05BB">
        <w:rPr>
          <w:lang w:eastAsia="en-AU"/>
        </w:rPr>
        <w:t xml:space="preserve"> which people are paid and therefore quantifying the exact number of individuals impacted by the change is challenging. </w:t>
      </w:r>
    </w:p>
    <w:p w14:paraId="30E41143" w14:textId="6A6A9731" w:rsidR="004841C0" w:rsidRDefault="004841C0">
      <w:pPr>
        <w:pStyle w:val="Heading2"/>
      </w:pPr>
      <w:bookmarkStart w:id="8" w:name="_Toc104983815"/>
      <w:r>
        <w:t>Legislative review requirement</w:t>
      </w:r>
      <w:bookmarkEnd w:id="8"/>
    </w:p>
    <w:p w14:paraId="5BA31CCC" w14:textId="0B7B0C4F" w:rsidR="00BB5490" w:rsidRPr="00A74EC8" w:rsidRDefault="0026527B" w:rsidP="00A74EC8">
      <w:pPr>
        <w:pStyle w:val="Heading3"/>
      </w:pPr>
      <w:r>
        <w:t xml:space="preserve">Review requirement </w:t>
      </w:r>
    </w:p>
    <w:p w14:paraId="38BFC397" w14:textId="05BAD0A5" w:rsidR="004C20CA" w:rsidRPr="004C20CA" w:rsidRDefault="004C20CA" w:rsidP="00AB5DD7">
      <w:pPr>
        <w:pStyle w:val="BodyText1"/>
      </w:pPr>
      <w:r w:rsidRPr="004C20CA">
        <w:t xml:space="preserve">The legislation included the requirement for an independent review of the impact of the legislation. To comply with the Act, the </w:t>
      </w:r>
      <w:r w:rsidR="00E10450">
        <w:t>D</w:t>
      </w:r>
      <w:r w:rsidRPr="004C20CA">
        <w:t>epartment</w:t>
      </w:r>
      <w:r w:rsidR="00EB641D">
        <w:t xml:space="preserve"> of Social Services (DSS)</w:t>
      </w:r>
      <w:r w:rsidRPr="004C20CA">
        <w:t xml:space="preserve"> </w:t>
      </w:r>
      <w:r w:rsidR="002D505C">
        <w:t>wa</w:t>
      </w:r>
      <w:r w:rsidRPr="004C20CA">
        <w:t xml:space="preserve">s required to engage an independent reviewer to review the </w:t>
      </w:r>
      <w:r w:rsidR="00600597">
        <w:t xml:space="preserve">impact of the change of </w:t>
      </w:r>
      <w:r w:rsidR="00F428A3">
        <w:t xml:space="preserve">income </w:t>
      </w:r>
      <w:r w:rsidR="00600597">
        <w:t xml:space="preserve">assessment </w:t>
      </w:r>
      <w:r w:rsidR="00F428A3">
        <w:t>model</w:t>
      </w:r>
      <w:r w:rsidRPr="004C20CA">
        <w:t xml:space="preserve">. The review must </w:t>
      </w:r>
      <w:r w:rsidR="00645781">
        <w:t xml:space="preserve">have </w:t>
      </w:r>
      <w:r w:rsidRPr="004C20CA">
        <w:t>commence</w:t>
      </w:r>
      <w:r w:rsidR="00645781">
        <w:t>d</w:t>
      </w:r>
      <w:r w:rsidRPr="004C20CA">
        <w:t xml:space="preserve"> as soon as practicable after the end of 12 months after the Act c</w:t>
      </w:r>
      <w:r w:rsidR="00BD5B22">
        <w:t>ame</w:t>
      </w:r>
      <w:r w:rsidRPr="004C20CA">
        <w:t xml:space="preserve"> </w:t>
      </w:r>
      <w:r w:rsidR="00B755B1">
        <w:t>in</w:t>
      </w:r>
      <w:r w:rsidRPr="004C20CA">
        <w:t>to force</w:t>
      </w:r>
      <w:r w:rsidR="00B755B1">
        <w:t>,</w:t>
      </w:r>
      <w:r w:rsidRPr="004C20CA">
        <w:t xml:space="preserve"> which was 7 December 2020, and for the Minister to be provided with a written report within </w:t>
      </w:r>
      <w:r w:rsidR="00600597">
        <w:t>six</w:t>
      </w:r>
      <w:r w:rsidRPr="004C20CA">
        <w:t xml:space="preserve"> months of the commencement of the review. The excerpt of legislative requirements </w:t>
      </w:r>
      <w:r w:rsidR="00AA1CEA">
        <w:t>is</w:t>
      </w:r>
      <w:r w:rsidRPr="004C20CA">
        <w:t xml:space="preserve"> as follows: </w:t>
      </w:r>
    </w:p>
    <w:p w14:paraId="2FBF3A8B" w14:textId="60F411BD" w:rsidR="004C20CA" w:rsidRPr="004C20CA" w:rsidRDefault="004C20CA" w:rsidP="00AB5DD7">
      <w:pPr>
        <w:pStyle w:val="BodyText1"/>
      </w:pPr>
      <w:r w:rsidRPr="004C20CA">
        <w:t xml:space="preserve">Review of </w:t>
      </w:r>
      <w:r w:rsidR="00DC6528">
        <w:t xml:space="preserve">the </w:t>
      </w:r>
      <w:r w:rsidRPr="004C20CA">
        <w:t xml:space="preserve">operation of </w:t>
      </w:r>
      <w:r w:rsidR="00DC6528">
        <w:t>the</w:t>
      </w:r>
      <w:r w:rsidRPr="004C20CA">
        <w:t xml:space="preserve"> amendments:</w:t>
      </w:r>
    </w:p>
    <w:p w14:paraId="5635B34C" w14:textId="2709F439" w:rsidR="004C20CA" w:rsidRPr="004C20CA" w:rsidRDefault="004C20CA" w:rsidP="004E7435">
      <w:pPr>
        <w:pStyle w:val="BodyText1"/>
        <w:numPr>
          <w:ilvl w:val="0"/>
          <w:numId w:val="29"/>
        </w:numPr>
      </w:pPr>
      <w:r w:rsidRPr="004C20CA">
        <w:t>The Minister must cause an independent review to be conducted of the operation of the amendments made by this Act.</w:t>
      </w:r>
    </w:p>
    <w:p w14:paraId="652C4B6A" w14:textId="78062DC2" w:rsidR="004C20CA" w:rsidRPr="004C20CA" w:rsidRDefault="004C20CA" w:rsidP="004E7435">
      <w:pPr>
        <w:pStyle w:val="BodyText1"/>
        <w:numPr>
          <w:ilvl w:val="0"/>
          <w:numId w:val="29"/>
        </w:numPr>
      </w:pPr>
      <w:r w:rsidRPr="004C20CA">
        <w:t>The review must start as soon as practicable after the end of 12 months after this Act commences.</w:t>
      </w:r>
    </w:p>
    <w:p w14:paraId="6F56156B" w14:textId="77777777" w:rsidR="004C20CA" w:rsidRPr="004C20CA" w:rsidRDefault="004C20CA" w:rsidP="004E7435">
      <w:pPr>
        <w:pStyle w:val="BodyText1"/>
        <w:numPr>
          <w:ilvl w:val="0"/>
          <w:numId w:val="29"/>
        </w:numPr>
      </w:pPr>
      <w:r w:rsidRPr="004C20CA">
        <w:t>The persons who conduct the review must give the Minister a written report of the review within 6 months of the commencement of the review.</w:t>
      </w:r>
    </w:p>
    <w:p w14:paraId="5480A9FF" w14:textId="4A386183" w:rsidR="004C20CA" w:rsidRPr="004C20CA" w:rsidRDefault="004C20CA" w:rsidP="004E7435">
      <w:pPr>
        <w:pStyle w:val="BodyText1"/>
        <w:numPr>
          <w:ilvl w:val="0"/>
          <w:numId w:val="29"/>
        </w:numPr>
      </w:pPr>
      <w:r w:rsidRPr="004C20CA">
        <w:t>The persons who conduct the review must consult: (a) income support recipients impacted by the amendments made by this Act; and (b) persons who have expertise in social security law; and (c) persons who have expertise in any other area of public policy considered relevant by the persons who conduct the review.</w:t>
      </w:r>
    </w:p>
    <w:p w14:paraId="3128A93A" w14:textId="58ECEB12" w:rsidR="00EA6074" w:rsidRPr="004C20CA" w:rsidRDefault="004C20CA" w:rsidP="00EA6074">
      <w:pPr>
        <w:pStyle w:val="BodyText1"/>
        <w:numPr>
          <w:ilvl w:val="0"/>
          <w:numId w:val="29"/>
        </w:numPr>
      </w:pPr>
      <w:r w:rsidRPr="004C20CA">
        <w:t>The review must provide for public submissions as part of the review.</w:t>
      </w:r>
    </w:p>
    <w:p w14:paraId="015672A6" w14:textId="77777777" w:rsidR="004C20CA" w:rsidRPr="004C20CA" w:rsidRDefault="004C20CA" w:rsidP="004E7435">
      <w:pPr>
        <w:pStyle w:val="BodyText1"/>
        <w:numPr>
          <w:ilvl w:val="0"/>
          <w:numId w:val="29"/>
        </w:numPr>
      </w:pPr>
      <w:r w:rsidRPr="004C20CA">
        <w:t>The Minister must cause a copy of the report to be tabled in each House of the Parliament within 15 sitting days of that House after the report is given to the Minister.</w:t>
      </w:r>
    </w:p>
    <w:p w14:paraId="223CAB8E" w14:textId="40A3DD43" w:rsidR="006F5D31" w:rsidRPr="006F5D31" w:rsidRDefault="004C20CA" w:rsidP="004E7435">
      <w:pPr>
        <w:pStyle w:val="BodyText1"/>
        <w:numPr>
          <w:ilvl w:val="0"/>
          <w:numId w:val="29"/>
        </w:numPr>
      </w:pPr>
      <w:r w:rsidRPr="004C20CA">
        <w:t xml:space="preserve">In this section, Minister means the Minister administering the </w:t>
      </w:r>
      <w:r w:rsidRPr="00AB5DD7">
        <w:rPr>
          <w:i/>
        </w:rPr>
        <w:t>Social Security Act 1991</w:t>
      </w:r>
      <w:r w:rsidRPr="004C20CA">
        <w:t>.</w:t>
      </w:r>
    </w:p>
    <w:p w14:paraId="4914BC29" w14:textId="49541A2F" w:rsidR="006F5D31" w:rsidRPr="004C20CA" w:rsidRDefault="006F5D31" w:rsidP="00A74EC8">
      <w:pPr>
        <w:pStyle w:val="Heading3"/>
        <w:rPr>
          <w:bCs/>
        </w:rPr>
      </w:pPr>
      <w:r>
        <w:rPr>
          <w:bCs/>
        </w:rPr>
        <w:t>KPMG’s role</w:t>
      </w:r>
    </w:p>
    <w:p w14:paraId="4E7475B8" w14:textId="260C8F53" w:rsidR="00656928" w:rsidRPr="004B2B69" w:rsidRDefault="004C20CA" w:rsidP="00AB5DD7">
      <w:pPr>
        <w:pStyle w:val="BodyText1"/>
        <w:rPr>
          <w:rFonts w:cs="Arial"/>
          <w:szCs w:val="20"/>
        </w:rPr>
      </w:pPr>
      <w:r w:rsidRPr="004C20CA">
        <w:t>KPMG</w:t>
      </w:r>
      <w:r w:rsidR="00760A6B">
        <w:t xml:space="preserve"> Australia</w:t>
      </w:r>
      <w:r w:rsidR="00BA5E79">
        <w:t xml:space="preserve"> (KPMG)</w:t>
      </w:r>
      <w:r w:rsidR="00B755B1">
        <w:t xml:space="preserve"> </w:t>
      </w:r>
      <w:r w:rsidR="007E10B1">
        <w:t>was</w:t>
      </w:r>
      <w:r w:rsidRPr="004C20CA">
        <w:t xml:space="preserve"> engaged by </w:t>
      </w:r>
      <w:r w:rsidR="000D7041">
        <w:t>DSS</w:t>
      </w:r>
      <w:r w:rsidRPr="004C20CA">
        <w:t xml:space="preserve"> to conduct </w:t>
      </w:r>
      <w:r w:rsidR="007E10B1">
        <w:t>the</w:t>
      </w:r>
      <w:r w:rsidRPr="004C20CA">
        <w:t xml:space="preserve"> independent review of the impact of </w:t>
      </w:r>
      <w:r w:rsidR="005774BF">
        <w:t>the legislation</w:t>
      </w:r>
      <w:r w:rsidR="007E10B1">
        <w:t xml:space="preserve"> </w:t>
      </w:r>
      <w:r w:rsidR="00656928" w:rsidRPr="004B2B69">
        <w:rPr>
          <w:rFonts w:cs="Arial"/>
          <w:szCs w:val="20"/>
        </w:rPr>
        <w:t xml:space="preserve">and produce a </w:t>
      </w:r>
      <w:r w:rsidR="007E10B1" w:rsidRPr="004B2B69">
        <w:rPr>
          <w:rFonts w:cs="Arial"/>
          <w:szCs w:val="20"/>
        </w:rPr>
        <w:t>report</w:t>
      </w:r>
      <w:r w:rsidR="007E10B1">
        <w:rPr>
          <w:rFonts w:cs="Arial"/>
          <w:szCs w:val="20"/>
        </w:rPr>
        <w:t xml:space="preserve"> </w:t>
      </w:r>
      <w:r w:rsidR="005B4690">
        <w:rPr>
          <w:rFonts w:cs="Arial"/>
          <w:szCs w:val="20"/>
        </w:rPr>
        <w:t xml:space="preserve">to </w:t>
      </w:r>
      <w:r w:rsidR="007E10B1">
        <w:rPr>
          <w:rFonts w:cs="Arial"/>
          <w:szCs w:val="20"/>
        </w:rPr>
        <w:t>be tabled in Parliament.</w:t>
      </w:r>
      <w:r w:rsidR="00F3251D">
        <w:rPr>
          <w:rFonts w:cs="Arial"/>
          <w:szCs w:val="20"/>
        </w:rPr>
        <w:t xml:space="preserve"> KPMG</w:t>
      </w:r>
      <w:r w:rsidR="00253D89">
        <w:rPr>
          <w:rFonts w:cs="Arial"/>
          <w:szCs w:val="20"/>
        </w:rPr>
        <w:t>’s review commenced in early February 2022.</w:t>
      </w:r>
    </w:p>
    <w:p w14:paraId="6EE7D887" w14:textId="3FF28463" w:rsidR="007121F8" w:rsidRPr="007121F8" w:rsidRDefault="00656928" w:rsidP="00AB5DD7">
      <w:pPr>
        <w:pStyle w:val="BodyText1"/>
        <w:rPr>
          <w:rFonts w:cs="Arial"/>
          <w:szCs w:val="20"/>
        </w:rPr>
      </w:pPr>
      <w:r w:rsidRPr="004B2B69">
        <w:rPr>
          <w:rFonts w:cs="Arial"/>
          <w:szCs w:val="20"/>
        </w:rPr>
        <w:lastRenderedPageBreak/>
        <w:t xml:space="preserve">To </w:t>
      </w:r>
      <w:r w:rsidR="007E10B1">
        <w:rPr>
          <w:rFonts w:cs="Arial"/>
          <w:szCs w:val="20"/>
        </w:rPr>
        <w:t xml:space="preserve">inform </w:t>
      </w:r>
      <w:r w:rsidR="00BA5E79">
        <w:rPr>
          <w:rFonts w:cs="Arial"/>
          <w:szCs w:val="20"/>
        </w:rPr>
        <w:t>the</w:t>
      </w:r>
      <w:r w:rsidR="007E10B1">
        <w:rPr>
          <w:rFonts w:cs="Arial"/>
          <w:szCs w:val="20"/>
        </w:rPr>
        <w:t xml:space="preserve"> review, </w:t>
      </w:r>
      <w:r w:rsidR="00BA5E79">
        <w:rPr>
          <w:rFonts w:cs="Arial"/>
          <w:szCs w:val="20"/>
        </w:rPr>
        <w:t xml:space="preserve">KPMG </w:t>
      </w:r>
      <w:r w:rsidR="007502E7">
        <w:rPr>
          <w:rFonts w:cs="Arial"/>
          <w:szCs w:val="20"/>
        </w:rPr>
        <w:t>undertook</w:t>
      </w:r>
      <w:r w:rsidRPr="004B2B69">
        <w:rPr>
          <w:rFonts w:cs="Arial"/>
          <w:szCs w:val="20"/>
        </w:rPr>
        <w:t xml:space="preserve"> public consultation providing the opportunity for public submissions </w:t>
      </w:r>
      <w:r w:rsidR="00CC45CD">
        <w:rPr>
          <w:rFonts w:cs="Arial"/>
          <w:szCs w:val="20"/>
        </w:rPr>
        <w:t>from</w:t>
      </w:r>
      <w:r w:rsidRPr="004B2B69">
        <w:rPr>
          <w:rFonts w:cs="Arial"/>
          <w:szCs w:val="20"/>
        </w:rPr>
        <w:t xml:space="preserve"> </w:t>
      </w:r>
      <w:r w:rsidR="00093C3B">
        <w:rPr>
          <w:rFonts w:cs="Arial"/>
          <w:szCs w:val="20"/>
        </w:rPr>
        <w:t>social security</w:t>
      </w:r>
      <w:r w:rsidRPr="004B2B69">
        <w:rPr>
          <w:rFonts w:cs="Arial"/>
          <w:szCs w:val="20"/>
        </w:rPr>
        <w:t xml:space="preserve"> </w:t>
      </w:r>
      <w:r w:rsidR="003D2038">
        <w:rPr>
          <w:rFonts w:cs="Arial"/>
          <w:szCs w:val="20"/>
        </w:rPr>
        <w:t xml:space="preserve">payment </w:t>
      </w:r>
      <w:r w:rsidRPr="004B2B69">
        <w:rPr>
          <w:rFonts w:cs="Arial"/>
          <w:szCs w:val="20"/>
        </w:rPr>
        <w:t>recipients, experts in social security law</w:t>
      </w:r>
      <w:r w:rsidR="00CC45CD">
        <w:rPr>
          <w:rFonts w:cs="Arial"/>
          <w:szCs w:val="20"/>
        </w:rPr>
        <w:t xml:space="preserve">, </w:t>
      </w:r>
      <w:r w:rsidRPr="004B2B69">
        <w:rPr>
          <w:rFonts w:cs="Arial"/>
          <w:szCs w:val="20"/>
        </w:rPr>
        <w:t>including non-government organisations</w:t>
      </w:r>
      <w:r w:rsidR="00CC45CD">
        <w:rPr>
          <w:rFonts w:cs="Arial"/>
          <w:szCs w:val="20"/>
        </w:rPr>
        <w:t>,</w:t>
      </w:r>
      <w:r w:rsidRPr="004B2B69">
        <w:rPr>
          <w:rFonts w:cs="Arial"/>
          <w:szCs w:val="20"/>
        </w:rPr>
        <w:t xml:space="preserve"> and consultation with Services Australia and other agencies.</w:t>
      </w:r>
      <w:r w:rsidR="007E10B1">
        <w:rPr>
          <w:rFonts w:cs="Arial"/>
          <w:szCs w:val="20"/>
        </w:rPr>
        <w:t xml:space="preserve"> </w:t>
      </w:r>
      <w:r w:rsidR="00DC4C68">
        <w:rPr>
          <w:rFonts w:cs="Arial"/>
          <w:szCs w:val="20"/>
        </w:rPr>
        <w:t xml:space="preserve">This public consultation was primarily managed </w:t>
      </w:r>
      <w:r w:rsidR="007121F8" w:rsidRPr="007121F8">
        <w:rPr>
          <w:rFonts w:cs="Arial"/>
          <w:szCs w:val="20"/>
        </w:rPr>
        <w:t xml:space="preserve">through the DSS Engage </w:t>
      </w:r>
      <w:r w:rsidR="00FD7126">
        <w:rPr>
          <w:rFonts w:cs="Arial"/>
          <w:szCs w:val="20"/>
        </w:rPr>
        <w:t>platform</w:t>
      </w:r>
      <w:r w:rsidR="007121F8" w:rsidRPr="007121F8">
        <w:rPr>
          <w:rFonts w:cs="Arial"/>
          <w:szCs w:val="20"/>
        </w:rPr>
        <w:t xml:space="preserve"> to </w:t>
      </w:r>
      <w:r w:rsidR="00B83AF3">
        <w:rPr>
          <w:rFonts w:cs="Arial"/>
          <w:szCs w:val="20"/>
        </w:rPr>
        <w:t>support wider reach</w:t>
      </w:r>
      <w:r w:rsidR="007121F8" w:rsidRPr="007121F8">
        <w:rPr>
          <w:rFonts w:cs="Arial"/>
          <w:szCs w:val="20"/>
        </w:rPr>
        <w:t xml:space="preserve"> with the Australian public. </w:t>
      </w:r>
      <w:r w:rsidR="00605C55">
        <w:rPr>
          <w:rFonts w:cs="Arial"/>
          <w:szCs w:val="20"/>
        </w:rPr>
        <w:t xml:space="preserve">The DSS Engage platform is an online website accessible to any </w:t>
      </w:r>
      <w:r w:rsidR="00093C3B">
        <w:rPr>
          <w:rFonts w:cs="Arial"/>
          <w:szCs w:val="20"/>
        </w:rPr>
        <w:t>individual</w:t>
      </w:r>
      <w:r w:rsidR="00605C55">
        <w:rPr>
          <w:rFonts w:cs="Arial"/>
          <w:szCs w:val="20"/>
        </w:rPr>
        <w:t xml:space="preserve"> with access to the Internet</w:t>
      </w:r>
      <w:r w:rsidR="008451F2">
        <w:rPr>
          <w:rFonts w:cs="Arial"/>
          <w:szCs w:val="20"/>
        </w:rPr>
        <w:t>. The website</w:t>
      </w:r>
      <w:r w:rsidR="00605C55">
        <w:rPr>
          <w:rFonts w:cs="Arial"/>
          <w:szCs w:val="20"/>
        </w:rPr>
        <w:t xml:space="preserve"> </w:t>
      </w:r>
      <w:r w:rsidR="0085612D">
        <w:rPr>
          <w:rFonts w:cs="Arial"/>
          <w:szCs w:val="20"/>
        </w:rPr>
        <w:t>host</w:t>
      </w:r>
      <w:r w:rsidR="00A71621">
        <w:rPr>
          <w:rFonts w:cs="Arial"/>
          <w:szCs w:val="20"/>
        </w:rPr>
        <w:t xml:space="preserve">s a range </w:t>
      </w:r>
      <w:r w:rsidR="00477C3D">
        <w:rPr>
          <w:rFonts w:cs="Arial"/>
          <w:szCs w:val="20"/>
        </w:rPr>
        <w:t xml:space="preserve">of </w:t>
      </w:r>
      <w:r w:rsidR="0085612D">
        <w:rPr>
          <w:rFonts w:cs="Arial"/>
          <w:szCs w:val="20"/>
        </w:rPr>
        <w:t xml:space="preserve">topics </w:t>
      </w:r>
      <w:r w:rsidR="00A71621">
        <w:rPr>
          <w:rFonts w:cs="Arial"/>
          <w:szCs w:val="20"/>
        </w:rPr>
        <w:t xml:space="preserve">open for any member of the public to </w:t>
      </w:r>
      <w:r w:rsidR="00093C3B">
        <w:rPr>
          <w:rFonts w:cs="Arial"/>
          <w:szCs w:val="20"/>
        </w:rPr>
        <w:t>provide</w:t>
      </w:r>
      <w:r w:rsidR="00A71621">
        <w:rPr>
          <w:rFonts w:cs="Arial"/>
          <w:szCs w:val="20"/>
        </w:rPr>
        <w:t xml:space="preserve"> their feedback to help shape policy decisions.</w:t>
      </w:r>
      <w:r w:rsidR="0085612D">
        <w:rPr>
          <w:rFonts w:cs="Arial"/>
          <w:szCs w:val="20"/>
        </w:rPr>
        <w:t xml:space="preserve"> </w:t>
      </w:r>
      <w:r w:rsidR="00605C55">
        <w:rPr>
          <w:rFonts w:cs="Arial"/>
          <w:szCs w:val="20"/>
        </w:rPr>
        <w:t xml:space="preserve"> </w:t>
      </w:r>
    </w:p>
    <w:p w14:paraId="731A42CC" w14:textId="3B883561" w:rsidR="00E22ABF" w:rsidRDefault="00D71522" w:rsidP="006A6523">
      <w:pPr>
        <w:pStyle w:val="Heading2"/>
      </w:pPr>
      <w:bookmarkStart w:id="9" w:name="_Ref103678310"/>
      <w:bookmarkStart w:id="10" w:name="_Toc104983816"/>
      <w:r>
        <w:t>S</w:t>
      </w:r>
      <w:r w:rsidR="00E22ABF">
        <w:t>cope of</w:t>
      </w:r>
      <w:r w:rsidR="00E22ABF" w:rsidRPr="00D51B2A">
        <w:t xml:space="preserve"> </w:t>
      </w:r>
      <w:r w:rsidR="00E22ABF">
        <w:t>the</w:t>
      </w:r>
      <w:r w:rsidR="00E22ABF" w:rsidRPr="00D51B2A">
        <w:t xml:space="preserve"> </w:t>
      </w:r>
      <w:r w:rsidR="00E22ABF">
        <w:t>r</w:t>
      </w:r>
      <w:r w:rsidR="00E22ABF" w:rsidRPr="00D51B2A">
        <w:t>eview</w:t>
      </w:r>
      <w:bookmarkEnd w:id="9"/>
      <w:bookmarkEnd w:id="10"/>
      <w:r w:rsidR="00E22ABF" w:rsidRPr="00D51B2A">
        <w:t xml:space="preserve"> </w:t>
      </w:r>
    </w:p>
    <w:p w14:paraId="059A8D56" w14:textId="29DAFEC4" w:rsidR="00F57FFB" w:rsidRDefault="004556D8" w:rsidP="00A74EC8">
      <w:pPr>
        <w:pStyle w:val="Heading3"/>
      </w:pPr>
      <w:r>
        <w:t>Specific factors considered as part of the review</w:t>
      </w:r>
    </w:p>
    <w:p w14:paraId="0B414642" w14:textId="31F14CFB" w:rsidR="00217C75" w:rsidRPr="0012799E" w:rsidRDefault="00F57FFB" w:rsidP="00C0398F">
      <w:pPr>
        <w:pStyle w:val="BodyText1"/>
      </w:pPr>
      <w:r w:rsidRPr="004742D8">
        <w:t xml:space="preserve">There were four </w:t>
      </w:r>
      <w:r>
        <w:t xml:space="preserve">key </w:t>
      </w:r>
      <w:r w:rsidRPr="004742D8">
        <w:t>topics</w:t>
      </w:r>
      <w:r>
        <w:t xml:space="preserve"> in scope for the review, which were </w:t>
      </w:r>
      <w:r w:rsidR="000723EB">
        <w:t>explored</w:t>
      </w:r>
      <w:r>
        <w:t xml:space="preserve"> </w:t>
      </w:r>
      <w:r w:rsidRPr="004742D8">
        <w:t xml:space="preserve">with </w:t>
      </w:r>
      <w:r>
        <w:t>stakeholders</w:t>
      </w:r>
      <w:r w:rsidRPr="004742D8">
        <w:t xml:space="preserve"> to understand and assess the impact of the </w:t>
      </w:r>
      <w:r w:rsidR="000E57CE">
        <w:t>change of income assessment model</w:t>
      </w:r>
      <w:r w:rsidRPr="004742D8">
        <w:t xml:space="preserve">. The key questions </w:t>
      </w:r>
      <w:r w:rsidR="004D6037">
        <w:t>explored</w:t>
      </w:r>
      <w:r w:rsidR="001E0A53">
        <w:t xml:space="preserve"> wi</w:t>
      </w:r>
      <w:r w:rsidR="001E0A53" w:rsidRPr="0027632B">
        <w:t>th</w:t>
      </w:r>
      <w:r w:rsidRPr="0027632B">
        <w:t xml:space="preserve"> stakeholders </w:t>
      </w:r>
      <w:r w:rsidR="001E0A53" w:rsidRPr="0027632B">
        <w:t>have</w:t>
      </w:r>
      <w:r w:rsidRPr="0027632B">
        <w:t xml:space="preserve"> been outlined </w:t>
      </w:r>
      <w:r w:rsidR="00092039" w:rsidRPr="0027632B">
        <w:t xml:space="preserve">in </w:t>
      </w:r>
      <w:r w:rsidR="00E07FE7">
        <w:fldChar w:fldCharType="begin"/>
      </w:r>
      <w:r w:rsidR="00E07FE7">
        <w:instrText xml:space="preserve"> REF _Ref103931122 \h </w:instrText>
      </w:r>
      <w:r w:rsidR="00E07FE7">
        <w:fldChar w:fldCharType="separate"/>
      </w:r>
      <w:r w:rsidR="00E07FE7" w:rsidRPr="00C0398F">
        <w:t xml:space="preserve">Table </w:t>
      </w:r>
      <w:r w:rsidR="00E07FE7">
        <w:rPr>
          <w:noProof/>
        </w:rPr>
        <w:t>2</w:t>
      </w:r>
      <w:r w:rsidR="00E07FE7" w:rsidRPr="00C0398F">
        <w:t>: Key consultation topics explored with stakeholders</w:t>
      </w:r>
      <w:r w:rsidR="00E07FE7">
        <w:fldChar w:fldCharType="end"/>
      </w:r>
      <w:r w:rsidR="00E07FE7">
        <w:t>.</w:t>
      </w:r>
    </w:p>
    <w:p w14:paraId="37D33B4E" w14:textId="7C073948" w:rsidR="00C0398F" w:rsidRPr="00C0398F" w:rsidRDefault="00C0398F" w:rsidP="00C0398F">
      <w:pPr>
        <w:pStyle w:val="Caption"/>
        <w:keepNext/>
        <w:rPr>
          <w:color w:val="auto"/>
        </w:rPr>
      </w:pPr>
      <w:bookmarkStart w:id="11" w:name="_Ref103931122"/>
      <w:r w:rsidRPr="00C0398F">
        <w:rPr>
          <w:color w:val="auto"/>
        </w:rPr>
        <w:t xml:space="preserve">Table </w:t>
      </w:r>
      <w:r w:rsidRPr="00C0398F">
        <w:rPr>
          <w:color w:val="auto"/>
        </w:rPr>
        <w:fldChar w:fldCharType="begin"/>
      </w:r>
      <w:r w:rsidRPr="00C0398F">
        <w:rPr>
          <w:color w:val="auto"/>
        </w:rPr>
        <w:instrText xml:space="preserve"> SEQ Table \* ARABIC </w:instrText>
      </w:r>
      <w:r w:rsidRPr="00C0398F">
        <w:rPr>
          <w:color w:val="auto"/>
        </w:rPr>
        <w:fldChar w:fldCharType="separate"/>
      </w:r>
      <w:r w:rsidR="004969AE">
        <w:rPr>
          <w:noProof/>
          <w:color w:val="auto"/>
        </w:rPr>
        <w:t>2</w:t>
      </w:r>
      <w:r w:rsidRPr="00C0398F">
        <w:rPr>
          <w:color w:val="auto"/>
        </w:rPr>
        <w:fldChar w:fldCharType="end"/>
      </w:r>
      <w:r w:rsidRPr="00C0398F">
        <w:rPr>
          <w:color w:val="auto"/>
        </w:rPr>
        <w:t>: Key consultation topics explored with stakeholders</w:t>
      </w:r>
      <w:bookmarkEnd w:id="11"/>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2: Key consultation topics explored with stakeholders"/>
        <w:tblDescription w:val="Table 2 summarises the key consultation topics explored with stakeholders. The Table has two columns. Column 1 lists the four key topics which were explored with stakeholders including experience with the transition from the earned income model to the paid income model, experiences since the change of income assessment model and effectiveness of paid income model, unintended consequences, and impact on payments for people on a social security pension. Column 2 lists the key questions asked of stakeholders under these four topics. "/>
      </w:tblPr>
      <w:tblGrid>
        <w:gridCol w:w="2552"/>
        <w:gridCol w:w="6433"/>
      </w:tblGrid>
      <w:tr w:rsidR="00F57FFB" w:rsidRPr="00F428A3" w14:paraId="49AB1C23" w14:textId="77777777" w:rsidTr="00857DE3">
        <w:trPr>
          <w:trHeight w:val="502"/>
        </w:trPr>
        <w:tc>
          <w:tcPr>
            <w:tcW w:w="2552" w:type="dxa"/>
            <w:vAlign w:val="center"/>
          </w:tcPr>
          <w:p w14:paraId="3601C259" w14:textId="77777777" w:rsidR="00F57FFB" w:rsidRPr="00F428A3" w:rsidRDefault="00F57FFB" w:rsidP="00857DE3">
            <w:pPr>
              <w:pStyle w:val="Tableheading"/>
            </w:pPr>
            <w:r w:rsidRPr="00F428A3">
              <w:rPr>
                <w:lang w:eastAsia="en-AU"/>
              </w:rPr>
              <w:t>Topics consulted on</w:t>
            </w:r>
          </w:p>
        </w:tc>
        <w:tc>
          <w:tcPr>
            <w:tcW w:w="6433" w:type="dxa"/>
            <w:vAlign w:val="center"/>
          </w:tcPr>
          <w:p w14:paraId="7C89B329" w14:textId="77777777" w:rsidR="00F57FFB" w:rsidRPr="00F428A3" w:rsidRDefault="00F57FFB" w:rsidP="00857DE3">
            <w:pPr>
              <w:pStyle w:val="Tableheading"/>
            </w:pPr>
            <w:r>
              <w:t>Questions explored</w:t>
            </w:r>
          </w:p>
        </w:tc>
      </w:tr>
      <w:tr w:rsidR="00F57FFB" w:rsidRPr="00F428A3" w14:paraId="47352225" w14:textId="77777777" w:rsidTr="00857DE3">
        <w:trPr>
          <w:trHeight w:val="359"/>
        </w:trPr>
        <w:tc>
          <w:tcPr>
            <w:tcW w:w="2552" w:type="dxa"/>
          </w:tcPr>
          <w:p w14:paraId="44634873" w14:textId="4DFDB2F9" w:rsidR="00F57FFB" w:rsidRPr="003C4F73" w:rsidRDefault="00EB1890" w:rsidP="00857DE3">
            <w:pPr>
              <w:pStyle w:val="Tabletext"/>
              <w:rPr>
                <w:b/>
                <w:bCs/>
                <w:color w:val="000000" w:themeColor="text1"/>
              </w:rPr>
            </w:pPr>
            <w:r>
              <w:rPr>
                <w:b/>
                <w:bCs/>
              </w:rPr>
              <w:t>Experience</w:t>
            </w:r>
            <w:r w:rsidR="00EE1649">
              <w:rPr>
                <w:b/>
                <w:bCs/>
              </w:rPr>
              <w:t xml:space="preserve"> </w:t>
            </w:r>
            <w:r>
              <w:rPr>
                <w:b/>
                <w:bCs/>
              </w:rPr>
              <w:t>with the t</w:t>
            </w:r>
            <w:r w:rsidR="00F57FFB" w:rsidRPr="003C4F73">
              <w:rPr>
                <w:b/>
                <w:bCs/>
              </w:rPr>
              <w:t>ransition from the earned income model to the paid income model</w:t>
            </w:r>
          </w:p>
        </w:tc>
        <w:tc>
          <w:tcPr>
            <w:tcW w:w="6433" w:type="dxa"/>
          </w:tcPr>
          <w:p w14:paraId="2FDF4689" w14:textId="7385CE70" w:rsidR="00F57FFB" w:rsidRPr="00F428A3" w:rsidRDefault="001E0A53" w:rsidP="00857DE3">
            <w:pPr>
              <w:pStyle w:val="Tabletext"/>
            </w:pPr>
            <w:r>
              <w:t>H</w:t>
            </w:r>
            <w:r w:rsidR="00F57FFB" w:rsidRPr="00F428A3">
              <w:t xml:space="preserve">ow effectively people were supported through the transition from the former </w:t>
            </w:r>
            <w:r w:rsidR="00F57FFB">
              <w:t>earned income model</w:t>
            </w:r>
            <w:r w:rsidR="00F57FFB" w:rsidRPr="00F428A3">
              <w:t xml:space="preserve"> to the </w:t>
            </w:r>
            <w:r w:rsidR="00F57FFB">
              <w:t xml:space="preserve">paid income model </w:t>
            </w:r>
            <w:r w:rsidR="00F57FFB" w:rsidRPr="00F428A3">
              <w:t>and how easy it was to navigate this change</w:t>
            </w:r>
            <w:r w:rsidR="00E95336">
              <w:t>:</w:t>
            </w:r>
          </w:p>
          <w:p w14:paraId="23A1B8AF" w14:textId="4A1B09A6" w:rsidR="00F57FFB" w:rsidRPr="00F428A3" w:rsidRDefault="00F57FFB" w:rsidP="00857DE3">
            <w:pPr>
              <w:pStyle w:val="TableBullet1"/>
            </w:pPr>
            <w:r w:rsidRPr="00F428A3">
              <w:t xml:space="preserve">Do social security </w:t>
            </w:r>
            <w:r w:rsidR="003D2038">
              <w:t xml:space="preserve">payment </w:t>
            </w:r>
            <w:r w:rsidRPr="00F428A3">
              <w:t>recipients recall hearing about or being notified about the change</w:t>
            </w:r>
            <w:r w:rsidR="000E57CE">
              <w:t xml:space="preserve"> of income assessment model</w:t>
            </w:r>
            <w:r w:rsidRPr="00F428A3">
              <w:t xml:space="preserve"> before implementation? How do they recall hearing about the change? </w:t>
            </w:r>
          </w:p>
          <w:p w14:paraId="0E36CCEC" w14:textId="3BAEA9A6" w:rsidR="00F57FFB" w:rsidRPr="00F428A3" w:rsidRDefault="00F57FFB" w:rsidP="00857DE3">
            <w:pPr>
              <w:pStyle w:val="TableBullet1"/>
            </w:pPr>
            <w:r w:rsidRPr="00F428A3">
              <w:t xml:space="preserve">To what extent did recipients feel adequately informed about the change </w:t>
            </w:r>
            <w:r w:rsidR="00C77015">
              <w:t>of income assessment model</w:t>
            </w:r>
            <w:r w:rsidRPr="00F428A3">
              <w:t>?</w:t>
            </w:r>
          </w:p>
          <w:p w14:paraId="676027D0" w14:textId="77777777" w:rsidR="00F57FFB" w:rsidRPr="00F428A3" w:rsidRDefault="00F57FFB" w:rsidP="00857DE3">
            <w:pPr>
              <w:pStyle w:val="TableBullet1"/>
            </w:pPr>
            <w:r w:rsidRPr="00F428A3">
              <w:t>Do recipients recall having any issues with reporting employment income during the transition period (December 2020)? If so, what issues did they have?</w:t>
            </w:r>
          </w:p>
          <w:p w14:paraId="6EE44B99" w14:textId="77777777" w:rsidR="00F57FFB" w:rsidRPr="00F428A3" w:rsidRDefault="00F57FFB" w:rsidP="00857DE3">
            <w:pPr>
              <w:pStyle w:val="TableBullet1"/>
            </w:pPr>
            <w:r w:rsidRPr="00F428A3">
              <w:t xml:space="preserve">What could have been done to improve communication about the transition to the </w:t>
            </w:r>
            <w:r>
              <w:t>paid income model</w:t>
            </w:r>
            <w:r w:rsidRPr="00F428A3">
              <w:t xml:space="preserve"> of reporting employment income?</w:t>
            </w:r>
          </w:p>
        </w:tc>
      </w:tr>
      <w:tr w:rsidR="00F57FFB" w:rsidRPr="00F428A3" w14:paraId="0801B5F9" w14:textId="77777777" w:rsidTr="00857DE3">
        <w:trPr>
          <w:trHeight w:val="359"/>
        </w:trPr>
        <w:tc>
          <w:tcPr>
            <w:tcW w:w="2552" w:type="dxa"/>
          </w:tcPr>
          <w:p w14:paraId="5C6BBF21" w14:textId="35A89F12" w:rsidR="00F57FFB" w:rsidRPr="003C4F73" w:rsidRDefault="00F57FFB" w:rsidP="00857DE3">
            <w:pPr>
              <w:pStyle w:val="Tabletext"/>
              <w:rPr>
                <w:b/>
                <w:bCs/>
                <w:color w:val="000000" w:themeColor="text1"/>
              </w:rPr>
            </w:pPr>
            <w:r w:rsidRPr="003C4F73">
              <w:rPr>
                <w:b/>
                <w:bCs/>
              </w:rPr>
              <w:t xml:space="preserve">Experiences since the change </w:t>
            </w:r>
            <w:r w:rsidR="00D671CA">
              <w:rPr>
                <w:b/>
                <w:bCs/>
              </w:rPr>
              <w:t xml:space="preserve">of income assessment model </w:t>
            </w:r>
            <w:r w:rsidR="00DD77F3">
              <w:rPr>
                <w:b/>
                <w:bCs/>
              </w:rPr>
              <w:t>and</w:t>
            </w:r>
            <w:r w:rsidRPr="003C4F73">
              <w:rPr>
                <w:b/>
                <w:bCs/>
              </w:rPr>
              <w:t xml:space="preserve"> effectiveness of paid income model</w:t>
            </w:r>
          </w:p>
        </w:tc>
        <w:tc>
          <w:tcPr>
            <w:tcW w:w="6433" w:type="dxa"/>
          </w:tcPr>
          <w:p w14:paraId="2C903F17" w14:textId="578B5032" w:rsidR="00F57FFB" w:rsidRPr="00F428A3" w:rsidRDefault="00E95336" w:rsidP="00857DE3">
            <w:pPr>
              <w:pStyle w:val="Tabletext"/>
            </w:pPr>
            <w:r>
              <w:t>Wh</w:t>
            </w:r>
            <w:r w:rsidR="00F57FFB" w:rsidRPr="00F428A3">
              <w:t xml:space="preserve">ether the </w:t>
            </w:r>
            <w:r w:rsidR="00C77015">
              <w:t>change of income assessment model</w:t>
            </w:r>
            <w:r w:rsidR="00F57FFB" w:rsidRPr="00F428A3">
              <w:t xml:space="preserve"> has made income reporting simpler or more complex for recipients. Under the current </w:t>
            </w:r>
            <w:r w:rsidR="00F57FFB">
              <w:t>paid income model</w:t>
            </w:r>
            <w:r w:rsidR="00F57FFB" w:rsidRPr="00F428A3">
              <w:t xml:space="preserve">, KPMG sought to assess how easy it </w:t>
            </w:r>
            <w:r w:rsidR="004E5B2F">
              <w:t>wa</w:t>
            </w:r>
            <w:r w:rsidR="00F57FFB" w:rsidRPr="00F428A3">
              <w:t xml:space="preserve">s for payment recipients to understand communication and information about how to report employment income. </w:t>
            </w:r>
          </w:p>
          <w:p w14:paraId="34D110A0" w14:textId="095455D4" w:rsidR="00F57FFB" w:rsidRPr="00F428A3" w:rsidRDefault="00F57FFB" w:rsidP="00857DE3">
            <w:pPr>
              <w:pStyle w:val="TableBullet1"/>
            </w:pPr>
            <w:r w:rsidRPr="00F428A3">
              <w:t>How d</w:t>
            </w:r>
            <w:r w:rsidR="004E5B2F">
              <w:t>id</w:t>
            </w:r>
            <w:r w:rsidRPr="00F428A3">
              <w:t xml:space="preserve"> recipients typically report employment income to Centrelink?</w:t>
            </w:r>
          </w:p>
          <w:p w14:paraId="5377979A" w14:textId="0E0FBB04" w:rsidR="00F57FFB" w:rsidRPr="00F428A3" w:rsidRDefault="00F57FFB" w:rsidP="00857DE3">
            <w:pPr>
              <w:pStyle w:val="TableBullet1"/>
            </w:pPr>
            <w:r w:rsidRPr="00F428A3">
              <w:t xml:space="preserve">How satisfied are recipients with the </w:t>
            </w:r>
            <w:r>
              <w:t>paid income model</w:t>
            </w:r>
            <w:r w:rsidRPr="00F428A3">
              <w:t>? Is the process easy, well-understood, meeting individual needs and time efficient?</w:t>
            </w:r>
          </w:p>
          <w:p w14:paraId="2DFFC1BE" w14:textId="2E7AC2AB" w:rsidR="00F57FFB" w:rsidRPr="00F428A3" w:rsidRDefault="00F57FFB" w:rsidP="00857DE3">
            <w:pPr>
              <w:pStyle w:val="TableBullet1"/>
            </w:pPr>
            <w:r w:rsidRPr="00F428A3">
              <w:t xml:space="preserve">Do recipients agree that the </w:t>
            </w:r>
            <w:r w:rsidR="00C77015">
              <w:t>change</w:t>
            </w:r>
            <w:r w:rsidRPr="00F428A3">
              <w:t xml:space="preserve"> has made reporting; easier, more accurate, suitable to meeting their individual needs and less time consuming? Is it materially different from how recipients used to report?</w:t>
            </w:r>
          </w:p>
          <w:p w14:paraId="47B864D9" w14:textId="4F8468E5" w:rsidR="00F57FFB" w:rsidRPr="00F428A3" w:rsidRDefault="00F57FFB" w:rsidP="00857DE3">
            <w:pPr>
              <w:pStyle w:val="TableBullet1"/>
            </w:pPr>
            <w:r w:rsidRPr="00F428A3">
              <w:t xml:space="preserve">To what extent did the </w:t>
            </w:r>
            <w:r w:rsidR="00C77015">
              <w:t>change of income assessment model</w:t>
            </w:r>
            <w:r w:rsidRPr="00F428A3">
              <w:t xml:space="preserve"> impact the complexity of the income reporting process? </w:t>
            </w:r>
          </w:p>
        </w:tc>
      </w:tr>
      <w:tr w:rsidR="00F57FFB" w:rsidRPr="00F428A3" w14:paraId="14A02E20" w14:textId="77777777" w:rsidTr="00857DE3">
        <w:trPr>
          <w:trHeight w:val="359"/>
        </w:trPr>
        <w:tc>
          <w:tcPr>
            <w:tcW w:w="2552" w:type="dxa"/>
          </w:tcPr>
          <w:p w14:paraId="44AEBC77" w14:textId="77777777" w:rsidR="00F57FFB" w:rsidRPr="003C4F73" w:rsidRDefault="00F57FFB" w:rsidP="00857DE3">
            <w:pPr>
              <w:pStyle w:val="Tabletext"/>
              <w:rPr>
                <w:b/>
                <w:bCs/>
                <w:color w:val="000000" w:themeColor="text1"/>
              </w:rPr>
            </w:pPr>
            <w:r w:rsidRPr="003C4F73">
              <w:rPr>
                <w:b/>
                <w:bCs/>
                <w:color w:val="000000" w:themeColor="text1"/>
              </w:rPr>
              <w:t>Unintended consequences</w:t>
            </w:r>
          </w:p>
          <w:p w14:paraId="7E81051B" w14:textId="77777777" w:rsidR="00F57FFB" w:rsidRPr="003C4F73" w:rsidRDefault="00F57FFB" w:rsidP="00857DE3">
            <w:pPr>
              <w:pStyle w:val="Tabletext"/>
              <w:rPr>
                <w:b/>
                <w:bCs/>
                <w:color w:val="000000" w:themeColor="text1"/>
              </w:rPr>
            </w:pPr>
          </w:p>
        </w:tc>
        <w:tc>
          <w:tcPr>
            <w:tcW w:w="6433" w:type="dxa"/>
          </w:tcPr>
          <w:p w14:paraId="36ADE1E2" w14:textId="528AD9F6" w:rsidR="00F57FFB" w:rsidRPr="00D26FA2" w:rsidRDefault="00E95336" w:rsidP="00857DE3">
            <w:pPr>
              <w:pStyle w:val="Tabletext"/>
            </w:pPr>
            <w:r>
              <w:t>W</w:t>
            </w:r>
            <w:r w:rsidR="00F57FFB" w:rsidRPr="00D26FA2">
              <w:t xml:space="preserve">hether the </w:t>
            </w:r>
            <w:r w:rsidR="00C77015">
              <w:t>change of income assessment model</w:t>
            </w:r>
            <w:r w:rsidR="00F57FFB" w:rsidRPr="00D26FA2">
              <w:t xml:space="preserve"> had any unintended consequences for </w:t>
            </w:r>
            <w:r w:rsidR="00AE66C2">
              <w:t>those affected</w:t>
            </w:r>
            <w:r w:rsidR="00F57FFB" w:rsidRPr="00D26FA2">
              <w:t xml:space="preserve"> resulting in complexity rather than simplification.</w:t>
            </w:r>
          </w:p>
          <w:p w14:paraId="47BF655B" w14:textId="01253088" w:rsidR="00F57FFB" w:rsidRPr="00F428A3" w:rsidRDefault="00F57FFB" w:rsidP="00857DE3">
            <w:pPr>
              <w:pStyle w:val="TableBullet1"/>
            </w:pPr>
            <w:r w:rsidRPr="00F428A3">
              <w:lastRenderedPageBreak/>
              <w:t>For those that describe</w:t>
            </w:r>
            <w:r w:rsidR="004E5B2F">
              <w:t>d</w:t>
            </w:r>
            <w:r w:rsidRPr="00F428A3">
              <w:t xml:space="preserve"> the change </w:t>
            </w:r>
            <w:r>
              <w:t>having</w:t>
            </w:r>
            <w:r w:rsidRPr="00F428A3">
              <w:t xml:space="preserve"> made </w:t>
            </w:r>
            <w:r w:rsidR="00AE66C2">
              <w:t xml:space="preserve">income </w:t>
            </w:r>
            <w:r w:rsidRPr="00F428A3">
              <w:t xml:space="preserve">reporting more complex – in what ways? </w:t>
            </w:r>
            <w:r w:rsidR="004E5B2F">
              <w:t>Wa</w:t>
            </w:r>
            <w:r w:rsidRPr="00F428A3">
              <w:t>s this consistent across all cohorts or unique to some individuals?</w:t>
            </w:r>
          </w:p>
        </w:tc>
      </w:tr>
      <w:tr w:rsidR="00F57FFB" w:rsidRPr="00F428A3" w14:paraId="3D33D794" w14:textId="77777777" w:rsidTr="00857DE3">
        <w:trPr>
          <w:trHeight w:val="359"/>
        </w:trPr>
        <w:tc>
          <w:tcPr>
            <w:tcW w:w="2552" w:type="dxa"/>
          </w:tcPr>
          <w:p w14:paraId="601641D6" w14:textId="18C7D247" w:rsidR="00F57FFB" w:rsidRPr="003C4F73" w:rsidRDefault="00EB1890" w:rsidP="00857DE3">
            <w:pPr>
              <w:pStyle w:val="Tabletext"/>
              <w:rPr>
                <w:b/>
                <w:bCs/>
                <w:color w:val="000000" w:themeColor="text1"/>
              </w:rPr>
            </w:pPr>
            <w:r>
              <w:rPr>
                <w:b/>
                <w:bCs/>
              </w:rPr>
              <w:lastRenderedPageBreak/>
              <w:t>Impact on</w:t>
            </w:r>
            <w:r w:rsidR="00DF0FE1">
              <w:rPr>
                <w:b/>
                <w:bCs/>
              </w:rPr>
              <w:t xml:space="preserve"> payments </w:t>
            </w:r>
            <w:r w:rsidR="00F57FFB" w:rsidRPr="003C4F73">
              <w:rPr>
                <w:b/>
                <w:bCs/>
              </w:rPr>
              <w:t xml:space="preserve">for people on a social security pension </w:t>
            </w:r>
          </w:p>
        </w:tc>
        <w:tc>
          <w:tcPr>
            <w:tcW w:w="6433" w:type="dxa"/>
          </w:tcPr>
          <w:p w14:paraId="50E8A222" w14:textId="050E4803" w:rsidR="00F57FFB" w:rsidRPr="006B2376" w:rsidRDefault="003725EC" w:rsidP="00857DE3">
            <w:pPr>
              <w:pStyle w:val="Tabletext"/>
            </w:pPr>
            <w:r w:rsidRPr="006B2376">
              <w:t>The</w:t>
            </w:r>
            <w:r w:rsidR="00F57FFB" w:rsidRPr="006B2376">
              <w:t xml:space="preserve"> impact of </w:t>
            </w:r>
            <w:r w:rsidRPr="006B2376">
              <w:t xml:space="preserve">the </w:t>
            </w:r>
            <w:r w:rsidR="00C77015">
              <w:t>change of income assessment model</w:t>
            </w:r>
            <w:r w:rsidR="00F57FFB" w:rsidRPr="006B2376">
              <w:t xml:space="preserve"> on the reporting process for affected recipients. Given those affected under clause1073B do not need to report their income each fortnight or month to Centrelink, the change to how to report earned income </w:t>
            </w:r>
            <w:r w:rsidR="004E5B2F" w:rsidRPr="006B2376">
              <w:t>wa</w:t>
            </w:r>
            <w:r w:rsidR="00F57FFB" w:rsidRPr="006B2376">
              <w:t xml:space="preserve">s not observed by the pension recipient. </w:t>
            </w:r>
          </w:p>
          <w:p w14:paraId="07A0C1B4" w14:textId="59D36A26" w:rsidR="00F57FFB" w:rsidRPr="006B2376" w:rsidRDefault="00F57FFB" w:rsidP="00857DE3">
            <w:pPr>
              <w:pStyle w:val="TableBullet1"/>
            </w:pPr>
            <w:r w:rsidRPr="006B2376">
              <w:t xml:space="preserve">To what extent has the pensioner payment reporting </w:t>
            </w:r>
            <w:r w:rsidR="006B2376" w:rsidRPr="006B2376">
              <w:t>clause</w:t>
            </w:r>
            <w:r w:rsidRPr="006B2376">
              <w:t xml:space="preserve"> impacted the complexity of the reporting process</w:t>
            </w:r>
            <w:r w:rsidR="006B2376" w:rsidRPr="006B2376">
              <w:t xml:space="preserve"> for affected recipients?</w:t>
            </w:r>
          </w:p>
        </w:tc>
      </w:tr>
    </w:tbl>
    <w:p w14:paraId="4E116E17" w14:textId="77777777" w:rsidR="00527BA3" w:rsidRDefault="00527BA3" w:rsidP="0021431C">
      <w:pPr>
        <w:pStyle w:val="BodyText1"/>
      </w:pPr>
    </w:p>
    <w:p w14:paraId="01B05627" w14:textId="15BA7EB8" w:rsidR="00DC417F" w:rsidRDefault="000E30A1" w:rsidP="00A74EC8">
      <w:pPr>
        <w:pStyle w:val="Heading3"/>
      </w:pPr>
      <w:r>
        <w:t xml:space="preserve">Managing </w:t>
      </w:r>
      <w:r w:rsidR="009043CB">
        <w:t>out of scope feedback</w:t>
      </w:r>
    </w:p>
    <w:p w14:paraId="06C9B12C" w14:textId="1D7E8774" w:rsidR="006A2B8F" w:rsidRDefault="00E01BC5" w:rsidP="003B798F">
      <w:pPr>
        <w:pStyle w:val="BodyText1"/>
      </w:pPr>
      <w:r>
        <w:t>S</w:t>
      </w:r>
      <w:r w:rsidR="00E22ABF" w:rsidRPr="00A928E1">
        <w:t xml:space="preserve">ocial security is a complex policy environment with a range of factors that influence </w:t>
      </w:r>
      <w:r w:rsidR="00B61D1A">
        <w:t xml:space="preserve">social security </w:t>
      </w:r>
      <w:r w:rsidR="003D2038">
        <w:t xml:space="preserve">payment </w:t>
      </w:r>
      <w:r w:rsidR="00E22ABF" w:rsidRPr="00A928E1">
        <w:t>recipients</w:t>
      </w:r>
      <w:r w:rsidR="00765EA1">
        <w:t>’</w:t>
      </w:r>
      <w:r w:rsidR="00E22ABF" w:rsidRPr="00A928E1">
        <w:t xml:space="preserve"> experiences. </w:t>
      </w:r>
      <w:r w:rsidR="00103EA6">
        <w:t xml:space="preserve">During the first six months of 2020, there were numerous changes </w:t>
      </w:r>
      <w:r w:rsidR="00C77015">
        <w:t>related to social security and the income reporting proce</w:t>
      </w:r>
      <w:r w:rsidR="00B86B72">
        <w:t>ss</w:t>
      </w:r>
      <w:r w:rsidR="0026400D">
        <w:t xml:space="preserve"> and the circumstances in which it is delivered. This included the significant increase in income support recipients resulting from the COVID-19 pandemic.</w:t>
      </w:r>
    </w:p>
    <w:p w14:paraId="5090EDF9" w14:textId="7A542B63" w:rsidR="00DC417F" w:rsidRDefault="00AE7854" w:rsidP="00A74EC8">
      <w:pPr>
        <w:pStyle w:val="Heading4"/>
      </w:pPr>
      <w:r>
        <w:t>Topics o</w:t>
      </w:r>
      <w:r w:rsidR="00284BC8">
        <w:t>ut</w:t>
      </w:r>
      <w:r w:rsidR="00F12B9C">
        <w:t xml:space="preserve"> </w:t>
      </w:r>
      <w:r w:rsidR="00284BC8">
        <w:t>of</w:t>
      </w:r>
      <w:r w:rsidR="00F12B9C">
        <w:t xml:space="preserve"> </w:t>
      </w:r>
      <w:r w:rsidR="00284BC8">
        <w:t xml:space="preserve">scope </w:t>
      </w:r>
      <w:r>
        <w:t>for the review</w:t>
      </w:r>
    </w:p>
    <w:p w14:paraId="4EDC5A17" w14:textId="7126BB55" w:rsidR="00E22ABF" w:rsidRPr="00A928E1" w:rsidRDefault="00AE4F3B" w:rsidP="00774BF1">
      <w:pPr>
        <w:pStyle w:val="BodyText1"/>
      </w:pPr>
      <w:r>
        <w:t xml:space="preserve">Reviewing policy </w:t>
      </w:r>
      <w:r w:rsidR="006F3F3F">
        <w:t>(by DSS)</w:t>
      </w:r>
      <w:r>
        <w:t xml:space="preserve"> and service delivery </w:t>
      </w:r>
      <w:r w:rsidR="006F3F3F">
        <w:t>(by Services Australia)</w:t>
      </w:r>
      <w:r>
        <w:t xml:space="preserve"> </w:t>
      </w:r>
      <w:r w:rsidR="00E22ABF" w:rsidRPr="00A928E1">
        <w:t xml:space="preserve">which </w:t>
      </w:r>
      <w:r w:rsidR="00DA0A5B">
        <w:t>is</w:t>
      </w:r>
      <w:r w:rsidR="00E22ABF" w:rsidRPr="00A928E1">
        <w:t xml:space="preserve"> not directly related to the </w:t>
      </w:r>
      <w:r w:rsidR="00E22ABF">
        <w:t>Act</w:t>
      </w:r>
      <w:r w:rsidR="005E2189">
        <w:rPr>
          <w:i/>
          <w:iCs/>
        </w:rPr>
        <w:t xml:space="preserve"> </w:t>
      </w:r>
      <w:r w:rsidR="00E22ABF">
        <w:t>was</w:t>
      </w:r>
      <w:r w:rsidR="00E22ABF" w:rsidRPr="00A928E1">
        <w:t xml:space="preserve"> not in scope</w:t>
      </w:r>
      <w:r w:rsidR="00E372E2">
        <w:t xml:space="preserve"> for this Review</w:t>
      </w:r>
      <w:r w:rsidR="00E22ABF" w:rsidRPr="00A928E1">
        <w:t>.</w:t>
      </w:r>
      <w:r w:rsidR="00DB34C0">
        <w:t xml:space="preserve"> </w:t>
      </w:r>
      <w:r w:rsidR="008231F6">
        <w:t>This includes</w:t>
      </w:r>
      <w:r w:rsidR="00DB34C0">
        <w:t xml:space="preserve"> </w:t>
      </w:r>
      <w:r w:rsidR="00323C7C">
        <w:t>the impacts of other changes occurring at a similar time</w:t>
      </w:r>
      <w:r w:rsidR="008231F6">
        <w:t>.</w:t>
      </w:r>
    </w:p>
    <w:p w14:paraId="1F5B4CD7" w14:textId="26E57F2E" w:rsidR="00E05EA5" w:rsidRDefault="00E22ABF" w:rsidP="00AB5DD7">
      <w:pPr>
        <w:pStyle w:val="BodyText1"/>
      </w:pPr>
      <w:r w:rsidRPr="004D3CF8">
        <w:t xml:space="preserve">It was expected </w:t>
      </w:r>
      <w:r w:rsidRPr="00A928E1">
        <w:t>feedback on</w:t>
      </w:r>
      <w:r w:rsidR="00781AEE">
        <w:t xml:space="preserve"> these or</w:t>
      </w:r>
      <w:r w:rsidRPr="00A928E1">
        <w:t xml:space="preserve"> other topics related to </w:t>
      </w:r>
      <w:r w:rsidR="003B4E94">
        <w:t>social security payments more broadly</w:t>
      </w:r>
      <w:r w:rsidR="006C5A1B">
        <w:t xml:space="preserve"> may </w:t>
      </w:r>
      <w:r w:rsidR="00E2281E">
        <w:t>be</w:t>
      </w:r>
      <w:r w:rsidR="006C5A1B">
        <w:t xml:space="preserve"> received</w:t>
      </w:r>
      <w:r>
        <w:t xml:space="preserve">. </w:t>
      </w:r>
      <w:r w:rsidRPr="00A928E1">
        <w:t xml:space="preserve">Feedback which </w:t>
      </w:r>
      <w:r w:rsidR="00555D84">
        <w:t>has</w:t>
      </w:r>
      <w:r w:rsidRPr="00A928E1">
        <w:t xml:space="preserve"> </w:t>
      </w:r>
      <w:r w:rsidR="00555D84">
        <w:t xml:space="preserve">been </w:t>
      </w:r>
      <w:r w:rsidRPr="00A928E1">
        <w:t xml:space="preserve">deemed </w:t>
      </w:r>
      <w:r>
        <w:t>out of scope</w:t>
      </w:r>
      <w:r w:rsidRPr="00A928E1">
        <w:t xml:space="preserve"> but relevant to providing a contextual understanding of </w:t>
      </w:r>
      <w:r>
        <w:t>stakeholder</w:t>
      </w:r>
      <w:r w:rsidRPr="00A928E1">
        <w:t xml:space="preserve"> feedback </w:t>
      </w:r>
      <w:r>
        <w:t xml:space="preserve">has been </w:t>
      </w:r>
      <w:r w:rsidRPr="00A928E1">
        <w:t>included in th</w:t>
      </w:r>
      <w:r>
        <w:t>is</w:t>
      </w:r>
      <w:r w:rsidRPr="00A928E1">
        <w:t xml:space="preserve"> report.</w:t>
      </w:r>
      <w:r>
        <w:t xml:space="preserve"> Feedback deemed out of scope and not relevant to the </w:t>
      </w:r>
      <w:r w:rsidR="00C77015">
        <w:t>change of income assessment model</w:t>
      </w:r>
      <w:r w:rsidR="00B003D9">
        <w:t xml:space="preserve"> is not presented in this report and has been made available to DSS for</w:t>
      </w:r>
      <w:r w:rsidR="00E2281E">
        <w:t xml:space="preserve"> further</w:t>
      </w:r>
      <w:r w:rsidR="00B003D9">
        <w:t xml:space="preserve"> consideration as part of its continuous improvement processes</w:t>
      </w:r>
      <w:r w:rsidR="00F375F1">
        <w:t xml:space="preserve">. </w:t>
      </w:r>
      <w:r w:rsidR="006C5A1B">
        <w:t>As state</w:t>
      </w:r>
      <w:r w:rsidR="00B003D9">
        <w:t>d</w:t>
      </w:r>
      <w:r w:rsidR="006C5A1B">
        <w:t xml:space="preserve"> previously</w:t>
      </w:r>
      <w:r w:rsidR="00555D84">
        <w:t>, out of scope feedback</w:t>
      </w:r>
      <w:r w:rsidR="00555D84" w:rsidRPr="00A928E1">
        <w:t xml:space="preserve"> </w:t>
      </w:r>
      <w:r w:rsidR="00555D84">
        <w:t>has not informed</w:t>
      </w:r>
      <w:r w:rsidR="00555D84" w:rsidRPr="00A928E1">
        <w:t xml:space="preserve"> </w:t>
      </w:r>
      <w:r w:rsidR="006C5A1B">
        <w:t xml:space="preserve">KPMG’s </w:t>
      </w:r>
      <w:r w:rsidR="006527BA">
        <w:t>assessment of</w:t>
      </w:r>
      <w:r w:rsidR="00555D84" w:rsidRPr="00A928E1">
        <w:t xml:space="preserve"> the impact of the </w:t>
      </w:r>
      <w:r w:rsidR="00C77015">
        <w:t>change of income assessment model</w:t>
      </w:r>
      <w:r w:rsidR="00555D84" w:rsidRPr="00A928E1">
        <w:t xml:space="preserve"> on social security </w:t>
      </w:r>
      <w:r w:rsidR="003D2038">
        <w:t xml:space="preserve">payment </w:t>
      </w:r>
      <w:r w:rsidR="00555D84" w:rsidRPr="00A928E1">
        <w:t>recipients and relevant stakeholders.</w:t>
      </w:r>
    </w:p>
    <w:p w14:paraId="74923329" w14:textId="7C9A1E5A" w:rsidR="00E05EA5" w:rsidRPr="000811FD" w:rsidRDefault="00E05EA5" w:rsidP="00E05EA5">
      <w:pPr>
        <w:pStyle w:val="BodyText1"/>
      </w:pPr>
      <w:r>
        <w:t>Economic Justice Australia, an expert body in social security law, suggested there is a need to conduct a similar review or measurement of the impact of the change of income assessment model after more time has elapsed to account for anomalies</w:t>
      </w:r>
      <w:r w:rsidR="00E57DE0">
        <w:t xml:space="preserve"> associated with the timing of the review</w:t>
      </w:r>
      <w:r w:rsidR="00646BCF">
        <w:t xml:space="preserve"> and to review the impacts of the change on social security debt.</w:t>
      </w:r>
    </w:p>
    <w:p w14:paraId="19503ACC" w14:textId="33B5E7F1" w:rsidR="0020525B" w:rsidRDefault="00DC246F" w:rsidP="0020525B">
      <w:pPr>
        <w:pStyle w:val="Heading3"/>
      </w:pPr>
      <w:r>
        <w:t>T</w:t>
      </w:r>
      <w:r w:rsidR="00196EF1">
        <w:t>he</w:t>
      </w:r>
      <w:r>
        <w:t xml:space="preserve"> </w:t>
      </w:r>
      <w:r w:rsidR="0020525B">
        <w:t xml:space="preserve">Australian welfare system </w:t>
      </w:r>
      <w:r>
        <w:t>in</w:t>
      </w:r>
      <w:r w:rsidR="009E6217">
        <w:t xml:space="preserve"> </w:t>
      </w:r>
      <w:r w:rsidR="0020525B">
        <w:t xml:space="preserve">context </w:t>
      </w:r>
    </w:p>
    <w:p w14:paraId="6AC54793" w14:textId="2AC131C7" w:rsidR="00093742" w:rsidRDefault="00ED28B4" w:rsidP="0020525B">
      <w:pPr>
        <w:pStyle w:val="BodyText1"/>
      </w:pPr>
      <w:r>
        <w:t>The Australian welfare system has been designed to provide individuals with a ‘minimum adequate standard of living’</w:t>
      </w:r>
      <w:r>
        <w:rPr>
          <w:rStyle w:val="FootnoteReference"/>
        </w:rPr>
        <w:footnoteReference w:id="7"/>
      </w:r>
      <w:r>
        <w:t>. To support this, the system is</w:t>
      </w:r>
      <w:r w:rsidR="00B16FF5">
        <w:t xml:space="preserve"> highly targeted, with strong mechanisms for assessing eligibility based on </w:t>
      </w:r>
      <w:r w:rsidR="00DA6484">
        <w:t xml:space="preserve">people’s need and means. </w:t>
      </w:r>
      <w:r w:rsidR="00545000">
        <w:t>These mechanisms include reporting of employment income for the purposes of determining whether a person is and remains eligible for income support.</w:t>
      </w:r>
      <w:r w:rsidR="009D4A9D">
        <w:t xml:space="preserve"> </w:t>
      </w:r>
      <w:r w:rsidR="00093742">
        <w:t xml:space="preserve">It is acknowledged that </w:t>
      </w:r>
      <w:r w:rsidR="0091047B">
        <w:t xml:space="preserve">not all stakeholders will </w:t>
      </w:r>
      <w:r w:rsidR="00FF4B1D">
        <w:t>be supportive of these reporting requirements.</w:t>
      </w:r>
    </w:p>
    <w:p w14:paraId="68612135" w14:textId="6FD51700" w:rsidR="00381486" w:rsidRDefault="0020525B" w:rsidP="0020525B">
      <w:pPr>
        <w:pStyle w:val="BodyText1"/>
      </w:pPr>
      <w:r>
        <w:t xml:space="preserve">It is </w:t>
      </w:r>
      <w:r w:rsidR="00F953B8">
        <w:t>also</w:t>
      </w:r>
      <w:r>
        <w:t xml:space="preserve"> acknowledged that </w:t>
      </w:r>
      <w:r w:rsidR="00B258C6">
        <w:t>improvements to reporting income</w:t>
      </w:r>
      <w:r w:rsidRPr="000811FD">
        <w:t xml:space="preserve"> and </w:t>
      </w:r>
      <w:r>
        <w:t>any other impacts have been observed</w:t>
      </w:r>
      <w:r w:rsidRPr="000811FD">
        <w:t xml:space="preserve"> at a unique point </w:t>
      </w:r>
      <w:r>
        <w:t>in</w:t>
      </w:r>
      <w:r w:rsidRPr="000811FD">
        <w:t xml:space="preserve"> time </w:t>
      </w:r>
      <w:r>
        <w:t>during</w:t>
      </w:r>
      <w:r w:rsidRPr="000811FD">
        <w:t xml:space="preserve"> the global </w:t>
      </w:r>
      <w:r>
        <w:t xml:space="preserve">COVID-19 </w:t>
      </w:r>
      <w:r w:rsidRPr="000811FD">
        <w:t>pandemic</w:t>
      </w:r>
      <w:r w:rsidR="004F2054">
        <w:t xml:space="preserve">. At </w:t>
      </w:r>
      <w:r w:rsidR="006958D6">
        <w:t>the time of the change of income assessment model</w:t>
      </w:r>
      <w:r w:rsidR="004F2054">
        <w:t xml:space="preserve">, there was a significant increase in the number of people </w:t>
      </w:r>
      <w:r w:rsidR="00F93BAF">
        <w:t>receiving income support payments</w:t>
      </w:r>
      <w:r w:rsidR="006958D6">
        <w:t xml:space="preserve"> due to COVID-19</w:t>
      </w:r>
      <w:r w:rsidR="00F93BAF">
        <w:t>, and a pause placed on all debt activity.</w:t>
      </w:r>
    </w:p>
    <w:p w14:paraId="4D20E33B" w14:textId="5D2EC44C" w:rsidR="0020525B" w:rsidRPr="00380C2B" w:rsidRDefault="006958D6" w:rsidP="0020525B">
      <w:pPr>
        <w:pStyle w:val="BodyText1"/>
      </w:pPr>
      <w:r>
        <w:t>C</w:t>
      </w:r>
      <w:r w:rsidR="0020525B">
        <w:t>onsultation findings</w:t>
      </w:r>
      <w:r>
        <w:t xml:space="preserve"> from this Review need to be considered</w:t>
      </w:r>
      <w:r w:rsidR="0020525B">
        <w:t xml:space="preserve"> in the context of other changes and factors that potentially </w:t>
      </w:r>
      <w:r w:rsidR="0020525B" w:rsidRPr="00A928E1">
        <w:t>influence recipient experiences</w:t>
      </w:r>
      <w:r w:rsidR="0020525B">
        <w:t xml:space="preserve">. </w:t>
      </w:r>
    </w:p>
    <w:p w14:paraId="0C8E381D" w14:textId="197F3BC2" w:rsidR="006F5D31" w:rsidRPr="004C20CA" w:rsidRDefault="006F5D31" w:rsidP="00605C79">
      <w:pPr>
        <w:pStyle w:val="Heading2option2"/>
      </w:pPr>
      <w:r>
        <w:rPr>
          <w:bCs/>
        </w:rPr>
        <w:lastRenderedPageBreak/>
        <w:t>Purpose of this document</w:t>
      </w:r>
    </w:p>
    <w:p w14:paraId="36D89032" w14:textId="3B96C985" w:rsidR="00AA6038" w:rsidRDefault="004742D8" w:rsidP="00AB5DD7">
      <w:pPr>
        <w:pStyle w:val="BodyText1"/>
      </w:pPr>
      <w:r w:rsidRPr="004742D8">
        <w:t xml:space="preserve">The purpose of this report is to outline </w:t>
      </w:r>
      <w:r w:rsidR="003537E9">
        <w:t xml:space="preserve">the </w:t>
      </w:r>
      <w:r w:rsidR="00B14A7C">
        <w:t>findings</w:t>
      </w:r>
      <w:r w:rsidRPr="004742D8">
        <w:t xml:space="preserve"> from </w:t>
      </w:r>
      <w:r w:rsidR="00B14A7C">
        <w:t xml:space="preserve">public </w:t>
      </w:r>
      <w:r w:rsidRPr="004742D8">
        <w:t>consultation</w:t>
      </w:r>
      <w:r w:rsidR="00B14A7C">
        <w:t xml:space="preserve"> </w:t>
      </w:r>
      <w:r w:rsidR="003537E9">
        <w:t>to assess</w:t>
      </w:r>
      <w:r w:rsidR="00B14A7C">
        <w:t xml:space="preserve"> the impact of the </w:t>
      </w:r>
      <w:r w:rsidR="00C77015">
        <w:t>change of income assessment model</w:t>
      </w:r>
      <w:r w:rsidR="00B14A7C">
        <w:t xml:space="preserve">. </w:t>
      </w:r>
      <w:r w:rsidRPr="004742D8">
        <w:t xml:space="preserve">This report outlines KPMG’s approach to the review and consultation, </w:t>
      </w:r>
      <w:r w:rsidR="003537E9">
        <w:t>an overview of</w:t>
      </w:r>
      <w:r w:rsidR="00431448">
        <w:t xml:space="preserve"> stakeholde</w:t>
      </w:r>
      <w:r w:rsidR="00F7460A">
        <w:t xml:space="preserve">rs </w:t>
      </w:r>
      <w:r w:rsidR="00F122D2">
        <w:t xml:space="preserve">that participated in </w:t>
      </w:r>
      <w:r w:rsidR="003537E9">
        <w:t>consultation</w:t>
      </w:r>
      <w:r w:rsidR="00F7460A">
        <w:t xml:space="preserve"> and </w:t>
      </w:r>
      <w:r w:rsidR="00F122D2">
        <w:t>review</w:t>
      </w:r>
      <w:r w:rsidR="00F7460A">
        <w:t xml:space="preserve"> findings</w:t>
      </w:r>
      <w:r w:rsidR="00F122D2">
        <w:t>, all</w:t>
      </w:r>
      <w:r w:rsidR="003E10F8">
        <w:t xml:space="preserve"> informing an assessment of the impact of the Act</w:t>
      </w:r>
      <w:r w:rsidR="00F7460A">
        <w:t xml:space="preserve">. </w:t>
      </w:r>
      <w:r w:rsidR="00C35CA3">
        <w:t>The Report will be tabled in Australian Parliament in line with the legislative requirement for the review.</w:t>
      </w:r>
    </w:p>
    <w:p w14:paraId="181A1A8A" w14:textId="6C000F09" w:rsidR="00C35CA3" w:rsidRDefault="00C35CA3" w:rsidP="00AB5DD7">
      <w:pPr>
        <w:pStyle w:val="BodyText1"/>
      </w:pPr>
      <w:r>
        <w:t>The Report is structured as follows:</w:t>
      </w:r>
    </w:p>
    <w:p w14:paraId="4AC02E75" w14:textId="662D8527" w:rsidR="00C50597" w:rsidRPr="00D964DB" w:rsidRDefault="00C50597" w:rsidP="004E7435">
      <w:pPr>
        <w:pStyle w:val="Bullet1stlevel"/>
        <w:numPr>
          <w:ilvl w:val="0"/>
          <w:numId w:val="30"/>
        </w:numPr>
      </w:pPr>
      <w:r w:rsidRPr="00315A92">
        <w:rPr>
          <w:b/>
          <w:szCs w:val="20"/>
        </w:rPr>
        <w:t xml:space="preserve">Section 1 </w:t>
      </w:r>
      <w:r w:rsidR="009B0506">
        <w:rPr>
          <w:b/>
        </w:rPr>
        <w:t>–</w:t>
      </w:r>
      <w:r w:rsidRPr="00315A92">
        <w:rPr>
          <w:b/>
          <w:szCs w:val="20"/>
        </w:rPr>
        <w:t xml:space="preserve"> Introduction:</w:t>
      </w:r>
      <w:r w:rsidRPr="00315A92">
        <w:rPr>
          <w:szCs w:val="20"/>
        </w:rPr>
        <w:t xml:space="preserve"> </w:t>
      </w:r>
      <w:r w:rsidR="00543335">
        <w:rPr>
          <w:szCs w:val="20"/>
        </w:rPr>
        <w:t>D</w:t>
      </w:r>
      <w:r w:rsidR="00315A92" w:rsidRPr="00315A92">
        <w:rPr>
          <w:rFonts w:cs="Calibri"/>
          <w:szCs w:val="20"/>
        </w:rPr>
        <w:t>escribes the change</w:t>
      </w:r>
      <w:r w:rsidR="00C77015">
        <w:rPr>
          <w:rFonts w:cs="Calibri"/>
          <w:szCs w:val="20"/>
        </w:rPr>
        <w:t xml:space="preserve"> of income assessment model</w:t>
      </w:r>
      <w:r w:rsidR="00315A92" w:rsidRPr="00315A92">
        <w:rPr>
          <w:rFonts w:cs="Calibri"/>
          <w:szCs w:val="20"/>
        </w:rPr>
        <w:t xml:space="preserve"> and the </w:t>
      </w:r>
      <w:r w:rsidR="00C77015">
        <w:rPr>
          <w:rFonts w:cs="Calibri"/>
          <w:szCs w:val="20"/>
        </w:rPr>
        <w:t xml:space="preserve">legislative </w:t>
      </w:r>
      <w:r w:rsidR="00315A92" w:rsidRPr="00315A92">
        <w:rPr>
          <w:rFonts w:cs="Calibri"/>
          <w:szCs w:val="20"/>
        </w:rPr>
        <w:t>requirement for a review of the impact of the change.</w:t>
      </w:r>
    </w:p>
    <w:p w14:paraId="5C13DEF1" w14:textId="669B4003" w:rsidR="00C50597" w:rsidRDefault="00C50597" w:rsidP="004E7435">
      <w:pPr>
        <w:pStyle w:val="Bullet1stlevel"/>
        <w:numPr>
          <w:ilvl w:val="0"/>
          <w:numId w:val="30"/>
        </w:numPr>
      </w:pPr>
      <w:r w:rsidRPr="00D964DB">
        <w:rPr>
          <w:b/>
        </w:rPr>
        <w:t xml:space="preserve">Section </w:t>
      </w:r>
      <w:r w:rsidR="00315A92" w:rsidRPr="00D964DB">
        <w:rPr>
          <w:b/>
        </w:rPr>
        <w:t>2</w:t>
      </w:r>
      <w:r w:rsidR="0015116E">
        <w:rPr>
          <w:b/>
        </w:rPr>
        <w:t xml:space="preserve"> – Approach to the </w:t>
      </w:r>
      <w:r w:rsidR="006267B9">
        <w:rPr>
          <w:b/>
        </w:rPr>
        <w:t>R</w:t>
      </w:r>
      <w:r w:rsidR="0015116E">
        <w:rPr>
          <w:b/>
        </w:rPr>
        <w:t>eview</w:t>
      </w:r>
      <w:r w:rsidR="00AE6FB5">
        <w:rPr>
          <w:b/>
        </w:rPr>
        <w:t>:</w:t>
      </w:r>
      <w:r w:rsidRPr="00D964DB">
        <w:rPr>
          <w:b/>
        </w:rPr>
        <w:t xml:space="preserve"> </w:t>
      </w:r>
      <w:r w:rsidR="00E92475" w:rsidRPr="00315A92">
        <w:rPr>
          <w:rFonts w:cs="Calibri"/>
          <w:szCs w:val="20"/>
        </w:rPr>
        <w:t>Summarises KPMG’s consultation approach and methodology.</w:t>
      </w:r>
    </w:p>
    <w:p w14:paraId="6737D694" w14:textId="1EE1B02D" w:rsidR="00AE6FB5" w:rsidRDefault="00AE6FB5" w:rsidP="004E7435">
      <w:pPr>
        <w:pStyle w:val="Bullet1stlevel"/>
        <w:numPr>
          <w:ilvl w:val="0"/>
          <w:numId w:val="30"/>
        </w:numPr>
      </w:pPr>
      <w:r>
        <w:rPr>
          <w:b/>
        </w:rPr>
        <w:t xml:space="preserve">Section </w:t>
      </w:r>
      <w:r w:rsidR="00315A92" w:rsidRPr="00315A92">
        <w:rPr>
          <w:b/>
          <w:szCs w:val="20"/>
        </w:rPr>
        <w:t>3</w:t>
      </w:r>
      <w:r>
        <w:rPr>
          <w:b/>
        </w:rPr>
        <w:t xml:space="preserve"> –</w:t>
      </w:r>
      <w:r>
        <w:t xml:space="preserve"> </w:t>
      </w:r>
      <w:r w:rsidRPr="00AE6FB5">
        <w:rPr>
          <w:b/>
        </w:rPr>
        <w:t xml:space="preserve">Review </w:t>
      </w:r>
      <w:r w:rsidR="006267B9">
        <w:rPr>
          <w:b/>
          <w:bCs/>
        </w:rPr>
        <w:t>F</w:t>
      </w:r>
      <w:r w:rsidRPr="00AE6FB5">
        <w:rPr>
          <w:b/>
        </w:rPr>
        <w:t>indings</w:t>
      </w:r>
      <w:r w:rsidRPr="003B798F">
        <w:rPr>
          <w:b/>
        </w:rPr>
        <w:t>:</w:t>
      </w:r>
      <w:r>
        <w:t xml:space="preserve"> </w:t>
      </w:r>
      <w:r w:rsidR="00A71A04">
        <w:t>P</w:t>
      </w:r>
      <w:r w:rsidR="00A71A04" w:rsidRPr="00315A92">
        <w:rPr>
          <w:rFonts w:cs="Calibri"/>
          <w:szCs w:val="20"/>
        </w:rPr>
        <w:t xml:space="preserve">rovides an overview of the stakeholder response received and consultation findings across </w:t>
      </w:r>
      <w:r w:rsidR="00A561FD">
        <w:rPr>
          <w:rFonts w:cs="Calibri"/>
          <w:szCs w:val="20"/>
        </w:rPr>
        <w:t>four</w:t>
      </w:r>
      <w:r w:rsidR="00A561FD" w:rsidRPr="00315A92">
        <w:rPr>
          <w:rFonts w:cs="Calibri"/>
          <w:szCs w:val="20"/>
        </w:rPr>
        <w:t xml:space="preserve"> </w:t>
      </w:r>
      <w:r w:rsidR="00A71A04" w:rsidRPr="00315A92">
        <w:rPr>
          <w:rFonts w:cs="Calibri"/>
          <w:szCs w:val="20"/>
        </w:rPr>
        <w:t>key topics</w:t>
      </w:r>
      <w:r w:rsidR="00A561FD">
        <w:rPr>
          <w:rFonts w:cs="Calibri"/>
          <w:szCs w:val="20"/>
        </w:rPr>
        <w:t xml:space="preserve">: </w:t>
      </w:r>
      <w:r w:rsidR="00A71A04" w:rsidRPr="00315A92">
        <w:rPr>
          <w:rFonts w:cs="Calibri"/>
          <w:szCs w:val="20"/>
        </w:rPr>
        <w:t>transition from the earned to paid model, experience since the change</w:t>
      </w:r>
      <w:r w:rsidR="00C77015">
        <w:rPr>
          <w:rFonts w:cs="Calibri"/>
          <w:szCs w:val="20"/>
        </w:rPr>
        <w:t xml:space="preserve"> of income assessment model</w:t>
      </w:r>
      <w:r w:rsidR="00A71A04" w:rsidRPr="00315A92">
        <w:rPr>
          <w:rFonts w:cs="Calibri"/>
          <w:szCs w:val="20"/>
        </w:rPr>
        <w:t xml:space="preserve">, unintended </w:t>
      </w:r>
      <w:r w:rsidR="00814CBD" w:rsidRPr="00315A92">
        <w:rPr>
          <w:rFonts w:cs="Calibri"/>
          <w:szCs w:val="20"/>
        </w:rPr>
        <w:t>consequences</w:t>
      </w:r>
      <w:r w:rsidR="00A71A04" w:rsidRPr="00315A92">
        <w:rPr>
          <w:rFonts w:cs="Calibri"/>
          <w:szCs w:val="20"/>
        </w:rPr>
        <w:t xml:space="preserve"> and pensioner payments</w:t>
      </w:r>
      <w:r w:rsidR="00CA11C1">
        <w:rPr>
          <w:rFonts w:cs="Calibri"/>
          <w:szCs w:val="20"/>
        </w:rPr>
        <w:t>.</w:t>
      </w:r>
    </w:p>
    <w:p w14:paraId="015CAC74" w14:textId="4E8FB15B" w:rsidR="00C50597" w:rsidRPr="00D964DB" w:rsidRDefault="00C50597" w:rsidP="004E7435">
      <w:pPr>
        <w:pStyle w:val="Bullet1stlevel"/>
        <w:numPr>
          <w:ilvl w:val="0"/>
          <w:numId w:val="30"/>
        </w:numPr>
      </w:pPr>
      <w:r w:rsidRPr="00D964DB">
        <w:rPr>
          <w:b/>
        </w:rPr>
        <w:t>Appendices</w:t>
      </w:r>
      <w:r w:rsidR="00AE6FB5">
        <w:rPr>
          <w:b/>
        </w:rPr>
        <w:t>:</w:t>
      </w:r>
      <w:r w:rsidRPr="00D964DB">
        <w:t xml:space="preserve"> </w:t>
      </w:r>
      <w:r w:rsidR="00F22684">
        <w:t>D</w:t>
      </w:r>
      <w:r w:rsidR="00F22684" w:rsidRPr="00315A92">
        <w:rPr>
          <w:rFonts w:cs="Calibri"/>
          <w:szCs w:val="20"/>
        </w:rPr>
        <w:t>etails all consultation and communication materials and a profile of who participated in consultation</w:t>
      </w:r>
      <w:r w:rsidR="00315A92">
        <w:rPr>
          <w:szCs w:val="20"/>
        </w:rPr>
        <w:t>.</w:t>
      </w:r>
      <w:r w:rsidRPr="00D964DB">
        <w:t xml:space="preserve"> </w:t>
      </w:r>
    </w:p>
    <w:p w14:paraId="4DF2C3BB" w14:textId="77777777" w:rsidR="00DD670F" w:rsidRDefault="00DD670F">
      <w:pPr>
        <w:spacing w:before="0" w:after="160" w:line="259" w:lineRule="auto"/>
      </w:pPr>
      <w:r>
        <w:br w:type="page"/>
      </w:r>
    </w:p>
    <w:p w14:paraId="6BFD998A" w14:textId="27CA43B9" w:rsidR="004E38A9" w:rsidRDefault="001145AC" w:rsidP="001145AC">
      <w:pPr>
        <w:pStyle w:val="Heading1"/>
      </w:pPr>
      <w:bookmarkStart w:id="12" w:name="_Ref103678070"/>
      <w:bookmarkStart w:id="13" w:name="_Toc104983817"/>
      <w:r>
        <w:lastRenderedPageBreak/>
        <w:t>Approach to the Review</w:t>
      </w:r>
      <w:bookmarkEnd w:id="12"/>
      <w:bookmarkEnd w:id="13"/>
    </w:p>
    <w:p w14:paraId="7AF83B64" w14:textId="4964E1DD" w:rsidR="00F41F44" w:rsidRDefault="00641432" w:rsidP="00B7726C">
      <w:pPr>
        <w:pStyle w:val="Heading2"/>
      </w:pPr>
      <w:bookmarkStart w:id="14" w:name="_Toc104983818"/>
      <w:r>
        <w:t xml:space="preserve">Consultation </w:t>
      </w:r>
      <w:r w:rsidR="004800D4">
        <w:t>approach</w:t>
      </w:r>
      <w:bookmarkEnd w:id="14"/>
    </w:p>
    <w:p w14:paraId="726A91C5" w14:textId="77777777" w:rsidR="00772CB7" w:rsidRDefault="00772CB7" w:rsidP="00A74EC8">
      <w:pPr>
        <w:pStyle w:val="Heading3"/>
      </w:pPr>
      <w:r>
        <w:t>Consultation aim</w:t>
      </w:r>
    </w:p>
    <w:p w14:paraId="1BD8DD3D" w14:textId="33DA2BF6" w:rsidR="003E10F8" w:rsidRDefault="001E4334" w:rsidP="00DD670F">
      <w:pPr>
        <w:pStyle w:val="BodyText1"/>
      </w:pPr>
      <w:r>
        <w:t>P</w:t>
      </w:r>
      <w:r w:rsidR="00605296">
        <w:t>ublic consultation was the key method used to undertake the review. C</w:t>
      </w:r>
      <w:r w:rsidR="00772CB7">
        <w:t>onsultation</w:t>
      </w:r>
      <w:r w:rsidR="00772CB7" w:rsidRPr="004742D8">
        <w:t xml:space="preserve"> sought to understand </w:t>
      </w:r>
      <w:r w:rsidR="002C59C1">
        <w:t>the</w:t>
      </w:r>
      <w:r w:rsidR="002C59C1" w:rsidRPr="004742D8">
        <w:t xml:space="preserve"> </w:t>
      </w:r>
      <w:r w:rsidR="00772CB7" w:rsidRPr="004742D8">
        <w:t xml:space="preserve">experiences of people reporting employment income under the </w:t>
      </w:r>
      <w:r w:rsidR="00772CB7">
        <w:t>paid income model</w:t>
      </w:r>
      <w:r w:rsidR="00772CB7" w:rsidRPr="004742D8">
        <w:t xml:space="preserve">, in comparison to the previous </w:t>
      </w:r>
      <w:r w:rsidR="00772CB7">
        <w:t>earned income model</w:t>
      </w:r>
      <w:r w:rsidR="00772CB7" w:rsidRPr="004742D8">
        <w:t>. Consultation</w:t>
      </w:r>
      <w:r w:rsidR="00772CB7" w:rsidRPr="0099656E">
        <w:t xml:space="preserve"> </w:t>
      </w:r>
      <w:r w:rsidR="008E6045">
        <w:t>also</w:t>
      </w:r>
      <w:r w:rsidR="00772CB7" w:rsidRPr="004742D8">
        <w:t xml:space="preserve"> sought to understand any unintended consequences </w:t>
      </w:r>
      <w:r w:rsidR="008E6045">
        <w:t>from</w:t>
      </w:r>
      <w:r w:rsidR="00772CB7" w:rsidRPr="004742D8">
        <w:t xml:space="preserve"> the </w:t>
      </w:r>
      <w:r w:rsidR="00820BEC">
        <w:t>change of income assessment model</w:t>
      </w:r>
      <w:r w:rsidR="00772CB7" w:rsidRPr="004742D8">
        <w:t>, for example</w:t>
      </w:r>
      <w:r w:rsidR="00EB7DAD">
        <w:t>,</w:t>
      </w:r>
      <w:r w:rsidR="00772CB7" w:rsidRPr="004742D8">
        <w:t xml:space="preserve"> to a unique cohort of individuals that </w:t>
      </w:r>
      <w:r w:rsidR="00772CB7">
        <w:t>had</w:t>
      </w:r>
      <w:r w:rsidR="00772CB7" w:rsidRPr="004742D8">
        <w:t xml:space="preserve"> not been previously considered.</w:t>
      </w:r>
      <w:r w:rsidR="00641432">
        <w:t xml:space="preserve"> </w:t>
      </w:r>
    </w:p>
    <w:p w14:paraId="48C608D9" w14:textId="062E0907" w:rsidR="002B2537" w:rsidRDefault="00AC5F68" w:rsidP="00A74EC8">
      <w:pPr>
        <w:pStyle w:val="Heading3"/>
      </w:pPr>
      <w:r>
        <w:t>Stakeholders identified</w:t>
      </w:r>
      <w:r w:rsidR="009333AB">
        <w:t xml:space="preserve"> for broad consultation</w:t>
      </w:r>
    </w:p>
    <w:p w14:paraId="1735FA9E" w14:textId="77777777" w:rsidR="006D02C0" w:rsidRDefault="006F734F" w:rsidP="006F734F">
      <w:pPr>
        <w:pStyle w:val="BodyText1"/>
      </w:pPr>
      <w:r w:rsidRPr="00583C27">
        <w:t xml:space="preserve">To fulfil the legislative requirement, </w:t>
      </w:r>
      <w:r>
        <w:t>consultation was conducted with</w:t>
      </w:r>
      <w:r w:rsidRPr="00063645">
        <w:t xml:space="preserve">: </w:t>
      </w:r>
    </w:p>
    <w:p w14:paraId="06A9900F" w14:textId="173B6E2C" w:rsidR="006D02C0" w:rsidRDefault="002D7DDE" w:rsidP="006D02C0">
      <w:pPr>
        <w:pStyle w:val="Bullet1stlevel"/>
      </w:pPr>
      <w:r>
        <w:t>i</w:t>
      </w:r>
      <w:r w:rsidR="006F734F" w:rsidRPr="00063645">
        <w:t xml:space="preserve">ncome support recipients impacted by the amendments made by the Act; </w:t>
      </w:r>
    </w:p>
    <w:p w14:paraId="2951AAFA" w14:textId="5DFE5205" w:rsidR="006D02C0" w:rsidRDefault="002D7DDE" w:rsidP="006D02C0">
      <w:pPr>
        <w:pStyle w:val="Bullet1stlevel"/>
      </w:pPr>
      <w:r>
        <w:t>p</w:t>
      </w:r>
      <w:r w:rsidR="006F734F" w:rsidRPr="00063645">
        <w:t xml:space="preserve">ersons who have expertise in social security law; and </w:t>
      </w:r>
    </w:p>
    <w:p w14:paraId="6C55B209" w14:textId="009D60F6" w:rsidR="006D02C0" w:rsidRDefault="002D7DDE" w:rsidP="006D02C0">
      <w:pPr>
        <w:pStyle w:val="Bullet1stlevel"/>
      </w:pPr>
      <w:r>
        <w:t>p</w:t>
      </w:r>
      <w:r w:rsidR="006F734F" w:rsidRPr="00063645">
        <w:t xml:space="preserve">ersons who have relevant expertise in any other area of public policy. </w:t>
      </w:r>
    </w:p>
    <w:p w14:paraId="7A6502AC" w14:textId="2D6BA217" w:rsidR="00751C7A" w:rsidRDefault="006D02C0" w:rsidP="00807023">
      <w:pPr>
        <w:pStyle w:val="BodyText1"/>
      </w:pPr>
      <w:r>
        <w:t>T</w:t>
      </w:r>
      <w:r w:rsidR="006F734F" w:rsidRPr="00063645">
        <w:t xml:space="preserve">hree broad groups of </w:t>
      </w:r>
      <w:r w:rsidR="006F734F" w:rsidRPr="003C4F73">
        <w:t>stakeholders</w:t>
      </w:r>
      <w:r>
        <w:t xml:space="preserve"> were identified in line with this requirement, and </w:t>
      </w:r>
      <w:r w:rsidR="003230BD">
        <w:t>engagement methods were tailored to engage with each</w:t>
      </w:r>
      <w:r w:rsidR="004B1EA3">
        <w:t xml:space="preserve"> </w:t>
      </w:r>
      <w:r w:rsidR="00B65CF7">
        <w:t>group</w:t>
      </w:r>
      <w:r w:rsidR="003230BD">
        <w:t>.</w:t>
      </w:r>
      <w:r w:rsidR="008D5E86">
        <w:t xml:space="preserve"> These three groups included:</w:t>
      </w:r>
      <w:r w:rsidR="006F734F" w:rsidRPr="003C4F73">
        <w:t xml:space="preserve"> </w:t>
      </w:r>
      <w:r w:rsidR="006F734F">
        <w:t xml:space="preserve">individuals and impacted community, external </w:t>
      </w:r>
      <w:r w:rsidR="00C10172">
        <w:t>organisations</w:t>
      </w:r>
      <w:r w:rsidR="006F734F">
        <w:t xml:space="preserve"> and Government stakeholders.</w:t>
      </w:r>
    </w:p>
    <w:p w14:paraId="308C6AF7" w14:textId="77777777" w:rsidR="002B2537" w:rsidRDefault="002B2537" w:rsidP="00A74EC8">
      <w:pPr>
        <w:pStyle w:val="Heading4"/>
      </w:pPr>
      <w:r>
        <w:t>Individuals and impacted community</w:t>
      </w:r>
    </w:p>
    <w:p w14:paraId="15F05BC0" w14:textId="1EA75545" w:rsidR="002B2537" w:rsidRDefault="008325E3" w:rsidP="002B2537">
      <w:pPr>
        <w:pStyle w:val="BodyText1"/>
      </w:pPr>
      <w:r>
        <w:t xml:space="preserve">Individuals </w:t>
      </w:r>
      <w:r w:rsidR="002F2D56">
        <w:t xml:space="preserve">who contributed to the consultation </w:t>
      </w:r>
      <w:r>
        <w:t>include</w:t>
      </w:r>
      <w:r w:rsidR="00A33C8B">
        <w:t>d</w:t>
      </w:r>
      <w:r w:rsidR="002B2537" w:rsidRPr="00361485">
        <w:t xml:space="preserve"> those </w:t>
      </w:r>
      <w:r w:rsidR="0019719D">
        <w:t>people</w:t>
      </w:r>
      <w:r w:rsidR="002B2537" w:rsidRPr="00361485">
        <w:t xml:space="preserve"> who receive regular </w:t>
      </w:r>
      <w:r w:rsidR="008D64A0">
        <w:t>in-scope s</w:t>
      </w:r>
      <w:r w:rsidR="00E60AFA">
        <w:t>ocial security</w:t>
      </w:r>
      <w:r w:rsidR="002B2537" w:rsidRPr="00361485">
        <w:t xml:space="preserve"> payments. Impacted community members include</w:t>
      </w:r>
      <w:r w:rsidR="007220AC">
        <w:t>d</w:t>
      </w:r>
      <w:r w:rsidR="002B2537" w:rsidRPr="00361485">
        <w:t xml:space="preserve">, but </w:t>
      </w:r>
      <w:r w:rsidR="007220AC">
        <w:t>we</w:t>
      </w:r>
      <w:r w:rsidR="002B2537" w:rsidRPr="00361485">
        <w:t>re not limited to</w:t>
      </w:r>
      <w:r w:rsidR="00FD49CD">
        <w:t>,</w:t>
      </w:r>
      <w:r w:rsidR="002B2537" w:rsidRPr="00361485">
        <w:t xml:space="preserve"> </w:t>
      </w:r>
      <w:r w:rsidR="008D64A0">
        <w:t xml:space="preserve">social security </w:t>
      </w:r>
      <w:r w:rsidR="003D2038">
        <w:t xml:space="preserve">payment </w:t>
      </w:r>
      <w:r w:rsidR="008D64A0">
        <w:t>recipients,</w:t>
      </w:r>
      <w:r w:rsidR="002B2537" w:rsidRPr="00361485">
        <w:t xml:space="preserve"> carers, parents</w:t>
      </w:r>
      <w:r w:rsidR="00CA324B">
        <w:t xml:space="preserve"> and</w:t>
      </w:r>
      <w:r w:rsidR="002B2537" w:rsidRPr="00361485">
        <w:t xml:space="preserve"> guardians</w:t>
      </w:r>
      <w:r w:rsidR="002B2537">
        <w:t>, nominees,</w:t>
      </w:r>
      <w:r w:rsidR="002B2537" w:rsidRPr="00361485">
        <w:t xml:space="preserve"> or partners of those </w:t>
      </w:r>
      <w:r w:rsidR="009560F7">
        <w:t>who</w:t>
      </w:r>
      <w:r w:rsidR="002B2537" w:rsidRPr="00361485">
        <w:t xml:space="preserve"> receive regular </w:t>
      </w:r>
      <w:r w:rsidR="00E60AFA">
        <w:t>social security</w:t>
      </w:r>
      <w:r w:rsidR="002B2537" w:rsidRPr="00361485">
        <w:t xml:space="preserve"> payments. </w:t>
      </w:r>
    </w:p>
    <w:p w14:paraId="03AB2F1D" w14:textId="77777777" w:rsidR="002B2537" w:rsidRPr="00F35709" w:rsidRDefault="002B2537" w:rsidP="00A74EC8">
      <w:pPr>
        <w:pStyle w:val="Heading4"/>
      </w:pPr>
      <w:r w:rsidRPr="00F35709">
        <w:t>External organisations</w:t>
      </w:r>
    </w:p>
    <w:p w14:paraId="593B2B13" w14:textId="2BC3D2E5" w:rsidR="002B2537" w:rsidRPr="00F35709" w:rsidRDefault="003C47FC" w:rsidP="002B2537">
      <w:pPr>
        <w:pStyle w:val="BodyText1"/>
      </w:pPr>
      <w:r>
        <w:t>E</w:t>
      </w:r>
      <w:r w:rsidR="002B2537" w:rsidRPr="00F35709">
        <w:t xml:space="preserve">xternal stakeholders </w:t>
      </w:r>
      <w:r w:rsidR="002F2D56">
        <w:t xml:space="preserve">who contributed to the consultation </w:t>
      </w:r>
      <w:r>
        <w:t>include</w:t>
      </w:r>
      <w:r w:rsidR="007220AC">
        <w:t>d</w:t>
      </w:r>
      <w:r w:rsidR="002B2537" w:rsidRPr="00F35709">
        <w:t xml:space="preserve"> organisations and groups who represent or advocate on behalf of people receiving </w:t>
      </w:r>
      <w:r w:rsidR="00E60AFA">
        <w:t>social security</w:t>
      </w:r>
      <w:r w:rsidR="008D64A0">
        <w:t xml:space="preserve"> payments</w:t>
      </w:r>
      <w:r w:rsidR="002B2537" w:rsidRPr="00F35709">
        <w:t xml:space="preserve">, have expertise in social security law and persons who have </w:t>
      </w:r>
      <w:r w:rsidR="00E87D56">
        <w:t xml:space="preserve">relevant </w:t>
      </w:r>
      <w:r w:rsidR="002B2537" w:rsidRPr="00F35709">
        <w:t xml:space="preserve">expertise in any other area of public policy. </w:t>
      </w:r>
    </w:p>
    <w:p w14:paraId="17AAB5A1" w14:textId="34E6A682" w:rsidR="002B2537" w:rsidRDefault="00310B14" w:rsidP="002B2537">
      <w:pPr>
        <w:pStyle w:val="BodyText1"/>
      </w:pPr>
      <w:r>
        <w:t xml:space="preserve">Over the course of the review, </w:t>
      </w:r>
      <w:r w:rsidR="002B2537" w:rsidRPr="009507C3">
        <w:t>15</w:t>
      </w:r>
      <w:r>
        <w:t>4</w:t>
      </w:r>
      <w:r w:rsidR="002B2537" w:rsidRPr="009507C3">
        <w:t xml:space="preserve"> organisations were identified and categorised by organisation type. </w:t>
      </w:r>
      <w:r w:rsidR="002B2537" w:rsidRPr="0020155D">
        <w:t xml:space="preserve">Stakeholders were identified </w:t>
      </w:r>
      <w:r w:rsidR="00E87D56">
        <w:t>by reviewing</w:t>
      </w:r>
      <w:r w:rsidR="002B2537" w:rsidRPr="0020155D">
        <w:t xml:space="preserve"> DSS </w:t>
      </w:r>
      <w:r w:rsidR="00E87D56">
        <w:t>and Service Australia</w:t>
      </w:r>
      <w:r w:rsidR="002B2537" w:rsidRPr="0020155D">
        <w:t xml:space="preserve"> </w:t>
      </w:r>
      <w:r w:rsidR="00E07FE7">
        <w:t>Advisory Group</w:t>
      </w:r>
      <w:r w:rsidR="002B2537" w:rsidRPr="0020155D">
        <w:t xml:space="preserve"> members as well as an external </w:t>
      </w:r>
      <w:r w:rsidR="00E87D56">
        <w:t xml:space="preserve">Internet </w:t>
      </w:r>
      <w:r w:rsidR="002B2537" w:rsidRPr="0020155D">
        <w:t>search.</w:t>
      </w:r>
      <w:r w:rsidR="002B2537">
        <w:t xml:space="preserve"> </w:t>
      </w:r>
      <w:r w:rsidR="0020155D">
        <w:t xml:space="preserve">The definitions of each external organisation type </w:t>
      </w:r>
      <w:r w:rsidR="00E87D56">
        <w:t>are</w:t>
      </w:r>
      <w:r w:rsidR="0020155D">
        <w:t xml:space="preserve"> shown in</w:t>
      </w:r>
      <w:r w:rsidR="00AE7433">
        <w:t xml:space="preserve"> </w:t>
      </w:r>
      <w:r w:rsidR="00AE7433">
        <w:fldChar w:fldCharType="begin"/>
      </w:r>
      <w:r w:rsidR="00AE7433">
        <w:instrText xml:space="preserve"> REF _Ref103931920 \h </w:instrText>
      </w:r>
      <w:r w:rsidR="00AE7433">
        <w:fldChar w:fldCharType="separate"/>
      </w:r>
      <w:r w:rsidR="00AE7433" w:rsidRPr="00C0398F">
        <w:t xml:space="preserve">Table </w:t>
      </w:r>
      <w:r w:rsidR="00AE7433">
        <w:rPr>
          <w:noProof/>
        </w:rPr>
        <w:t>3</w:t>
      </w:r>
      <w:r w:rsidR="00AE7433" w:rsidRPr="00C0398F">
        <w:t>: Definitions of external organisations</w:t>
      </w:r>
      <w:r w:rsidR="00AE7433">
        <w:fldChar w:fldCharType="end"/>
      </w:r>
      <w:r w:rsidR="0020155D">
        <w:t>.</w:t>
      </w:r>
      <w:r w:rsidR="002D6CC4">
        <w:t xml:space="preserve"> These organisations also typically represent significant numbers of individuals or members, and </w:t>
      </w:r>
      <w:r w:rsidR="00AA6F23">
        <w:t xml:space="preserve">views from these stakeholders </w:t>
      </w:r>
      <w:r w:rsidR="00F4368E">
        <w:t>have informed the views and feedback from organisations.</w:t>
      </w:r>
    </w:p>
    <w:p w14:paraId="0B069F4F" w14:textId="742769A2" w:rsidR="002B2537" w:rsidRPr="00C0398F" w:rsidRDefault="00C0398F" w:rsidP="00C0398F">
      <w:pPr>
        <w:pStyle w:val="Caption"/>
        <w:rPr>
          <w:color w:val="auto"/>
        </w:rPr>
      </w:pPr>
      <w:bookmarkStart w:id="15" w:name="_Ref103931920"/>
      <w:r w:rsidRPr="00C0398F">
        <w:rPr>
          <w:color w:val="auto"/>
        </w:rPr>
        <w:t xml:space="preserve">Table </w:t>
      </w:r>
      <w:r w:rsidRPr="00C0398F">
        <w:rPr>
          <w:color w:val="auto"/>
        </w:rPr>
        <w:fldChar w:fldCharType="begin"/>
      </w:r>
      <w:r w:rsidRPr="00C0398F">
        <w:rPr>
          <w:color w:val="auto"/>
        </w:rPr>
        <w:instrText xml:space="preserve"> SEQ Table \* ARABIC </w:instrText>
      </w:r>
      <w:r w:rsidRPr="00C0398F">
        <w:rPr>
          <w:color w:val="auto"/>
        </w:rPr>
        <w:fldChar w:fldCharType="separate"/>
      </w:r>
      <w:r w:rsidR="004969AE">
        <w:rPr>
          <w:noProof/>
          <w:color w:val="auto"/>
        </w:rPr>
        <w:t>3</w:t>
      </w:r>
      <w:r w:rsidRPr="00C0398F">
        <w:rPr>
          <w:color w:val="auto"/>
        </w:rPr>
        <w:fldChar w:fldCharType="end"/>
      </w:r>
      <w:r w:rsidRPr="00C0398F">
        <w:rPr>
          <w:color w:val="auto"/>
        </w:rPr>
        <w:t>: Definitions of external organisations</w:t>
      </w:r>
      <w:bookmarkEnd w:id="15"/>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3: Definitions of external organisations"/>
        <w:tblDescription w:val="Table 3 provides definitions of each external organisation type that were consulted as part of the review. The Table has 2 columns. Column 1 lists the five organisation types that were consulted with during the review process. Column 2 defines how KPMG have categorised each organisation type in the context of this review. "/>
      </w:tblPr>
      <w:tblGrid>
        <w:gridCol w:w="4283"/>
        <w:gridCol w:w="4702"/>
      </w:tblGrid>
      <w:tr w:rsidR="002B2537" w:rsidRPr="00964881" w14:paraId="54675868" w14:textId="77777777" w:rsidTr="00857DE3">
        <w:trPr>
          <w:trHeight w:val="502"/>
        </w:trPr>
        <w:tc>
          <w:tcPr>
            <w:tcW w:w="4283" w:type="dxa"/>
            <w:vAlign w:val="center"/>
          </w:tcPr>
          <w:p w14:paraId="181A478F" w14:textId="77777777" w:rsidR="002B2537" w:rsidRPr="00964881" w:rsidRDefault="002B2537" w:rsidP="00857DE3">
            <w:pPr>
              <w:pStyle w:val="Tableheading"/>
            </w:pPr>
            <w:r>
              <w:rPr>
                <w:lang w:eastAsia="en-AU"/>
              </w:rPr>
              <w:t>External organisation type</w:t>
            </w:r>
          </w:p>
        </w:tc>
        <w:tc>
          <w:tcPr>
            <w:tcW w:w="4702" w:type="dxa"/>
            <w:vAlign w:val="center"/>
          </w:tcPr>
          <w:p w14:paraId="4337F2B8" w14:textId="77777777" w:rsidR="002B2537" w:rsidRPr="00964881" w:rsidRDefault="002B2537" w:rsidP="00857DE3">
            <w:pPr>
              <w:pStyle w:val="Tableheading"/>
            </w:pPr>
            <w:r>
              <w:rPr>
                <w:lang w:eastAsia="en-AU"/>
              </w:rPr>
              <w:t>Definition</w:t>
            </w:r>
          </w:p>
        </w:tc>
      </w:tr>
      <w:tr w:rsidR="002B2537" w:rsidRPr="00964881" w14:paraId="2A02D9AF" w14:textId="77777777" w:rsidTr="00857DE3">
        <w:trPr>
          <w:trHeight w:val="359"/>
        </w:trPr>
        <w:tc>
          <w:tcPr>
            <w:tcW w:w="4283" w:type="dxa"/>
          </w:tcPr>
          <w:p w14:paraId="1BB76646" w14:textId="77777777" w:rsidR="002B2537" w:rsidRPr="00D22AF6" w:rsidRDefault="002B2537" w:rsidP="00D22AF6">
            <w:pPr>
              <w:pStyle w:val="Tabletext"/>
              <w:rPr>
                <w:b/>
                <w:bCs/>
              </w:rPr>
            </w:pPr>
            <w:r w:rsidRPr="00D22AF6">
              <w:rPr>
                <w:b/>
                <w:bCs/>
              </w:rPr>
              <w:t>Advocacy body / organisation</w:t>
            </w:r>
          </w:p>
        </w:tc>
        <w:tc>
          <w:tcPr>
            <w:tcW w:w="4702" w:type="dxa"/>
          </w:tcPr>
          <w:p w14:paraId="65DB52C2" w14:textId="4C9FB9F7" w:rsidR="002B2537" w:rsidRPr="00964881" w:rsidRDefault="00D47F14" w:rsidP="00D22AF6">
            <w:pPr>
              <w:pStyle w:val="Tabletext"/>
            </w:pPr>
            <w:r>
              <w:t>An o</w:t>
            </w:r>
            <w:r w:rsidR="002B2537" w:rsidRPr="007B6B46">
              <w:t xml:space="preserve">rganisation that provides support to a cohort of individuals through activities such as promoting or </w:t>
            </w:r>
            <w:r w:rsidR="002B2537" w:rsidRPr="007B6B46">
              <w:lastRenderedPageBreak/>
              <w:t>defending their rights or assisting individuals to access support services.</w:t>
            </w:r>
          </w:p>
        </w:tc>
      </w:tr>
      <w:tr w:rsidR="002B2537" w:rsidRPr="00964881" w14:paraId="6C20F2E3" w14:textId="77777777" w:rsidTr="00857DE3">
        <w:trPr>
          <w:trHeight w:val="359"/>
        </w:trPr>
        <w:tc>
          <w:tcPr>
            <w:tcW w:w="4283" w:type="dxa"/>
          </w:tcPr>
          <w:p w14:paraId="4A65D60E" w14:textId="77777777" w:rsidR="002B2537" w:rsidRPr="00D22AF6" w:rsidRDefault="002B2537" w:rsidP="00D22AF6">
            <w:pPr>
              <w:pStyle w:val="Tabletext"/>
              <w:rPr>
                <w:b/>
                <w:bCs/>
              </w:rPr>
            </w:pPr>
            <w:r w:rsidRPr="00D22AF6">
              <w:rPr>
                <w:b/>
                <w:bCs/>
              </w:rPr>
              <w:lastRenderedPageBreak/>
              <w:t>Peak / leadership / expert body with relevant expertise in public policy</w:t>
            </w:r>
          </w:p>
        </w:tc>
        <w:tc>
          <w:tcPr>
            <w:tcW w:w="4702" w:type="dxa"/>
          </w:tcPr>
          <w:p w14:paraId="3FD1BBDD" w14:textId="77777777" w:rsidR="002B2537" w:rsidRPr="00964881" w:rsidRDefault="002B2537" w:rsidP="00D22AF6">
            <w:pPr>
              <w:pStyle w:val="Tabletext"/>
            </w:pPr>
            <w:r w:rsidRPr="00DC7E29">
              <w:t xml:space="preserve">An organisation representing a sector of industry or community, typically representing multiple organisations, with collective expertise in any area of public policy. </w:t>
            </w:r>
          </w:p>
        </w:tc>
      </w:tr>
      <w:tr w:rsidR="002B2537" w:rsidRPr="00964881" w14:paraId="17195EA6" w14:textId="77777777" w:rsidTr="00857DE3">
        <w:trPr>
          <w:trHeight w:val="359"/>
        </w:trPr>
        <w:tc>
          <w:tcPr>
            <w:tcW w:w="4283" w:type="dxa"/>
          </w:tcPr>
          <w:p w14:paraId="385B95E9" w14:textId="42F83F4D" w:rsidR="002B2537" w:rsidRPr="00D22AF6" w:rsidRDefault="00FD49CD" w:rsidP="00D22AF6">
            <w:pPr>
              <w:pStyle w:val="Tabletext"/>
              <w:rPr>
                <w:b/>
                <w:bCs/>
              </w:rPr>
            </w:pPr>
            <w:r>
              <w:rPr>
                <w:b/>
                <w:bCs/>
              </w:rPr>
              <w:t>Employment services provider</w:t>
            </w:r>
          </w:p>
        </w:tc>
        <w:tc>
          <w:tcPr>
            <w:tcW w:w="4702" w:type="dxa"/>
          </w:tcPr>
          <w:p w14:paraId="2C92CEEF" w14:textId="2720D170" w:rsidR="002B2537" w:rsidRPr="00964881" w:rsidRDefault="002B2537" w:rsidP="00D22AF6">
            <w:pPr>
              <w:pStyle w:val="Tabletext"/>
            </w:pPr>
            <w:r w:rsidRPr="00DC7E29">
              <w:t xml:space="preserve">An individual, business or organisation delivering resources </w:t>
            </w:r>
            <w:r w:rsidR="00DD77F3">
              <w:t>and</w:t>
            </w:r>
            <w:r w:rsidRPr="00DC7E29">
              <w:t xml:space="preserve"> funded initiatives to upskill and secur</w:t>
            </w:r>
            <w:r w:rsidR="006A2DE9">
              <w:t>e</w:t>
            </w:r>
            <w:r w:rsidRPr="00DC7E29">
              <w:t xml:space="preserve"> individuals’ employment.</w:t>
            </w:r>
          </w:p>
        </w:tc>
      </w:tr>
      <w:tr w:rsidR="002B2537" w:rsidRPr="00964881" w14:paraId="57ECCDF6" w14:textId="77777777" w:rsidTr="00857DE3">
        <w:trPr>
          <w:trHeight w:val="359"/>
        </w:trPr>
        <w:tc>
          <w:tcPr>
            <w:tcW w:w="4283" w:type="dxa"/>
          </w:tcPr>
          <w:p w14:paraId="0CCE49FE" w14:textId="0FE5F18A" w:rsidR="002B2537" w:rsidRPr="00D22AF6" w:rsidRDefault="002B2537" w:rsidP="00D22AF6">
            <w:pPr>
              <w:pStyle w:val="Tabletext"/>
              <w:rPr>
                <w:b/>
                <w:bCs/>
              </w:rPr>
            </w:pPr>
            <w:r w:rsidRPr="00D22AF6">
              <w:rPr>
                <w:b/>
                <w:bCs/>
              </w:rPr>
              <w:t>Social security legal counsel provider</w:t>
            </w:r>
          </w:p>
        </w:tc>
        <w:tc>
          <w:tcPr>
            <w:tcW w:w="4702" w:type="dxa"/>
          </w:tcPr>
          <w:p w14:paraId="60F952DD" w14:textId="77777777" w:rsidR="002B2537" w:rsidRPr="00964881" w:rsidRDefault="002B2537" w:rsidP="00D22AF6">
            <w:pPr>
              <w:pStyle w:val="Tabletext"/>
            </w:pPr>
            <w:r w:rsidRPr="00DC7E29">
              <w:t>An individual, business or organisation delivering legal counsel and support and / or social security law counsel to individuals.</w:t>
            </w:r>
          </w:p>
        </w:tc>
      </w:tr>
      <w:tr w:rsidR="002B2537" w:rsidRPr="00964881" w14:paraId="0EEF8644" w14:textId="77777777" w:rsidTr="00857DE3">
        <w:trPr>
          <w:trHeight w:val="598"/>
        </w:trPr>
        <w:tc>
          <w:tcPr>
            <w:tcW w:w="4283" w:type="dxa"/>
          </w:tcPr>
          <w:p w14:paraId="32A642DD" w14:textId="77777777" w:rsidR="002B2537" w:rsidRPr="00D22AF6" w:rsidRDefault="002B2537" w:rsidP="00D22AF6">
            <w:pPr>
              <w:pStyle w:val="Tabletext"/>
              <w:rPr>
                <w:b/>
                <w:bCs/>
              </w:rPr>
            </w:pPr>
            <w:r w:rsidRPr="00D22AF6">
              <w:rPr>
                <w:b/>
                <w:bCs/>
              </w:rPr>
              <w:t>Charitable organisation / not for profit / community group</w:t>
            </w:r>
          </w:p>
        </w:tc>
        <w:tc>
          <w:tcPr>
            <w:tcW w:w="4702" w:type="dxa"/>
          </w:tcPr>
          <w:p w14:paraId="2F5FF2BA" w14:textId="77777777" w:rsidR="002B2537" w:rsidRPr="00964881" w:rsidRDefault="002B2537" w:rsidP="00D22AF6">
            <w:pPr>
              <w:pStyle w:val="Tabletext"/>
            </w:pPr>
            <w:r w:rsidRPr="00393524">
              <w:t>Organisations providing services, materials and resources to the community and which does not operate for profit and which is not categorised into one of the other stakeholder types.</w:t>
            </w:r>
          </w:p>
        </w:tc>
      </w:tr>
      <w:tr w:rsidR="00815E8E" w:rsidRPr="00964881" w14:paraId="2A14AC3F" w14:textId="77777777" w:rsidTr="00857DE3">
        <w:trPr>
          <w:trHeight w:val="598"/>
        </w:trPr>
        <w:tc>
          <w:tcPr>
            <w:tcW w:w="4283" w:type="dxa"/>
          </w:tcPr>
          <w:p w14:paraId="4C7D1EDF" w14:textId="19619007" w:rsidR="00815E8E" w:rsidRPr="00D22AF6" w:rsidRDefault="00815E8E" w:rsidP="00D22AF6">
            <w:pPr>
              <w:pStyle w:val="Tabletext"/>
              <w:rPr>
                <w:b/>
                <w:bCs/>
              </w:rPr>
            </w:pPr>
            <w:r w:rsidRPr="00D22AF6">
              <w:rPr>
                <w:b/>
                <w:bCs/>
              </w:rPr>
              <w:t>Individual experts</w:t>
            </w:r>
          </w:p>
        </w:tc>
        <w:tc>
          <w:tcPr>
            <w:tcW w:w="4702" w:type="dxa"/>
          </w:tcPr>
          <w:p w14:paraId="771635A3" w14:textId="5E630949" w:rsidR="00815E8E" w:rsidRPr="00393524" w:rsidRDefault="00815E8E" w:rsidP="00D22AF6">
            <w:pPr>
              <w:pStyle w:val="Tabletext"/>
            </w:pPr>
            <w:r>
              <w:t xml:space="preserve">Individual experts defined as </w:t>
            </w:r>
            <w:r w:rsidRPr="00B728C9">
              <w:t>an individual who is operating in an independent capacity and who holds expertise or experience in social security law or other areas of public policy. Does not include people who are recipients of income support payments. People in this category are not acting as representatives or on behalf of specific customer cohorts.</w:t>
            </w:r>
          </w:p>
        </w:tc>
      </w:tr>
    </w:tbl>
    <w:p w14:paraId="15FE9721" w14:textId="77777777" w:rsidR="002B2537" w:rsidRPr="00F35709" w:rsidRDefault="002B2537" w:rsidP="00A74EC8">
      <w:pPr>
        <w:pStyle w:val="Heading4"/>
      </w:pPr>
      <w:r>
        <w:t>Government stakeholders</w:t>
      </w:r>
    </w:p>
    <w:p w14:paraId="62F877D8" w14:textId="246BEFB8" w:rsidR="002B2537" w:rsidRPr="00FF4BA0" w:rsidRDefault="003C47FC" w:rsidP="002B2537">
      <w:pPr>
        <w:pStyle w:val="BodyText1"/>
      </w:pPr>
      <w:r>
        <w:t>A range of Government stakeholders were also identified</w:t>
      </w:r>
      <w:r w:rsidR="00560769">
        <w:t xml:space="preserve"> as part of the review. The following Government </w:t>
      </w:r>
      <w:r w:rsidR="005C7901">
        <w:t>stakeho</w:t>
      </w:r>
      <w:r w:rsidR="00FE0901">
        <w:t xml:space="preserve">lders </w:t>
      </w:r>
      <w:r w:rsidR="00584342">
        <w:t>we</w:t>
      </w:r>
      <w:r w:rsidR="00FE0901">
        <w:t xml:space="preserve">re </w:t>
      </w:r>
      <w:r w:rsidR="002B3495">
        <w:t xml:space="preserve">consulted </w:t>
      </w:r>
      <w:r w:rsidR="00DD77F3">
        <w:t xml:space="preserve">as shown in </w:t>
      </w:r>
      <w:r w:rsidR="00DD77F3">
        <w:fldChar w:fldCharType="begin"/>
      </w:r>
      <w:r w:rsidR="00DD77F3">
        <w:instrText xml:space="preserve"> REF _Ref103942342 \h </w:instrText>
      </w:r>
      <w:r w:rsidR="00DD77F3">
        <w:fldChar w:fldCharType="separate"/>
      </w:r>
      <w:r w:rsidR="00DD77F3" w:rsidRPr="00C0398F">
        <w:t xml:space="preserve">Table </w:t>
      </w:r>
      <w:r w:rsidR="00DD77F3">
        <w:rPr>
          <w:noProof/>
        </w:rPr>
        <w:t>4</w:t>
      </w:r>
      <w:r w:rsidR="00DD77F3" w:rsidRPr="00C0398F">
        <w:t>: Government stakeholders consulted as part of the review</w:t>
      </w:r>
      <w:r w:rsidR="00DD77F3">
        <w:fldChar w:fldCharType="end"/>
      </w:r>
      <w:r w:rsidR="00DD77F3">
        <w:t>.</w:t>
      </w:r>
      <w:r w:rsidR="0003318A">
        <w:t xml:space="preserve"> Government stakeholders were consulted </w:t>
      </w:r>
      <w:r w:rsidR="00B776E0">
        <w:t>to</w:t>
      </w:r>
      <w:r w:rsidR="0003318A">
        <w:t xml:space="preserve"> </w:t>
      </w:r>
      <w:r w:rsidR="00F24608">
        <w:t>understand</w:t>
      </w:r>
      <w:r w:rsidR="007A18E3">
        <w:t xml:space="preserve"> how the change was implemented</w:t>
      </w:r>
      <w:r w:rsidR="00A85F43">
        <w:t xml:space="preserve">, and other matters of policy and service delivery related to the change of income assessment model, rather than for views as to the success of the change. </w:t>
      </w:r>
    </w:p>
    <w:p w14:paraId="610A1128" w14:textId="16365EC0" w:rsidR="002B2537" w:rsidRPr="00C0398F" w:rsidRDefault="00C0398F" w:rsidP="00C0398F">
      <w:pPr>
        <w:pStyle w:val="Caption"/>
        <w:rPr>
          <w:color w:val="auto"/>
        </w:rPr>
      </w:pPr>
      <w:bookmarkStart w:id="16" w:name="_Ref103942342"/>
      <w:r w:rsidRPr="00C0398F">
        <w:rPr>
          <w:color w:val="auto"/>
        </w:rPr>
        <w:t xml:space="preserve">Table </w:t>
      </w:r>
      <w:r w:rsidRPr="00C0398F">
        <w:rPr>
          <w:color w:val="auto"/>
        </w:rPr>
        <w:fldChar w:fldCharType="begin"/>
      </w:r>
      <w:r w:rsidRPr="00C0398F">
        <w:rPr>
          <w:color w:val="auto"/>
        </w:rPr>
        <w:instrText xml:space="preserve"> SEQ Table \* ARABIC </w:instrText>
      </w:r>
      <w:r w:rsidRPr="00C0398F">
        <w:rPr>
          <w:color w:val="auto"/>
        </w:rPr>
        <w:fldChar w:fldCharType="separate"/>
      </w:r>
      <w:r w:rsidR="004969AE">
        <w:rPr>
          <w:noProof/>
          <w:color w:val="auto"/>
        </w:rPr>
        <w:t>4</w:t>
      </w:r>
      <w:r w:rsidRPr="00C0398F">
        <w:rPr>
          <w:color w:val="auto"/>
        </w:rPr>
        <w:fldChar w:fldCharType="end"/>
      </w:r>
      <w:r w:rsidRPr="00C0398F">
        <w:rPr>
          <w:color w:val="auto"/>
        </w:rPr>
        <w:t>: Government stakeholders consulted as part of the review</w:t>
      </w:r>
      <w:bookmarkEnd w:id="16"/>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4: Government stakeholders consulted as part of review"/>
        <w:tblDescription w:val="Table 4 provides an overview of Government stakeholders that were consulted as part of the review. The Table has 2 columns. Column 1 lists the different Government agencies consulted as part of the review. Column 2 lists who was consulted as part of the review, without listing individual names. "/>
      </w:tblPr>
      <w:tblGrid>
        <w:gridCol w:w="4283"/>
        <w:gridCol w:w="4702"/>
      </w:tblGrid>
      <w:tr w:rsidR="002B2537" w:rsidRPr="00964881" w14:paraId="47AE70C0" w14:textId="77777777" w:rsidTr="00857DE3">
        <w:trPr>
          <w:trHeight w:val="502"/>
          <w:tblHeader/>
        </w:trPr>
        <w:tc>
          <w:tcPr>
            <w:tcW w:w="4283" w:type="dxa"/>
            <w:vAlign w:val="center"/>
          </w:tcPr>
          <w:p w14:paraId="5A410CB6" w14:textId="0FA64DF8" w:rsidR="002B2537" w:rsidRPr="00964881" w:rsidRDefault="00560769" w:rsidP="00857DE3">
            <w:pPr>
              <w:pStyle w:val="Tableheading"/>
            </w:pPr>
            <w:r>
              <w:rPr>
                <w:lang w:eastAsia="en-AU"/>
              </w:rPr>
              <w:t>Government stakeholders</w:t>
            </w:r>
          </w:p>
        </w:tc>
        <w:tc>
          <w:tcPr>
            <w:tcW w:w="4702" w:type="dxa"/>
            <w:vAlign w:val="center"/>
          </w:tcPr>
          <w:p w14:paraId="0C919283" w14:textId="3CAA7BD1" w:rsidR="002B2537" w:rsidRPr="00964881" w:rsidRDefault="00E044B5" w:rsidP="00857DE3">
            <w:pPr>
              <w:pStyle w:val="Tableheading"/>
            </w:pPr>
            <w:r>
              <w:rPr>
                <w:lang w:eastAsia="en-AU"/>
              </w:rPr>
              <w:t>Overview</w:t>
            </w:r>
          </w:p>
        </w:tc>
      </w:tr>
      <w:tr w:rsidR="002B2537" w:rsidRPr="00964881" w14:paraId="28374EC9" w14:textId="77777777" w:rsidTr="00857DE3">
        <w:trPr>
          <w:trHeight w:val="359"/>
        </w:trPr>
        <w:tc>
          <w:tcPr>
            <w:tcW w:w="4283" w:type="dxa"/>
          </w:tcPr>
          <w:p w14:paraId="0A284255" w14:textId="77777777" w:rsidR="002B2537" w:rsidRPr="003C4F73" w:rsidRDefault="002B2537" w:rsidP="00857DE3">
            <w:pPr>
              <w:pStyle w:val="Tabletext"/>
              <w:rPr>
                <w:b/>
                <w:bCs/>
                <w:color w:val="000000" w:themeColor="text1"/>
              </w:rPr>
            </w:pPr>
            <w:r w:rsidRPr="003C4F73">
              <w:rPr>
                <w:b/>
                <w:bCs/>
              </w:rPr>
              <w:t>Department of Social Services</w:t>
            </w:r>
          </w:p>
        </w:tc>
        <w:tc>
          <w:tcPr>
            <w:tcW w:w="4702" w:type="dxa"/>
          </w:tcPr>
          <w:p w14:paraId="45855C6B" w14:textId="45518D5D" w:rsidR="002B2537" w:rsidRPr="00D15947" w:rsidRDefault="002B2537" w:rsidP="00857DE3">
            <w:pPr>
              <w:pStyle w:val="Tabletext"/>
              <w:rPr>
                <w:color w:val="000000" w:themeColor="text1"/>
              </w:rPr>
            </w:pPr>
            <w:r w:rsidRPr="00D15947">
              <w:rPr>
                <w:rFonts w:cs="Arial"/>
                <w:color w:val="000000"/>
              </w:rPr>
              <w:t xml:space="preserve">Key individuals </w:t>
            </w:r>
            <w:r w:rsidR="008244B1">
              <w:rPr>
                <w:rFonts w:cs="Arial"/>
                <w:color w:val="000000"/>
              </w:rPr>
              <w:t>in</w:t>
            </w:r>
            <w:r w:rsidRPr="00D15947">
              <w:rPr>
                <w:rFonts w:cs="Arial"/>
                <w:color w:val="000000"/>
              </w:rPr>
              <w:t xml:space="preserve"> DSS Income Reporting project team</w:t>
            </w:r>
            <w:r w:rsidR="00731DCA">
              <w:rPr>
                <w:rFonts w:cs="Arial"/>
                <w:color w:val="000000"/>
              </w:rPr>
              <w:t>.</w:t>
            </w:r>
          </w:p>
        </w:tc>
      </w:tr>
      <w:tr w:rsidR="002B2537" w:rsidRPr="00964881" w14:paraId="400E4582" w14:textId="77777777" w:rsidTr="00857DE3">
        <w:trPr>
          <w:trHeight w:val="359"/>
        </w:trPr>
        <w:tc>
          <w:tcPr>
            <w:tcW w:w="4283" w:type="dxa"/>
          </w:tcPr>
          <w:p w14:paraId="6CD64DA8" w14:textId="77777777" w:rsidR="002B2537" w:rsidRPr="003C4F73" w:rsidRDefault="002B2537" w:rsidP="00857DE3">
            <w:pPr>
              <w:pStyle w:val="Tabletext"/>
              <w:rPr>
                <w:b/>
                <w:bCs/>
                <w:color w:val="000000" w:themeColor="text1"/>
              </w:rPr>
            </w:pPr>
            <w:r w:rsidRPr="003C4F73">
              <w:rPr>
                <w:b/>
                <w:bCs/>
              </w:rPr>
              <w:t>Services Australia</w:t>
            </w:r>
          </w:p>
        </w:tc>
        <w:tc>
          <w:tcPr>
            <w:tcW w:w="4702" w:type="dxa"/>
          </w:tcPr>
          <w:p w14:paraId="746E21A9" w14:textId="1D74A786" w:rsidR="002B2537" w:rsidRPr="00D15947" w:rsidRDefault="00AE219F" w:rsidP="00857DE3">
            <w:pPr>
              <w:pStyle w:val="Tabletext"/>
              <w:rPr>
                <w:color w:val="000000" w:themeColor="text1"/>
              </w:rPr>
            </w:pPr>
            <w:r>
              <w:rPr>
                <w:rFonts w:cs="Arial"/>
                <w:color w:val="000000"/>
              </w:rPr>
              <w:t>V</w:t>
            </w:r>
            <w:r w:rsidR="002B2537" w:rsidRPr="00D15947">
              <w:rPr>
                <w:rFonts w:cs="Arial"/>
                <w:color w:val="000000"/>
              </w:rPr>
              <w:t xml:space="preserve">arious </w:t>
            </w:r>
            <w:r>
              <w:rPr>
                <w:rFonts w:cs="Arial"/>
                <w:color w:val="000000"/>
              </w:rPr>
              <w:t>individuals</w:t>
            </w:r>
            <w:r w:rsidR="002B2537" w:rsidRPr="00D15947">
              <w:rPr>
                <w:rFonts w:cs="Arial"/>
                <w:color w:val="000000"/>
              </w:rPr>
              <w:t xml:space="preserve"> with</w:t>
            </w:r>
            <w:r w:rsidR="00820BEC">
              <w:rPr>
                <w:rFonts w:cs="Arial"/>
                <w:color w:val="000000"/>
              </w:rPr>
              <w:t xml:space="preserve"> service</w:t>
            </w:r>
            <w:r w:rsidR="002B2537" w:rsidRPr="00D15947">
              <w:rPr>
                <w:rFonts w:cs="Arial"/>
                <w:color w:val="000000"/>
              </w:rPr>
              <w:t xml:space="preserve"> delivery accountability</w:t>
            </w:r>
            <w:r>
              <w:rPr>
                <w:rFonts w:cs="Arial"/>
                <w:color w:val="000000"/>
              </w:rPr>
              <w:t xml:space="preserve"> for </w:t>
            </w:r>
            <w:r w:rsidR="00820BEC">
              <w:rPr>
                <w:rFonts w:cs="Arial"/>
                <w:color w:val="000000"/>
              </w:rPr>
              <w:t>change of income assessment model</w:t>
            </w:r>
            <w:r w:rsidR="00731DCA">
              <w:rPr>
                <w:rFonts w:cs="Arial"/>
                <w:color w:val="000000"/>
              </w:rPr>
              <w:t>.</w:t>
            </w:r>
          </w:p>
        </w:tc>
      </w:tr>
      <w:tr w:rsidR="002B2537" w:rsidRPr="00964881" w14:paraId="65AF629E" w14:textId="77777777" w:rsidTr="00857DE3">
        <w:trPr>
          <w:trHeight w:val="359"/>
        </w:trPr>
        <w:tc>
          <w:tcPr>
            <w:tcW w:w="4283" w:type="dxa"/>
          </w:tcPr>
          <w:p w14:paraId="7E8D6277" w14:textId="77777777" w:rsidR="002B2537" w:rsidRPr="003C4F73" w:rsidRDefault="002B2537" w:rsidP="00857DE3">
            <w:pPr>
              <w:pStyle w:val="Tabletext"/>
              <w:rPr>
                <w:b/>
                <w:bCs/>
                <w:color w:val="000000" w:themeColor="text1"/>
              </w:rPr>
            </w:pPr>
            <w:r w:rsidRPr="003C4F73">
              <w:rPr>
                <w:b/>
                <w:bCs/>
              </w:rPr>
              <w:t>Department of Education Skills and Employment</w:t>
            </w:r>
          </w:p>
        </w:tc>
        <w:tc>
          <w:tcPr>
            <w:tcW w:w="4702" w:type="dxa"/>
          </w:tcPr>
          <w:p w14:paraId="1107720F" w14:textId="75F2871F" w:rsidR="002B2537" w:rsidRPr="00D15947" w:rsidRDefault="00AE219F" w:rsidP="00857DE3">
            <w:pPr>
              <w:pStyle w:val="Tabletext"/>
              <w:rPr>
                <w:color w:val="000000" w:themeColor="text1"/>
              </w:rPr>
            </w:pPr>
            <w:r w:rsidRPr="00D15947">
              <w:rPr>
                <w:rFonts w:cs="Arial"/>
                <w:color w:val="000000"/>
              </w:rPr>
              <w:t>Key individuals as identified by DSS Income Reporting project team</w:t>
            </w:r>
            <w:r w:rsidR="00731DCA">
              <w:rPr>
                <w:rFonts w:cs="Arial"/>
                <w:color w:val="000000"/>
              </w:rPr>
              <w:t>.</w:t>
            </w:r>
          </w:p>
        </w:tc>
      </w:tr>
      <w:tr w:rsidR="002B2537" w:rsidRPr="00964881" w14:paraId="013203A5" w14:textId="77777777" w:rsidTr="00857DE3">
        <w:trPr>
          <w:trHeight w:val="359"/>
        </w:trPr>
        <w:tc>
          <w:tcPr>
            <w:tcW w:w="4283" w:type="dxa"/>
          </w:tcPr>
          <w:p w14:paraId="146737F2" w14:textId="77777777" w:rsidR="002B2537" w:rsidRPr="003C4F73" w:rsidRDefault="002B2537" w:rsidP="00857DE3">
            <w:pPr>
              <w:pStyle w:val="Tabletext"/>
              <w:rPr>
                <w:b/>
                <w:bCs/>
                <w:color w:val="000000" w:themeColor="text1"/>
              </w:rPr>
            </w:pPr>
            <w:r w:rsidRPr="003C4F73">
              <w:rPr>
                <w:b/>
                <w:bCs/>
              </w:rPr>
              <w:t>Department of Veterans’ Affairs</w:t>
            </w:r>
          </w:p>
        </w:tc>
        <w:tc>
          <w:tcPr>
            <w:tcW w:w="4702" w:type="dxa"/>
          </w:tcPr>
          <w:p w14:paraId="56D9EBA5" w14:textId="2B7EEDC0" w:rsidR="002B2537" w:rsidRPr="00D15947" w:rsidRDefault="00AE219F" w:rsidP="00857DE3">
            <w:pPr>
              <w:pStyle w:val="Tabletext"/>
              <w:rPr>
                <w:color w:val="000000" w:themeColor="text1"/>
              </w:rPr>
            </w:pPr>
            <w:r w:rsidRPr="00D15947">
              <w:rPr>
                <w:rFonts w:cs="Arial"/>
                <w:color w:val="000000"/>
              </w:rPr>
              <w:t>Key individuals as identified by DSS Income Reporting project team</w:t>
            </w:r>
            <w:r w:rsidR="00731DCA">
              <w:rPr>
                <w:rFonts w:cs="Arial"/>
                <w:color w:val="000000"/>
              </w:rPr>
              <w:t>.</w:t>
            </w:r>
          </w:p>
        </w:tc>
      </w:tr>
    </w:tbl>
    <w:p w14:paraId="567FB3F0" w14:textId="77777777" w:rsidR="00383BCA" w:rsidRPr="002E54D6" w:rsidRDefault="00383BCA" w:rsidP="00460DB0">
      <w:pPr>
        <w:pStyle w:val="BodyText1"/>
      </w:pPr>
    </w:p>
    <w:p w14:paraId="38EB40FF" w14:textId="77777777" w:rsidR="00383BCA" w:rsidRDefault="00383BCA" w:rsidP="00A74EC8">
      <w:pPr>
        <w:pStyle w:val="Heading3"/>
      </w:pPr>
      <w:r>
        <w:t>Stakeholder engagement and communication</w:t>
      </w:r>
    </w:p>
    <w:p w14:paraId="34293CB2" w14:textId="1188ECB2" w:rsidR="00383BCA" w:rsidRDefault="00383BCA" w:rsidP="00383BCA">
      <w:pPr>
        <w:pStyle w:val="BodyText"/>
      </w:pPr>
      <w:r>
        <w:t xml:space="preserve">A Stakeholder Engagement and Communication Strategy was developed in consultation with DSS to provide an actionable schedule of activities to deliver communications </w:t>
      </w:r>
      <w:r w:rsidR="00A17E09">
        <w:t xml:space="preserve">prior to and </w:t>
      </w:r>
      <w:r>
        <w:t xml:space="preserve">during the consultation period. </w:t>
      </w:r>
      <w:r w:rsidR="006D7EA3" w:rsidRPr="00A5048B">
        <w:t>The Strategy articulated communication methods</w:t>
      </w:r>
      <w:r w:rsidR="00A17E09">
        <w:t>,</w:t>
      </w:r>
      <w:r w:rsidR="006D7EA3" w:rsidRPr="00A5048B">
        <w:t xml:space="preserve"> </w:t>
      </w:r>
      <w:r w:rsidR="00A17E09">
        <w:t>scheduling of communication activities</w:t>
      </w:r>
      <w:r w:rsidR="006D7EA3" w:rsidRPr="00A5048B">
        <w:t>,</w:t>
      </w:r>
      <w:r w:rsidR="002F07B0" w:rsidRPr="00A5048B">
        <w:t xml:space="preserve"> key messages and copies of materials to be shared including social media posts, emails</w:t>
      </w:r>
      <w:r w:rsidR="00460DB0" w:rsidRPr="00A5048B">
        <w:t xml:space="preserve"> and DSS Engage content. More detail on the Strategy </w:t>
      </w:r>
      <w:r w:rsidR="00A17E09">
        <w:t>can be found</w:t>
      </w:r>
      <w:r w:rsidR="00460DB0" w:rsidRPr="00A5048B">
        <w:t xml:space="preserve"> in </w:t>
      </w:r>
      <w:r w:rsidR="00AE7433">
        <w:fldChar w:fldCharType="begin"/>
      </w:r>
      <w:r w:rsidR="00AE7433">
        <w:instrText xml:space="preserve"> REF _Ref103931941 \h </w:instrText>
      </w:r>
      <w:r w:rsidR="00AE7433">
        <w:fldChar w:fldCharType="separate"/>
      </w:r>
      <w:r w:rsidR="009B630A" w:rsidRPr="002D2EAC">
        <w:t xml:space="preserve">Table </w:t>
      </w:r>
      <w:r w:rsidR="009B630A">
        <w:rPr>
          <w:noProof/>
        </w:rPr>
        <w:t>9</w:t>
      </w:r>
      <w:r w:rsidR="009B630A" w:rsidRPr="002D2EAC">
        <w:t>: Communication activities prior to and during consultation</w:t>
      </w:r>
      <w:r w:rsidR="00AE7433">
        <w:fldChar w:fldCharType="end"/>
      </w:r>
      <w:r w:rsidR="00AE7433">
        <w:t>.</w:t>
      </w:r>
    </w:p>
    <w:p w14:paraId="699184B8" w14:textId="45B85DCF" w:rsidR="00751C7A" w:rsidRPr="00854F8C" w:rsidRDefault="009333AB" w:rsidP="00A74EC8">
      <w:pPr>
        <w:pStyle w:val="Heading3"/>
      </w:pPr>
      <w:r>
        <w:lastRenderedPageBreak/>
        <w:t xml:space="preserve">Consultation </w:t>
      </w:r>
      <w:r w:rsidR="004800D4">
        <w:t>methods</w:t>
      </w:r>
    </w:p>
    <w:p w14:paraId="7A7C3027" w14:textId="100635B9" w:rsidR="00866C5A" w:rsidRPr="006B6479" w:rsidRDefault="00AE6560" w:rsidP="00866C5A">
      <w:pPr>
        <w:pStyle w:val="BodyText1"/>
      </w:pPr>
      <w:r>
        <w:t xml:space="preserve">There were three </w:t>
      </w:r>
      <w:r w:rsidR="00A17E09">
        <w:t>primary</w:t>
      </w:r>
      <w:r>
        <w:t xml:space="preserve"> </w:t>
      </w:r>
      <w:r w:rsidR="00823405">
        <w:t xml:space="preserve">consultation </w:t>
      </w:r>
      <w:r w:rsidR="004800D4">
        <w:t>method</w:t>
      </w:r>
      <w:r w:rsidR="00823405">
        <w:t>s used to meet the public consultation requirements of the review. These included</w:t>
      </w:r>
      <w:r w:rsidR="00A9411A">
        <w:t>:</w:t>
      </w:r>
      <w:r w:rsidR="00823405">
        <w:t xml:space="preserve"> </w:t>
      </w:r>
      <w:r w:rsidR="00F6477C">
        <w:t>surveys for impacted individuals and external organisations</w:t>
      </w:r>
      <w:r w:rsidR="00A9411A">
        <w:t>;</w:t>
      </w:r>
      <w:r w:rsidR="00F6477C">
        <w:t xml:space="preserve"> the opportunity to provide written submissions</w:t>
      </w:r>
      <w:r w:rsidR="00A9411A">
        <w:t>;</w:t>
      </w:r>
      <w:r w:rsidR="00F6477C">
        <w:t xml:space="preserve"> and </w:t>
      </w:r>
      <w:r w:rsidR="00527AF0">
        <w:t xml:space="preserve">one-on-one </w:t>
      </w:r>
      <w:r w:rsidR="00CB648F">
        <w:t>discussions</w:t>
      </w:r>
      <w:r w:rsidR="00527AF0">
        <w:t xml:space="preserve"> with identified organisations. </w:t>
      </w:r>
      <w:r w:rsidR="005F3742">
        <w:t>Surveys and written submissions were facilitated through the DSS Engage platform.</w:t>
      </w:r>
      <w:r w:rsidR="00866C5A">
        <w:t xml:space="preserve"> </w:t>
      </w:r>
      <w:r w:rsidR="00866C5A" w:rsidRPr="00B34BDF">
        <w:t>Consultation was open to public stakeholders from 15 March 2022 to 22 April 2022.</w:t>
      </w:r>
    </w:p>
    <w:p w14:paraId="71A4407A" w14:textId="712F694E" w:rsidR="00DF6923" w:rsidRDefault="00DF6923" w:rsidP="00DD670F">
      <w:pPr>
        <w:pStyle w:val="BodyText1"/>
      </w:pPr>
      <w:r>
        <w:t xml:space="preserve">To support each consultation method, </w:t>
      </w:r>
      <w:r w:rsidR="0033775B">
        <w:t xml:space="preserve">a Discussion </w:t>
      </w:r>
      <w:r w:rsidR="00016EE0">
        <w:t>P</w:t>
      </w:r>
      <w:r w:rsidR="0033775B">
        <w:t xml:space="preserve">aper was developed and provided on the DSS Engage </w:t>
      </w:r>
      <w:r w:rsidR="00283A95">
        <w:t>p</w:t>
      </w:r>
      <w:r w:rsidR="0033775B">
        <w:t>latform</w:t>
      </w:r>
      <w:r w:rsidR="00BB1A1D">
        <w:t>. The Paper provided</w:t>
      </w:r>
      <w:r w:rsidR="0033775B">
        <w:t xml:space="preserve"> targeted information regarding the review, and the specific questions in scope for consideration. A copy of the content from this Discussion Paper can be found in</w:t>
      </w:r>
      <w:r w:rsidR="00AE7433">
        <w:t xml:space="preserve"> </w:t>
      </w:r>
      <w:r w:rsidR="00AE7433">
        <w:fldChar w:fldCharType="begin"/>
      </w:r>
      <w:r w:rsidR="00AE7433">
        <w:instrText xml:space="preserve"> REF _Ref103931965 \h </w:instrText>
      </w:r>
      <w:r w:rsidR="00AE7433">
        <w:fldChar w:fldCharType="separate"/>
      </w:r>
      <w:r w:rsidR="009B630A" w:rsidRPr="00D66CDF">
        <w:t xml:space="preserve">Table </w:t>
      </w:r>
      <w:r w:rsidR="009B630A">
        <w:rPr>
          <w:noProof/>
        </w:rPr>
        <w:t>10</w:t>
      </w:r>
      <w:r w:rsidR="009B630A" w:rsidRPr="00D66CDF">
        <w:t>: Discussion Paper published to DSS Engage</w:t>
      </w:r>
      <w:r w:rsidR="00AE7433">
        <w:fldChar w:fldCharType="end"/>
      </w:r>
      <w:r w:rsidR="00AE7433">
        <w:t>.</w:t>
      </w:r>
    </w:p>
    <w:p w14:paraId="52C5113F" w14:textId="36E034F6" w:rsidR="00527AF0" w:rsidRDefault="00565712" w:rsidP="00E93FF9">
      <w:pPr>
        <w:pStyle w:val="Heading4"/>
      </w:pPr>
      <w:r>
        <w:t>Surveys</w:t>
      </w:r>
    </w:p>
    <w:p w14:paraId="57B3E1E3" w14:textId="12D70963" w:rsidR="009D6963" w:rsidRDefault="003D7003" w:rsidP="003D7003">
      <w:pPr>
        <w:pStyle w:val="BodyText1"/>
      </w:pPr>
      <w:r w:rsidRPr="005D0196">
        <w:t>Two short surveys (</w:t>
      </w:r>
      <w:r w:rsidR="009D6963">
        <w:t xml:space="preserve">less than </w:t>
      </w:r>
      <w:r w:rsidRPr="005D0196">
        <w:t>10 minutes</w:t>
      </w:r>
      <w:r w:rsidR="009D6963">
        <w:t xml:space="preserve"> in length</w:t>
      </w:r>
      <w:r w:rsidRPr="005D0196">
        <w:t xml:space="preserve">) were designed to seek targeted quantitative and qualitative feedback on the impact of the </w:t>
      </w:r>
      <w:r w:rsidR="00820BEC">
        <w:t>change of income assessment model</w:t>
      </w:r>
      <w:r w:rsidRPr="005D0196">
        <w:t>. The short survey</w:t>
      </w:r>
      <w:r w:rsidR="009D6963">
        <w:t>s</w:t>
      </w:r>
      <w:r w:rsidRPr="005D0196">
        <w:t xml:space="preserve"> invited responses from both individuals and organisations and </w:t>
      </w:r>
      <w:r w:rsidR="009D6963">
        <w:t>wer</w:t>
      </w:r>
      <w:r w:rsidRPr="005D0196">
        <w:t xml:space="preserve">e tailored accordingly. The survey asked questions related </w:t>
      </w:r>
      <w:r w:rsidR="00E4759B" w:rsidRPr="005D0196">
        <w:t>to</w:t>
      </w:r>
      <w:r w:rsidR="00052004">
        <w:t>:</w:t>
      </w:r>
    </w:p>
    <w:p w14:paraId="58ECB9C6" w14:textId="38BB1E52" w:rsidR="009D6963" w:rsidRDefault="00315A92" w:rsidP="009D6963">
      <w:pPr>
        <w:pStyle w:val="Bullet1stlevel"/>
      </w:pPr>
      <w:r>
        <w:t>D</w:t>
      </w:r>
      <w:r w:rsidR="003D7003" w:rsidRPr="005D0196">
        <w:t xml:space="preserve">emographics </w:t>
      </w:r>
      <w:r w:rsidR="009D6963">
        <w:t>of respondent</w:t>
      </w:r>
      <w:r w:rsidR="003D7003">
        <w:t>s</w:t>
      </w:r>
      <w:r w:rsidR="00E4759B">
        <w:t>;</w:t>
      </w:r>
    </w:p>
    <w:p w14:paraId="23026275" w14:textId="19A37753" w:rsidR="009D6963" w:rsidRDefault="00315A92" w:rsidP="009D6963">
      <w:pPr>
        <w:pStyle w:val="Bullet1stlevel"/>
      </w:pPr>
      <w:r>
        <w:t>O</w:t>
      </w:r>
      <w:r w:rsidR="003D7003" w:rsidRPr="005D0196">
        <w:t>verall experience with the income reporting process</w:t>
      </w:r>
      <w:r w:rsidR="00E4759B">
        <w:t>;</w:t>
      </w:r>
    </w:p>
    <w:p w14:paraId="6CA55AFA" w14:textId="14C859A2" w:rsidR="009D6963" w:rsidRDefault="00315A92" w:rsidP="009D6963">
      <w:pPr>
        <w:pStyle w:val="Bullet1stlevel"/>
      </w:pPr>
      <w:r>
        <w:t>Aw</w:t>
      </w:r>
      <w:r w:rsidR="003D7003" w:rsidRPr="005D0196">
        <w:t xml:space="preserve">areness of the </w:t>
      </w:r>
      <w:r w:rsidR="00820BEC">
        <w:t>change of income assessment model</w:t>
      </w:r>
      <w:r w:rsidR="003D7003" w:rsidRPr="005D0196">
        <w:t xml:space="preserve"> </w:t>
      </w:r>
      <w:r w:rsidR="003D7003">
        <w:t>prior to implementation</w:t>
      </w:r>
      <w:r w:rsidR="00E4759B">
        <w:t>;</w:t>
      </w:r>
    </w:p>
    <w:p w14:paraId="6674BDAB" w14:textId="667093E4" w:rsidR="009D6963" w:rsidRDefault="00315A92" w:rsidP="009D6963">
      <w:pPr>
        <w:pStyle w:val="Bullet1stlevel"/>
      </w:pPr>
      <w:r>
        <w:t>C</w:t>
      </w:r>
      <w:r w:rsidR="003D7003" w:rsidRPr="005D0196">
        <w:t>hallenges during the transition process</w:t>
      </w:r>
      <w:r w:rsidR="00E4759B">
        <w:t>;</w:t>
      </w:r>
    </w:p>
    <w:p w14:paraId="0C41E014" w14:textId="692C5BF1" w:rsidR="009D6963" w:rsidRDefault="00315A92" w:rsidP="009D6963">
      <w:pPr>
        <w:pStyle w:val="Bullet1stlevel"/>
      </w:pPr>
      <w:r>
        <w:t>C</w:t>
      </w:r>
      <w:r w:rsidR="003D7003" w:rsidRPr="005D0196">
        <w:t>hanges in the</w:t>
      </w:r>
      <w:r w:rsidR="009D6963">
        <w:t>ir</w:t>
      </w:r>
      <w:r w:rsidR="003D7003" w:rsidRPr="005D0196">
        <w:t xml:space="preserve"> experience of reporting income since the </w:t>
      </w:r>
      <w:r w:rsidR="00820BEC">
        <w:t>change of income assessment model</w:t>
      </w:r>
      <w:r w:rsidR="003D7003" w:rsidRPr="005D0196">
        <w:t xml:space="preserve"> was implemente</w:t>
      </w:r>
      <w:r w:rsidR="003D7003">
        <w:t>d</w:t>
      </w:r>
      <w:r w:rsidR="009D6963">
        <w:t>; and</w:t>
      </w:r>
    </w:p>
    <w:p w14:paraId="525C9C41" w14:textId="454E1AF5" w:rsidR="00565712" w:rsidRDefault="00315A92" w:rsidP="00565712">
      <w:pPr>
        <w:pStyle w:val="Bullet1stlevel"/>
      </w:pPr>
      <w:r>
        <w:t>I</w:t>
      </w:r>
      <w:r w:rsidRPr="005D0196">
        <w:t xml:space="preserve">mpacts of the </w:t>
      </w:r>
      <w:r w:rsidR="00820BEC">
        <w:t xml:space="preserve">change of income assessment model </w:t>
      </w:r>
      <w:r w:rsidRPr="005D0196">
        <w:t>(including for those receiving pensioner payments</w:t>
      </w:r>
      <w:r w:rsidR="003D7003" w:rsidRPr="005D0196">
        <w:t>)</w:t>
      </w:r>
      <w:r w:rsidR="003D7003">
        <w:t xml:space="preserve">. </w:t>
      </w:r>
    </w:p>
    <w:p w14:paraId="52B228EB" w14:textId="570CD3E2" w:rsidR="00790A21" w:rsidRDefault="00AE219F" w:rsidP="00E72EC8">
      <w:pPr>
        <w:pStyle w:val="BodyText1"/>
      </w:pPr>
      <w:r>
        <w:t>A total of 54 individual</w:t>
      </w:r>
      <w:r w:rsidR="00052004">
        <w:t>s</w:t>
      </w:r>
      <w:r>
        <w:t xml:space="preserve"> responded to the individual survey and nine organisations responded to the organisational survey. </w:t>
      </w:r>
    </w:p>
    <w:p w14:paraId="113A2ED0" w14:textId="4D8A5465" w:rsidR="00565712" w:rsidRDefault="00565712" w:rsidP="00E93FF9">
      <w:pPr>
        <w:pStyle w:val="Heading4"/>
      </w:pPr>
      <w:r>
        <w:t>Written submissions</w:t>
      </w:r>
    </w:p>
    <w:p w14:paraId="4ED48374" w14:textId="3EE752D1" w:rsidR="00565712" w:rsidRDefault="006D7E89" w:rsidP="00E72EC8">
      <w:pPr>
        <w:pStyle w:val="BodyText1"/>
      </w:pPr>
      <w:r>
        <w:t xml:space="preserve">Organisations or individuals were invited to </w:t>
      </w:r>
      <w:r w:rsidR="00A858A3">
        <w:t>lodge a</w:t>
      </w:r>
      <w:r>
        <w:t xml:space="preserve"> written submission through the DSS Engage </w:t>
      </w:r>
      <w:r w:rsidR="00052004">
        <w:t>p</w:t>
      </w:r>
      <w:r>
        <w:t>latform. This allowed stakeholders to provide unstructured feedback in a format and dialogue that best represented their views.</w:t>
      </w:r>
      <w:r w:rsidR="00F277A1">
        <w:t xml:space="preserve"> </w:t>
      </w:r>
      <w:r w:rsidR="00A858A3">
        <w:t>Four written submissions were lodged via DSS Engage, two of these were by individuals and two of these were from UnitingCare Australia and Carers</w:t>
      </w:r>
      <w:r w:rsidR="00341915">
        <w:t xml:space="preserve"> </w:t>
      </w:r>
      <w:r w:rsidR="00A858A3">
        <w:t xml:space="preserve">NSW. </w:t>
      </w:r>
      <w:r w:rsidR="009A6771">
        <w:t xml:space="preserve">Both organisations provided permission for their </w:t>
      </w:r>
      <w:r w:rsidR="005F1240">
        <w:t>submissions to be</w:t>
      </w:r>
      <w:r w:rsidR="009A6771">
        <w:t xml:space="preserve"> published publicly</w:t>
      </w:r>
      <w:r w:rsidR="00DF51AB">
        <w:t xml:space="preserve"> </w:t>
      </w:r>
      <w:r w:rsidR="005F1240">
        <w:t xml:space="preserve">after the consultation period </w:t>
      </w:r>
      <w:r w:rsidR="00341915">
        <w:t>had</w:t>
      </w:r>
      <w:r w:rsidR="005F1240">
        <w:t xml:space="preserve"> closed.</w:t>
      </w:r>
    </w:p>
    <w:p w14:paraId="3F013B48" w14:textId="23A0E47B" w:rsidR="00565712" w:rsidRDefault="00565712" w:rsidP="00E93FF9">
      <w:pPr>
        <w:pStyle w:val="Heading4"/>
      </w:pPr>
      <w:r>
        <w:t>Interviews with external organisations</w:t>
      </w:r>
    </w:p>
    <w:p w14:paraId="24DE73B8" w14:textId="1963C644" w:rsidR="005A06C2" w:rsidRDefault="005F3742" w:rsidP="00A13ECA">
      <w:pPr>
        <w:pStyle w:val="BodyText1"/>
      </w:pPr>
      <w:r w:rsidRPr="00DD670F">
        <w:t xml:space="preserve">In addition to the </w:t>
      </w:r>
      <w:r w:rsidR="00790A21">
        <w:t>surveys and written submissions</w:t>
      </w:r>
      <w:r w:rsidR="00E431E5">
        <w:t xml:space="preserve"> facilitated through the </w:t>
      </w:r>
      <w:r w:rsidRPr="00DD670F">
        <w:t xml:space="preserve">DSS Engage platform, 15 peak body organisations were contacted via email and invited to a </w:t>
      </w:r>
      <w:r w:rsidR="00E431E5">
        <w:t>one-on-one</w:t>
      </w:r>
      <w:r w:rsidRPr="00DD670F">
        <w:t xml:space="preserve"> discussion with KPMG </w:t>
      </w:r>
      <w:r w:rsidR="006D624B">
        <w:t>to discuss</w:t>
      </w:r>
      <w:r w:rsidRPr="00DD670F">
        <w:t xml:space="preserve"> the impact of the </w:t>
      </w:r>
      <w:r w:rsidR="00820BEC">
        <w:t>change of income assessment model</w:t>
      </w:r>
      <w:r w:rsidRPr="00DD670F">
        <w:t>.</w:t>
      </w:r>
      <w:r w:rsidR="00BD04C4">
        <w:t xml:space="preserve"> </w:t>
      </w:r>
      <w:r w:rsidR="00537DE4">
        <w:t>These organisations were identified in consultation with DSS</w:t>
      </w:r>
      <w:r w:rsidR="00EA75A4">
        <w:t>, most of th</w:t>
      </w:r>
      <w:r w:rsidR="002833E5">
        <w:t xml:space="preserve">em from relevant </w:t>
      </w:r>
      <w:r w:rsidR="00E07FE7">
        <w:t>Advisory Groups</w:t>
      </w:r>
      <w:r w:rsidR="0010667A">
        <w:t xml:space="preserve">; Disability Peak Bodies, SA Civil Society Advisory Group, DSS Community Services Advisory Group </w:t>
      </w:r>
      <w:r w:rsidR="00E64E6A">
        <w:t xml:space="preserve">(CSAG) </w:t>
      </w:r>
      <w:r w:rsidR="0010667A">
        <w:t xml:space="preserve">and </w:t>
      </w:r>
      <w:r w:rsidR="00E64E6A">
        <w:t>The National Multicultural Advisory Group (NMAG)</w:t>
      </w:r>
      <w:r w:rsidR="0010667A">
        <w:t xml:space="preserve"> Members</w:t>
      </w:r>
      <w:r w:rsidR="00E64E6A">
        <w:t xml:space="preserve">. </w:t>
      </w:r>
      <w:r w:rsidR="00341915">
        <w:t>The remainder were selected based on representation gaps from the consultation surveys</w:t>
      </w:r>
      <w:r w:rsidR="00CB1823">
        <w:t>;</w:t>
      </w:r>
      <w:r w:rsidR="00341915">
        <w:t xml:space="preserve"> for example</w:t>
      </w:r>
      <w:r w:rsidR="00CB1823">
        <w:t>,</w:t>
      </w:r>
      <w:r w:rsidR="00341915">
        <w:t xml:space="preserve"> no individual receiving the Farm Household Allowance had completed the consultation survey</w:t>
      </w:r>
      <w:r w:rsidR="00092425">
        <w:rPr>
          <w:rStyle w:val="FootnoteReference"/>
        </w:rPr>
        <w:footnoteReference w:id="8"/>
      </w:r>
      <w:r w:rsidR="00341915">
        <w:t xml:space="preserve">, so an organisation was selected for a targeted discussion to consider feedback from this affected cohort. </w:t>
      </w:r>
      <w:r w:rsidR="00BD04C4">
        <w:t>A further two organisations were referred to KPMG for interview by other stakeholders.</w:t>
      </w:r>
    </w:p>
    <w:p w14:paraId="4F9463A2" w14:textId="233C8FD1" w:rsidR="004800D4" w:rsidRDefault="00A13ECA" w:rsidP="00A13ECA">
      <w:pPr>
        <w:pStyle w:val="BodyText1"/>
        <w:rPr>
          <w:lang w:val="en-US"/>
        </w:rPr>
      </w:pPr>
      <w:r>
        <w:t>F</w:t>
      </w:r>
      <w:r w:rsidR="005F3742" w:rsidRPr="00DD670F">
        <w:t>ive interviews were scheduled</w:t>
      </w:r>
      <w:r w:rsidR="005F3742">
        <w:rPr>
          <w:lang w:val="en-US"/>
        </w:rPr>
        <w:t xml:space="preserve"> and completed with organisational representatives.</w:t>
      </w:r>
      <w:r w:rsidR="007C0A72">
        <w:rPr>
          <w:lang w:val="en-US"/>
        </w:rPr>
        <w:t xml:space="preserve"> </w:t>
      </w:r>
      <w:r w:rsidR="00027592">
        <w:rPr>
          <w:lang w:val="en-US"/>
        </w:rPr>
        <w:t xml:space="preserve">A list of these organisations that consented to be identified publicly as having participated in the one-on-one consultation is shown in </w:t>
      </w:r>
      <w:r w:rsidR="00027592">
        <w:rPr>
          <w:lang w:val="en-US"/>
        </w:rPr>
        <w:fldChar w:fldCharType="begin"/>
      </w:r>
      <w:r w:rsidR="00027592">
        <w:rPr>
          <w:lang w:val="en-US"/>
        </w:rPr>
        <w:instrText xml:space="preserve"> REF _Ref103932006 \h </w:instrText>
      </w:r>
      <w:r w:rsidR="00027592">
        <w:rPr>
          <w:lang w:val="en-US"/>
        </w:rPr>
      </w:r>
      <w:r w:rsidR="00027592">
        <w:rPr>
          <w:lang w:val="en-US"/>
        </w:rPr>
        <w:fldChar w:fldCharType="separate"/>
      </w:r>
      <w:r w:rsidR="009B630A" w:rsidRPr="00D66CDF">
        <w:t xml:space="preserve">Table </w:t>
      </w:r>
      <w:r w:rsidR="009B630A">
        <w:rPr>
          <w:noProof/>
        </w:rPr>
        <w:t>13</w:t>
      </w:r>
      <w:r w:rsidR="009B630A" w:rsidRPr="00D66CDF">
        <w:t>: Peak body organisations interviewed in one-on-one consultation</w:t>
      </w:r>
      <w:r w:rsidR="00027592">
        <w:rPr>
          <w:lang w:val="en-US"/>
        </w:rPr>
        <w:fldChar w:fldCharType="end"/>
      </w:r>
      <w:r w:rsidR="00027592">
        <w:rPr>
          <w:lang w:val="en-US"/>
        </w:rPr>
        <w:t xml:space="preserve">. </w:t>
      </w:r>
      <w:r w:rsidR="00541225">
        <w:rPr>
          <w:lang w:val="en-US"/>
        </w:rPr>
        <w:t xml:space="preserve">Three </w:t>
      </w:r>
      <w:r w:rsidR="00541225">
        <w:rPr>
          <w:lang w:val="en-US"/>
        </w:rPr>
        <w:lastRenderedPageBreak/>
        <w:t xml:space="preserve">organisations responded and reported they did not have any feedback on the change of income assessment model at this time, one noting they had not observed any impact on their clients and thus viewed the change as having a neutral impact. </w:t>
      </w:r>
      <w:r w:rsidR="006D16A5">
        <w:rPr>
          <w:lang w:val="en-US"/>
        </w:rPr>
        <w:t>T</w:t>
      </w:r>
      <w:r w:rsidR="001A3D41">
        <w:rPr>
          <w:lang w:val="en-US"/>
        </w:rPr>
        <w:t xml:space="preserve">hree organisations contacted expressed an interest in participating </w:t>
      </w:r>
      <w:r w:rsidR="00D424BC">
        <w:rPr>
          <w:lang w:val="en-US"/>
        </w:rPr>
        <w:t xml:space="preserve">however </w:t>
      </w:r>
      <w:r w:rsidR="00621383">
        <w:rPr>
          <w:lang w:val="en-US"/>
        </w:rPr>
        <w:t xml:space="preserve">no further response </w:t>
      </w:r>
      <w:r w:rsidR="00621383" w:rsidRPr="0020155D">
        <w:rPr>
          <w:lang w:val="en-US"/>
        </w:rPr>
        <w:t xml:space="preserve">was received </w:t>
      </w:r>
      <w:r w:rsidR="007F4629" w:rsidRPr="0020155D">
        <w:rPr>
          <w:lang w:val="en-US"/>
        </w:rPr>
        <w:t>when attempting to schedule the discussion.</w:t>
      </w:r>
      <w:r w:rsidR="00EF605D">
        <w:rPr>
          <w:lang w:val="en-US"/>
        </w:rPr>
        <w:t xml:space="preserve"> No response was received from </w:t>
      </w:r>
      <w:r w:rsidR="00820AED">
        <w:rPr>
          <w:lang w:val="en-US"/>
        </w:rPr>
        <w:t>six organisations invited to interview.</w:t>
      </w:r>
    </w:p>
    <w:p w14:paraId="25067B74" w14:textId="77777777" w:rsidR="0020155D" w:rsidRDefault="0020155D" w:rsidP="00A13ECA">
      <w:pPr>
        <w:pStyle w:val="BodyText1"/>
        <w:rPr>
          <w:lang w:val="en-US"/>
        </w:rPr>
      </w:pPr>
    </w:p>
    <w:p w14:paraId="31728C66" w14:textId="5FE547CF" w:rsidR="0020155D" w:rsidRPr="00854F8C" w:rsidRDefault="0020155D" w:rsidP="0020155D">
      <w:pPr>
        <w:pStyle w:val="Heading3"/>
      </w:pPr>
      <w:r>
        <w:t>Overview of stakeholder response</w:t>
      </w:r>
    </w:p>
    <w:p w14:paraId="6D2D658C" w14:textId="281C06B9" w:rsidR="0020155D" w:rsidRDefault="0020155D" w:rsidP="0020155D">
      <w:pPr>
        <w:pStyle w:val="BodyText1"/>
      </w:pPr>
      <w:r>
        <w:t xml:space="preserve">As outlined in Section 2 </w:t>
      </w:r>
      <w:r>
        <w:rPr>
          <w:highlight w:val="yellow"/>
        </w:rPr>
        <w:fldChar w:fldCharType="begin"/>
      </w:r>
      <w:r>
        <w:instrText xml:space="preserve"> REF _Ref103678070 \h </w:instrText>
      </w:r>
      <w:r>
        <w:rPr>
          <w:highlight w:val="yellow"/>
        </w:rPr>
      </w:r>
      <w:r>
        <w:rPr>
          <w:highlight w:val="yellow"/>
        </w:rPr>
        <w:fldChar w:fldCharType="separate"/>
      </w:r>
      <w:r w:rsidR="004969AE">
        <w:t>Approach to the Review</w:t>
      </w:r>
      <w:r>
        <w:rPr>
          <w:highlight w:val="yellow"/>
        </w:rPr>
        <w:fldChar w:fldCharType="end"/>
      </w:r>
      <w:r>
        <w:t xml:space="preserve"> above, there were three main consultation methods used to engage with identified stakeholders. The number of responses received through each method is outlined in</w:t>
      </w:r>
      <w:r w:rsidR="00AE7433">
        <w:t xml:space="preserve"> </w:t>
      </w:r>
      <w:r w:rsidR="00AE7433">
        <w:rPr>
          <w:highlight w:val="yellow"/>
        </w:rPr>
        <w:fldChar w:fldCharType="begin"/>
      </w:r>
      <w:r w:rsidR="00AE7433">
        <w:instrText xml:space="preserve"> REF _Ref103931982 \h </w:instrText>
      </w:r>
      <w:r w:rsidR="00AE7433">
        <w:rPr>
          <w:highlight w:val="yellow"/>
        </w:rPr>
      </w:r>
      <w:r w:rsidR="00AE7433">
        <w:rPr>
          <w:highlight w:val="yellow"/>
        </w:rPr>
        <w:fldChar w:fldCharType="separate"/>
      </w:r>
      <w:r w:rsidR="00AE7433" w:rsidRPr="00C0398F">
        <w:t xml:space="preserve">Table </w:t>
      </w:r>
      <w:r w:rsidR="00AE7433">
        <w:rPr>
          <w:noProof/>
        </w:rPr>
        <w:t>5</w:t>
      </w:r>
      <w:r w:rsidR="00AE7433" w:rsidRPr="00C0398F">
        <w:t>: Overview of stakeholder response by consultation channel</w:t>
      </w:r>
      <w:r w:rsidR="00AE7433">
        <w:rPr>
          <w:highlight w:val="yellow"/>
        </w:rPr>
        <w:fldChar w:fldCharType="end"/>
      </w:r>
      <w:r>
        <w:t>, below.</w:t>
      </w:r>
    </w:p>
    <w:p w14:paraId="019D99A2" w14:textId="5FC854F8" w:rsidR="0020155D" w:rsidRPr="00C0398F" w:rsidRDefault="00C0398F" w:rsidP="00C0398F">
      <w:pPr>
        <w:pStyle w:val="Caption"/>
        <w:rPr>
          <w:color w:val="auto"/>
        </w:rPr>
      </w:pPr>
      <w:bookmarkStart w:id="17" w:name="_Ref103931982"/>
      <w:r w:rsidRPr="00C0398F">
        <w:rPr>
          <w:color w:val="auto"/>
        </w:rPr>
        <w:t xml:space="preserve">Table </w:t>
      </w:r>
      <w:r w:rsidRPr="00C0398F">
        <w:rPr>
          <w:color w:val="auto"/>
        </w:rPr>
        <w:fldChar w:fldCharType="begin"/>
      </w:r>
      <w:r w:rsidRPr="00C0398F">
        <w:rPr>
          <w:color w:val="auto"/>
        </w:rPr>
        <w:instrText xml:space="preserve"> SEQ Table \* ARABIC </w:instrText>
      </w:r>
      <w:r w:rsidRPr="00C0398F">
        <w:rPr>
          <w:color w:val="auto"/>
        </w:rPr>
        <w:fldChar w:fldCharType="separate"/>
      </w:r>
      <w:r w:rsidR="004969AE">
        <w:rPr>
          <w:noProof/>
          <w:color w:val="auto"/>
        </w:rPr>
        <w:t>5</w:t>
      </w:r>
      <w:r w:rsidRPr="00C0398F">
        <w:rPr>
          <w:color w:val="auto"/>
        </w:rPr>
        <w:fldChar w:fldCharType="end"/>
      </w:r>
      <w:r w:rsidRPr="00C0398F">
        <w:rPr>
          <w:color w:val="auto"/>
        </w:rPr>
        <w:t>: Overview of stakeholder response by consultation channel</w:t>
      </w:r>
      <w:bookmarkEnd w:id="17"/>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5: Overview of stakeholder response by consultation channel"/>
        <w:tblDescription w:val="Table 5 provides an overview of stakeholder responses by consultation channel. The Table has 2 columns. Column 1 lists four consultation methods that stakeholders could provide their feedback via as part of the review. Column 2 provides the number of responses received as part of consultation across the four consultation methods. The total number of responses is 72."/>
      </w:tblPr>
      <w:tblGrid>
        <w:gridCol w:w="4242"/>
        <w:gridCol w:w="4658"/>
      </w:tblGrid>
      <w:tr w:rsidR="0020155D" w:rsidRPr="00964881" w14:paraId="60CF7B6C" w14:textId="77777777" w:rsidTr="00E468AB">
        <w:trPr>
          <w:trHeight w:val="395"/>
          <w:tblHeader/>
        </w:trPr>
        <w:tc>
          <w:tcPr>
            <w:tcW w:w="4242" w:type="dxa"/>
            <w:vAlign w:val="center"/>
          </w:tcPr>
          <w:p w14:paraId="161B9360" w14:textId="77777777" w:rsidR="0020155D" w:rsidRPr="00964881" w:rsidRDefault="0020155D" w:rsidP="00E468AB">
            <w:pPr>
              <w:pStyle w:val="Tableheading"/>
            </w:pPr>
            <w:r>
              <w:rPr>
                <w:lang w:eastAsia="en-AU"/>
              </w:rPr>
              <w:t>Consultation method</w:t>
            </w:r>
          </w:p>
        </w:tc>
        <w:tc>
          <w:tcPr>
            <w:tcW w:w="4658" w:type="dxa"/>
            <w:vAlign w:val="center"/>
          </w:tcPr>
          <w:p w14:paraId="3AF19435" w14:textId="77777777" w:rsidR="0020155D" w:rsidRPr="00964881" w:rsidRDefault="0020155D" w:rsidP="00E468AB">
            <w:pPr>
              <w:pStyle w:val="Tableheading"/>
            </w:pPr>
            <w:r>
              <w:rPr>
                <w:lang w:eastAsia="en-AU"/>
              </w:rPr>
              <w:t>Number of responses</w:t>
            </w:r>
          </w:p>
        </w:tc>
      </w:tr>
      <w:tr w:rsidR="0020155D" w:rsidRPr="00964881" w14:paraId="0830BECB" w14:textId="77777777" w:rsidTr="00E468AB">
        <w:trPr>
          <w:trHeight w:val="200"/>
        </w:trPr>
        <w:tc>
          <w:tcPr>
            <w:tcW w:w="4242" w:type="dxa"/>
          </w:tcPr>
          <w:p w14:paraId="12BECF61" w14:textId="77777777" w:rsidR="0020155D" w:rsidRPr="00382F6D" w:rsidRDefault="0020155D" w:rsidP="00E468AB">
            <w:pPr>
              <w:pStyle w:val="Tabletext"/>
              <w:rPr>
                <w:b/>
              </w:rPr>
            </w:pPr>
            <w:r w:rsidRPr="00382F6D">
              <w:rPr>
                <w:b/>
              </w:rPr>
              <w:t>DSS Engage – individual survey</w:t>
            </w:r>
          </w:p>
        </w:tc>
        <w:tc>
          <w:tcPr>
            <w:tcW w:w="4658" w:type="dxa"/>
          </w:tcPr>
          <w:p w14:paraId="3D267A5B" w14:textId="77777777" w:rsidR="0020155D" w:rsidRPr="00964881" w:rsidRDefault="0020155D" w:rsidP="00E468AB">
            <w:pPr>
              <w:pStyle w:val="Tabletext"/>
            </w:pPr>
            <w:r>
              <w:t>54</w:t>
            </w:r>
          </w:p>
        </w:tc>
      </w:tr>
      <w:tr w:rsidR="0020155D" w:rsidRPr="00964881" w14:paraId="2B3F9A80" w14:textId="77777777" w:rsidTr="00E468AB">
        <w:trPr>
          <w:trHeight w:val="200"/>
        </w:trPr>
        <w:tc>
          <w:tcPr>
            <w:tcW w:w="4242" w:type="dxa"/>
          </w:tcPr>
          <w:p w14:paraId="51141B08" w14:textId="77777777" w:rsidR="0020155D" w:rsidRPr="00382F6D" w:rsidRDefault="0020155D" w:rsidP="00E468AB">
            <w:pPr>
              <w:pStyle w:val="Tabletext"/>
              <w:rPr>
                <w:b/>
              </w:rPr>
            </w:pPr>
            <w:r w:rsidRPr="00382F6D">
              <w:rPr>
                <w:b/>
              </w:rPr>
              <w:t>DSS Engage – organisation survey</w:t>
            </w:r>
          </w:p>
        </w:tc>
        <w:tc>
          <w:tcPr>
            <w:tcW w:w="4658" w:type="dxa"/>
          </w:tcPr>
          <w:p w14:paraId="0B5DDEF9" w14:textId="77777777" w:rsidR="0020155D" w:rsidRPr="00964881" w:rsidRDefault="0020155D" w:rsidP="00E468AB">
            <w:pPr>
              <w:pStyle w:val="Tabletext"/>
            </w:pPr>
            <w:r>
              <w:t>9</w:t>
            </w:r>
          </w:p>
        </w:tc>
      </w:tr>
      <w:tr w:rsidR="0020155D" w:rsidRPr="00964881" w14:paraId="07C2BB81" w14:textId="77777777" w:rsidTr="00E468AB">
        <w:trPr>
          <w:trHeight w:val="200"/>
        </w:trPr>
        <w:tc>
          <w:tcPr>
            <w:tcW w:w="4242" w:type="dxa"/>
          </w:tcPr>
          <w:p w14:paraId="4216E223" w14:textId="77777777" w:rsidR="0020155D" w:rsidRPr="00382F6D" w:rsidRDefault="0020155D" w:rsidP="00E468AB">
            <w:pPr>
              <w:pStyle w:val="Tabletext"/>
              <w:rPr>
                <w:b/>
              </w:rPr>
            </w:pPr>
            <w:r w:rsidRPr="00382F6D">
              <w:rPr>
                <w:b/>
              </w:rPr>
              <w:t>Written submissions</w:t>
            </w:r>
          </w:p>
        </w:tc>
        <w:tc>
          <w:tcPr>
            <w:tcW w:w="4658" w:type="dxa"/>
          </w:tcPr>
          <w:p w14:paraId="02EE370E" w14:textId="77777777" w:rsidR="0020155D" w:rsidRPr="00964881" w:rsidRDefault="0020155D" w:rsidP="00E468AB">
            <w:pPr>
              <w:pStyle w:val="Tabletext"/>
            </w:pPr>
            <w:r>
              <w:t>4</w:t>
            </w:r>
          </w:p>
        </w:tc>
      </w:tr>
      <w:tr w:rsidR="0020155D" w:rsidRPr="00964881" w14:paraId="55074D0D" w14:textId="77777777" w:rsidTr="00E468AB">
        <w:trPr>
          <w:trHeight w:val="50"/>
        </w:trPr>
        <w:tc>
          <w:tcPr>
            <w:tcW w:w="4242" w:type="dxa"/>
          </w:tcPr>
          <w:p w14:paraId="549FE5CF" w14:textId="77777777" w:rsidR="0020155D" w:rsidRPr="00382F6D" w:rsidRDefault="0020155D" w:rsidP="00E468AB">
            <w:pPr>
              <w:pStyle w:val="Tabletext"/>
              <w:rPr>
                <w:b/>
              </w:rPr>
            </w:pPr>
            <w:r w:rsidRPr="00382F6D">
              <w:rPr>
                <w:b/>
              </w:rPr>
              <w:t>Peak body organisations interview</w:t>
            </w:r>
          </w:p>
        </w:tc>
        <w:tc>
          <w:tcPr>
            <w:tcW w:w="4658" w:type="dxa"/>
          </w:tcPr>
          <w:p w14:paraId="15400B89" w14:textId="77777777" w:rsidR="0020155D" w:rsidRPr="00964881" w:rsidRDefault="0020155D" w:rsidP="00E468AB">
            <w:pPr>
              <w:pStyle w:val="Tabletext"/>
            </w:pPr>
            <w:r>
              <w:t xml:space="preserve">5 </w:t>
            </w:r>
          </w:p>
        </w:tc>
      </w:tr>
      <w:tr w:rsidR="0020155D" w:rsidRPr="00964881" w14:paraId="569239B9" w14:textId="77777777" w:rsidTr="00E468AB">
        <w:trPr>
          <w:trHeight w:val="194"/>
        </w:trPr>
        <w:tc>
          <w:tcPr>
            <w:tcW w:w="4242" w:type="dxa"/>
          </w:tcPr>
          <w:p w14:paraId="1423D41A" w14:textId="77777777" w:rsidR="0020155D" w:rsidRPr="00382F6D" w:rsidRDefault="0020155D" w:rsidP="00E468AB">
            <w:pPr>
              <w:pStyle w:val="Tabletext"/>
              <w:rPr>
                <w:b/>
              </w:rPr>
            </w:pPr>
            <w:r w:rsidRPr="00382F6D">
              <w:rPr>
                <w:b/>
              </w:rPr>
              <w:t>Total responses</w:t>
            </w:r>
          </w:p>
        </w:tc>
        <w:tc>
          <w:tcPr>
            <w:tcW w:w="4658" w:type="dxa"/>
          </w:tcPr>
          <w:p w14:paraId="3D8C9DE5" w14:textId="77777777" w:rsidR="0020155D" w:rsidRDefault="0020155D" w:rsidP="00E468AB">
            <w:pPr>
              <w:pStyle w:val="Tabletext"/>
            </w:pPr>
            <w:r>
              <w:t>72</w:t>
            </w:r>
          </w:p>
        </w:tc>
      </w:tr>
    </w:tbl>
    <w:p w14:paraId="42BD5EC0" w14:textId="51B91CA5" w:rsidR="0020155D" w:rsidRDefault="0020155D" w:rsidP="0020155D">
      <w:pPr>
        <w:pStyle w:val="BodyText1"/>
        <w:rPr>
          <w:i/>
          <w:iCs/>
        </w:rPr>
      </w:pPr>
      <w:r>
        <w:t xml:space="preserve">A list of organisational stakeholders that consented to being identified publicly can be found in </w:t>
      </w:r>
      <w:r w:rsidR="00AE7433">
        <w:fldChar w:fldCharType="begin"/>
      </w:r>
      <w:r w:rsidR="00AE7433">
        <w:instrText xml:space="preserve"> REF _Ref103932006 \h </w:instrText>
      </w:r>
      <w:r w:rsidR="00AE7433">
        <w:fldChar w:fldCharType="separate"/>
      </w:r>
      <w:r w:rsidR="009B630A" w:rsidRPr="00D66CDF">
        <w:t xml:space="preserve">Table </w:t>
      </w:r>
      <w:r w:rsidR="009B630A">
        <w:rPr>
          <w:noProof/>
        </w:rPr>
        <w:t>13</w:t>
      </w:r>
      <w:r w:rsidR="009B630A" w:rsidRPr="00D66CDF">
        <w:t>: Peak body organisations interviewed in one-on-one consultation</w:t>
      </w:r>
      <w:r w:rsidR="00AE7433">
        <w:fldChar w:fldCharType="end"/>
      </w:r>
      <w:r w:rsidR="004227F3">
        <w:t xml:space="preserve">. </w:t>
      </w:r>
      <w:r>
        <w:t>A profile of individual and organisational participants in the DSS Surve</w:t>
      </w:r>
      <w:r w:rsidRPr="00A638F1">
        <w:t xml:space="preserve">y can be found in </w:t>
      </w:r>
      <w:r w:rsidR="00AE7433">
        <w:fldChar w:fldCharType="begin"/>
      </w:r>
      <w:r w:rsidR="00AE7433">
        <w:instrText xml:space="preserve"> REF _Ref103932017 \h </w:instrText>
      </w:r>
      <w:r w:rsidR="00AE7433">
        <w:fldChar w:fldCharType="separate"/>
      </w:r>
      <w:r w:rsidR="009B630A" w:rsidRPr="00D66CDF">
        <w:t xml:space="preserve">Table </w:t>
      </w:r>
      <w:r w:rsidR="009B630A">
        <w:rPr>
          <w:noProof/>
        </w:rPr>
        <w:t>11</w:t>
      </w:r>
      <w:r w:rsidR="009B630A" w:rsidRPr="00D66CDF">
        <w:t>: Individual survey outline - via DSS Engage</w:t>
      </w:r>
      <w:r w:rsidR="00AE7433">
        <w:fldChar w:fldCharType="end"/>
      </w:r>
      <w:r w:rsidR="00AE7433">
        <w:t xml:space="preserve"> and </w:t>
      </w:r>
      <w:r w:rsidR="00AE7433">
        <w:fldChar w:fldCharType="begin"/>
      </w:r>
      <w:r w:rsidR="00AE7433">
        <w:instrText xml:space="preserve"> REF _Ref103932020 \h </w:instrText>
      </w:r>
      <w:r w:rsidR="00AE7433">
        <w:fldChar w:fldCharType="separate"/>
      </w:r>
      <w:r w:rsidR="009B630A" w:rsidRPr="00D66CDF">
        <w:t xml:space="preserve">Table </w:t>
      </w:r>
      <w:r w:rsidR="009B630A">
        <w:rPr>
          <w:noProof/>
        </w:rPr>
        <w:t>12</w:t>
      </w:r>
      <w:r w:rsidR="009B630A" w:rsidRPr="00D66CDF">
        <w:t>: Organisation survey outline - via DSS Engage</w:t>
      </w:r>
      <w:r w:rsidR="00AE7433">
        <w:fldChar w:fldCharType="end"/>
      </w:r>
      <w:r w:rsidR="00AE7433">
        <w:t>.</w:t>
      </w:r>
    </w:p>
    <w:p w14:paraId="6D28BB1A" w14:textId="3B37E4A9" w:rsidR="0020155D" w:rsidRPr="00565712" w:rsidRDefault="001D3A47" w:rsidP="001D3A47">
      <w:pPr>
        <w:pStyle w:val="BodyText1"/>
      </w:pPr>
      <w:r>
        <w:t xml:space="preserve">In the presentation of survey findings, all questions were optional, and some questions were ‘not applicable’ to some respondents. Therefore, the full sample of respondents have not answered all questions, reflected in the fluctuating base sizes across questions. </w:t>
      </w:r>
    </w:p>
    <w:p w14:paraId="520A76CE" w14:textId="658E122A" w:rsidR="00641432" w:rsidRPr="005D0196" w:rsidRDefault="00641432" w:rsidP="00E93FF9">
      <w:pPr>
        <w:pStyle w:val="Heading3"/>
      </w:pPr>
      <w:r>
        <w:t>Anonymity</w:t>
      </w:r>
      <w:r w:rsidR="00FA36D8">
        <w:t xml:space="preserve"> of stakeholders</w:t>
      </w:r>
    </w:p>
    <w:p w14:paraId="1DB487E7" w14:textId="5AA75D46" w:rsidR="00CD1485" w:rsidRPr="00CD1485" w:rsidRDefault="00FA36D8" w:rsidP="00DD670F">
      <w:pPr>
        <w:pStyle w:val="BodyText1"/>
        <w:rPr>
          <w:lang w:val="en-US"/>
        </w:rPr>
      </w:pPr>
      <w:r>
        <w:rPr>
          <w:lang w:val="en-US"/>
        </w:rPr>
        <w:t xml:space="preserve">The anonymity and privacy of all stakeholders </w:t>
      </w:r>
      <w:r w:rsidR="009C158B">
        <w:rPr>
          <w:lang w:val="en-US"/>
        </w:rPr>
        <w:t xml:space="preserve">was assured throughout the consultation process. </w:t>
      </w:r>
      <w:r w:rsidR="00355C02" w:rsidRPr="005D0196">
        <w:rPr>
          <w:lang w:val="en-US"/>
        </w:rPr>
        <w:t xml:space="preserve">Quotes and verbatim extracts of submissions </w:t>
      </w:r>
      <w:r w:rsidR="00355C02">
        <w:rPr>
          <w:lang w:val="en-US"/>
        </w:rPr>
        <w:t>have been used</w:t>
      </w:r>
      <w:r w:rsidR="00355C02" w:rsidRPr="005D0196">
        <w:rPr>
          <w:lang w:val="en-US"/>
        </w:rPr>
        <w:t xml:space="preserve"> in reporting, except where they </w:t>
      </w:r>
      <w:r w:rsidR="008B6AFF">
        <w:rPr>
          <w:lang w:val="en-US"/>
        </w:rPr>
        <w:t>had the potential to identify</w:t>
      </w:r>
      <w:r w:rsidR="00355C02">
        <w:rPr>
          <w:lang w:val="en-US"/>
        </w:rPr>
        <w:t xml:space="preserve"> a specific individual o</w:t>
      </w:r>
      <w:r w:rsidR="00355C02" w:rsidRPr="005D0196">
        <w:rPr>
          <w:lang w:val="en-US"/>
        </w:rPr>
        <w:t>r organisation</w:t>
      </w:r>
      <w:r w:rsidR="00CD1485">
        <w:rPr>
          <w:lang w:val="en-US"/>
        </w:rPr>
        <w:t xml:space="preserve">. </w:t>
      </w:r>
      <w:r w:rsidR="00963792" w:rsidRPr="00355C02">
        <w:rPr>
          <w:lang w:val="en-US"/>
        </w:rPr>
        <w:t xml:space="preserve">Submissions </w:t>
      </w:r>
      <w:r w:rsidR="00963792">
        <w:rPr>
          <w:lang w:val="en-US"/>
        </w:rPr>
        <w:t>were not</w:t>
      </w:r>
      <w:r w:rsidR="00963792" w:rsidRPr="00355C02">
        <w:rPr>
          <w:lang w:val="en-US"/>
        </w:rPr>
        <w:t xml:space="preserve"> used for the purposes of managing individuals’ compliance with income reporting or other policy.</w:t>
      </w:r>
      <w:r w:rsidR="00EF48BA">
        <w:rPr>
          <w:lang w:val="en-US"/>
        </w:rPr>
        <w:t xml:space="preserve"> </w:t>
      </w:r>
    </w:p>
    <w:p w14:paraId="5FA6E113" w14:textId="381966F0" w:rsidR="0020525B" w:rsidRPr="0020525B" w:rsidRDefault="00355C02" w:rsidP="00B86D39">
      <w:pPr>
        <w:pStyle w:val="BodyText1"/>
        <w:rPr>
          <w:lang w:val="en-US"/>
        </w:rPr>
      </w:pPr>
      <w:r>
        <w:rPr>
          <w:lang w:val="en-US"/>
        </w:rPr>
        <w:t>Stakeholders</w:t>
      </w:r>
      <w:r w:rsidR="00641432" w:rsidRPr="005D0196">
        <w:rPr>
          <w:lang w:val="en-US"/>
        </w:rPr>
        <w:t xml:space="preserve"> who </w:t>
      </w:r>
      <w:r>
        <w:rPr>
          <w:lang w:val="en-US"/>
        </w:rPr>
        <w:t>made</w:t>
      </w:r>
      <w:r w:rsidR="00641432" w:rsidRPr="005D0196">
        <w:rPr>
          <w:lang w:val="en-US"/>
        </w:rPr>
        <w:t xml:space="preserve"> a written submission </w:t>
      </w:r>
      <w:r>
        <w:rPr>
          <w:lang w:val="en-US"/>
        </w:rPr>
        <w:t>had</w:t>
      </w:r>
      <w:r w:rsidR="00641432" w:rsidRPr="005D0196">
        <w:rPr>
          <w:lang w:val="en-US"/>
        </w:rPr>
        <w:t xml:space="preserve"> the option to choose whether their response </w:t>
      </w:r>
      <w:r>
        <w:rPr>
          <w:lang w:val="en-US"/>
        </w:rPr>
        <w:t>was</w:t>
      </w:r>
      <w:r w:rsidR="00641432" w:rsidRPr="005D0196">
        <w:rPr>
          <w:lang w:val="en-US"/>
        </w:rPr>
        <w:t xml:space="preserve"> published to DSS Engage after the consultation period closed. Organisations </w:t>
      </w:r>
      <w:r>
        <w:rPr>
          <w:lang w:val="en-US"/>
        </w:rPr>
        <w:t xml:space="preserve">were </w:t>
      </w:r>
      <w:r w:rsidR="004C6770">
        <w:rPr>
          <w:lang w:val="en-US"/>
        </w:rPr>
        <w:t>also</w:t>
      </w:r>
      <w:r>
        <w:rPr>
          <w:lang w:val="en-US"/>
        </w:rPr>
        <w:t xml:space="preserve"> free to</w:t>
      </w:r>
      <w:r w:rsidR="00641432" w:rsidRPr="005D0196">
        <w:rPr>
          <w:lang w:val="en-US"/>
        </w:rPr>
        <w:t xml:space="preserve"> publish a copy of their submission via their own channels.</w:t>
      </w:r>
    </w:p>
    <w:p w14:paraId="73B3D103" w14:textId="0C690D3B" w:rsidR="00891A58" w:rsidRDefault="00AE6FB5" w:rsidP="00891A58">
      <w:pPr>
        <w:pStyle w:val="Heading1"/>
      </w:pPr>
      <w:bookmarkStart w:id="18" w:name="_Toc104983819"/>
      <w:r>
        <w:t>Review</w:t>
      </w:r>
      <w:r w:rsidR="00100F10">
        <w:t xml:space="preserve"> </w:t>
      </w:r>
      <w:r w:rsidR="00C33E9B">
        <w:t>F</w:t>
      </w:r>
      <w:r w:rsidR="00100F10">
        <w:t>indings</w:t>
      </w:r>
      <w:bookmarkEnd w:id="18"/>
    </w:p>
    <w:p w14:paraId="3BEE38F8" w14:textId="0D49A162" w:rsidR="00B60F34" w:rsidRDefault="00B60F34" w:rsidP="00E93FF9">
      <w:pPr>
        <w:pStyle w:val="Heading3"/>
      </w:pPr>
      <w:r>
        <w:t>Statistically representative findings</w:t>
      </w:r>
    </w:p>
    <w:p w14:paraId="7651F2C7" w14:textId="32B87604" w:rsidR="00E64E6A" w:rsidRDefault="00E64E6A" w:rsidP="00382F6D">
      <w:pPr>
        <w:pStyle w:val="BodyText1"/>
      </w:pPr>
      <w:r>
        <w:t xml:space="preserve">The KPMG consultation approach was </w:t>
      </w:r>
      <w:r w:rsidR="00027592">
        <w:t>designed to allow and encourage</w:t>
      </w:r>
      <w:r>
        <w:t xml:space="preserve"> all interested stakeholders to provide their feedback. </w:t>
      </w:r>
      <w:r w:rsidR="009C3048">
        <w:t xml:space="preserve">Due to the ‘opt-in’ nature of </w:t>
      </w:r>
      <w:r w:rsidR="00027592">
        <w:t xml:space="preserve">the </w:t>
      </w:r>
      <w:r w:rsidR="009C3048">
        <w:t>consultation methodology, a statistically representative sample of the total potentially impacted population was not achieved. Given the very specific scope of the review as it relate</w:t>
      </w:r>
      <w:r w:rsidR="00027592">
        <w:t>d</w:t>
      </w:r>
      <w:r w:rsidR="009C3048">
        <w:t xml:space="preserve"> to the </w:t>
      </w:r>
      <w:r w:rsidR="00A44BE2">
        <w:t>change of income assessment model</w:t>
      </w:r>
      <w:r w:rsidR="009C3048">
        <w:t xml:space="preserve">, this was considered an appropriate approach. </w:t>
      </w:r>
    </w:p>
    <w:p w14:paraId="76A30102" w14:textId="4F5DFFE1" w:rsidR="005F5143" w:rsidRDefault="005F5143" w:rsidP="00382F6D">
      <w:pPr>
        <w:pStyle w:val="BodyText1"/>
      </w:pPr>
      <w:r>
        <w:t xml:space="preserve">When reviewing the findings, it is important to consider the relatively small sample size and </w:t>
      </w:r>
      <w:r w:rsidR="00386290">
        <w:t xml:space="preserve">that statics are not statistically representative, </w:t>
      </w:r>
      <w:r w:rsidR="00EB2EEE">
        <w:t xml:space="preserve">and </w:t>
      </w:r>
      <w:r w:rsidR="00386290">
        <w:t>instead reflect the opinions and views of a subset of impacted individuals and organisations.</w:t>
      </w:r>
    </w:p>
    <w:p w14:paraId="7E803626" w14:textId="485D439C" w:rsidR="005F5143" w:rsidRDefault="00B27003" w:rsidP="00382F6D">
      <w:pPr>
        <w:pStyle w:val="BodyText1"/>
      </w:pPr>
      <w:r w:rsidRPr="00B60F34">
        <w:lastRenderedPageBreak/>
        <w:t>However,</w:t>
      </w:r>
      <w:r w:rsidR="00B60F34" w:rsidRPr="00B60F34">
        <w:t xml:space="preserve"> the robustness of the review </w:t>
      </w:r>
      <w:r w:rsidR="00FE2D03">
        <w:t>wa</w:t>
      </w:r>
      <w:r w:rsidR="00B60F34" w:rsidRPr="00B60F34">
        <w:t xml:space="preserve">s dependent on input from a representative cross-section of the impacted community, individuals, organisations and </w:t>
      </w:r>
      <w:r w:rsidR="00027592">
        <w:t>relevant experts</w:t>
      </w:r>
      <w:r w:rsidR="00B60F34" w:rsidRPr="00B60F34">
        <w:t xml:space="preserve">. To </w:t>
      </w:r>
      <w:r w:rsidR="00561AFD">
        <w:t>assess</w:t>
      </w:r>
      <w:r w:rsidR="00B60F34" w:rsidRPr="00B60F34">
        <w:t xml:space="preserve"> the representation in consultation feedback, the percentage of </w:t>
      </w:r>
      <w:r w:rsidR="00027592">
        <w:t xml:space="preserve">surveyed </w:t>
      </w:r>
      <w:r w:rsidR="00B60F34" w:rsidRPr="00B60F34">
        <w:t>payment recipients by payment type and various demographic</w:t>
      </w:r>
      <w:r w:rsidR="00027592">
        <w:t xml:space="preserve"> profilers</w:t>
      </w:r>
      <w:r w:rsidR="00131BB5">
        <w:t xml:space="preserve"> </w:t>
      </w:r>
      <w:r w:rsidR="00027592">
        <w:t>was</w:t>
      </w:r>
      <w:r w:rsidR="00131BB5">
        <w:t xml:space="preserve"> compared to the total number of payment recipients</w:t>
      </w:r>
      <w:r w:rsidR="00410C63">
        <w:t xml:space="preserve">. </w:t>
      </w:r>
    </w:p>
    <w:p w14:paraId="334814B7" w14:textId="1C0F9BA8" w:rsidR="00524C93" w:rsidRDefault="00410C63" w:rsidP="00382F6D">
      <w:pPr>
        <w:pStyle w:val="BodyText1"/>
      </w:pPr>
      <w:r>
        <w:t xml:space="preserve">Representation was </w:t>
      </w:r>
      <w:r w:rsidR="00B60F34" w:rsidRPr="00B60F34">
        <w:t xml:space="preserve">consistently </w:t>
      </w:r>
      <w:r>
        <w:t>tracked</w:t>
      </w:r>
      <w:r w:rsidR="00B60F34" w:rsidRPr="00B60F34">
        <w:t xml:space="preserve"> against these targets</w:t>
      </w:r>
      <w:r>
        <w:t xml:space="preserve"> throughout consultation and </w:t>
      </w:r>
      <w:r w:rsidR="00B60F34" w:rsidRPr="00B60F34">
        <w:t xml:space="preserve">underrepresented </w:t>
      </w:r>
      <w:r>
        <w:t>cohorts were targeted to ensure coverage of potentially impacted stakeholders.</w:t>
      </w:r>
    </w:p>
    <w:p w14:paraId="0D6B6101" w14:textId="56FA390A" w:rsidR="00BE408F" w:rsidRDefault="00AE7433" w:rsidP="00382F6D">
      <w:pPr>
        <w:pStyle w:val="BodyText1"/>
      </w:pPr>
      <w:r>
        <w:fldChar w:fldCharType="begin"/>
      </w:r>
      <w:r>
        <w:instrText xml:space="preserve"> REF _Ref103932062 \h </w:instrText>
      </w:r>
      <w:r>
        <w:fldChar w:fldCharType="separate"/>
      </w:r>
      <w:r w:rsidR="001E7504">
        <w:t xml:space="preserve">Table </w:t>
      </w:r>
      <w:r w:rsidR="001E7504">
        <w:rPr>
          <w:noProof/>
        </w:rPr>
        <w:t>6</w:t>
      </w:r>
      <w:r w:rsidR="001E7504">
        <w:t xml:space="preserve">: </w:t>
      </w:r>
      <w:r w:rsidR="001E7504" w:rsidRPr="00684BB5">
        <w:t xml:space="preserve">Representation of surveyed social security </w:t>
      </w:r>
      <w:r w:rsidR="001E7504">
        <w:t xml:space="preserve">payment </w:t>
      </w:r>
      <w:r w:rsidR="001E7504" w:rsidRPr="00684BB5">
        <w:t>recipients by payment types</w:t>
      </w:r>
      <w:r>
        <w:fldChar w:fldCharType="end"/>
      </w:r>
      <w:r>
        <w:t xml:space="preserve"> and </w:t>
      </w:r>
      <w:r w:rsidR="00223896">
        <w:fldChar w:fldCharType="begin"/>
      </w:r>
      <w:r w:rsidR="00223896">
        <w:instrText xml:space="preserve"> REF _Ref103932074 \h </w:instrText>
      </w:r>
      <w:r w:rsidR="00223896">
        <w:fldChar w:fldCharType="separate"/>
      </w:r>
      <w:r w:rsidR="001E7504" w:rsidRPr="00C0398F">
        <w:t xml:space="preserve">Table </w:t>
      </w:r>
      <w:r w:rsidR="001E7504">
        <w:rPr>
          <w:noProof/>
        </w:rPr>
        <w:t>7</w:t>
      </w:r>
      <w:r w:rsidR="001E7504" w:rsidRPr="00C0398F">
        <w:t xml:space="preserve">: Representation of surveyed social security </w:t>
      </w:r>
      <w:r w:rsidR="001E7504">
        <w:t xml:space="preserve">payment </w:t>
      </w:r>
      <w:r w:rsidR="001E7504" w:rsidRPr="00C0398F">
        <w:t>recipients by demographic profile</w:t>
      </w:r>
      <w:r w:rsidR="00223896">
        <w:fldChar w:fldCharType="end"/>
      </w:r>
      <w:r>
        <w:t xml:space="preserve">, </w:t>
      </w:r>
      <w:r w:rsidR="00D82A1D">
        <w:t xml:space="preserve">show the representation </w:t>
      </w:r>
      <w:r w:rsidR="002023AB">
        <w:t xml:space="preserve">of the survey sample compared to </w:t>
      </w:r>
      <w:r w:rsidR="003021B9">
        <w:t>payment recipient</w:t>
      </w:r>
      <w:r w:rsidR="002023AB">
        <w:t xml:space="preserve"> information obtained from DSS and Services Australia data (as </w:t>
      </w:r>
      <w:r w:rsidR="007A69AB">
        <w:t>of</w:t>
      </w:r>
      <w:r w:rsidR="002023AB">
        <w:t xml:space="preserve"> 31 December 2021).</w:t>
      </w:r>
      <w:r w:rsidR="009B1253">
        <w:rPr>
          <w:rStyle w:val="FootnoteReference"/>
        </w:rPr>
        <w:footnoteReference w:id="9"/>
      </w:r>
      <w:r w:rsidR="002023AB">
        <w:t xml:space="preserve"> </w:t>
      </w:r>
      <w:r w:rsidR="006D3544">
        <w:t xml:space="preserve">December 2021 data has been used as a proxy to </w:t>
      </w:r>
      <w:r w:rsidR="003021B9">
        <w:t>assess</w:t>
      </w:r>
      <w:r w:rsidR="006D3544">
        <w:t xml:space="preserve"> representation because it reflects </w:t>
      </w:r>
      <w:r w:rsidR="009D3B9E">
        <w:t xml:space="preserve">data </w:t>
      </w:r>
      <w:r w:rsidR="00732641">
        <w:t xml:space="preserve">that is aligned to pre-pandemic levels </w:t>
      </w:r>
      <w:r w:rsidR="009D3B9E">
        <w:t xml:space="preserve">and </w:t>
      </w:r>
      <w:r w:rsidR="00732641">
        <w:t>accounts for the fluctuation in casual employers during the month of December.</w:t>
      </w:r>
    </w:p>
    <w:p w14:paraId="538872BB" w14:textId="6D90BFC4" w:rsidR="009F1C6B" w:rsidRPr="00527F51" w:rsidRDefault="00C0398F" w:rsidP="00C0398F">
      <w:pPr>
        <w:pStyle w:val="Caption"/>
        <w:rPr>
          <w:color w:val="auto"/>
        </w:rPr>
      </w:pPr>
      <w:bookmarkStart w:id="19" w:name="_Ref103932062"/>
      <w:r>
        <w:t xml:space="preserve">Table </w:t>
      </w:r>
      <w:r>
        <w:fldChar w:fldCharType="begin"/>
      </w:r>
      <w:r>
        <w:instrText>SEQ Table \* ARABIC</w:instrText>
      </w:r>
      <w:r>
        <w:fldChar w:fldCharType="separate"/>
      </w:r>
      <w:r w:rsidR="004969AE">
        <w:rPr>
          <w:noProof/>
        </w:rPr>
        <w:t>6</w:t>
      </w:r>
      <w:r>
        <w:fldChar w:fldCharType="end"/>
      </w:r>
      <w:r>
        <w:t xml:space="preserve">: </w:t>
      </w:r>
      <w:r w:rsidRPr="00684BB5">
        <w:t xml:space="preserve">Representation of surveyed social security </w:t>
      </w:r>
      <w:r w:rsidR="003D2038">
        <w:t xml:space="preserve">payment </w:t>
      </w:r>
      <w:r w:rsidRPr="00684BB5">
        <w:t>recipients by payment types</w:t>
      </w:r>
      <w:bookmarkEnd w:id="19"/>
      <w:r w:rsidR="00027592">
        <w:rPr>
          <w:rStyle w:val="FootnoteReference"/>
        </w:rPr>
        <w:footnoteReference w:id="10"/>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6: Representation of surveyed social security recipients by payment types"/>
        <w:tblDescription w:val="Table 6 shows the representation of the survey sample compared to the social security demographic information. The Table has 3 columns. Column 1 lists all the in-scope payments as per the scope of the review. Column 2 is shows the percentage of payment recipients for each payment type as of 31 December 2020 according to Services Australia and DSS data. Column 3 shows the percentage of individuals that responded to the consultation survey for each payment type. "/>
      </w:tblPr>
      <w:tblGrid>
        <w:gridCol w:w="2835"/>
        <w:gridCol w:w="3112"/>
        <w:gridCol w:w="3113"/>
      </w:tblGrid>
      <w:tr w:rsidR="009F1C6B" w:rsidRPr="00964881" w14:paraId="13A62AE6" w14:textId="77777777" w:rsidTr="006814B2">
        <w:trPr>
          <w:tblHeader/>
        </w:trPr>
        <w:tc>
          <w:tcPr>
            <w:tcW w:w="2835" w:type="dxa"/>
            <w:vAlign w:val="center"/>
          </w:tcPr>
          <w:p w14:paraId="24A4F128" w14:textId="3AF680D3" w:rsidR="009F1C6B" w:rsidRPr="00964881" w:rsidRDefault="009F1C6B" w:rsidP="00382F6D">
            <w:pPr>
              <w:pStyle w:val="Tableheading"/>
            </w:pPr>
            <w:r w:rsidRPr="00964881">
              <w:rPr>
                <w:lang w:eastAsia="en-AU"/>
              </w:rPr>
              <w:t>In-scope payment type</w:t>
            </w:r>
          </w:p>
        </w:tc>
        <w:tc>
          <w:tcPr>
            <w:tcW w:w="3112" w:type="dxa"/>
            <w:vAlign w:val="center"/>
          </w:tcPr>
          <w:p w14:paraId="2B3B81DE" w14:textId="52A7A091" w:rsidR="009F1C6B" w:rsidRPr="00964881" w:rsidRDefault="002B3E3C" w:rsidP="00382F6D">
            <w:pPr>
              <w:pStyle w:val="Tableheading"/>
            </w:pPr>
            <w:r>
              <w:rPr>
                <w:lang w:eastAsia="en-AU"/>
              </w:rPr>
              <w:t>P</w:t>
            </w:r>
            <w:r w:rsidR="00BB1B66">
              <w:rPr>
                <w:lang w:eastAsia="en-AU"/>
              </w:rPr>
              <w:t>er cent</w:t>
            </w:r>
            <w:r w:rsidR="009F1C6B" w:rsidRPr="00B84003">
              <w:rPr>
                <w:lang w:eastAsia="en-AU"/>
              </w:rPr>
              <w:t xml:space="preserve"> of total </w:t>
            </w:r>
            <w:r w:rsidR="009F1C6B" w:rsidRPr="00964881">
              <w:rPr>
                <w:lang w:eastAsia="en-AU"/>
              </w:rPr>
              <w:t xml:space="preserve">payment recipients (Dec’21 n= </w:t>
            </w:r>
            <w:r w:rsidR="009F1C6B" w:rsidRPr="00B84003">
              <w:rPr>
                <w:lang w:eastAsia="en-AU"/>
              </w:rPr>
              <w:t>5,183,520)</w:t>
            </w:r>
          </w:p>
        </w:tc>
        <w:tc>
          <w:tcPr>
            <w:tcW w:w="3113" w:type="dxa"/>
            <w:vAlign w:val="center"/>
          </w:tcPr>
          <w:p w14:paraId="66C44C0B" w14:textId="198C1495" w:rsidR="009F1C6B" w:rsidRPr="00964881" w:rsidRDefault="002B3E3C" w:rsidP="00382F6D">
            <w:pPr>
              <w:pStyle w:val="Tableheading"/>
            </w:pPr>
            <w:r>
              <w:rPr>
                <w:lang w:eastAsia="en-AU"/>
              </w:rPr>
              <w:t>Per</w:t>
            </w:r>
            <w:r w:rsidR="00BB1B66">
              <w:rPr>
                <w:lang w:eastAsia="en-AU"/>
              </w:rPr>
              <w:t xml:space="preserve"> cent</w:t>
            </w:r>
            <w:r w:rsidR="009F1C6B" w:rsidRPr="00B84003">
              <w:rPr>
                <w:lang w:eastAsia="en-AU"/>
              </w:rPr>
              <w:t xml:space="preserve"> of individuals surveyed (n=54)</w:t>
            </w:r>
          </w:p>
        </w:tc>
      </w:tr>
      <w:tr w:rsidR="009F1C6B" w:rsidRPr="00964881" w14:paraId="0E77EF8A" w14:textId="77777777" w:rsidTr="00857DE3">
        <w:tc>
          <w:tcPr>
            <w:tcW w:w="2835" w:type="dxa"/>
          </w:tcPr>
          <w:p w14:paraId="68C8786B" w14:textId="305DFFDA" w:rsidR="009F1C6B" w:rsidRPr="00382F6D" w:rsidRDefault="009F1C6B" w:rsidP="00382F6D">
            <w:pPr>
              <w:pStyle w:val="Tabletext"/>
              <w:rPr>
                <w:b/>
                <w:color w:val="000000" w:themeColor="text1"/>
              </w:rPr>
            </w:pPr>
            <w:r w:rsidRPr="00382F6D">
              <w:rPr>
                <w:b/>
                <w:lang w:eastAsia="en-AU"/>
              </w:rPr>
              <w:t>Age Pension</w:t>
            </w:r>
          </w:p>
        </w:tc>
        <w:tc>
          <w:tcPr>
            <w:tcW w:w="3112" w:type="dxa"/>
          </w:tcPr>
          <w:p w14:paraId="2DF63749" w14:textId="4B527361" w:rsidR="009F1C6B" w:rsidRPr="00964881" w:rsidRDefault="009F1C6B" w:rsidP="009977A0">
            <w:pPr>
              <w:pStyle w:val="Tabletext"/>
              <w:jc w:val="both"/>
              <w:rPr>
                <w:color w:val="000000" w:themeColor="text1"/>
              </w:rPr>
            </w:pPr>
            <w:r w:rsidRPr="00B84003">
              <w:rPr>
                <w:lang w:eastAsia="en-AU"/>
              </w:rPr>
              <w:t>49</w:t>
            </w:r>
            <w:r w:rsidR="00B05778">
              <w:rPr>
                <w:lang w:eastAsia="en-AU"/>
              </w:rPr>
              <w:t>%</w:t>
            </w:r>
          </w:p>
        </w:tc>
        <w:tc>
          <w:tcPr>
            <w:tcW w:w="3113" w:type="dxa"/>
          </w:tcPr>
          <w:p w14:paraId="6DC089EB" w14:textId="299A99C1" w:rsidR="009F1C6B" w:rsidRPr="00964881" w:rsidRDefault="009F1C6B" w:rsidP="00382F6D">
            <w:pPr>
              <w:pStyle w:val="Tabletext"/>
              <w:rPr>
                <w:color w:val="000000" w:themeColor="text1"/>
              </w:rPr>
            </w:pPr>
            <w:r w:rsidRPr="00B84003">
              <w:rPr>
                <w:lang w:eastAsia="en-AU"/>
              </w:rPr>
              <w:t>6</w:t>
            </w:r>
            <w:r w:rsidR="00B05778">
              <w:rPr>
                <w:lang w:eastAsia="en-AU"/>
              </w:rPr>
              <w:t>%</w:t>
            </w:r>
          </w:p>
        </w:tc>
      </w:tr>
      <w:tr w:rsidR="009F1C6B" w:rsidRPr="00964881" w14:paraId="1D68E915" w14:textId="77777777" w:rsidTr="00857DE3">
        <w:tc>
          <w:tcPr>
            <w:tcW w:w="2835" w:type="dxa"/>
          </w:tcPr>
          <w:p w14:paraId="2A2D3BA7" w14:textId="6BEF73DA" w:rsidR="009F1C6B" w:rsidRPr="00382F6D" w:rsidRDefault="006B01CC" w:rsidP="00382F6D">
            <w:pPr>
              <w:pStyle w:val="Tabletext"/>
              <w:rPr>
                <w:b/>
                <w:color w:val="000000" w:themeColor="text1"/>
              </w:rPr>
            </w:pPr>
            <w:r w:rsidRPr="00382F6D">
              <w:rPr>
                <w:b/>
                <w:lang w:eastAsia="en-AU"/>
              </w:rPr>
              <w:t>JobSeeker</w:t>
            </w:r>
            <w:r w:rsidR="009F1C6B" w:rsidRPr="00382F6D">
              <w:rPr>
                <w:b/>
                <w:lang w:eastAsia="en-AU"/>
              </w:rPr>
              <w:t xml:space="preserve"> Payment</w:t>
            </w:r>
          </w:p>
        </w:tc>
        <w:tc>
          <w:tcPr>
            <w:tcW w:w="3112" w:type="dxa"/>
          </w:tcPr>
          <w:p w14:paraId="7AE41AF0" w14:textId="69910EF9" w:rsidR="009F1C6B" w:rsidRPr="00964881" w:rsidRDefault="009F1C6B" w:rsidP="009977A0">
            <w:pPr>
              <w:pStyle w:val="Tabletext"/>
              <w:jc w:val="both"/>
              <w:rPr>
                <w:color w:val="000000" w:themeColor="text1"/>
              </w:rPr>
            </w:pPr>
            <w:r w:rsidRPr="00B84003">
              <w:rPr>
                <w:lang w:eastAsia="en-AU"/>
              </w:rPr>
              <w:t>18</w:t>
            </w:r>
            <w:r w:rsidR="00B05778">
              <w:rPr>
                <w:lang w:eastAsia="en-AU"/>
              </w:rPr>
              <w:t>%</w:t>
            </w:r>
          </w:p>
        </w:tc>
        <w:tc>
          <w:tcPr>
            <w:tcW w:w="3113" w:type="dxa"/>
          </w:tcPr>
          <w:p w14:paraId="24564A30" w14:textId="0E269C49" w:rsidR="009F1C6B" w:rsidRPr="00964881" w:rsidRDefault="009F1C6B" w:rsidP="00382F6D">
            <w:pPr>
              <w:pStyle w:val="Tabletext"/>
              <w:rPr>
                <w:color w:val="000000" w:themeColor="text1"/>
              </w:rPr>
            </w:pPr>
            <w:r w:rsidRPr="00B84003">
              <w:rPr>
                <w:lang w:eastAsia="en-AU"/>
              </w:rPr>
              <w:t>38</w:t>
            </w:r>
            <w:r w:rsidR="00B05778">
              <w:rPr>
                <w:lang w:eastAsia="en-AU"/>
              </w:rPr>
              <w:t>%</w:t>
            </w:r>
          </w:p>
        </w:tc>
      </w:tr>
      <w:tr w:rsidR="009F1C6B" w:rsidRPr="00964881" w14:paraId="0F6CCAA3" w14:textId="77777777" w:rsidTr="00857DE3">
        <w:tc>
          <w:tcPr>
            <w:tcW w:w="2835" w:type="dxa"/>
          </w:tcPr>
          <w:p w14:paraId="5CC295B5" w14:textId="4F1F4A42" w:rsidR="009F1C6B" w:rsidRPr="00382F6D" w:rsidRDefault="009F1C6B" w:rsidP="00382F6D">
            <w:pPr>
              <w:pStyle w:val="Tabletext"/>
              <w:rPr>
                <w:b/>
                <w:color w:val="000000" w:themeColor="text1"/>
              </w:rPr>
            </w:pPr>
            <w:r w:rsidRPr="00382F6D">
              <w:rPr>
                <w:b/>
                <w:lang w:eastAsia="en-AU"/>
              </w:rPr>
              <w:t>Disability Support Pension</w:t>
            </w:r>
          </w:p>
        </w:tc>
        <w:tc>
          <w:tcPr>
            <w:tcW w:w="3112" w:type="dxa"/>
          </w:tcPr>
          <w:p w14:paraId="4FC47FEC" w14:textId="1BE1C318" w:rsidR="009F1C6B" w:rsidRPr="00964881" w:rsidRDefault="009F1C6B" w:rsidP="009977A0">
            <w:pPr>
              <w:pStyle w:val="Tabletext"/>
              <w:jc w:val="both"/>
              <w:rPr>
                <w:color w:val="000000" w:themeColor="text1"/>
              </w:rPr>
            </w:pPr>
            <w:r w:rsidRPr="00B84003">
              <w:rPr>
                <w:lang w:eastAsia="en-AU"/>
              </w:rPr>
              <w:t>15</w:t>
            </w:r>
            <w:r w:rsidR="00B05778">
              <w:rPr>
                <w:lang w:eastAsia="en-AU"/>
              </w:rPr>
              <w:t>%</w:t>
            </w:r>
          </w:p>
        </w:tc>
        <w:tc>
          <w:tcPr>
            <w:tcW w:w="3113" w:type="dxa"/>
          </w:tcPr>
          <w:p w14:paraId="2FF61ABE" w14:textId="12C7BE19" w:rsidR="009F1C6B" w:rsidRPr="00964881" w:rsidRDefault="009F1C6B" w:rsidP="00382F6D">
            <w:pPr>
              <w:pStyle w:val="Tabletext"/>
              <w:rPr>
                <w:color w:val="000000" w:themeColor="text1"/>
              </w:rPr>
            </w:pPr>
            <w:r w:rsidRPr="00B84003">
              <w:rPr>
                <w:lang w:eastAsia="en-AU"/>
              </w:rPr>
              <w:t>13</w:t>
            </w:r>
            <w:r w:rsidR="00B05778">
              <w:rPr>
                <w:lang w:eastAsia="en-AU"/>
              </w:rPr>
              <w:t>%</w:t>
            </w:r>
          </w:p>
        </w:tc>
      </w:tr>
      <w:tr w:rsidR="009F1C6B" w:rsidRPr="00964881" w14:paraId="3934DB88" w14:textId="77777777" w:rsidTr="00857DE3">
        <w:tc>
          <w:tcPr>
            <w:tcW w:w="2835" w:type="dxa"/>
          </w:tcPr>
          <w:p w14:paraId="5BA679FF" w14:textId="5C7F1D32" w:rsidR="009F1C6B" w:rsidRPr="00382F6D" w:rsidRDefault="009F1C6B" w:rsidP="00382F6D">
            <w:pPr>
              <w:pStyle w:val="Tabletext"/>
              <w:rPr>
                <w:b/>
                <w:color w:val="000000" w:themeColor="text1"/>
              </w:rPr>
            </w:pPr>
            <w:r w:rsidRPr="00382F6D">
              <w:rPr>
                <w:b/>
                <w:lang w:eastAsia="en-AU"/>
              </w:rPr>
              <w:t>Carer Payment</w:t>
            </w:r>
          </w:p>
        </w:tc>
        <w:tc>
          <w:tcPr>
            <w:tcW w:w="3112" w:type="dxa"/>
          </w:tcPr>
          <w:p w14:paraId="6A6AC00B" w14:textId="45A8CCF6" w:rsidR="009F1C6B" w:rsidRPr="00964881" w:rsidRDefault="009F1C6B" w:rsidP="009977A0">
            <w:pPr>
              <w:pStyle w:val="Tabletext"/>
              <w:jc w:val="both"/>
              <w:rPr>
                <w:color w:val="000000" w:themeColor="text1"/>
              </w:rPr>
            </w:pPr>
            <w:r w:rsidRPr="00B84003">
              <w:rPr>
                <w:lang w:eastAsia="en-AU"/>
              </w:rPr>
              <w:t>6</w:t>
            </w:r>
            <w:r w:rsidR="00B05778">
              <w:rPr>
                <w:lang w:eastAsia="en-AU"/>
              </w:rPr>
              <w:t>%</w:t>
            </w:r>
          </w:p>
        </w:tc>
        <w:tc>
          <w:tcPr>
            <w:tcW w:w="3113" w:type="dxa"/>
          </w:tcPr>
          <w:p w14:paraId="1CA320FA" w14:textId="5D93BCC6" w:rsidR="009F1C6B" w:rsidRPr="00964881" w:rsidRDefault="009F1C6B" w:rsidP="00382F6D">
            <w:pPr>
              <w:pStyle w:val="Tabletext"/>
              <w:rPr>
                <w:color w:val="000000" w:themeColor="text1"/>
              </w:rPr>
            </w:pPr>
            <w:r w:rsidRPr="00B84003">
              <w:rPr>
                <w:lang w:eastAsia="en-AU"/>
              </w:rPr>
              <w:t>19</w:t>
            </w:r>
            <w:r w:rsidR="00B05778">
              <w:rPr>
                <w:lang w:eastAsia="en-AU"/>
              </w:rPr>
              <w:t>%</w:t>
            </w:r>
          </w:p>
        </w:tc>
      </w:tr>
      <w:tr w:rsidR="009F1C6B" w:rsidRPr="00964881" w14:paraId="75749DB8" w14:textId="77777777" w:rsidTr="00857DE3">
        <w:tc>
          <w:tcPr>
            <w:tcW w:w="2835" w:type="dxa"/>
          </w:tcPr>
          <w:p w14:paraId="3BD6B989" w14:textId="6D485694" w:rsidR="009F1C6B" w:rsidRPr="00382F6D" w:rsidRDefault="009F1C6B" w:rsidP="00382F6D">
            <w:pPr>
              <w:pStyle w:val="Tabletext"/>
              <w:rPr>
                <w:b/>
                <w:color w:val="000000" w:themeColor="text1"/>
              </w:rPr>
            </w:pPr>
            <w:r w:rsidRPr="00382F6D">
              <w:rPr>
                <w:b/>
                <w:lang w:eastAsia="en-AU"/>
              </w:rPr>
              <w:t>Parenting Payment Single/partnered</w:t>
            </w:r>
          </w:p>
        </w:tc>
        <w:tc>
          <w:tcPr>
            <w:tcW w:w="3112" w:type="dxa"/>
          </w:tcPr>
          <w:p w14:paraId="664CD15E" w14:textId="4B797CF4" w:rsidR="009F1C6B" w:rsidRPr="00964881" w:rsidRDefault="009F1C6B" w:rsidP="009977A0">
            <w:pPr>
              <w:pStyle w:val="Tabletext"/>
              <w:jc w:val="both"/>
              <w:rPr>
                <w:color w:val="000000" w:themeColor="text1"/>
              </w:rPr>
            </w:pPr>
            <w:r w:rsidRPr="00B84003">
              <w:rPr>
                <w:lang w:eastAsia="en-AU"/>
              </w:rPr>
              <w:t>6</w:t>
            </w:r>
            <w:r w:rsidR="00B05778">
              <w:rPr>
                <w:lang w:eastAsia="en-AU"/>
              </w:rPr>
              <w:t>%</w:t>
            </w:r>
          </w:p>
        </w:tc>
        <w:tc>
          <w:tcPr>
            <w:tcW w:w="3113" w:type="dxa"/>
          </w:tcPr>
          <w:p w14:paraId="3798A166" w14:textId="4548CAFC" w:rsidR="009F1C6B" w:rsidRPr="00964881" w:rsidRDefault="009F1C6B" w:rsidP="00382F6D">
            <w:pPr>
              <w:pStyle w:val="Tabletext"/>
              <w:rPr>
                <w:color w:val="000000" w:themeColor="text1"/>
              </w:rPr>
            </w:pPr>
            <w:r w:rsidRPr="00B84003">
              <w:rPr>
                <w:lang w:eastAsia="en-AU"/>
              </w:rPr>
              <w:t>6</w:t>
            </w:r>
            <w:r w:rsidR="00B05778">
              <w:rPr>
                <w:lang w:eastAsia="en-AU"/>
              </w:rPr>
              <w:t>%</w:t>
            </w:r>
          </w:p>
        </w:tc>
      </w:tr>
      <w:tr w:rsidR="009F1C6B" w:rsidRPr="00964881" w14:paraId="53B87D24" w14:textId="77777777" w:rsidTr="00857DE3">
        <w:tc>
          <w:tcPr>
            <w:tcW w:w="2835" w:type="dxa"/>
          </w:tcPr>
          <w:p w14:paraId="38059085" w14:textId="67A5ADE9" w:rsidR="009F1C6B" w:rsidRPr="00382F6D" w:rsidRDefault="009F1C6B" w:rsidP="00382F6D">
            <w:pPr>
              <w:pStyle w:val="Tabletext"/>
              <w:rPr>
                <w:b/>
                <w:lang w:eastAsia="en-AU"/>
              </w:rPr>
            </w:pPr>
            <w:r w:rsidRPr="00382F6D">
              <w:rPr>
                <w:b/>
                <w:lang w:eastAsia="en-AU"/>
              </w:rPr>
              <w:t>Youth Allowance (student, apprentice &amp; other)</w:t>
            </w:r>
          </w:p>
        </w:tc>
        <w:tc>
          <w:tcPr>
            <w:tcW w:w="3112" w:type="dxa"/>
          </w:tcPr>
          <w:p w14:paraId="48861BAD" w14:textId="75BCBC44" w:rsidR="009F1C6B" w:rsidRPr="00964881" w:rsidRDefault="009F1C6B" w:rsidP="009977A0">
            <w:pPr>
              <w:pStyle w:val="Tabletext"/>
              <w:jc w:val="both"/>
              <w:rPr>
                <w:lang w:eastAsia="en-AU"/>
              </w:rPr>
            </w:pPr>
            <w:r w:rsidRPr="00B84003">
              <w:rPr>
                <w:lang w:eastAsia="en-AU"/>
              </w:rPr>
              <w:t>5</w:t>
            </w:r>
            <w:r w:rsidR="00B05778">
              <w:rPr>
                <w:lang w:eastAsia="en-AU"/>
              </w:rPr>
              <w:t>%</w:t>
            </w:r>
          </w:p>
        </w:tc>
        <w:tc>
          <w:tcPr>
            <w:tcW w:w="3113" w:type="dxa"/>
          </w:tcPr>
          <w:p w14:paraId="5BE0A220" w14:textId="624A44CD" w:rsidR="009F1C6B" w:rsidRPr="00964881" w:rsidRDefault="009F1C6B" w:rsidP="00382F6D">
            <w:pPr>
              <w:pStyle w:val="Tabletext"/>
              <w:rPr>
                <w:lang w:eastAsia="en-AU"/>
              </w:rPr>
            </w:pPr>
            <w:r w:rsidRPr="00B84003">
              <w:rPr>
                <w:lang w:eastAsia="en-AU"/>
              </w:rPr>
              <w:t>3</w:t>
            </w:r>
            <w:r w:rsidR="00B05778">
              <w:rPr>
                <w:lang w:eastAsia="en-AU"/>
              </w:rPr>
              <w:t>%</w:t>
            </w:r>
          </w:p>
        </w:tc>
      </w:tr>
      <w:tr w:rsidR="009F1C6B" w:rsidRPr="00964881" w14:paraId="5B5660DC" w14:textId="77777777" w:rsidTr="00857DE3">
        <w:tc>
          <w:tcPr>
            <w:tcW w:w="2835" w:type="dxa"/>
          </w:tcPr>
          <w:p w14:paraId="5B026AB3" w14:textId="1BCEBA75" w:rsidR="009F1C6B" w:rsidRPr="00382F6D" w:rsidRDefault="009F1C6B" w:rsidP="00382F6D">
            <w:pPr>
              <w:pStyle w:val="Tabletext"/>
              <w:rPr>
                <w:b/>
                <w:lang w:eastAsia="en-AU"/>
              </w:rPr>
            </w:pPr>
            <w:r w:rsidRPr="00382F6D">
              <w:rPr>
                <w:b/>
                <w:lang w:eastAsia="en-AU"/>
              </w:rPr>
              <w:t>Austudy</w:t>
            </w:r>
          </w:p>
        </w:tc>
        <w:tc>
          <w:tcPr>
            <w:tcW w:w="3112" w:type="dxa"/>
          </w:tcPr>
          <w:p w14:paraId="06C44247" w14:textId="5910B7AD" w:rsidR="009F1C6B" w:rsidRPr="00964881" w:rsidRDefault="009F1C6B" w:rsidP="009977A0">
            <w:pPr>
              <w:pStyle w:val="Tabletext"/>
              <w:jc w:val="both"/>
              <w:rPr>
                <w:lang w:eastAsia="en-AU"/>
              </w:rPr>
            </w:pPr>
            <w:r w:rsidRPr="00B84003">
              <w:rPr>
                <w:lang w:eastAsia="en-AU"/>
              </w:rPr>
              <w:t>1</w:t>
            </w:r>
            <w:r w:rsidR="00B05778">
              <w:rPr>
                <w:lang w:eastAsia="en-AU"/>
              </w:rPr>
              <w:t>%</w:t>
            </w:r>
          </w:p>
        </w:tc>
        <w:tc>
          <w:tcPr>
            <w:tcW w:w="3113" w:type="dxa"/>
          </w:tcPr>
          <w:p w14:paraId="322F4AD3" w14:textId="394CF20B" w:rsidR="009F1C6B" w:rsidRPr="00964881" w:rsidRDefault="009F1C6B" w:rsidP="00382F6D">
            <w:pPr>
              <w:pStyle w:val="Tabletext"/>
              <w:rPr>
                <w:lang w:eastAsia="en-AU"/>
              </w:rPr>
            </w:pPr>
            <w:r w:rsidRPr="00B84003">
              <w:rPr>
                <w:lang w:eastAsia="en-AU"/>
              </w:rPr>
              <w:t>0</w:t>
            </w:r>
            <w:r w:rsidR="00B05778">
              <w:rPr>
                <w:lang w:eastAsia="en-AU"/>
              </w:rPr>
              <w:t>%</w:t>
            </w:r>
          </w:p>
        </w:tc>
      </w:tr>
      <w:tr w:rsidR="009F1C6B" w:rsidRPr="00964881" w14:paraId="1054BE4A" w14:textId="77777777" w:rsidTr="00857DE3">
        <w:tc>
          <w:tcPr>
            <w:tcW w:w="2835" w:type="dxa"/>
          </w:tcPr>
          <w:p w14:paraId="5726FD35" w14:textId="1E14E7D0" w:rsidR="009F1C6B" w:rsidRPr="00382F6D" w:rsidRDefault="009F1C6B" w:rsidP="00382F6D">
            <w:pPr>
              <w:pStyle w:val="Tabletext"/>
              <w:rPr>
                <w:b/>
                <w:lang w:eastAsia="en-AU"/>
              </w:rPr>
            </w:pPr>
            <w:r w:rsidRPr="00382F6D">
              <w:rPr>
                <w:b/>
                <w:lang w:eastAsia="en-AU"/>
              </w:rPr>
              <w:t>ABSTUDY (Non-living allowance)</w:t>
            </w:r>
          </w:p>
        </w:tc>
        <w:tc>
          <w:tcPr>
            <w:tcW w:w="3112" w:type="dxa"/>
          </w:tcPr>
          <w:p w14:paraId="0DCCC2C8" w14:textId="6E107AFF" w:rsidR="009F1C6B" w:rsidRPr="00964881" w:rsidRDefault="007D5C91" w:rsidP="009977A0">
            <w:pPr>
              <w:pStyle w:val="Tabletext"/>
              <w:jc w:val="both"/>
              <w:rPr>
                <w:lang w:eastAsia="en-AU"/>
              </w:rPr>
            </w:pPr>
            <w:r>
              <w:rPr>
                <w:lang w:eastAsia="en-AU"/>
              </w:rPr>
              <w:t>&lt;1</w:t>
            </w:r>
            <w:r w:rsidR="00B05778">
              <w:rPr>
                <w:lang w:eastAsia="en-AU"/>
              </w:rPr>
              <w:t>%</w:t>
            </w:r>
          </w:p>
        </w:tc>
        <w:tc>
          <w:tcPr>
            <w:tcW w:w="3113" w:type="dxa"/>
          </w:tcPr>
          <w:p w14:paraId="0359350C" w14:textId="2A220F76" w:rsidR="009F1C6B" w:rsidRPr="00964881" w:rsidRDefault="009F1C6B" w:rsidP="00382F6D">
            <w:pPr>
              <w:pStyle w:val="Tabletext"/>
              <w:rPr>
                <w:lang w:eastAsia="en-AU"/>
              </w:rPr>
            </w:pPr>
            <w:r w:rsidRPr="00B84003">
              <w:rPr>
                <w:lang w:eastAsia="en-AU"/>
              </w:rPr>
              <w:t>0</w:t>
            </w:r>
            <w:r w:rsidR="00B05778">
              <w:rPr>
                <w:lang w:eastAsia="en-AU"/>
              </w:rPr>
              <w:t>%</w:t>
            </w:r>
          </w:p>
        </w:tc>
      </w:tr>
      <w:tr w:rsidR="007D5C91" w:rsidRPr="00964881" w14:paraId="5E99CBCB" w14:textId="77777777" w:rsidTr="00857DE3">
        <w:tc>
          <w:tcPr>
            <w:tcW w:w="2835" w:type="dxa"/>
          </w:tcPr>
          <w:p w14:paraId="3A981FD8" w14:textId="4A2D6E25" w:rsidR="007D5C91" w:rsidRPr="006C776F" w:rsidRDefault="007D5C91" w:rsidP="007D5C91">
            <w:pPr>
              <w:pStyle w:val="Tabletext"/>
              <w:rPr>
                <w:b/>
                <w:lang w:eastAsia="en-AU"/>
              </w:rPr>
            </w:pPr>
            <w:r w:rsidRPr="006C776F">
              <w:rPr>
                <w:b/>
                <w:lang w:eastAsia="en-AU"/>
              </w:rPr>
              <w:t>Special Benefit</w:t>
            </w:r>
          </w:p>
        </w:tc>
        <w:tc>
          <w:tcPr>
            <w:tcW w:w="3112" w:type="dxa"/>
          </w:tcPr>
          <w:p w14:paraId="790A6A4C" w14:textId="357ABF3C" w:rsidR="007D5C91" w:rsidRPr="00964881" w:rsidRDefault="007D5C91" w:rsidP="009977A0">
            <w:pPr>
              <w:pStyle w:val="Tabletext"/>
              <w:jc w:val="both"/>
              <w:rPr>
                <w:lang w:eastAsia="en-AU"/>
              </w:rPr>
            </w:pPr>
            <w:r w:rsidRPr="000467F8">
              <w:rPr>
                <w:lang w:eastAsia="en-AU"/>
              </w:rPr>
              <w:t>&lt;1</w:t>
            </w:r>
            <w:r w:rsidR="00B05778">
              <w:rPr>
                <w:lang w:eastAsia="en-AU"/>
              </w:rPr>
              <w:t>%</w:t>
            </w:r>
          </w:p>
        </w:tc>
        <w:tc>
          <w:tcPr>
            <w:tcW w:w="3113" w:type="dxa"/>
          </w:tcPr>
          <w:p w14:paraId="1F9CD4BB" w14:textId="56D05A04" w:rsidR="007D5C91" w:rsidRPr="00964881" w:rsidRDefault="007D5C91" w:rsidP="007D5C91">
            <w:pPr>
              <w:pStyle w:val="Tabletext"/>
              <w:rPr>
                <w:lang w:eastAsia="en-AU"/>
              </w:rPr>
            </w:pPr>
            <w:r w:rsidRPr="00B84003">
              <w:rPr>
                <w:lang w:eastAsia="en-AU"/>
              </w:rPr>
              <w:t>0</w:t>
            </w:r>
            <w:r w:rsidR="00B05778">
              <w:rPr>
                <w:lang w:eastAsia="en-AU"/>
              </w:rPr>
              <w:t>%</w:t>
            </w:r>
          </w:p>
        </w:tc>
      </w:tr>
      <w:tr w:rsidR="007D5C91" w:rsidRPr="00964881" w14:paraId="5F41CF41" w14:textId="77777777" w:rsidTr="00857DE3">
        <w:tc>
          <w:tcPr>
            <w:tcW w:w="2835" w:type="dxa"/>
          </w:tcPr>
          <w:p w14:paraId="694EB744" w14:textId="2A2F1F47" w:rsidR="007D5C91" w:rsidRPr="006C776F" w:rsidRDefault="007D5C91" w:rsidP="007D5C91">
            <w:pPr>
              <w:pStyle w:val="Tabletext"/>
              <w:rPr>
                <w:b/>
                <w:lang w:eastAsia="en-AU"/>
              </w:rPr>
            </w:pPr>
            <w:r w:rsidRPr="006C776F">
              <w:rPr>
                <w:b/>
                <w:lang w:eastAsia="en-AU"/>
              </w:rPr>
              <w:t>ABSTUDY (Living allowance)</w:t>
            </w:r>
          </w:p>
        </w:tc>
        <w:tc>
          <w:tcPr>
            <w:tcW w:w="3112" w:type="dxa"/>
          </w:tcPr>
          <w:p w14:paraId="0BD99940" w14:textId="660AE07C" w:rsidR="007D5C91" w:rsidRPr="00964881" w:rsidRDefault="007D5C91" w:rsidP="009977A0">
            <w:pPr>
              <w:pStyle w:val="Tabletext"/>
              <w:jc w:val="both"/>
              <w:rPr>
                <w:lang w:eastAsia="en-AU"/>
              </w:rPr>
            </w:pPr>
            <w:r w:rsidRPr="000467F8">
              <w:rPr>
                <w:lang w:eastAsia="en-AU"/>
              </w:rPr>
              <w:t>&lt;1</w:t>
            </w:r>
            <w:r w:rsidR="00B05778">
              <w:rPr>
                <w:lang w:eastAsia="en-AU"/>
              </w:rPr>
              <w:t>%</w:t>
            </w:r>
          </w:p>
        </w:tc>
        <w:tc>
          <w:tcPr>
            <w:tcW w:w="3113" w:type="dxa"/>
          </w:tcPr>
          <w:p w14:paraId="35D8F528" w14:textId="51F62407" w:rsidR="007D5C91" w:rsidRPr="00964881" w:rsidRDefault="007D5C91" w:rsidP="007D5C91">
            <w:pPr>
              <w:pStyle w:val="Tabletext"/>
              <w:rPr>
                <w:lang w:eastAsia="en-AU"/>
              </w:rPr>
            </w:pPr>
            <w:r w:rsidRPr="00B84003">
              <w:rPr>
                <w:lang w:eastAsia="en-AU"/>
              </w:rPr>
              <w:t>0</w:t>
            </w:r>
            <w:r w:rsidR="00B05778">
              <w:rPr>
                <w:lang w:eastAsia="en-AU"/>
              </w:rPr>
              <w:t>%</w:t>
            </w:r>
          </w:p>
        </w:tc>
      </w:tr>
      <w:tr w:rsidR="007D5C91" w:rsidRPr="00964881" w14:paraId="5AE8D151" w14:textId="77777777" w:rsidTr="00857DE3">
        <w:tc>
          <w:tcPr>
            <w:tcW w:w="2835" w:type="dxa"/>
          </w:tcPr>
          <w:p w14:paraId="28202B2F" w14:textId="6630CB75" w:rsidR="007D5C91" w:rsidRPr="006C776F" w:rsidRDefault="007D5C91" w:rsidP="007D5C91">
            <w:pPr>
              <w:pStyle w:val="Tabletext"/>
              <w:rPr>
                <w:b/>
                <w:lang w:eastAsia="en-AU"/>
              </w:rPr>
            </w:pPr>
            <w:r w:rsidRPr="006C776F">
              <w:rPr>
                <w:b/>
                <w:lang w:eastAsia="en-AU"/>
              </w:rPr>
              <w:t>Widow Allowance</w:t>
            </w:r>
          </w:p>
        </w:tc>
        <w:tc>
          <w:tcPr>
            <w:tcW w:w="3112" w:type="dxa"/>
          </w:tcPr>
          <w:p w14:paraId="7525815D" w14:textId="11C106B5" w:rsidR="007D5C91" w:rsidRPr="00964881" w:rsidRDefault="007D5C91" w:rsidP="009977A0">
            <w:pPr>
              <w:pStyle w:val="Tabletext"/>
              <w:jc w:val="both"/>
              <w:rPr>
                <w:lang w:eastAsia="en-AU"/>
              </w:rPr>
            </w:pPr>
            <w:r w:rsidRPr="000467F8">
              <w:rPr>
                <w:lang w:eastAsia="en-AU"/>
              </w:rPr>
              <w:t>&lt;1</w:t>
            </w:r>
            <w:r w:rsidR="00B05778">
              <w:rPr>
                <w:lang w:eastAsia="en-AU"/>
              </w:rPr>
              <w:t>%</w:t>
            </w:r>
          </w:p>
        </w:tc>
        <w:tc>
          <w:tcPr>
            <w:tcW w:w="3113" w:type="dxa"/>
          </w:tcPr>
          <w:p w14:paraId="3AE0BE14" w14:textId="1BFDB330" w:rsidR="007D5C91" w:rsidRPr="00964881" w:rsidRDefault="007D5C91" w:rsidP="007D5C91">
            <w:pPr>
              <w:pStyle w:val="Tabletext"/>
              <w:rPr>
                <w:lang w:eastAsia="en-AU"/>
              </w:rPr>
            </w:pPr>
            <w:r w:rsidRPr="00B84003">
              <w:rPr>
                <w:lang w:eastAsia="en-AU"/>
              </w:rPr>
              <w:t>0</w:t>
            </w:r>
            <w:r w:rsidR="00B05778">
              <w:rPr>
                <w:lang w:eastAsia="en-AU"/>
              </w:rPr>
              <w:t>%</w:t>
            </w:r>
          </w:p>
        </w:tc>
      </w:tr>
      <w:tr w:rsidR="007D5C91" w:rsidRPr="00964881" w14:paraId="191F85C6" w14:textId="77777777" w:rsidTr="00857DE3">
        <w:tc>
          <w:tcPr>
            <w:tcW w:w="2835" w:type="dxa"/>
          </w:tcPr>
          <w:p w14:paraId="3F7B84D9" w14:textId="53D09271" w:rsidR="007D5C91" w:rsidRPr="006C776F" w:rsidRDefault="007D5C91" w:rsidP="007D5C91">
            <w:pPr>
              <w:pStyle w:val="Tabletext"/>
              <w:rPr>
                <w:b/>
                <w:lang w:eastAsia="en-AU"/>
              </w:rPr>
            </w:pPr>
            <w:r w:rsidRPr="006C776F">
              <w:rPr>
                <w:b/>
                <w:lang w:eastAsia="en-AU"/>
              </w:rPr>
              <w:t>Partner Allowance</w:t>
            </w:r>
          </w:p>
        </w:tc>
        <w:tc>
          <w:tcPr>
            <w:tcW w:w="3112" w:type="dxa"/>
          </w:tcPr>
          <w:p w14:paraId="00A43E38" w14:textId="09DAE054" w:rsidR="007D5C91" w:rsidRPr="00964881" w:rsidRDefault="007D5C91" w:rsidP="009977A0">
            <w:pPr>
              <w:pStyle w:val="Tabletext"/>
              <w:jc w:val="both"/>
              <w:rPr>
                <w:lang w:eastAsia="en-AU"/>
              </w:rPr>
            </w:pPr>
            <w:r w:rsidRPr="000467F8">
              <w:rPr>
                <w:lang w:eastAsia="en-AU"/>
              </w:rPr>
              <w:t>&lt;1</w:t>
            </w:r>
            <w:r w:rsidR="00B05778">
              <w:rPr>
                <w:lang w:eastAsia="en-AU"/>
              </w:rPr>
              <w:t>%</w:t>
            </w:r>
          </w:p>
        </w:tc>
        <w:tc>
          <w:tcPr>
            <w:tcW w:w="3113" w:type="dxa"/>
          </w:tcPr>
          <w:p w14:paraId="37F3A577" w14:textId="5FD426C0" w:rsidR="007D5C91" w:rsidRPr="00964881" w:rsidRDefault="007D5C91" w:rsidP="007D5C91">
            <w:pPr>
              <w:pStyle w:val="Tabletext"/>
              <w:rPr>
                <w:lang w:eastAsia="en-AU"/>
              </w:rPr>
            </w:pPr>
            <w:r w:rsidRPr="00B84003">
              <w:rPr>
                <w:lang w:eastAsia="en-AU"/>
              </w:rPr>
              <w:t>0</w:t>
            </w:r>
            <w:r w:rsidR="00B05778">
              <w:rPr>
                <w:lang w:eastAsia="en-AU"/>
              </w:rPr>
              <w:t>%</w:t>
            </w:r>
          </w:p>
        </w:tc>
      </w:tr>
      <w:tr w:rsidR="007D5C91" w:rsidRPr="00964881" w14:paraId="4274FCA7" w14:textId="77777777" w:rsidTr="00857DE3">
        <w:tc>
          <w:tcPr>
            <w:tcW w:w="2835" w:type="dxa"/>
          </w:tcPr>
          <w:p w14:paraId="79E1E00C" w14:textId="4A6B4D13" w:rsidR="007D5C91" w:rsidRPr="006C776F" w:rsidRDefault="007D5C91" w:rsidP="007D5C91">
            <w:pPr>
              <w:pStyle w:val="Tabletext"/>
              <w:rPr>
                <w:b/>
                <w:lang w:eastAsia="en-AU"/>
              </w:rPr>
            </w:pPr>
            <w:r w:rsidRPr="006C776F">
              <w:rPr>
                <w:b/>
                <w:lang w:eastAsia="en-AU"/>
              </w:rPr>
              <w:t>Status Resolution Support Services</w:t>
            </w:r>
          </w:p>
        </w:tc>
        <w:tc>
          <w:tcPr>
            <w:tcW w:w="3112" w:type="dxa"/>
          </w:tcPr>
          <w:p w14:paraId="695D18B4" w14:textId="50ACB4A8" w:rsidR="007D5C91" w:rsidRPr="00964881" w:rsidRDefault="007D5C91" w:rsidP="009977A0">
            <w:pPr>
              <w:pStyle w:val="Tabletext"/>
              <w:jc w:val="both"/>
              <w:rPr>
                <w:lang w:eastAsia="en-AU"/>
              </w:rPr>
            </w:pPr>
            <w:r w:rsidRPr="000467F8">
              <w:rPr>
                <w:lang w:eastAsia="en-AU"/>
              </w:rPr>
              <w:t>&lt;1</w:t>
            </w:r>
            <w:r w:rsidR="00B05778">
              <w:rPr>
                <w:lang w:eastAsia="en-AU"/>
              </w:rPr>
              <w:t>%</w:t>
            </w:r>
          </w:p>
        </w:tc>
        <w:tc>
          <w:tcPr>
            <w:tcW w:w="3113" w:type="dxa"/>
          </w:tcPr>
          <w:p w14:paraId="3389A468" w14:textId="1314A480" w:rsidR="007D5C91" w:rsidRPr="00964881" w:rsidRDefault="007D5C91" w:rsidP="007D5C91">
            <w:pPr>
              <w:pStyle w:val="Tabletext"/>
              <w:rPr>
                <w:lang w:eastAsia="en-AU"/>
              </w:rPr>
            </w:pPr>
            <w:r w:rsidRPr="00B84003">
              <w:rPr>
                <w:lang w:eastAsia="en-AU"/>
              </w:rPr>
              <w:t>0</w:t>
            </w:r>
            <w:r w:rsidR="00B05778">
              <w:rPr>
                <w:lang w:eastAsia="en-AU"/>
              </w:rPr>
              <w:t>%</w:t>
            </w:r>
          </w:p>
        </w:tc>
      </w:tr>
      <w:tr w:rsidR="007D5C91" w:rsidRPr="00964881" w14:paraId="6B75B899" w14:textId="77777777" w:rsidTr="00857DE3">
        <w:tc>
          <w:tcPr>
            <w:tcW w:w="2835" w:type="dxa"/>
          </w:tcPr>
          <w:p w14:paraId="3942FF31" w14:textId="2C3B69DF" w:rsidR="007D5C91" w:rsidRPr="006C776F" w:rsidRDefault="007D5C91" w:rsidP="007D5C91">
            <w:pPr>
              <w:pStyle w:val="Tabletext"/>
              <w:rPr>
                <w:b/>
                <w:lang w:eastAsia="en-AU"/>
              </w:rPr>
            </w:pPr>
            <w:r w:rsidRPr="006C776F">
              <w:rPr>
                <w:b/>
                <w:lang w:eastAsia="en-AU"/>
              </w:rPr>
              <w:t>Farm Household Allowance</w:t>
            </w:r>
          </w:p>
        </w:tc>
        <w:tc>
          <w:tcPr>
            <w:tcW w:w="3112" w:type="dxa"/>
          </w:tcPr>
          <w:p w14:paraId="5A44C4E7" w14:textId="17380C26" w:rsidR="007D5C91" w:rsidRPr="00964881" w:rsidRDefault="007D5C91" w:rsidP="009977A0">
            <w:pPr>
              <w:pStyle w:val="Tabletext"/>
              <w:jc w:val="both"/>
              <w:rPr>
                <w:lang w:eastAsia="en-AU"/>
              </w:rPr>
            </w:pPr>
            <w:r w:rsidRPr="000467F8">
              <w:rPr>
                <w:lang w:eastAsia="en-AU"/>
              </w:rPr>
              <w:t>&lt;1</w:t>
            </w:r>
            <w:r w:rsidR="00B05778">
              <w:rPr>
                <w:lang w:eastAsia="en-AU"/>
              </w:rPr>
              <w:t>%</w:t>
            </w:r>
          </w:p>
        </w:tc>
        <w:tc>
          <w:tcPr>
            <w:tcW w:w="3113" w:type="dxa"/>
          </w:tcPr>
          <w:p w14:paraId="1B42C469" w14:textId="1FCB44AD" w:rsidR="007D5C91" w:rsidRPr="00964881" w:rsidRDefault="007D5C91" w:rsidP="007D5C91">
            <w:pPr>
              <w:pStyle w:val="Tabletext"/>
              <w:rPr>
                <w:lang w:eastAsia="en-AU"/>
              </w:rPr>
            </w:pPr>
            <w:r w:rsidRPr="00B84003">
              <w:rPr>
                <w:lang w:eastAsia="en-AU"/>
              </w:rPr>
              <w:t>0</w:t>
            </w:r>
            <w:r w:rsidR="00B05778">
              <w:rPr>
                <w:lang w:eastAsia="en-AU"/>
              </w:rPr>
              <w:t>%</w:t>
            </w:r>
          </w:p>
        </w:tc>
      </w:tr>
    </w:tbl>
    <w:p w14:paraId="59F03CAF" w14:textId="0081821B" w:rsidR="00F06A65" w:rsidRPr="00147112" w:rsidRDefault="0094205C" w:rsidP="00455444">
      <w:pPr>
        <w:pStyle w:val="Caption"/>
        <w:rPr>
          <w:i w:val="0"/>
          <w:color w:val="auto"/>
        </w:rPr>
      </w:pPr>
      <w:r>
        <w:rPr>
          <w:i w:val="0"/>
          <w:iCs w:val="0"/>
          <w:color w:val="auto"/>
        </w:rPr>
        <w:t>Note: the</w:t>
      </w:r>
      <w:r w:rsidR="00E90C3A">
        <w:rPr>
          <w:i w:val="0"/>
          <w:iCs w:val="0"/>
          <w:color w:val="auto"/>
        </w:rPr>
        <w:t xml:space="preserve"> number of payment recipients who receive employment income, and are required to report their income, is </w:t>
      </w:r>
      <w:r w:rsidR="00464C5D">
        <w:rPr>
          <w:i w:val="0"/>
          <w:iCs w:val="0"/>
          <w:color w:val="auto"/>
        </w:rPr>
        <w:t>different to the total number of payment recipients in this table.</w:t>
      </w:r>
      <w:r>
        <w:rPr>
          <w:i w:val="0"/>
          <w:iCs w:val="0"/>
          <w:color w:val="auto"/>
        </w:rPr>
        <w:t xml:space="preserve"> </w:t>
      </w:r>
      <w:r w:rsidR="00464C5D">
        <w:rPr>
          <w:i w:val="0"/>
          <w:iCs w:val="0"/>
          <w:color w:val="auto"/>
        </w:rPr>
        <w:t>The majority of recipients required to report their income receive payments other than the Age Pension.</w:t>
      </w:r>
      <w:r>
        <w:rPr>
          <w:i w:val="0"/>
          <w:iCs w:val="0"/>
          <w:color w:val="auto"/>
        </w:rPr>
        <w:t xml:space="preserve"> </w:t>
      </w:r>
    </w:p>
    <w:p w14:paraId="68900CDA" w14:textId="2CC975E1" w:rsidR="00203FEB" w:rsidRPr="00C0398F" w:rsidRDefault="00203FEB" w:rsidP="00203FEB">
      <w:pPr>
        <w:pStyle w:val="Caption"/>
        <w:keepNext/>
        <w:rPr>
          <w:color w:val="auto"/>
        </w:rPr>
      </w:pPr>
      <w:bookmarkStart w:id="20" w:name="_Ref103932074"/>
      <w:r w:rsidRPr="00C0398F">
        <w:rPr>
          <w:color w:val="auto"/>
        </w:rPr>
        <w:t xml:space="preserve">Table </w:t>
      </w:r>
      <w:r w:rsidRPr="00C0398F">
        <w:rPr>
          <w:color w:val="auto"/>
        </w:rPr>
        <w:fldChar w:fldCharType="begin"/>
      </w:r>
      <w:r w:rsidRPr="00C0398F">
        <w:rPr>
          <w:color w:val="auto"/>
        </w:rPr>
        <w:instrText xml:space="preserve"> SEQ Table \* ARABIC </w:instrText>
      </w:r>
      <w:r w:rsidRPr="00C0398F">
        <w:rPr>
          <w:color w:val="auto"/>
        </w:rPr>
        <w:fldChar w:fldCharType="separate"/>
      </w:r>
      <w:r w:rsidR="004969AE">
        <w:rPr>
          <w:noProof/>
          <w:color w:val="auto"/>
        </w:rPr>
        <w:t>7</w:t>
      </w:r>
      <w:r w:rsidRPr="00C0398F">
        <w:rPr>
          <w:color w:val="auto"/>
        </w:rPr>
        <w:fldChar w:fldCharType="end"/>
      </w:r>
      <w:r w:rsidRPr="00C0398F">
        <w:rPr>
          <w:color w:val="auto"/>
        </w:rPr>
        <w:t xml:space="preserve">: Representation of surveyed social security </w:t>
      </w:r>
      <w:r w:rsidR="003D2038">
        <w:rPr>
          <w:color w:val="auto"/>
        </w:rPr>
        <w:t xml:space="preserve">payment </w:t>
      </w:r>
      <w:r w:rsidRPr="00C0398F">
        <w:rPr>
          <w:color w:val="auto"/>
        </w:rPr>
        <w:t>recipients by demographic profile</w:t>
      </w:r>
      <w:bookmarkEnd w:id="20"/>
      <w:r w:rsidR="00FB0866">
        <w:rPr>
          <w:rStyle w:val="FootnoteReference"/>
        </w:rPr>
        <w:footnoteReference w:id="11"/>
      </w:r>
    </w:p>
    <w:tbl>
      <w:tblPr>
        <w:tblStyle w:val="TableGrid"/>
        <w:tblW w:w="9079" w:type="dxa"/>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7: Representation of surveyed social security recipients by demographic profile"/>
        <w:tblDescription w:val="Table 7 shows the representation of the survey sample compared to the social security profile information as of 31 December 2021. The Table has 4 columns. Column 1 shows the different cohorts (by proxy) that KPMG has sourced demographic profiling information on. Column 2 shows the subgroups of the broader cohort category. Column 3 show the percentage of total payment recipients for each subgroup. Column 4 shows the percentage of individuals that responded to the consultation survey for each subgroup.  "/>
      </w:tblPr>
      <w:tblGrid>
        <w:gridCol w:w="2835"/>
        <w:gridCol w:w="2410"/>
        <w:gridCol w:w="1985"/>
        <w:gridCol w:w="1842"/>
        <w:gridCol w:w="7"/>
      </w:tblGrid>
      <w:tr w:rsidR="009F1C6B" w:rsidRPr="00964881" w14:paraId="3B3D4EA5" w14:textId="77777777" w:rsidTr="00F32E98">
        <w:trPr>
          <w:tblHeader/>
        </w:trPr>
        <w:tc>
          <w:tcPr>
            <w:tcW w:w="2835" w:type="dxa"/>
          </w:tcPr>
          <w:p w14:paraId="38AD5106" w14:textId="0E054D45" w:rsidR="009F1C6B" w:rsidRPr="00964881" w:rsidRDefault="009F1C6B" w:rsidP="006C776F">
            <w:pPr>
              <w:pStyle w:val="Tableheading"/>
              <w:rPr>
                <w:lang w:eastAsia="en-AU"/>
              </w:rPr>
            </w:pPr>
            <w:r w:rsidRPr="00D105BC">
              <w:rPr>
                <w:lang w:eastAsia="en-AU"/>
              </w:rPr>
              <w:t>Cohort (by proxy)</w:t>
            </w:r>
          </w:p>
        </w:tc>
        <w:tc>
          <w:tcPr>
            <w:tcW w:w="2410" w:type="dxa"/>
          </w:tcPr>
          <w:p w14:paraId="6C0A2FDD" w14:textId="4E841DBF" w:rsidR="009F1C6B" w:rsidRPr="00964881" w:rsidRDefault="009F1C6B" w:rsidP="006C776F">
            <w:pPr>
              <w:pStyle w:val="Tableheading"/>
              <w:rPr>
                <w:lang w:eastAsia="en-AU"/>
              </w:rPr>
            </w:pPr>
            <w:r w:rsidRPr="00D105BC">
              <w:rPr>
                <w:lang w:eastAsia="en-AU"/>
              </w:rPr>
              <w:t>Cohort</w:t>
            </w:r>
            <w:r w:rsidR="00945775">
              <w:rPr>
                <w:lang w:eastAsia="en-AU"/>
              </w:rPr>
              <w:t xml:space="preserve"> subgroup</w:t>
            </w:r>
          </w:p>
        </w:tc>
        <w:tc>
          <w:tcPr>
            <w:tcW w:w="1985" w:type="dxa"/>
          </w:tcPr>
          <w:p w14:paraId="20583F5D" w14:textId="68C8C52D" w:rsidR="009F1C6B" w:rsidRPr="00964881" w:rsidRDefault="002B3E3C" w:rsidP="006C776F">
            <w:pPr>
              <w:pStyle w:val="Tableheading"/>
              <w:rPr>
                <w:lang w:eastAsia="en-AU"/>
              </w:rPr>
            </w:pPr>
            <w:r>
              <w:rPr>
                <w:lang w:eastAsia="en-AU"/>
              </w:rPr>
              <w:t>P</w:t>
            </w:r>
            <w:r w:rsidR="00BB1B66">
              <w:rPr>
                <w:lang w:eastAsia="en-AU"/>
              </w:rPr>
              <w:t>er cent</w:t>
            </w:r>
            <w:r w:rsidR="009F1C6B" w:rsidRPr="00B84003">
              <w:rPr>
                <w:lang w:eastAsia="en-AU"/>
              </w:rPr>
              <w:t xml:space="preserve"> of total </w:t>
            </w:r>
            <w:r w:rsidR="009F1C6B" w:rsidRPr="00964881">
              <w:rPr>
                <w:lang w:eastAsia="en-AU"/>
              </w:rPr>
              <w:t xml:space="preserve">payment recipients (Dec’21 n= </w:t>
            </w:r>
            <w:r w:rsidR="009F1C6B" w:rsidRPr="00B84003">
              <w:rPr>
                <w:lang w:eastAsia="en-AU"/>
              </w:rPr>
              <w:t>5,183,520)</w:t>
            </w:r>
          </w:p>
        </w:tc>
        <w:tc>
          <w:tcPr>
            <w:tcW w:w="1849" w:type="dxa"/>
            <w:gridSpan w:val="2"/>
          </w:tcPr>
          <w:p w14:paraId="5DDB2593" w14:textId="361BCFAF" w:rsidR="009F1C6B" w:rsidRPr="00964881" w:rsidRDefault="002B3E3C" w:rsidP="006C776F">
            <w:pPr>
              <w:pStyle w:val="Tableheading"/>
              <w:rPr>
                <w:lang w:eastAsia="en-AU"/>
              </w:rPr>
            </w:pPr>
            <w:r>
              <w:rPr>
                <w:lang w:eastAsia="en-AU"/>
              </w:rPr>
              <w:t>P</w:t>
            </w:r>
            <w:r w:rsidR="00BB1B66">
              <w:rPr>
                <w:lang w:eastAsia="en-AU"/>
              </w:rPr>
              <w:t>er cent</w:t>
            </w:r>
            <w:r w:rsidR="009F1C6B" w:rsidRPr="00B84003">
              <w:rPr>
                <w:lang w:eastAsia="en-AU"/>
              </w:rPr>
              <w:t xml:space="preserve"> of individuals surveyed (n=54)</w:t>
            </w:r>
          </w:p>
        </w:tc>
      </w:tr>
      <w:tr w:rsidR="00846DC7" w:rsidRPr="00964881" w14:paraId="2213039B" w14:textId="77777777" w:rsidTr="00F32E98">
        <w:trPr>
          <w:gridAfter w:val="1"/>
          <w:wAfter w:w="7" w:type="dxa"/>
        </w:trPr>
        <w:tc>
          <w:tcPr>
            <w:tcW w:w="2835" w:type="dxa"/>
            <w:vMerge w:val="restart"/>
          </w:tcPr>
          <w:p w14:paraId="497A8108" w14:textId="77777777" w:rsidR="00846DC7" w:rsidRPr="006C776F" w:rsidRDefault="00846DC7" w:rsidP="006C776F">
            <w:pPr>
              <w:pStyle w:val="Tabletext"/>
              <w:rPr>
                <w:b/>
              </w:rPr>
            </w:pPr>
            <w:r w:rsidRPr="006C776F">
              <w:rPr>
                <w:b/>
              </w:rPr>
              <w:t>Aboriginal &amp; Torres Strait Islander People</w:t>
            </w:r>
          </w:p>
          <w:p w14:paraId="39FEEC67" w14:textId="3BFF1853" w:rsidR="00846DC7" w:rsidRPr="006C776F" w:rsidRDefault="00846DC7" w:rsidP="006C776F">
            <w:pPr>
              <w:pStyle w:val="Tabletext"/>
              <w:rPr>
                <w:b/>
              </w:rPr>
            </w:pPr>
          </w:p>
        </w:tc>
        <w:tc>
          <w:tcPr>
            <w:tcW w:w="2410" w:type="dxa"/>
          </w:tcPr>
          <w:p w14:paraId="03C00ACE" w14:textId="257F05AD" w:rsidR="00846DC7" w:rsidRPr="00964881" w:rsidRDefault="00AC68AC" w:rsidP="006C776F">
            <w:pPr>
              <w:pStyle w:val="Tabletext"/>
            </w:pPr>
            <w:r>
              <w:lastRenderedPageBreak/>
              <w:t>Aboriginal and Torres Strait Islander People</w:t>
            </w:r>
          </w:p>
        </w:tc>
        <w:tc>
          <w:tcPr>
            <w:tcW w:w="1985" w:type="dxa"/>
          </w:tcPr>
          <w:p w14:paraId="52A01C97" w14:textId="4ADB5123" w:rsidR="00846DC7" w:rsidRPr="00964881" w:rsidRDefault="00846DC7" w:rsidP="006C776F">
            <w:pPr>
              <w:pStyle w:val="Tabletext"/>
            </w:pPr>
            <w:r w:rsidRPr="00D105BC">
              <w:t>5</w:t>
            </w:r>
            <w:r w:rsidR="00B05778">
              <w:t>%</w:t>
            </w:r>
          </w:p>
        </w:tc>
        <w:tc>
          <w:tcPr>
            <w:tcW w:w="1842" w:type="dxa"/>
          </w:tcPr>
          <w:p w14:paraId="796B3D13" w14:textId="7C2964C9" w:rsidR="00846DC7" w:rsidRPr="00964881" w:rsidRDefault="00846DC7" w:rsidP="006C776F">
            <w:pPr>
              <w:pStyle w:val="Tabletext"/>
            </w:pPr>
            <w:r w:rsidRPr="00D105BC">
              <w:t>6</w:t>
            </w:r>
            <w:r w:rsidR="00B05778">
              <w:t>%</w:t>
            </w:r>
          </w:p>
        </w:tc>
      </w:tr>
      <w:tr w:rsidR="00846DC7" w:rsidRPr="00964881" w14:paraId="786F0752" w14:textId="77777777" w:rsidTr="00F32E98">
        <w:trPr>
          <w:gridAfter w:val="1"/>
          <w:wAfter w:w="7" w:type="dxa"/>
        </w:trPr>
        <w:tc>
          <w:tcPr>
            <w:tcW w:w="2835" w:type="dxa"/>
            <w:vMerge/>
          </w:tcPr>
          <w:p w14:paraId="4E7E14F8" w14:textId="79392381" w:rsidR="00846DC7" w:rsidRPr="006C776F" w:rsidRDefault="00846DC7" w:rsidP="006C776F">
            <w:pPr>
              <w:pStyle w:val="Tabletext"/>
              <w:rPr>
                <w:b/>
              </w:rPr>
            </w:pPr>
          </w:p>
        </w:tc>
        <w:tc>
          <w:tcPr>
            <w:tcW w:w="2410" w:type="dxa"/>
          </w:tcPr>
          <w:p w14:paraId="55F748C2" w14:textId="3DD2830F" w:rsidR="00846DC7" w:rsidRPr="00964881" w:rsidRDefault="00AC68AC" w:rsidP="006C776F">
            <w:pPr>
              <w:pStyle w:val="Tabletext"/>
            </w:pPr>
            <w:r>
              <w:t>No</w:t>
            </w:r>
            <w:r w:rsidR="009A49D2">
              <w:t>n-</w:t>
            </w:r>
            <w:r>
              <w:t>Aboriginal and Torres Strait Islander People</w:t>
            </w:r>
          </w:p>
        </w:tc>
        <w:tc>
          <w:tcPr>
            <w:tcW w:w="1985" w:type="dxa"/>
          </w:tcPr>
          <w:p w14:paraId="574B4D57" w14:textId="74446E74" w:rsidR="00846DC7" w:rsidRPr="00964881" w:rsidRDefault="00846DC7" w:rsidP="006C776F">
            <w:pPr>
              <w:pStyle w:val="Tabletext"/>
            </w:pPr>
            <w:r w:rsidRPr="00D105BC">
              <w:t>94</w:t>
            </w:r>
            <w:r w:rsidR="00B05778">
              <w:t>%</w:t>
            </w:r>
          </w:p>
        </w:tc>
        <w:tc>
          <w:tcPr>
            <w:tcW w:w="1842" w:type="dxa"/>
          </w:tcPr>
          <w:p w14:paraId="0AAF0C14" w14:textId="474FCCBF" w:rsidR="00846DC7" w:rsidRPr="00964881" w:rsidRDefault="00846DC7" w:rsidP="006C776F">
            <w:pPr>
              <w:pStyle w:val="Tabletext"/>
            </w:pPr>
            <w:r w:rsidRPr="00D105BC">
              <w:t>93</w:t>
            </w:r>
            <w:r w:rsidR="00B05778">
              <w:t>%</w:t>
            </w:r>
          </w:p>
        </w:tc>
      </w:tr>
      <w:tr w:rsidR="00846DC7" w:rsidRPr="00964881" w14:paraId="06C0EA54" w14:textId="77777777" w:rsidTr="00F32E98">
        <w:trPr>
          <w:gridAfter w:val="1"/>
          <w:wAfter w:w="7" w:type="dxa"/>
        </w:trPr>
        <w:tc>
          <w:tcPr>
            <w:tcW w:w="2835" w:type="dxa"/>
            <w:vMerge w:val="restart"/>
          </w:tcPr>
          <w:p w14:paraId="5678CD7F" w14:textId="5934070B" w:rsidR="00846DC7" w:rsidRPr="006C776F" w:rsidRDefault="00846DC7" w:rsidP="006C776F">
            <w:pPr>
              <w:pStyle w:val="Tabletext"/>
              <w:rPr>
                <w:b/>
              </w:rPr>
            </w:pPr>
            <w:r w:rsidRPr="006C776F">
              <w:rPr>
                <w:b/>
              </w:rPr>
              <w:t>Country of birth</w:t>
            </w:r>
          </w:p>
        </w:tc>
        <w:tc>
          <w:tcPr>
            <w:tcW w:w="2410" w:type="dxa"/>
          </w:tcPr>
          <w:p w14:paraId="737072F3" w14:textId="26DC2C01" w:rsidR="00846DC7" w:rsidRPr="00964881" w:rsidRDefault="00846DC7" w:rsidP="006C776F">
            <w:pPr>
              <w:pStyle w:val="Tabletext"/>
            </w:pPr>
            <w:r w:rsidRPr="00D105BC">
              <w:t>Australia</w:t>
            </w:r>
          </w:p>
        </w:tc>
        <w:tc>
          <w:tcPr>
            <w:tcW w:w="1985" w:type="dxa"/>
          </w:tcPr>
          <w:p w14:paraId="73778398" w14:textId="4FBC6111" w:rsidR="00846DC7" w:rsidRPr="00964881" w:rsidRDefault="00846DC7" w:rsidP="006C776F">
            <w:pPr>
              <w:pStyle w:val="Tabletext"/>
            </w:pPr>
            <w:r w:rsidRPr="00D105BC">
              <w:t>68</w:t>
            </w:r>
            <w:r w:rsidR="00B05778">
              <w:t>%</w:t>
            </w:r>
          </w:p>
        </w:tc>
        <w:tc>
          <w:tcPr>
            <w:tcW w:w="1842" w:type="dxa"/>
          </w:tcPr>
          <w:p w14:paraId="3BF6D11C" w14:textId="746A8329" w:rsidR="00846DC7" w:rsidRPr="00964881" w:rsidRDefault="00846DC7" w:rsidP="006C776F">
            <w:pPr>
              <w:pStyle w:val="Tabletext"/>
            </w:pPr>
            <w:r w:rsidRPr="00D105BC">
              <w:t>80</w:t>
            </w:r>
            <w:r w:rsidR="00B05778">
              <w:t>%</w:t>
            </w:r>
          </w:p>
        </w:tc>
      </w:tr>
      <w:tr w:rsidR="00846DC7" w:rsidRPr="00964881" w14:paraId="1ECAEAD4" w14:textId="77777777" w:rsidTr="00F32E98">
        <w:trPr>
          <w:gridAfter w:val="1"/>
          <w:wAfter w:w="7" w:type="dxa"/>
        </w:trPr>
        <w:tc>
          <w:tcPr>
            <w:tcW w:w="2835" w:type="dxa"/>
            <w:vMerge/>
          </w:tcPr>
          <w:p w14:paraId="31EA531C" w14:textId="6CF96528" w:rsidR="00846DC7" w:rsidRPr="006C776F" w:rsidRDefault="00846DC7" w:rsidP="006C776F">
            <w:pPr>
              <w:pStyle w:val="Tabletext"/>
              <w:rPr>
                <w:b/>
              </w:rPr>
            </w:pPr>
          </w:p>
        </w:tc>
        <w:tc>
          <w:tcPr>
            <w:tcW w:w="2410" w:type="dxa"/>
          </w:tcPr>
          <w:p w14:paraId="058334AA" w14:textId="38C558AD" w:rsidR="00846DC7" w:rsidRPr="00964881" w:rsidRDefault="00964881" w:rsidP="006C776F">
            <w:pPr>
              <w:pStyle w:val="Tabletext"/>
            </w:pPr>
            <w:r>
              <w:t>O</w:t>
            </w:r>
            <w:r w:rsidR="00846DC7" w:rsidRPr="00D105BC">
              <w:t>utside of Australia</w:t>
            </w:r>
          </w:p>
        </w:tc>
        <w:tc>
          <w:tcPr>
            <w:tcW w:w="1985" w:type="dxa"/>
          </w:tcPr>
          <w:p w14:paraId="2F108C76" w14:textId="31818A33" w:rsidR="00846DC7" w:rsidRPr="00964881" w:rsidRDefault="00846DC7" w:rsidP="006C776F">
            <w:pPr>
              <w:pStyle w:val="Tabletext"/>
            </w:pPr>
            <w:r w:rsidRPr="00D105BC">
              <w:t>32</w:t>
            </w:r>
            <w:r w:rsidR="00B05778">
              <w:t>%</w:t>
            </w:r>
          </w:p>
        </w:tc>
        <w:tc>
          <w:tcPr>
            <w:tcW w:w="1842" w:type="dxa"/>
          </w:tcPr>
          <w:p w14:paraId="158808EB" w14:textId="40879BE4" w:rsidR="00846DC7" w:rsidRPr="00964881" w:rsidRDefault="00846DC7" w:rsidP="006C776F">
            <w:pPr>
              <w:pStyle w:val="Tabletext"/>
            </w:pPr>
            <w:r w:rsidRPr="00D105BC">
              <w:t>20</w:t>
            </w:r>
            <w:r w:rsidR="00B05778">
              <w:t>%</w:t>
            </w:r>
          </w:p>
        </w:tc>
      </w:tr>
      <w:tr w:rsidR="004A6E19" w:rsidRPr="00964881" w14:paraId="476CF6F0" w14:textId="77777777" w:rsidTr="00F32E98">
        <w:trPr>
          <w:gridAfter w:val="1"/>
          <w:wAfter w:w="7" w:type="dxa"/>
        </w:trPr>
        <w:tc>
          <w:tcPr>
            <w:tcW w:w="2835" w:type="dxa"/>
            <w:vMerge w:val="restart"/>
          </w:tcPr>
          <w:p w14:paraId="699F771E" w14:textId="4C96E570" w:rsidR="004A6E19" w:rsidRPr="006C776F" w:rsidRDefault="004A6E19" w:rsidP="006C776F">
            <w:pPr>
              <w:pStyle w:val="Tabletext"/>
              <w:rPr>
                <w:b/>
              </w:rPr>
            </w:pPr>
            <w:r w:rsidRPr="006C776F">
              <w:rPr>
                <w:b/>
              </w:rPr>
              <w:t>Gender</w:t>
            </w:r>
          </w:p>
        </w:tc>
        <w:tc>
          <w:tcPr>
            <w:tcW w:w="2410" w:type="dxa"/>
          </w:tcPr>
          <w:p w14:paraId="25A9AB44" w14:textId="4DF27C01" w:rsidR="004A6E19" w:rsidRPr="00964881" w:rsidRDefault="004A6E19" w:rsidP="006C776F">
            <w:pPr>
              <w:pStyle w:val="Tabletext"/>
            </w:pPr>
            <w:r w:rsidRPr="00D105BC">
              <w:t>Male</w:t>
            </w:r>
          </w:p>
        </w:tc>
        <w:tc>
          <w:tcPr>
            <w:tcW w:w="1985" w:type="dxa"/>
          </w:tcPr>
          <w:p w14:paraId="7DAC83CD" w14:textId="7CD87575" w:rsidR="004A6E19" w:rsidRPr="00964881" w:rsidRDefault="004A6E19" w:rsidP="006C776F">
            <w:pPr>
              <w:pStyle w:val="Tabletext"/>
            </w:pPr>
            <w:r w:rsidRPr="00D105BC">
              <w:t>44</w:t>
            </w:r>
            <w:r w:rsidR="00B05778">
              <w:t>%</w:t>
            </w:r>
          </w:p>
        </w:tc>
        <w:tc>
          <w:tcPr>
            <w:tcW w:w="1842" w:type="dxa"/>
          </w:tcPr>
          <w:p w14:paraId="791C22B8" w14:textId="47F924F1" w:rsidR="004A6E19" w:rsidRPr="00964881" w:rsidRDefault="004A6E19" w:rsidP="006C776F">
            <w:pPr>
              <w:pStyle w:val="Tabletext"/>
            </w:pPr>
            <w:r w:rsidRPr="00D105BC">
              <w:t>20</w:t>
            </w:r>
            <w:r w:rsidR="00B05778">
              <w:t>%</w:t>
            </w:r>
          </w:p>
        </w:tc>
      </w:tr>
      <w:tr w:rsidR="004A6E19" w:rsidRPr="00964881" w14:paraId="795D0667" w14:textId="77777777" w:rsidTr="00F32E98">
        <w:trPr>
          <w:gridAfter w:val="1"/>
          <w:wAfter w:w="7" w:type="dxa"/>
        </w:trPr>
        <w:tc>
          <w:tcPr>
            <w:tcW w:w="2835" w:type="dxa"/>
            <w:vMerge/>
          </w:tcPr>
          <w:p w14:paraId="3A4A2609" w14:textId="0D341E52" w:rsidR="004A6E19" w:rsidRPr="006C776F" w:rsidRDefault="004A6E19" w:rsidP="006C776F">
            <w:pPr>
              <w:pStyle w:val="Tabletext"/>
              <w:rPr>
                <w:rFonts w:eastAsia="Times New Roman" w:cs="Calibri"/>
                <w:b/>
                <w:color w:val="000000"/>
                <w:lang w:eastAsia="en-AU"/>
              </w:rPr>
            </w:pPr>
          </w:p>
        </w:tc>
        <w:tc>
          <w:tcPr>
            <w:tcW w:w="2410" w:type="dxa"/>
          </w:tcPr>
          <w:p w14:paraId="49A200BC" w14:textId="1363B4F3" w:rsidR="004A6E19" w:rsidRPr="00964881" w:rsidRDefault="004A6E19" w:rsidP="006C776F">
            <w:pPr>
              <w:pStyle w:val="Tabletext"/>
              <w:rPr>
                <w:rFonts w:eastAsia="Times New Roman" w:cs="Calibri"/>
                <w:color w:val="000000"/>
                <w:lang w:eastAsia="en-AU"/>
              </w:rPr>
            </w:pPr>
            <w:r w:rsidRPr="00D105BC">
              <w:t>Female</w:t>
            </w:r>
          </w:p>
        </w:tc>
        <w:tc>
          <w:tcPr>
            <w:tcW w:w="1985" w:type="dxa"/>
          </w:tcPr>
          <w:p w14:paraId="33B7E9F4" w14:textId="38CD58D3" w:rsidR="004A6E19" w:rsidRPr="00964881" w:rsidRDefault="004A6E19" w:rsidP="006C776F">
            <w:pPr>
              <w:pStyle w:val="Tabletext"/>
              <w:rPr>
                <w:rFonts w:eastAsia="Times New Roman" w:cs="Calibri"/>
                <w:color w:val="000000"/>
                <w:lang w:eastAsia="en-AU"/>
              </w:rPr>
            </w:pPr>
            <w:r w:rsidRPr="00D105BC">
              <w:t>56</w:t>
            </w:r>
            <w:r w:rsidR="00B05778">
              <w:t>%</w:t>
            </w:r>
          </w:p>
        </w:tc>
        <w:tc>
          <w:tcPr>
            <w:tcW w:w="1842" w:type="dxa"/>
          </w:tcPr>
          <w:p w14:paraId="6703017D" w14:textId="4A19C249" w:rsidR="004A6E19" w:rsidRPr="00964881" w:rsidRDefault="004A6E19" w:rsidP="006C776F">
            <w:pPr>
              <w:pStyle w:val="Tabletext"/>
              <w:rPr>
                <w:rFonts w:eastAsia="Times New Roman" w:cs="Calibri"/>
                <w:color w:val="000000"/>
                <w:lang w:eastAsia="en-AU"/>
              </w:rPr>
            </w:pPr>
            <w:r w:rsidRPr="00D105BC">
              <w:t>70</w:t>
            </w:r>
            <w:r w:rsidR="00B05778">
              <w:t>%</w:t>
            </w:r>
          </w:p>
        </w:tc>
      </w:tr>
      <w:tr w:rsidR="004A6E19" w:rsidRPr="00964881" w14:paraId="67C65EF1" w14:textId="77777777" w:rsidTr="00F32E98">
        <w:trPr>
          <w:gridAfter w:val="1"/>
          <w:wAfter w:w="7" w:type="dxa"/>
        </w:trPr>
        <w:tc>
          <w:tcPr>
            <w:tcW w:w="2835" w:type="dxa"/>
            <w:vMerge/>
          </w:tcPr>
          <w:p w14:paraId="680B21B2" w14:textId="77777777" w:rsidR="004A6E19" w:rsidRPr="006C776F" w:rsidRDefault="004A6E19" w:rsidP="006C776F">
            <w:pPr>
              <w:pStyle w:val="Tabletext"/>
              <w:rPr>
                <w:rFonts w:eastAsia="Times New Roman" w:cs="Calibri"/>
                <w:b/>
                <w:color w:val="000000"/>
                <w:lang w:eastAsia="en-AU"/>
              </w:rPr>
            </w:pPr>
          </w:p>
        </w:tc>
        <w:tc>
          <w:tcPr>
            <w:tcW w:w="2410" w:type="dxa"/>
          </w:tcPr>
          <w:p w14:paraId="0E18A4B3" w14:textId="14D82D0F" w:rsidR="004A6E19" w:rsidRPr="00D105BC" w:rsidRDefault="00DD634E" w:rsidP="006C776F">
            <w:pPr>
              <w:pStyle w:val="Tabletext"/>
            </w:pPr>
            <w:r>
              <w:t>Other</w:t>
            </w:r>
          </w:p>
        </w:tc>
        <w:tc>
          <w:tcPr>
            <w:tcW w:w="1985" w:type="dxa"/>
          </w:tcPr>
          <w:p w14:paraId="6273243E" w14:textId="28BF8622" w:rsidR="004A6E19" w:rsidRPr="00D105BC" w:rsidRDefault="004A6E19" w:rsidP="006C776F">
            <w:pPr>
              <w:pStyle w:val="Tabletext"/>
            </w:pPr>
            <w:r>
              <w:t>-</w:t>
            </w:r>
          </w:p>
        </w:tc>
        <w:tc>
          <w:tcPr>
            <w:tcW w:w="1842" w:type="dxa"/>
          </w:tcPr>
          <w:p w14:paraId="764247B8" w14:textId="2F203C8C" w:rsidR="004A6E19" w:rsidRPr="00D105BC" w:rsidRDefault="004A6E19" w:rsidP="006C776F">
            <w:pPr>
              <w:pStyle w:val="Tabletext"/>
            </w:pPr>
            <w:r>
              <w:t>10</w:t>
            </w:r>
            <w:r w:rsidR="00B05778">
              <w:t>%</w:t>
            </w:r>
          </w:p>
        </w:tc>
      </w:tr>
      <w:tr w:rsidR="00846DC7" w:rsidRPr="00964881" w14:paraId="67F69899" w14:textId="77777777" w:rsidTr="00F32E98">
        <w:trPr>
          <w:gridAfter w:val="1"/>
          <w:wAfter w:w="7" w:type="dxa"/>
        </w:trPr>
        <w:tc>
          <w:tcPr>
            <w:tcW w:w="2835" w:type="dxa"/>
            <w:vMerge w:val="restart"/>
          </w:tcPr>
          <w:p w14:paraId="00CB9023" w14:textId="10382464" w:rsidR="00846DC7" w:rsidRPr="006C776F" w:rsidRDefault="00846DC7" w:rsidP="006C776F">
            <w:pPr>
              <w:pStyle w:val="Tabletext"/>
              <w:rPr>
                <w:rFonts w:eastAsia="Times New Roman" w:cs="Calibri"/>
                <w:b/>
                <w:color w:val="000000"/>
                <w:lang w:eastAsia="en-AU"/>
              </w:rPr>
            </w:pPr>
            <w:r w:rsidRPr="006C776F">
              <w:rPr>
                <w:b/>
              </w:rPr>
              <w:t>Geographic Location</w:t>
            </w:r>
          </w:p>
        </w:tc>
        <w:tc>
          <w:tcPr>
            <w:tcW w:w="2410" w:type="dxa"/>
          </w:tcPr>
          <w:p w14:paraId="1C6545CA" w14:textId="09FF0B9F" w:rsidR="00846DC7" w:rsidRPr="00964881" w:rsidRDefault="00846DC7" w:rsidP="006C776F">
            <w:pPr>
              <w:pStyle w:val="Tabletext"/>
              <w:rPr>
                <w:rFonts w:eastAsia="Times New Roman" w:cs="Calibri"/>
                <w:color w:val="000000"/>
                <w:lang w:eastAsia="en-AU"/>
              </w:rPr>
            </w:pPr>
            <w:r w:rsidRPr="00D105BC">
              <w:t>Australian Capital Territory</w:t>
            </w:r>
          </w:p>
        </w:tc>
        <w:tc>
          <w:tcPr>
            <w:tcW w:w="1985" w:type="dxa"/>
          </w:tcPr>
          <w:p w14:paraId="2D880C72" w14:textId="46B50EEF" w:rsidR="00846DC7" w:rsidRPr="00964881" w:rsidRDefault="00846DC7" w:rsidP="006C776F">
            <w:pPr>
              <w:pStyle w:val="Tabletext"/>
              <w:rPr>
                <w:rFonts w:eastAsia="Times New Roman" w:cs="Calibri"/>
                <w:color w:val="000000"/>
                <w:lang w:eastAsia="en-AU"/>
              </w:rPr>
            </w:pPr>
            <w:r w:rsidRPr="00D105BC">
              <w:t>1</w:t>
            </w:r>
            <w:r w:rsidR="00B05778">
              <w:t>%</w:t>
            </w:r>
          </w:p>
        </w:tc>
        <w:tc>
          <w:tcPr>
            <w:tcW w:w="1842" w:type="dxa"/>
          </w:tcPr>
          <w:p w14:paraId="74331D43" w14:textId="4C74AF17" w:rsidR="00846DC7" w:rsidRPr="00964881" w:rsidRDefault="00846DC7" w:rsidP="006C776F">
            <w:pPr>
              <w:pStyle w:val="Tabletext"/>
              <w:rPr>
                <w:rFonts w:eastAsia="Times New Roman" w:cs="Calibri"/>
                <w:color w:val="000000"/>
                <w:lang w:eastAsia="en-AU"/>
              </w:rPr>
            </w:pPr>
            <w:r w:rsidRPr="00D105BC">
              <w:t>2</w:t>
            </w:r>
            <w:r w:rsidR="00B05778">
              <w:t>%</w:t>
            </w:r>
          </w:p>
        </w:tc>
      </w:tr>
      <w:tr w:rsidR="00846DC7" w:rsidRPr="00964881" w14:paraId="793AF1E3" w14:textId="77777777" w:rsidTr="00F32E98">
        <w:trPr>
          <w:gridAfter w:val="1"/>
          <w:wAfter w:w="7" w:type="dxa"/>
        </w:trPr>
        <w:tc>
          <w:tcPr>
            <w:tcW w:w="2835" w:type="dxa"/>
            <w:vMerge/>
          </w:tcPr>
          <w:p w14:paraId="7A49148C" w14:textId="2C66092A" w:rsidR="00846DC7" w:rsidRPr="006C776F" w:rsidRDefault="00846DC7" w:rsidP="006C776F">
            <w:pPr>
              <w:pStyle w:val="Tabletext"/>
              <w:rPr>
                <w:rFonts w:eastAsia="Times New Roman" w:cs="Calibri"/>
                <w:b/>
                <w:color w:val="000000"/>
                <w:lang w:eastAsia="en-AU"/>
              </w:rPr>
            </w:pPr>
          </w:p>
        </w:tc>
        <w:tc>
          <w:tcPr>
            <w:tcW w:w="2410" w:type="dxa"/>
          </w:tcPr>
          <w:p w14:paraId="60A63F6F" w14:textId="6DDD5307" w:rsidR="00846DC7" w:rsidRPr="00964881" w:rsidRDefault="00846DC7" w:rsidP="006C776F">
            <w:pPr>
              <w:pStyle w:val="Tabletext"/>
              <w:rPr>
                <w:rFonts w:eastAsia="Times New Roman" w:cs="Calibri"/>
                <w:color w:val="000000"/>
                <w:lang w:eastAsia="en-AU"/>
              </w:rPr>
            </w:pPr>
            <w:r w:rsidRPr="00D105BC">
              <w:t>New South Wales</w:t>
            </w:r>
          </w:p>
        </w:tc>
        <w:tc>
          <w:tcPr>
            <w:tcW w:w="1985" w:type="dxa"/>
          </w:tcPr>
          <w:p w14:paraId="0C3ED555" w14:textId="20E0C5E5" w:rsidR="00846DC7" w:rsidRPr="00964881" w:rsidRDefault="00846DC7" w:rsidP="006C776F">
            <w:pPr>
              <w:pStyle w:val="Tabletext"/>
              <w:rPr>
                <w:rFonts w:eastAsia="Times New Roman" w:cs="Calibri"/>
                <w:color w:val="000000"/>
                <w:lang w:eastAsia="en-AU"/>
              </w:rPr>
            </w:pPr>
            <w:r w:rsidRPr="00D105BC">
              <w:t>31</w:t>
            </w:r>
            <w:r w:rsidR="00B05778">
              <w:t>%</w:t>
            </w:r>
          </w:p>
        </w:tc>
        <w:tc>
          <w:tcPr>
            <w:tcW w:w="1842" w:type="dxa"/>
          </w:tcPr>
          <w:p w14:paraId="64DC79D6" w14:textId="758258DC" w:rsidR="00846DC7" w:rsidRPr="00964881" w:rsidRDefault="00846DC7" w:rsidP="006C776F">
            <w:pPr>
              <w:pStyle w:val="Tabletext"/>
              <w:rPr>
                <w:rFonts w:eastAsia="Times New Roman" w:cs="Calibri"/>
                <w:color w:val="000000"/>
                <w:lang w:eastAsia="en-AU"/>
              </w:rPr>
            </w:pPr>
            <w:r w:rsidRPr="00D105BC">
              <w:t>24</w:t>
            </w:r>
            <w:r w:rsidR="00B05778">
              <w:t>%</w:t>
            </w:r>
          </w:p>
        </w:tc>
      </w:tr>
      <w:tr w:rsidR="00846DC7" w:rsidRPr="00964881" w14:paraId="084A5B7A" w14:textId="77777777" w:rsidTr="00F32E98">
        <w:trPr>
          <w:gridAfter w:val="1"/>
          <w:wAfter w:w="7" w:type="dxa"/>
        </w:trPr>
        <w:tc>
          <w:tcPr>
            <w:tcW w:w="2835" w:type="dxa"/>
            <w:vMerge/>
          </w:tcPr>
          <w:p w14:paraId="655E87ED" w14:textId="6D516746" w:rsidR="00846DC7" w:rsidRPr="00315A92" w:rsidRDefault="00846DC7" w:rsidP="00315A92">
            <w:pPr>
              <w:pStyle w:val="Tabletext"/>
              <w:rPr>
                <w:rFonts w:eastAsia="Times New Roman" w:cs="Calibri"/>
                <w:b/>
                <w:color w:val="000000"/>
                <w:lang w:eastAsia="en-AU"/>
              </w:rPr>
            </w:pPr>
          </w:p>
        </w:tc>
        <w:tc>
          <w:tcPr>
            <w:tcW w:w="2410" w:type="dxa"/>
          </w:tcPr>
          <w:p w14:paraId="76916FAD" w14:textId="06223DF8" w:rsidR="00846DC7" w:rsidRPr="00964881" w:rsidRDefault="00846DC7" w:rsidP="00315A92">
            <w:pPr>
              <w:pStyle w:val="Tabletext"/>
              <w:rPr>
                <w:rFonts w:eastAsia="Times New Roman" w:cs="Calibri"/>
                <w:color w:val="000000"/>
                <w:lang w:eastAsia="en-AU"/>
              </w:rPr>
            </w:pPr>
            <w:r w:rsidRPr="00D105BC">
              <w:t>Northern Territory</w:t>
            </w:r>
          </w:p>
        </w:tc>
        <w:tc>
          <w:tcPr>
            <w:tcW w:w="1985" w:type="dxa"/>
          </w:tcPr>
          <w:p w14:paraId="4211FDA3" w14:textId="55EDA47D" w:rsidR="00846DC7" w:rsidRPr="00964881" w:rsidRDefault="00846DC7" w:rsidP="00315A92">
            <w:pPr>
              <w:pStyle w:val="Tabletext"/>
              <w:rPr>
                <w:rFonts w:eastAsia="Times New Roman" w:cs="Calibri"/>
                <w:color w:val="000000"/>
                <w:lang w:eastAsia="en-AU"/>
              </w:rPr>
            </w:pPr>
            <w:r w:rsidRPr="00D105BC">
              <w:t>1</w:t>
            </w:r>
            <w:r w:rsidR="00B05778">
              <w:t>%</w:t>
            </w:r>
          </w:p>
        </w:tc>
        <w:tc>
          <w:tcPr>
            <w:tcW w:w="1842" w:type="dxa"/>
          </w:tcPr>
          <w:p w14:paraId="44764538" w14:textId="6990127C" w:rsidR="00846DC7" w:rsidRPr="00964881" w:rsidRDefault="00846DC7" w:rsidP="00315A92">
            <w:pPr>
              <w:pStyle w:val="Tabletext"/>
              <w:rPr>
                <w:rFonts w:eastAsia="Times New Roman" w:cs="Calibri"/>
                <w:color w:val="000000"/>
                <w:lang w:eastAsia="en-AU"/>
              </w:rPr>
            </w:pPr>
            <w:r w:rsidRPr="00D105BC">
              <w:t>6</w:t>
            </w:r>
            <w:r w:rsidR="00B05778">
              <w:t>%</w:t>
            </w:r>
          </w:p>
        </w:tc>
      </w:tr>
      <w:tr w:rsidR="00846DC7" w:rsidRPr="00964881" w14:paraId="6F44D595" w14:textId="77777777" w:rsidTr="00F32E98">
        <w:trPr>
          <w:gridAfter w:val="1"/>
          <w:wAfter w:w="7" w:type="dxa"/>
        </w:trPr>
        <w:tc>
          <w:tcPr>
            <w:tcW w:w="2835" w:type="dxa"/>
            <w:vMerge/>
          </w:tcPr>
          <w:p w14:paraId="27A3FA8A" w14:textId="0F67F5D3" w:rsidR="00846DC7" w:rsidRPr="00315A92" w:rsidRDefault="00846DC7" w:rsidP="00315A92">
            <w:pPr>
              <w:pStyle w:val="Tabletext"/>
              <w:rPr>
                <w:rFonts w:eastAsia="Times New Roman" w:cs="Calibri"/>
                <w:b/>
                <w:color w:val="000000"/>
                <w:lang w:eastAsia="en-AU"/>
              </w:rPr>
            </w:pPr>
          </w:p>
        </w:tc>
        <w:tc>
          <w:tcPr>
            <w:tcW w:w="2410" w:type="dxa"/>
          </w:tcPr>
          <w:p w14:paraId="58CF41D8" w14:textId="1812B313" w:rsidR="00846DC7" w:rsidRPr="00964881" w:rsidRDefault="00846DC7" w:rsidP="00315A92">
            <w:pPr>
              <w:pStyle w:val="Tabletext"/>
              <w:rPr>
                <w:rFonts w:eastAsia="Times New Roman" w:cs="Calibri"/>
                <w:color w:val="000000"/>
                <w:lang w:eastAsia="en-AU"/>
              </w:rPr>
            </w:pPr>
            <w:r w:rsidRPr="00D105BC">
              <w:t>Queensland</w:t>
            </w:r>
          </w:p>
        </w:tc>
        <w:tc>
          <w:tcPr>
            <w:tcW w:w="1985" w:type="dxa"/>
          </w:tcPr>
          <w:p w14:paraId="5C4DE09D" w14:textId="78D9D62B" w:rsidR="00846DC7" w:rsidRPr="00964881" w:rsidRDefault="00846DC7" w:rsidP="00315A92">
            <w:pPr>
              <w:pStyle w:val="Tabletext"/>
              <w:rPr>
                <w:rFonts w:eastAsia="Times New Roman" w:cs="Calibri"/>
                <w:color w:val="000000"/>
                <w:lang w:eastAsia="en-AU"/>
              </w:rPr>
            </w:pPr>
            <w:r w:rsidRPr="00D105BC">
              <w:t>21</w:t>
            </w:r>
            <w:r w:rsidR="00B05778">
              <w:t>%</w:t>
            </w:r>
          </w:p>
        </w:tc>
        <w:tc>
          <w:tcPr>
            <w:tcW w:w="1842" w:type="dxa"/>
          </w:tcPr>
          <w:p w14:paraId="221DE0C6" w14:textId="4EA1D017" w:rsidR="00846DC7" w:rsidRPr="00964881" w:rsidRDefault="00846DC7" w:rsidP="00315A92">
            <w:pPr>
              <w:pStyle w:val="Tabletext"/>
              <w:rPr>
                <w:rFonts w:eastAsia="Times New Roman" w:cs="Calibri"/>
                <w:color w:val="000000"/>
                <w:lang w:eastAsia="en-AU"/>
              </w:rPr>
            </w:pPr>
            <w:r w:rsidRPr="00D105BC">
              <w:t>22</w:t>
            </w:r>
            <w:r w:rsidR="00B05778">
              <w:t>%</w:t>
            </w:r>
          </w:p>
        </w:tc>
      </w:tr>
      <w:tr w:rsidR="00846DC7" w:rsidRPr="00964881" w14:paraId="07FD439D" w14:textId="77777777" w:rsidTr="00F32E98">
        <w:trPr>
          <w:gridAfter w:val="1"/>
          <w:wAfter w:w="7" w:type="dxa"/>
        </w:trPr>
        <w:tc>
          <w:tcPr>
            <w:tcW w:w="2835" w:type="dxa"/>
            <w:vMerge/>
          </w:tcPr>
          <w:p w14:paraId="3EC2A42C" w14:textId="40345F2A" w:rsidR="00846DC7" w:rsidRPr="00315A92" w:rsidRDefault="00846DC7" w:rsidP="00315A92">
            <w:pPr>
              <w:pStyle w:val="Tabletext"/>
              <w:rPr>
                <w:rFonts w:eastAsia="Times New Roman" w:cs="Calibri"/>
                <w:b/>
                <w:color w:val="000000"/>
                <w:lang w:eastAsia="en-AU"/>
              </w:rPr>
            </w:pPr>
          </w:p>
        </w:tc>
        <w:tc>
          <w:tcPr>
            <w:tcW w:w="2410" w:type="dxa"/>
          </w:tcPr>
          <w:p w14:paraId="4C210D51" w14:textId="5CC8B4BC" w:rsidR="00846DC7" w:rsidRPr="00964881" w:rsidRDefault="00846DC7" w:rsidP="00315A92">
            <w:pPr>
              <w:pStyle w:val="Tabletext"/>
              <w:rPr>
                <w:rFonts w:eastAsia="Times New Roman" w:cs="Calibri"/>
                <w:color w:val="000000"/>
                <w:lang w:eastAsia="en-AU"/>
              </w:rPr>
            </w:pPr>
            <w:r w:rsidRPr="00D105BC">
              <w:t>South Australia</w:t>
            </w:r>
          </w:p>
        </w:tc>
        <w:tc>
          <w:tcPr>
            <w:tcW w:w="1985" w:type="dxa"/>
          </w:tcPr>
          <w:p w14:paraId="50DF84FA" w14:textId="3C634AAF" w:rsidR="00846DC7" w:rsidRPr="00964881" w:rsidRDefault="00846DC7" w:rsidP="00315A92">
            <w:pPr>
              <w:pStyle w:val="Tabletext"/>
              <w:rPr>
                <w:rFonts w:eastAsia="Times New Roman" w:cs="Calibri"/>
                <w:color w:val="000000"/>
                <w:lang w:eastAsia="en-AU"/>
              </w:rPr>
            </w:pPr>
            <w:r w:rsidRPr="00D105BC">
              <w:t>8</w:t>
            </w:r>
            <w:r w:rsidR="00B05778">
              <w:t>%</w:t>
            </w:r>
          </w:p>
        </w:tc>
        <w:tc>
          <w:tcPr>
            <w:tcW w:w="1842" w:type="dxa"/>
          </w:tcPr>
          <w:p w14:paraId="2B08B465" w14:textId="3DD559A1" w:rsidR="00846DC7" w:rsidRPr="00964881" w:rsidRDefault="00846DC7" w:rsidP="00315A92">
            <w:pPr>
              <w:pStyle w:val="Tabletext"/>
              <w:rPr>
                <w:rFonts w:eastAsia="Times New Roman" w:cs="Calibri"/>
                <w:color w:val="000000"/>
                <w:lang w:eastAsia="en-AU"/>
              </w:rPr>
            </w:pPr>
            <w:r w:rsidRPr="00D105BC">
              <w:t>13</w:t>
            </w:r>
            <w:r w:rsidR="00B05778">
              <w:t>%</w:t>
            </w:r>
          </w:p>
        </w:tc>
      </w:tr>
      <w:tr w:rsidR="00846DC7" w:rsidRPr="00964881" w14:paraId="2E82194C" w14:textId="77777777" w:rsidTr="00F32E98">
        <w:trPr>
          <w:gridAfter w:val="1"/>
          <w:wAfter w:w="7" w:type="dxa"/>
        </w:trPr>
        <w:tc>
          <w:tcPr>
            <w:tcW w:w="2835" w:type="dxa"/>
            <w:vMerge/>
          </w:tcPr>
          <w:p w14:paraId="1A178500" w14:textId="628784B5" w:rsidR="00846DC7" w:rsidRPr="00315A92" w:rsidRDefault="00846DC7" w:rsidP="00315A92">
            <w:pPr>
              <w:pStyle w:val="Tabletext"/>
              <w:rPr>
                <w:rFonts w:eastAsia="Times New Roman" w:cs="Calibri"/>
                <w:b/>
                <w:color w:val="000000"/>
                <w:lang w:eastAsia="en-AU"/>
              </w:rPr>
            </w:pPr>
          </w:p>
        </w:tc>
        <w:tc>
          <w:tcPr>
            <w:tcW w:w="2410" w:type="dxa"/>
          </w:tcPr>
          <w:p w14:paraId="135615DD" w14:textId="5113C863" w:rsidR="00846DC7" w:rsidRPr="00964881" w:rsidRDefault="00846DC7" w:rsidP="00315A92">
            <w:pPr>
              <w:pStyle w:val="Tabletext"/>
              <w:rPr>
                <w:rFonts w:eastAsia="Times New Roman" w:cs="Calibri"/>
                <w:color w:val="000000"/>
                <w:lang w:eastAsia="en-AU"/>
              </w:rPr>
            </w:pPr>
            <w:r w:rsidRPr="00D105BC">
              <w:t>Tasmania</w:t>
            </w:r>
          </w:p>
        </w:tc>
        <w:tc>
          <w:tcPr>
            <w:tcW w:w="1985" w:type="dxa"/>
          </w:tcPr>
          <w:p w14:paraId="1042B5D0" w14:textId="2367DAAB" w:rsidR="00846DC7" w:rsidRPr="00964881" w:rsidRDefault="00846DC7" w:rsidP="00315A92">
            <w:pPr>
              <w:pStyle w:val="Tabletext"/>
              <w:rPr>
                <w:rFonts w:eastAsia="Times New Roman" w:cs="Calibri"/>
                <w:color w:val="000000"/>
                <w:lang w:eastAsia="en-AU"/>
              </w:rPr>
            </w:pPr>
            <w:r w:rsidRPr="00D105BC">
              <w:t>3</w:t>
            </w:r>
            <w:r w:rsidR="00B05778">
              <w:t>%</w:t>
            </w:r>
          </w:p>
        </w:tc>
        <w:tc>
          <w:tcPr>
            <w:tcW w:w="1842" w:type="dxa"/>
          </w:tcPr>
          <w:p w14:paraId="68916FFD" w14:textId="0AAD265D" w:rsidR="00846DC7" w:rsidRPr="00964881" w:rsidRDefault="00846DC7" w:rsidP="00315A92">
            <w:pPr>
              <w:pStyle w:val="Tabletext"/>
              <w:rPr>
                <w:rFonts w:eastAsia="Times New Roman" w:cs="Calibri"/>
                <w:color w:val="000000"/>
                <w:lang w:eastAsia="en-AU"/>
              </w:rPr>
            </w:pPr>
            <w:r w:rsidRPr="00D105BC">
              <w:t>0</w:t>
            </w:r>
            <w:r w:rsidR="00B05778">
              <w:t>%</w:t>
            </w:r>
          </w:p>
        </w:tc>
      </w:tr>
      <w:tr w:rsidR="00846DC7" w:rsidRPr="00964881" w14:paraId="090CBBFF" w14:textId="77777777" w:rsidTr="00F32E98">
        <w:trPr>
          <w:gridAfter w:val="1"/>
          <w:wAfter w:w="7" w:type="dxa"/>
        </w:trPr>
        <w:tc>
          <w:tcPr>
            <w:tcW w:w="2835" w:type="dxa"/>
            <w:vMerge/>
          </w:tcPr>
          <w:p w14:paraId="50115106" w14:textId="5DD08F01" w:rsidR="00846DC7" w:rsidRPr="00315A92" w:rsidRDefault="00846DC7" w:rsidP="00315A92">
            <w:pPr>
              <w:pStyle w:val="Tabletext"/>
              <w:rPr>
                <w:rFonts w:eastAsia="Times New Roman" w:cs="Calibri"/>
                <w:b/>
                <w:color w:val="000000"/>
                <w:lang w:eastAsia="en-AU"/>
              </w:rPr>
            </w:pPr>
          </w:p>
        </w:tc>
        <w:tc>
          <w:tcPr>
            <w:tcW w:w="2410" w:type="dxa"/>
          </w:tcPr>
          <w:p w14:paraId="435E39E8" w14:textId="45C1E435" w:rsidR="00846DC7" w:rsidRPr="00964881" w:rsidRDefault="00846DC7" w:rsidP="00315A92">
            <w:pPr>
              <w:pStyle w:val="Tabletext"/>
              <w:rPr>
                <w:rFonts w:eastAsia="Times New Roman" w:cs="Calibri"/>
                <w:color w:val="000000"/>
                <w:lang w:eastAsia="en-AU"/>
              </w:rPr>
            </w:pPr>
            <w:r w:rsidRPr="00D105BC">
              <w:t>Victoria</w:t>
            </w:r>
          </w:p>
        </w:tc>
        <w:tc>
          <w:tcPr>
            <w:tcW w:w="1985" w:type="dxa"/>
          </w:tcPr>
          <w:p w14:paraId="1B021EEB" w14:textId="35C1F86C" w:rsidR="00846DC7" w:rsidRPr="00964881" w:rsidRDefault="00846DC7" w:rsidP="00315A92">
            <w:pPr>
              <w:pStyle w:val="Tabletext"/>
              <w:rPr>
                <w:rFonts w:eastAsia="Times New Roman" w:cs="Calibri"/>
                <w:color w:val="000000"/>
                <w:lang w:eastAsia="en-AU"/>
              </w:rPr>
            </w:pPr>
            <w:r w:rsidRPr="00D105BC">
              <w:t>24</w:t>
            </w:r>
            <w:r w:rsidR="00B05778">
              <w:t>%</w:t>
            </w:r>
          </w:p>
        </w:tc>
        <w:tc>
          <w:tcPr>
            <w:tcW w:w="1842" w:type="dxa"/>
          </w:tcPr>
          <w:p w14:paraId="10E0543F" w14:textId="77E77BC2" w:rsidR="00846DC7" w:rsidRPr="00964881" w:rsidRDefault="00846DC7" w:rsidP="00315A92">
            <w:pPr>
              <w:pStyle w:val="Tabletext"/>
              <w:rPr>
                <w:rFonts w:eastAsia="Times New Roman" w:cs="Calibri"/>
                <w:color w:val="000000"/>
                <w:lang w:eastAsia="en-AU"/>
              </w:rPr>
            </w:pPr>
            <w:r w:rsidRPr="00D105BC">
              <w:t>22</w:t>
            </w:r>
            <w:r w:rsidR="00B05778">
              <w:t>%</w:t>
            </w:r>
          </w:p>
        </w:tc>
      </w:tr>
      <w:tr w:rsidR="00846DC7" w:rsidRPr="00964881" w14:paraId="5623984D" w14:textId="77777777" w:rsidTr="00F32E98">
        <w:trPr>
          <w:gridAfter w:val="1"/>
          <w:wAfter w:w="7" w:type="dxa"/>
        </w:trPr>
        <w:tc>
          <w:tcPr>
            <w:tcW w:w="2835" w:type="dxa"/>
            <w:vMerge/>
          </w:tcPr>
          <w:p w14:paraId="4894E793" w14:textId="54F37A5F" w:rsidR="00846DC7" w:rsidRPr="00315A92" w:rsidRDefault="00846DC7" w:rsidP="00315A92">
            <w:pPr>
              <w:pStyle w:val="Tabletext"/>
              <w:rPr>
                <w:rFonts w:eastAsia="Times New Roman" w:cs="Calibri"/>
                <w:b/>
                <w:color w:val="000000"/>
                <w:lang w:eastAsia="en-AU"/>
              </w:rPr>
            </w:pPr>
          </w:p>
        </w:tc>
        <w:tc>
          <w:tcPr>
            <w:tcW w:w="2410" w:type="dxa"/>
          </w:tcPr>
          <w:p w14:paraId="1384C640" w14:textId="3E77A0D7" w:rsidR="00846DC7" w:rsidRPr="00964881" w:rsidRDefault="00846DC7" w:rsidP="00315A92">
            <w:pPr>
              <w:pStyle w:val="Tabletext"/>
              <w:rPr>
                <w:rFonts w:eastAsia="Times New Roman" w:cs="Calibri"/>
                <w:color w:val="000000"/>
                <w:lang w:eastAsia="en-AU"/>
              </w:rPr>
            </w:pPr>
            <w:r w:rsidRPr="00D105BC">
              <w:t>Western Australia</w:t>
            </w:r>
          </w:p>
        </w:tc>
        <w:tc>
          <w:tcPr>
            <w:tcW w:w="1985" w:type="dxa"/>
          </w:tcPr>
          <w:p w14:paraId="4DA3E3C7" w14:textId="7E2620A2" w:rsidR="00846DC7" w:rsidRPr="00964881" w:rsidRDefault="00846DC7" w:rsidP="00315A92">
            <w:pPr>
              <w:pStyle w:val="Tabletext"/>
              <w:rPr>
                <w:rFonts w:eastAsia="Times New Roman" w:cs="Calibri"/>
                <w:color w:val="000000"/>
                <w:lang w:eastAsia="en-AU"/>
              </w:rPr>
            </w:pPr>
            <w:r w:rsidRPr="00D105BC">
              <w:t>9</w:t>
            </w:r>
            <w:r w:rsidR="00B05778">
              <w:t>%</w:t>
            </w:r>
          </w:p>
        </w:tc>
        <w:tc>
          <w:tcPr>
            <w:tcW w:w="1842" w:type="dxa"/>
          </w:tcPr>
          <w:p w14:paraId="67B6428A" w14:textId="32B4C81B" w:rsidR="00846DC7" w:rsidRPr="00964881" w:rsidRDefault="00846DC7" w:rsidP="00315A92">
            <w:pPr>
              <w:pStyle w:val="Tabletext"/>
              <w:rPr>
                <w:rFonts w:eastAsia="Times New Roman" w:cs="Calibri"/>
                <w:color w:val="000000"/>
                <w:lang w:eastAsia="en-AU"/>
              </w:rPr>
            </w:pPr>
            <w:r w:rsidRPr="00D105BC">
              <w:t>11</w:t>
            </w:r>
            <w:r w:rsidR="00B05778">
              <w:t>%</w:t>
            </w:r>
          </w:p>
        </w:tc>
      </w:tr>
      <w:tr w:rsidR="00846DC7" w:rsidRPr="00964881" w14:paraId="49B0E2BD" w14:textId="77777777" w:rsidTr="00F32E98">
        <w:trPr>
          <w:gridAfter w:val="1"/>
          <w:wAfter w:w="7" w:type="dxa"/>
        </w:trPr>
        <w:tc>
          <w:tcPr>
            <w:tcW w:w="2835" w:type="dxa"/>
            <w:vMerge w:val="restart"/>
          </w:tcPr>
          <w:p w14:paraId="1913CEF3" w14:textId="0B9B2ED3" w:rsidR="00846DC7" w:rsidRPr="006C776F" w:rsidRDefault="00846DC7" w:rsidP="006C776F">
            <w:pPr>
              <w:pStyle w:val="Tabletext"/>
              <w:rPr>
                <w:rFonts w:eastAsia="Times New Roman" w:cs="Calibri"/>
                <w:b/>
                <w:color w:val="000000"/>
                <w:lang w:eastAsia="en-AU"/>
              </w:rPr>
            </w:pPr>
            <w:r w:rsidRPr="006C776F">
              <w:rPr>
                <w:b/>
              </w:rPr>
              <w:t>Duration on payment</w:t>
            </w:r>
          </w:p>
        </w:tc>
        <w:tc>
          <w:tcPr>
            <w:tcW w:w="2410" w:type="dxa"/>
          </w:tcPr>
          <w:p w14:paraId="27F6F853" w14:textId="5B60147D" w:rsidR="00846DC7" w:rsidRPr="00964881" w:rsidRDefault="00846DC7" w:rsidP="006C776F">
            <w:pPr>
              <w:pStyle w:val="Tabletext"/>
            </w:pPr>
            <w:r w:rsidRPr="00D105BC">
              <w:t>Under 5 years</w:t>
            </w:r>
          </w:p>
        </w:tc>
        <w:tc>
          <w:tcPr>
            <w:tcW w:w="1985" w:type="dxa"/>
          </w:tcPr>
          <w:p w14:paraId="48A15CE5" w14:textId="021BE786" w:rsidR="00846DC7" w:rsidRPr="00964881" w:rsidRDefault="00846DC7" w:rsidP="006C776F">
            <w:pPr>
              <w:pStyle w:val="Tabletext"/>
            </w:pPr>
            <w:r w:rsidRPr="00D105BC">
              <w:t>53</w:t>
            </w:r>
            <w:r w:rsidR="00B05778">
              <w:t>%</w:t>
            </w:r>
          </w:p>
        </w:tc>
        <w:tc>
          <w:tcPr>
            <w:tcW w:w="1842" w:type="dxa"/>
          </w:tcPr>
          <w:p w14:paraId="7175A7BD" w14:textId="69968137" w:rsidR="00846DC7" w:rsidRPr="00964881" w:rsidRDefault="00846DC7" w:rsidP="006C776F">
            <w:pPr>
              <w:pStyle w:val="Tabletext"/>
            </w:pPr>
            <w:r w:rsidRPr="00D105BC">
              <w:t>58</w:t>
            </w:r>
            <w:r w:rsidR="00B05778">
              <w:t>%</w:t>
            </w:r>
          </w:p>
        </w:tc>
      </w:tr>
      <w:tr w:rsidR="00846DC7" w:rsidRPr="00964881" w14:paraId="27124349" w14:textId="77777777" w:rsidTr="00F32E98">
        <w:trPr>
          <w:gridAfter w:val="1"/>
          <w:wAfter w:w="7" w:type="dxa"/>
        </w:trPr>
        <w:tc>
          <w:tcPr>
            <w:tcW w:w="2835" w:type="dxa"/>
            <w:vMerge/>
          </w:tcPr>
          <w:p w14:paraId="5FE181D7" w14:textId="77777777" w:rsidR="00846DC7" w:rsidRPr="006C776F" w:rsidRDefault="00846DC7" w:rsidP="006C776F">
            <w:pPr>
              <w:pStyle w:val="Tabletext"/>
              <w:rPr>
                <w:rFonts w:eastAsia="Times New Roman" w:cs="Calibri"/>
                <w:b/>
                <w:color w:val="000000"/>
                <w:lang w:eastAsia="en-AU"/>
              </w:rPr>
            </w:pPr>
          </w:p>
        </w:tc>
        <w:tc>
          <w:tcPr>
            <w:tcW w:w="2410" w:type="dxa"/>
          </w:tcPr>
          <w:p w14:paraId="693EEDD2" w14:textId="04C9DDB4" w:rsidR="00846DC7" w:rsidRPr="00964881" w:rsidRDefault="00846DC7" w:rsidP="006C776F">
            <w:pPr>
              <w:pStyle w:val="Tabletext"/>
            </w:pPr>
            <w:r w:rsidRPr="00D105BC">
              <w:t>6-10 years</w:t>
            </w:r>
          </w:p>
        </w:tc>
        <w:tc>
          <w:tcPr>
            <w:tcW w:w="1985" w:type="dxa"/>
          </w:tcPr>
          <w:p w14:paraId="2E366D87" w14:textId="7B632047" w:rsidR="00846DC7" w:rsidRPr="00964881" w:rsidRDefault="00846DC7" w:rsidP="006C776F">
            <w:pPr>
              <w:pStyle w:val="Tabletext"/>
            </w:pPr>
            <w:r w:rsidRPr="00D105BC">
              <w:t>17</w:t>
            </w:r>
            <w:r w:rsidR="00B05778">
              <w:t>%</w:t>
            </w:r>
          </w:p>
        </w:tc>
        <w:tc>
          <w:tcPr>
            <w:tcW w:w="1842" w:type="dxa"/>
          </w:tcPr>
          <w:p w14:paraId="79149E85" w14:textId="67ECF6CA" w:rsidR="00846DC7" w:rsidRPr="00964881" w:rsidRDefault="00846DC7" w:rsidP="006C776F">
            <w:pPr>
              <w:pStyle w:val="Tabletext"/>
            </w:pPr>
            <w:r w:rsidRPr="00D105BC">
              <w:t>28</w:t>
            </w:r>
            <w:r w:rsidR="00B05778">
              <w:t>%</w:t>
            </w:r>
          </w:p>
        </w:tc>
      </w:tr>
      <w:tr w:rsidR="00846DC7" w:rsidRPr="00964881" w14:paraId="7A3CFE58" w14:textId="77777777" w:rsidTr="00F32E98">
        <w:trPr>
          <w:gridAfter w:val="1"/>
          <w:wAfter w:w="7" w:type="dxa"/>
        </w:trPr>
        <w:tc>
          <w:tcPr>
            <w:tcW w:w="2835" w:type="dxa"/>
            <w:vMerge/>
          </w:tcPr>
          <w:p w14:paraId="34FF1352" w14:textId="77777777" w:rsidR="00846DC7" w:rsidRPr="006C776F" w:rsidRDefault="00846DC7" w:rsidP="006C776F">
            <w:pPr>
              <w:pStyle w:val="Tabletext"/>
              <w:rPr>
                <w:rFonts w:eastAsia="Times New Roman" w:cs="Calibri"/>
                <w:b/>
                <w:color w:val="000000"/>
                <w:lang w:eastAsia="en-AU"/>
              </w:rPr>
            </w:pPr>
          </w:p>
        </w:tc>
        <w:tc>
          <w:tcPr>
            <w:tcW w:w="2410" w:type="dxa"/>
          </w:tcPr>
          <w:p w14:paraId="3894F50D" w14:textId="78537CF3" w:rsidR="00846DC7" w:rsidRPr="00964881" w:rsidRDefault="00846DC7" w:rsidP="006C776F">
            <w:pPr>
              <w:pStyle w:val="Tabletext"/>
            </w:pPr>
            <w:r w:rsidRPr="00D105BC">
              <w:t>10 years +</w:t>
            </w:r>
          </w:p>
        </w:tc>
        <w:tc>
          <w:tcPr>
            <w:tcW w:w="1985" w:type="dxa"/>
          </w:tcPr>
          <w:p w14:paraId="4589B968" w14:textId="5AE68317" w:rsidR="00846DC7" w:rsidRPr="00964881" w:rsidRDefault="00846DC7" w:rsidP="006C776F">
            <w:pPr>
              <w:pStyle w:val="Tabletext"/>
            </w:pPr>
            <w:r w:rsidRPr="00D105BC">
              <w:t>30</w:t>
            </w:r>
            <w:r w:rsidR="00B05778">
              <w:t>%</w:t>
            </w:r>
          </w:p>
        </w:tc>
        <w:tc>
          <w:tcPr>
            <w:tcW w:w="1842" w:type="dxa"/>
          </w:tcPr>
          <w:p w14:paraId="4F9AA1C6" w14:textId="586992B2" w:rsidR="00846DC7" w:rsidRPr="00964881" w:rsidRDefault="00846DC7" w:rsidP="006C776F">
            <w:pPr>
              <w:pStyle w:val="Tabletext"/>
            </w:pPr>
            <w:r w:rsidRPr="00D105BC">
              <w:t>15</w:t>
            </w:r>
            <w:r w:rsidR="00B05778">
              <w:t>%</w:t>
            </w:r>
          </w:p>
        </w:tc>
      </w:tr>
      <w:tr w:rsidR="00846DC7" w:rsidRPr="00964881" w14:paraId="2E2C33BE" w14:textId="77777777" w:rsidTr="00F32E98">
        <w:trPr>
          <w:gridAfter w:val="1"/>
          <w:wAfter w:w="7" w:type="dxa"/>
        </w:trPr>
        <w:tc>
          <w:tcPr>
            <w:tcW w:w="2835" w:type="dxa"/>
            <w:vMerge w:val="restart"/>
          </w:tcPr>
          <w:p w14:paraId="1081161C" w14:textId="38AE8F1A" w:rsidR="00846DC7" w:rsidRPr="006C776F" w:rsidRDefault="00846DC7" w:rsidP="006C776F">
            <w:pPr>
              <w:pStyle w:val="Tabletext"/>
              <w:rPr>
                <w:rFonts w:eastAsia="Times New Roman" w:cs="Calibri"/>
                <w:b/>
                <w:color w:val="000000"/>
                <w:lang w:eastAsia="en-AU"/>
              </w:rPr>
            </w:pPr>
            <w:r w:rsidRPr="006C776F">
              <w:rPr>
                <w:b/>
              </w:rPr>
              <w:t>Age</w:t>
            </w:r>
          </w:p>
        </w:tc>
        <w:tc>
          <w:tcPr>
            <w:tcW w:w="2410" w:type="dxa"/>
          </w:tcPr>
          <w:p w14:paraId="4339EBBD" w14:textId="1BB4BB47" w:rsidR="00846DC7" w:rsidRPr="00964881" w:rsidRDefault="00846DC7" w:rsidP="006C776F">
            <w:pPr>
              <w:pStyle w:val="Tabletext"/>
            </w:pPr>
            <w:r w:rsidRPr="00D105BC">
              <w:t>Under 20</w:t>
            </w:r>
          </w:p>
        </w:tc>
        <w:tc>
          <w:tcPr>
            <w:tcW w:w="1985" w:type="dxa"/>
          </w:tcPr>
          <w:p w14:paraId="20159B03" w14:textId="6C8071DD" w:rsidR="00846DC7" w:rsidRPr="00964881" w:rsidRDefault="00846DC7" w:rsidP="006C776F">
            <w:pPr>
              <w:pStyle w:val="Tabletext"/>
            </w:pPr>
            <w:r w:rsidRPr="00D105BC">
              <w:t>4</w:t>
            </w:r>
            <w:r w:rsidR="00B05778">
              <w:t>%</w:t>
            </w:r>
          </w:p>
        </w:tc>
        <w:tc>
          <w:tcPr>
            <w:tcW w:w="1842" w:type="dxa"/>
          </w:tcPr>
          <w:p w14:paraId="77E88466" w14:textId="746DDBCB" w:rsidR="00846DC7" w:rsidRPr="00964881" w:rsidRDefault="00846DC7" w:rsidP="006C776F">
            <w:pPr>
              <w:pStyle w:val="Tabletext"/>
            </w:pPr>
            <w:r w:rsidRPr="00D105BC">
              <w:t>2</w:t>
            </w:r>
            <w:r w:rsidR="00B05778">
              <w:t>%</w:t>
            </w:r>
          </w:p>
        </w:tc>
      </w:tr>
      <w:tr w:rsidR="00846DC7" w:rsidRPr="00964881" w14:paraId="6F8C94D6" w14:textId="77777777" w:rsidTr="00F32E98">
        <w:trPr>
          <w:gridAfter w:val="1"/>
          <w:wAfter w:w="7" w:type="dxa"/>
        </w:trPr>
        <w:tc>
          <w:tcPr>
            <w:tcW w:w="2835" w:type="dxa"/>
            <w:vMerge/>
          </w:tcPr>
          <w:p w14:paraId="6FFAC5C4" w14:textId="77777777" w:rsidR="00846DC7" w:rsidRPr="006C776F" w:rsidRDefault="00846DC7" w:rsidP="006C776F">
            <w:pPr>
              <w:pStyle w:val="Tabletext"/>
              <w:rPr>
                <w:rFonts w:eastAsia="Times New Roman" w:cs="Calibri"/>
                <w:b/>
                <w:color w:val="000000"/>
                <w:lang w:eastAsia="en-AU"/>
              </w:rPr>
            </w:pPr>
          </w:p>
        </w:tc>
        <w:tc>
          <w:tcPr>
            <w:tcW w:w="2410" w:type="dxa"/>
          </w:tcPr>
          <w:p w14:paraId="0281F07C" w14:textId="75EE576E" w:rsidR="00846DC7" w:rsidRPr="00964881" w:rsidRDefault="00846DC7" w:rsidP="006C776F">
            <w:pPr>
              <w:pStyle w:val="Tabletext"/>
            </w:pPr>
            <w:r w:rsidRPr="00D105BC">
              <w:t>21-44</w:t>
            </w:r>
          </w:p>
        </w:tc>
        <w:tc>
          <w:tcPr>
            <w:tcW w:w="1985" w:type="dxa"/>
          </w:tcPr>
          <w:p w14:paraId="4DF37753" w14:textId="7241D45D" w:rsidR="00846DC7" w:rsidRPr="00964881" w:rsidRDefault="00846DC7" w:rsidP="006C776F">
            <w:pPr>
              <w:pStyle w:val="Tabletext"/>
            </w:pPr>
            <w:r w:rsidRPr="00D105BC">
              <w:t>24</w:t>
            </w:r>
            <w:r w:rsidR="00B05778">
              <w:t>%</w:t>
            </w:r>
          </w:p>
        </w:tc>
        <w:tc>
          <w:tcPr>
            <w:tcW w:w="1842" w:type="dxa"/>
          </w:tcPr>
          <w:p w14:paraId="1035806D" w14:textId="5C936220" w:rsidR="00846DC7" w:rsidRPr="00964881" w:rsidRDefault="00846DC7" w:rsidP="006C776F">
            <w:pPr>
              <w:pStyle w:val="Tabletext"/>
            </w:pPr>
            <w:r w:rsidRPr="00D105BC">
              <w:t>41</w:t>
            </w:r>
            <w:r w:rsidR="00B05778">
              <w:t>%</w:t>
            </w:r>
          </w:p>
        </w:tc>
      </w:tr>
      <w:tr w:rsidR="00846DC7" w:rsidRPr="00964881" w14:paraId="1088A194" w14:textId="77777777" w:rsidTr="00F32E98">
        <w:trPr>
          <w:gridAfter w:val="1"/>
          <w:wAfter w:w="7" w:type="dxa"/>
        </w:trPr>
        <w:tc>
          <w:tcPr>
            <w:tcW w:w="2835" w:type="dxa"/>
            <w:vMerge/>
          </w:tcPr>
          <w:p w14:paraId="2D5771DF" w14:textId="77777777" w:rsidR="00846DC7" w:rsidRPr="006C776F" w:rsidRDefault="00846DC7" w:rsidP="006C776F">
            <w:pPr>
              <w:pStyle w:val="Tabletext"/>
              <w:rPr>
                <w:rFonts w:eastAsia="Times New Roman" w:cs="Calibri"/>
                <w:b/>
                <w:color w:val="000000"/>
                <w:lang w:eastAsia="en-AU"/>
              </w:rPr>
            </w:pPr>
          </w:p>
        </w:tc>
        <w:tc>
          <w:tcPr>
            <w:tcW w:w="2410" w:type="dxa"/>
          </w:tcPr>
          <w:p w14:paraId="0EB844D1" w14:textId="3247241D" w:rsidR="00846DC7" w:rsidRPr="00964881" w:rsidRDefault="00846DC7" w:rsidP="006C776F">
            <w:pPr>
              <w:pStyle w:val="Tabletext"/>
            </w:pPr>
            <w:r w:rsidRPr="00D105BC">
              <w:t>Over 45</w:t>
            </w:r>
          </w:p>
        </w:tc>
        <w:tc>
          <w:tcPr>
            <w:tcW w:w="1985" w:type="dxa"/>
          </w:tcPr>
          <w:p w14:paraId="4E34C05F" w14:textId="649695DD" w:rsidR="00846DC7" w:rsidRPr="00964881" w:rsidRDefault="00846DC7" w:rsidP="006C776F">
            <w:pPr>
              <w:pStyle w:val="Tabletext"/>
            </w:pPr>
            <w:r w:rsidRPr="00D105BC">
              <w:t>72</w:t>
            </w:r>
            <w:r w:rsidR="00B05778">
              <w:t>%</w:t>
            </w:r>
          </w:p>
        </w:tc>
        <w:tc>
          <w:tcPr>
            <w:tcW w:w="1842" w:type="dxa"/>
          </w:tcPr>
          <w:p w14:paraId="58C4CA10" w14:textId="5BFDB38B" w:rsidR="00846DC7" w:rsidRPr="00964881" w:rsidRDefault="00846DC7" w:rsidP="006C776F">
            <w:pPr>
              <w:pStyle w:val="Tabletext"/>
            </w:pPr>
            <w:r w:rsidRPr="00D105BC">
              <w:t>56</w:t>
            </w:r>
            <w:r w:rsidR="00B05778">
              <w:t>%</w:t>
            </w:r>
          </w:p>
        </w:tc>
      </w:tr>
      <w:tr w:rsidR="00846DC7" w:rsidRPr="00964881" w14:paraId="2A5B19B3" w14:textId="77777777" w:rsidTr="00F32E98">
        <w:trPr>
          <w:gridAfter w:val="1"/>
          <w:wAfter w:w="7" w:type="dxa"/>
        </w:trPr>
        <w:tc>
          <w:tcPr>
            <w:tcW w:w="2835" w:type="dxa"/>
            <w:vMerge w:val="restart"/>
          </w:tcPr>
          <w:p w14:paraId="00ABFDDC" w14:textId="6A345386" w:rsidR="00846DC7" w:rsidRPr="006C776F" w:rsidRDefault="00846DC7" w:rsidP="006C776F">
            <w:pPr>
              <w:pStyle w:val="Tabletext"/>
              <w:rPr>
                <w:rFonts w:eastAsia="Times New Roman" w:cs="Calibri"/>
                <w:b/>
                <w:color w:val="000000"/>
                <w:lang w:eastAsia="en-AU"/>
              </w:rPr>
            </w:pPr>
            <w:r w:rsidRPr="006C776F">
              <w:rPr>
                <w:b/>
              </w:rPr>
              <w:t>Rural / Remote</w:t>
            </w:r>
          </w:p>
        </w:tc>
        <w:tc>
          <w:tcPr>
            <w:tcW w:w="2410" w:type="dxa"/>
          </w:tcPr>
          <w:p w14:paraId="61368124" w14:textId="74751B6F" w:rsidR="00846DC7" w:rsidRPr="00964881" w:rsidRDefault="00846DC7" w:rsidP="006C776F">
            <w:pPr>
              <w:pStyle w:val="Tabletext"/>
            </w:pPr>
            <w:r w:rsidRPr="00D105BC">
              <w:t>Metro</w:t>
            </w:r>
          </w:p>
        </w:tc>
        <w:tc>
          <w:tcPr>
            <w:tcW w:w="1985" w:type="dxa"/>
          </w:tcPr>
          <w:p w14:paraId="03051FF8" w14:textId="17CE3A82" w:rsidR="00846DC7" w:rsidRPr="00964881" w:rsidRDefault="00846DC7" w:rsidP="006C776F">
            <w:pPr>
              <w:pStyle w:val="Tabletext"/>
            </w:pPr>
            <w:r w:rsidRPr="00D105BC">
              <w:t>63</w:t>
            </w:r>
            <w:r w:rsidR="00B05778">
              <w:t>%</w:t>
            </w:r>
          </w:p>
        </w:tc>
        <w:tc>
          <w:tcPr>
            <w:tcW w:w="1842" w:type="dxa"/>
          </w:tcPr>
          <w:p w14:paraId="76A81C85" w14:textId="070FB057" w:rsidR="00846DC7" w:rsidRPr="00964881" w:rsidRDefault="00846DC7" w:rsidP="006C776F">
            <w:pPr>
              <w:pStyle w:val="Tabletext"/>
            </w:pPr>
            <w:r w:rsidRPr="00D105BC">
              <w:t>63</w:t>
            </w:r>
            <w:r w:rsidR="00B05778">
              <w:t>%</w:t>
            </w:r>
          </w:p>
        </w:tc>
      </w:tr>
      <w:tr w:rsidR="00846DC7" w:rsidRPr="00964881" w14:paraId="57A8EDA4" w14:textId="77777777" w:rsidTr="00F32E98">
        <w:trPr>
          <w:gridAfter w:val="1"/>
          <w:wAfter w:w="7" w:type="dxa"/>
        </w:trPr>
        <w:tc>
          <w:tcPr>
            <w:tcW w:w="2835" w:type="dxa"/>
            <w:vMerge/>
          </w:tcPr>
          <w:p w14:paraId="23B182E5" w14:textId="77777777" w:rsidR="00846DC7" w:rsidRPr="006C776F" w:rsidRDefault="00846DC7" w:rsidP="006C776F">
            <w:pPr>
              <w:pStyle w:val="Tabletext"/>
              <w:rPr>
                <w:rFonts w:eastAsia="Times New Roman" w:cs="Calibri"/>
                <w:b/>
                <w:color w:val="000000"/>
                <w:lang w:eastAsia="en-AU"/>
              </w:rPr>
            </w:pPr>
          </w:p>
        </w:tc>
        <w:tc>
          <w:tcPr>
            <w:tcW w:w="2410" w:type="dxa"/>
          </w:tcPr>
          <w:p w14:paraId="6BF744E2" w14:textId="12752F17" w:rsidR="00846DC7" w:rsidRPr="00964881" w:rsidRDefault="00846DC7" w:rsidP="006C776F">
            <w:pPr>
              <w:pStyle w:val="Tabletext"/>
            </w:pPr>
            <w:r w:rsidRPr="00D105BC">
              <w:t>Regional/ rural</w:t>
            </w:r>
          </w:p>
        </w:tc>
        <w:tc>
          <w:tcPr>
            <w:tcW w:w="1985" w:type="dxa"/>
          </w:tcPr>
          <w:p w14:paraId="081A8D10" w14:textId="018497B3" w:rsidR="00846DC7" w:rsidRPr="00964881" w:rsidRDefault="00846DC7" w:rsidP="006C776F">
            <w:pPr>
              <w:pStyle w:val="Tabletext"/>
            </w:pPr>
            <w:r w:rsidRPr="00D105BC">
              <w:t>33</w:t>
            </w:r>
            <w:r w:rsidR="00B05778">
              <w:t>%</w:t>
            </w:r>
          </w:p>
        </w:tc>
        <w:tc>
          <w:tcPr>
            <w:tcW w:w="1842" w:type="dxa"/>
          </w:tcPr>
          <w:p w14:paraId="7DA25522" w14:textId="6A30F6D7" w:rsidR="00846DC7" w:rsidRPr="00964881" w:rsidRDefault="00846DC7" w:rsidP="006C776F">
            <w:pPr>
              <w:pStyle w:val="Tabletext"/>
            </w:pPr>
            <w:r w:rsidRPr="00D105BC">
              <w:t>26</w:t>
            </w:r>
            <w:r w:rsidR="00B05778">
              <w:t>%</w:t>
            </w:r>
          </w:p>
        </w:tc>
      </w:tr>
      <w:tr w:rsidR="00846DC7" w:rsidRPr="00964881" w14:paraId="0BE27F6D" w14:textId="77777777" w:rsidTr="00F32E98">
        <w:trPr>
          <w:gridAfter w:val="1"/>
          <w:wAfter w:w="7" w:type="dxa"/>
        </w:trPr>
        <w:tc>
          <w:tcPr>
            <w:tcW w:w="2835" w:type="dxa"/>
            <w:vMerge/>
          </w:tcPr>
          <w:p w14:paraId="510FB757" w14:textId="77777777" w:rsidR="00846DC7" w:rsidRPr="006C776F" w:rsidRDefault="00846DC7" w:rsidP="006C776F">
            <w:pPr>
              <w:pStyle w:val="Tabletext"/>
              <w:rPr>
                <w:rFonts w:eastAsia="Times New Roman" w:cs="Calibri"/>
                <w:b/>
                <w:color w:val="000000"/>
                <w:lang w:eastAsia="en-AU"/>
              </w:rPr>
            </w:pPr>
          </w:p>
        </w:tc>
        <w:tc>
          <w:tcPr>
            <w:tcW w:w="2410" w:type="dxa"/>
          </w:tcPr>
          <w:p w14:paraId="62F96E8D" w14:textId="58DF55CE" w:rsidR="00846DC7" w:rsidRPr="00964881" w:rsidRDefault="00846DC7" w:rsidP="006C776F">
            <w:pPr>
              <w:pStyle w:val="Tabletext"/>
            </w:pPr>
            <w:r w:rsidRPr="00D105BC">
              <w:t>Remote</w:t>
            </w:r>
          </w:p>
        </w:tc>
        <w:tc>
          <w:tcPr>
            <w:tcW w:w="1985" w:type="dxa"/>
          </w:tcPr>
          <w:p w14:paraId="16131149" w14:textId="1386708F" w:rsidR="00846DC7" w:rsidRPr="00964881" w:rsidRDefault="00846DC7" w:rsidP="006C776F">
            <w:pPr>
              <w:pStyle w:val="Tabletext"/>
            </w:pPr>
            <w:r w:rsidRPr="00D105BC">
              <w:t>2</w:t>
            </w:r>
            <w:r w:rsidR="00B05778">
              <w:t>%</w:t>
            </w:r>
          </w:p>
        </w:tc>
        <w:tc>
          <w:tcPr>
            <w:tcW w:w="1842" w:type="dxa"/>
          </w:tcPr>
          <w:p w14:paraId="748ACCDF" w14:textId="388391EC" w:rsidR="00846DC7" w:rsidRPr="00964881" w:rsidRDefault="00846DC7" w:rsidP="006C776F">
            <w:pPr>
              <w:pStyle w:val="Tabletext"/>
            </w:pPr>
            <w:r w:rsidRPr="00D105BC">
              <w:t>7</w:t>
            </w:r>
            <w:r w:rsidR="00B05778">
              <w:t>%</w:t>
            </w:r>
          </w:p>
        </w:tc>
      </w:tr>
      <w:tr w:rsidR="00846DC7" w:rsidRPr="00964881" w14:paraId="7DFE2716" w14:textId="77777777" w:rsidTr="00F32E98">
        <w:trPr>
          <w:gridAfter w:val="1"/>
          <w:wAfter w:w="7" w:type="dxa"/>
        </w:trPr>
        <w:tc>
          <w:tcPr>
            <w:tcW w:w="2835" w:type="dxa"/>
            <w:vMerge/>
          </w:tcPr>
          <w:p w14:paraId="34D73006" w14:textId="77777777" w:rsidR="00846DC7" w:rsidRPr="006C776F" w:rsidRDefault="00846DC7" w:rsidP="006C776F">
            <w:pPr>
              <w:pStyle w:val="Tabletext"/>
              <w:rPr>
                <w:rFonts w:eastAsia="Times New Roman" w:cs="Calibri"/>
                <w:b/>
                <w:color w:val="000000"/>
                <w:lang w:eastAsia="en-AU"/>
              </w:rPr>
            </w:pPr>
          </w:p>
        </w:tc>
        <w:tc>
          <w:tcPr>
            <w:tcW w:w="2410" w:type="dxa"/>
          </w:tcPr>
          <w:p w14:paraId="3E5A1F89" w14:textId="196B951A" w:rsidR="00846DC7" w:rsidRPr="00964881" w:rsidRDefault="00846DC7" w:rsidP="006C776F">
            <w:pPr>
              <w:pStyle w:val="Tabletext"/>
            </w:pPr>
            <w:r w:rsidRPr="00D105BC">
              <w:t>Other</w:t>
            </w:r>
          </w:p>
        </w:tc>
        <w:tc>
          <w:tcPr>
            <w:tcW w:w="1985" w:type="dxa"/>
          </w:tcPr>
          <w:p w14:paraId="22789DF1" w14:textId="07F198DA" w:rsidR="00846DC7" w:rsidRPr="00964881" w:rsidRDefault="00846DC7" w:rsidP="006C776F">
            <w:pPr>
              <w:pStyle w:val="Tabletext"/>
            </w:pPr>
            <w:r w:rsidRPr="00D105BC">
              <w:t>2</w:t>
            </w:r>
            <w:r w:rsidR="00B05778">
              <w:t>%</w:t>
            </w:r>
          </w:p>
        </w:tc>
        <w:tc>
          <w:tcPr>
            <w:tcW w:w="1842" w:type="dxa"/>
          </w:tcPr>
          <w:p w14:paraId="084FF1DC" w14:textId="29038629" w:rsidR="00846DC7" w:rsidRPr="00964881" w:rsidRDefault="00846DC7" w:rsidP="006C776F">
            <w:pPr>
              <w:pStyle w:val="Tabletext"/>
            </w:pPr>
            <w:r w:rsidRPr="00D105BC">
              <w:t>4</w:t>
            </w:r>
            <w:r w:rsidR="00B05778">
              <w:t>%</w:t>
            </w:r>
          </w:p>
        </w:tc>
      </w:tr>
      <w:tr w:rsidR="00846DC7" w:rsidRPr="00964881" w14:paraId="763ADFDD" w14:textId="77777777" w:rsidTr="00F32E98">
        <w:trPr>
          <w:gridAfter w:val="1"/>
          <w:wAfter w:w="7" w:type="dxa"/>
        </w:trPr>
        <w:tc>
          <w:tcPr>
            <w:tcW w:w="2835" w:type="dxa"/>
            <w:vMerge w:val="restart"/>
            <w:shd w:val="clear" w:color="auto" w:fill="F2F2F2" w:themeFill="background1" w:themeFillShade="F2"/>
          </w:tcPr>
          <w:p w14:paraId="1D7B1B41" w14:textId="3418E614" w:rsidR="00846DC7" w:rsidRPr="006C776F" w:rsidRDefault="00846DC7" w:rsidP="006C776F">
            <w:pPr>
              <w:pStyle w:val="Tabletext"/>
              <w:rPr>
                <w:rFonts w:eastAsia="Times New Roman" w:cs="Calibri"/>
                <w:b/>
                <w:color w:val="000000"/>
                <w:lang w:eastAsia="en-AU"/>
              </w:rPr>
            </w:pPr>
            <w:r w:rsidRPr="006C776F">
              <w:rPr>
                <w:b/>
              </w:rPr>
              <w:t>MTE criteria</w:t>
            </w:r>
          </w:p>
        </w:tc>
        <w:tc>
          <w:tcPr>
            <w:tcW w:w="2410" w:type="dxa"/>
            <w:shd w:val="clear" w:color="auto" w:fill="F2F2F2" w:themeFill="background1" w:themeFillShade="F2"/>
          </w:tcPr>
          <w:p w14:paraId="16D15632" w14:textId="3A3F5F50" w:rsidR="00846DC7" w:rsidRPr="00964881" w:rsidRDefault="00846DC7" w:rsidP="006C776F">
            <w:pPr>
              <w:pStyle w:val="Tabletext"/>
            </w:pPr>
            <w:r w:rsidRPr="00D105BC">
              <w:t>Meet MTE criteria</w:t>
            </w:r>
          </w:p>
        </w:tc>
        <w:tc>
          <w:tcPr>
            <w:tcW w:w="1985" w:type="dxa"/>
            <w:shd w:val="clear" w:color="auto" w:fill="F2F2F2" w:themeFill="background1" w:themeFillShade="F2"/>
          </w:tcPr>
          <w:p w14:paraId="77E47DE0" w14:textId="7029846D" w:rsidR="00846DC7" w:rsidRPr="00964881" w:rsidRDefault="007D5C91" w:rsidP="006C776F">
            <w:pPr>
              <w:pStyle w:val="Tabletext"/>
            </w:pPr>
            <w:r>
              <w:rPr>
                <w:lang w:eastAsia="en-AU"/>
              </w:rPr>
              <w:t>&lt;1</w:t>
            </w:r>
            <w:r w:rsidR="00B05778">
              <w:rPr>
                <w:lang w:eastAsia="en-AU"/>
              </w:rPr>
              <w:t>%</w:t>
            </w:r>
          </w:p>
        </w:tc>
        <w:tc>
          <w:tcPr>
            <w:tcW w:w="1842" w:type="dxa"/>
            <w:shd w:val="clear" w:color="auto" w:fill="F2F2F2" w:themeFill="background1" w:themeFillShade="F2"/>
          </w:tcPr>
          <w:p w14:paraId="13BDDFAE" w14:textId="08456B73" w:rsidR="00846DC7" w:rsidRPr="00964881" w:rsidRDefault="00846DC7" w:rsidP="006C776F">
            <w:pPr>
              <w:pStyle w:val="Tabletext"/>
            </w:pPr>
            <w:r w:rsidRPr="00D105BC">
              <w:t>Unable to determine</w:t>
            </w:r>
          </w:p>
        </w:tc>
      </w:tr>
      <w:tr w:rsidR="00846DC7" w:rsidRPr="00964881" w14:paraId="0E5B832B" w14:textId="77777777" w:rsidTr="00F32E98">
        <w:trPr>
          <w:gridAfter w:val="1"/>
          <w:wAfter w:w="7" w:type="dxa"/>
        </w:trPr>
        <w:tc>
          <w:tcPr>
            <w:tcW w:w="2835" w:type="dxa"/>
            <w:vMerge/>
            <w:shd w:val="clear" w:color="auto" w:fill="F2F2F2" w:themeFill="background1" w:themeFillShade="F2"/>
          </w:tcPr>
          <w:p w14:paraId="0061A966" w14:textId="77777777" w:rsidR="00846DC7" w:rsidRPr="006C776F" w:rsidRDefault="00846DC7" w:rsidP="006C776F">
            <w:pPr>
              <w:pStyle w:val="Tabletext"/>
              <w:rPr>
                <w:rFonts w:eastAsia="Times New Roman" w:cs="Calibri"/>
                <w:b/>
                <w:color w:val="000000"/>
                <w:lang w:eastAsia="en-AU"/>
              </w:rPr>
            </w:pPr>
          </w:p>
        </w:tc>
        <w:tc>
          <w:tcPr>
            <w:tcW w:w="2410" w:type="dxa"/>
            <w:shd w:val="clear" w:color="auto" w:fill="F2F2F2" w:themeFill="background1" w:themeFillShade="F2"/>
          </w:tcPr>
          <w:p w14:paraId="3DAC6AAC" w14:textId="6A37C20A" w:rsidR="00846DC7" w:rsidRPr="00964881" w:rsidRDefault="00846DC7" w:rsidP="006C776F">
            <w:pPr>
              <w:pStyle w:val="Tabletext"/>
            </w:pPr>
            <w:r w:rsidRPr="00D105BC">
              <w:t>Do not meet MTE criteria</w:t>
            </w:r>
          </w:p>
        </w:tc>
        <w:tc>
          <w:tcPr>
            <w:tcW w:w="1985" w:type="dxa"/>
            <w:shd w:val="clear" w:color="auto" w:fill="F2F2F2" w:themeFill="background1" w:themeFillShade="F2"/>
          </w:tcPr>
          <w:p w14:paraId="1A85204E" w14:textId="76F8ACEF" w:rsidR="00846DC7" w:rsidRPr="00964881" w:rsidRDefault="00846DC7" w:rsidP="006C776F">
            <w:pPr>
              <w:pStyle w:val="Tabletext"/>
            </w:pPr>
            <w:r w:rsidRPr="00D105BC">
              <w:t>99.96</w:t>
            </w:r>
            <w:r w:rsidR="00B05778">
              <w:t>%</w:t>
            </w:r>
          </w:p>
        </w:tc>
        <w:tc>
          <w:tcPr>
            <w:tcW w:w="1842" w:type="dxa"/>
            <w:shd w:val="clear" w:color="auto" w:fill="F2F2F2" w:themeFill="background1" w:themeFillShade="F2"/>
          </w:tcPr>
          <w:p w14:paraId="00350DB5" w14:textId="5F950EBB" w:rsidR="00846DC7" w:rsidRPr="00964881" w:rsidRDefault="00846DC7" w:rsidP="006C776F">
            <w:pPr>
              <w:pStyle w:val="Tabletext"/>
            </w:pPr>
            <w:r w:rsidRPr="00D105BC">
              <w:t>Unable to determine</w:t>
            </w:r>
          </w:p>
        </w:tc>
      </w:tr>
      <w:tr w:rsidR="00846DC7" w:rsidRPr="00964881" w14:paraId="6D60DD3E" w14:textId="77777777" w:rsidTr="00F32E98">
        <w:trPr>
          <w:gridAfter w:val="1"/>
          <w:wAfter w:w="7" w:type="dxa"/>
        </w:trPr>
        <w:tc>
          <w:tcPr>
            <w:tcW w:w="2835" w:type="dxa"/>
            <w:vMerge w:val="restart"/>
            <w:shd w:val="clear" w:color="auto" w:fill="F2F2F2" w:themeFill="background1" w:themeFillShade="F2"/>
          </w:tcPr>
          <w:p w14:paraId="69D7295F" w14:textId="7462F9F7" w:rsidR="00846DC7" w:rsidRPr="006C776F" w:rsidRDefault="00846DC7" w:rsidP="006C776F">
            <w:pPr>
              <w:pStyle w:val="Tabletext"/>
              <w:rPr>
                <w:rFonts w:eastAsia="Times New Roman" w:cs="Calibri"/>
                <w:b/>
                <w:color w:val="000000"/>
                <w:lang w:eastAsia="en-AU"/>
              </w:rPr>
            </w:pPr>
            <w:r w:rsidRPr="006C776F">
              <w:rPr>
                <w:b/>
              </w:rPr>
              <w:t>Nominated contact / support person</w:t>
            </w:r>
          </w:p>
        </w:tc>
        <w:tc>
          <w:tcPr>
            <w:tcW w:w="2410" w:type="dxa"/>
            <w:shd w:val="clear" w:color="auto" w:fill="F2F2F2" w:themeFill="background1" w:themeFillShade="F2"/>
          </w:tcPr>
          <w:p w14:paraId="7E5B1C3E" w14:textId="141C775D" w:rsidR="00846DC7" w:rsidRPr="00964881" w:rsidRDefault="00846DC7" w:rsidP="006C776F">
            <w:pPr>
              <w:pStyle w:val="Tabletext"/>
            </w:pPr>
            <w:r w:rsidRPr="00D105BC">
              <w:t xml:space="preserve">Total </w:t>
            </w:r>
            <w:r w:rsidRPr="00964881">
              <w:t>correspondence</w:t>
            </w:r>
            <w:r w:rsidRPr="00D105BC">
              <w:t xml:space="preserve"> nominees</w:t>
            </w:r>
          </w:p>
        </w:tc>
        <w:tc>
          <w:tcPr>
            <w:tcW w:w="1985" w:type="dxa"/>
            <w:shd w:val="clear" w:color="auto" w:fill="F2F2F2" w:themeFill="background1" w:themeFillShade="F2"/>
          </w:tcPr>
          <w:p w14:paraId="08576499" w14:textId="2855CDFB" w:rsidR="00846DC7" w:rsidRPr="00964881" w:rsidRDefault="00846DC7" w:rsidP="006C776F">
            <w:pPr>
              <w:pStyle w:val="Tabletext"/>
            </w:pPr>
            <w:r w:rsidRPr="00D105BC">
              <w:t>27</w:t>
            </w:r>
            <w:r w:rsidR="00B05778">
              <w:t>%</w:t>
            </w:r>
          </w:p>
        </w:tc>
        <w:tc>
          <w:tcPr>
            <w:tcW w:w="1842" w:type="dxa"/>
            <w:shd w:val="clear" w:color="auto" w:fill="F2F2F2" w:themeFill="background1" w:themeFillShade="F2"/>
          </w:tcPr>
          <w:p w14:paraId="1BBAEE9E" w14:textId="7F08038F" w:rsidR="00846DC7" w:rsidRPr="00964881" w:rsidRDefault="00846DC7" w:rsidP="006C776F">
            <w:pPr>
              <w:pStyle w:val="Tabletext"/>
            </w:pPr>
            <w:r w:rsidRPr="00D105BC">
              <w:t>Unable to determine</w:t>
            </w:r>
          </w:p>
        </w:tc>
      </w:tr>
      <w:tr w:rsidR="00846DC7" w:rsidRPr="00964881" w14:paraId="0CA6D163" w14:textId="77777777" w:rsidTr="00F32E98">
        <w:trPr>
          <w:gridAfter w:val="1"/>
          <w:wAfter w:w="7" w:type="dxa"/>
        </w:trPr>
        <w:tc>
          <w:tcPr>
            <w:tcW w:w="2835" w:type="dxa"/>
            <w:vMerge/>
            <w:shd w:val="clear" w:color="auto" w:fill="F2F2F2" w:themeFill="background1" w:themeFillShade="F2"/>
          </w:tcPr>
          <w:p w14:paraId="374FE9A1" w14:textId="77777777" w:rsidR="00846DC7" w:rsidRPr="00964881" w:rsidRDefault="00846DC7" w:rsidP="006C776F">
            <w:pPr>
              <w:pStyle w:val="Tabletext"/>
              <w:rPr>
                <w:rFonts w:eastAsia="Times New Roman" w:cs="Calibri"/>
                <w:color w:val="000000"/>
                <w:lang w:eastAsia="en-AU"/>
              </w:rPr>
            </w:pPr>
          </w:p>
        </w:tc>
        <w:tc>
          <w:tcPr>
            <w:tcW w:w="2410" w:type="dxa"/>
            <w:shd w:val="clear" w:color="auto" w:fill="F2F2F2" w:themeFill="background1" w:themeFillShade="F2"/>
          </w:tcPr>
          <w:p w14:paraId="0FC2A89F" w14:textId="7CEA5588" w:rsidR="00846DC7" w:rsidRPr="00964881" w:rsidRDefault="00846DC7" w:rsidP="006C776F">
            <w:pPr>
              <w:pStyle w:val="Tabletext"/>
            </w:pPr>
            <w:r w:rsidRPr="00D105BC">
              <w:t xml:space="preserve">Recipients do not have </w:t>
            </w:r>
            <w:r w:rsidRPr="00964881">
              <w:t>correspondence</w:t>
            </w:r>
            <w:r w:rsidRPr="00D105BC">
              <w:t xml:space="preserve"> nominee  </w:t>
            </w:r>
          </w:p>
        </w:tc>
        <w:tc>
          <w:tcPr>
            <w:tcW w:w="1985" w:type="dxa"/>
            <w:shd w:val="clear" w:color="auto" w:fill="F2F2F2" w:themeFill="background1" w:themeFillShade="F2"/>
          </w:tcPr>
          <w:p w14:paraId="39CB9B27" w14:textId="08556F8F" w:rsidR="00846DC7" w:rsidRPr="00964881" w:rsidRDefault="00846DC7" w:rsidP="006C776F">
            <w:pPr>
              <w:pStyle w:val="Tabletext"/>
            </w:pPr>
            <w:r w:rsidRPr="00D105BC">
              <w:t>73</w:t>
            </w:r>
            <w:r w:rsidR="00B05778">
              <w:t>%</w:t>
            </w:r>
          </w:p>
        </w:tc>
        <w:tc>
          <w:tcPr>
            <w:tcW w:w="1842" w:type="dxa"/>
            <w:shd w:val="clear" w:color="auto" w:fill="F2F2F2" w:themeFill="background1" w:themeFillShade="F2"/>
          </w:tcPr>
          <w:p w14:paraId="530BF445" w14:textId="62DA7FEA" w:rsidR="00846DC7" w:rsidRPr="00964881" w:rsidRDefault="00846DC7" w:rsidP="006C776F">
            <w:pPr>
              <w:pStyle w:val="Tabletext"/>
            </w:pPr>
            <w:r w:rsidRPr="00D105BC">
              <w:t>Unable to determine</w:t>
            </w:r>
          </w:p>
        </w:tc>
      </w:tr>
    </w:tbl>
    <w:p w14:paraId="67C84055" w14:textId="7BA1264F" w:rsidR="00380C2B" w:rsidRPr="00380C2B" w:rsidRDefault="00891A58" w:rsidP="00A65B34">
      <w:pPr>
        <w:pStyle w:val="Heading2"/>
      </w:pPr>
      <w:bookmarkStart w:id="21" w:name="_Toc104983820"/>
      <w:r>
        <w:lastRenderedPageBreak/>
        <w:t xml:space="preserve">Consultation </w:t>
      </w:r>
      <w:r w:rsidR="00280831">
        <w:t>findings</w:t>
      </w:r>
      <w:bookmarkEnd w:id="21"/>
    </w:p>
    <w:p w14:paraId="4637B9E7" w14:textId="77777777" w:rsidR="006D1FB5" w:rsidRDefault="006D1FB5" w:rsidP="00A65B34">
      <w:pPr>
        <w:pStyle w:val="BodyText1"/>
        <w:keepNext/>
        <w:keepLines/>
      </w:pPr>
    </w:p>
    <w:p w14:paraId="5D636D57" w14:textId="53A5C64A" w:rsidR="003763E2" w:rsidRPr="003763E2" w:rsidRDefault="00891A58" w:rsidP="00A65B34">
      <w:pPr>
        <w:pStyle w:val="Heading3"/>
      </w:pPr>
      <w:r>
        <w:t xml:space="preserve">Transition from </w:t>
      </w:r>
      <w:r w:rsidR="00133D79">
        <w:t>earned to paid model</w:t>
      </w:r>
    </w:p>
    <w:p w14:paraId="7273BFBA" w14:textId="07FC3561" w:rsidR="000F6C7A" w:rsidRDefault="000F6C7A" w:rsidP="00A65B34">
      <w:pPr>
        <w:pStyle w:val="BodyText1"/>
        <w:keepNext/>
        <w:keepLines/>
      </w:pPr>
      <w:r>
        <w:t xml:space="preserve">Services Australia and DSS designed and deployed a communications and transition plan </w:t>
      </w:r>
      <w:r w:rsidR="002551D6">
        <w:t xml:space="preserve">during the implementation of the change of income assessment model. </w:t>
      </w:r>
      <w:r w:rsidRPr="00E23A1B">
        <w:t xml:space="preserve">Although stakeholders raised a range of issues with </w:t>
      </w:r>
      <w:r w:rsidR="00524529">
        <w:t xml:space="preserve">the broader process of </w:t>
      </w:r>
      <w:r w:rsidRPr="00E23A1B">
        <w:t>reporting employment income, few of these were dir</w:t>
      </w:r>
      <w:r w:rsidRPr="0003318A">
        <w:t xml:space="preserve">ectly attributable to the transition from the </w:t>
      </w:r>
      <w:r w:rsidRPr="001E3977">
        <w:t>earned to paid model</w:t>
      </w:r>
      <w:r>
        <w:t>.</w:t>
      </w:r>
      <w:r w:rsidR="00153018">
        <w:t xml:space="preserve"> </w:t>
      </w:r>
    </w:p>
    <w:p w14:paraId="045A6654" w14:textId="0F70B8F1" w:rsidR="003A376E" w:rsidRDefault="003A376E" w:rsidP="00E93FF9">
      <w:pPr>
        <w:pStyle w:val="Heading4"/>
      </w:pPr>
      <w:r>
        <w:t>Overview of how the change was implemented</w:t>
      </w:r>
    </w:p>
    <w:p w14:paraId="66A593F3" w14:textId="44F94D67" w:rsidR="00B40C15" w:rsidRDefault="008A5CD5" w:rsidP="008A5CD5">
      <w:pPr>
        <w:pStyle w:val="BodyText1"/>
      </w:pPr>
      <w:r w:rsidRPr="0079040D">
        <w:t xml:space="preserve">Making amendments to the </w:t>
      </w:r>
      <w:r w:rsidR="00936656">
        <w:t>change of</w:t>
      </w:r>
      <w:r w:rsidRPr="0079040D">
        <w:t xml:space="preserve"> income assessment model was subject to the passage of</w:t>
      </w:r>
      <w:r>
        <w:t xml:space="preserve"> legislation.</w:t>
      </w:r>
      <w:r w:rsidR="003938BD">
        <w:t xml:space="preserve"> The transition to the new model of assessment required recipients with ongoing employment to undertake a one-time calculation to ensure their income was not double counted.</w:t>
      </w:r>
      <w:r w:rsidR="00661EA5">
        <w:t xml:space="preserve"> </w:t>
      </w:r>
      <w:r w:rsidR="00B40C15">
        <w:t xml:space="preserve">In line with its role to deliver advice and high quality, accessible social, health and child support services and payments, </w:t>
      </w:r>
      <w:r w:rsidR="005C0A8C">
        <w:t>Services</w:t>
      </w:r>
      <w:r w:rsidR="00661EA5">
        <w:t xml:space="preserve"> Australia undertook to identify the needs and challenges for </w:t>
      </w:r>
      <w:r w:rsidR="005C0A8C">
        <w:t>recipients and sought to use these insights to develop a range of supporting resources to simplify the transition period.</w:t>
      </w:r>
      <w:r w:rsidR="00B40C15">
        <w:t xml:space="preserve"> </w:t>
      </w:r>
      <w:r>
        <w:t xml:space="preserve">Services Australia conducted user testing prior </w:t>
      </w:r>
      <w:r w:rsidR="00A96EB8">
        <w:t>to</w:t>
      </w:r>
      <w:r>
        <w:t xml:space="preserve"> implementation and developed a communication plan to support social security </w:t>
      </w:r>
      <w:r w:rsidR="003D2038">
        <w:t xml:space="preserve">payment </w:t>
      </w:r>
      <w:r>
        <w:t xml:space="preserve">recipients </w:t>
      </w:r>
      <w:r w:rsidR="008A6222">
        <w:t>to</w:t>
      </w:r>
      <w:r>
        <w:t xml:space="preserve"> navigate the</w:t>
      </w:r>
      <w:r w:rsidR="0007074B">
        <w:t xml:space="preserve"> implementation of the</w:t>
      </w:r>
      <w:r>
        <w:t xml:space="preserve"> </w:t>
      </w:r>
      <w:r w:rsidR="0007074B">
        <w:t>change</w:t>
      </w:r>
      <w:r w:rsidR="00936656">
        <w:t>.</w:t>
      </w:r>
    </w:p>
    <w:p w14:paraId="4CD33593" w14:textId="2DA61845" w:rsidR="008A5CD5" w:rsidRDefault="008A5CD5" w:rsidP="008A5CD5">
      <w:pPr>
        <w:pStyle w:val="BodyText1"/>
      </w:pPr>
      <w:r>
        <w:t xml:space="preserve">While service delivery systems design and implementation are out of scope for this review, </w:t>
      </w:r>
      <w:r w:rsidR="0021467C">
        <w:t>the work undertaken</w:t>
      </w:r>
      <w:r>
        <w:t xml:space="preserve"> prior to the change </w:t>
      </w:r>
      <w:r w:rsidR="00405D9D">
        <w:t>provides</w:t>
      </w:r>
      <w:r w:rsidR="0021467C">
        <w:t xml:space="preserve"> important context for how</w:t>
      </w:r>
      <w:r>
        <w:t xml:space="preserve"> social </w:t>
      </w:r>
      <w:r w:rsidR="005D36B5">
        <w:t>security payment</w:t>
      </w:r>
      <w:r>
        <w:t xml:space="preserve"> recipients </w:t>
      </w:r>
      <w:r w:rsidR="0021467C">
        <w:t xml:space="preserve">were supported to </w:t>
      </w:r>
      <w:r>
        <w:t xml:space="preserve">navigate </w:t>
      </w:r>
      <w:r w:rsidR="0005049F">
        <w:t>their</w:t>
      </w:r>
      <w:r>
        <w:t xml:space="preserve"> overall experience</w:t>
      </w:r>
      <w:r w:rsidR="0007074B">
        <w:t>s</w:t>
      </w:r>
      <w:r>
        <w:t xml:space="preserve"> of </w:t>
      </w:r>
      <w:r w:rsidR="00A96EB8">
        <w:t xml:space="preserve">the </w:t>
      </w:r>
      <w:r>
        <w:t>change.</w:t>
      </w:r>
    </w:p>
    <w:p w14:paraId="5DBB1654" w14:textId="587BADCD" w:rsidR="008A5CD5" w:rsidRDefault="008A5CD5" w:rsidP="003E0C92">
      <w:pPr>
        <w:pStyle w:val="Heading5"/>
      </w:pPr>
      <w:r w:rsidRPr="008A5CD5">
        <w:t>User testing prior to implementation</w:t>
      </w:r>
    </w:p>
    <w:p w14:paraId="5A9070F0" w14:textId="745C506B" w:rsidR="008A5CD5" w:rsidRPr="0098200F" w:rsidRDefault="00F6674C" w:rsidP="00C7772D">
      <w:pPr>
        <w:pStyle w:val="BodyText1"/>
      </w:pPr>
      <w:r>
        <w:t xml:space="preserve">Services Australia </w:t>
      </w:r>
      <w:r w:rsidR="00DF65B1">
        <w:t>advised</w:t>
      </w:r>
      <w:r w:rsidR="00A14D66" w:rsidDel="00DF65B1">
        <w:t xml:space="preserve"> </w:t>
      </w:r>
      <w:r>
        <w:t xml:space="preserve">that the introduction of </w:t>
      </w:r>
      <w:r w:rsidR="00993598">
        <w:t>the change of income assessment model</w:t>
      </w:r>
      <w:r>
        <w:t xml:space="preserve"> </w:t>
      </w:r>
      <w:r w:rsidR="00A14D66">
        <w:t>was</w:t>
      </w:r>
      <w:r>
        <w:t xml:space="preserve"> a “critical point” where the end-to-end </w:t>
      </w:r>
      <w:r w:rsidR="00FF6AC3">
        <w:t>Reporting Employment Income (</w:t>
      </w:r>
      <w:r w:rsidR="00715857">
        <w:t>REI) experience</w:t>
      </w:r>
      <w:r>
        <w:t xml:space="preserve"> </w:t>
      </w:r>
      <w:r w:rsidR="00A14D66">
        <w:t>needed to</w:t>
      </w:r>
      <w:r>
        <w:t xml:space="preserve"> </w:t>
      </w:r>
      <w:r w:rsidR="00120F6C">
        <w:t>adopt</w:t>
      </w:r>
      <w:r>
        <w:t xml:space="preserve"> a human-centred design</w:t>
      </w:r>
      <w:r w:rsidR="00120F6C">
        <w:t xml:space="preserve"> approach. </w:t>
      </w:r>
      <w:r w:rsidR="00B276FC">
        <w:t>Several</w:t>
      </w:r>
      <w:r w:rsidR="008F13B0">
        <w:t xml:space="preserve"> testing </w:t>
      </w:r>
      <w:r w:rsidR="00A14D66">
        <w:t>activities</w:t>
      </w:r>
      <w:r w:rsidR="00D756EE">
        <w:t xml:space="preserve"> were completed to support the </w:t>
      </w:r>
      <w:r w:rsidR="00993598">
        <w:t>change of income assessment</w:t>
      </w:r>
      <w:r w:rsidR="00D756EE">
        <w:t xml:space="preserve"> project team</w:t>
      </w:r>
      <w:r w:rsidR="00A14D66">
        <w:t xml:space="preserve"> </w:t>
      </w:r>
      <w:r w:rsidR="009F2F85">
        <w:t xml:space="preserve">evaluate proposed communications </w:t>
      </w:r>
      <w:r w:rsidR="0059023E">
        <w:t>to prepare customer</w:t>
      </w:r>
      <w:r w:rsidR="00914E18">
        <w:t>s</w:t>
      </w:r>
      <w:r w:rsidR="0059023E">
        <w:t xml:space="preserve"> for </w:t>
      </w:r>
      <w:r w:rsidR="00937557">
        <w:t>upcoming</w:t>
      </w:r>
      <w:r w:rsidR="0059023E">
        <w:t xml:space="preserve"> changes on how to report their income. </w:t>
      </w:r>
      <w:r w:rsidR="004C4800">
        <w:t xml:space="preserve">Relevant </w:t>
      </w:r>
      <w:r w:rsidR="0094797F">
        <w:t xml:space="preserve">Government forums or Advisory Groups were consulted </w:t>
      </w:r>
      <w:r w:rsidR="00CC110A">
        <w:t xml:space="preserve">as part of testing </w:t>
      </w:r>
      <w:r w:rsidR="003577F4">
        <w:t>processes</w:t>
      </w:r>
      <w:r w:rsidR="00D3794C">
        <w:t xml:space="preserve">. </w:t>
      </w:r>
      <w:r w:rsidR="00E64F34">
        <w:t xml:space="preserve">A co-creation session was run with both customers and other stakeholders to develop and iterate customer-facing messaging. </w:t>
      </w:r>
      <w:r w:rsidR="006E71D2">
        <w:t xml:space="preserve">A calculator was </w:t>
      </w:r>
      <w:r w:rsidR="00771717">
        <w:t xml:space="preserve">also </w:t>
      </w:r>
      <w:r w:rsidR="006E71D2">
        <w:t xml:space="preserve">made available online to assist </w:t>
      </w:r>
      <w:r w:rsidR="00582053">
        <w:t xml:space="preserve">recipients to determine what they should report over the transition period. </w:t>
      </w:r>
    </w:p>
    <w:p w14:paraId="09C23164" w14:textId="77777777" w:rsidR="008A5CD5" w:rsidRPr="008A5CD5" w:rsidRDefault="008A5CD5" w:rsidP="00324C4D">
      <w:pPr>
        <w:pStyle w:val="Heading5"/>
      </w:pPr>
      <w:r w:rsidRPr="002B6DB2">
        <w:t>Communication</w:t>
      </w:r>
      <w:r>
        <w:t xml:space="preserve"> of </w:t>
      </w:r>
      <w:r w:rsidRPr="002B6DB2">
        <w:t>the change</w:t>
      </w:r>
    </w:p>
    <w:p w14:paraId="3CD0DABD" w14:textId="392F99A3" w:rsidR="00FF2EFB" w:rsidRDefault="008A5CD5" w:rsidP="008A5CD5">
      <w:pPr>
        <w:pStyle w:val="BodyText1"/>
      </w:pPr>
      <w:r>
        <w:t xml:space="preserve">A communication plan was </w:t>
      </w:r>
      <w:r w:rsidR="000F65A8">
        <w:t xml:space="preserve">also </w:t>
      </w:r>
      <w:r>
        <w:t xml:space="preserve">developed for the implementation of the change of </w:t>
      </w:r>
      <w:r w:rsidR="00950956">
        <w:t>income</w:t>
      </w:r>
      <w:r>
        <w:t xml:space="preserve"> assessment model. There were three phases in this strategic communication approach</w:t>
      </w:r>
      <w:r w:rsidR="006E7900">
        <w:t>:</w:t>
      </w:r>
      <w:r>
        <w:t xml:space="preserve"> </w:t>
      </w:r>
      <w:r w:rsidR="00F91097">
        <w:t xml:space="preserve">the </w:t>
      </w:r>
      <w:r>
        <w:t xml:space="preserve">delivery of </w:t>
      </w:r>
      <w:r w:rsidR="009D3B48">
        <w:t xml:space="preserve">pre-implementation </w:t>
      </w:r>
      <w:r w:rsidR="00147112">
        <w:t>communication</w:t>
      </w:r>
      <w:r w:rsidR="006E7900">
        <w:t>;</w:t>
      </w:r>
      <w:r>
        <w:t xml:space="preserve"> the transition period</w:t>
      </w:r>
      <w:r w:rsidR="006E7900">
        <w:t>;</w:t>
      </w:r>
      <w:r>
        <w:t xml:space="preserve"> and implementation. Success indicators were identified to monitor the effectiveness of communication surrounding the change. Communication materials were delivered in </w:t>
      </w:r>
      <w:r w:rsidR="00BE576B">
        <w:t>several</w:t>
      </w:r>
      <w:r>
        <w:t xml:space="preserve"> formats</w:t>
      </w:r>
      <w:r w:rsidR="00FF2EFB">
        <w:t xml:space="preserve"> and tailored to diverse cohorts</w:t>
      </w:r>
      <w:r w:rsidR="007F64D2">
        <w:t xml:space="preserve">, </w:t>
      </w:r>
      <w:r>
        <w:t xml:space="preserve">including radio for culturally and linguistically diverse </w:t>
      </w:r>
      <w:r w:rsidR="00331DDE">
        <w:t>(CALD)</w:t>
      </w:r>
      <w:r>
        <w:t xml:space="preserve"> and </w:t>
      </w:r>
      <w:r w:rsidR="00AC68AC">
        <w:t xml:space="preserve">Aboriginal and Torres </w:t>
      </w:r>
      <w:r w:rsidR="003A26FC">
        <w:t>Strait</w:t>
      </w:r>
      <w:r w:rsidR="00AC68AC">
        <w:t xml:space="preserve"> Islander</w:t>
      </w:r>
      <w:r>
        <w:t xml:space="preserve"> cohorts, developed alongside the Indigenous and Remote Servicing Branch (IRSB) and the National Aboriginal Community Controlled Health Organisation (NACCHO).</w:t>
      </w:r>
      <w:r w:rsidR="007F64D2">
        <w:t xml:space="preserve"> Additional channels of communication included: </w:t>
      </w:r>
      <w:r w:rsidR="00771987">
        <w:t xml:space="preserve">the </w:t>
      </w:r>
      <w:r w:rsidR="007F64D2">
        <w:t xml:space="preserve">Services Australia website; </w:t>
      </w:r>
      <w:r w:rsidR="00DE675B">
        <w:t>video; translated factsheets for C</w:t>
      </w:r>
      <w:r w:rsidR="00771987">
        <w:t>ulturally and Linguistically Diverse</w:t>
      </w:r>
      <w:r w:rsidR="00DE675B">
        <w:t xml:space="preserve"> cohorts; self-service terminal screen savers; social media; updates to telephony </w:t>
      </w:r>
      <w:r w:rsidR="009A0519">
        <w:t>interactive voice response</w:t>
      </w:r>
      <w:r w:rsidR="00DE675B">
        <w:t xml:space="preserve"> messages; </w:t>
      </w:r>
      <w:r w:rsidR="00CC75B4">
        <w:t xml:space="preserve">messaging via Centrelink online </w:t>
      </w:r>
      <w:r w:rsidR="00CC75B4" w:rsidRPr="006E3B67">
        <w:t xml:space="preserve">account </w:t>
      </w:r>
      <w:r w:rsidR="00CC75B4" w:rsidRPr="00774BF1">
        <w:t>and InApp messaging</w:t>
      </w:r>
      <w:r w:rsidR="000D3D8A" w:rsidRPr="00774BF1">
        <w:t xml:space="preserve"> </w:t>
      </w:r>
      <w:r w:rsidR="006E3B67" w:rsidRPr="00774BF1">
        <w:t>distributed to approx</w:t>
      </w:r>
      <w:r w:rsidR="004D7C07">
        <w:t>imately</w:t>
      </w:r>
      <w:r w:rsidR="006E3B67" w:rsidRPr="00774BF1">
        <w:t xml:space="preserve"> 600 000 people required to report</w:t>
      </w:r>
      <w:r w:rsidR="00CC75B4" w:rsidRPr="00774BF1">
        <w:t>. Similar</w:t>
      </w:r>
      <w:r w:rsidR="00CC75B4" w:rsidRPr="006E3B67">
        <w:t xml:space="preserve"> considerations were</w:t>
      </w:r>
      <w:r w:rsidR="00CC75B4">
        <w:t xml:space="preserve"> given to communication to Services Australia staff.</w:t>
      </w:r>
    </w:p>
    <w:p w14:paraId="4E0ABECF" w14:textId="7EDB5092" w:rsidR="0019143F" w:rsidRPr="0019143F" w:rsidRDefault="0019143F" w:rsidP="00E93FF9">
      <w:pPr>
        <w:pStyle w:val="Heading4"/>
      </w:pPr>
      <w:r w:rsidRPr="0019143F">
        <w:t xml:space="preserve">There was a relatively low level of awareness </w:t>
      </w:r>
      <w:r w:rsidR="002A05DA">
        <w:rPr>
          <w:bCs/>
        </w:rPr>
        <w:t xml:space="preserve">among those surveyed </w:t>
      </w:r>
      <w:r w:rsidRPr="0019143F">
        <w:rPr>
          <w:bCs/>
        </w:rPr>
        <w:t xml:space="preserve">of the </w:t>
      </w:r>
      <w:r w:rsidR="0007074B">
        <w:rPr>
          <w:bCs/>
        </w:rPr>
        <w:t>change of income assessment model</w:t>
      </w:r>
      <w:r w:rsidRPr="0019143F">
        <w:rPr>
          <w:bCs/>
        </w:rPr>
        <w:t xml:space="preserve"> before it was implemented</w:t>
      </w:r>
    </w:p>
    <w:p w14:paraId="569747C4" w14:textId="3AC987E9" w:rsidR="00C954B9" w:rsidRDefault="003A095D" w:rsidP="00C954B9">
      <w:pPr>
        <w:pStyle w:val="BodyText1"/>
      </w:pPr>
      <w:r>
        <w:t>Although Services Australia and DSS designed and deployed a communications and transition plan during the implementation of the change of income assessment model, i</w:t>
      </w:r>
      <w:r w:rsidR="00C954B9">
        <w:t xml:space="preserve">t is acknowledged that this review of the change of income assessment model </w:t>
      </w:r>
      <w:r w:rsidR="002A6794">
        <w:t>was</w:t>
      </w:r>
      <w:r w:rsidR="00C954B9">
        <w:t xml:space="preserve"> undertaken approximately 15 months following implementation</w:t>
      </w:r>
      <w:r>
        <w:t xml:space="preserve">. It is expected </w:t>
      </w:r>
      <w:r w:rsidR="00C954B9">
        <w:t xml:space="preserve">that individuals may not accurately recall the transition period in light of the elapsed time. </w:t>
      </w:r>
    </w:p>
    <w:p w14:paraId="4CE05882" w14:textId="762BEBE8" w:rsidR="002D1190" w:rsidRPr="00CD461A" w:rsidRDefault="002D1190" w:rsidP="009009E7">
      <w:pPr>
        <w:pStyle w:val="BodyText1"/>
      </w:pPr>
      <w:r>
        <w:lastRenderedPageBreak/>
        <w:t>F</w:t>
      </w:r>
      <w:r w:rsidR="009009E7">
        <w:t>eedback received from individuals surveyed suggests there was a relatively low level of awareness of the change of income assessment model prior to implementation.</w:t>
      </w:r>
      <w:r w:rsidR="00E348D8" w:rsidRPr="00E348D8">
        <w:t xml:space="preserve"> </w:t>
      </w:r>
      <w:r w:rsidR="00E348D8">
        <w:t>Slightly more than half of individuals</w:t>
      </w:r>
      <w:r w:rsidR="00E348D8" w:rsidRPr="00643A11">
        <w:t xml:space="preserve"> did not feel they were adequately informed about the requirement to report </w:t>
      </w:r>
      <w:r w:rsidR="00E348D8">
        <w:t>income differently</w:t>
      </w:r>
      <w:r w:rsidR="00E348D8" w:rsidRPr="00643A11">
        <w:t xml:space="preserve"> </w:t>
      </w:r>
      <w:r w:rsidR="00E348D8">
        <w:t>after the commencement of the change of income assessment model</w:t>
      </w:r>
      <w:r w:rsidR="00E348D8" w:rsidRPr="00643A11">
        <w:t>.</w:t>
      </w:r>
      <w:r w:rsidR="00E348D8" w:rsidRPr="001C2486">
        <w:rPr>
          <w:rStyle w:val="FootnoteReference"/>
        </w:rPr>
        <w:footnoteReference w:id="12"/>
      </w:r>
      <w:r w:rsidR="00E348D8" w:rsidRPr="00D93EF7">
        <w:t xml:space="preserve"> </w:t>
      </w:r>
      <w:r w:rsidR="009009E7">
        <w:t xml:space="preserve"> </w:t>
      </w:r>
    </w:p>
    <w:p w14:paraId="11CB7310" w14:textId="683BE807" w:rsidR="00F458DE" w:rsidRDefault="00B5115B" w:rsidP="00324C4D">
      <w:pPr>
        <w:pStyle w:val="BodyText1"/>
      </w:pPr>
      <w:r>
        <w:t>Slightly</w:t>
      </w:r>
      <w:r w:rsidR="00BA4559">
        <w:t xml:space="preserve"> more than</w:t>
      </w:r>
      <w:r w:rsidR="00643A11" w:rsidRPr="00643A11">
        <w:t xml:space="preserve"> half </w:t>
      </w:r>
      <w:r w:rsidR="00643A11">
        <w:t xml:space="preserve">of </w:t>
      </w:r>
      <w:r w:rsidR="00DB4559">
        <w:t xml:space="preserve">the small number of </w:t>
      </w:r>
      <w:r w:rsidR="00643A11">
        <w:t xml:space="preserve">individuals </w:t>
      </w:r>
      <w:r w:rsidR="00DB4559">
        <w:t>who responded to the survey</w:t>
      </w:r>
      <w:r w:rsidR="00DB4559" w:rsidRPr="00643A11">
        <w:t xml:space="preserve"> </w:t>
      </w:r>
      <w:r w:rsidR="00A5048B">
        <w:t>did not</w:t>
      </w:r>
      <w:r w:rsidR="00643A11" w:rsidRPr="00643A11">
        <w:t xml:space="preserve"> recall hearing about or being notified </w:t>
      </w:r>
      <w:r w:rsidR="00381085">
        <w:t>about</w:t>
      </w:r>
      <w:r w:rsidR="00381085" w:rsidRPr="00643A11">
        <w:t xml:space="preserve"> </w:t>
      </w:r>
      <w:r w:rsidR="00643A11" w:rsidRPr="00643A11">
        <w:t>the change</w:t>
      </w:r>
      <w:r w:rsidR="007D1400">
        <w:t xml:space="preserve"> prior to implementation.</w:t>
      </w:r>
      <w:r w:rsidR="00864C49" w:rsidRPr="001C2486">
        <w:rPr>
          <w:rStyle w:val="FootnoteReference"/>
        </w:rPr>
        <w:footnoteReference w:id="13"/>
      </w:r>
      <w:r w:rsidR="00643A11" w:rsidRPr="00643A11">
        <w:t xml:space="preserve"> </w:t>
      </w:r>
      <w:r w:rsidR="00BE4816" w:rsidRPr="004C0E53">
        <w:t xml:space="preserve">Of those </w:t>
      </w:r>
      <w:r w:rsidR="00381085">
        <w:t>who were</w:t>
      </w:r>
      <w:r w:rsidR="00BE4816" w:rsidRPr="004C0E53">
        <w:t xml:space="preserve"> </w:t>
      </w:r>
      <w:r w:rsidR="001D0AA1" w:rsidRPr="004C0E53">
        <w:t>aware</w:t>
      </w:r>
      <w:r w:rsidR="00BE4816" w:rsidRPr="004C0E53">
        <w:t xml:space="preserve"> of the change</w:t>
      </w:r>
      <w:r w:rsidR="00CF4F1E" w:rsidRPr="004C0E53">
        <w:t>, the</w:t>
      </w:r>
      <w:r w:rsidR="00CF4F1E">
        <w:t xml:space="preserve"> majority recall</w:t>
      </w:r>
      <w:r w:rsidR="001E4145">
        <w:t>ed</w:t>
      </w:r>
      <w:r w:rsidR="00CF4F1E">
        <w:t xml:space="preserve"> hearing about the change</w:t>
      </w:r>
      <w:r w:rsidR="0007074B">
        <w:t xml:space="preserve"> of income assessment model</w:t>
      </w:r>
      <w:r w:rsidR="00CF4F1E">
        <w:t xml:space="preserve"> directly from the Government, either by email, online message, </w:t>
      </w:r>
      <w:r w:rsidR="004C0E53">
        <w:t>webpage</w:t>
      </w:r>
      <w:r w:rsidR="00B07B02">
        <w:t>,</w:t>
      </w:r>
      <w:r w:rsidR="00CF4F1E">
        <w:t xml:space="preserve"> letter or from social media. </w:t>
      </w:r>
      <w:r w:rsidR="004C0E53">
        <w:t>Three individuals recall</w:t>
      </w:r>
      <w:r w:rsidR="00A5048B">
        <w:t xml:space="preserve">ed </w:t>
      </w:r>
      <w:r w:rsidR="004C0E53">
        <w:t>hearing about the change through an external pea</w:t>
      </w:r>
      <w:r w:rsidR="00D4423D">
        <w:t>k</w:t>
      </w:r>
      <w:r w:rsidR="004C0E53">
        <w:t xml:space="preserve"> leadership o</w:t>
      </w:r>
      <w:r w:rsidR="00D4423D">
        <w:t>r</w:t>
      </w:r>
      <w:r w:rsidR="004C0E53">
        <w:t xml:space="preserve"> organisational body.</w:t>
      </w:r>
      <w:r w:rsidR="00864C49">
        <w:rPr>
          <w:rStyle w:val="FootnoteReference"/>
        </w:rPr>
        <w:footnoteReference w:id="14"/>
      </w:r>
      <w:r w:rsidR="00864C49">
        <w:t xml:space="preserve"> </w:t>
      </w:r>
      <w:r w:rsidR="00F458DE" w:rsidRPr="00F458DE">
        <w:t xml:space="preserve"> </w:t>
      </w:r>
    </w:p>
    <w:p w14:paraId="218D1862" w14:textId="5AECBD18" w:rsidR="00A81895" w:rsidRPr="001C2486" w:rsidRDefault="00A81895" w:rsidP="00A81895">
      <w:pPr>
        <w:pStyle w:val="Caption"/>
        <w:rPr>
          <w:color w:val="auto"/>
        </w:rPr>
      </w:pPr>
      <w:r w:rsidRPr="001C2486">
        <w:rPr>
          <w:color w:val="auto"/>
        </w:rPr>
        <w:t xml:space="preserve">Figure </w:t>
      </w:r>
      <w:r w:rsidRPr="001C2486">
        <w:rPr>
          <w:color w:val="auto"/>
        </w:rPr>
        <w:fldChar w:fldCharType="begin"/>
      </w:r>
      <w:r w:rsidRPr="001C2486">
        <w:rPr>
          <w:color w:val="auto"/>
        </w:rPr>
        <w:instrText xml:space="preserve"> SEQ Figure \* ARABIC </w:instrText>
      </w:r>
      <w:r w:rsidRPr="001C2486">
        <w:rPr>
          <w:color w:val="auto"/>
        </w:rPr>
        <w:fldChar w:fldCharType="separate"/>
      </w:r>
      <w:r>
        <w:rPr>
          <w:noProof/>
          <w:color w:val="auto"/>
        </w:rPr>
        <w:t>2</w:t>
      </w:r>
      <w:r w:rsidRPr="001C2486">
        <w:rPr>
          <w:color w:val="auto"/>
        </w:rPr>
        <w:fldChar w:fldCharType="end"/>
      </w:r>
      <w:r w:rsidRPr="001C2486">
        <w:rPr>
          <w:color w:val="auto"/>
        </w:rPr>
        <w:t xml:space="preserve">: </w:t>
      </w:r>
      <w:r w:rsidR="00A24904">
        <w:rPr>
          <w:color w:val="auto"/>
        </w:rPr>
        <w:t>Individuals that recalled</w:t>
      </w:r>
      <w:r w:rsidRPr="001C2486">
        <w:rPr>
          <w:color w:val="auto"/>
        </w:rPr>
        <w:t xml:space="preserve"> hearing about change of income assessment model before implementation</w:t>
      </w:r>
      <w:r w:rsidR="004755F9">
        <w:rPr>
          <w:color w:val="auto"/>
        </w:rPr>
        <w:t xml:space="preserve"> (n=</w:t>
      </w:r>
      <w:r w:rsidR="00BD036D">
        <w:rPr>
          <w:color w:val="auto"/>
        </w:rPr>
        <w:t>50)</w:t>
      </w:r>
      <w:r w:rsidR="00BD036D">
        <w:rPr>
          <w:rStyle w:val="FootnoteReference"/>
          <w:color w:val="auto"/>
        </w:rPr>
        <w:footnoteReference w:id="15"/>
      </w:r>
      <w:r w:rsidRPr="001C2486">
        <w:rPr>
          <w:rStyle w:val="FootnoteReference"/>
          <w:color w:val="auto"/>
        </w:rPr>
        <w:footnoteReference w:id="16"/>
      </w:r>
      <w:r w:rsidR="00D717BD" w:rsidRPr="001C2486">
        <w:rPr>
          <w:noProof/>
          <w:color w:val="auto"/>
          <w:lang w:eastAsia="en-AU"/>
        </w:rPr>
        <w:drawing>
          <wp:inline distT="0" distB="0" distL="0" distR="0" wp14:anchorId="34713FD5" wp14:editId="77AAAF1C">
            <wp:extent cx="5737860" cy="1139825"/>
            <wp:effectExtent l="0" t="0" r="15240" b="3175"/>
            <wp:docPr id="4" name="Chart 4" descr="Figure 2 is a stacked bar chart, showing to what extent participants recall hearing about the change of income assessment model prior to it being implemented. Of individuals surveyed, 54% do not recall hearing about the change, 16% were unsure and 30% do not recall hearing about the change.">
              <a:extLst xmlns:a="http://schemas.openxmlformats.org/drawingml/2006/main">
                <a:ext uri="{FF2B5EF4-FFF2-40B4-BE49-F238E27FC236}">
                  <a16:creationId xmlns:a16="http://schemas.microsoft.com/office/drawing/2014/main" id="{865F70C6-CF28-4888-8D6E-4C591F735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3EFA86" w14:textId="77777777" w:rsidR="001712B3" w:rsidRDefault="001712B3" w:rsidP="001712B3">
      <w:pPr>
        <w:pStyle w:val="Caption"/>
        <w:rPr>
          <w:color w:val="auto"/>
        </w:rPr>
      </w:pPr>
    </w:p>
    <w:p w14:paraId="654925BF" w14:textId="76F19A31" w:rsidR="001712B3" w:rsidRPr="001C2486" w:rsidRDefault="001712B3" w:rsidP="001712B3">
      <w:pPr>
        <w:pStyle w:val="Caption"/>
        <w:rPr>
          <w:color w:val="auto"/>
        </w:rPr>
      </w:pPr>
      <w:r w:rsidRPr="001C2486">
        <w:rPr>
          <w:color w:val="auto"/>
        </w:rPr>
        <w:t xml:space="preserve">Figure </w:t>
      </w:r>
      <w:r w:rsidRPr="001C2486">
        <w:rPr>
          <w:color w:val="auto"/>
        </w:rPr>
        <w:fldChar w:fldCharType="begin"/>
      </w:r>
      <w:r w:rsidRPr="001C2486">
        <w:rPr>
          <w:color w:val="auto"/>
        </w:rPr>
        <w:instrText xml:space="preserve"> SEQ Figure \* ARABIC </w:instrText>
      </w:r>
      <w:r w:rsidRPr="001C2486">
        <w:rPr>
          <w:color w:val="auto"/>
        </w:rPr>
        <w:fldChar w:fldCharType="separate"/>
      </w:r>
      <w:r>
        <w:rPr>
          <w:noProof/>
          <w:color w:val="auto"/>
        </w:rPr>
        <w:t>3</w:t>
      </w:r>
      <w:r w:rsidRPr="001C2486">
        <w:rPr>
          <w:color w:val="auto"/>
        </w:rPr>
        <w:fldChar w:fldCharType="end"/>
      </w:r>
      <w:r w:rsidRPr="001C2486">
        <w:rPr>
          <w:color w:val="auto"/>
        </w:rPr>
        <w:t xml:space="preserve">: Individuals that felt adequately informed about requirement to report in a different way </w:t>
      </w:r>
      <w:r>
        <w:rPr>
          <w:color w:val="auto"/>
        </w:rPr>
        <w:t>moving forward with the implementation of change of income assessment model</w:t>
      </w:r>
      <w:r w:rsidR="00AA2928">
        <w:rPr>
          <w:color w:val="auto"/>
        </w:rPr>
        <w:t xml:space="preserve"> (n=47)</w:t>
      </w:r>
      <w:r w:rsidRPr="001C2486">
        <w:rPr>
          <w:rStyle w:val="FootnoteReference"/>
          <w:color w:val="auto"/>
        </w:rPr>
        <w:footnoteReference w:id="17"/>
      </w:r>
      <w:r w:rsidRPr="001C2486">
        <w:rPr>
          <w:noProof/>
          <w:color w:val="auto"/>
          <w:lang w:eastAsia="en-AU"/>
        </w:rPr>
        <w:drawing>
          <wp:inline distT="0" distB="0" distL="0" distR="0" wp14:anchorId="47E62AAD" wp14:editId="63FFFF52">
            <wp:extent cx="5737860" cy="1177925"/>
            <wp:effectExtent l="0" t="0" r="15240" b="3175"/>
            <wp:docPr id="5" name="Chart 5" descr="Figure 3 is a stacked bar chart, showing to what extent individual felt adequately incomed about their requirement to report in a different way moving forward with the implementation of the change of income assessment model. Of individuals surveyed, 28% strongly disagreed, 28% somewhat disagreed, 19% were neutral, 13% somewhat agreed and 13% strongly agreed. ">
              <a:extLst xmlns:a="http://schemas.openxmlformats.org/drawingml/2006/main">
                <a:ext uri="{FF2B5EF4-FFF2-40B4-BE49-F238E27FC236}">
                  <a16:creationId xmlns:a16="http://schemas.microsoft.com/office/drawing/2014/main" id="{865F70C6-CF28-4888-8D6E-4C591F735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3A0BDE" w14:textId="77777777" w:rsidR="001712B3" w:rsidRDefault="001712B3" w:rsidP="001712B3">
      <w:pPr>
        <w:pStyle w:val="BodyText1"/>
      </w:pPr>
    </w:p>
    <w:p w14:paraId="3B77830C" w14:textId="56232207" w:rsidR="00B83050" w:rsidRDefault="004908AB" w:rsidP="004908AB">
      <w:pPr>
        <w:pStyle w:val="BodyText1"/>
      </w:pPr>
      <w:r>
        <w:t>Organisations were more likely than individuals to recall having heard about the change. Four of nine organisations surveyed recalled hearing about the change of income assessment model before it was implemented, three do not recall hearing about the change and two were unsure.</w:t>
      </w:r>
      <w:r>
        <w:rPr>
          <w:rStyle w:val="FootnoteReference"/>
        </w:rPr>
        <w:footnoteReference w:id="18"/>
      </w:r>
      <w:r w:rsidRPr="00B80C48">
        <w:t xml:space="preserve"> </w:t>
      </w:r>
      <w:r>
        <w:t>Organisations recalled hearing about the change through a Government forum or Advisory Group or external peak, leadership or service provider organisations</w:t>
      </w:r>
      <w:r w:rsidRPr="00B80C48">
        <w:t>.</w:t>
      </w:r>
      <w:r w:rsidRPr="001C2486">
        <w:rPr>
          <w:rStyle w:val="FootnoteReference"/>
        </w:rPr>
        <w:footnoteReference w:id="19"/>
      </w:r>
      <w:r w:rsidRPr="00643A11">
        <w:t xml:space="preserve"> </w:t>
      </w:r>
      <w:r w:rsidR="00DA2BA7">
        <w:t>O</w:t>
      </w:r>
      <w:r w:rsidR="00B83050">
        <w:t>rganisation</w:t>
      </w:r>
      <w:r w:rsidR="006837B1">
        <w:t>s</w:t>
      </w:r>
      <w:r w:rsidR="00B83050">
        <w:t xml:space="preserve"> which did recall hearing about the change </w:t>
      </w:r>
      <w:r w:rsidR="006837B1">
        <w:t xml:space="preserve">via an Advisory Group </w:t>
      </w:r>
      <w:r w:rsidR="00B83050">
        <w:t xml:space="preserve">appreciated the opportunity to provide input into </w:t>
      </w:r>
      <w:r w:rsidR="0050489F">
        <w:t xml:space="preserve">the transition process including the design of </w:t>
      </w:r>
      <w:r w:rsidR="00F47F29">
        <w:t>some</w:t>
      </w:r>
      <w:r w:rsidR="0050489F">
        <w:t xml:space="preserve"> </w:t>
      </w:r>
      <w:r w:rsidR="00F47F29">
        <w:t>communications materials.</w:t>
      </w:r>
    </w:p>
    <w:p w14:paraId="13BCEC1C" w14:textId="629913B3" w:rsidR="004908AB" w:rsidRDefault="004908AB" w:rsidP="004908AB">
      <w:pPr>
        <w:pStyle w:val="BodyText1"/>
      </w:pPr>
      <w:r>
        <w:t>One organisation somewhat disagreed and two strongly disagreed their organisation felt adequately informed of the change.</w:t>
      </w:r>
      <w:r w:rsidRPr="001C2486">
        <w:rPr>
          <w:rStyle w:val="FootnoteReference"/>
        </w:rPr>
        <w:footnoteReference w:id="20"/>
      </w:r>
      <w:r>
        <w:t xml:space="preserve"> These three organisations included an employment service provider, not-for-profit charitable organisation and a peak representative body.</w:t>
      </w:r>
    </w:p>
    <w:p w14:paraId="3CED3B72" w14:textId="77777777" w:rsidR="00A81895" w:rsidRDefault="00A81895" w:rsidP="00D717BD">
      <w:pPr>
        <w:pStyle w:val="BodyText1"/>
      </w:pPr>
    </w:p>
    <w:p w14:paraId="36F91092" w14:textId="7CBCAC85" w:rsidR="00A81895" w:rsidRPr="00E07FE7" w:rsidRDefault="00A81895" w:rsidP="00A81895">
      <w:pPr>
        <w:pStyle w:val="Quotes"/>
        <w:rPr>
          <w:i/>
        </w:rPr>
      </w:pPr>
      <w:r>
        <w:t xml:space="preserve">Verbatim: </w:t>
      </w:r>
      <w:r w:rsidRPr="002F2D79">
        <w:rPr>
          <w:rStyle w:val="QuotesChar"/>
        </w:rPr>
        <w:t>“We received an email…</w:t>
      </w:r>
      <w:r w:rsidRPr="008D4A80">
        <w:rPr>
          <w:rStyle w:val="QuotesChar"/>
        </w:rPr>
        <w:t>normally a Farm Household Allowance Policy Director contacts</w:t>
      </w:r>
      <w:r w:rsidRPr="002F2D79">
        <w:rPr>
          <w:rStyle w:val="QuotesChar"/>
        </w:rPr>
        <w:t xml:space="preserve"> us to walk through any significant changes [on income reporting] however they did not with this change…” – </w:t>
      </w:r>
      <w:r w:rsidRPr="00E07FE7">
        <w:rPr>
          <w:rStyle w:val="QuotesChar"/>
          <w:i/>
        </w:rPr>
        <w:t>Charitable / not for profit organisation</w:t>
      </w:r>
    </w:p>
    <w:p w14:paraId="4CB0663C" w14:textId="77777777" w:rsidR="005E0FD0" w:rsidRDefault="005E0FD0" w:rsidP="00324C4D">
      <w:pPr>
        <w:pStyle w:val="BodyText1"/>
      </w:pPr>
    </w:p>
    <w:p w14:paraId="69FF3748" w14:textId="77777777" w:rsidR="005E0FD0" w:rsidRPr="002F7CBF" w:rsidRDefault="005E0FD0" w:rsidP="002F2D79">
      <w:pPr>
        <w:pStyle w:val="Quotes"/>
        <w:rPr>
          <w:i/>
          <w:iCs/>
        </w:rPr>
      </w:pPr>
      <w:r>
        <w:t xml:space="preserve">Verbatim: </w:t>
      </w:r>
      <w:r w:rsidRPr="002F2D79">
        <w:rPr>
          <w:rStyle w:val="QuotesChar"/>
        </w:rPr>
        <w:t xml:space="preserve">“We would prefer to have information such as this provided in a simplified format such as Easy Read, along with fact sheets and relevant examples to help employees relate to the information being provided. Also provide contact details within Services Australia for people who need help to understand the changes.” – </w:t>
      </w:r>
      <w:r w:rsidRPr="00E07FE7">
        <w:rPr>
          <w:rStyle w:val="QuotesChar"/>
          <w:i/>
        </w:rPr>
        <w:t>Charitable / not for profit organisation</w:t>
      </w:r>
    </w:p>
    <w:p w14:paraId="7EF8BF10" w14:textId="77777777" w:rsidR="005E0FD0" w:rsidRDefault="005E0FD0" w:rsidP="005E0FD0"/>
    <w:p w14:paraId="27C6B6F5" w14:textId="77777777" w:rsidR="005E0FD0" w:rsidRPr="00A66A49" w:rsidRDefault="005E0FD0" w:rsidP="002F2D79">
      <w:pPr>
        <w:pStyle w:val="Quotes"/>
        <w:rPr>
          <w:i/>
          <w:iCs/>
        </w:rPr>
      </w:pPr>
      <w:r>
        <w:t xml:space="preserve">Verbatim: </w:t>
      </w:r>
      <w:r w:rsidRPr="002F2D79">
        <w:rPr>
          <w:rStyle w:val="QuotesChar"/>
        </w:rPr>
        <w:t xml:space="preserve">“Because we are a member of the Community Services Advisory Group so Services Australia let us know what they were doing, and via socials…” – </w:t>
      </w:r>
      <w:r w:rsidRPr="00E07FE7">
        <w:rPr>
          <w:rStyle w:val="QuotesChar"/>
          <w:i/>
        </w:rPr>
        <w:t>Social security legal counsel provider</w:t>
      </w:r>
    </w:p>
    <w:p w14:paraId="2F69E074" w14:textId="1670765A" w:rsidR="005E0FD0" w:rsidRDefault="00A24904" w:rsidP="003B798F">
      <w:pPr>
        <w:pStyle w:val="Heading4"/>
      </w:pPr>
      <w:r>
        <w:t>Some o</w:t>
      </w:r>
      <w:r w:rsidR="00557DB0">
        <w:t xml:space="preserve">pportunities for improving transition communications and </w:t>
      </w:r>
      <w:r w:rsidR="009908A6">
        <w:t>information</w:t>
      </w:r>
      <w:r>
        <w:t xml:space="preserve"> were identified</w:t>
      </w:r>
      <w:r w:rsidR="00744D72">
        <w:tab/>
      </w:r>
    </w:p>
    <w:p w14:paraId="1F73B1B5" w14:textId="22DAA8DF" w:rsidR="00D43C3B" w:rsidRDefault="00D43C3B" w:rsidP="003E0C92">
      <w:pPr>
        <w:pStyle w:val="BodyText1"/>
      </w:pPr>
      <w:r>
        <w:t>Organisations</w:t>
      </w:r>
      <w:r w:rsidR="004765F2">
        <w:t xml:space="preserve"> surveyed</w:t>
      </w:r>
      <w:r>
        <w:t xml:space="preserve"> suggested the following opportunities for improvement in the approach to transition communications:</w:t>
      </w:r>
    </w:p>
    <w:p w14:paraId="5FE5F234" w14:textId="6F5A1A54" w:rsidR="00744D72" w:rsidRDefault="00744D72" w:rsidP="00394377">
      <w:pPr>
        <w:pStyle w:val="Bullet1stlevel"/>
      </w:pPr>
      <w:r w:rsidRPr="00771717">
        <w:t>accessibility of communications and the lead times from communication to when the change was implemented, particularly for</w:t>
      </w:r>
      <w:r w:rsidRPr="002068D5">
        <w:t xml:space="preserve"> </w:t>
      </w:r>
      <w:r w:rsidRPr="00202AC9">
        <w:t>organisations that work with people with disability</w:t>
      </w:r>
      <w:r w:rsidR="00394377">
        <w:t>;</w:t>
      </w:r>
      <w:r w:rsidRPr="00771717">
        <w:rPr>
          <w:rStyle w:val="FootnoteReference"/>
        </w:rPr>
        <w:footnoteReference w:id="21"/>
      </w:r>
      <w:r>
        <w:t xml:space="preserve"> </w:t>
      </w:r>
    </w:p>
    <w:p w14:paraId="257930A6" w14:textId="750F297F" w:rsidR="00C064AA" w:rsidRDefault="00067A3C" w:rsidP="003B798F">
      <w:pPr>
        <w:pStyle w:val="Bullet1stlevel"/>
      </w:pPr>
      <w:r>
        <w:t xml:space="preserve">sharing information across </w:t>
      </w:r>
      <w:r w:rsidR="00A71A97">
        <w:t>more</w:t>
      </w:r>
      <w:r>
        <w:t xml:space="preserve"> communication channels</w:t>
      </w:r>
      <w:r w:rsidR="00FE1D9E">
        <w:t xml:space="preserve"> would have been beneficial</w:t>
      </w:r>
      <w:r>
        <w:t xml:space="preserve">, including through direct meetings between Centrelink and </w:t>
      </w:r>
      <w:r w:rsidR="00FE1D9E">
        <w:t>organisations and by sending fact sheets direct to providers</w:t>
      </w:r>
      <w:r w:rsidR="00394377">
        <w:t>; and</w:t>
      </w:r>
    </w:p>
    <w:p w14:paraId="566B02D9" w14:textId="42C7000E" w:rsidR="00A71A97" w:rsidRDefault="003607FC" w:rsidP="00394377">
      <w:pPr>
        <w:pStyle w:val="Bullet1stlevel"/>
      </w:pPr>
      <w:r>
        <w:t xml:space="preserve">bringing culturally and linguistically diverse </w:t>
      </w:r>
      <w:r w:rsidR="00A91AAA">
        <w:t xml:space="preserve">stakeholders into </w:t>
      </w:r>
      <w:r w:rsidR="003D0B1D">
        <w:t xml:space="preserve">the process of communication and ensuring </w:t>
      </w:r>
      <w:r w:rsidR="00767570">
        <w:t>proactive</w:t>
      </w:r>
      <w:r w:rsidR="003D0B1D">
        <w:t xml:space="preserve"> </w:t>
      </w:r>
      <w:r w:rsidR="00A717F7">
        <w:t xml:space="preserve">engagement </w:t>
      </w:r>
      <w:r w:rsidR="00394377">
        <w:t>across diverse communities</w:t>
      </w:r>
      <w:r w:rsidR="00005C77">
        <w:t>.</w:t>
      </w:r>
    </w:p>
    <w:p w14:paraId="77D3CFB2" w14:textId="1647C02A" w:rsidR="00F62137" w:rsidRDefault="00F62137" w:rsidP="00AB1B41">
      <w:pPr>
        <w:pStyle w:val="BodyText1"/>
      </w:pPr>
      <w:r>
        <w:t>It is noted that Services Australia’s communications plan in</w:t>
      </w:r>
      <w:r w:rsidR="00824927">
        <w:t xml:space="preserve">cluded communication efforts across channels designed to reach diverse audiences, such as radio for </w:t>
      </w:r>
      <w:r w:rsidR="008113F8">
        <w:t>C</w:t>
      </w:r>
      <w:r w:rsidR="00824927">
        <w:t xml:space="preserve">ulturally and </w:t>
      </w:r>
      <w:r w:rsidR="008113F8">
        <w:t>L</w:t>
      </w:r>
      <w:r w:rsidR="00824927">
        <w:t xml:space="preserve">inguistically </w:t>
      </w:r>
      <w:r w:rsidR="008113F8">
        <w:t>D</w:t>
      </w:r>
      <w:r w:rsidR="00824927">
        <w:t>iverse  and Aboriginal and Torres Strait Islander cohorts (developed with the IRSB and NACCHO) and translated factsheets for Culturally and Linguistically Diverse cohorts.</w:t>
      </w:r>
      <w:r w:rsidR="00105E2C">
        <w:t xml:space="preserve"> </w:t>
      </w:r>
      <w:r w:rsidR="00260031">
        <w:t xml:space="preserve">It is also acknowledged that </w:t>
      </w:r>
      <w:r w:rsidR="00C33E6E">
        <w:t>Services Australia experienced additional resource pressures due to the COVID-19 pandemic.</w:t>
      </w:r>
    </w:p>
    <w:p w14:paraId="4DA6F57E" w14:textId="3726026F" w:rsidR="00E055AA" w:rsidRPr="0019143F" w:rsidRDefault="00E055AA" w:rsidP="00E93FF9">
      <w:pPr>
        <w:pStyle w:val="Heading4"/>
      </w:pPr>
      <w:r w:rsidRPr="0019143F">
        <w:t xml:space="preserve">Although stakeholders raised a range of issues with reporting employment income, few of these were directly attributable to the transition from the </w:t>
      </w:r>
      <w:r w:rsidR="005E3E50">
        <w:rPr>
          <w:bCs/>
        </w:rPr>
        <w:t>earned to paid model</w:t>
      </w:r>
    </w:p>
    <w:p w14:paraId="1217C917" w14:textId="2A413040" w:rsidR="00FA4B53" w:rsidRDefault="00C02822" w:rsidP="00FA4B53">
      <w:pPr>
        <w:pStyle w:val="BodyText1"/>
      </w:pPr>
      <w:r>
        <w:t>Less than half</w:t>
      </w:r>
      <w:r w:rsidR="00183CEB" w:rsidRPr="00183CEB">
        <w:t xml:space="preserve"> of</w:t>
      </w:r>
      <w:r w:rsidR="00E33B94">
        <w:t xml:space="preserve"> </w:t>
      </w:r>
      <w:r w:rsidR="005E3F2B">
        <w:t>the small number of</w:t>
      </w:r>
      <w:r w:rsidR="00183CEB" w:rsidRPr="00183CEB">
        <w:t xml:space="preserve"> individuals </w:t>
      </w:r>
      <w:r w:rsidR="005E3F2B">
        <w:t>who responded to the survey</w:t>
      </w:r>
      <w:r w:rsidR="005E3F2B" w:rsidRPr="00183CEB">
        <w:t xml:space="preserve"> </w:t>
      </w:r>
      <w:r w:rsidR="00183CEB" w:rsidRPr="00183CEB">
        <w:t>claim</w:t>
      </w:r>
      <w:r w:rsidR="00061415">
        <w:t>ed</w:t>
      </w:r>
      <w:r w:rsidR="00183CEB" w:rsidRPr="00183CEB">
        <w:t xml:space="preserve"> to have had issues during the transition period.</w:t>
      </w:r>
      <w:r w:rsidR="006B29CA" w:rsidRPr="001C2486">
        <w:rPr>
          <w:rStyle w:val="FootnoteReference"/>
        </w:rPr>
        <w:footnoteReference w:id="22"/>
      </w:r>
      <w:r w:rsidR="00183CEB" w:rsidRPr="00183CEB">
        <w:t xml:space="preserve"> </w:t>
      </w:r>
      <w:r w:rsidR="00FA4B53">
        <w:t xml:space="preserve">Of </w:t>
      </w:r>
      <w:r>
        <w:t>those</w:t>
      </w:r>
      <w:r w:rsidR="00FA4B53">
        <w:t>, only four individuals raised issues during transition directly attributable to the change of income assessment model. Two of these related to receiving payslips that did not align to a recipient’s reporting date and two individuals were unsure of what to report during the transition period, one observing the instructions on how to report differently were somewhat obtuse.</w:t>
      </w:r>
      <w:r w:rsidR="00FA4B53" w:rsidRPr="001C2486">
        <w:rPr>
          <w:rStyle w:val="FootnoteReference"/>
        </w:rPr>
        <w:footnoteReference w:id="23"/>
      </w:r>
      <w:r w:rsidR="00FA4B53">
        <w:t xml:space="preserve"> </w:t>
      </w:r>
    </w:p>
    <w:p w14:paraId="73DB8431" w14:textId="20A66703" w:rsidR="0007074B" w:rsidRPr="00D74D13" w:rsidRDefault="00183CEB" w:rsidP="00ED227E">
      <w:pPr>
        <w:pStyle w:val="BodyText1"/>
      </w:pPr>
      <w:r w:rsidRPr="00183CEB">
        <w:t>Of individuals</w:t>
      </w:r>
      <w:r w:rsidR="00807F28">
        <w:t xml:space="preserve"> </w:t>
      </w:r>
      <w:r w:rsidR="000A6807">
        <w:t>who responded to the survey</w:t>
      </w:r>
      <w:r w:rsidRPr="00183CEB">
        <w:t xml:space="preserve">, those less likely to have heard of the change </w:t>
      </w:r>
      <w:r w:rsidR="0007074B">
        <w:t>of income assessment model</w:t>
      </w:r>
      <w:r w:rsidR="0007074B" w:rsidRPr="00183CEB">
        <w:t xml:space="preserve"> prior</w:t>
      </w:r>
      <w:r w:rsidRPr="00183CEB">
        <w:t xml:space="preserve"> to implementation were more likely to have issues </w:t>
      </w:r>
      <w:r w:rsidR="00807F28">
        <w:t>during transition</w:t>
      </w:r>
      <w:r w:rsidRPr="00183CEB">
        <w:t>.</w:t>
      </w:r>
      <w:r w:rsidR="00807F28">
        <w:t xml:space="preserve"> Similarly, </w:t>
      </w:r>
      <w:r w:rsidR="00BB1B66">
        <w:t>people with disability</w:t>
      </w:r>
      <w:r w:rsidR="00E055AA" w:rsidRPr="00E055AA">
        <w:t xml:space="preserve"> </w:t>
      </w:r>
      <w:r w:rsidR="00B068F8">
        <w:t>were</w:t>
      </w:r>
      <w:r w:rsidR="00807F28">
        <w:t xml:space="preserve"> more</w:t>
      </w:r>
      <w:r w:rsidR="00E055AA" w:rsidRPr="00E055AA">
        <w:t xml:space="preserve"> likely to recall hav</w:t>
      </w:r>
      <w:r w:rsidR="008A4CA4">
        <w:t>ing</w:t>
      </w:r>
      <w:r w:rsidR="00E055AA" w:rsidRPr="00E055AA">
        <w:t xml:space="preserve"> issues during the </w:t>
      </w:r>
      <w:r w:rsidR="00FA4B53">
        <w:t>transition</w:t>
      </w:r>
      <w:r w:rsidR="00E055AA" w:rsidRPr="00E055AA">
        <w:t xml:space="preserve"> period compared to those </w:t>
      </w:r>
      <w:r w:rsidR="00FA4B53">
        <w:t>without</w:t>
      </w:r>
      <w:r w:rsidR="00E055AA" w:rsidRPr="00E055AA">
        <w:t xml:space="preserve"> disability</w:t>
      </w:r>
      <w:r w:rsidR="00A33B18">
        <w:t>.</w:t>
      </w:r>
      <w:r w:rsidR="00136AC9">
        <w:t xml:space="preserve"> </w:t>
      </w:r>
      <w:r w:rsidR="00A33B18">
        <w:t xml:space="preserve">There were no </w:t>
      </w:r>
      <w:r w:rsidR="00A33B18" w:rsidRPr="00D74D13">
        <w:t xml:space="preserve">significant </w:t>
      </w:r>
      <w:r w:rsidR="00B2305D" w:rsidRPr="00D74D13">
        <w:t xml:space="preserve">differences in those </w:t>
      </w:r>
      <w:r w:rsidR="00FA4B53" w:rsidRPr="00D74D13">
        <w:t>recalling</w:t>
      </w:r>
      <w:r w:rsidR="00B2305D" w:rsidRPr="00D74D13">
        <w:t xml:space="preserve"> </w:t>
      </w:r>
      <w:r w:rsidR="00FA4B53" w:rsidRPr="00D74D13">
        <w:t>having</w:t>
      </w:r>
      <w:r w:rsidR="00B2305D" w:rsidRPr="00D74D13">
        <w:t xml:space="preserve"> had issues during the transition period across different payment types</w:t>
      </w:r>
      <w:r w:rsidR="003949BC" w:rsidRPr="00D74D13">
        <w:t>.</w:t>
      </w:r>
      <w:r w:rsidR="00107362" w:rsidRPr="00D74D13">
        <w:t xml:space="preserve"> </w:t>
      </w:r>
    </w:p>
    <w:p w14:paraId="6ED15163" w14:textId="5698AFF7" w:rsidR="006B29CA" w:rsidRPr="00FA4B53" w:rsidRDefault="006B29CA" w:rsidP="00FA4B53">
      <w:pPr>
        <w:pStyle w:val="Caption"/>
        <w:rPr>
          <w:color w:val="auto"/>
        </w:rPr>
      </w:pPr>
      <w:r w:rsidRPr="00D74D13">
        <w:rPr>
          <w:color w:val="auto"/>
        </w:rPr>
        <w:lastRenderedPageBreak/>
        <w:t xml:space="preserve">Figure </w:t>
      </w:r>
      <w:r w:rsidRPr="00D74D13">
        <w:rPr>
          <w:color w:val="auto"/>
        </w:rPr>
        <w:fldChar w:fldCharType="begin"/>
      </w:r>
      <w:r w:rsidRPr="00D74D13">
        <w:rPr>
          <w:color w:val="auto"/>
        </w:rPr>
        <w:instrText xml:space="preserve"> SEQ Figure \* ARABIC </w:instrText>
      </w:r>
      <w:r w:rsidRPr="00D74D13">
        <w:rPr>
          <w:color w:val="auto"/>
        </w:rPr>
        <w:fldChar w:fldCharType="separate"/>
      </w:r>
      <w:r w:rsidRPr="00D74D13">
        <w:rPr>
          <w:noProof/>
          <w:color w:val="auto"/>
        </w:rPr>
        <w:t>4</w:t>
      </w:r>
      <w:r w:rsidRPr="00D74D13">
        <w:rPr>
          <w:color w:val="auto"/>
        </w:rPr>
        <w:fldChar w:fldCharType="end"/>
      </w:r>
      <w:r w:rsidRPr="00D74D13">
        <w:rPr>
          <w:color w:val="auto"/>
        </w:rPr>
        <w:t>: Individuals that recall having issues with reporting employment income during the transition period</w:t>
      </w:r>
      <w:r w:rsidR="00AA2928">
        <w:rPr>
          <w:color w:val="auto"/>
        </w:rPr>
        <w:t xml:space="preserve"> (n=36)</w:t>
      </w:r>
      <w:r w:rsidRPr="001C2486">
        <w:rPr>
          <w:rStyle w:val="FootnoteReference"/>
          <w:color w:val="auto"/>
        </w:rPr>
        <w:footnoteReference w:id="24"/>
      </w:r>
      <w:r w:rsidR="00ED227E" w:rsidRPr="001C2486">
        <w:rPr>
          <w:noProof/>
          <w:color w:val="auto"/>
          <w:lang w:eastAsia="en-AU"/>
        </w:rPr>
        <w:drawing>
          <wp:inline distT="0" distB="0" distL="0" distR="0" wp14:anchorId="293B49B8" wp14:editId="6287E71E">
            <wp:extent cx="5737860" cy="1240790"/>
            <wp:effectExtent l="0" t="0" r="15240" b="16510"/>
            <wp:docPr id="10" name="Chart 10" descr="Figure 4 is a stacked bar chart which shows whether individuals recalled having any issues with reporting employment income during the transition period. Of individuals surveyed, 53% do not recall having issues and 47% recall having issues with reporting employment income during the transition period.Figure x shows ....">
              <a:extLst xmlns:a="http://schemas.openxmlformats.org/drawingml/2006/main">
                <a:ext uri="{FF2B5EF4-FFF2-40B4-BE49-F238E27FC236}">
                  <a16:creationId xmlns:a16="http://schemas.microsoft.com/office/drawing/2014/main" id="{865F70C6-CF28-4888-8D6E-4C591F735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3B02F0" w14:textId="253FB9D9" w:rsidR="005E0FD0" w:rsidRPr="00746293" w:rsidRDefault="00C5334F" w:rsidP="00EA45E2">
      <w:pPr>
        <w:pStyle w:val="BodyText1"/>
        <w:rPr>
          <w:rFonts w:ascii="Calibri" w:hAnsi="Calibri"/>
          <w:color w:val="1F497D"/>
        </w:rPr>
      </w:pPr>
      <w:r>
        <w:t xml:space="preserve">An out-of-scope change implemented over a similar time period, the removal of continuous earnings, was </w:t>
      </w:r>
      <w:r w:rsidR="0007074B">
        <w:t>sometimes attributed to the change of income assessment model</w:t>
      </w:r>
      <w:r>
        <w:t xml:space="preserve">. This </w:t>
      </w:r>
      <w:r w:rsidR="00C96AED">
        <w:t>illustrates</w:t>
      </w:r>
      <w:r w:rsidR="00BA39E0">
        <w:t xml:space="preserve"> the</w:t>
      </w:r>
      <w:r w:rsidR="00C96AED">
        <w:t xml:space="preserve"> common misunderstanding of the </w:t>
      </w:r>
      <w:r w:rsidR="00141B93" w:rsidRPr="00602234">
        <w:t>change and lack of distinction from other reporting income issues.</w:t>
      </w:r>
      <w:r w:rsidR="001B025A" w:rsidRPr="00602234">
        <w:t xml:space="preserve"> </w:t>
      </w:r>
      <w:r w:rsidR="00132EDC" w:rsidRPr="00602234">
        <w:t xml:space="preserve">Customers have always had to report fortnightly even </w:t>
      </w:r>
      <w:r w:rsidR="00132EDC" w:rsidRPr="00746293">
        <w:t>if paid monthly</w:t>
      </w:r>
      <w:r w:rsidR="00B146A6" w:rsidRPr="00746293">
        <w:t>.</w:t>
      </w:r>
      <w:r w:rsidR="00132EDC" w:rsidRPr="00746293">
        <w:t xml:space="preserve"> </w:t>
      </w:r>
      <w:r w:rsidR="00B146A6" w:rsidRPr="00746293">
        <w:t>The removal of continuous earnings</w:t>
      </w:r>
      <w:r w:rsidR="00132EDC" w:rsidRPr="00746293">
        <w:t xml:space="preserve"> was designed </w:t>
      </w:r>
      <w:r w:rsidR="00BA39E0" w:rsidRPr="00746293">
        <w:t xml:space="preserve">to ensure that </w:t>
      </w:r>
      <w:r w:rsidR="00132EDC" w:rsidRPr="00746293">
        <w:t xml:space="preserve">the customer’s income support payment </w:t>
      </w:r>
      <w:r w:rsidR="00BA39E0" w:rsidRPr="00746293">
        <w:t>is</w:t>
      </w:r>
      <w:r w:rsidR="00132EDC" w:rsidRPr="00746293">
        <w:t xml:space="preserve"> impacted at the time they have access to their employment income. </w:t>
      </w:r>
    </w:p>
    <w:p w14:paraId="10FF6856" w14:textId="77777777" w:rsidR="005E0FD0" w:rsidRDefault="005E0FD0" w:rsidP="002F2D79">
      <w:pPr>
        <w:pStyle w:val="Quotes"/>
      </w:pPr>
      <w:r>
        <w:t xml:space="preserve">Verbatim: </w:t>
      </w:r>
      <w:r w:rsidRPr="002F2D79">
        <w:rPr>
          <w:rStyle w:val="QuotesChar"/>
        </w:rPr>
        <w:t>“I recall significant confusion during the transition period, for example which employment income amounts I should report and which ones I shouldn’t.”- DSP recipient</w:t>
      </w:r>
    </w:p>
    <w:p w14:paraId="31525D12" w14:textId="77777777" w:rsidR="005E0FD0" w:rsidRDefault="005E0FD0" w:rsidP="005E0FD0">
      <w:pPr>
        <w:pStyle w:val="BodyText"/>
      </w:pPr>
    </w:p>
    <w:p w14:paraId="3FC94D5C" w14:textId="77777777" w:rsidR="005E0FD0" w:rsidRPr="00CF699E" w:rsidRDefault="005E0FD0" w:rsidP="002F2D79">
      <w:pPr>
        <w:pStyle w:val="Quotes"/>
        <w:rPr>
          <w:i/>
          <w:iCs/>
        </w:rPr>
      </w:pPr>
      <w:r>
        <w:t xml:space="preserve">Verbatim: </w:t>
      </w:r>
      <w:r w:rsidRPr="002F2D79">
        <w:rPr>
          <w:rStyle w:val="QuotesChar"/>
        </w:rPr>
        <w:t>“It took a while to have Centrelink change the actual reporting date to coincide with when my pay slip was available.” – Age Pension recipient</w:t>
      </w:r>
    </w:p>
    <w:p w14:paraId="0C747C6D" w14:textId="77777777" w:rsidR="005E0FD0" w:rsidRPr="00183CEB" w:rsidRDefault="005E0FD0" w:rsidP="003E0C92">
      <w:pPr>
        <w:pStyle w:val="BodyText1"/>
      </w:pPr>
    </w:p>
    <w:p w14:paraId="1911C9CB" w14:textId="4D84722F" w:rsidR="00136AC9" w:rsidRDefault="0052533E" w:rsidP="00771717">
      <w:pPr>
        <w:pStyle w:val="BodyText1"/>
      </w:pPr>
      <w:r>
        <w:t xml:space="preserve">Individuals reported some confusion with the change, with some frustration that it was not perceived to be straightforward. </w:t>
      </w:r>
      <w:r w:rsidR="00690C2B">
        <w:t xml:space="preserve">There may also have been some </w:t>
      </w:r>
      <w:r w:rsidR="00965FC5">
        <w:t xml:space="preserve">confusion among Services </w:t>
      </w:r>
      <w:r w:rsidR="00175FCC">
        <w:t>Australia</w:t>
      </w:r>
      <w:r w:rsidR="00965FC5">
        <w:t xml:space="preserve"> call agents, with</w:t>
      </w:r>
      <w:r w:rsidR="00690C2B">
        <w:t xml:space="preserve"> </w:t>
      </w:r>
      <w:r w:rsidR="00175FCC">
        <w:t xml:space="preserve">reports that several call agents indicated that technology system issues were the reason customer’s self-managed reporting failed on the launch date. </w:t>
      </w:r>
      <w:r w:rsidR="00B32E76">
        <w:t xml:space="preserve">This aligns with similar pain points </w:t>
      </w:r>
      <w:r w:rsidR="006A3A61">
        <w:t>which have been raised with Services Australia through other customer feedback channels</w:t>
      </w:r>
      <w:r w:rsidR="00FA4B53">
        <w:t>.</w:t>
      </w:r>
    </w:p>
    <w:p w14:paraId="1BCCA805" w14:textId="77777777" w:rsidR="00EA781F" w:rsidRDefault="00EA781F" w:rsidP="003E0C92">
      <w:pPr>
        <w:pStyle w:val="BodyText1"/>
      </w:pPr>
    </w:p>
    <w:p w14:paraId="2989742B" w14:textId="3FF269A6" w:rsidR="00A143EA" w:rsidRPr="002F2D79" w:rsidRDefault="00A143EA" w:rsidP="002F2D79">
      <w:pPr>
        <w:pStyle w:val="Quotes"/>
      </w:pPr>
      <w:r w:rsidRPr="002F2D79">
        <w:t xml:space="preserve">Verbatim: </w:t>
      </w:r>
      <w:r w:rsidRPr="002F2D79">
        <w:rPr>
          <w:b w:val="0"/>
          <w:bCs w:val="0"/>
        </w:rPr>
        <w:t xml:space="preserve">“I am confused. It's asking me what I got paid, between 24 Nov and 7 Dec, Do I put my payment </w:t>
      </w:r>
      <w:r w:rsidRPr="002F2D79">
        <w:rPr>
          <w:b w:val="0"/>
          <w:bCs w:val="0"/>
          <w:shd w:val="clear" w:color="auto" w:fill="F2F2F2" w:themeFill="background1" w:themeFillShade="F2"/>
        </w:rPr>
        <w:t xml:space="preserve">amount down? Because I already put that in my last report... Am I reporting this twice?” – </w:t>
      </w:r>
      <w:r w:rsidRPr="002F2D79">
        <w:rPr>
          <w:b w:val="0"/>
          <w:bCs w:val="0"/>
          <w:i/>
          <w:shd w:val="clear" w:color="auto" w:fill="F2F2F2" w:themeFill="background1" w:themeFillShade="F2"/>
        </w:rPr>
        <w:t xml:space="preserve">payment recipient quote </w:t>
      </w:r>
      <w:r w:rsidR="00506AD5">
        <w:rPr>
          <w:b w:val="0"/>
          <w:bCs w:val="0"/>
          <w:i/>
          <w:shd w:val="clear" w:color="auto" w:fill="F2F2F2" w:themeFill="background1" w:themeFillShade="F2"/>
        </w:rPr>
        <w:t>supplied by Services Australia</w:t>
      </w:r>
    </w:p>
    <w:p w14:paraId="07D4CAA1" w14:textId="77777777" w:rsidR="00A143EA" w:rsidRPr="002F2D79" w:rsidRDefault="00A143EA" w:rsidP="002F2D79">
      <w:pPr>
        <w:pStyle w:val="ListBullet3"/>
        <w:numPr>
          <w:ilvl w:val="0"/>
          <w:numId w:val="0"/>
        </w:numPr>
        <w:ind w:left="1071" w:hanging="357"/>
      </w:pPr>
    </w:p>
    <w:p w14:paraId="21D91165" w14:textId="01325E11" w:rsidR="00A143EA" w:rsidRPr="002F2D79" w:rsidRDefault="00A143EA" w:rsidP="002F2D79">
      <w:pPr>
        <w:pStyle w:val="Quotes"/>
        <w:rPr>
          <w:i/>
          <w:shd w:val="clear" w:color="auto" w:fill="F2F2F2" w:themeFill="background1" w:themeFillShade="F2"/>
        </w:rPr>
      </w:pPr>
      <w:r w:rsidRPr="002F2D79">
        <w:rPr>
          <w:shd w:val="clear" w:color="auto" w:fill="F2F2F2" w:themeFill="background1" w:themeFillShade="F2"/>
        </w:rPr>
        <w:t xml:space="preserve">Verbatim: </w:t>
      </w:r>
      <w:r w:rsidRPr="002F2D79">
        <w:rPr>
          <w:b w:val="0"/>
          <w:bCs w:val="0"/>
          <w:shd w:val="clear" w:color="auto" w:fill="F2F2F2" w:themeFill="background1" w:themeFillShade="F2"/>
        </w:rPr>
        <w:t>"I just don't understand this sorry…</w:t>
      </w:r>
      <w:r w:rsidRPr="0085295A">
        <w:rPr>
          <w:b w:val="0"/>
          <w:bCs w:val="0"/>
          <w:shd w:val="clear" w:color="auto" w:fill="F2F2F2" w:themeFill="background1" w:themeFillShade="F2"/>
        </w:rPr>
        <w:t>My</w:t>
      </w:r>
      <w:r w:rsidRPr="002F2D79">
        <w:rPr>
          <w:b w:val="0"/>
          <w:bCs w:val="0"/>
          <w:shd w:val="clear" w:color="auto" w:fill="F2F2F2" w:themeFill="background1" w:themeFillShade="F2"/>
        </w:rPr>
        <w:t xml:space="preserve"> employer has not been giving my payslips on the same days</w:t>
      </w:r>
      <w:r w:rsidR="00D36C89" w:rsidRPr="002F2D79">
        <w:rPr>
          <w:b w:val="0"/>
          <w:bCs w:val="0"/>
          <w:shd w:val="clear" w:color="auto" w:fill="F2F2F2" w:themeFill="background1" w:themeFillShade="F2"/>
        </w:rPr>
        <w:t>.</w:t>
      </w:r>
      <w:r w:rsidRPr="002F2D79">
        <w:rPr>
          <w:b w:val="0"/>
          <w:bCs w:val="0"/>
          <w:shd w:val="clear" w:color="auto" w:fill="F2F2F2" w:themeFill="background1" w:themeFillShade="F2"/>
        </w:rPr>
        <w:t xml:space="preserve">” – </w:t>
      </w:r>
      <w:r w:rsidRPr="002F2D79">
        <w:rPr>
          <w:b w:val="0"/>
          <w:bCs w:val="0"/>
          <w:i/>
          <w:shd w:val="clear" w:color="auto" w:fill="F2F2F2" w:themeFill="background1" w:themeFillShade="F2"/>
        </w:rPr>
        <w:t xml:space="preserve">payment recipient </w:t>
      </w:r>
      <w:r w:rsidR="00D36C89" w:rsidRPr="002F2D79">
        <w:rPr>
          <w:b w:val="0"/>
          <w:bCs w:val="0"/>
          <w:i/>
          <w:iCs/>
          <w:shd w:val="clear" w:color="auto" w:fill="F2F2F2" w:themeFill="background1" w:themeFillShade="F2"/>
        </w:rPr>
        <w:t>quote</w:t>
      </w:r>
      <w:r w:rsidRPr="002F2D79">
        <w:rPr>
          <w:b w:val="0"/>
          <w:bCs w:val="0"/>
          <w:i/>
          <w:iCs/>
          <w:shd w:val="clear" w:color="auto" w:fill="F2F2F2" w:themeFill="background1" w:themeFillShade="F2"/>
        </w:rPr>
        <w:t xml:space="preserve"> </w:t>
      </w:r>
      <w:r w:rsidR="00D91F2C">
        <w:rPr>
          <w:b w:val="0"/>
          <w:bCs w:val="0"/>
          <w:i/>
          <w:shd w:val="clear" w:color="auto" w:fill="F2F2F2" w:themeFill="background1" w:themeFillShade="F2"/>
        </w:rPr>
        <w:t>supplied by Services Australia</w:t>
      </w:r>
    </w:p>
    <w:p w14:paraId="6F861807" w14:textId="77777777" w:rsidR="00A4560C" w:rsidRPr="002F2D79" w:rsidRDefault="00A4560C" w:rsidP="002F2D79">
      <w:pPr>
        <w:pStyle w:val="ListBullet3"/>
        <w:numPr>
          <w:ilvl w:val="0"/>
          <w:numId w:val="0"/>
        </w:numPr>
        <w:ind w:left="1071" w:hanging="357"/>
      </w:pPr>
    </w:p>
    <w:p w14:paraId="769A9633" w14:textId="2AD6F3C5" w:rsidR="00A143EA" w:rsidRPr="002F2D79" w:rsidRDefault="00A143EA" w:rsidP="002F2D79">
      <w:pPr>
        <w:pStyle w:val="Quotes"/>
        <w:rPr>
          <w:b w:val="0"/>
          <w:bCs w:val="0"/>
        </w:rPr>
      </w:pPr>
      <w:r w:rsidRPr="002F2D79">
        <w:t xml:space="preserve">Verbatim: </w:t>
      </w:r>
      <w:r w:rsidRPr="002F2D79">
        <w:rPr>
          <w:b w:val="0"/>
          <w:bCs w:val="0"/>
        </w:rPr>
        <w:t>"Ok, that makes a lot more sense, even though it confused me initially</w:t>
      </w:r>
      <w:r w:rsidR="00D36C89" w:rsidRPr="002F2D79">
        <w:rPr>
          <w:b w:val="0"/>
          <w:bCs w:val="0"/>
        </w:rPr>
        <w:t>.</w:t>
      </w:r>
      <w:r w:rsidRPr="002F2D79">
        <w:rPr>
          <w:b w:val="0"/>
          <w:bCs w:val="0"/>
        </w:rPr>
        <w:t>" –</w:t>
      </w:r>
      <w:r w:rsidRPr="002F2D79">
        <w:rPr>
          <w:b w:val="0"/>
          <w:bCs w:val="0"/>
          <w:i/>
          <w:shd w:val="clear" w:color="auto" w:fill="F2F2F2" w:themeFill="background1" w:themeFillShade="F2"/>
        </w:rPr>
        <w:t xml:space="preserve">payment recipient quote </w:t>
      </w:r>
      <w:r w:rsidR="00DD2257">
        <w:rPr>
          <w:b w:val="0"/>
          <w:bCs w:val="0"/>
          <w:i/>
          <w:shd w:val="clear" w:color="auto" w:fill="F2F2F2" w:themeFill="background1" w:themeFillShade="F2"/>
        </w:rPr>
        <w:t>supplied by Services Australia</w:t>
      </w:r>
    </w:p>
    <w:p w14:paraId="4B259641" w14:textId="77777777" w:rsidR="006C7804" w:rsidRPr="008B02BA" w:rsidRDefault="006C7804" w:rsidP="006C7804"/>
    <w:p w14:paraId="2831EED6" w14:textId="0E1F46E0" w:rsidR="00891A58" w:rsidRDefault="00891A58" w:rsidP="00E93FF9">
      <w:pPr>
        <w:pStyle w:val="Heading3"/>
      </w:pPr>
      <w:bookmarkStart w:id="22" w:name="_Ref105055962"/>
      <w:r>
        <w:t>Experiences since the change</w:t>
      </w:r>
      <w:r w:rsidR="00D671CA">
        <w:t xml:space="preserve"> of income assessment model</w:t>
      </w:r>
      <w:bookmarkEnd w:id="22"/>
    </w:p>
    <w:p w14:paraId="22FA85EE" w14:textId="227056BD" w:rsidR="00B34BDF" w:rsidRDefault="00DA6A33" w:rsidP="00135171">
      <w:pPr>
        <w:pStyle w:val="BodyText1"/>
      </w:pPr>
      <w:r>
        <w:t>Since the implementation of the change</w:t>
      </w:r>
      <w:r w:rsidR="0007074B">
        <w:t xml:space="preserve"> of income assessment model</w:t>
      </w:r>
      <w:r>
        <w:t xml:space="preserve">, there have been mixed views about the experiences of </w:t>
      </w:r>
      <w:r w:rsidR="00C21677">
        <w:t>social security</w:t>
      </w:r>
      <w:r>
        <w:t xml:space="preserve"> </w:t>
      </w:r>
      <w:r w:rsidR="003D2038">
        <w:t xml:space="preserve">payment </w:t>
      </w:r>
      <w:r>
        <w:t>recipient</w:t>
      </w:r>
      <w:r w:rsidR="003D111C">
        <w:t>s who are required to report their income.</w:t>
      </w:r>
    </w:p>
    <w:p w14:paraId="44B48539" w14:textId="27553866" w:rsidR="001201B5" w:rsidRPr="006B6479" w:rsidRDefault="001201B5" w:rsidP="00E93FF9">
      <w:pPr>
        <w:pStyle w:val="Heading4"/>
      </w:pPr>
      <w:r w:rsidRPr="006B6479">
        <w:lastRenderedPageBreak/>
        <w:t xml:space="preserve">There was </w:t>
      </w:r>
      <w:r w:rsidR="00C24396">
        <w:t xml:space="preserve">consistent feedback </w:t>
      </w:r>
      <w:r w:rsidR="00F906AB">
        <w:t xml:space="preserve">from organisations </w:t>
      </w:r>
      <w:r w:rsidR="00C24396">
        <w:t>that</w:t>
      </w:r>
      <w:r w:rsidRPr="006B6479">
        <w:t xml:space="preserve"> the previous </w:t>
      </w:r>
      <w:r w:rsidR="00C24396">
        <w:t>‘earned income’ model was</w:t>
      </w:r>
      <w:r>
        <w:t xml:space="preserve"> challenging</w:t>
      </w:r>
      <w:r w:rsidR="00C24396">
        <w:t>, particular</w:t>
      </w:r>
      <w:r w:rsidR="003D111C">
        <w:t>ly</w:t>
      </w:r>
      <w:r>
        <w:t xml:space="preserve"> for </w:t>
      </w:r>
      <w:r w:rsidR="00DA6A33">
        <w:t>individuals</w:t>
      </w:r>
      <w:r>
        <w:t xml:space="preserve"> with fluctuating </w:t>
      </w:r>
      <w:r w:rsidR="00DA6A33">
        <w:t>income</w:t>
      </w:r>
      <w:r w:rsidR="00622149">
        <w:t>s</w:t>
      </w:r>
      <w:r w:rsidRPr="006B6479">
        <w:t xml:space="preserve"> </w:t>
      </w:r>
    </w:p>
    <w:p w14:paraId="2D6C033F" w14:textId="55569356" w:rsidR="00EF44F5" w:rsidRDefault="00C5235C" w:rsidP="00593D32">
      <w:pPr>
        <w:pStyle w:val="BodyText1"/>
      </w:pPr>
      <w:r>
        <w:t>Some o</w:t>
      </w:r>
      <w:r w:rsidR="00304B97">
        <w:t>rganisations who provided submissions or responded to the organisational survey</w:t>
      </w:r>
      <w:r w:rsidR="00132764">
        <w:t xml:space="preserve"> noted that this change was </w:t>
      </w:r>
      <w:r w:rsidR="00BE1FDC">
        <w:t>a positive</w:t>
      </w:r>
      <w:r w:rsidR="00ED0421">
        <w:t xml:space="preserve"> step to reduce the complexity of income reporting processes for payment recipients. </w:t>
      </w:r>
      <w:r w:rsidR="00C310E1">
        <w:t xml:space="preserve">These organisations had received feedback from their members and people they </w:t>
      </w:r>
      <w:r w:rsidR="00B7247D">
        <w:t>support</w:t>
      </w:r>
      <w:r w:rsidR="00C310E1">
        <w:t xml:space="preserve"> that the earned income model made</w:t>
      </w:r>
      <w:r w:rsidR="00ED0421">
        <w:t xml:space="preserve"> </w:t>
      </w:r>
      <w:r w:rsidR="00E94805">
        <w:t xml:space="preserve">reporting their income challenging. </w:t>
      </w:r>
      <w:r w:rsidR="00A6156B">
        <w:t>This particularly related to individuals with fluctuating and unpredictable incomes,</w:t>
      </w:r>
      <w:r w:rsidR="00ED0421">
        <w:t xml:space="preserve"> </w:t>
      </w:r>
      <w:r w:rsidR="00545AD5">
        <w:t xml:space="preserve">and individuals fearful of incurring payment debts </w:t>
      </w:r>
      <w:r w:rsidR="008D0D45">
        <w:t>because</w:t>
      </w:r>
      <w:r w:rsidR="00545AD5">
        <w:t xml:space="preserve"> of incorrectly reported income. </w:t>
      </w:r>
    </w:p>
    <w:p w14:paraId="755F1CE3" w14:textId="19CE52EA" w:rsidR="00D95D4D" w:rsidRDefault="00D95D4D" w:rsidP="00593D32">
      <w:pPr>
        <w:pStyle w:val="BodyText1"/>
      </w:pPr>
      <w:r>
        <w:t>For these organisations, the change of income assessment model was a positive change to address challenges associated with the previous earned income model.</w:t>
      </w:r>
    </w:p>
    <w:p w14:paraId="5CDF2FC4" w14:textId="7C368DC3" w:rsidR="00E94805" w:rsidRPr="008F14CA" w:rsidRDefault="00E94805" w:rsidP="002F2D79">
      <w:pPr>
        <w:pStyle w:val="Quotes"/>
      </w:pPr>
      <w:r w:rsidRPr="008F14CA">
        <w:t xml:space="preserve">Verbatim: </w:t>
      </w:r>
      <w:r w:rsidRPr="002F2D79">
        <w:rPr>
          <w:b w:val="0"/>
          <w:bCs w:val="0"/>
        </w:rPr>
        <w:t>"</w:t>
      </w:r>
      <w:r w:rsidR="009D2D8F" w:rsidRPr="002F2D79">
        <w:rPr>
          <w:b w:val="0"/>
          <w:bCs w:val="0"/>
        </w:rPr>
        <w:t>Carers NSW</w:t>
      </w:r>
      <w:r w:rsidR="008D0D45" w:rsidRPr="002F2D79">
        <w:rPr>
          <w:b w:val="0"/>
          <w:bCs w:val="0"/>
        </w:rPr>
        <w:t xml:space="preserve"> has heard from a number of </w:t>
      </w:r>
      <w:r w:rsidR="009D2D8F" w:rsidRPr="002F2D79">
        <w:rPr>
          <w:b w:val="0"/>
          <w:bCs w:val="0"/>
        </w:rPr>
        <w:t>carers</w:t>
      </w:r>
      <w:r w:rsidR="008D0D45" w:rsidRPr="002F2D79">
        <w:rPr>
          <w:b w:val="0"/>
          <w:bCs w:val="0"/>
        </w:rPr>
        <w:t xml:space="preserve"> that the previous Earned Income Model caused </w:t>
      </w:r>
      <w:r w:rsidR="009D2D8F" w:rsidRPr="002F2D79">
        <w:rPr>
          <w:b w:val="0"/>
          <w:bCs w:val="0"/>
        </w:rPr>
        <w:t>carers</w:t>
      </w:r>
      <w:r w:rsidR="008D0D45" w:rsidRPr="002F2D79">
        <w:rPr>
          <w:b w:val="0"/>
          <w:bCs w:val="0"/>
        </w:rPr>
        <w:t xml:space="preserve"> high levels of distress in relation to estimating income and potentially incurring debts through estimation errors</w:t>
      </w:r>
      <w:r w:rsidR="008C453F" w:rsidRPr="002F2D79">
        <w:rPr>
          <w:b w:val="0"/>
          <w:bCs w:val="0"/>
        </w:rPr>
        <w:t>.</w:t>
      </w:r>
      <w:r w:rsidRPr="002F2D79">
        <w:rPr>
          <w:b w:val="0"/>
          <w:bCs w:val="0"/>
        </w:rPr>
        <w:t xml:space="preserve">" – </w:t>
      </w:r>
      <w:r w:rsidR="001C4140" w:rsidRPr="002F2D79">
        <w:rPr>
          <w:b w:val="0"/>
          <w:bCs w:val="0"/>
          <w:i/>
          <w:iCs/>
          <w:shd w:val="clear" w:color="auto" w:fill="F2F2F2" w:themeFill="background1" w:themeFillShade="F2"/>
        </w:rPr>
        <w:t>Peak / leadership body</w:t>
      </w:r>
    </w:p>
    <w:p w14:paraId="389C7B5F" w14:textId="77777777" w:rsidR="00E94805" w:rsidRDefault="00E94805" w:rsidP="001201B5">
      <w:pPr>
        <w:pStyle w:val="BodyText"/>
      </w:pPr>
    </w:p>
    <w:p w14:paraId="65A33C2A" w14:textId="2494BCCD" w:rsidR="00C35D5F" w:rsidRPr="008F14CA" w:rsidRDefault="00C35D5F" w:rsidP="002F2D79">
      <w:pPr>
        <w:pStyle w:val="Quotes"/>
      </w:pPr>
      <w:r w:rsidRPr="008F14CA">
        <w:t xml:space="preserve">Verbatim: </w:t>
      </w:r>
      <w:r w:rsidRPr="002F2D79">
        <w:rPr>
          <w:b w:val="0"/>
          <w:bCs w:val="0"/>
        </w:rPr>
        <w:t>"Reporting under the earned model required the recipient undertake more evaluation before reporting</w:t>
      </w:r>
      <w:r w:rsidR="008C453F" w:rsidRPr="002F2D79">
        <w:rPr>
          <w:b w:val="0"/>
          <w:bCs w:val="0"/>
        </w:rPr>
        <w:t>.</w:t>
      </w:r>
      <w:r w:rsidRPr="002F2D79">
        <w:rPr>
          <w:b w:val="0"/>
          <w:bCs w:val="0"/>
        </w:rPr>
        <w:t xml:space="preserve">" – </w:t>
      </w:r>
      <w:r w:rsidR="00FB0F98" w:rsidRPr="002F2D79">
        <w:rPr>
          <w:b w:val="0"/>
          <w:bCs w:val="0"/>
          <w:i/>
          <w:iCs/>
          <w:shd w:val="clear" w:color="auto" w:fill="F2F2F2" w:themeFill="background1" w:themeFillShade="F2"/>
        </w:rPr>
        <w:t>Peak / leadership body</w:t>
      </w:r>
    </w:p>
    <w:p w14:paraId="0C168088" w14:textId="2FCC3B40" w:rsidR="009C1D6B" w:rsidRDefault="009C1D6B" w:rsidP="009C1D6B">
      <w:pPr>
        <w:pStyle w:val="Heading4"/>
      </w:pPr>
      <w:r>
        <w:t xml:space="preserve">Current sentiment with </w:t>
      </w:r>
      <w:r>
        <w:rPr>
          <w:bCs/>
        </w:rPr>
        <w:t>the process of reporting employment income was somewhat negative</w:t>
      </w:r>
      <w:r w:rsidR="00380E24">
        <w:rPr>
          <w:bCs/>
        </w:rPr>
        <w:t>, however this is not inconsistent with feedback on reporting income</w:t>
      </w:r>
      <w:r w:rsidR="004072FC">
        <w:rPr>
          <w:bCs/>
        </w:rPr>
        <w:t xml:space="preserve"> generally </w:t>
      </w:r>
    </w:p>
    <w:p w14:paraId="0161AB96" w14:textId="11DA5DEC" w:rsidR="000B126F" w:rsidRDefault="000B126F" w:rsidP="000B126F">
      <w:pPr>
        <w:pStyle w:val="BodyText1"/>
      </w:pPr>
      <w:r w:rsidRPr="004A5CB8">
        <w:t>Among individuals, current sentiment with the process of reporting employment income was somewhat negative</w:t>
      </w:r>
      <w:r>
        <w:t xml:space="preserve">. </w:t>
      </w:r>
      <w:r w:rsidR="00296E32">
        <w:t>However, it is not possible to conclude that this perceived difficulty relates to the change in income assessment model</w:t>
      </w:r>
      <w:r w:rsidR="00CB7E4D">
        <w:t>.</w:t>
      </w:r>
      <w:r w:rsidR="00296E32">
        <w:t xml:space="preserve"> </w:t>
      </w:r>
      <w:r w:rsidR="00CB7E4D">
        <w:t>T</w:t>
      </w:r>
      <w:r>
        <w:t xml:space="preserve">his perception </w:t>
      </w:r>
      <w:r w:rsidR="00411F4E">
        <w:t>is</w:t>
      </w:r>
      <w:r w:rsidR="00075149">
        <w:t xml:space="preserve"> consistent</w:t>
      </w:r>
      <w:r w:rsidR="00411F4E">
        <w:t xml:space="preserve"> </w:t>
      </w:r>
      <w:r w:rsidR="00ED26EF">
        <w:t xml:space="preserve">with the need to report employment income prior </w:t>
      </w:r>
      <w:r w:rsidRPr="004A5CB8">
        <w:t xml:space="preserve">to the change of </w:t>
      </w:r>
      <w:r>
        <w:t xml:space="preserve">income </w:t>
      </w:r>
      <w:r w:rsidRPr="004A5CB8">
        <w:t>assessment model</w:t>
      </w:r>
      <w:r w:rsidR="00912F20">
        <w:t>.</w:t>
      </w:r>
      <w:r w:rsidR="00B0096A">
        <w:t xml:space="preserve"> </w:t>
      </w:r>
      <w:r w:rsidR="00C01933">
        <w:t xml:space="preserve">It was noted in </w:t>
      </w:r>
      <w:r w:rsidR="007201C6">
        <w:t>a Second Reading S</w:t>
      </w:r>
      <w:r w:rsidR="00C01933">
        <w:t>peech</w:t>
      </w:r>
      <w:r w:rsidR="00243A8C">
        <w:t xml:space="preserve"> </w:t>
      </w:r>
      <w:r w:rsidR="004552B5">
        <w:t>for the Act</w:t>
      </w:r>
      <w:r w:rsidR="004D0B51">
        <w:rPr>
          <w:rStyle w:val="FootnoteReference"/>
        </w:rPr>
        <w:footnoteReference w:id="25"/>
      </w:r>
      <w:r w:rsidR="00C01933">
        <w:t xml:space="preserve"> that </w:t>
      </w:r>
      <w:r w:rsidR="008444A0">
        <w:t>former reporting “arrangements can appear complex and confusing to recipients when reporting employment income”.</w:t>
      </w:r>
      <w:r w:rsidR="00296E32">
        <w:t xml:space="preserve"> </w:t>
      </w:r>
    </w:p>
    <w:p w14:paraId="564DA85D" w14:textId="4166B040" w:rsidR="009C1D6B" w:rsidRDefault="009C1D6B" w:rsidP="009C1D6B">
      <w:pPr>
        <w:pStyle w:val="BodyText1"/>
      </w:pPr>
      <w:r>
        <w:t>Through consultation, it was observed that recipients had concern about the process of reporting employment income and incurring debt. More than half</w:t>
      </w:r>
      <w:r w:rsidRPr="00075715">
        <w:t xml:space="preserve"> of individuals </w:t>
      </w:r>
      <w:r>
        <w:t>surveyed were</w:t>
      </w:r>
      <w:r w:rsidRPr="00075715">
        <w:t xml:space="preserve"> somewhat or strongly dissatisfied with the current employment income reporting process, and </w:t>
      </w:r>
      <w:r>
        <w:t>more than half</w:t>
      </w:r>
      <w:r w:rsidRPr="00075715">
        <w:t xml:space="preserve"> disagree that the process is easy.</w:t>
      </w:r>
      <w:r w:rsidRPr="00C0398F">
        <w:rPr>
          <w:rStyle w:val="FootnoteReference"/>
        </w:rPr>
        <w:footnoteReference w:id="26"/>
      </w:r>
      <w:r w:rsidRPr="003F2F47">
        <w:rPr>
          <w:rStyle w:val="FootnoteReference"/>
        </w:rPr>
        <w:t xml:space="preserve"> </w:t>
      </w:r>
      <w:r>
        <w:t>Five of nine</w:t>
      </w:r>
      <w:r w:rsidRPr="00F34EBA">
        <w:t xml:space="preserve"> organisations surveyed disagreed that social security payment recipients are satisfied with the experience of reporting their income, and </w:t>
      </w:r>
      <w:r>
        <w:t>seven of nine</w:t>
      </w:r>
      <w:r w:rsidRPr="00F34EBA">
        <w:t xml:space="preserve"> disagreed the process is straightforward</w:t>
      </w:r>
      <w:r>
        <w:t>.</w:t>
      </w:r>
      <w:r>
        <w:rPr>
          <w:rStyle w:val="FootnoteReference"/>
        </w:rPr>
        <w:footnoteReference w:id="27"/>
      </w:r>
      <w:r>
        <w:t xml:space="preserve"> Organisations representing people with disability shared that the administrative burden of reporting is particularly onerous for those living with a disability, their carers and families. Economic Justice Australia also reported that for people with disability, keeping up with reporting is difficult. </w:t>
      </w:r>
      <w:r w:rsidR="00A900B7">
        <w:t xml:space="preserve">Similarly, it is not possible to conclude that these challenges related to the change in </w:t>
      </w:r>
      <w:r w:rsidR="00605B75">
        <w:t>income assessment model.</w:t>
      </w:r>
    </w:p>
    <w:p w14:paraId="5DCAD7E4" w14:textId="7CB0E4EE" w:rsidR="009C1D6B" w:rsidRDefault="009C1D6B" w:rsidP="009C1D6B">
      <w:pPr>
        <w:pStyle w:val="BodyText1"/>
      </w:pPr>
      <w:r>
        <w:t>More than half of individuals surveyed</w:t>
      </w:r>
      <w:r w:rsidRPr="00075715">
        <w:t xml:space="preserve"> agree</w:t>
      </w:r>
      <w:r>
        <w:t>d</w:t>
      </w:r>
      <w:r w:rsidRPr="00075715">
        <w:t xml:space="preserve"> they understand how to report employment incom</w:t>
      </w:r>
      <w:r>
        <w:t>e</w:t>
      </w:r>
      <w:r w:rsidRPr="00C0398F">
        <w:rPr>
          <w:rStyle w:val="FootnoteReference"/>
        </w:rPr>
        <w:footnoteReference w:id="28"/>
      </w:r>
      <w:r>
        <w:t xml:space="preserve">. Despite this, there remains feedback from organisations and individuals that there </w:t>
      </w:r>
      <w:r w:rsidR="00047777">
        <w:t>is</w:t>
      </w:r>
      <w:r>
        <w:t xml:space="preserve"> some confusion about reporting requirements, for example whether to report gross or net income.</w:t>
      </w:r>
      <w:r w:rsidRPr="00C0398F">
        <w:rPr>
          <w:rStyle w:val="FootnoteReference"/>
        </w:rPr>
        <w:t xml:space="preserve"> </w:t>
      </w:r>
    </w:p>
    <w:p w14:paraId="49C928CF" w14:textId="36E1002A" w:rsidR="009C1D6B" w:rsidRPr="00431A3C" w:rsidRDefault="009C1D6B" w:rsidP="009C1D6B">
      <w:pPr>
        <w:pStyle w:val="Caption"/>
        <w:rPr>
          <w:color w:val="auto"/>
        </w:rPr>
      </w:pPr>
      <w:r w:rsidRPr="00C0398F">
        <w:rPr>
          <w:color w:val="auto"/>
        </w:rPr>
        <w:lastRenderedPageBreak/>
        <w:t xml:space="preserve">Figure </w:t>
      </w:r>
      <w:r w:rsidRPr="00C0398F">
        <w:rPr>
          <w:color w:val="auto"/>
        </w:rPr>
        <w:fldChar w:fldCharType="begin"/>
      </w:r>
      <w:r w:rsidRPr="00C0398F">
        <w:rPr>
          <w:color w:val="auto"/>
        </w:rPr>
        <w:instrText xml:space="preserve"> SEQ Figure \* ARABIC </w:instrText>
      </w:r>
      <w:r w:rsidRPr="00C0398F">
        <w:rPr>
          <w:color w:val="auto"/>
        </w:rPr>
        <w:fldChar w:fldCharType="separate"/>
      </w:r>
      <w:r>
        <w:rPr>
          <w:noProof/>
          <w:color w:val="auto"/>
        </w:rPr>
        <w:t>1</w:t>
      </w:r>
      <w:r w:rsidRPr="00C0398F">
        <w:rPr>
          <w:color w:val="auto"/>
        </w:rPr>
        <w:fldChar w:fldCharType="end"/>
      </w:r>
      <w:r w:rsidRPr="00C0398F">
        <w:rPr>
          <w:color w:val="auto"/>
        </w:rPr>
        <w:t>: Current satisfaction with process of reporting employment income</w:t>
      </w:r>
      <w:r w:rsidR="00746293">
        <w:rPr>
          <w:color w:val="auto"/>
        </w:rPr>
        <w:t xml:space="preserve"> (n=51)</w:t>
      </w:r>
      <w:r w:rsidRPr="00C0398F">
        <w:rPr>
          <w:rStyle w:val="FootnoteReference"/>
          <w:color w:val="auto"/>
        </w:rPr>
        <w:footnoteReference w:id="29"/>
      </w:r>
      <w:r w:rsidRPr="00BB6233">
        <w:rPr>
          <w:noProof/>
          <w:lang w:eastAsia="en-AU"/>
        </w:rPr>
        <w:drawing>
          <wp:inline distT="0" distB="0" distL="0" distR="0" wp14:anchorId="39D130AD" wp14:editId="29452887">
            <wp:extent cx="5501640" cy="2705100"/>
            <wp:effectExtent l="0" t="0" r="3810" b="0"/>
            <wp:docPr id="2" name="Chart 2" descr="Figure 1 is a stacked bar chart, summarising individual survey participants’ level of agreement with statements that relate to the process of reporting employment income. &#10;Of individuals surveyed, for the statement; I am satisfied with the current employment income reporting process, 67% somewhat or strongly disagreed, 8% were neutral and 25% somewhat or strongly disagreed.&#10;Of individuals surveyed, for the statement; The current process is easy, 60% somewhat or strongly disagreed, 13% were neutral and 27% somewhat or strongly disagreed.&#10;Of individuals surveyed, for the statement; I understand how to report, 24% somewhat or strongly disagreed, 12% were neutral and 65% somewhat or strongly disagreed.&#10;Of individuals surveyed, for the statement; I know where to go to get help if I have trouble when reporting, 37% somewhat or strongly disagreed, 13% were neutral and 50% somewhat or strongly disagreed.&#10;Of individuals surveyed, for the statement; The process meets my individual needs, 52% somewhat or strongly disagreed, 13% were neutral and 35% somewhat or strongly disagreed.&#10;Of individuals surveyed, for the statement; The process does not take up too much time, 48% somewhat or strongly disagreed, 10% were neutral and 42% somewhat or strongly disagreed.&#10;">
              <a:extLst xmlns:a="http://schemas.openxmlformats.org/drawingml/2006/main">
                <a:ext uri="{FF2B5EF4-FFF2-40B4-BE49-F238E27FC236}">
                  <a16:creationId xmlns:a16="http://schemas.microsoft.com/office/drawing/2014/main" id="{35949708-BE04-41E1-8746-CCFB84031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27AAAE" w14:textId="77777777" w:rsidR="009C1D6B" w:rsidRPr="002F2D79" w:rsidRDefault="009C1D6B" w:rsidP="009C1D6B">
      <w:pPr>
        <w:pStyle w:val="BodyText"/>
      </w:pPr>
    </w:p>
    <w:p w14:paraId="44CB9952" w14:textId="77777777" w:rsidR="009C1D6B" w:rsidRPr="000E2E47" w:rsidRDefault="009C1D6B" w:rsidP="009C1D6B">
      <w:pPr>
        <w:pStyle w:val="Quotes"/>
        <w:rPr>
          <w:i/>
          <w:iCs/>
        </w:rPr>
      </w:pPr>
      <w:r>
        <w:t xml:space="preserve">Verbatim: </w:t>
      </w:r>
      <w:r w:rsidRPr="002F2D79">
        <w:rPr>
          <w:rStyle w:val="QuotesChar"/>
        </w:rPr>
        <w:t xml:space="preserve">“We are dealing with people on financial hardship, right on the edge…there is hyper-sensitivity and a fear of farmers getting paid a government allowance, which is great, but at reconciliation getting a debt.” </w:t>
      </w:r>
      <w:r w:rsidRPr="00431A3C">
        <w:rPr>
          <w:rStyle w:val="QuotesChar"/>
          <w:i/>
        </w:rPr>
        <w:t>– Charitable / not for profit organisation</w:t>
      </w:r>
    </w:p>
    <w:p w14:paraId="51C5BCE6" w14:textId="77777777" w:rsidR="009C1D6B" w:rsidRDefault="009C1D6B" w:rsidP="009C1D6B">
      <w:pPr>
        <w:pStyle w:val="BodyText"/>
        <w:rPr>
          <w:b/>
          <w:bCs/>
        </w:rPr>
      </w:pPr>
    </w:p>
    <w:p w14:paraId="29ECA2CA" w14:textId="77777777" w:rsidR="009C1D6B" w:rsidRPr="000D50F9" w:rsidRDefault="009C1D6B" w:rsidP="009C1D6B">
      <w:pPr>
        <w:pStyle w:val="Quotes"/>
        <w:rPr>
          <w:i/>
          <w:iCs/>
        </w:rPr>
      </w:pPr>
      <w:r>
        <w:t xml:space="preserve">Verbatim: </w:t>
      </w:r>
      <w:r w:rsidRPr="002F2D79">
        <w:rPr>
          <w:rStyle w:val="QuotesChar"/>
        </w:rPr>
        <w:t>“People muddle through changes…there are compounding barriers to understanding the system and inevitably broad communication from Government</w:t>
      </w:r>
      <w:r>
        <w:rPr>
          <w:rStyle w:val="QuotesChar"/>
          <w:i/>
        </w:rPr>
        <w:t>.</w:t>
      </w:r>
      <w:r w:rsidRPr="002F2D79">
        <w:rPr>
          <w:rStyle w:val="QuotesChar"/>
        </w:rPr>
        <w:t>”</w:t>
      </w:r>
      <w:r w:rsidRPr="00431A3C">
        <w:rPr>
          <w:rStyle w:val="QuotesChar"/>
          <w:i/>
        </w:rPr>
        <w:t>- Peak / leadership body</w:t>
      </w:r>
    </w:p>
    <w:p w14:paraId="154111FB" w14:textId="77777777" w:rsidR="00210696" w:rsidRDefault="00210696" w:rsidP="001201B5">
      <w:pPr>
        <w:pStyle w:val="BodyText"/>
      </w:pPr>
    </w:p>
    <w:p w14:paraId="54A73484" w14:textId="3E456841" w:rsidR="0011219E" w:rsidRPr="00201A81" w:rsidRDefault="0011219E" w:rsidP="00E93FF9">
      <w:pPr>
        <w:pStyle w:val="Heading4"/>
      </w:pPr>
      <w:r w:rsidRPr="00201A81">
        <w:t xml:space="preserve">There is </w:t>
      </w:r>
      <w:r w:rsidR="00FA35C3">
        <w:t>limited</w:t>
      </w:r>
      <w:r w:rsidRPr="00201A81">
        <w:t xml:space="preserve"> understanding </w:t>
      </w:r>
      <w:r w:rsidR="00150DD9">
        <w:t>among social security support recipients</w:t>
      </w:r>
      <w:r w:rsidRPr="00201A81">
        <w:t xml:space="preserve"> </w:t>
      </w:r>
      <w:r w:rsidR="00FA35C3">
        <w:t>of</w:t>
      </w:r>
      <w:r w:rsidR="00FA35C3" w:rsidRPr="00201A81">
        <w:t xml:space="preserve"> </w:t>
      </w:r>
      <w:r w:rsidRPr="00201A81">
        <w:t xml:space="preserve">the specific </w:t>
      </w:r>
      <w:r w:rsidR="0007074B">
        <w:t>change of income assessment model</w:t>
      </w:r>
      <w:r w:rsidRPr="00201A81">
        <w:t xml:space="preserve"> in the context of reporting employment income </w:t>
      </w:r>
      <w:r w:rsidR="00653E37">
        <w:t>more broadly</w:t>
      </w:r>
    </w:p>
    <w:p w14:paraId="11EE5EF9" w14:textId="292920BB" w:rsidR="00093742" w:rsidRDefault="00093742" w:rsidP="00093742">
      <w:pPr>
        <w:pStyle w:val="BodyText1"/>
      </w:pPr>
      <w:r>
        <w:t>A substantial portion of the feedback received through this review conflated the change of income assessment model with feedback on other changes, indicating that individuals find it difficult to separate discrete policy change from</w:t>
      </w:r>
      <w:r w:rsidR="0076706A">
        <w:t xml:space="preserve"> other concurrent policy changes and service delivery experience.</w:t>
      </w:r>
    </w:p>
    <w:p w14:paraId="00BE242B" w14:textId="77777777" w:rsidR="00093742" w:rsidRDefault="00093742" w:rsidP="00093742">
      <w:pPr>
        <w:pStyle w:val="BodyText1"/>
      </w:pPr>
      <w:r>
        <w:t xml:space="preserve">Organisations are better able to differentiate between the scope of this review and broader service delivery changes, bringing a more comprehensive view of the way in which policy is created and informs service delivery. However, organisations noted that opportunity to comment on both policy and service delivery aspects is considered important. </w:t>
      </w:r>
    </w:p>
    <w:p w14:paraId="6BAB1461" w14:textId="16DD748F" w:rsidR="00BC4A2C" w:rsidRDefault="00150DD9" w:rsidP="000D75F1">
      <w:pPr>
        <w:pStyle w:val="BodyText1"/>
      </w:pPr>
      <w:r>
        <w:t>Among individuals, t</w:t>
      </w:r>
      <w:r w:rsidR="0011219E" w:rsidRPr="00201A81">
        <w:t>here was a relatively low degree of understanding</w:t>
      </w:r>
      <w:r w:rsidR="00B7247D">
        <w:t xml:space="preserve"> regarding</w:t>
      </w:r>
      <w:r w:rsidR="0011219E" w:rsidRPr="00201A81">
        <w:t xml:space="preserve"> </w:t>
      </w:r>
      <w:r w:rsidR="0007074B">
        <w:t>the specifics of the change of income assessment model</w:t>
      </w:r>
      <w:r w:rsidR="00DB6851">
        <w:t xml:space="preserve">, </w:t>
      </w:r>
      <w:r w:rsidR="00177CFE">
        <w:t>including</w:t>
      </w:r>
      <w:r w:rsidR="005A7AB3">
        <w:t xml:space="preserve"> which aspects of income reporting the change impacted. </w:t>
      </w:r>
      <w:r w:rsidR="0004739B">
        <w:t xml:space="preserve">There was also limited understanding of what this change </w:t>
      </w:r>
      <w:r w:rsidR="00DB6851">
        <w:t xml:space="preserve">involved, as compared to other concurrent changes occurring with respect to social security payments and reporting practices. Customers </w:t>
      </w:r>
      <w:r w:rsidR="00B44E5F">
        <w:t>often conflated</w:t>
      </w:r>
      <w:r w:rsidR="00EC1FD8">
        <w:t xml:space="preserve"> </w:t>
      </w:r>
      <w:r w:rsidR="00183F98">
        <w:t xml:space="preserve">other specific issues </w:t>
      </w:r>
      <w:r w:rsidR="0032010C">
        <w:t>or income reporting processes more broadly</w:t>
      </w:r>
      <w:r w:rsidR="00183F98">
        <w:t xml:space="preserve"> with </w:t>
      </w:r>
      <w:r w:rsidR="0007074B">
        <w:t>the change of income assessment model</w:t>
      </w:r>
      <w:r w:rsidR="009B2D7C">
        <w:t>.</w:t>
      </w:r>
      <w:r w:rsidR="00A03D18">
        <w:rPr>
          <w:rStyle w:val="FootnoteReference"/>
        </w:rPr>
        <w:footnoteReference w:id="30"/>
      </w:r>
      <w:r w:rsidR="0011219E" w:rsidRPr="00201A81">
        <w:t xml:space="preserve"> </w:t>
      </w:r>
      <w:r w:rsidR="0047006B">
        <w:t xml:space="preserve">Specific examples of </w:t>
      </w:r>
      <w:r w:rsidR="00BC4A2C">
        <w:t xml:space="preserve">this misunderstanding </w:t>
      </w:r>
      <w:r w:rsidR="00692A2C">
        <w:t>and uncertainty</w:t>
      </w:r>
      <w:r w:rsidR="00BC4A2C">
        <w:t xml:space="preserve"> include:</w:t>
      </w:r>
    </w:p>
    <w:p w14:paraId="7770F8F1" w14:textId="67B7DEF9" w:rsidR="004F3B9D" w:rsidRDefault="009B779B" w:rsidP="00BC4A2C">
      <w:pPr>
        <w:pStyle w:val="Bullet1stlevel"/>
      </w:pPr>
      <w:r>
        <w:t>Conflation of</w:t>
      </w:r>
      <w:r w:rsidR="00EB0437">
        <w:t xml:space="preserve"> </w:t>
      </w:r>
      <w:r w:rsidR="004F3B9D">
        <w:t>the</w:t>
      </w:r>
      <w:r w:rsidR="0007074B">
        <w:t xml:space="preserve"> change of income assessment model</w:t>
      </w:r>
      <w:r w:rsidR="004F3B9D">
        <w:t xml:space="preserve"> with uncertainty regarding whether to report gross or net income</w:t>
      </w:r>
      <w:r w:rsidR="00A73DCD">
        <w:t>;</w:t>
      </w:r>
    </w:p>
    <w:p w14:paraId="2CF673A5" w14:textId="3CB4E30E" w:rsidR="00BC4A2C" w:rsidRDefault="00692A2C" w:rsidP="001B6072">
      <w:pPr>
        <w:pStyle w:val="Bullet1stlevel"/>
      </w:pPr>
      <w:r>
        <w:t xml:space="preserve">Uncertainty regarding </w:t>
      </w:r>
      <w:r w:rsidR="001A2AA1">
        <w:t xml:space="preserve">how to report income where the pay period on a payslip </w:t>
      </w:r>
      <w:r w:rsidR="00460EA8">
        <w:t xml:space="preserve">did not match the </w:t>
      </w:r>
      <w:r w:rsidR="00A73DCD">
        <w:t>Centrelink</w:t>
      </w:r>
      <w:r w:rsidR="00460EA8">
        <w:t xml:space="preserve"> reporting period</w:t>
      </w:r>
      <w:r w:rsidR="00A73DCD">
        <w:t>; and</w:t>
      </w:r>
    </w:p>
    <w:p w14:paraId="1C946B16" w14:textId="3086D643" w:rsidR="009B779B" w:rsidRDefault="006E57EC" w:rsidP="00BC4A2C">
      <w:pPr>
        <w:pStyle w:val="Bullet1stlevel"/>
      </w:pPr>
      <w:r>
        <w:lastRenderedPageBreak/>
        <w:t xml:space="preserve">Conflation of practical reporting processes </w:t>
      </w:r>
      <w:r w:rsidR="003C5309">
        <w:t>with the change</w:t>
      </w:r>
      <w:r w:rsidR="00F35AC9">
        <w:t xml:space="preserve"> of income assessment model </w:t>
      </w:r>
      <w:r>
        <w:t xml:space="preserve">(for example, </w:t>
      </w:r>
      <w:r w:rsidR="004F377A">
        <w:t>use of online reporting versus telephone reporting</w:t>
      </w:r>
      <w:r w:rsidR="00A9581E">
        <w:t>, which was not directly relate to the change of income assessment model</w:t>
      </w:r>
      <w:r w:rsidR="003A01B7">
        <w:t>)</w:t>
      </w:r>
      <w:r w:rsidR="00F2368D">
        <w:t>.</w:t>
      </w:r>
    </w:p>
    <w:p w14:paraId="48B1453E" w14:textId="3B9D8C0B" w:rsidR="007F74BB" w:rsidRDefault="00A6346E" w:rsidP="00135171">
      <w:pPr>
        <w:pStyle w:val="BodyText1"/>
      </w:pPr>
      <w:r>
        <w:t>This was supported by feedback received by Services Australia during user testing and implementation</w:t>
      </w:r>
      <w:r w:rsidR="00713320">
        <w:t xml:space="preserve">. </w:t>
      </w:r>
      <w:r w:rsidR="00056259">
        <w:t>Services Australia advised th</w:t>
      </w:r>
      <w:r w:rsidR="00B61400">
        <w:t xml:space="preserve">is </w:t>
      </w:r>
      <w:r w:rsidR="00056259">
        <w:t>review that</w:t>
      </w:r>
      <w:r w:rsidR="00490CE9" w:rsidRPr="00201A81">
        <w:t xml:space="preserve"> the letter testing phases of </w:t>
      </w:r>
      <w:r w:rsidR="00362F0B">
        <w:t>the change of income assessment model</w:t>
      </w:r>
      <w:r w:rsidR="007F74BB">
        <w:t xml:space="preserve"> found that </w:t>
      </w:r>
      <w:r w:rsidR="00490CE9" w:rsidRPr="00201A81">
        <w:t>“the true intent and meaning of CAM was very difficult for customers to understand”</w:t>
      </w:r>
      <w:r w:rsidR="00FB1C2E">
        <w:t xml:space="preserve">. </w:t>
      </w:r>
    </w:p>
    <w:p w14:paraId="118511C3" w14:textId="6799D6F5" w:rsidR="004E0ECE" w:rsidRDefault="004E0ECE" w:rsidP="00135171">
      <w:pPr>
        <w:pStyle w:val="BodyText1"/>
      </w:pPr>
      <w:r>
        <w:t>Feedback received from organisations suggests good understanding of the specifics of the change of income assessment model.</w:t>
      </w:r>
    </w:p>
    <w:p w14:paraId="1309FCD4" w14:textId="77777777" w:rsidR="00BA375C" w:rsidRDefault="00BA375C" w:rsidP="00BA375C">
      <w:pPr>
        <w:pStyle w:val="BodyText"/>
      </w:pPr>
    </w:p>
    <w:p w14:paraId="3D0888B3" w14:textId="5E5A80B7" w:rsidR="000D75F1" w:rsidRPr="008F14CA" w:rsidRDefault="000D75F1" w:rsidP="002F2D79">
      <w:pPr>
        <w:pStyle w:val="Quotes"/>
      </w:pPr>
      <w:r w:rsidRPr="008F14CA">
        <w:t xml:space="preserve">Verbatim: </w:t>
      </w:r>
      <w:r w:rsidRPr="002F2D79">
        <w:rPr>
          <w:b w:val="0"/>
          <w:bCs w:val="0"/>
        </w:rPr>
        <w:t xml:space="preserve">"When it works, it is really very handy. Much faster than reporting over the phone. But when there are glitches, it can make the already vulnerable person involved, suffer a great deal of difficulty and indignity." – </w:t>
      </w:r>
      <w:r w:rsidR="00C028E3" w:rsidRPr="002F2D79">
        <w:rPr>
          <w:b w:val="0"/>
          <w:bCs w:val="0"/>
          <w:i/>
          <w:iCs/>
          <w:shd w:val="clear" w:color="auto" w:fill="F2F2F2" w:themeFill="background1" w:themeFillShade="F2"/>
        </w:rPr>
        <w:t>JobSeeker Payment recipient</w:t>
      </w:r>
    </w:p>
    <w:p w14:paraId="616E9ED3" w14:textId="77777777" w:rsidR="00342DAA" w:rsidRDefault="00342DAA" w:rsidP="0011219E">
      <w:pPr>
        <w:pStyle w:val="BodyText"/>
      </w:pPr>
    </w:p>
    <w:p w14:paraId="07BE448C" w14:textId="74596AEB" w:rsidR="00051750" w:rsidRPr="008F14CA" w:rsidRDefault="00051750" w:rsidP="002F2D79">
      <w:pPr>
        <w:pStyle w:val="Quotes"/>
      </w:pPr>
      <w:r w:rsidRPr="00051750">
        <w:t xml:space="preserve">Verbatim: </w:t>
      </w:r>
      <w:r w:rsidRPr="002F2D79">
        <w:rPr>
          <w:b w:val="0"/>
          <w:bCs w:val="0"/>
        </w:rPr>
        <w:t xml:space="preserve">"I still don't fully understand how the pay time periods and my pay slip line up and I just hope it all works out at tax time. I also am unsure if when I'm paid means the date my pay is processed by work or the day it goes into my account." – </w:t>
      </w:r>
      <w:r w:rsidRPr="002F2D79">
        <w:rPr>
          <w:b w:val="0"/>
          <w:bCs w:val="0"/>
          <w:i/>
          <w:iCs/>
          <w:shd w:val="clear" w:color="auto" w:fill="F2F2F2" w:themeFill="background1" w:themeFillShade="F2"/>
        </w:rPr>
        <w:t xml:space="preserve">Youth Allowance </w:t>
      </w:r>
      <w:r w:rsidR="00900004" w:rsidRPr="002F2D79">
        <w:rPr>
          <w:b w:val="0"/>
          <w:bCs w:val="0"/>
          <w:i/>
          <w:iCs/>
          <w:shd w:val="clear" w:color="auto" w:fill="F2F2F2" w:themeFill="background1" w:themeFillShade="F2"/>
        </w:rPr>
        <w:t>P</w:t>
      </w:r>
      <w:r w:rsidR="00293427" w:rsidRPr="002F2D79">
        <w:rPr>
          <w:b w:val="0"/>
          <w:bCs w:val="0"/>
          <w:i/>
          <w:iCs/>
          <w:shd w:val="clear" w:color="auto" w:fill="F2F2F2" w:themeFill="background1" w:themeFillShade="F2"/>
        </w:rPr>
        <w:t>ayment</w:t>
      </w:r>
      <w:r w:rsidRPr="002F2D79" w:rsidDel="00293427">
        <w:rPr>
          <w:b w:val="0"/>
          <w:bCs w:val="0"/>
          <w:i/>
          <w:iCs/>
          <w:shd w:val="clear" w:color="auto" w:fill="F2F2F2" w:themeFill="background1" w:themeFillShade="F2"/>
        </w:rPr>
        <w:t xml:space="preserve"> </w:t>
      </w:r>
      <w:r w:rsidRPr="002F2D79">
        <w:rPr>
          <w:b w:val="0"/>
          <w:bCs w:val="0"/>
          <w:i/>
          <w:iCs/>
          <w:shd w:val="clear" w:color="auto" w:fill="F2F2F2" w:themeFill="background1" w:themeFillShade="F2"/>
        </w:rPr>
        <w:t>recipient</w:t>
      </w:r>
    </w:p>
    <w:p w14:paraId="00C8ED47" w14:textId="77777777" w:rsidR="006E6527" w:rsidRDefault="006E6527" w:rsidP="0010035E">
      <w:pPr>
        <w:pStyle w:val="BodyText1"/>
      </w:pPr>
    </w:p>
    <w:p w14:paraId="22E58C61" w14:textId="66C1D0F1" w:rsidR="00A427F8" w:rsidRPr="00201A81" w:rsidRDefault="00F22947" w:rsidP="006F1E8F">
      <w:pPr>
        <w:pStyle w:val="BodyText1"/>
      </w:pPr>
      <w:r>
        <w:t xml:space="preserve">Approximately </w:t>
      </w:r>
      <w:r w:rsidR="000E7FF8" w:rsidRPr="000E7FF8">
        <w:t xml:space="preserve">half of </w:t>
      </w:r>
      <w:r w:rsidR="005116C5">
        <w:t xml:space="preserve">the small number of </w:t>
      </w:r>
      <w:r w:rsidR="000E7FF8" w:rsidRPr="000E7FF8">
        <w:t xml:space="preserve">individuals </w:t>
      </w:r>
      <w:r w:rsidR="005116C5">
        <w:t xml:space="preserve">who responded to the survey </w:t>
      </w:r>
      <w:r w:rsidR="000E7FF8">
        <w:t xml:space="preserve">indicated </w:t>
      </w:r>
      <w:r w:rsidR="000E7FF8" w:rsidRPr="000E7FF8">
        <w:t xml:space="preserve">the change </w:t>
      </w:r>
      <w:r w:rsidR="00CB3DE5">
        <w:t>of income assessment model</w:t>
      </w:r>
      <w:r w:rsidR="000E7FF8" w:rsidRPr="000E7FF8">
        <w:t xml:space="preserve"> was significantly different from reporting employment income before December 2020.</w:t>
      </w:r>
      <w:r w:rsidR="003B0889" w:rsidRPr="00C0398F">
        <w:rPr>
          <w:rStyle w:val="FootnoteReference"/>
        </w:rPr>
        <w:footnoteReference w:id="31"/>
      </w:r>
      <w:r w:rsidR="000E7FF8" w:rsidRPr="000E7FF8">
        <w:t xml:space="preserve"> This </w:t>
      </w:r>
      <w:r w:rsidR="00900004" w:rsidRPr="000E7FF8">
        <w:t>contrasts with</w:t>
      </w:r>
      <w:r w:rsidR="000E7FF8" w:rsidRPr="000E7FF8">
        <w:t xml:space="preserve"> some organisations </w:t>
      </w:r>
      <w:r w:rsidR="006B572C">
        <w:t>who indicated</w:t>
      </w:r>
      <w:r w:rsidR="006B572C" w:rsidRPr="000E7FF8">
        <w:t xml:space="preserve"> </w:t>
      </w:r>
      <w:r w:rsidR="000E7FF8" w:rsidRPr="000E7FF8">
        <w:t>it had ‘minimal impact’ on the reporting income process</w:t>
      </w:r>
      <w:r w:rsidR="00B57F8F">
        <w:t xml:space="preserve"> for individuals</w:t>
      </w:r>
      <w:r w:rsidR="00BA6EBE">
        <w:t xml:space="preserve">. </w:t>
      </w:r>
      <w:r w:rsidR="000E7FF8">
        <w:t>Feedback received indicate</w:t>
      </w:r>
      <w:r w:rsidR="006B572C">
        <w:t>d</w:t>
      </w:r>
      <w:r w:rsidR="000E7FF8">
        <w:t xml:space="preserve"> </w:t>
      </w:r>
      <w:r w:rsidR="00BA6EBE">
        <w:t>that w</w:t>
      </w:r>
      <w:r w:rsidR="0011219E" w:rsidRPr="00201A81">
        <w:t xml:space="preserve">here the change </w:t>
      </w:r>
      <w:r w:rsidR="00911368">
        <w:t>of income assessment model</w:t>
      </w:r>
      <w:r w:rsidR="0011219E" w:rsidRPr="00201A81">
        <w:t xml:space="preserve"> </w:t>
      </w:r>
      <w:r w:rsidR="00362F0B">
        <w:t>was</w:t>
      </w:r>
      <w:r w:rsidR="0011219E" w:rsidRPr="00201A81">
        <w:t xml:space="preserve"> perceived to have made things more complex</w:t>
      </w:r>
      <w:r w:rsidR="00BA6EBE">
        <w:t xml:space="preserve"> for individuals</w:t>
      </w:r>
      <w:r w:rsidR="0011219E" w:rsidRPr="00201A81">
        <w:t>, this complexity largely relate</w:t>
      </w:r>
      <w:r w:rsidR="006F1E8F">
        <w:t>d</w:t>
      </w:r>
      <w:r w:rsidR="0011219E" w:rsidRPr="00201A81">
        <w:t xml:space="preserve"> to other policy and service delivery considerations, particularly for vulnerable individuals</w:t>
      </w:r>
      <w:r w:rsidR="00A427F8">
        <w:t xml:space="preserve">, rather than </w:t>
      </w:r>
      <w:r w:rsidR="00911368">
        <w:t>the income assessment model</w:t>
      </w:r>
      <w:r w:rsidR="00A427F8">
        <w:t xml:space="preserve"> specifically</w:t>
      </w:r>
      <w:r w:rsidR="0058032F">
        <w:t>, as seen in the quotes above</w:t>
      </w:r>
      <w:r w:rsidR="00CB3DE5">
        <w:t>.</w:t>
      </w:r>
      <w:r w:rsidR="003B0889" w:rsidRPr="00C0398F">
        <w:rPr>
          <w:rStyle w:val="FootnoteReference"/>
        </w:rPr>
        <w:footnoteReference w:id="32"/>
      </w:r>
    </w:p>
    <w:p w14:paraId="3D137EE3" w14:textId="78987D35" w:rsidR="0090549B" w:rsidRDefault="00457F11" w:rsidP="00E93FF9">
      <w:pPr>
        <w:pStyle w:val="Heading4"/>
      </w:pPr>
      <w:r>
        <w:t xml:space="preserve">For stakeholders who understood </w:t>
      </w:r>
      <w:r w:rsidR="007D226F">
        <w:t>the purpose and specific scope of the</w:t>
      </w:r>
      <w:r w:rsidR="0090549B" w:rsidRPr="0090549B">
        <w:t xml:space="preserve"> change</w:t>
      </w:r>
      <w:r w:rsidR="0007074B">
        <w:t xml:space="preserve"> of income assessment model</w:t>
      </w:r>
      <w:r w:rsidR="007D226F">
        <w:t>,</w:t>
      </w:r>
      <w:r w:rsidR="0090549B" w:rsidRPr="0090549B">
        <w:t xml:space="preserve"> and its impact on reporting employment income, </w:t>
      </w:r>
      <w:r w:rsidR="007D226F">
        <w:t xml:space="preserve">there </w:t>
      </w:r>
      <w:r w:rsidR="00EC2845">
        <w:t>wa</w:t>
      </w:r>
      <w:r w:rsidR="007D226F">
        <w:t xml:space="preserve">s a general perception that the change has </w:t>
      </w:r>
      <w:r w:rsidR="0090549B" w:rsidRPr="0090549B">
        <w:t xml:space="preserve">made the process </w:t>
      </w:r>
      <w:r w:rsidR="00EC2845">
        <w:t xml:space="preserve">simpler and </w:t>
      </w:r>
      <w:r w:rsidR="0090549B" w:rsidRPr="0090549B">
        <w:t>more accurate</w:t>
      </w:r>
    </w:p>
    <w:p w14:paraId="58735D89" w14:textId="73A0DEF7" w:rsidR="00572631" w:rsidRDefault="00572631" w:rsidP="00572631">
      <w:pPr>
        <w:pStyle w:val="Heading5"/>
      </w:pPr>
      <w:r>
        <w:t>Experience of organisations</w:t>
      </w:r>
    </w:p>
    <w:p w14:paraId="229EFEA3" w14:textId="473373D7" w:rsidR="00DF64D6" w:rsidRDefault="0090549B" w:rsidP="00CB0629">
      <w:pPr>
        <w:pStyle w:val="BodyText1"/>
      </w:pPr>
      <w:r w:rsidRPr="0090549B">
        <w:t>Organisations</w:t>
      </w:r>
      <w:r w:rsidR="00741695">
        <w:t xml:space="preserve"> consistently demonstrated </w:t>
      </w:r>
      <w:r w:rsidR="00362F0B">
        <w:t xml:space="preserve">an </w:t>
      </w:r>
      <w:r w:rsidR="00741695">
        <w:t>understanding of the change</w:t>
      </w:r>
      <w:r w:rsidR="00911368">
        <w:t xml:space="preserve"> of income assessment model</w:t>
      </w:r>
      <w:r w:rsidR="00741695">
        <w:t>, and its discrete impact on reporting employment income. Organisations were also</w:t>
      </w:r>
      <w:r w:rsidRPr="0090549B">
        <w:t xml:space="preserve"> more likely to perceive </w:t>
      </w:r>
      <w:r w:rsidR="009341E2">
        <w:t xml:space="preserve">that </w:t>
      </w:r>
      <w:r w:rsidRPr="0090549B">
        <w:t xml:space="preserve">the change had had a neutral or positive impact on reporting income, compared to individuals sharing their own experiences. </w:t>
      </w:r>
      <w:r w:rsidR="00362F0B" w:rsidRPr="006069E7">
        <w:t>Most</w:t>
      </w:r>
      <w:r w:rsidR="001A0572" w:rsidRPr="006069E7">
        <w:t xml:space="preserve"> organisations (5 out of 9 surveyed</w:t>
      </w:r>
      <w:r w:rsidR="00DA061E" w:rsidRPr="006069E7">
        <w:t>)</w:t>
      </w:r>
      <w:r w:rsidR="001A0572" w:rsidRPr="006069E7">
        <w:t xml:space="preserve"> </w:t>
      </w:r>
      <w:r w:rsidR="001A0572">
        <w:t>indicated</w:t>
      </w:r>
      <w:r w:rsidR="001A0572" w:rsidRPr="006069E7">
        <w:t xml:space="preserve"> the change </w:t>
      </w:r>
      <w:r w:rsidR="00911368">
        <w:t>of income assessment model</w:t>
      </w:r>
      <w:r w:rsidR="001A0572" w:rsidRPr="006069E7">
        <w:t xml:space="preserve"> has made the process simpler for social security payment recipients</w:t>
      </w:r>
      <w:r w:rsidR="006234A8">
        <w:t xml:space="preserve"> they work with and represent</w:t>
      </w:r>
      <w:r w:rsidR="001A0572" w:rsidRPr="006069E7">
        <w:t xml:space="preserve">, </w:t>
      </w:r>
      <w:r w:rsidR="00F86EF7">
        <w:t>o</w:t>
      </w:r>
      <w:r w:rsidR="00906E8F">
        <w:t>ne</w:t>
      </w:r>
      <w:r w:rsidR="001A0572" w:rsidRPr="006069E7">
        <w:t xml:space="preserve"> </w:t>
      </w:r>
      <w:r w:rsidR="00447912">
        <w:t xml:space="preserve">organisation indicated </w:t>
      </w:r>
      <w:r w:rsidR="001A0572" w:rsidRPr="006069E7">
        <w:t xml:space="preserve">there was no impact and </w:t>
      </w:r>
      <w:r w:rsidR="00447912">
        <w:t>two organisations indicated</w:t>
      </w:r>
      <w:r w:rsidR="00454B01">
        <w:t xml:space="preserve"> the </w:t>
      </w:r>
      <w:r w:rsidR="001A0572" w:rsidRPr="006069E7">
        <w:t>process</w:t>
      </w:r>
      <w:r w:rsidR="00911368">
        <w:t xml:space="preserve"> was</w:t>
      </w:r>
      <w:r w:rsidR="001A0572" w:rsidRPr="006069E7">
        <w:t xml:space="preserve"> </w:t>
      </w:r>
      <w:r w:rsidR="001A0572" w:rsidRPr="006069E7">
        <w:rPr>
          <w:i/>
          <w:iCs/>
        </w:rPr>
        <w:t>slightly</w:t>
      </w:r>
      <w:r w:rsidR="001A0572" w:rsidRPr="006069E7">
        <w:t xml:space="preserve"> more complex.</w:t>
      </w:r>
      <w:r w:rsidR="00A80810">
        <w:rPr>
          <w:rStyle w:val="FootnoteReference"/>
        </w:rPr>
        <w:footnoteReference w:id="33"/>
      </w:r>
      <w:r w:rsidR="001A0572" w:rsidRPr="006069E7">
        <w:t xml:space="preserve"> This </w:t>
      </w:r>
      <w:r w:rsidR="00CB0629">
        <w:t>feedback</w:t>
      </w:r>
      <w:r w:rsidR="001A0572" w:rsidRPr="006069E7">
        <w:t xml:space="preserve"> aligned to more detailed feedback heard in </w:t>
      </w:r>
      <w:r w:rsidR="00362F0B">
        <w:t>one-on-one discussions with organisations</w:t>
      </w:r>
      <w:r w:rsidR="00BF147D">
        <w:t>, where there were</w:t>
      </w:r>
      <w:r w:rsidR="005D5C9D">
        <w:t xml:space="preserve"> key benefits noted</w:t>
      </w:r>
      <w:r w:rsidR="004B2CF8">
        <w:t xml:space="preserve"> for their members or stakeholders</w:t>
      </w:r>
      <w:r w:rsidR="005D5C9D">
        <w:t xml:space="preserve">, and some challenges </w:t>
      </w:r>
      <w:r w:rsidR="00B51F86">
        <w:t>from the change</w:t>
      </w:r>
      <w:r w:rsidR="00911368">
        <w:t xml:space="preserve"> of income assessment model</w:t>
      </w:r>
      <w:r w:rsidR="00284A55">
        <w:t xml:space="preserve">. </w:t>
      </w:r>
      <w:r w:rsidR="00226B00">
        <w:t>Positive e</w:t>
      </w:r>
      <w:r w:rsidR="00741695">
        <w:t xml:space="preserve">xperiences noted by </w:t>
      </w:r>
      <w:r w:rsidR="007E7EA0">
        <w:t>organisations</w:t>
      </w:r>
      <w:r w:rsidR="00DF64D6">
        <w:t xml:space="preserve"> included:</w:t>
      </w:r>
    </w:p>
    <w:p w14:paraId="441008CC" w14:textId="358561E1" w:rsidR="006D268B" w:rsidRDefault="009341E2" w:rsidP="00EF2E3B">
      <w:pPr>
        <w:pStyle w:val="Bullet1stlevel"/>
      </w:pPr>
      <w:r>
        <w:t>r</w:t>
      </w:r>
      <w:r w:rsidR="00FC15D6">
        <w:t>eporting was less complicated for individuals</w:t>
      </w:r>
      <w:r w:rsidR="00B70D4D">
        <w:t xml:space="preserve">, as it </w:t>
      </w:r>
      <w:r w:rsidR="00724564">
        <w:t>relies on copying income from a payslip, rather than calculation of earned income</w:t>
      </w:r>
      <w:r>
        <w:t>;</w:t>
      </w:r>
    </w:p>
    <w:p w14:paraId="3D03DA19" w14:textId="3FCA8DE1" w:rsidR="00BC6DB7" w:rsidRDefault="009341E2" w:rsidP="00EF2E3B">
      <w:pPr>
        <w:pStyle w:val="Bullet1stlevel"/>
      </w:pPr>
      <w:r>
        <w:t>t</w:t>
      </w:r>
      <w:r w:rsidR="001F0C0B">
        <w:t>here was direct support to</w:t>
      </w:r>
      <w:r w:rsidR="00E07412">
        <w:t xml:space="preserve"> </w:t>
      </w:r>
      <w:r w:rsidR="00B75459">
        <w:t>meet</w:t>
      </w:r>
      <w:r w:rsidR="001F0C0B">
        <w:t xml:space="preserve"> an</w:t>
      </w:r>
      <w:r w:rsidR="00B75459">
        <w:t xml:space="preserve"> individuals’ </w:t>
      </w:r>
      <w:r w:rsidR="00732BB4">
        <w:t>immediate</w:t>
      </w:r>
      <w:r w:rsidR="00B75459">
        <w:t xml:space="preserve"> financial</w:t>
      </w:r>
      <w:r w:rsidR="005E4A50">
        <w:t xml:space="preserve"> </w:t>
      </w:r>
      <w:r w:rsidR="00732BB4">
        <w:t>resource needs</w:t>
      </w:r>
      <w:r>
        <w:t>;</w:t>
      </w:r>
    </w:p>
    <w:p w14:paraId="6C70D433" w14:textId="58B1D5BE" w:rsidR="00732BB4" w:rsidRDefault="009341E2" w:rsidP="00EF2E3B">
      <w:pPr>
        <w:pStyle w:val="Bullet1stlevel"/>
      </w:pPr>
      <w:r>
        <w:t>m</w:t>
      </w:r>
      <w:r w:rsidR="00D128C6">
        <w:t xml:space="preserve">ore streamlined and predictable </w:t>
      </w:r>
      <w:r w:rsidR="001F0C0B">
        <w:t>reporting</w:t>
      </w:r>
      <w:r w:rsidR="00D128C6">
        <w:t xml:space="preserve"> for individuals.</w:t>
      </w:r>
    </w:p>
    <w:p w14:paraId="4EEAF4C6" w14:textId="3A2663ED" w:rsidR="00B40417" w:rsidRDefault="0089374D" w:rsidP="00B40417">
      <w:pPr>
        <w:pStyle w:val="BodyText"/>
      </w:pPr>
      <w:r>
        <w:t xml:space="preserve">One </w:t>
      </w:r>
      <w:r w:rsidR="00572285">
        <w:t>social security legal counsel</w:t>
      </w:r>
      <w:r>
        <w:t xml:space="preserve"> organisation indicated the change </w:t>
      </w:r>
      <w:r w:rsidR="00BF1822">
        <w:t>of income assessment model</w:t>
      </w:r>
      <w:r>
        <w:t xml:space="preserve"> was sensible, logical and </w:t>
      </w:r>
      <w:r w:rsidR="00421082">
        <w:t>preferrable, based on the advice of its members.</w:t>
      </w:r>
      <w:r w:rsidR="00B40417">
        <w:t xml:space="preserve"> </w:t>
      </w:r>
      <w:r w:rsidR="00B40417" w:rsidRPr="006B6479">
        <w:t xml:space="preserve">Despite less favourable feedback </w:t>
      </w:r>
      <w:r w:rsidR="00B40417" w:rsidRPr="006B6479">
        <w:lastRenderedPageBreak/>
        <w:t>from individuals themselves,</w:t>
      </w:r>
      <w:r w:rsidR="00FC3803">
        <w:t xml:space="preserve"> discussed further below,</w:t>
      </w:r>
      <w:r w:rsidR="00B40417" w:rsidRPr="006B6479">
        <w:t xml:space="preserve"> organisations </w:t>
      </w:r>
      <w:r w:rsidR="00FC3803">
        <w:t>typically provided feedback that represented</w:t>
      </w:r>
      <w:r w:rsidR="00B40417" w:rsidRPr="006B6479">
        <w:t xml:space="preserve"> the voice of their members</w:t>
      </w:r>
      <w:r w:rsidR="00FC3803">
        <w:t>.</w:t>
      </w:r>
    </w:p>
    <w:p w14:paraId="72E8A80C" w14:textId="51DED202" w:rsidR="00D60656" w:rsidRPr="002F2D79" w:rsidRDefault="00D60656" w:rsidP="002F2D79">
      <w:pPr>
        <w:pStyle w:val="Quotes"/>
        <w:rPr>
          <w:b w:val="0"/>
          <w:bCs w:val="0"/>
          <w:i/>
          <w:iCs/>
        </w:rPr>
      </w:pPr>
      <w:r w:rsidRPr="003E3145">
        <w:t>Verbatim:</w:t>
      </w:r>
      <w:r w:rsidRPr="00B10EFB">
        <w:t xml:space="preserve"> </w:t>
      </w:r>
      <w:r w:rsidRPr="002F2D79">
        <w:rPr>
          <w:b w:val="0"/>
          <w:bCs w:val="0"/>
        </w:rPr>
        <w:t xml:space="preserve">“Seems more streamlined, sensible and predictable” – </w:t>
      </w:r>
      <w:r w:rsidR="001829CB" w:rsidRPr="002F2D79">
        <w:rPr>
          <w:b w:val="0"/>
          <w:bCs w:val="0"/>
          <w:i/>
          <w:iCs/>
        </w:rPr>
        <w:t xml:space="preserve">Social security </w:t>
      </w:r>
      <w:r w:rsidR="00572285">
        <w:rPr>
          <w:b w:val="0"/>
          <w:bCs w:val="0"/>
          <w:i/>
          <w:iCs/>
        </w:rPr>
        <w:t xml:space="preserve">legal </w:t>
      </w:r>
      <w:r w:rsidR="001829CB" w:rsidRPr="002F2D79">
        <w:rPr>
          <w:b w:val="0"/>
          <w:bCs w:val="0"/>
          <w:i/>
          <w:iCs/>
        </w:rPr>
        <w:t>counsel provider</w:t>
      </w:r>
    </w:p>
    <w:p w14:paraId="0EE1CFC2" w14:textId="77777777" w:rsidR="00D60656" w:rsidRDefault="00D60656" w:rsidP="00431C36">
      <w:pPr>
        <w:pStyle w:val="BodyText1"/>
      </w:pPr>
    </w:p>
    <w:p w14:paraId="0AB0AFD0" w14:textId="70FE4317" w:rsidR="00431C36" w:rsidRPr="00431C36" w:rsidRDefault="00431C36" w:rsidP="002F2D79">
      <w:pPr>
        <w:pStyle w:val="Quotes"/>
        <w:rPr>
          <w:i/>
          <w:iCs/>
        </w:rPr>
      </w:pPr>
      <w:r>
        <w:t>Verbatim</w:t>
      </w:r>
      <w:r w:rsidRPr="00714644">
        <w:t xml:space="preserve">: </w:t>
      </w:r>
      <w:r w:rsidRPr="002F2D79">
        <w:rPr>
          <w:b w:val="0"/>
          <w:bCs w:val="0"/>
        </w:rPr>
        <w:t>“</w:t>
      </w:r>
      <w:r w:rsidR="00BB62A4" w:rsidRPr="002F2D79">
        <w:rPr>
          <w:b w:val="0"/>
          <w:bCs w:val="0"/>
        </w:rPr>
        <w:t>M</w:t>
      </w:r>
      <w:r w:rsidRPr="002F2D79">
        <w:rPr>
          <w:b w:val="0"/>
          <w:bCs w:val="0"/>
        </w:rPr>
        <w:t xml:space="preserve">embers advise that although the Paid Income Model is preferable to the previous assessment of employment income when earned rather than when received, there are teething issues which are still emerging.” – </w:t>
      </w:r>
      <w:r w:rsidR="001829CB" w:rsidRPr="002F2D79">
        <w:rPr>
          <w:b w:val="0"/>
          <w:bCs w:val="0"/>
          <w:i/>
          <w:iCs/>
        </w:rPr>
        <w:t>Social security</w:t>
      </w:r>
      <w:r w:rsidR="00572285">
        <w:rPr>
          <w:b w:val="0"/>
          <w:bCs w:val="0"/>
          <w:i/>
          <w:iCs/>
        </w:rPr>
        <w:t xml:space="preserve"> legal</w:t>
      </w:r>
      <w:r w:rsidR="001829CB" w:rsidRPr="002F2D79">
        <w:rPr>
          <w:b w:val="0"/>
          <w:bCs w:val="0"/>
          <w:i/>
          <w:iCs/>
        </w:rPr>
        <w:t xml:space="preserve"> counsel provider</w:t>
      </w:r>
    </w:p>
    <w:p w14:paraId="2979A11D" w14:textId="77777777" w:rsidR="00431C36" w:rsidRPr="00714644" w:rsidRDefault="00431C36" w:rsidP="00431C36">
      <w:pPr>
        <w:pStyle w:val="BodyText1"/>
      </w:pPr>
    </w:p>
    <w:p w14:paraId="3755818D" w14:textId="7A9DAE3D" w:rsidR="00431C36" w:rsidRPr="00E26B1E" w:rsidRDefault="00E26B1E" w:rsidP="002F2D79">
      <w:pPr>
        <w:pStyle w:val="Quotes"/>
        <w:rPr>
          <w:i/>
          <w:iCs/>
        </w:rPr>
      </w:pPr>
      <w:r>
        <w:t>Verbatim</w:t>
      </w:r>
      <w:r w:rsidR="00431C36" w:rsidRPr="00714644">
        <w:t xml:space="preserve">: </w:t>
      </w:r>
      <w:r w:rsidR="00431C36" w:rsidRPr="002F2D79">
        <w:rPr>
          <w:b w:val="0"/>
          <w:bCs w:val="0"/>
        </w:rPr>
        <w:t>“The objective of [transfer payments] is a function of the immediate financial resources available to the individual. Paid reporting is directly supportive of this objective where earned reporting is not.”</w:t>
      </w:r>
      <w:r w:rsidRPr="002F2D79">
        <w:rPr>
          <w:b w:val="0"/>
          <w:bCs w:val="0"/>
        </w:rPr>
        <w:t xml:space="preserve"> – </w:t>
      </w:r>
      <w:r w:rsidR="001829CB" w:rsidRPr="002F2D79">
        <w:rPr>
          <w:b w:val="0"/>
          <w:bCs w:val="0"/>
          <w:i/>
          <w:iCs/>
        </w:rPr>
        <w:t>Peak / leadership body</w:t>
      </w:r>
    </w:p>
    <w:p w14:paraId="31E116E3" w14:textId="7B4ED1F1" w:rsidR="00B51F86" w:rsidRDefault="008A1EC9" w:rsidP="00900004">
      <w:pPr>
        <w:pStyle w:val="BodyText1"/>
        <w:spacing w:before="60" w:after="60"/>
      </w:pPr>
      <w:r>
        <w:t>Aspects of the change</w:t>
      </w:r>
      <w:r w:rsidR="00C15822">
        <w:t xml:space="preserve"> </w:t>
      </w:r>
      <w:r w:rsidR="001D7B74">
        <w:t>of income assessment model</w:t>
      </w:r>
      <w:r w:rsidR="00C15822">
        <w:t xml:space="preserve"> raised by organisations as </w:t>
      </w:r>
      <w:r w:rsidR="00B764DC">
        <w:t>potentially challenging included</w:t>
      </w:r>
      <w:r w:rsidR="00B51F86">
        <w:t>:</w:t>
      </w:r>
    </w:p>
    <w:p w14:paraId="663455DB" w14:textId="3961AE2B" w:rsidR="00B51F86" w:rsidRPr="00135171" w:rsidRDefault="00DC55F5" w:rsidP="00135171">
      <w:pPr>
        <w:pStyle w:val="Bullet1stlevel"/>
      </w:pPr>
      <w:r>
        <w:t>d</w:t>
      </w:r>
      <w:r w:rsidR="00B764DC">
        <w:t xml:space="preserve">ifficulties </w:t>
      </w:r>
      <w:r w:rsidR="00B764DC" w:rsidRPr="00135171">
        <w:t>for individuals who are unable to secure payslips from their employer</w:t>
      </w:r>
      <w:r w:rsidR="00F31B9A" w:rsidRPr="00135171">
        <w:t xml:space="preserve"> to support reporting</w:t>
      </w:r>
      <w:r>
        <w:t>;</w:t>
      </w:r>
    </w:p>
    <w:p w14:paraId="02258E77" w14:textId="7B602619" w:rsidR="00C50282" w:rsidRDefault="00DC55F5" w:rsidP="00135171">
      <w:pPr>
        <w:pStyle w:val="Bullet1stlevel"/>
      </w:pPr>
      <w:r>
        <w:t>s</w:t>
      </w:r>
      <w:r w:rsidR="00B764DC" w:rsidRPr="00135171">
        <w:t>ome anxiety</w:t>
      </w:r>
      <w:r w:rsidR="00B51F86" w:rsidRPr="00135171">
        <w:t xml:space="preserve"> for individuals</w:t>
      </w:r>
      <w:r w:rsidR="00B764DC" w:rsidRPr="00135171">
        <w:t xml:space="preserve"> regarding </w:t>
      </w:r>
      <w:r w:rsidR="00D1087A" w:rsidRPr="00135171">
        <w:t xml:space="preserve">whether the change </w:t>
      </w:r>
      <w:r w:rsidR="001D7B74" w:rsidRPr="00135171">
        <w:t>of income assessment model</w:t>
      </w:r>
      <w:r w:rsidR="00D1087A" w:rsidRPr="00135171">
        <w:t xml:space="preserve"> would result in</w:t>
      </w:r>
      <w:r w:rsidR="00D1087A">
        <w:t xml:space="preserve"> a payment debt, as </w:t>
      </w:r>
      <w:r w:rsidR="00473589">
        <w:t xml:space="preserve">the </w:t>
      </w:r>
      <w:r w:rsidR="00473589" w:rsidRPr="00407FC4">
        <w:t>implications</w:t>
      </w:r>
      <w:r w:rsidR="00473589">
        <w:t xml:space="preserve"> </w:t>
      </w:r>
      <w:r w:rsidR="00C50282">
        <w:t>were unfamiliar to individuals</w:t>
      </w:r>
      <w:r w:rsidR="000461F9">
        <w:t xml:space="preserve">. This was indicated as </w:t>
      </w:r>
      <w:r w:rsidR="0072045C">
        <w:t xml:space="preserve">being more common for some individuals, </w:t>
      </w:r>
      <w:r w:rsidR="005B5622">
        <w:t>for example,</w:t>
      </w:r>
      <w:r w:rsidR="0072045C">
        <w:t xml:space="preserve"> those receiving the </w:t>
      </w:r>
      <w:r w:rsidR="00D52316">
        <w:t xml:space="preserve">Farm Household Allowance </w:t>
      </w:r>
      <w:r w:rsidR="005B5622">
        <w:t xml:space="preserve">as </w:t>
      </w:r>
      <w:r w:rsidR="00536502">
        <w:t xml:space="preserve">this group of social security </w:t>
      </w:r>
      <w:r w:rsidR="003D2038">
        <w:t xml:space="preserve">payment </w:t>
      </w:r>
      <w:r w:rsidR="00536502">
        <w:t>recipients may be hypersensitive to debt</w:t>
      </w:r>
      <w:r w:rsidR="00196D9B">
        <w:rPr>
          <w:rStyle w:val="FootnoteReference"/>
        </w:rPr>
        <w:footnoteReference w:id="34"/>
      </w:r>
      <w:r w:rsidR="00536502">
        <w:t xml:space="preserve">. </w:t>
      </w:r>
    </w:p>
    <w:p w14:paraId="7AF62BD5" w14:textId="13580610" w:rsidR="000A569D" w:rsidRPr="00B10EFB" w:rsidRDefault="000A569D" w:rsidP="002F2D79">
      <w:pPr>
        <w:pStyle w:val="Quotes"/>
        <w:rPr>
          <w:i/>
          <w:iCs/>
        </w:rPr>
      </w:pPr>
      <w:r w:rsidRPr="003E3145">
        <w:t>Verbatim:</w:t>
      </w:r>
      <w:r w:rsidRPr="006069E7">
        <w:t xml:space="preserve"> </w:t>
      </w:r>
      <w:r w:rsidRPr="002F2D79">
        <w:rPr>
          <w:b w:val="0"/>
          <w:bCs w:val="0"/>
        </w:rPr>
        <w:t xml:space="preserve">“It is definitely not simpler but not drastically more complex either.” </w:t>
      </w:r>
      <w:r w:rsidR="001829CB" w:rsidRPr="002F2D79">
        <w:rPr>
          <w:b w:val="0"/>
          <w:bCs w:val="0"/>
        </w:rPr>
        <w:t>–</w:t>
      </w:r>
      <w:r w:rsidR="00BD2C5C" w:rsidRPr="002F2D79">
        <w:rPr>
          <w:b w:val="0"/>
          <w:bCs w:val="0"/>
        </w:rPr>
        <w:t xml:space="preserve"> </w:t>
      </w:r>
      <w:r w:rsidR="00F1214A">
        <w:rPr>
          <w:b w:val="0"/>
          <w:bCs w:val="0"/>
          <w:i/>
          <w:iCs/>
        </w:rPr>
        <w:t>Employment services provider</w:t>
      </w:r>
    </w:p>
    <w:p w14:paraId="50FC882F" w14:textId="77777777" w:rsidR="000A569D" w:rsidRPr="000A569D" w:rsidRDefault="000A569D" w:rsidP="000A569D">
      <w:pPr>
        <w:pStyle w:val="BodyText1"/>
      </w:pPr>
    </w:p>
    <w:p w14:paraId="240D1849" w14:textId="01B15781" w:rsidR="00DB0F39" w:rsidRDefault="000A569D" w:rsidP="002F2D79">
      <w:pPr>
        <w:pStyle w:val="Quotes"/>
      </w:pPr>
      <w:r>
        <w:t>Verbatim</w:t>
      </w:r>
      <w:r w:rsidRPr="006069E7">
        <w:t xml:space="preserve">: </w:t>
      </w:r>
      <w:r w:rsidRPr="002F2D79">
        <w:rPr>
          <w:b w:val="0"/>
          <w:bCs w:val="0"/>
        </w:rPr>
        <w:t xml:space="preserve">“All of the counsellors I spoke to said even though there is some clear communication and people know what they had to do, they all had a fear of reconciliation process at the end of the year there’d be a debt.” </w:t>
      </w:r>
      <w:r w:rsidRPr="002F2D79">
        <w:rPr>
          <w:b w:val="0"/>
          <w:bCs w:val="0"/>
          <w:i/>
          <w:iCs/>
        </w:rPr>
        <w:t xml:space="preserve">–  </w:t>
      </w:r>
      <w:r w:rsidR="00A92F48" w:rsidRPr="002F2D79">
        <w:rPr>
          <w:b w:val="0"/>
          <w:bCs w:val="0"/>
          <w:i/>
          <w:iCs/>
        </w:rPr>
        <w:t>Charitable / not for profit organisation</w:t>
      </w:r>
    </w:p>
    <w:p w14:paraId="6E586AC2" w14:textId="77777777" w:rsidR="007E37E6" w:rsidRDefault="007E37E6" w:rsidP="00CB0629">
      <w:pPr>
        <w:pStyle w:val="BodyText1"/>
      </w:pPr>
    </w:p>
    <w:p w14:paraId="623A4487" w14:textId="057E5EB6" w:rsidR="00506C40" w:rsidRDefault="00087140" w:rsidP="00CB0629">
      <w:pPr>
        <w:pStyle w:val="BodyText1"/>
      </w:pPr>
      <w:r>
        <w:t>T</w:t>
      </w:r>
      <w:r w:rsidR="00E8086D">
        <w:t xml:space="preserve">here was also recognition </w:t>
      </w:r>
      <w:r w:rsidR="002D16E1">
        <w:t xml:space="preserve">from </w:t>
      </w:r>
      <w:r w:rsidR="00E61109">
        <w:t xml:space="preserve">a </w:t>
      </w:r>
      <w:r w:rsidR="002D16E1">
        <w:t>social security</w:t>
      </w:r>
      <w:r w:rsidR="00014EC0">
        <w:t xml:space="preserve"> </w:t>
      </w:r>
      <w:r w:rsidR="00F75F28">
        <w:t>expert organisation that the surrounding circumstances of the last two years, including</w:t>
      </w:r>
      <w:r w:rsidR="00D43CA2">
        <w:t xml:space="preserve"> impacts of COVID-19 and other changes to </w:t>
      </w:r>
      <w:r w:rsidR="007E2516">
        <w:t xml:space="preserve">social security </w:t>
      </w:r>
      <w:r w:rsidR="004D039B">
        <w:t>payment processes</w:t>
      </w:r>
      <w:r w:rsidR="00E61109">
        <w:t xml:space="preserve"> may impact perceptions of the change</w:t>
      </w:r>
      <w:r w:rsidR="008614B3">
        <w:t xml:space="preserve"> of income assessment model</w:t>
      </w:r>
      <w:r w:rsidR="00E61109">
        <w:t>.</w:t>
      </w:r>
      <w:r w:rsidR="00FC632A">
        <w:t xml:space="preserve"> </w:t>
      </w:r>
    </w:p>
    <w:p w14:paraId="2D0A459B" w14:textId="7288127C" w:rsidR="00E8086D" w:rsidRPr="003E3145" w:rsidRDefault="00E8086D" w:rsidP="002F2D79">
      <w:pPr>
        <w:pStyle w:val="Quotes"/>
      </w:pPr>
      <w:r w:rsidRPr="003E3145">
        <w:t xml:space="preserve">Verbatim: </w:t>
      </w:r>
      <w:r w:rsidRPr="002F2D79">
        <w:rPr>
          <w:b w:val="0"/>
          <w:bCs w:val="0"/>
        </w:rPr>
        <w:t xml:space="preserve">“The changes in the circumstances that people have faced in last few years are unprecedented. It might be worthwhile bearing that in mind if people have a negative reaction to the change – so many other things that have happened that could interact with the change…” </w:t>
      </w:r>
      <w:r w:rsidR="00054D08" w:rsidRPr="002F2D79">
        <w:rPr>
          <w:b w:val="0"/>
          <w:bCs w:val="0"/>
          <w:i/>
          <w:iCs/>
        </w:rPr>
        <w:t>–</w:t>
      </w:r>
      <w:r w:rsidRPr="002F2D79">
        <w:rPr>
          <w:b w:val="0"/>
          <w:bCs w:val="0"/>
          <w:i/>
          <w:iCs/>
        </w:rPr>
        <w:t xml:space="preserve"> </w:t>
      </w:r>
      <w:r w:rsidR="00A92F48" w:rsidRPr="002F2D79">
        <w:rPr>
          <w:b w:val="0"/>
          <w:bCs w:val="0"/>
          <w:i/>
          <w:iCs/>
        </w:rPr>
        <w:t>Expert body with relevant expertise in public policy</w:t>
      </w:r>
    </w:p>
    <w:p w14:paraId="1E6725E0" w14:textId="2355D5C6" w:rsidR="00DC45AB" w:rsidRDefault="00DC45AB" w:rsidP="00DC45AB">
      <w:pPr>
        <w:pStyle w:val="BodyText1"/>
      </w:pPr>
      <w:r>
        <w:t>While these qualitative insights were important examples of experiences since the change</w:t>
      </w:r>
      <w:r w:rsidR="00D671CA">
        <w:t xml:space="preserve"> of income assessment model</w:t>
      </w:r>
      <w:r>
        <w:t xml:space="preserve">, Economic Justice Australia highlighted the need for ongoing monitoring of the number of debts incurred by social security payment recipients, and the characteristics of </w:t>
      </w:r>
      <w:r w:rsidR="00CD7B37">
        <w:t xml:space="preserve">social security payment </w:t>
      </w:r>
      <w:r>
        <w:t>recipients incurring debt to better understand any reduction in the number of debts, and broader economic benefits from the change</w:t>
      </w:r>
      <w:r w:rsidR="006C2494">
        <w:t xml:space="preserve"> of income assessment model</w:t>
      </w:r>
      <w:r>
        <w:t>.</w:t>
      </w:r>
    </w:p>
    <w:p w14:paraId="1FB22EFB" w14:textId="45C7141A" w:rsidR="00572631" w:rsidRDefault="00572631" w:rsidP="00572631">
      <w:pPr>
        <w:pStyle w:val="Heading5"/>
      </w:pPr>
      <w:r>
        <w:t>Experience of individuals</w:t>
      </w:r>
    </w:p>
    <w:p w14:paraId="6F83571A" w14:textId="4FD65E41" w:rsidR="00F11EAC" w:rsidRDefault="007F7483" w:rsidP="00F11EAC">
      <w:pPr>
        <w:pStyle w:val="BodyText1"/>
      </w:pPr>
      <w:r>
        <w:t>The</w:t>
      </w:r>
      <w:r w:rsidR="002D2B33">
        <w:t xml:space="preserve"> sentiment </w:t>
      </w:r>
      <w:r>
        <w:t>from</w:t>
      </w:r>
      <w:r w:rsidR="00732361">
        <w:t xml:space="preserve"> the small number of</w:t>
      </w:r>
      <w:r w:rsidR="002D2B33">
        <w:t xml:space="preserve"> individual social security payment recipients</w:t>
      </w:r>
      <w:r w:rsidR="00200D37">
        <w:t xml:space="preserve"> </w:t>
      </w:r>
      <w:r w:rsidR="009D1599">
        <w:t>who responded</w:t>
      </w:r>
      <w:r w:rsidR="00200D37">
        <w:t xml:space="preserve"> to the survey</w:t>
      </w:r>
      <w:r>
        <w:t xml:space="preserve"> regarding</w:t>
      </w:r>
      <w:r w:rsidR="0006677E">
        <w:t xml:space="preserve"> the change </w:t>
      </w:r>
      <w:r w:rsidR="007B5C2A">
        <w:t>of income assessment model</w:t>
      </w:r>
      <w:r w:rsidR="0006677E">
        <w:t xml:space="preserve"> was more mixed than f</w:t>
      </w:r>
      <w:r w:rsidR="003B0942">
        <w:t>rom</w:t>
      </w:r>
      <w:r w:rsidR="0006677E">
        <w:t xml:space="preserve"> organisations</w:t>
      </w:r>
      <w:r w:rsidR="002D2B33">
        <w:t xml:space="preserve">. </w:t>
      </w:r>
      <w:r w:rsidR="00F22947">
        <w:t>Less than half</w:t>
      </w:r>
      <w:r w:rsidR="00F11EAC">
        <w:t xml:space="preserve"> of </w:t>
      </w:r>
      <w:r w:rsidR="00AD3109">
        <w:t xml:space="preserve">individuals </w:t>
      </w:r>
      <w:r w:rsidR="00A9443E">
        <w:t xml:space="preserve">who responded </w:t>
      </w:r>
      <w:r w:rsidR="00AD3109">
        <w:t>indicated that</w:t>
      </w:r>
      <w:r w:rsidR="00420B4F">
        <w:t>,</w:t>
      </w:r>
      <w:r w:rsidR="00AD3109">
        <w:t xml:space="preserve"> compared to this time two years</w:t>
      </w:r>
      <w:r w:rsidR="0006677E">
        <w:t xml:space="preserve"> ago</w:t>
      </w:r>
      <w:r w:rsidR="00AD3109">
        <w:t xml:space="preserve">, </w:t>
      </w:r>
      <w:r w:rsidR="00C11280">
        <w:t>their experience with reporting income had worsened</w:t>
      </w:r>
      <w:r w:rsidR="006C6645">
        <w:t xml:space="preserve">, while some others </w:t>
      </w:r>
      <w:r w:rsidR="00C11280">
        <w:t xml:space="preserve">indicated their experience had </w:t>
      </w:r>
      <w:r w:rsidR="00C11280">
        <w:lastRenderedPageBreak/>
        <w:t>improved.</w:t>
      </w:r>
      <w:r w:rsidR="00E33AAA" w:rsidRPr="001C2486">
        <w:rPr>
          <w:rStyle w:val="FootnoteReference"/>
        </w:rPr>
        <w:footnoteReference w:id="35"/>
      </w:r>
      <w:r w:rsidR="00C11280">
        <w:t xml:space="preserve"> </w:t>
      </w:r>
      <w:r w:rsidR="009C6974">
        <w:t>Similarly,</w:t>
      </w:r>
      <w:r w:rsidR="00281D6B">
        <w:t xml:space="preserve"> there were mixed views </w:t>
      </w:r>
      <w:r w:rsidR="007757BF">
        <w:t xml:space="preserve">among individuals on whether the change of income assessment model </w:t>
      </w:r>
      <w:r w:rsidR="00420B4F">
        <w:t xml:space="preserve">had </w:t>
      </w:r>
      <w:r w:rsidR="007757BF">
        <w:t xml:space="preserve">made the process simpler; approximately </w:t>
      </w:r>
      <w:r w:rsidR="00C84B93">
        <w:t xml:space="preserve">half indicated it had made the process simpler or had no impact, with the </w:t>
      </w:r>
      <w:r w:rsidR="007F37BE">
        <w:t>remainder</w:t>
      </w:r>
      <w:r w:rsidR="00C84B93">
        <w:t xml:space="preserve"> indicating it had made the process more </w:t>
      </w:r>
      <w:r w:rsidR="007F37BE">
        <w:t>comple</w:t>
      </w:r>
      <w:r w:rsidR="009C6974" w:rsidRPr="006069E7">
        <w:t>x.</w:t>
      </w:r>
      <w:r w:rsidR="00E33AAA">
        <w:rPr>
          <w:rStyle w:val="FootnoteReference"/>
        </w:rPr>
        <w:footnoteReference w:id="36"/>
      </w:r>
      <w:r w:rsidR="00D71382">
        <w:t xml:space="preserve"> </w:t>
      </w:r>
    </w:p>
    <w:p w14:paraId="5E21BF64" w14:textId="2734B18F" w:rsidR="003B18D4" w:rsidRDefault="003B18D4" w:rsidP="00F11EAC">
      <w:pPr>
        <w:pStyle w:val="BodyText1"/>
      </w:pPr>
      <w:r w:rsidRPr="00205C81">
        <w:t xml:space="preserve">As acknowledged </w:t>
      </w:r>
      <w:r>
        <w:t>above,</w:t>
      </w:r>
      <w:r w:rsidRPr="00205C81">
        <w:t xml:space="preserve"> </w:t>
      </w:r>
      <w:r w:rsidRPr="002A05DA">
        <w:t xml:space="preserve">Services Australia had </w:t>
      </w:r>
      <w:r w:rsidRPr="00205C81">
        <w:t xml:space="preserve">a </w:t>
      </w:r>
      <w:r w:rsidRPr="002A05DA">
        <w:t xml:space="preserve">communications plan targeting different </w:t>
      </w:r>
      <w:r>
        <w:t xml:space="preserve">cohorts via paid and </w:t>
      </w:r>
      <w:r w:rsidRPr="002A05DA">
        <w:t xml:space="preserve">unpaid channels to </w:t>
      </w:r>
      <w:r>
        <w:t>promote awareness of the change of income assessment model.</w:t>
      </w:r>
      <w:r w:rsidR="00B61400">
        <w:t xml:space="preserve"> </w:t>
      </w:r>
      <w:r w:rsidRPr="003763E2">
        <w:t xml:space="preserve">Services Australia </w:t>
      </w:r>
      <w:r w:rsidR="00B61400">
        <w:t xml:space="preserve">advised this review that </w:t>
      </w:r>
      <w:r>
        <w:t>they were</w:t>
      </w:r>
      <w:r w:rsidRPr="003763E2">
        <w:t xml:space="preserve"> aware of existing ‘change weariness’ among customers due to the first six months of 2020 being change-heavy</w:t>
      </w:r>
      <w:r>
        <w:t xml:space="preserve">. </w:t>
      </w:r>
      <w:r w:rsidR="00FD0A04">
        <w:t xml:space="preserve">Validating this </w:t>
      </w:r>
      <w:r w:rsidR="00BE289C">
        <w:t>p</w:t>
      </w:r>
      <w:r>
        <w:t xml:space="preserve">otential </w:t>
      </w:r>
      <w:r w:rsidR="00CB56B0">
        <w:t>change weariness,</w:t>
      </w:r>
      <w:r>
        <w:t xml:space="preserve"> </w:t>
      </w:r>
      <w:r w:rsidR="00793B4C">
        <w:t xml:space="preserve">less than half of </w:t>
      </w:r>
      <w:r w:rsidR="00D56D48">
        <w:t>individuals</w:t>
      </w:r>
      <w:r w:rsidR="00793B4C">
        <w:t xml:space="preserve"> who </w:t>
      </w:r>
      <w:r w:rsidR="00D56D48">
        <w:t>claimed that their experience with reporting income had worsened identified a reason directly related to the change of income assessment model</w:t>
      </w:r>
      <w:r>
        <w:t>.</w:t>
      </w:r>
      <w:r w:rsidR="00F65FF0">
        <w:rPr>
          <w:rStyle w:val="FootnoteReference"/>
        </w:rPr>
        <w:footnoteReference w:id="37"/>
      </w:r>
    </w:p>
    <w:p w14:paraId="18AE7BB8" w14:textId="557E55BB" w:rsidR="00506C40" w:rsidRPr="006115D1" w:rsidRDefault="00F11EAC" w:rsidP="00506C40">
      <w:pPr>
        <w:pStyle w:val="BodyText1"/>
      </w:pPr>
      <w:r>
        <w:t>I</w:t>
      </w:r>
      <w:r w:rsidR="00506C40" w:rsidRPr="00B01D2C">
        <w:t xml:space="preserve">ndividuals who </w:t>
      </w:r>
      <w:r w:rsidR="00117237">
        <w:t>indicated</w:t>
      </w:r>
      <w:r w:rsidR="00117237" w:rsidRPr="00B01D2C">
        <w:t xml:space="preserve"> </w:t>
      </w:r>
      <w:r w:rsidR="00506C40" w:rsidRPr="00B01D2C">
        <w:t>the process ha</w:t>
      </w:r>
      <w:r w:rsidR="00117237">
        <w:t>d</w:t>
      </w:r>
      <w:r w:rsidR="00506C40" w:rsidRPr="00B01D2C">
        <w:t xml:space="preserve"> improved state</w:t>
      </w:r>
      <w:r w:rsidR="00506C40">
        <w:t>d</w:t>
      </w:r>
      <w:r w:rsidR="00506C40" w:rsidRPr="00B01D2C">
        <w:t xml:space="preserve"> that the process is now easier and simpler to calculate </w:t>
      </w:r>
      <w:r w:rsidR="00506C40">
        <w:t>paid income compared to earned income</w:t>
      </w:r>
      <w:r w:rsidR="006049D8">
        <w:t>.</w:t>
      </w:r>
      <w:r w:rsidR="006049D8" w:rsidRPr="00536120">
        <w:rPr>
          <w:rStyle w:val="FootnoteReference"/>
        </w:rPr>
        <w:t xml:space="preserve"> </w:t>
      </w:r>
      <w:r w:rsidR="006049D8">
        <w:t>This included recognition that</w:t>
      </w:r>
      <w:r w:rsidR="00506C40" w:rsidRPr="006115D1">
        <w:t xml:space="preserve"> information can be taken directly from payslips paid in the reporting period and there is no calculation required</w:t>
      </w:r>
      <w:r w:rsidR="00506C40">
        <w:t xml:space="preserve">. </w:t>
      </w:r>
    </w:p>
    <w:p w14:paraId="2A5B87AF" w14:textId="759D9206" w:rsidR="00CE1BAB" w:rsidRDefault="00506C40" w:rsidP="00506C40">
      <w:pPr>
        <w:pStyle w:val="BodyText1"/>
      </w:pPr>
      <w:r>
        <w:t>I</w:t>
      </w:r>
      <w:r w:rsidRPr="00B01D2C">
        <w:t xml:space="preserve">ndividuals who </w:t>
      </w:r>
      <w:r>
        <w:t>indicated</w:t>
      </w:r>
      <w:r w:rsidRPr="00B01D2C">
        <w:t xml:space="preserve"> </w:t>
      </w:r>
      <w:r>
        <w:t>the process ha</w:t>
      </w:r>
      <w:r w:rsidR="00422376">
        <w:t>d</w:t>
      </w:r>
      <w:r>
        <w:t xml:space="preserve"> worsened in the last two years</w:t>
      </w:r>
      <w:r w:rsidRPr="00B01D2C">
        <w:t xml:space="preserve"> </w:t>
      </w:r>
      <w:r w:rsidR="002C1891">
        <w:t>typically attributed</w:t>
      </w:r>
      <w:r w:rsidR="002C1891" w:rsidRPr="00B01D2C">
        <w:t xml:space="preserve"> </w:t>
      </w:r>
      <w:r w:rsidRPr="00B01D2C">
        <w:t xml:space="preserve">the difference </w:t>
      </w:r>
      <w:r w:rsidR="00134641">
        <w:t xml:space="preserve">to how their pay </w:t>
      </w:r>
      <w:r w:rsidR="002C3599">
        <w:t xml:space="preserve">date </w:t>
      </w:r>
      <w:r w:rsidR="005867FB">
        <w:t>did or did not align with the individual’s Centrelink reporting date</w:t>
      </w:r>
      <w:r w:rsidR="00486111">
        <w:t>,</w:t>
      </w:r>
      <w:r w:rsidRPr="00B01D2C">
        <w:t xml:space="preserve"> and </w:t>
      </w:r>
      <w:r w:rsidR="00486111">
        <w:t>in their view, this created</w:t>
      </w:r>
      <w:r w:rsidRPr="00B01D2C">
        <w:t xml:space="preserve"> additional effort </w:t>
      </w:r>
      <w:r w:rsidR="00486111">
        <w:t xml:space="preserve">to calculate their income </w:t>
      </w:r>
      <w:r w:rsidRPr="00B01D2C">
        <w:t>and report</w:t>
      </w:r>
      <w:r w:rsidR="00486111">
        <w:t xml:space="preserve"> it.</w:t>
      </w:r>
      <w:r w:rsidR="00E9442E">
        <w:t xml:space="preserve"> </w:t>
      </w:r>
      <w:r w:rsidRPr="006115D1">
        <w:t xml:space="preserve">Two individuals </w:t>
      </w:r>
      <w:r>
        <w:t>indicated</w:t>
      </w:r>
      <w:r w:rsidRPr="006115D1">
        <w:t xml:space="preserve"> it was much easier to calculate their earned income (by multiplying hours worked in the fortnight with pay rate) </w:t>
      </w:r>
      <w:r>
        <w:t>compared to reporting</w:t>
      </w:r>
      <w:r w:rsidRPr="006115D1">
        <w:t xml:space="preserve"> paid income, as they are unsure how to report when their pay period is different to the reporting period. </w:t>
      </w:r>
    </w:p>
    <w:p w14:paraId="6AA6F40D" w14:textId="7A47AA41" w:rsidR="00506C40" w:rsidRPr="006115D1" w:rsidRDefault="00506C40" w:rsidP="00506C40">
      <w:pPr>
        <w:pStyle w:val="BodyText1"/>
      </w:pPr>
      <w:r w:rsidRPr="006115D1">
        <w:t>Two</w:t>
      </w:r>
      <w:r w:rsidR="00803D5F">
        <w:t xml:space="preserve"> other</w:t>
      </w:r>
      <w:r w:rsidRPr="006115D1">
        <w:t xml:space="preserve"> individuals </w:t>
      </w:r>
      <w:r w:rsidR="00AA5406">
        <w:t xml:space="preserve">also </w:t>
      </w:r>
      <w:r w:rsidRPr="006115D1">
        <w:t>noted that if they are paid earnings after having reported their income, there is a need to correct the report after submission</w:t>
      </w:r>
      <w:r w:rsidR="00A723DA">
        <w:t>, which required</w:t>
      </w:r>
      <w:r>
        <w:t xml:space="preserve"> additional effort.</w:t>
      </w:r>
      <w:r w:rsidRPr="00006D44">
        <w:rPr>
          <w:rStyle w:val="FootnoteReference"/>
        </w:rPr>
        <w:t xml:space="preserve"> </w:t>
      </w:r>
      <w:r w:rsidR="00006D44">
        <w:rPr>
          <w:rStyle w:val="FootnoteReference"/>
        </w:rPr>
        <w:footnoteReference w:id="38"/>
      </w:r>
      <w:r w:rsidR="00006D44">
        <w:t xml:space="preserve"> </w:t>
      </w:r>
      <w:r w:rsidR="00536120">
        <w:t xml:space="preserve"> </w:t>
      </w:r>
    </w:p>
    <w:p w14:paraId="62C447A5" w14:textId="63C5D426" w:rsidR="006A53E4" w:rsidRPr="001C2486" w:rsidRDefault="006A53E4" w:rsidP="006A53E4">
      <w:pPr>
        <w:pStyle w:val="Caption"/>
        <w:rPr>
          <w:color w:val="auto"/>
        </w:rPr>
      </w:pPr>
      <w:r w:rsidRPr="001C2486">
        <w:rPr>
          <w:color w:val="auto"/>
        </w:rPr>
        <w:t xml:space="preserve">Figure </w:t>
      </w:r>
      <w:r w:rsidRPr="001C2486">
        <w:rPr>
          <w:color w:val="auto"/>
        </w:rPr>
        <w:fldChar w:fldCharType="begin"/>
      </w:r>
      <w:r w:rsidRPr="001C2486">
        <w:rPr>
          <w:color w:val="auto"/>
        </w:rPr>
        <w:instrText xml:space="preserve"> SEQ Figure \* ARABIC </w:instrText>
      </w:r>
      <w:r w:rsidRPr="001C2486">
        <w:rPr>
          <w:color w:val="auto"/>
        </w:rPr>
        <w:fldChar w:fldCharType="separate"/>
      </w:r>
      <w:r>
        <w:rPr>
          <w:noProof/>
          <w:color w:val="auto"/>
        </w:rPr>
        <w:t>5</w:t>
      </w:r>
      <w:r w:rsidRPr="001C2486">
        <w:rPr>
          <w:color w:val="auto"/>
        </w:rPr>
        <w:fldChar w:fldCharType="end"/>
      </w:r>
      <w:r w:rsidRPr="001C2486">
        <w:rPr>
          <w:color w:val="auto"/>
        </w:rPr>
        <w:t>: Perception that employment income reporting process has changed in last two years</w:t>
      </w:r>
      <w:r w:rsidR="00746293">
        <w:rPr>
          <w:color w:val="auto"/>
        </w:rPr>
        <w:t xml:space="preserve"> (</w:t>
      </w:r>
      <w:r w:rsidR="004A12DD">
        <w:rPr>
          <w:color w:val="auto"/>
        </w:rPr>
        <w:t>n=44)</w:t>
      </w:r>
      <w:r w:rsidRPr="001C2486">
        <w:rPr>
          <w:rStyle w:val="FootnoteReference"/>
          <w:color w:val="auto"/>
        </w:rPr>
        <w:footnoteReference w:id="39"/>
      </w:r>
      <w:r w:rsidRPr="001C2486">
        <w:rPr>
          <w:noProof/>
          <w:color w:val="auto"/>
          <w:lang w:eastAsia="en-AU"/>
        </w:rPr>
        <w:drawing>
          <wp:inline distT="0" distB="0" distL="0" distR="0" wp14:anchorId="390165D2" wp14:editId="134B8842">
            <wp:extent cx="5737860" cy="1177925"/>
            <wp:effectExtent l="0" t="0" r="15240" b="3175"/>
            <wp:docPr id="19" name="Chart 19" descr="Figure 5 is a stacked bar chart that shows to what extent individuals perceive their experience with the employment income reporting process has changed compared to this time two years ago (at the beginning of 2020). Of individuals surveyed, 25% say it has significantly worsened, 18% say it has somewhat worsened, 27% say there has been no change, 20% say it has somewhat improved and 9% say it has significantly improved.">
              <a:extLst xmlns:a="http://schemas.openxmlformats.org/drawingml/2006/main">
                <a:ext uri="{FF2B5EF4-FFF2-40B4-BE49-F238E27FC236}">
                  <a16:creationId xmlns:a16="http://schemas.microsoft.com/office/drawing/2014/main" id="{865F70C6-CF28-4888-8D6E-4C591F735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426035" w14:textId="77777777" w:rsidR="00506C40" w:rsidRDefault="00506C40" w:rsidP="00506C40"/>
    <w:p w14:paraId="3334395E" w14:textId="747CFB25" w:rsidR="00A723DA" w:rsidRDefault="00A723DA" w:rsidP="002F2D79">
      <w:pPr>
        <w:pStyle w:val="Quotes"/>
      </w:pPr>
      <w:r>
        <w:t xml:space="preserve">Verbatim: </w:t>
      </w:r>
      <w:r w:rsidRPr="002F2D79">
        <w:rPr>
          <w:b w:val="0"/>
          <w:bCs w:val="0"/>
        </w:rPr>
        <w:t xml:space="preserve">“Now we don't have to guess how much we will be paid; we can just input the information straight off payslips” – </w:t>
      </w:r>
      <w:r w:rsidRPr="002F2D79">
        <w:rPr>
          <w:b w:val="0"/>
          <w:bCs w:val="0"/>
          <w:i/>
          <w:iCs/>
        </w:rPr>
        <w:t>JobSeeker Payment recipient</w:t>
      </w:r>
    </w:p>
    <w:p w14:paraId="304A95D7" w14:textId="77777777" w:rsidR="00506C40" w:rsidRDefault="00506C40" w:rsidP="00506C40"/>
    <w:p w14:paraId="3AC08811" w14:textId="5D7FE3BB" w:rsidR="00A723DA" w:rsidRDefault="00A723DA" w:rsidP="002F2D79">
      <w:pPr>
        <w:pStyle w:val="Quotes"/>
        <w:rPr>
          <w:i/>
          <w:iCs/>
        </w:rPr>
      </w:pPr>
      <w:r>
        <w:t xml:space="preserve">Verbatim: </w:t>
      </w:r>
      <w:r w:rsidRPr="002F2D79">
        <w:rPr>
          <w:b w:val="0"/>
          <w:bCs w:val="0"/>
        </w:rPr>
        <w:t xml:space="preserve">“I know what money I have been paid rather than hoping it is what I will be paid, but if something happens…it is very confusing, and I want it to be so that </w:t>
      </w:r>
      <w:r w:rsidR="00E9442E" w:rsidRPr="002F2D79">
        <w:rPr>
          <w:b w:val="0"/>
          <w:bCs w:val="0"/>
        </w:rPr>
        <w:t>I</w:t>
      </w:r>
      <w:r w:rsidRPr="002F2D79">
        <w:rPr>
          <w:b w:val="0"/>
          <w:bCs w:val="0"/>
        </w:rPr>
        <w:t xml:space="preserve"> don't need to report anything anymore as it is always a hassle” </w:t>
      </w:r>
      <w:r w:rsidRPr="002F2D79">
        <w:rPr>
          <w:b w:val="0"/>
          <w:bCs w:val="0"/>
          <w:i/>
          <w:iCs/>
        </w:rPr>
        <w:t>– Carer Payment recipient</w:t>
      </w:r>
    </w:p>
    <w:p w14:paraId="7DB71B1F" w14:textId="77777777" w:rsidR="003F69EB" w:rsidRDefault="003F69EB" w:rsidP="00506C40">
      <w:pPr>
        <w:rPr>
          <w:i/>
          <w:iCs/>
        </w:rPr>
      </w:pPr>
    </w:p>
    <w:p w14:paraId="16339448" w14:textId="20920014" w:rsidR="00A723DA" w:rsidRDefault="00A723DA" w:rsidP="002F2D79">
      <w:pPr>
        <w:pStyle w:val="Quotes"/>
      </w:pPr>
      <w:r>
        <w:t xml:space="preserve">Verbatim: </w:t>
      </w:r>
      <w:r w:rsidRPr="002F2D79">
        <w:rPr>
          <w:b w:val="0"/>
          <w:bCs w:val="0"/>
        </w:rPr>
        <w:t xml:space="preserve">“As I don't know exactly when I will get paid at what time of day it's hard to know if on reporting day I might get paid at night after I have lodged” – </w:t>
      </w:r>
      <w:r w:rsidRPr="002F2D79">
        <w:rPr>
          <w:b w:val="0"/>
          <w:bCs w:val="0"/>
          <w:i/>
          <w:iCs/>
        </w:rPr>
        <w:t>Age Pension recipient</w:t>
      </w:r>
    </w:p>
    <w:p w14:paraId="32A0B6E9" w14:textId="77777777" w:rsidR="00506C40" w:rsidRDefault="00506C40" w:rsidP="00506C40"/>
    <w:p w14:paraId="4ECC2931" w14:textId="4C04AF07" w:rsidR="00A723DA" w:rsidRPr="002F2D79" w:rsidRDefault="00A723DA" w:rsidP="002F2D79">
      <w:pPr>
        <w:pStyle w:val="Quotes"/>
        <w:rPr>
          <w:b w:val="0"/>
          <w:bCs w:val="0"/>
        </w:rPr>
      </w:pPr>
      <w:r>
        <w:t xml:space="preserve">Verbatim: </w:t>
      </w:r>
      <w:r w:rsidRPr="002F2D79">
        <w:rPr>
          <w:b w:val="0"/>
          <w:bCs w:val="0"/>
        </w:rPr>
        <w:t xml:space="preserve">“It was much easier to multiply hours worked in the fortnight, much harder now when my pay is different to my reporting date” </w:t>
      </w:r>
      <w:r w:rsidRPr="002F2D79">
        <w:rPr>
          <w:b w:val="0"/>
          <w:bCs w:val="0"/>
          <w:i/>
          <w:iCs/>
        </w:rPr>
        <w:t xml:space="preserve">– JobSeeker </w:t>
      </w:r>
      <w:r w:rsidR="000F463E">
        <w:rPr>
          <w:b w:val="0"/>
          <w:bCs w:val="0"/>
          <w:i/>
          <w:iCs/>
        </w:rPr>
        <w:t>P</w:t>
      </w:r>
      <w:r w:rsidR="001C5B9D">
        <w:rPr>
          <w:b w:val="0"/>
          <w:bCs w:val="0"/>
          <w:i/>
          <w:iCs/>
        </w:rPr>
        <w:t xml:space="preserve">ayment </w:t>
      </w:r>
      <w:r w:rsidRPr="002F2D79">
        <w:rPr>
          <w:b w:val="0"/>
          <w:bCs w:val="0"/>
          <w:i/>
          <w:iCs/>
        </w:rPr>
        <w:t>recipient</w:t>
      </w:r>
    </w:p>
    <w:p w14:paraId="4B5607DD" w14:textId="77777777" w:rsidR="00506C40" w:rsidRDefault="00506C40" w:rsidP="00506C40"/>
    <w:p w14:paraId="5EF1D4BD" w14:textId="738B3FB0" w:rsidR="0015746A" w:rsidRPr="0015746A" w:rsidRDefault="0015746A" w:rsidP="002F2D79">
      <w:pPr>
        <w:pStyle w:val="Quotes"/>
        <w:rPr>
          <w:i/>
          <w:iCs/>
        </w:rPr>
      </w:pPr>
      <w:r w:rsidRPr="00900004">
        <w:lastRenderedPageBreak/>
        <w:t>Verbatim:</w:t>
      </w:r>
      <w:r>
        <w:t xml:space="preserve"> </w:t>
      </w:r>
      <w:r w:rsidRPr="002F2D79">
        <w:rPr>
          <w:rStyle w:val="QuotesChar"/>
        </w:rPr>
        <w:t xml:space="preserve">“The other issue is that if I earn income on Friday, which is the usual day of the week when I must report, I have to wait until after 5pm to report it via the Centrelink website.  In other words, if I submit my report at 9am on Friday but then receive my pay at 5pm that day, I have to go back and correct my report…” </w:t>
      </w:r>
      <w:r w:rsidRPr="001A43EB">
        <w:rPr>
          <w:rStyle w:val="QuotesChar"/>
          <w:i/>
        </w:rPr>
        <w:t xml:space="preserve">– </w:t>
      </w:r>
      <w:r w:rsidR="009E5D03" w:rsidRPr="001A43EB">
        <w:rPr>
          <w:rStyle w:val="QuotesChar"/>
          <w:i/>
        </w:rPr>
        <w:t>Disability Support Pension</w:t>
      </w:r>
      <w:r w:rsidRPr="001A43EB">
        <w:rPr>
          <w:rStyle w:val="QuotesChar"/>
          <w:i/>
        </w:rPr>
        <w:t xml:space="preserve"> recipient</w:t>
      </w:r>
    </w:p>
    <w:p w14:paraId="0DC1D6BE" w14:textId="77777777" w:rsidR="00536120" w:rsidRDefault="00536120" w:rsidP="00536120">
      <w:pPr>
        <w:pStyle w:val="BodyText1"/>
      </w:pPr>
    </w:p>
    <w:p w14:paraId="31567796" w14:textId="3DB5BDA3" w:rsidR="00536120" w:rsidRDefault="00536120" w:rsidP="00536120">
      <w:pPr>
        <w:pStyle w:val="BodyText1"/>
      </w:pPr>
      <w:r w:rsidRPr="00714644">
        <w:t xml:space="preserve">Individuals </w:t>
      </w:r>
      <w:r>
        <w:t xml:space="preserve">who indicated that </w:t>
      </w:r>
      <w:r w:rsidRPr="00714644">
        <w:t>reporting employment income ha</w:t>
      </w:r>
      <w:r>
        <w:t>d</w:t>
      </w:r>
      <w:r w:rsidRPr="00714644">
        <w:t xml:space="preserve"> improved in the last 2 years were more likely to perceive the change </w:t>
      </w:r>
      <w:r>
        <w:t>of income assessment model</w:t>
      </w:r>
      <w:r w:rsidRPr="00714644">
        <w:t xml:space="preserve"> as positive. Individuals that had heard of the change </w:t>
      </w:r>
      <w:r>
        <w:t>of income assessment model</w:t>
      </w:r>
      <w:r w:rsidRPr="00714644">
        <w:t xml:space="preserve"> prior to implementation were more likely to </w:t>
      </w:r>
      <w:r>
        <w:t>indicate that it had made reporting employment income easier</w:t>
      </w:r>
      <w:r w:rsidRPr="00714644">
        <w:t>, suitable to meet their individua</w:t>
      </w:r>
      <w:r>
        <w:t>l</w:t>
      </w:r>
      <w:r w:rsidRPr="00714644">
        <w:t xml:space="preserve"> needs and less time consuming compared to those that were not aware of the change. Perception</w:t>
      </w:r>
      <w:r w:rsidR="00170F03">
        <w:t>s</w:t>
      </w:r>
      <w:r w:rsidRPr="00714644">
        <w:t xml:space="preserve"> of the </w:t>
      </w:r>
      <w:r>
        <w:t>change</w:t>
      </w:r>
      <w:r w:rsidRPr="00714644">
        <w:t xml:space="preserve"> </w:t>
      </w:r>
      <w:r>
        <w:t>of income assessment model making reporting</w:t>
      </w:r>
      <w:r w:rsidRPr="00714644">
        <w:t xml:space="preserve"> </w:t>
      </w:r>
      <w:r>
        <w:t xml:space="preserve">more </w:t>
      </w:r>
      <w:r w:rsidRPr="00714644">
        <w:t>accurate were equal among those that had heard of the change and those who had not.</w:t>
      </w:r>
      <w:r>
        <w:rPr>
          <w:rStyle w:val="FootnoteReference"/>
        </w:rPr>
        <w:footnoteReference w:id="40"/>
      </w:r>
    </w:p>
    <w:p w14:paraId="022C1085" w14:textId="7F657F90" w:rsidR="002C43BD" w:rsidRDefault="002C43BD" w:rsidP="00536120">
      <w:pPr>
        <w:pStyle w:val="BodyText1"/>
      </w:pPr>
    </w:p>
    <w:p w14:paraId="6355BDB7" w14:textId="44181185" w:rsidR="002C43BD" w:rsidRDefault="002C43BD" w:rsidP="002C43BD">
      <w:pPr>
        <w:pStyle w:val="Heading4"/>
      </w:pPr>
      <w:r>
        <w:t>Lump sum payments</w:t>
      </w:r>
      <w:r w:rsidR="001A0D94">
        <w:t xml:space="preserve"> were perceived</w:t>
      </w:r>
      <w:r w:rsidR="00683CB6">
        <w:t xml:space="preserve"> by individual social security payment recipients</w:t>
      </w:r>
      <w:r w:rsidR="001A0D94">
        <w:t xml:space="preserve"> to disrupt income support</w:t>
      </w:r>
    </w:p>
    <w:p w14:paraId="6B5C129C" w14:textId="153E192C" w:rsidR="002C43BD" w:rsidRDefault="002C43BD" w:rsidP="002C43BD">
      <w:pPr>
        <w:pStyle w:val="BodyText1"/>
      </w:pPr>
      <w:r>
        <w:t xml:space="preserve">A number of individual social security payment recipients indicated in survey responses that they had received some form of retrospective lump sum payment from an employer since the change of income assessment model took place, such as back pay for incorrect wage payments, or redundancy pay. In these circumstances, these individuals had their social security payments reduced </w:t>
      </w:r>
      <w:r w:rsidR="001A0D94">
        <w:t xml:space="preserve">for a period of time, which, </w:t>
      </w:r>
      <w:r w:rsidR="0093246F">
        <w:t>where</w:t>
      </w:r>
      <w:r w:rsidR="009474CE">
        <w:t xml:space="preserve"> this was an</w:t>
      </w:r>
      <w:r w:rsidR="001A0D94">
        <w:t xml:space="preserve"> extended</w:t>
      </w:r>
      <w:r w:rsidR="009474CE">
        <w:t xml:space="preserve"> period of time</w:t>
      </w:r>
      <w:r w:rsidR="001A0D94">
        <w:t>, resulted in some recipients</w:t>
      </w:r>
      <w:r w:rsidR="00A5296C">
        <w:t xml:space="preserve"> </w:t>
      </w:r>
      <w:r w:rsidR="001A0D94">
        <w:t xml:space="preserve">becoming ineligible for income support. </w:t>
      </w:r>
    </w:p>
    <w:p w14:paraId="3E2CD530" w14:textId="13F656DE" w:rsidR="00D67D82" w:rsidRDefault="003A6531" w:rsidP="00D67D82">
      <w:pPr>
        <w:pStyle w:val="BodyText1"/>
      </w:pPr>
      <w:r>
        <w:t xml:space="preserve">However, while this was perceived </w:t>
      </w:r>
      <w:r w:rsidR="008A639B">
        <w:t xml:space="preserve">as a negative by some individual social security recipients, </w:t>
      </w:r>
      <w:r w:rsidR="001E1610">
        <w:t xml:space="preserve">the change of income assessment model was designed </w:t>
      </w:r>
      <w:r w:rsidR="00A473F6">
        <w:t xml:space="preserve">to ensure that “all employment income [is] treated consistently whether a person is paid a regular fortnight </w:t>
      </w:r>
      <w:r w:rsidR="005F58EA">
        <w:t>…or a one-off lump sum such as back pay”</w:t>
      </w:r>
      <w:r w:rsidR="004A65D5">
        <w:rPr>
          <w:rStyle w:val="FootnoteReference"/>
        </w:rPr>
        <w:footnoteReference w:id="41"/>
      </w:r>
      <w:r w:rsidR="005F58EA">
        <w:t xml:space="preserve">. </w:t>
      </w:r>
      <w:r w:rsidR="00D67D82">
        <w:t>Prior to the change of income assessment model, people who received lump s</w:t>
      </w:r>
      <w:r w:rsidR="00065C2E">
        <w:t>um</w:t>
      </w:r>
      <w:r w:rsidR="00D67D82">
        <w:t xml:space="preserve"> payments</w:t>
      </w:r>
      <w:r w:rsidR="0066130A">
        <w:t xml:space="preserve"> </w:t>
      </w:r>
      <w:r w:rsidR="00065C2E">
        <w:t>that</w:t>
      </w:r>
      <w:r w:rsidR="0066130A">
        <w:t xml:space="preserve"> related to a</w:t>
      </w:r>
      <w:r w:rsidR="003F23BF">
        <w:t xml:space="preserve"> previous</w:t>
      </w:r>
      <w:r w:rsidR="0066130A">
        <w:t xml:space="preserve"> period </w:t>
      </w:r>
      <w:r w:rsidR="007F5DFE">
        <w:t>of tim</w:t>
      </w:r>
      <w:r w:rsidR="005B3A98">
        <w:t>e</w:t>
      </w:r>
      <w:r w:rsidR="00A108C2">
        <w:t xml:space="preserve">, or an extensive period of time such as back pay, would have had to report this income </w:t>
      </w:r>
      <w:r w:rsidR="007012CF">
        <w:t xml:space="preserve">for </w:t>
      </w:r>
      <w:r w:rsidR="00F34BCA">
        <w:t xml:space="preserve">those previous periods. If these recipients were </w:t>
      </w:r>
      <w:r w:rsidR="00256B73">
        <w:t xml:space="preserve">receiving income support </w:t>
      </w:r>
      <w:r w:rsidR="00412A9D">
        <w:t>at the time the additional income was earned,</w:t>
      </w:r>
      <w:r w:rsidR="00A0786C">
        <w:t xml:space="preserve"> </w:t>
      </w:r>
      <w:r w:rsidR="003B666E">
        <w:t xml:space="preserve">this additional income likely meant they had been overpaid income support, and would accrue a debt </w:t>
      </w:r>
      <w:r w:rsidR="002366DE">
        <w:t xml:space="preserve">to Services Australia </w:t>
      </w:r>
      <w:r w:rsidR="00D30043">
        <w:t>for the periods impacted.</w:t>
      </w:r>
      <w:r w:rsidR="00D574B4">
        <w:t xml:space="preserve"> </w:t>
      </w:r>
      <w:r w:rsidR="00D574B4" w:rsidRPr="00263E43">
        <w:t>As described in</w:t>
      </w:r>
      <w:r w:rsidR="00413855">
        <w:t xml:space="preserve"> the </w:t>
      </w:r>
      <w:r w:rsidR="00855A1D" w:rsidRPr="00855A1D">
        <w:t>Multi-agency Government Submission: Senate Community Affairs Legislation Committee inquiry</w:t>
      </w:r>
      <w:r w:rsidR="00263E43">
        <w:t xml:space="preserve"> in relation to the change</w:t>
      </w:r>
      <w:r w:rsidR="00D574B4">
        <w:t>,</w:t>
      </w:r>
      <w:r w:rsidR="004A65D5">
        <w:t xml:space="preserve"> under the earned income model,</w:t>
      </w:r>
      <w:r w:rsidR="00D574B4">
        <w:t xml:space="preserve"> “</w:t>
      </w:r>
      <w:r w:rsidR="004A65D5">
        <w:t>for example…a lump sum back payment of wages is applied retrospectively for the period over which it was earned and may result in a debt”</w:t>
      </w:r>
      <w:r w:rsidR="00263E43">
        <w:rPr>
          <w:rStyle w:val="FootnoteReference"/>
        </w:rPr>
        <w:footnoteReference w:id="42"/>
      </w:r>
      <w:r w:rsidR="004A65D5">
        <w:t>.</w:t>
      </w:r>
      <w:r w:rsidR="00D30043">
        <w:t xml:space="preserve"> </w:t>
      </w:r>
      <w:r w:rsidR="00D67D82">
        <w:t xml:space="preserve">For recipients in this circumstance, the change </w:t>
      </w:r>
      <w:r w:rsidR="00B53C8D">
        <w:t>of income assessment</w:t>
      </w:r>
      <w:r w:rsidR="00D67D82">
        <w:t xml:space="preserve"> model removes the risk of </w:t>
      </w:r>
      <w:r w:rsidR="00884376">
        <w:t>retrospectively receiving a</w:t>
      </w:r>
      <w:r w:rsidR="00D67D82">
        <w:t xml:space="preserve"> debt for this reason, as it apportions the lump sum payment over the </w:t>
      </w:r>
      <w:r w:rsidR="00FF48F6">
        <w:t>relevant</w:t>
      </w:r>
      <w:r w:rsidR="00D67D82">
        <w:t xml:space="preserve"> forward period.</w:t>
      </w:r>
    </w:p>
    <w:p w14:paraId="18C05541" w14:textId="3A54DEC4" w:rsidR="00D95469" w:rsidRDefault="00D67D82" w:rsidP="00D67D82">
      <w:pPr>
        <w:pStyle w:val="BodyText1"/>
      </w:pPr>
      <w:r>
        <w:t xml:space="preserve">However, </w:t>
      </w:r>
      <w:r w:rsidR="009767E4">
        <w:t xml:space="preserve">this </w:t>
      </w:r>
      <w:r w:rsidR="00D52362">
        <w:t>policy feature operate</w:t>
      </w:r>
      <w:r w:rsidR="00C56162">
        <w:t>s</w:t>
      </w:r>
      <w:r w:rsidR="00D52362">
        <w:t xml:space="preserve"> differently for those individual recipients who were not in receipt of income support at the time </w:t>
      </w:r>
      <w:r w:rsidR="001F589A">
        <w:t>the lump sum</w:t>
      </w:r>
      <w:r w:rsidR="00630E5D">
        <w:t xml:space="preserve"> </w:t>
      </w:r>
      <w:r w:rsidR="007A4ECE">
        <w:t>was ‘earned’</w:t>
      </w:r>
      <w:r w:rsidR="00F0745C">
        <w:t>. U</w:t>
      </w:r>
      <w:r>
        <w:t xml:space="preserve">nder the previous model, recipients who received a lump sum payment </w:t>
      </w:r>
      <w:r w:rsidR="00C56162">
        <w:t xml:space="preserve">which was ‘earned’ during a period where </w:t>
      </w:r>
      <w:r>
        <w:t xml:space="preserve">they were not receiving income support </w:t>
      </w:r>
      <w:r w:rsidR="0066130A">
        <w:t xml:space="preserve">would not have had </w:t>
      </w:r>
      <w:r w:rsidR="00D64733">
        <w:t>to report this employment income</w:t>
      </w:r>
      <w:r w:rsidR="0066130A">
        <w:t xml:space="preserve">. This would have resulted in </w:t>
      </w:r>
      <w:r w:rsidR="00016D05">
        <w:t>them</w:t>
      </w:r>
      <w:r w:rsidR="0066130A">
        <w:t xml:space="preserve"> receiving both the lump sum payment and continuing to receive income support payments</w:t>
      </w:r>
      <w:r w:rsidR="00CE4972">
        <w:t>, without accrual of a debt to Services Australia.</w:t>
      </w:r>
      <w:r w:rsidR="006D388E">
        <w:t xml:space="preserve"> The change of income assessment model</w:t>
      </w:r>
      <w:r w:rsidR="003D2BD7">
        <w:t xml:space="preserve"> means these individuals</w:t>
      </w:r>
      <w:r w:rsidR="00102167">
        <w:t xml:space="preserve"> have their future payments impacte</w:t>
      </w:r>
      <w:r w:rsidR="006E0ECC">
        <w:t xml:space="preserve">d by lump sum payments. </w:t>
      </w:r>
    </w:p>
    <w:p w14:paraId="62219008" w14:textId="0E3FA677" w:rsidR="000F05A3" w:rsidRDefault="004D0460" w:rsidP="002C43BD">
      <w:pPr>
        <w:pStyle w:val="BodyText1"/>
      </w:pPr>
      <w:r>
        <w:t xml:space="preserve">It is not clear whether these individuals who </w:t>
      </w:r>
      <w:r w:rsidR="000F05A3">
        <w:t>perceived</w:t>
      </w:r>
      <w:r>
        <w:t xml:space="preserve"> this aspect of the change to be negativ</w:t>
      </w:r>
      <w:r w:rsidR="000F05A3">
        <w:t>e</w:t>
      </w:r>
      <w:r>
        <w:t xml:space="preserve"> had ever experienced receiving a lump sum payment under the previous earned model for reporting employment income</w:t>
      </w:r>
      <w:r w:rsidR="000F05A3">
        <w:t>.</w:t>
      </w:r>
    </w:p>
    <w:p w14:paraId="0C6DD0D6" w14:textId="77777777" w:rsidR="002C43BD" w:rsidRPr="001A43EB" w:rsidRDefault="002C43BD" w:rsidP="002C43BD">
      <w:pPr>
        <w:pStyle w:val="Quotes"/>
        <w:rPr>
          <w:i/>
        </w:rPr>
      </w:pPr>
      <w:r>
        <w:t>Verbatim</w:t>
      </w:r>
      <w:r w:rsidRPr="00AC28D0">
        <w:t xml:space="preserve">: </w:t>
      </w:r>
      <w:r w:rsidRPr="002F2D79">
        <w:rPr>
          <w:rStyle w:val="QuotesChar"/>
        </w:rPr>
        <w:t xml:space="preserve">Between February 2021 and April 2022 I was paid back pay of unpaid wages for the period May 2013 to April 2018 following a wages audit….amounts eventually negotiated and received were reported as required under the changed legislation enacted December 2020. Centrelink attributed each </w:t>
      </w:r>
      <w:r w:rsidRPr="002F2D79">
        <w:rPr>
          <w:rStyle w:val="QuotesChar"/>
        </w:rPr>
        <w:lastRenderedPageBreak/>
        <w:t xml:space="preserve">payment forward. Due to the amount of underpaid wages involved, we were placed on nil income status.” – </w:t>
      </w:r>
      <w:r w:rsidRPr="001A43EB">
        <w:rPr>
          <w:rStyle w:val="QuotesChar"/>
          <w:i/>
        </w:rPr>
        <w:t>Age Pension recipient</w:t>
      </w:r>
    </w:p>
    <w:p w14:paraId="6BF16793" w14:textId="77777777" w:rsidR="002C43BD" w:rsidRPr="00AC28D0" w:rsidRDefault="002C43BD" w:rsidP="002C43BD">
      <w:pPr>
        <w:pStyle w:val="BodyText1"/>
      </w:pPr>
    </w:p>
    <w:p w14:paraId="271F5755" w14:textId="77777777" w:rsidR="002C43BD" w:rsidRDefault="002C43BD" w:rsidP="002C43BD">
      <w:pPr>
        <w:pStyle w:val="Quotes"/>
      </w:pPr>
      <w:r>
        <w:t>Verbatim</w:t>
      </w:r>
      <w:r w:rsidRPr="00AC28D0">
        <w:t xml:space="preserve">: </w:t>
      </w:r>
      <w:r w:rsidRPr="002F2D79">
        <w:rPr>
          <w:rStyle w:val="QuotesChar"/>
        </w:rPr>
        <w:t xml:space="preserve">“If you accidentally make an error, it takes a LOT of work/time to rectify. And in the case of an employer paying out a lump sum (due to error or paying out leave) can mess up a person's entire budget. Be good to have a section for "unusual or exceptional" earnings in order to be able to get a call back to discuss what that will mean for the individual affected” – </w:t>
      </w:r>
      <w:r w:rsidRPr="001A43EB">
        <w:rPr>
          <w:rStyle w:val="QuotesChar"/>
          <w:i/>
        </w:rPr>
        <w:t>JobSeeker recipient</w:t>
      </w:r>
    </w:p>
    <w:p w14:paraId="78662520" w14:textId="77777777" w:rsidR="002C43BD" w:rsidRDefault="002C43BD" w:rsidP="002C43BD">
      <w:pPr>
        <w:pStyle w:val="BodyText1"/>
      </w:pPr>
    </w:p>
    <w:p w14:paraId="01AB473F" w14:textId="77777777" w:rsidR="002C43BD" w:rsidRPr="001A43EB" w:rsidRDefault="002C43BD" w:rsidP="002C43BD">
      <w:pPr>
        <w:pStyle w:val="Quotes"/>
        <w:rPr>
          <w:i/>
        </w:rPr>
      </w:pPr>
      <w:r>
        <w:t>Verbatim</w:t>
      </w:r>
      <w:r w:rsidRPr="00AC28D0">
        <w:t xml:space="preserve">: </w:t>
      </w:r>
      <w:r w:rsidRPr="002F2D79">
        <w:rPr>
          <w:rStyle w:val="QuotesChar"/>
        </w:rPr>
        <w:t xml:space="preserve">“The huge mess I am experiencing regarding reporting my redundancy pay that was received in Oct 2021 - even although the redundancy pay pertains to 2013, when I wasn't receiving any Centrelink benefits at all.” – </w:t>
      </w:r>
      <w:r w:rsidRPr="001A43EB">
        <w:rPr>
          <w:rStyle w:val="QuotesChar"/>
          <w:i/>
        </w:rPr>
        <w:t>Disability Support Pension recipient</w:t>
      </w:r>
    </w:p>
    <w:p w14:paraId="461ECA3B" w14:textId="77777777" w:rsidR="00595ED5" w:rsidRDefault="00595ED5" w:rsidP="00595ED5">
      <w:pPr>
        <w:pStyle w:val="Heading4"/>
      </w:pPr>
      <w:r>
        <w:t>Monthly employment income</w:t>
      </w:r>
    </w:p>
    <w:p w14:paraId="264125A2" w14:textId="5BE41457" w:rsidR="00595ED5" w:rsidRDefault="00595ED5" w:rsidP="00595ED5">
      <w:pPr>
        <w:pStyle w:val="BodyText1"/>
      </w:pPr>
      <w:r w:rsidRPr="00142923">
        <w:t xml:space="preserve">A </w:t>
      </w:r>
      <w:r w:rsidR="00142923" w:rsidRPr="00142923">
        <w:t>very</w:t>
      </w:r>
      <w:r w:rsidRPr="00142923">
        <w:t xml:space="preserve"> small </w:t>
      </w:r>
      <w:r w:rsidRPr="00BD6146">
        <w:t xml:space="preserve">number of individuals within survey responses </w:t>
      </w:r>
      <w:r w:rsidR="000E0E90" w:rsidRPr="00BD6146">
        <w:t xml:space="preserve">indicated </w:t>
      </w:r>
      <w:r w:rsidRPr="00BD6146">
        <w:t>that the change of income</w:t>
      </w:r>
      <w:r>
        <w:t xml:space="preserve"> assessment model had impacted the value of their social security payments as a result of receiving monthly pay. These individuals indicated that reporting a larger monthly employment income figure in one fortnight, and then having no paid income to report in the next fortnight impacted the consistency of the social security payments received. There were also perceptions this had reduced the value of payments received following the change of income assessment model, compared to previous years.</w:t>
      </w:r>
    </w:p>
    <w:p w14:paraId="2C4D766B" w14:textId="77777777" w:rsidR="00595ED5" w:rsidRDefault="00595ED5" w:rsidP="00595ED5">
      <w:pPr>
        <w:pStyle w:val="BodyText1"/>
      </w:pPr>
      <w:r>
        <w:t xml:space="preserve">This reflects challenges of navigating the reporting process, rather than policy consequences. The Centrelink reporting processes include a question that asks whether the income being reported is for a time period other than a fortnight (e.g. a month or other time period). Where an individual indicates the income received is for a month, rather than a fortnight, there are provisions in the system to smooth this income over multiple fortnights, meaning social security payments are more consistent. </w:t>
      </w:r>
    </w:p>
    <w:p w14:paraId="32C4B40C" w14:textId="77777777" w:rsidR="00595ED5" w:rsidRDefault="00595ED5" w:rsidP="00595ED5">
      <w:pPr>
        <w:pStyle w:val="BodyText1"/>
      </w:pPr>
      <w:r>
        <w:t>Feedback suggests that there may be opportunity for improving clarity for individuals on how to report their income accurately.</w:t>
      </w:r>
    </w:p>
    <w:p w14:paraId="3F3C0DA5" w14:textId="77777777" w:rsidR="00595ED5" w:rsidRPr="0015746A" w:rsidRDefault="00595ED5" w:rsidP="00595ED5">
      <w:pPr>
        <w:pStyle w:val="Quotes"/>
        <w:rPr>
          <w:i/>
        </w:rPr>
      </w:pPr>
      <w:r>
        <w:t>Verbatim</w:t>
      </w:r>
      <w:r w:rsidRPr="00F23AA9">
        <w:t xml:space="preserve">: </w:t>
      </w:r>
      <w:r w:rsidRPr="002F2D79">
        <w:rPr>
          <w:rStyle w:val="QuotesChar"/>
        </w:rPr>
        <w:t xml:space="preserve">“I must report all his [husband’s] wage in on fortnight and then nothing the next fortnight…then it’s worked out over a fortnight not the month, so DSP has been dramatically cut from previous years even though we are carrying the same earnings threshold.” – </w:t>
      </w:r>
      <w:r w:rsidRPr="00FF644C">
        <w:rPr>
          <w:rStyle w:val="QuotesChar"/>
          <w:i/>
        </w:rPr>
        <w:t>Disability Support Pension recipient</w:t>
      </w:r>
    </w:p>
    <w:p w14:paraId="7DE4523F" w14:textId="77777777" w:rsidR="00595ED5" w:rsidRPr="00AC28D0" w:rsidRDefault="00595ED5" w:rsidP="00595ED5">
      <w:pPr>
        <w:pStyle w:val="BodyText1"/>
      </w:pPr>
    </w:p>
    <w:p w14:paraId="3B343CE3" w14:textId="77777777" w:rsidR="00595ED5" w:rsidRPr="00243860" w:rsidRDefault="00595ED5" w:rsidP="00595ED5">
      <w:pPr>
        <w:pStyle w:val="Quotes"/>
        <w:rPr>
          <w:i/>
        </w:rPr>
      </w:pPr>
      <w:r>
        <w:t>Verbatim:</w:t>
      </w:r>
      <w:r w:rsidRPr="00AC28D0">
        <w:t xml:space="preserve"> </w:t>
      </w:r>
      <w:r w:rsidRPr="002F2D79">
        <w:rPr>
          <w:rStyle w:val="QuotesChar"/>
        </w:rPr>
        <w:t xml:space="preserve">“I now find that my payments are less than most of the previous years. Now I get one normal payment and then one really low payment so weeks no rent allowance at all. How can this be so when his income does not change? It's the same monthly pay, as it's salary.” – </w:t>
      </w:r>
      <w:r w:rsidRPr="00FF644C">
        <w:rPr>
          <w:rStyle w:val="QuotesChar"/>
          <w:i/>
        </w:rPr>
        <w:t>Disability Support Pension recipient</w:t>
      </w:r>
    </w:p>
    <w:p w14:paraId="52154DAD" w14:textId="02EF307D" w:rsidR="00190B46" w:rsidRDefault="00891A58" w:rsidP="00E93FF9">
      <w:pPr>
        <w:pStyle w:val="Heading3"/>
      </w:pPr>
      <w:bookmarkStart w:id="23" w:name="_Ref103750832"/>
      <w:r>
        <w:t>Unintended consequences</w:t>
      </w:r>
      <w:bookmarkEnd w:id="23"/>
    </w:p>
    <w:p w14:paraId="0D16A621" w14:textId="43572E96" w:rsidR="000A1318" w:rsidRDefault="000A1318" w:rsidP="000A1318">
      <w:pPr>
        <w:pStyle w:val="BodyText1"/>
      </w:pPr>
      <w:r>
        <w:t xml:space="preserve">This review did not identify any </w:t>
      </w:r>
      <w:r w:rsidR="000F05A3">
        <w:t xml:space="preserve">significant </w:t>
      </w:r>
      <w:r>
        <w:t xml:space="preserve">unintended consequences </w:t>
      </w:r>
      <w:r w:rsidR="00890826" w:rsidRPr="00890826">
        <w:t>arising from the introduction of, or the transition to, the paid income model.</w:t>
      </w:r>
    </w:p>
    <w:p w14:paraId="1D65C9D6" w14:textId="43724C58" w:rsidR="00891A58" w:rsidRPr="00CA6B99" w:rsidRDefault="00891A58" w:rsidP="00E93FF9">
      <w:pPr>
        <w:pStyle w:val="Heading3"/>
      </w:pPr>
      <w:r>
        <w:t>Pension payments</w:t>
      </w:r>
    </w:p>
    <w:p w14:paraId="26C809D2" w14:textId="54E18B9B" w:rsidR="0051534F" w:rsidRDefault="0051534F" w:rsidP="0045708F">
      <w:pPr>
        <w:pStyle w:val="BodyText1"/>
      </w:pPr>
      <w:r>
        <w:t xml:space="preserve">As described in Section </w:t>
      </w:r>
      <w:r>
        <w:fldChar w:fldCharType="begin"/>
      </w:r>
      <w:r>
        <w:instrText xml:space="preserve"> REF _Ref103750320 \r \h </w:instrText>
      </w:r>
      <w:r>
        <w:fldChar w:fldCharType="separate"/>
      </w:r>
      <w:r w:rsidR="004969AE">
        <w:t>1.1</w:t>
      </w:r>
      <w:r>
        <w:fldChar w:fldCharType="end"/>
      </w:r>
      <w:r>
        <w:t xml:space="preserve"> above, c</w:t>
      </w:r>
      <w:r w:rsidRPr="004C20CA">
        <w:t xml:space="preserve">lause 1073B of the legislation sets out a special employment income attribution rule for a small group of social security pension recipients who are paid the same amount of employment income on the same day of </w:t>
      </w:r>
      <w:r w:rsidRPr="0045708F">
        <w:t>each</w:t>
      </w:r>
      <w:r w:rsidRPr="004C20CA">
        <w:t xml:space="preserve"> month. Those affected do not need to report their </w:t>
      </w:r>
      <w:r w:rsidR="00FB1113">
        <w:t xml:space="preserve">employment </w:t>
      </w:r>
      <w:r w:rsidRPr="004C20CA">
        <w:t>income each fortnight or month to Centrelink</w:t>
      </w:r>
      <w:r>
        <w:t xml:space="preserve">. Therefore, </w:t>
      </w:r>
      <w:r w:rsidRPr="004C20CA">
        <w:t>the change to how to report earned income is not observed by the</w:t>
      </w:r>
      <w:r>
        <w:t>se</w:t>
      </w:r>
      <w:r w:rsidRPr="004C20CA">
        <w:t xml:space="preserve"> pension recipient</w:t>
      </w:r>
      <w:r>
        <w:t>s</w:t>
      </w:r>
      <w:r w:rsidRPr="004C20CA">
        <w:t>. Pension</w:t>
      </w:r>
      <w:r w:rsidR="00EA3164">
        <w:t xml:space="preserve"> </w:t>
      </w:r>
      <w:r w:rsidR="00725A50">
        <w:t>recipients</w:t>
      </w:r>
      <w:r w:rsidRPr="004C20CA">
        <w:t xml:space="preserve"> assessed this way will only be required to report to Centrelink if there is a change to their income.</w:t>
      </w:r>
    </w:p>
    <w:p w14:paraId="047D890A" w14:textId="71FFA2EB" w:rsidR="003B0942" w:rsidRDefault="00473D4D" w:rsidP="0045708F">
      <w:pPr>
        <w:pStyle w:val="BodyText1"/>
      </w:pPr>
      <w:r>
        <w:t xml:space="preserve">As </w:t>
      </w:r>
      <w:r w:rsidR="002C6D82">
        <w:t>expected,</w:t>
      </w:r>
      <w:r>
        <w:t xml:space="preserve"> based on this clause, v</w:t>
      </w:r>
      <w:r w:rsidR="001247FF">
        <w:t xml:space="preserve">ery limited commentary on the impact of the change </w:t>
      </w:r>
      <w:r w:rsidR="00102862">
        <w:t xml:space="preserve">of income assessment model </w:t>
      </w:r>
      <w:r w:rsidR="001247FF">
        <w:t xml:space="preserve">on pension payments was provided </w:t>
      </w:r>
      <w:r w:rsidR="00565B8A">
        <w:t>during</w:t>
      </w:r>
      <w:r w:rsidR="001247FF">
        <w:t xml:space="preserve"> the review.</w:t>
      </w:r>
      <w:r w:rsidR="00A85961">
        <w:t xml:space="preserve"> However, feedback received indicated there was minimal impact from the change on </w:t>
      </w:r>
      <w:r w:rsidR="00B642AC">
        <w:t>reporting employment income for individuals receiving pension-based payments</w:t>
      </w:r>
      <w:r w:rsidR="00263525">
        <w:t xml:space="preserve">, </w:t>
      </w:r>
      <w:r w:rsidR="00477B14">
        <w:t>except for</w:t>
      </w:r>
      <w:r w:rsidR="00263525">
        <w:t xml:space="preserve"> the </w:t>
      </w:r>
      <w:r w:rsidR="00C0490D">
        <w:t>experience</w:t>
      </w:r>
      <w:r w:rsidR="00263525">
        <w:t xml:space="preserve"> identified relating to lump sum payments. As </w:t>
      </w:r>
      <w:r w:rsidR="00263525">
        <w:lastRenderedPageBreak/>
        <w:t xml:space="preserve">lump sum payments alter </w:t>
      </w:r>
      <w:r w:rsidR="0078499F">
        <w:t>an individual’s usual income, this must be reported to Centrelink, and has had the impact as described in</w:t>
      </w:r>
      <w:r w:rsidR="00C26910">
        <w:t xml:space="preserve"> Section</w:t>
      </w:r>
      <w:r w:rsidR="0078499F">
        <w:t xml:space="preserve"> </w:t>
      </w:r>
      <w:r w:rsidR="00B516CA">
        <w:fldChar w:fldCharType="begin"/>
      </w:r>
      <w:r w:rsidR="00B516CA">
        <w:instrText xml:space="preserve"> REF _Ref105055962 \r \h </w:instrText>
      </w:r>
      <w:r w:rsidR="00B516CA">
        <w:fldChar w:fldCharType="separate"/>
      </w:r>
      <w:r w:rsidR="00B516CA">
        <w:t>3.2.2</w:t>
      </w:r>
      <w:r w:rsidR="00B516CA">
        <w:fldChar w:fldCharType="end"/>
      </w:r>
      <w:r w:rsidR="00C26910">
        <w:t>.</w:t>
      </w:r>
    </w:p>
    <w:p w14:paraId="66775AB9" w14:textId="1B1987B6" w:rsidR="003B1C70" w:rsidRPr="003B0942" w:rsidRDefault="00647256" w:rsidP="0045708F">
      <w:pPr>
        <w:pStyle w:val="BodyText1"/>
      </w:pPr>
      <w:r>
        <w:t>Of individuals survey</w:t>
      </w:r>
      <w:r w:rsidR="00F670A0">
        <w:t>ed</w:t>
      </w:r>
      <w:r>
        <w:t xml:space="preserve">, 22 reported receiving pension payments. A small majority of these individuals indicated that the change </w:t>
      </w:r>
      <w:r w:rsidR="00E661C2">
        <w:t>of income assessment model</w:t>
      </w:r>
      <w:r>
        <w:t xml:space="preserve"> has had no impact for </w:t>
      </w:r>
      <w:r w:rsidR="00E06E41">
        <w:t>them or</w:t>
      </w:r>
      <w:r>
        <w:t xml:space="preserve"> has made the process simpler. The remaining </w:t>
      </w:r>
      <w:r w:rsidR="0093628C">
        <w:t>individuals</w:t>
      </w:r>
      <w:r>
        <w:t xml:space="preserve"> indicated the change had made the process more complex.</w:t>
      </w:r>
      <w:r w:rsidR="00E5757A">
        <w:rPr>
          <w:rStyle w:val="FootnoteReference"/>
        </w:rPr>
        <w:footnoteReference w:id="43"/>
      </w:r>
    </w:p>
    <w:p w14:paraId="34E79A82" w14:textId="1E8CBBA6" w:rsidR="006069E7" w:rsidRPr="006069E7" w:rsidRDefault="003F5B8E" w:rsidP="0045708F">
      <w:pPr>
        <w:pStyle w:val="BodyText1"/>
      </w:pPr>
      <w:r w:rsidRPr="003F5B8E">
        <w:t xml:space="preserve">Of </w:t>
      </w:r>
      <w:r w:rsidR="00E77192">
        <w:t xml:space="preserve">the nine </w:t>
      </w:r>
      <w:r w:rsidRPr="003F5B8E">
        <w:t xml:space="preserve">organisations surveyed, only </w:t>
      </w:r>
      <w:r w:rsidR="00E77192">
        <w:t>three</w:t>
      </w:r>
      <w:r w:rsidRPr="003F5B8E">
        <w:t xml:space="preserve"> perceived the change </w:t>
      </w:r>
      <w:r w:rsidR="00C5235C">
        <w:t>of incomes assessment model</w:t>
      </w:r>
      <w:r w:rsidR="00EA3164">
        <w:t xml:space="preserve"> from the pension payment reporting clause</w:t>
      </w:r>
      <w:r w:rsidRPr="003F5B8E">
        <w:t xml:space="preserve"> had made the</w:t>
      </w:r>
      <w:r w:rsidR="000567BB">
        <w:t xml:space="preserve"> process of reporting employment income</w:t>
      </w:r>
      <w:r w:rsidRPr="003F5B8E">
        <w:t xml:space="preserve"> slightly more complex.</w:t>
      </w:r>
      <w:r w:rsidR="003F038B">
        <w:rPr>
          <w:rStyle w:val="FootnoteReference"/>
        </w:rPr>
        <w:footnoteReference w:id="44"/>
      </w:r>
      <w:r w:rsidR="00102862">
        <w:t xml:space="preserve"> However, no further context was provided by respondents in open ended questions as to why this was their view.</w:t>
      </w:r>
    </w:p>
    <w:p w14:paraId="0F99B0A6" w14:textId="0718279E" w:rsidR="0069005B" w:rsidRPr="0069005B" w:rsidRDefault="004A605D" w:rsidP="006D5CB0">
      <w:pPr>
        <w:spacing w:before="0" w:after="160" w:line="259" w:lineRule="auto"/>
      </w:pPr>
      <w:r>
        <w:br w:type="page"/>
      </w:r>
      <w:bookmarkStart w:id="24" w:name="_Ref103251711"/>
    </w:p>
    <w:p w14:paraId="32FC6E73" w14:textId="5F6A4288" w:rsidR="0069005B" w:rsidRPr="0069005B" w:rsidRDefault="00F46DBB" w:rsidP="00E468AB">
      <w:pPr>
        <w:pStyle w:val="Appendixheading"/>
      </w:pPr>
      <w:bookmarkStart w:id="25" w:name="_Toc104983821"/>
      <w:r>
        <w:lastRenderedPageBreak/>
        <w:t xml:space="preserve">: </w:t>
      </w:r>
      <w:bookmarkStart w:id="26" w:name="_Ref103679259"/>
      <w:bookmarkEnd w:id="24"/>
      <w:r w:rsidR="0030617D" w:rsidRPr="0030617D">
        <w:t xml:space="preserve">Consultation </w:t>
      </w:r>
      <w:bookmarkEnd w:id="26"/>
      <w:r w:rsidR="005C53B0" w:rsidRPr="0030617D">
        <w:t>mater</w:t>
      </w:r>
      <w:r w:rsidR="0030617D" w:rsidRPr="0030617D">
        <w:t>ials</w:t>
      </w:r>
      <w:bookmarkEnd w:id="25"/>
    </w:p>
    <w:p w14:paraId="10C35CA5" w14:textId="71D28CE7" w:rsidR="00AE219F" w:rsidRPr="00047360" w:rsidRDefault="002D2EAC" w:rsidP="002D2EAC">
      <w:pPr>
        <w:pStyle w:val="Caption"/>
        <w:keepNext/>
        <w:rPr>
          <w:color w:val="auto"/>
        </w:rPr>
      </w:pPr>
      <w:r w:rsidRPr="002D2EAC">
        <w:rPr>
          <w:color w:val="auto"/>
        </w:rPr>
        <w:t xml:space="preserve">Table </w:t>
      </w:r>
      <w:r w:rsidRPr="002D2EAC">
        <w:rPr>
          <w:color w:val="auto"/>
        </w:rPr>
        <w:fldChar w:fldCharType="begin"/>
      </w:r>
      <w:r w:rsidRPr="002D2EAC">
        <w:rPr>
          <w:color w:val="auto"/>
        </w:rPr>
        <w:instrText xml:space="preserve"> SEQ Table \* ARABIC </w:instrText>
      </w:r>
      <w:r w:rsidRPr="002D2EAC">
        <w:rPr>
          <w:color w:val="auto"/>
        </w:rPr>
        <w:fldChar w:fldCharType="separate"/>
      </w:r>
      <w:r w:rsidR="009B630A">
        <w:rPr>
          <w:noProof/>
          <w:color w:val="auto"/>
        </w:rPr>
        <w:t>8</w:t>
      </w:r>
      <w:r w:rsidRPr="002D2EAC">
        <w:rPr>
          <w:color w:val="auto"/>
        </w:rPr>
        <w:fldChar w:fldCharType="end"/>
      </w:r>
      <w:r w:rsidRPr="002D2EAC">
        <w:rPr>
          <w:color w:val="auto"/>
        </w:rPr>
        <w:t>: Communication artefacts hosted on DSS Engage during consultation</w:t>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9: Communication artefacts hosted on DSS Engage during consultation"/>
        <w:tblDescription w:val="Table 9 provides an overview of the communication artefacts and materials hosted on DSS Engage during consultation. The Table has 2 columns. Column 1 lists the communication artefacts and Column 2 describes their purpose and role in consultation."/>
      </w:tblPr>
      <w:tblGrid>
        <w:gridCol w:w="4283"/>
        <w:gridCol w:w="4702"/>
      </w:tblGrid>
      <w:tr w:rsidR="00AE219F" w:rsidRPr="00964881" w14:paraId="4FB66181" w14:textId="77777777" w:rsidTr="00857DE3">
        <w:trPr>
          <w:trHeight w:val="502"/>
          <w:tblHeader/>
        </w:trPr>
        <w:tc>
          <w:tcPr>
            <w:tcW w:w="4283" w:type="dxa"/>
            <w:vAlign w:val="center"/>
          </w:tcPr>
          <w:p w14:paraId="31C5CE07" w14:textId="77777777" w:rsidR="00AE219F" w:rsidRPr="00964881" w:rsidRDefault="00AE219F" w:rsidP="00857DE3">
            <w:pPr>
              <w:pStyle w:val="Tableheading"/>
            </w:pPr>
            <w:r>
              <w:rPr>
                <w:lang w:eastAsia="en-AU"/>
              </w:rPr>
              <w:t>Communication artefacts</w:t>
            </w:r>
          </w:p>
        </w:tc>
        <w:tc>
          <w:tcPr>
            <w:tcW w:w="4702" w:type="dxa"/>
            <w:vAlign w:val="center"/>
          </w:tcPr>
          <w:p w14:paraId="0C7DC334" w14:textId="77777777" w:rsidR="00AE219F" w:rsidRPr="00964881" w:rsidRDefault="00AE219F" w:rsidP="00857DE3">
            <w:pPr>
              <w:pStyle w:val="Tableheading"/>
            </w:pPr>
            <w:r>
              <w:rPr>
                <w:lang w:eastAsia="en-AU"/>
              </w:rPr>
              <w:t>Purpose</w:t>
            </w:r>
          </w:p>
        </w:tc>
      </w:tr>
      <w:tr w:rsidR="00AE219F" w:rsidRPr="00964881" w14:paraId="32331749" w14:textId="77777777" w:rsidTr="00857DE3">
        <w:trPr>
          <w:trHeight w:val="359"/>
        </w:trPr>
        <w:tc>
          <w:tcPr>
            <w:tcW w:w="4283" w:type="dxa"/>
          </w:tcPr>
          <w:p w14:paraId="22C773DF" w14:textId="3CC21202" w:rsidR="00AE219F" w:rsidRPr="004A74AE" w:rsidRDefault="00AE219F" w:rsidP="00857DE3">
            <w:pPr>
              <w:pStyle w:val="Tabletext"/>
              <w:rPr>
                <w:b/>
                <w:color w:val="000000" w:themeColor="text1"/>
              </w:rPr>
            </w:pPr>
            <w:r w:rsidRPr="004A74AE">
              <w:rPr>
                <w:b/>
              </w:rPr>
              <w:t xml:space="preserve">Discussion </w:t>
            </w:r>
            <w:r w:rsidR="004B6C9A">
              <w:rPr>
                <w:b/>
              </w:rPr>
              <w:t>P</w:t>
            </w:r>
            <w:r w:rsidRPr="004A74AE">
              <w:rPr>
                <w:b/>
              </w:rPr>
              <w:t>aper</w:t>
            </w:r>
          </w:p>
        </w:tc>
        <w:tc>
          <w:tcPr>
            <w:tcW w:w="4702" w:type="dxa"/>
          </w:tcPr>
          <w:p w14:paraId="58B4FBF7" w14:textId="77777777" w:rsidR="00AE219F" w:rsidRPr="005C5C59" w:rsidRDefault="00AE219F" w:rsidP="00857DE3">
            <w:pPr>
              <w:pStyle w:val="Tabletext"/>
            </w:pPr>
            <w:r w:rsidRPr="005C5C59">
              <w:t xml:space="preserve">A document to aid stakeholders in making submissions by describing the purpose of the consultation and the key topics under consultation. </w:t>
            </w:r>
            <w:r>
              <w:t xml:space="preserve">This was published on DSS Engage. </w:t>
            </w:r>
          </w:p>
        </w:tc>
      </w:tr>
      <w:tr w:rsidR="00AE219F" w:rsidRPr="00964881" w14:paraId="65289DA8" w14:textId="77777777" w:rsidTr="00857DE3">
        <w:trPr>
          <w:trHeight w:val="359"/>
        </w:trPr>
        <w:tc>
          <w:tcPr>
            <w:tcW w:w="4283" w:type="dxa"/>
          </w:tcPr>
          <w:p w14:paraId="6D111C37" w14:textId="77777777" w:rsidR="00AE219F" w:rsidRPr="004A74AE" w:rsidRDefault="00AE219F" w:rsidP="00857DE3">
            <w:pPr>
              <w:pStyle w:val="Tabletext"/>
              <w:rPr>
                <w:b/>
              </w:rPr>
            </w:pPr>
            <w:r w:rsidRPr="004A74AE">
              <w:rPr>
                <w:b/>
              </w:rPr>
              <w:t xml:space="preserve">Info sheet: privacy and how submissions are managed  </w:t>
            </w:r>
          </w:p>
          <w:p w14:paraId="44745BDF" w14:textId="77777777" w:rsidR="00AE219F" w:rsidRPr="004A74AE" w:rsidRDefault="00AE219F" w:rsidP="00857DE3">
            <w:pPr>
              <w:pStyle w:val="Tabletext"/>
              <w:rPr>
                <w:b/>
                <w:color w:val="000000" w:themeColor="text1"/>
              </w:rPr>
            </w:pPr>
          </w:p>
        </w:tc>
        <w:tc>
          <w:tcPr>
            <w:tcW w:w="4702" w:type="dxa"/>
          </w:tcPr>
          <w:p w14:paraId="3EF55773" w14:textId="77777777" w:rsidR="00AE219F" w:rsidRPr="005C5C59" w:rsidRDefault="00AE219F" w:rsidP="00857DE3">
            <w:pPr>
              <w:pStyle w:val="Tabletext"/>
            </w:pPr>
            <w:r w:rsidRPr="005C5C59">
              <w:t>A simple explanation of how participants’ information will be used, including how their submission will be represented in reporting.</w:t>
            </w:r>
            <w:r>
              <w:t xml:space="preserve"> This was published on DSS Engage.</w:t>
            </w:r>
          </w:p>
        </w:tc>
      </w:tr>
      <w:tr w:rsidR="00AE219F" w:rsidRPr="00964881" w14:paraId="22E0C09A" w14:textId="77777777" w:rsidTr="00857DE3">
        <w:trPr>
          <w:trHeight w:val="359"/>
        </w:trPr>
        <w:tc>
          <w:tcPr>
            <w:tcW w:w="4283" w:type="dxa"/>
          </w:tcPr>
          <w:p w14:paraId="62352FCA" w14:textId="77777777" w:rsidR="00AE219F" w:rsidRPr="004A74AE" w:rsidRDefault="00AE219F" w:rsidP="00857DE3">
            <w:pPr>
              <w:pStyle w:val="Tabletext"/>
              <w:rPr>
                <w:b/>
              </w:rPr>
            </w:pPr>
            <w:r w:rsidRPr="004A74AE">
              <w:rPr>
                <w:b/>
              </w:rPr>
              <w:t>Third party media kit</w:t>
            </w:r>
          </w:p>
        </w:tc>
        <w:tc>
          <w:tcPr>
            <w:tcW w:w="4702" w:type="dxa"/>
          </w:tcPr>
          <w:p w14:paraId="2D773898" w14:textId="77777777" w:rsidR="00AE219F" w:rsidRPr="008D7CEB" w:rsidRDefault="00AE219F" w:rsidP="00857DE3">
            <w:pPr>
              <w:pStyle w:val="Tabletext"/>
            </w:pPr>
            <w:r w:rsidRPr="008D7CEB">
              <w:t>Materials for stakeholders to share with their own customers and stakeholders, including:</w:t>
            </w:r>
          </w:p>
          <w:p w14:paraId="51C2DB63" w14:textId="6B2D2307" w:rsidR="00AE219F" w:rsidRPr="0045708F" w:rsidRDefault="00AE219F" w:rsidP="0045708F">
            <w:pPr>
              <w:pStyle w:val="TableBullet1"/>
            </w:pPr>
            <w:r w:rsidRPr="0045708F">
              <w:t>Paragraph about the review – for inclusion into emails or newsletters</w:t>
            </w:r>
            <w:r w:rsidR="004B6C9A" w:rsidRPr="0045708F">
              <w:t>;</w:t>
            </w:r>
          </w:p>
          <w:p w14:paraId="3B673956" w14:textId="6A0CBE66" w:rsidR="00AE219F" w:rsidRPr="0045708F" w:rsidRDefault="00AE219F" w:rsidP="0045708F">
            <w:pPr>
              <w:pStyle w:val="TableBullet1"/>
            </w:pPr>
            <w:r w:rsidRPr="0045708F">
              <w:t>Approved graphics</w:t>
            </w:r>
            <w:r w:rsidR="004B6C9A" w:rsidRPr="0045708F">
              <w:t>; and</w:t>
            </w:r>
          </w:p>
          <w:p w14:paraId="020F5FF4" w14:textId="6A974CFA" w:rsidR="00AE219F" w:rsidRPr="005C5C59" w:rsidRDefault="00AE219F" w:rsidP="0045708F">
            <w:pPr>
              <w:pStyle w:val="TableBullet1"/>
            </w:pPr>
            <w:r w:rsidRPr="0045708F">
              <w:t>Instructions for sharing to social media including holding</w:t>
            </w:r>
            <w:r w:rsidRPr="008D7CEB">
              <w:t xml:space="preserve"> statement – for inclusion into social media posts</w:t>
            </w:r>
            <w:r w:rsidR="004B6C9A">
              <w:t>.</w:t>
            </w:r>
          </w:p>
        </w:tc>
      </w:tr>
    </w:tbl>
    <w:p w14:paraId="0D76BCDF" w14:textId="77777777" w:rsidR="00B85E8D" w:rsidRDefault="00B85E8D" w:rsidP="0045708F">
      <w:pPr>
        <w:pStyle w:val="BodyText1"/>
      </w:pPr>
    </w:p>
    <w:p w14:paraId="56C623F1" w14:textId="52E444DF" w:rsidR="00AE219F" w:rsidRDefault="002D2EAC" w:rsidP="002D2EAC">
      <w:pPr>
        <w:pStyle w:val="Caption"/>
        <w:rPr>
          <w:color w:val="auto"/>
        </w:rPr>
      </w:pPr>
      <w:bookmarkStart w:id="27" w:name="_Ref103931941"/>
      <w:r w:rsidRPr="002D2EAC">
        <w:rPr>
          <w:color w:val="auto"/>
        </w:rPr>
        <w:t xml:space="preserve">Table </w:t>
      </w:r>
      <w:r w:rsidRPr="002D2EAC">
        <w:rPr>
          <w:color w:val="auto"/>
        </w:rPr>
        <w:fldChar w:fldCharType="begin"/>
      </w:r>
      <w:r w:rsidRPr="002D2EAC">
        <w:rPr>
          <w:color w:val="auto"/>
        </w:rPr>
        <w:instrText xml:space="preserve"> SEQ Table \* ARABIC </w:instrText>
      </w:r>
      <w:r w:rsidRPr="002D2EAC">
        <w:rPr>
          <w:color w:val="auto"/>
        </w:rPr>
        <w:fldChar w:fldCharType="separate"/>
      </w:r>
      <w:r w:rsidR="009B630A">
        <w:rPr>
          <w:noProof/>
          <w:color w:val="auto"/>
        </w:rPr>
        <w:t>9</w:t>
      </w:r>
      <w:r w:rsidRPr="002D2EAC">
        <w:rPr>
          <w:color w:val="auto"/>
        </w:rPr>
        <w:fldChar w:fldCharType="end"/>
      </w:r>
      <w:r w:rsidRPr="002D2EAC">
        <w:rPr>
          <w:color w:val="auto"/>
        </w:rPr>
        <w:t>: Communication activities prior to and during consultation</w:t>
      </w:r>
      <w:bookmarkEnd w:id="27"/>
    </w:p>
    <w:p w14:paraId="0FE09B29" w14:textId="67865753" w:rsidR="00027D50" w:rsidRPr="00027D50" w:rsidRDefault="00027D50" w:rsidP="0045708F">
      <w:pPr>
        <w:pStyle w:val="BodyText1"/>
      </w:pPr>
      <w:r>
        <w:t>The following communication activities were designed to raise awareness of the consultation and encourage submissions throughout the consultation period.</w:t>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0: Communication activities prior to and during consultation"/>
        <w:tblDescription w:val="Table 10 provides an overview of the communication activities that were undertaken by both KPMG and DSS prior to and during consultation. The Table has 2 columns. Column 1 lists the communication activities and Column 2 provides a description of what the activity was and when it was actioned prior to or during the consultation period."/>
      </w:tblPr>
      <w:tblGrid>
        <w:gridCol w:w="4283"/>
        <w:gridCol w:w="4702"/>
      </w:tblGrid>
      <w:tr w:rsidR="00AE219F" w:rsidRPr="00964881" w14:paraId="07D5C52C" w14:textId="77777777" w:rsidTr="0064228B">
        <w:trPr>
          <w:trHeight w:val="502"/>
          <w:tblHeader/>
        </w:trPr>
        <w:tc>
          <w:tcPr>
            <w:tcW w:w="4283" w:type="dxa"/>
            <w:vAlign w:val="center"/>
          </w:tcPr>
          <w:p w14:paraId="0A5DC5D9" w14:textId="77777777" w:rsidR="00AE219F" w:rsidRPr="00964881" w:rsidRDefault="00AE219F" w:rsidP="00857DE3">
            <w:pPr>
              <w:pStyle w:val="Tableheading"/>
            </w:pPr>
            <w:r>
              <w:rPr>
                <w:lang w:eastAsia="en-AU"/>
              </w:rPr>
              <w:t>Communication activities</w:t>
            </w:r>
          </w:p>
        </w:tc>
        <w:tc>
          <w:tcPr>
            <w:tcW w:w="4702" w:type="dxa"/>
            <w:vAlign w:val="center"/>
          </w:tcPr>
          <w:p w14:paraId="4A7BBB85" w14:textId="1AA2D06E" w:rsidR="00AE219F" w:rsidRPr="00561AFD" w:rsidRDefault="005A2C82" w:rsidP="00857DE3">
            <w:pPr>
              <w:pStyle w:val="Tableheading"/>
            </w:pPr>
            <w:r>
              <w:t>Description &amp; date actioned</w:t>
            </w:r>
          </w:p>
        </w:tc>
      </w:tr>
      <w:tr w:rsidR="00AE219F" w:rsidRPr="00964881" w14:paraId="3327A54D" w14:textId="77777777" w:rsidTr="00857DE3">
        <w:trPr>
          <w:trHeight w:val="359"/>
        </w:trPr>
        <w:tc>
          <w:tcPr>
            <w:tcW w:w="4283" w:type="dxa"/>
          </w:tcPr>
          <w:p w14:paraId="2EF9D305" w14:textId="77777777" w:rsidR="00AE219F" w:rsidRPr="004A74AE" w:rsidRDefault="00AE219F" w:rsidP="00857DE3">
            <w:pPr>
              <w:pStyle w:val="Tabletext"/>
              <w:rPr>
                <w:b/>
                <w:color w:val="000000" w:themeColor="text1"/>
              </w:rPr>
            </w:pPr>
            <w:r w:rsidRPr="004A74AE">
              <w:rPr>
                <w:b/>
              </w:rPr>
              <w:t>Consultation launch email</w:t>
            </w:r>
          </w:p>
        </w:tc>
        <w:tc>
          <w:tcPr>
            <w:tcW w:w="4702" w:type="dxa"/>
          </w:tcPr>
          <w:p w14:paraId="41213CD6" w14:textId="4F56640C" w:rsidR="00AE219F" w:rsidRPr="009507C3" w:rsidRDefault="00AE219F" w:rsidP="00857DE3">
            <w:pPr>
              <w:pStyle w:val="Tabletext"/>
              <w:rPr>
                <w:rFonts w:cs="Arial"/>
                <w:color w:val="000000"/>
                <w:kern w:val="24"/>
              </w:rPr>
            </w:pPr>
            <w:r>
              <w:t>For all organisations that had a corresponding email address, they were sent an email that announced co</w:t>
            </w:r>
            <w:r w:rsidRPr="009507C3">
              <w:t xml:space="preserve">nsultation was </w:t>
            </w:r>
            <w:r>
              <w:t xml:space="preserve">open </w:t>
            </w:r>
            <w:r w:rsidRPr="009507C3">
              <w:t>on 15 March 2022. Organisations without a publicly available email address or whereby a ‘bounce-back’ email was received</w:t>
            </w:r>
            <w:r w:rsidR="004B6C9A">
              <w:t>,</w:t>
            </w:r>
            <w:r w:rsidRPr="009507C3">
              <w:t xml:space="preserve"> were </w:t>
            </w:r>
            <w:r>
              <w:t>attempted to be c</w:t>
            </w:r>
            <w:r w:rsidRPr="009507C3">
              <w:t xml:space="preserve">ontacted via phone. </w:t>
            </w:r>
          </w:p>
        </w:tc>
      </w:tr>
      <w:tr w:rsidR="00AE219F" w:rsidRPr="00964881" w14:paraId="0472C80A" w14:textId="77777777" w:rsidTr="00857DE3">
        <w:trPr>
          <w:trHeight w:val="359"/>
        </w:trPr>
        <w:tc>
          <w:tcPr>
            <w:tcW w:w="4283" w:type="dxa"/>
            <w:shd w:val="clear" w:color="auto" w:fill="auto"/>
          </w:tcPr>
          <w:p w14:paraId="12FD405C" w14:textId="77777777" w:rsidR="00AE219F" w:rsidRPr="004A74AE" w:rsidRDefault="00AE219F" w:rsidP="00857DE3">
            <w:pPr>
              <w:pStyle w:val="Tabletext"/>
              <w:rPr>
                <w:b/>
                <w:color w:val="000000" w:themeColor="text1"/>
              </w:rPr>
            </w:pPr>
            <w:r w:rsidRPr="004A74AE">
              <w:rPr>
                <w:b/>
              </w:rPr>
              <w:t>Social media posts</w:t>
            </w:r>
          </w:p>
        </w:tc>
        <w:tc>
          <w:tcPr>
            <w:tcW w:w="4702" w:type="dxa"/>
            <w:shd w:val="clear" w:color="auto" w:fill="auto"/>
          </w:tcPr>
          <w:p w14:paraId="189AC48B" w14:textId="77777777" w:rsidR="00AE219F" w:rsidRPr="00282B07" w:rsidRDefault="00AE219F" w:rsidP="00857DE3">
            <w:pPr>
              <w:pStyle w:val="Tabletext"/>
              <w:rPr>
                <w:rFonts w:cs="Arial"/>
                <w:color w:val="000000"/>
                <w:kern w:val="24"/>
              </w:rPr>
            </w:pPr>
            <w:r w:rsidRPr="00282B07">
              <w:t xml:space="preserve">DSS posted to Facebook promoting the consultation to the ‘Australian Families’ page on 22 March and </w:t>
            </w:r>
            <w:r>
              <w:t xml:space="preserve">8 </w:t>
            </w:r>
            <w:r w:rsidRPr="00282B07">
              <w:t xml:space="preserve">April 2022. </w:t>
            </w:r>
          </w:p>
        </w:tc>
      </w:tr>
      <w:tr w:rsidR="00AE219F" w:rsidRPr="00964881" w14:paraId="3C7EE01C" w14:textId="77777777" w:rsidTr="00857DE3">
        <w:trPr>
          <w:trHeight w:val="359"/>
        </w:trPr>
        <w:tc>
          <w:tcPr>
            <w:tcW w:w="4283" w:type="dxa"/>
          </w:tcPr>
          <w:p w14:paraId="4270DC4F" w14:textId="77777777" w:rsidR="00AE219F" w:rsidRPr="004A74AE" w:rsidRDefault="00AE219F" w:rsidP="00857DE3">
            <w:pPr>
              <w:pStyle w:val="Tabletext"/>
              <w:rPr>
                <w:rFonts w:eastAsiaTheme="minorEastAsia"/>
                <w:b/>
                <w:color w:val="000000" w:themeColor="dark1"/>
                <w:kern w:val="24"/>
              </w:rPr>
            </w:pPr>
            <w:r w:rsidRPr="004A74AE">
              <w:rPr>
                <w:b/>
              </w:rPr>
              <w:t xml:space="preserve">Reminder emails </w:t>
            </w:r>
          </w:p>
        </w:tc>
        <w:tc>
          <w:tcPr>
            <w:tcW w:w="4702" w:type="dxa"/>
          </w:tcPr>
          <w:p w14:paraId="7EC090C5" w14:textId="77777777" w:rsidR="00AE219F" w:rsidRPr="00282B07" w:rsidRDefault="00AE219F" w:rsidP="00857DE3">
            <w:pPr>
              <w:pStyle w:val="Tabletext"/>
              <w:rPr>
                <w:rFonts w:cs="Arial"/>
                <w:color w:val="000000"/>
                <w:kern w:val="24"/>
              </w:rPr>
            </w:pPr>
            <w:r>
              <w:t>Three</w:t>
            </w:r>
            <w:r w:rsidRPr="00282B07">
              <w:t xml:space="preserve"> reminder emails informing stakeholders the consultation was due to close was sent on </w:t>
            </w:r>
            <w:r>
              <w:t>28 March, 13 April</w:t>
            </w:r>
            <w:r w:rsidRPr="00282B07">
              <w:t xml:space="preserve"> and 2</w:t>
            </w:r>
            <w:r>
              <w:t xml:space="preserve">1 </w:t>
            </w:r>
            <w:r w:rsidRPr="00282B07">
              <w:t xml:space="preserve">April 2022. </w:t>
            </w:r>
          </w:p>
        </w:tc>
      </w:tr>
      <w:tr w:rsidR="00AE219F" w:rsidRPr="00964881" w14:paraId="3E71F652" w14:textId="77777777" w:rsidTr="00857DE3">
        <w:trPr>
          <w:trHeight w:val="359"/>
        </w:trPr>
        <w:tc>
          <w:tcPr>
            <w:tcW w:w="4283" w:type="dxa"/>
            <w:shd w:val="clear" w:color="auto" w:fill="auto"/>
          </w:tcPr>
          <w:p w14:paraId="6A686677" w14:textId="77777777" w:rsidR="00AE219F" w:rsidRPr="004A74AE" w:rsidRDefault="00AE219F" w:rsidP="00857DE3">
            <w:pPr>
              <w:pStyle w:val="Tabletext"/>
              <w:rPr>
                <w:b/>
              </w:rPr>
            </w:pPr>
            <w:r w:rsidRPr="004A74AE">
              <w:rPr>
                <w:b/>
              </w:rPr>
              <w:t>Emails from secretariat</w:t>
            </w:r>
          </w:p>
        </w:tc>
        <w:tc>
          <w:tcPr>
            <w:tcW w:w="4702" w:type="dxa"/>
            <w:shd w:val="clear" w:color="auto" w:fill="auto"/>
          </w:tcPr>
          <w:p w14:paraId="422FCA55" w14:textId="77777777" w:rsidR="00AE219F" w:rsidRPr="00282B07" w:rsidRDefault="00AE219F" w:rsidP="00857DE3">
            <w:pPr>
              <w:pStyle w:val="Tabletext"/>
              <w:rPr>
                <w:b/>
              </w:rPr>
            </w:pPr>
            <w:r w:rsidRPr="00282B07">
              <w:t>Emails from DSS and SA CSAG Secretariats were sent to their members to promote awareness of consultation and encourage feedback via DSS Engage.</w:t>
            </w:r>
          </w:p>
        </w:tc>
      </w:tr>
      <w:tr w:rsidR="00AE219F" w:rsidRPr="00964881" w14:paraId="4ED4D0B4" w14:textId="77777777" w:rsidTr="00857DE3">
        <w:trPr>
          <w:trHeight w:val="359"/>
        </w:trPr>
        <w:tc>
          <w:tcPr>
            <w:tcW w:w="4283" w:type="dxa"/>
            <w:shd w:val="clear" w:color="auto" w:fill="auto"/>
          </w:tcPr>
          <w:p w14:paraId="350380A8" w14:textId="77777777" w:rsidR="00AE219F" w:rsidRPr="004A74AE" w:rsidRDefault="00AE219F" w:rsidP="00857DE3">
            <w:pPr>
              <w:pStyle w:val="Tabletext"/>
              <w:rPr>
                <w:b/>
              </w:rPr>
            </w:pPr>
            <w:r w:rsidRPr="004A74AE">
              <w:rPr>
                <w:b/>
              </w:rPr>
              <w:lastRenderedPageBreak/>
              <w:t>Third-party media kit &amp; PDF download</w:t>
            </w:r>
          </w:p>
        </w:tc>
        <w:tc>
          <w:tcPr>
            <w:tcW w:w="4702" w:type="dxa"/>
            <w:shd w:val="clear" w:color="auto" w:fill="auto"/>
          </w:tcPr>
          <w:p w14:paraId="626B70D7" w14:textId="77777777" w:rsidR="00AE219F" w:rsidRPr="00282B07" w:rsidRDefault="00AE219F" w:rsidP="00857DE3">
            <w:pPr>
              <w:pStyle w:val="Tabletext"/>
            </w:pPr>
            <w:r>
              <w:t>A third-party media kit and one-pager were created to</w:t>
            </w:r>
            <w:r w:rsidRPr="005A1A38">
              <w:t xml:space="preserve"> enable organisations to share information about the consultation with their customers and stakeholders, through existing channels – such as emails, social media or newsletters.</w:t>
            </w:r>
            <w:r>
              <w:t xml:space="preserve"> Development of these materials aligned to c</w:t>
            </w:r>
            <w:r w:rsidRPr="005A1A38">
              <w:t xml:space="preserve">onsultation </w:t>
            </w:r>
            <w:r>
              <w:t>needing to</w:t>
            </w:r>
            <w:r w:rsidRPr="005A1A38">
              <w:t xml:space="preserve"> be accessible and inclusive</w:t>
            </w:r>
            <w:r>
              <w:t>. Three organisations requested to be sent the third-party media kit and PDF one-pager.</w:t>
            </w:r>
          </w:p>
        </w:tc>
      </w:tr>
      <w:tr w:rsidR="00AE219F" w:rsidRPr="00964881" w14:paraId="5409CD45" w14:textId="77777777" w:rsidTr="00857DE3">
        <w:trPr>
          <w:trHeight w:val="359"/>
        </w:trPr>
        <w:tc>
          <w:tcPr>
            <w:tcW w:w="4283" w:type="dxa"/>
            <w:shd w:val="clear" w:color="auto" w:fill="auto"/>
          </w:tcPr>
          <w:p w14:paraId="5557791C" w14:textId="77777777" w:rsidR="00AE219F" w:rsidRPr="000A65DA" w:rsidRDefault="00AE219F" w:rsidP="00857DE3">
            <w:pPr>
              <w:pStyle w:val="Tabletext"/>
              <w:rPr>
                <w:b/>
              </w:rPr>
            </w:pPr>
            <w:r w:rsidRPr="000A65DA">
              <w:rPr>
                <w:b/>
              </w:rPr>
              <w:t>Email inviting peak organisations to 1:1 consultation</w:t>
            </w:r>
          </w:p>
        </w:tc>
        <w:tc>
          <w:tcPr>
            <w:tcW w:w="4702" w:type="dxa"/>
            <w:shd w:val="clear" w:color="auto" w:fill="auto"/>
          </w:tcPr>
          <w:p w14:paraId="17CDFA58" w14:textId="26469C4D" w:rsidR="00AE219F" w:rsidRPr="00D82A1D" w:rsidRDefault="00AE219F" w:rsidP="00857DE3">
            <w:pPr>
              <w:pStyle w:val="Tabletext"/>
            </w:pPr>
            <w:r w:rsidRPr="00D82A1D">
              <w:t xml:space="preserve">In consultation with DSS, KPMG identified 15 peak organisations to contact via email to invite them to have a </w:t>
            </w:r>
            <w:r w:rsidR="00B4241C">
              <w:t>one-on-one</w:t>
            </w:r>
            <w:r w:rsidRPr="00D82A1D">
              <w:t xml:space="preserve"> interview</w:t>
            </w:r>
            <w:r>
              <w:t xml:space="preserve"> with KPMG</w:t>
            </w:r>
            <w:r w:rsidRPr="00D82A1D">
              <w:t xml:space="preserve">. The interview would provide an opportunity for the organisations to provide their feedback on the legislatively change. In addition, two organisations independently raised an interest in having a </w:t>
            </w:r>
            <w:r w:rsidR="00B4241C">
              <w:t>one-on-one</w:t>
            </w:r>
            <w:r w:rsidRPr="00D82A1D">
              <w:t xml:space="preserve"> discussion with KPMG. Interviews were scheduled on a ‘best efforts’ basis prior to </w:t>
            </w:r>
            <w:r w:rsidR="00B4241C">
              <w:t>close of business</w:t>
            </w:r>
            <w:r w:rsidRPr="00D82A1D">
              <w:t xml:space="preserve"> </w:t>
            </w:r>
            <w:r w:rsidR="00B4241C">
              <w:t>(</w:t>
            </w:r>
            <w:r w:rsidRPr="00D82A1D">
              <w:t>COB</w:t>
            </w:r>
            <w:r w:rsidR="00B4241C">
              <w:t>)</w:t>
            </w:r>
            <w:r w:rsidRPr="00D82A1D">
              <w:t xml:space="preserve"> 3 May 2022. 11 organisations responded and 5 interviews were completed.  </w:t>
            </w:r>
          </w:p>
        </w:tc>
      </w:tr>
    </w:tbl>
    <w:p w14:paraId="774DD61B" w14:textId="08A1FECD" w:rsidR="00AE219F" w:rsidRDefault="00AE219F" w:rsidP="0045708F">
      <w:pPr>
        <w:pStyle w:val="BodyText1"/>
      </w:pPr>
    </w:p>
    <w:p w14:paraId="679075C5" w14:textId="304C6026" w:rsidR="00D2314B" w:rsidRDefault="00B85E8D" w:rsidP="00B85E8D">
      <w:pPr>
        <w:pStyle w:val="Appendixheading"/>
      </w:pPr>
      <w:bookmarkStart w:id="28" w:name="_Ref103678222"/>
      <w:bookmarkStart w:id="29" w:name="_Toc104983822"/>
      <w:r>
        <w:lastRenderedPageBreak/>
        <w:t xml:space="preserve">: </w:t>
      </w:r>
      <w:r w:rsidR="0069005B">
        <w:t>Discussion</w:t>
      </w:r>
      <w:r w:rsidR="004B0BCB">
        <w:t xml:space="preserve"> Paper</w:t>
      </w:r>
      <w:bookmarkEnd w:id="28"/>
      <w:bookmarkEnd w:id="29"/>
    </w:p>
    <w:p w14:paraId="76FE3DFF" w14:textId="4FEA0BA3" w:rsidR="00D2314B" w:rsidRPr="0045708F" w:rsidRDefault="00D2314B" w:rsidP="0045708F">
      <w:pPr>
        <w:pStyle w:val="BodyText1"/>
        <w:rPr>
          <w:b/>
        </w:rPr>
      </w:pPr>
      <w:r w:rsidRPr="00D2314B">
        <w:t xml:space="preserve">The Discussion Paper was published online on DSS Engage and was available for stakeholders to download. </w:t>
      </w:r>
      <w:r w:rsidR="004B0BCB" w:rsidRPr="00D2314B">
        <w:tab/>
      </w:r>
    </w:p>
    <w:p w14:paraId="16A6AACC" w14:textId="1DA77278" w:rsidR="00D2314B" w:rsidRPr="00D66CDF" w:rsidRDefault="00D66CDF" w:rsidP="00D66CDF">
      <w:pPr>
        <w:pStyle w:val="Caption"/>
        <w:rPr>
          <w:color w:val="auto"/>
        </w:rPr>
      </w:pPr>
      <w:bookmarkStart w:id="30" w:name="_Ref103931965"/>
      <w:r w:rsidRPr="00D66CDF">
        <w:rPr>
          <w:color w:val="auto"/>
        </w:rPr>
        <w:t xml:space="preserve">Table </w:t>
      </w:r>
      <w:r w:rsidRPr="00D66CDF">
        <w:rPr>
          <w:color w:val="auto"/>
        </w:rPr>
        <w:fldChar w:fldCharType="begin"/>
      </w:r>
      <w:r w:rsidRPr="00D66CDF">
        <w:rPr>
          <w:color w:val="auto"/>
        </w:rPr>
        <w:instrText xml:space="preserve"> SEQ Table \* ARABIC </w:instrText>
      </w:r>
      <w:r w:rsidRPr="00D66CDF">
        <w:rPr>
          <w:color w:val="auto"/>
        </w:rPr>
        <w:fldChar w:fldCharType="separate"/>
      </w:r>
      <w:r w:rsidR="009B630A">
        <w:rPr>
          <w:noProof/>
          <w:color w:val="auto"/>
        </w:rPr>
        <w:t>10</w:t>
      </w:r>
      <w:r w:rsidRPr="00D66CDF">
        <w:rPr>
          <w:color w:val="auto"/>
        </w:rPr>
        <w:fldChar w:fldCharType="end"/>
      </w:r>
      <w:r w:rsidRPr="00D66CDF">
        <w:rPr>
          <w:color w:val="auto"/>
        </w:rPr>
        <w:t>: Discussion Paper published to DSS Engage</w:t>
      </w:r>
      <w:bookmarkEnd w:id="30"/>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1: Discussion Paper published to DSS Engage"/>
        <w:tblDescription w:val="Table 11 is the tabled format of the Discussion Paper which was uploaded to DSS Engage during the consultation period. The Table has 2 columns. Column 1 lists the different sections of the Discussion Paper and Column 2 contains the Discussion Paper content. This information is quite detailed as it represents the full Discussion Paper content as it was published on DSS Engage."/>
      </w:tblPr>
      <w:tblGrid>
        <w:gridCol w:w="2552"/>
        <w:gridCol w:w="6433"/>
      </w:tblGrid>
      <w:tr w:rsidR="00AE586F" w:rsidRPr="00CA2C01" w14:paraId="2BAE0677" w14:textId="77777777" w:rsidTr="4675547F">
        <w:trPr>
          <w:trHeight w:val="502"/>
          <w:tblHeader/>
        </w:trPr>
        <w:tc>
          <w:tcPr>
            <w:tcW w:w="2552" w:type="dxa"/>
            <w:vAlign w:val="center"/>
          </w:tcPr>
          <w:p w14:paraId="1A9ACC58" w14:textId="77777777" w:rsidR="00AE586F" w:rsidRPr="0045708F" w:rsidRDefault="00AE586F" w:rsidP="0045708F">
            <w:pPr>
              <w:pStyle w:val="Tableheading"/>
            </w:pPr>
            <w:r w:rsidRPr="0045708F">
              <w:t>Section</w:t>
            </w:r>
          </w:p>
        </w:tc>
        <w:tc>
          <w:tcPr>
            <w:tcW w:w="6433" w:type="dxa"/>
            <w:vAlign w:val="center"/>
          </w:tcPr>
          <w:p w14:paraId="3F9E018B" w14:textId="2CB1BC7D" w:rsidR="00AE586F" w:rsidRPr="0045708F" w:rsidRDefault="00AE586F" w:rsidP="0045708F">
            <w:pPr>
              <w:pStyle w:val="Tableheading"/>
            </w:pPr>
            <w:r w:rsidRPr="0045708F">
              <w:t>Discussion Paper content</w:t>
            </w:r>
          </w:p>
        </w:tc>
      </w:tr>
      <w:tr w:rsidR="00AE586F" w:rsidRPr="00CA2C01" w14:paraId="05FFA44A" w14:textId="77777777" w:rsidTr="4675547F">
        <w:trPr>
          <w:trHeight w:val="359"/>
        </w:trPr>
        <w:tc>
          <w:tcPr>
            <w:tcW w:w="2552" w:type="dxa"/>
          </w:tcPr>
          <w:p w14:paraId="4E3ADC52" w14:textId="38DBEA5A" w:rsidR="00AE586F" w:rsidRPr="0045708F" w:rsidRDefault="006540B0" w:rsidP="0045708F">
            <w:pPr>
              <w:pStyle w:val="Tabletext"/>
              <w:rPr>
                <w:b/>
                <w:bCs/>
              </w:rPr>
            </w:pPr>
            <w:r w:rsidRPr="0045708F">
              <w:rPr>
                <w:b/>
                <w:bCs/>
              </w:rPr>
              <w:t>Purpose of the paper</w:t>
            </w:r>
          </w:p>
        </w:tc>
        <w:tc>
          <w:tcPr>
            <w:tcW w:w="6433" w:type="dxa"/>
          </w:tcPr>
          <w:p w14:paraId="5EE29343" w14:textId="77777777" w:rsidR="00B113BA" w:rsidRPr="00DF53C8" w:rsidRDefault="00B113BA" w:rsidP="0045708F">
            <w:pPr>
              <w:pStyle w:val="Tabletext"/>
              <w:rPr>
                <w:szCs w:val="20"/>
              </w:rPr>
            </w:pPr>
            <w:r w:rsidRPr="00DF53C8">
              <w:rPr>
                <w:szCs w:val="20"/>
              </w:rPr>
              <w:t>The purpose of this Discussion Paper is to explain how individuals and organisations can share their views about the change from reporting employment income when it is earned to reporting paid income. This applies to people who receive a social security payment from the Australian Government – that is, anyone who receives pension or allowance from Services Australia. Services Australia is the agency responsible for Centrelink.</w:t>
            </w:r>
          </w:p>
          <w:p w14:paraId="35385046" w14:textId="77777777" w:rsidR="00B113BA" w:rsidRPr="00DF53C8" w:rsidRDefault="00B113BA" w:rsidP="0045708F">
            <w:pPr>
              <w:pStyle w:val="Tabletext"/>
              <w:rPr>
                <w:szCs w:val="20"/>
              </w:rPr>
            </w:pPr>
            <w:r w:rsidRPr="00DF53C8">
              <w:rPr>
                <w:szCs w:val="20"/>
              </w:rPr>
              <w:t>This Discussion Paper is for:</w:t>
            </w:r>
          </w:p>
          <w:p w14:paraId="4C6C6C97" w14:textId="39A97066" w:rsidR="00B113BA" w:rsidRPr="00DF53C8" w:rsidRDefault="00B113BA" w:rsidP="002B5A1B">
            <w:pPr>
              <w:pStyle w:val="TableBullet1"/>
              <w:rPr>
                <w:szCs w:val="20"/>
              </w:rPr>
            </w:pPr>
            <w:r w:rsidRPr="00DF53C8">
              <w:rPr>
                <w:szCs w:val="20"/>
              </w:rPr>
              <w:t>people receiving a social security payment, Farm Household Allowance or Status Resolution Support Services</w:t>
            </w:r>
            <w:r w:rsidR="00CA2C01" w:rsidRPr="00DF53C8">
              <w:rPr>
                <w:szCs w:val="20"/>
              </w:rPr>
              <w:t>.</w:t>
            </w:r>
            <w:r w:rsidR="00CA2C01" w:rsidRPr="00DF53C8">
              <w:rPr>
                <w:rStyle w:val="FootnoteReference"/>
                <w:szCs w:val="20"/>
              </w:rPr>
              <w:footnoteReference w:id="45"/>
            </w:r>
            <w:r w:rsidR="00CA2C01" w:rsidRPr="00DF53C8">
              <w:rPr>
                <w:szCs w:val="20"/>
              </w:rPr>
              <w:t xml:space="preserve"> </w:t>
            </w:r>
          </w:p>
          <w:p w14:paraId="768EAA8E" w14:textId="77777777" w:rsidR="00B113BA" w:rsidRPr="00DF53C8" w:rsidRDefault="00B113BA" w:rsidP="002B5A1B">
            <w:pPr>
              <w:pStyle w:val="TableBullet1"/>
              <w:rPr>
                <w:szCs w:val="20"/>
              </w:rPr>
            </w:pPr>
            <w:r w:rsidRPr="00DF53C8">
              <w:rPr>
                <w:szCs w:val="20"/>
              </w:rPr>
              <w:t>organisations who represent or advocate on behalf of people receiving a social security payment, including those with expertise in social security law and other areas of public policy.</w:t>
            </w:r>
          </w:p>
          <w:p w14:paraId="76250A0E" w14:textId="0319B3D5" w:rsidR="00AE586F" w:rsidRPr="00DF53C8" w:rsidRDefault="00B113BA" w:rsidP="002B5A1B">
            <w:pPr>
              <w:pStyle w:val="Tabletext"/>
              <w:rPr>
                <w:szCs w:val="20"/>
              </w:rPr>
            </w:pPr>
            <w:r w:rsidRPr="00DF53C8">
              <w:rPr>
                <w:szCs w:val="20"/>
              </w:rPr>
              <w:t xml:space="preserve">This Discussion Paper provides an overview of the consultation topic, </w:t>
            </w:r>
            <w:r w:rsidR="00CA2C01" w:rsidRPr="00DF53C8">
              <w:rPr>
                <w:szCs w:val="20"/>
              </w:rPr>
              <w:t>process,</w:t>
            </w:r>
            <w:r w:rsidRPr="00DF53C8">
              <w:rPr>
                <w:szCs w:val="20"/>
              </w:rPr>
              <w:t xml:space="preserve"> and guidance for stakeholders about how to share their views.</w:t>
            </w:r>
          </w:p>
        </w:tc>
      </w:tr>
      <w:tr w:rsidR="00B113BA" w:rsidRPr="00CA2C01" w14:paraId="0C3E7CED" w14:textId="77777777" w:rsidTr="4675547F">
        <w:trPr>
          <w:trHeight w:val="359"/>
        </w:trPr>
        <w:tc>
          <w:tcPr>
            <w:tcW w:w="2552" w:type="dxa"/>
          </w:tcPr>
          <w:p w14:paraId="70319DEE" w14:textId="2A97E580" w:rsidR="00B113BA" w:rsidRPr="0045708F" w:rsidRDefault="00B113BA" w:rsidP="0045708F">
            <w:pPr>
              <w:pStyle w:val="Tabletext"/>
              <w:rPr>
                <w:b/>
                <w:bCs/>
              </w:rPr>
            </w:pPr>
            <w:r w:rsidRPr="0045708F">
              <w:rPr>
                <w:b/>
                <w:bCs/>
              </w:rPr>
              <w:t>Aims of the consultation</w:t>
            </w:r>
          </w:p>
        </w:tc>
        <w:tc>
          <w:tcPr>
            <w:tcW w:w="6433" w:type="dxa"/>
          </w:tcPr>
          <w:p w14:paraId="5AA3C7DB" w14:textId="77777777" w:rsidR="0011065F" w:rsidRPr="00DF53C8" w:rsidRDefault="0011065F" w:rsidP="002B5A1B">
            <w:pPr>
              <w:pStyle w:val="Tabletext"/>
              <w:rPr>
                <w:szCs w:val="20"/>
              </w:rPr>
            </w:pPr>
            <w:r w:rsidRPr="00DF53C8">
              <w:rPr>
                <w:szCs w:val="20"/>
              </w:rPr>
              <w:t>The consultation seeks to understand the experiences of people reporting income from employment under the Paid Income Model, in comparison to the previous Earned Income Model.</w:t>
            </w:r>
          </w:p>
          <w:p w14:paraId="58370D2D" w14:textId="58E4DB98" w:rsidR="0011065F" w:rsidRPr="00DF53C8" w:rsidRDefault="0011065F" w:rsidP="002B5A1B">
            <w:pPr>
              <w:pStyle w:val="Tabletext"/>
              <w:rPr>
                <w:szCs w:val="20"/>
              </w:rPr>
            </w:pPr>
            <w:r w:rsidRPr="00DF53C8">
              <w:rPr>
                <w:szCs w:val="20"/>
              </w:rPr>
              <w:t xml:space="preserve">This consultation forms the basis of an independent review of the </w:t>
            </w:r>
            <w:r w:rsidRPr="00DF53C8">
              <w:rPr>
                <w:i/>
                <w:szCs w:val="20"/>
              </w:rPr>
              <w:t>Social Services and Other Legislati</w:t>
            </w:r>
            <w:r w:rsidR="00FE6B63">
              <w:rPr>
                <w:i/>
                <w:szCs w:val="20"/>
              </w:rPr>
              <w:t>on</w:t>
            </w:r>
            <w:r w:rsidRPr="00DF53C8">
              <w:rPr>
                <w:i/>
                <w:szCs w:val="20"/>
              </w:rPr>
              <w:t xml:space="preserve"> Amendment (Simplifying Income Reporting and Other Measures) Act 2020</w:t>
            </w:r>
            <w:r w:rsidRPr="00DF53C8">
              <w:rPr>
                <w:szCs w:val="20"/>
              </w:rPr>
              <w:t>. This Act changed the way that people receiving social security payment report how much money they receive from an employer.</w:t>
            </w:r>
          </w:p>
          <w:p w14:paraId="53015169" w14:textId="77777777" w:rsidR="0011065F" w:rsidRPr="00DF53C8" w:rsidRDefault="0011065F" w:rsidP="002B5A1B">
            <w:pPr>
              <w:pStyle w:val="Tabletext"/>
              <w:rPr>
                <w:szCs w:val="20"/>
              </w:rPr>
            </w:pPr>
            <w:r w:rsidRPr="00DF53C8">
              <w:rPr>
                <w:szCs w:val="20"/>
              </w:rPr>
              <w:t>The review is being undertaken by KPMG, a professional services firm with expertise in public engagement, government advisory and the human services sector.</w:t>
            </w:r>
          </w:p>
          <w:p w14:paraId="3A849B16" w14:textId="160F8089" w:rsidR="00B113BA" w:rsidRPr="00DF53C8" w:rsidRDefault="0011065F" w:rsidP="002B5A1B">
            <w:pPr>
              <w:pStyle w:val="Tabletext"/>
              <w:rPr>
                <w:szCs w:val="20"/>
              </w:rPr>
            </w:pPr>
            <w:r w:rsidRPr="00DF53C8">
              <w:rPr>
                <w:szCs w:val="20"/>
              </w:rPr>
              <w:t>Views expressed through the review will be summarised into a report, which will be provided to the Minister for Families and Social Services and tabled in Parliament.</w:t>
            </w:r>
          </w:p>
        </w:tc>
      </w:tr>
      <w:tr w:rsidR="0011065F" w:rsidRPr="00CA2C01" w14:paraId="241F5121" w14:textId="77777777" w:rsidTr="4675547F">
        <w:trPr>
          <w:trHeight w:val="359"/>
        </w:trPr>
        <w:tc>
          <w:tcPr>
            <w:tcW w:w="2552" w:type="dxa"/>
          </w:tcPr>
          <w:p w14:paraId="6FF9281A" w14:textId="7F1CCD90" w:rsidR="0011065F" w:rsidRPr="002B5A1B" w:rsidRDefault="0011065F" w:rsidP="002B5A1B">
            <w:pPr>
              <w:pStyle w:val="Tabletext"/>
              <w:rPr>
                <w:b/>
                <w:szCs w:val="20"/>
              </w:rPr>
            </w:pPr>
            <w:r w:rsidRPr="002B5A1B">
              <w:rPr>
                <w:b/>
                <w:szCs w:val="20"/>
              </w:rPr>
              <w:t>How to have your say</w:t>
            </w:r>
          </w:p>
        </w:tc>
        <w:tc>
          <w:tcPr>
            <w:tcW w:w="6433" w:type="dxa"/>
          </w:tcPr>
          <w:p w14:paraId="702B03B0" w14:textId="16D456EF" w:rsidR="00D94E67" w:rsidRPr="00DF53C8" w:rsidRDefault="00D94E67" w:rsidP="002B5A1B">
            <w:pPr>
              <w:pStyle w:val="Tabletext"/>
              <w:rPr>
                <w:szCs w:val="20"/>
              </w:rPr>
            </w:pPr>
            <w:r w:rsidRPr="00DF53C8">
              <w:rPr>
                <w:szCs w:val="20"/>
              </w:rPr>
              <w:t>Consultation is open from 15 March 2022 to 22 April 2022. During this time, individuals and organisations submit their views via the DSS Engage platform (</w:t>
            </w:r>
            <w:hyperlink r:id="rId20" w:history="1">
              <w:r w:rsidRPr="00DF53C8">
                <w:rPr>
                  <w:rStyle w:val="Hyperlink"/>
                  <w:color w:val="auto"/>
                  <w:sz w:val="20"/>
                  <w:szCs w:val="20"/>
                </w:rPr>
                <w:t>https://engage.dss.gov.au/</w:t>
              </w:r>
            </w:hyperlink>
            <w:r w:rsidRPr="00DF53C8">
              <w:rPr>
                <w:szCs w:val="20"/>
              </w:rPr>
              <w:t>), by either:</w:t>
            </w:r>
          </w:p>
          <w:p w14:paraId="3D396741" w14:textId="07C4410F" w:rsidR="00D94E67" w:rsidRPr="00DF53C8" w:rsidRDefault="00D94E67" w:rsidP="002B5A1B">
            <w:pPr>
              <w:pStyle w:val="TableBullet1"/>
              <w:rPr>
                <w:szCs w:val="20"/>
              </w:rPr>
            </w:pPr>
            <w:r w:rsidRPr="00DF53C8">
              <w:rPr>
                <w:szCs w:val="20"/>
              </w:rPr>
              <w:t>taking part in a short survey; or</w:t>
            </w:r>
          </w:p>
          <w:p w14:paraId="5E3B0D3E" w14:textId="12425AEA" w:rsidR="00D94E67" w:rsidRPr="00DF53C8" w:rsidRDefault="00D94E67" w:rsidP="002B5A1B">
            <w:pPr>
              <w:pStyle w:val="TableBullet1"/>
              <w:rPr>
                <w:szCs w:val="20"/>
              </w:rPr>
            </w:pPr>
            <w:r w:rsidRPr="00DF53C8">
              <w:rPr>
                <w:szCs w:val="20"/>
              </w:rPr>
              <w:t>lodging a written submission</w:t>
            </w:r>
            <w:r w:rsidR="00844329">
              <w:rPr>
                <w:szCs w:val="20"/>
              </w:rPr>
              <w:t>.</w:t>
            </w:r>
          </w:p>
          <w:p w14:paraId="1A77DB31" w14:textId="77777777" w:rsidR="00D94E67" w:rsidRPr="00DF53C8" w:rsidRDefault="00D94E67" w:rsidP="002B5A1B">
            <w:pPr>
              <w:pStyle w:val="Tabletext"/>
              <w:rPr>
                <w:szCs w:val="20"/>
              </w:rPr>
            </w:pPr>
            <w:r w:rsidRPr="00DF53C8">
              <w:rPr>
                <w:szCs w:val="20"/>
              </w:rPr>
              <w:t xml:space="preserve">All views will be considered. Responses will not be visible to anyone else and will not be directly attributed back to any individual or organisation. </w:t>
            </w:r>
            <w:r w:rsidRPr="00DF53C8">
              <w:rPr>
                <w:szCs w:val="20"/>
              </w:rPr>
              <w:lastRenderedPageBreak/>
              <w:t>More information about how feedback will be used is available on DSS Engage.</w:t>
            </w:r>
          </w:p>
          <w:p w14:paraId="4484578B" w14:textId="2B5766C1" w:rsidR="0011065F" w:rsidRPr="00DF53C8" w:rsidRDefault="00D94E67" w:rsidP="002B5A1B">
            <w:pPr>
              <w:pStyle w:val="Tabletext"/>
              <w:rPr>
                <w:szCs w:val="20"/>
              </w:rPr>
            </w:pPr>
            <w:r w:rsidRPr="00DF53C8">
              <w:rPr>
                <w:szCs w:val="20"/>
              </w:rPr>
              <w:t xml:space="preserve">Please email </w:t>
            </w:r>
            <w:hyperlink r:id="rId21" w:history="1">
              <w:r w:rsidRPr="00DF53C8">
                <w:rPr>
                  <w:rStyle w:val="Hyperlink"/>
                  <w:b/>
                  <w:color w:val="auto"/>
                  <w:sz w:val="20"/>
                  <w:szCs w:val="20"/>
                </w:rPr>
                <w:t>incomereporting@kpmg.com.au</w:t>
              </w:r>
            </w:hyperlink>
            <w:r w:rsidRPr="00DF53C8">
              <w:rPr>
                <w:b/>
                <w:szCs w:val="20"/>
              </w:rPr>
              <w:t xml:space="preserve"> </w:t>
            </w:r>
            <w:r w:rsidRPr="00DF53C8">
              <w:rPr>
                <w:szCs w:val="20"/>
              </w:rPr>
              <w:t>with any questions or requests for information.</w:t>
            </w:r>
          </w:p>
        </w:tc>
      </w:tr>
      <w:tr w:rsidR="00D94E67" w:rsidRPr="00CA2C01" w14:paraId="68E0C083" w14:textId="77777777" w:rsidTr="4675547F">
        <w:trPr>
          <w:trHeight w:val="359"/>
        </w:trPr>
        <w:tc>
          <w:tcPr>
            <w:tcW w:w="2552" w:type="dxa"/>
          </w:tcPr>
          <w:p w14:paraId="4ABE4B2A" w14:textId="08AB5556" w:rsidR="00D94E67" w:rsidRPr="002B5A1B" w:rsidRDefault="00D94E67" w:rsidP="002B5A1B">
            <w:pPr>
              <w:pStyle w:val="Tabletext"/>
              <w:rPr>
                <w:b/>
                <w:bCs/>
              </w:rPr>
            </w:pPr>
            <w:r w:rsidRPr="002B5A1B">
              <w:rPr>
                <w:b/>
                <w:bCs/>
              </w:rPr>
              <w:lastRenderedPageBreak/>
              <w:t>Who we want to hear from</w:t>
            </w:r>
          </w:p>
        </w:tc>
        <w:tc>
          <w:tcPr>
            <w:tcW w:w="6433" w:type="dxa"/>
          </w:tcPr>
          <w:p w14:paraId="456EF381" w14:textId="77777777" w:rsidR="00E76981" w:rsidRPr="00DF53C8" w:rsidRDefault="00E76981" w:rsidP="002B5A1B">
            <w:pPr>
              <w:pStyle w:val="Tabletext"/>
              <w:rPr>
                <w:szCs w:val="20"/>
              </w:rPr>
            </w:pPr>
            <w:r w:rsidRPr="00DF53C8">
              <w:rPr>
                <w:szCs w:val="20"/>
              </w:rPr>
              <w:t xml:space="preserve">We want to hear from anyone who receives a social security payment listed under section 2.2 below and reports employment income. This can also include a person’s nominee or partner. </w:t>
            </w:r>
          </w:p>
          <w:p w14:paraId="78EDD804" w14:textId="39D4080A" w:rsidR="00E76981" w:rsidRPr="00DF53C8" w:rsidRDefault="00E76981" w:rsidP="002B5A1B">
            <w:pPr>
              <w:pStyle w:val="Tabletext"/>
              <w:rPr>
                <w:szCs w:val="20"/>
              </w:rPr>
            </w:pPr>
            <w:r w:rsidRPr="00DF53C8">
              <w:rPr>
                <w:szCs w:val="20"/>
              </w:rPr>
              <w:t>We particularly want to hear from people who received social security payment prior to 7 December 2020, and who have continued to receive payment since that date. This is because you will have experienced the change from the Earned Income Model to the Paid Income Model.</w:t>
            </w:r>
            <w:r w:rsidR="00CA2C01" w:rsidRPr="00DF53C8">
              <w:rPr>
                <w:szCs w:val="20"/>
              </w:rPr>
              <w:t xml:space="preserve"> </w:t>
            </w:r>
            <w:r w:rsidRPr="00DF53C8">
              <w:rPr>
                <w:szCs w:val="20"/>
              </w:rPr>
              <w:t>We want to hear from all types of people, including:</w:t>
            </w:r>
          </w:p>
          <w:p w14:paraId="5784F841" w14:textId="77777777" w:rsidR="00E76981" w:rsidRPr="00DF53C8" w:rsidRDefault="00E76981" w:rsidP="002B5A1B">
            <w:pPr>
              <w:pStyle w:val="TableBullet1"/>
              <w:rPr>
                <w:szCs w:val="20"/>
              </w:rPr>
            </w:pPr>
            <w:r w:rsidRPr="00DF53C8">
              <w:rPr>
                <w:szCs w:val="20"/>
              </w:rPr>
              <w:t>people of all ages</w:t>
            </w:r>
          </w:p>
          <w:p w14:paraId="2334B78C" w14:textId="77777777" w:rsidR="00E76981" w:rsidRPr="00DF53C8" w:rsidRDefault="00E76981" w:rsidP="002B5A1B">
            <w:pPr>
              <w:pStyle w:val="TableBullet1"/>
              <w:rPr>
                <w:szCs w:val="20"/>
              </w:rPr>
            </w:pPr>
            <w:r w:rsidRPr="00DF53C8">
              <w:rPr>
                <w:szCs w:val="20"/>
              </w:rPr>
              <w:t>people of all genders</w:t>
            </w:r>
          </w:p>
          <w:p w14:paraId="387238D9" w14:textId="77777777" w:rsidR="00E76981" w:rsidRPr="00DF53C8" w:rsidRDefault="00E76981" w:rsidP="002B5A1B">
            <w:pPr>
              <w:pStyle w:val="TableBullet1"/>
              <w:rPr>
                <w:szCs w:val="20"/>
              </w:rPr>
            </w:pPr>
            <w:r w:rsidRPr="00DF53C8">
              <w:rPr>
                <w:szCs w:val="20"/>
              </w:rPr>
              <w:t>people all over Australia</w:t>
            </w:r>
          </w:p>
          <w:p w14:paraId="10FB9F26" w14:textId="77777777" w:rsidR="00E76981" w:rsidRPr="00DF53C8" w:rsidRDefault="00E76981" w:rsidP="002B5A1B">
            <w:pPr>
              <w:pStyle w:val="TableBullet1"/>
              <w:rPr>
                <w:szCs w:val="20"/>
              </w:rPr>
            </w:pPr>
            <w:r w:rsidRPr="00DF53C8">
              <w:rPr>
                <w:szCs w:val="20"/>
              </w:rPr>
              <w:t>Aboriginal and Torres Strait Islander People</w:t>
            </w:r>
          </w:p>
          <w:p w14:paraId="20151EC4" w14:textId="77777777" w:rsidR="00E76981" w:rsidRPr="00DF53C8" w:rsidRDefault="00E76981" w:rsidP="002B5A1B">
            <w:pPr>
              <w:pStyle w:val="TableBullet1"/>
              <w:rPr>
                <w:szCs w:val="20"/>
              </w:rPr>
            </w:pPr>
            <w:r w:rsidRPr="00DF53C8">
              <w:rPr>
                <w:szCs w:val="20"/>
              </w:rPr>
              <w:t>people from culturally and linguistically diverse backgrounds</w:t>
            </w:r>
          </w:p>
          <w:p w14:paraId="654A1440" w14:textId="77777777" w:rsidR="00E76981" w:rsidRPr="00DF53C8" w:rsidRDefault="00E76981" w:rsidP="002B5A1B">
            <w:pPr>
              <w:pStyle w:val="TableBullet1"/>
              <w:rPr>
                <w:szCs w:val="20"/>
              </w:rPr>
            </w:pPr>
            <w:r w:rsidRPr="00DF53C8">
              <w:rPr>
                <w:szCs w:val="20"/>
              </w:rPr>
              <w:t>people who are at risk of or are currently experiencing homelessness</w:t>
            </w:r>
          </w:p>
          <w:p w14:paraId="65F7CD4A" w14:textId="77777777" w:rsidR="00E76981" w:rsidRPr="00DF53C8" w:rsidRDefault="00E76981" w:rsidP="002B5A1B">
            <w:pPr>
              <w:pStyle w:val="TableBullet1"/>
              <w:rPr>
                <w:szCs w:val="20"/>
              </w:rPr>
            </w:pPr>
            <w:r w:rsidRPr="00DF53C8">
              <w:rPr>
                <w:szCs w:val="20"/>
              </w:rPr>
              <w:t>people with a disability</w:t>
            </w:r>
          </w:p>
          <w:p w14:paraId="6E8B7B41" w14:textId="77777777" w:rsidR="00E76981" w:rsidRPr="00DF53C8" w:rsidRDefault="00E76981" w:rsidP="002B5A1B">
            <w:pPr>
              <w:pStyle w:val="TableBullet1"/>
              <w:rPr>
                <w:szCs w:val="20"/>
              </w:rPr>
            </w:pPr>
            <w:r w:rsidRPr="00DF53C8">
              <w:rPr>
                <w:szCs w:val="20"/>
              </w:rPr>
              <w:t>people with health problems and mental illness</w:t>
            </w:r>
          </w:p>
          <w:p w14:paraId="7804519D" w14:textId="77777777" w:rsidR="00E76981" w:rsidRPr="00DF53C8" w:rsidRDefault="00E76981" w:rsidP="002B5A1B">
            <w:pPr>
              <w:pStyle w:val="TableBullet1"/>
              <w:rPr>
                <w:szCs w:val="20"/>
              </w:rPr>
            </w:pPr>
            <w:r w:rsidRPr="00DF53C8">
              <w:rPr>
                <w:szCs w:val="20"/>
              </w:rPr>
              <w:t>people who work and receive a social security payment, including job seekers, students, carers, pensioners, parents and veterans</w:t>
            </w:r>
          </w:p>
          <w:p w14:paraId="58BBEE8B" w14:textId="77777777" w:rsidR="00E76981" w:rsidRPr="00DF53C8" w:rsidRDefault="00E76981" w:rsidP="002B5A1B">
            <w:pPr>
              <w:pStyle w:val="TableBullet1"/>
              <w:rPr>
                <w:szCs w:val="20"/>
              </w:rPr>
            </w:pPr>
            <w:r w:rsidRPr="00DF53C8">
              <w:rPr>
                <w:szCs w:val="20"/>
              </w:rPr>
              <w:t>partners and caregivers of people receiving social security support.</w:t>
            </w:r>
          </w:p>
          <w:p w14:paraId="01565AA9" w14:textId="23DA87EE" w:rsidR="00D94E67" w:rsidRPr="00DF53C8" w:rsidRDefault="00E76981" w:rsidP="002B5A1B">
            <w:pPr>
              <w:pStyle w:val="Tabletext"/>
              <w:rPr>
                <w:szCs w:val="20"/>
              </w:rPr>
            </w:pPr>
            <w:r w:rsidRPr="00DF53C8">
              <w:rPr>
                <w:szCs w:val="20"/>
              </w:rPr>
              <w:t>We also want to hear from organisations and groups who represent or advocate on behalf of people receiving social security support, including those with expertise in social security law and other areas of public policy.</w:t>
            </w:r>
          </w:p>
        </w:tc>
      </w:tr>
      <w:tr w:rsidR="00E76981" w:rsidRPr="00CA2C01" w14:paraId="53B745E9" w14:textId="77777777" w:rsidTr="4675547F">
        <w:trPr>
          <w:trHeight w:val="359"/>
        </w:trPr>
        <w:tc>
          <w:tcPr>
            <w:tcW w:w="2552" w:type="dxa"/>
          </w:tcPr>
          <w:p w14:paraId="381819DF" w14:textId="6EED2D2F" w:rsidR="00E76981" w:rsidRPr="002B5A1B" w:rsidRDefault="00D91760" w:rsidP="002B5A1B">
            <w:pPr>
              <w:pStyle w:val="Tabletext"/>
              <w:rPr>
                <w:b/>
                <w:bCs/>
              </w:rPr>
            </w:pPr>
            <w:r w:rsidRPr="002B5A1B">
              <w:rPr>
                <w:b/>
                <w:bCs/>
              </w:rPr>
              <w:t xml:space="preserve">Background and context </w:t>
            </w:r>
          </w:p>
        </w:tc>
        <w:tc>
          <w:tcPr>
            <w:tcW w:w="6433" w:type="dxa"/>
          </w:tcPr>
          <w:p w14:paraId="658A30F3" w14:textId="2EE29B44" w:rsidR="00342D16" w:rsidRPr="00DF53C8" w:rsidRDefault="00342D16" w:rsidP="002B5A1B">
            <w:pPr>
              <w:pStyle w:val="Tabletext"/>
              <w:rPr>
                <w:szCs w:val="20"/>
              </w:rPr>
            </w:pPr>
            <w:r w:rsidRPr="00DF53C8">
              <w:rPr>
                <w:b/>
                <w:szCs w:val="20"/>
              </w:rPr>
              <w:t>About the change:</w:t>
            </w:r>
            <w:r w:rsidRPr="00DF53C8">
              <w:rPr>
                <w:szCs w:val="20"/>
              </w:rPr>
              <w:t xml:space="preserve"> In December 2020, there was a change to the way that people who receive a social security payment from government report the income they receive from an employer.</w:t>
            </w:r>
          </w:p>
          <w:p w14:paraId="0184CCFF" w14:textId="55E1E7AD" w:rsidR="00342D16" w:rsidRPr="00DF53C8" w:rsidRDefault="00342D16" w:rsidP="002B5A1B">
            <w:pPr>
              <w:pStyle w:val="Tabletext"/>
              <w:rPr>
                <w:szCs w:val="20"/>
              </w:rPr>
            </w:pPr>
            <w:r w:rsidRPr="00DF53C8">
              <w:rPr>
                <w:szCs w:val="20"/>
              </w:rPr>
              <w:t xml:space="preserve">This change is the result of the </w:t>
            </w:r>
            <w:r w:rsidRPr="00DF53C8">
              <w:rPr>
                <w:i/>
                <w:szCs w:val="20"/>
              </w:rPr>
              <w:t>Social Services and Other Legislati</w:t>
            </w:r>
            <w:r w:rsidR="00FE6B63">
              <w:rPr>
                <w:i/>
                <w:szCs w:val="20"/>
              </w:rPr>
              <w:t>on</w:t>
            </w:r>
            <w:r w:rsidRPr="00DF53C8">
              <w:rPr>
                <w:i/>
                <w:szCs w:val="20"/>
              </w:rPr>
              <w:t xml:space="preserve"> Amendment (Simplifying Income Reporting and Other Measures) Act 2020</w:t>
            </w:r>
            <w:r w:rsidRPr="00DF53C8">
              <w:rPr>
                <w:szCs w:val="20"/>
              </w:rPr>
              <w:t>.</w:t>
            </w:r>
          </w:p>
          <w:p w14:paraId="5EB909A2" w14:textId="77777777" w:rsidR="00342D16" w:rsidRPr="00DF53C8" w:rsidRDefault="00342D16" w:rsidP="002B5A1B">
            <w:pPr>
              <w:pStyle w:val="Tabletext"/>
              <w:rPr>
                <w:szCs w:val="20"/>
              </w:rPr>
            </w:pPr>
            <w:r w:rsidRPr="00DF53C8">
              <w:rPr>
                <w:szCs w:val="20"/>
              </w:rPr>
              <w:t>Before December 2020, people had to estimate and report how much money they had earned before tax within a particular reporting period. This might be different to what they were actually paid in that period of time. This was known as the Earned Income Model.</w:t>
            </w:r>
          </w:p>
          <w:p w14:paraId="7BB37220" w14:textId="77777777" w:rsidR="00342D16" w:rsidRPr="00DF53C8" w:rsidRDefault="00342D16" w:rsidP="002B5A1B">
            <w:pPr>
              <w:pStyle w:val="Tabletext"/>
              <w:rPr>
                <w:szCs w:val="20"/>
              </w:rPr>
            </w:pPr>
            <w:r w:rsidRPr="00DF53C8">
              <w:rPr>
                <w:szCs w:val="20"/>
              </w:rPr>
              <w:t>Since the change in December 2020, people have to report how much money they have been paid before tax within a particular reporting period.</w:t>
            </w:r>
          </w:p>
          <w:p w14:paraId="721F25A7" w14:textId="0643501F" w:rsidR="00E94648" w:rsidRPr="00DF53C8" w:rsidRDefault="00342D16" w:rsidP="002B5A1B">
            <w:pPr>
              <w:pStyle w:val="Tabletext"/>
              <w:rPr>
                <w:szCs w:val="20"/>
              </w:rPr>
            </w:pPr>
            <w:r w:rsidRPr="00DF53C8">
              <w:rPr>
                <w:szCs w:val="20"/>
              </w:rPr>
              <w:t>This means that people can refer to their (or their partner’s) payslip in order to report their gross employment income to Centrelink.</w:t>
            </w:r>
            <w:r w:rsidR="00CA2C01" w:rsidRPr="00DF53C8">
              <w:rPr>
                <w:szCs w:val="20"/>
              </w:rPr>
              <w:t xml:space="preserve"> </w:t>
            </w:r>
            <w:r w:rsidR="00E94648" w:rsidRPr="00DF53C8">
              <w:rPr>
                <w:szCs w:val="20"/>
              </w:rPr>
              <w:t>This change was intended to:</w:t>
            </w:r>
          </w:p>
          <w:p w14:paraId="2FF47506" w14:textId="77777777" w:rsidR="00E94648" w:rsidRPr="00DF53C8" w:rsidRDefault="00E94648" w:rsidP="002B5A1B">
            <w:pPr>
              <w:pStyle w:val="TableBullet1"/>
              <w:rPr>
                <w:szCs w:val="20"/>
              </w:rPr>
            </w:pPr>
            <w:r w:rsidRPr="00DF53C8">
              <w:rPr>
                <w:szCs w:val="20"/>
              </w:rPr>
              <w:t>make it easier for people to report the correct amount of income they receive from an employer</w:t>
            </w:r>
          </w:p>
          <w:p w14:paraId="503A3CAC" w14:textId="77777777" w:rsidR="00E94648" w:rsidRPr="00DF53C8" w:rsidRDefault="00E94648" w:rsidP="002B5A1B">
            <w:pPr>
              <w:pStyle w:val="TableBullet1"/>
              <w:rPr>
                <w:szCs w:val="20"/>
              </w:rPr>
            </w:pPr>
            <w:r w:rsidRPr="00DF53C8">
              <w:rPr>
                <w:szCs w:val="20"/>
              </w:rPr>
              <w:t>reduce the risk of Centrelink paying people more social security support than they are eligible for, resulting in people needing to pay money back to Centrelink</w:t>
            </w:r>
          </w:p>
          <w:p w14:paraId="173C7AE4" w14:textId="77777777" w:rsidR="00E76981" w:rsidRPr="00DF53C8" w:rsidRDefault="00E94648" w:rsidP="002B5A1B">
            <w:pPr>
              <w:pStyle w:val="TableBullet1"/>
              <w:rPr>
                <w:szCs w:val="20"/>
              </w:rPr>
            </w:pPr>
            <w:r w:rsidRPr="00DF53C8">
              <w:rPr>
                <w:szCs w:val="20"/>
              </w:rPr>
              <w:t>reduce the risk of Centrelink paying people less social security support than they are eligible for, resulting in people being underpaid by Centrelink.</w:t>
            </w:r>
          </w:p>
          <w:p w14:paraId="598DFDF7" w14:textId="77777777" w:rsidR="00AE5E61" w:rsidRPr="00DF53C8" w:rsidRDefault="00C21AEB" w:rsidP="002B5A1B">
            <w:pPr>
              <w:pStyle w:val="Tabletext"/>
              <w:rPr>
                <w:szCs w:val="20"/>
              </w:rPr>
            </w:pPr>
            <w:r w:rsidRPr="00DF53C8">
              <w:rPr>
                <w:b/>
                <w:szCs w:val="20"/>
              </w:rPr>
              <w:t>Who the change applies to</w:t>
            </w:r>
            <w:r w:rsidR="00AE5E61" w:rsidRPr="00DF53C8">
              <w:rPr>
                <w:b/>
                <w:szCs w:val="20"/>
              </w:rPr>
              <w:t xml:space="preserve">: </w:t>
            </w:r>
            <w:r w:rsidR="00AE5E61" w:rsidRPr="00DF53C8">
              <w:rPr>
                <w:rFonts w:cs="Arial"/>
                <w:szCs w:val="20"/>
              </w:rPr>
              <w:t xml:space="preserve">This change affects anyone who reports their employment income for social security purposes, including </w:t>
            </w:r>
            <w:r w:rsidR="00AE5E61" w:rsidRPr="00DF53C8">
              <w:rPr>
                <w:rFonts w:cs="Arial"/>
                <w:szCs w:val="20"/>
              </w:rPr>
              <w:lastRenderedPageBreak/>
              <w:t>partners of payment recipients.</w:t>
            </w:r>
            <w:r w:rsidR="00AE5E61" w:rsidRPr="00DF53C8">
              <w:rPr>
                <w:szCs w:val="20"/>
              </w:rPr>
              <w:t xml:space="preserve"> All of the following payment types are included:</w:t>
            </w:r>
          </w:p>
          <w:p w14:paraId="3754DAE0" w14:textId="77777777" w:rsidR="00AE5E61" w:rsidRPr="00DF53C8" w:rsidRDefault="00AE5E61" w:rsidP="002B5A1B">
            <w:pPr>
              <w:pStyle w:val="TableBullet1"/>
              <w:rPr>
                <w:szCs w:val="20"/>
              </w:rPr>
            </w:pPr>
            <w:r w:rsidRPr="00DF53C8">
              <w:rPr>
                <w:szCs w:val="20"/>
              </w:rPr>
              <w:t>ABSTUDY</w:t>
            </w:r>
          </w:p>
          <w:p w14:paraId="4D5D9DAA" w14:textId="77777777" w:rsidR="00AE5E61" w:rsidRPr="00DF53C8" w:rsidRDefault="00AE5E61" w:rsidP="002B5A1B">
            <w:pPr>
              <w:pStyle w:val="TableBullet1"/>
              <w:rPr>
                <w:szCs w:val="20"/>
              </w:rPr>
            </w:pPr>
            <w:r w:rsidRPr="00DF53C8">
              <w:rPr>
                <w:szCs w:val="20"/>
              </w:rPr>
              <w:t>Age Pension</w:t>
            </w:r>
          </w:p>
          <w:p w14:paraId="1B7657E1" w14:textId="77777777" w:rsidR="00AE5E61" w:rsidRPr="00DF53C8" w:rsidRDefault="00AE5E61" w:rsidP="002B5A1B">
            <w:pPr>
              <w:pStyle w:val="TableBullet1"/>
              <w:rPr>
                <w:szCs w:val="20"/>
              </w:rPr>
            </w:pPr>
            <w:r w:rsidRPr="00DF53C8">
              <w:rPr>
                <w:szCs w:val="20"/>
              </w:rPr>
              <w:t>Austudy</w:t>
            </w:r>
          </w:p>
          <w:p w14:paraId="26161367" w14:textId="77777777" w:rsidR="00AE5E61" w:rsidRPr="00DF53C8" w:rsidRDefault="00AE5E61" w:rsidP="002B5A1B">
            <w:pPr>
              <w:pStyle w:val="TableBullet1"/>
              <w:rPr>
                <w:szCs w:val="20"/>
              </w:rPr>
            </w:pPr>
            <w:r w:rsidRPr="00DF53C8">
              <w:rPr>
                <w:szCs w:val="20"/>
              </w:rPr>
              <w:t>Carer Payment</w:t>
            </w:r>
          </w:p>
          <w:p w14:paraId="37F326E4" w14:textId="77777777" w:rsidR="00AE5E61" w:rsidRPr="00DF53C8" w:rsidRDefault="00AE5E61" w:rsidP="002B5A1B">
            <w:pPr>
              <w:pStyle w:val="TableBullet1"/>
              <w:rPr>
                <w:szCs w:val="20"/>
              </w:rPr>
            </w:pPr>
            <w:r w:rsidRPr="00DF53C8">
              <w:rPr>
                <w:szCs w:val="20"/>
              </w:rPr>
              <w:t>Disability Support Pension</w:t>
            </w:r>
          </w:p>
          <w:p w14:paraId="0627D5D1" w14:textId="77777777" w:rsidR="00AE5E61" w:rsidRPr="00DF53C8" w:rsidRDefault="00AE5E61" w:rsidP="002B5A1B">
            <w:pPr>
              <w:pStyle w:val="TableBullet1"/>
              <w:rPr>
                <w:szCs w:val="20"/>
              </w:rPr>
            </w:pPr>
            <w:r w:rsidRPr="00DF53C8">
              <w:rPr>
                <w:szCs w:val="20"/>
              </w:rPr>
              <w:t>Farm Household Allowance</w:t>
            </w:r>
          </w:p>
          <w:p w14:paraId="4142765D" w14:textId="77777777" w:rsidR="00AE5E61" w:rsidRPr="00DF53C8" w:rsidRDefault="00AE5E61" w:rsidP="002B5A1B">
            <w:pPr>
              <w:pStyle w:val="TableBullet1"/>
            </w:pPr>
            <w:r>
              <w:t>JobSeeker Payment</w:t>
            </w:r>
          </w:p>
          <w:p w14:paraId="2DC3938B" w14:textId="77777777" w:rsidR="00AE5E61" w:rsidRPr="00DF53C8" w:rsidRDefault="00AE5E61" w:rsidP="002B5A1B">
            <w:pPr>
              <w:pStyle w:val="TableBullet1"/>
              <w:rPr>
                <w:szCs w:val="20"/>
              </w:rPr>
            </w:pPr>
            <w:r w:rsidRPr="00DF53C8">
              <w:rPr>
                <w:szCs w:val="20"/>
              </w:rPr>
              <w:t>Partner Allowance</w:t>
            </w:r>
          </w:p>
          <w:p w14:paraId="43001975" w14:textId="77777777" w:rsidR="00AE5E61" w:rsidRPr="00DF53C8" w:rsidRDefault="00AE5E61" w:rsidP="002B5A1B">
            <w:pPr>
              <w:pStyle w:val="TableBullet1"/>
              <w:rPr>
                <w:szCs w:val="20"/>
              </w:rPr>
            </w:pPr>
            <w:r w:rsidRPr="00DF53C8">
              <w:rPr>
                <w:szCs w:val="20"/>
              </w:rPr>
              <w:t>Parenting Payment (single and partnered)</w:t>
            </w:r>
          </w:p>
          <w:p w14:paraId="75DD6ECC" w14:textId="77777777" w:rsidR="00AE5E61" w:rsidRPr="00DF53C8" w:rsidRDefault="00AE5E61" w:rsidP="002B5A1B">
            <w:pPr>
              <w:pStyle w:val="TableBullet1"/>
              <w:rPr>
                <w:szCs w:val="20"/>
              </w:rPr>
            </w:pPr>
            <w:r w:rsidRPr="00DF53C8">
              <w:rPr>
                <w:szCs w:val="20"/>
              </w:rPr>
              <w:t>Special Benefit</w:t>
            </w:r>
          </w:p>
          <w:p w14:paraId="4AF08B62" w14:textId="77777777" w:rsidR="00AE5E61" w:rsidRPr="00DF53C8" w:rsidRDefault="00AE5E61" w:rsidP="002B5A1B">
            <w:pPr>
              <w:pStyle w:val="TableBullet1"/>
              <w:rPr>
                <w:szCs w:val="20"/>
              </w:rPr>
            </w:pPr>
            <w:r w:rsidRPr="00DF53C8">
              <w:rPr>
                <w:szCs w:val="20"/>
              </w:rPr>
              <w:t>Status Resolution Support Services</w:t>
            </w:r>
          </w:p>
          <w:p w14:paraId="09201170" w14:textId="77777777" w:rsidR="00AE5E61" w:rsidRPr="00DF53C8" w:rsidRDefault="00AE5E61" w:rsidP="002B5A1B">
            <w:pPr>
              <w:pStyle w:val="TableBullet1"/>
              <w:rPr>
                <w:szCs w:val="20"/>
              </w:rPr>
            </w:pPr>
            <w:r w:rsidRPr="00DF53C8">
              <w:rPr>
                <w:szCs w:val="20"/>
              </w:rPr>
              <w:t>Widow Allowance</w:t>
            </w:r>
          </w:p>
          <w:p w14:paraId="2E499934" w14:textId="77777777" w:rsidR="00AE5E61" w:rsidRPr="00DF53C8" w:rsidRDefault="00AE5E61" w:rsidP="002B5A1B">
            <w:pPr>
              <w:pStyle w:val="TableBullet1"/>
              <w:rPr>
                <w:szCs w:val="20"/>
              </w:rPr>
            </w:pPr>
            <w:r w:rsidRPr="00DF53C8">
              <w:rPr>
                <w:szCs w:val="20"/>
              </w:rPr>
              <w:t>Youth Allowance.</w:t>
            </w:r>
          </w:p>
          <w:p w14:paraId="58873D7A" w14:textId="77777777" w:rsidR="00AE5E61" w:rsidRPr="00DF53C8" w:rsidRDefault="00AE5E61" w:rsidP="002B5A1B">
            <w:pPr>
              <w:pStyle w:val="Tabletext"/>
              <w:rPr>
                <w:szCs w:val="20"/>
              </w:rPr>
            </w:pPr>
            <w:r w:rsidRPr="00DF53C8">
              <w:rPr>
                <w:szCs w:val="20"/>
              </w:rPr>
              <w:t>The change does not apply to one-off payments such as the COVID-19 Disaster Payment, Family Tax Benefit, Carer Allowance or any other payments not listed above.</w:t>
            </w:r>
          </w:p>
          <w:p w14:paraId="24C4A03A" w14:textId="77777777" w:rsidR="007C2FAA" w:rsidRPr="00DF53C8" w:rsidRDefault="00AE5E61" w:rsidP="002B5A1B">
            <w:pPr>
              <w:pStyle w:val="Tabletext"/>
              <w:rPr>
                <w:szCs w:val="20"/>
              </w:rPr>
            </w:pPr>
            <w:r w:rsidRPr="00DF53C8">
              <w:rPr>
                <w:b/>
                <w:szCs w:val="20"/>
              </w:rPr>
              <w:t xml:space="preserve">Legislative requirement for this review: </w:t>
            </w:r>
            <w:r w:rsidR="007C2FAA" w:rsidRPr="00DF53C8">
              <w:rPr>
                <w:szCs w:val="20"/>
              </w:rPr>
              <w:t xml:space="preserve">The legislation includes the requirement for an independent review of the impact of the legislation. </w:t>
            </w:r>
          </w:p>
          <w:p w14:paraId="26439256" w14:textId="77777777" w:rsidR="007C2FAA" w:rsidRPr="00DF53C8" w:rsidRDefault="007C2FAA" w:rsidP="002B5A1B">
            <w:pPr>
              <w:pStyle w:val="Tabletext"/>
              <w:rPr>
                <w:szCs w:val="20"/>
              </w:rPr>
            </w:pPr>
            <w:r w:rsidRPr="00DF53C8">
              <w:rPr>
                <w:szCs w:val="20"/>
              </w:rPr>
              <w:t>To comply with the Act, the department is required to engage an independent reviewer to review the transition to a paid model. The review must commence as soon as practicable after the end of 12 months after the Act took effect, which was 7 December 2020. The Minister must be provided with a written report within 6 months of the commencement of the review and a copy of the report will be tabled in each Houses of Parliament.</w:t>
            </w:r>
          </w:p>
          <w:p w14:paraId="0951A8BD" w14:textId="77777777" w:rsidR="007C2FAA" w:rsidRPr="00DF53C8" w:rsidRDefault="007C2FAA" w:rsidP="002B5A1B">
            <w:pPr>
              <w:pStyle w:val="Tabletext"/>
            </w:pPr>
            <w:r w:rsidRPr="00DF53C8">
              <w:t>The Department of Social Services has engaged KPMG to conduct this review. The public consultation forms the basis of the review.</w:t>
            </w:r>
          </w:p>
          <w:p w14:paraId="167CFB9F" w14:textId="35933F4E" w:rsidR="00672569" w:rsidRPr="00DF53C8" w:rsidRDefault="007C2FAA" w:rsidP="002B5A1B">
            <w:pPr>
              <w:pStyle w:val="Tabletext"/>
            </w:pPr>
            <w:r w:rsidRPr="00DF53C8">
              <w:rPr>
                <w:b/>
                <w:bCs/>
              </w:rPr>
              <w:t xml:space="preserve">Not in scope: </w:t>
            </w:r>
            <w:r w:rsidR="00672569" w:rsidRPr="00DF53C8">
              <w:t xml:space="preserve">Reviewing policy and service delivery by the Department of Social Services, Services Australia, or other government agencies which is not directly related to changes arising from the </w:t>
            </w:r>
            <w:r w:rsidR="00672569" w:rsidRPr="00DF53C8">
              <w:rPr>
                <w:i/>
                <w:iCs/>
              </w:rPr>
              <w:t>Social Services and Other Legislati</w:t>
            </w:r>
            <w:r w:rsidR="00FE6B63">
              <w:rPr>
                <w:i/>
                <w:iCs/>
              </w:rPr>
              <w:t>on</w:t>
            </w:r>
            <w:r w:rsidR="00672569" w:rsidRPr="00DF53C8">
              <w:rPr>
                <w:i/>
                <w:iCs/>
              </w:rPr>
              <w:t xml:space="preserve"> Amendment (Simplifying Income Reporting and Other Measures) Act 2020 </w:t>
            </w:r>
            <w:r w:rsidR="00672569" w:rsidRPr="00DF53C8">
              <w:t>is not in scope.</w:t>
            </w:r>
          </w:p>
          <w:p w14:paraId="53CDB064" w14:textId="77777777" w:rsidR="00672569" w:rsidRPr="00DF53C8" w:rsidRDefault="00672569" w:rsidP="00621AEA">
            <w:pPr>
              <w:pStyle w:val="Tabletext"/>
            </w:pPr>
            <w:r w:rsidRPr="00DF53C8">
              <w:t>For example, the following topics are not in scope of this review:</w:t>
            </w:r>
          </w:p>
          <w:p w14:paraId="14F4DDEC" w14:textId="41603B08" w:rsidR="00672569" w:rsidRPr="00DF53C8" w:rsidRDefault="00CA2C01" w:rsidP="00621AEA">
            <w:pPr>
              <w:pStyle w:val="TableBullet1"/>
            </w:pPr>
            <w:r w:rsidRPr="00DF53C8">
              <w:t>U</w:t>
            </w:r>
            <w:r w:rsidR="00672569" w:rsidRPr="00DF53C8">
              <w:t>sing data from the Australian Tax Office’s Single Touch Payroll system to pre-fill people’s income amount based on what their employer reports their pay to be</w:t>
            </w:r>
          </w:p>
          <w:p w14:paraId="10F2684D" w14:textId="539F4540" w:rsidR="00672569" w:rsidRPr="00DF53C8" w:rsidRDefault="00CA2C01" w:rsidP="00621AEA">
            <w:pPr>
              <w:pStyle w:val="TableBullet1"/>
            </w:pPr>
            <w:r w:rsidRPr="00DF53C8">
              <w:t>R</w:t>
            </w:r>
            <w:r w:rsidR="00672569" w:rsidRPr="00DF53C8">
              <w:t>equirements to report employment income each fortnight</w:t>
            </w:r>
          </w:p>
          <w:p w14:paraId="0FA54E3D" w14:textId="63053145" w:rsidR="00C21AEB" w:rsidRPr="00DF53C8" w:rsidRDefault="00CA2C01" w:rsidP="00621AEA">
            <w:pPr>
              <w:pStyle w:val="TableBullet1"/>
            </w:pPr>
            <w:r w:rsidRPr="00DF53C8">
              <w:t>T</w:t>
            </w:r>
            <w:r w:rsidR="00672569" w:rsidRPr="00DF53C8">
              <w:t>he amount of income support provided.</w:t>
            </w:r>
          </w:p>
        </w:tc>
      </w:tr>
      <w:tr w:rsidR="00E76981" w:rsidRPr="00CA2C01" w14:paraId="160A5243" w14:textId="77777777" w:rsidTr="4675547F">
        <w:trPr>
          <w:trHeight w:val="359"/>
        </w:trPr>
        <w:tc>
          <w:tcPr>
            <w:tcW w:w="2552" w:type="dxa"/>
          </w:tcPr>
          <w:p w14:paraId="002A31AF" w14:textId="00F3462C" w:rsidR="00E76981" w:rsidRPr="00621AEA" w:rsidRDefault="00570A2A" w:rsidP="00621AEA">
            <w:pPr>
              <w:pStyle w:val="Tabletext"/>
              <w:rPr>
                <w:b/>
                <w:bCs/>
              </w:rPr>
            </w:pPr>
            <w:r w:rsidRPr="00621AEA">
              <w:rPr>
                <w:b/>
                <w:bCs/>
              </w:rPr>
              <w:lastRenderedPageBreak/>
              <w:t>Consultation topics</w:t>
            </w:r>
          </w:p>
        </w:tc>
        <w:tc>
          <w:tcPr>
            <w:tcW w:w="6433" w:type="dxa"/>
          </w:tcPr>
          <w:p w14:paraId="510C1CD0" w14:textId="1D4B2919" w:rsidR="00044A59" w:rsidRPr="00DF53C8" w:rsidRDefault="00044A59" w:rsidP="00621AEA">
            <w:pPr>
              <w:pStyle w:val="Tabletext"/>
            </w:pPr>
            <w:r w:rsidRPr="00DF53C8">
              <w:t xml:space="preserve">There are four topics we want to understand individuals and </w:t>
            </w:r>
            <w:r w:rsidR="00A64F9D" w:rsidRPr="00DF53C8">
              <w:t>organisations</w:t>
            </w:r>
            <w:r w:rsidRPr="00DF53C8">
              <w:t>’ views about:</w:t>
            </w:r>
          </w:p>
          <w:p w14:paraId="58BA2D34" w14:textId="77777777" w:rsidR="00044A59" w:rsidRPr="00DF53C8" w:rsidRDefault="00044A59" w:rsidP="00621AEA">
            <w:pPr>
              <w:pStyle w:val="TableBullet1"/>
            </w:pPr>
            <w:r w:rsidRPr="00DF53C8">
              <w:t>Changing from the old earned model to the current paid model – what the transition was like</w:t>
            </w:r>
          </w:p>
          <w:p w14:paraId="79651554" w14:textId="4BD69264" w:rsidR="00044A59" w:rsidRPr="00DF53C8" w:rsidRDefault="00044A59" w:rsidP="00621AEA">
            <w:pPr>
              <w:pStyle w:val="TableBullet1"/>
            </w:pPr>
            <w:r w:rsidRPr="00DF53C8">
              <w:t>Experiences since the change</w:t>
            </w:r>
            <w:r w:rsidR="00D671CA">
              <w:t xml:space="preserve"> of income assessment model</w:t>
            </w:r>
            <w:r w:rsidRPr="00DF53C8">
              <w:t xml:space="preserve"> – how effective the new model is</w:t>
            </w:r>
          </w:p>
          <w:p w14:paraId="35F037DE" w14:textId="77777777" w:rsidR="00044A59" w:rsidRPr="00DF53C8" w:rsidRDefault="00044A59" w:rsidP="00621AEA">
            <w:pPr>
              <w:pStyle w:val="TableBullet1"/>
            </w:pPr>
            <w:r w:rsidRPr="00DF53C8">
              <w:t>Unintended consequences – whether there were any unexpected outcomes</w:t>
            </w:r>
          </w:p>
          <w:p w14:paraId="5B9C1F55" w14:textId="77777777" w:rsidR="00044A59" w:rsidRPr="00DF53C8" w:rsidRDefault="00044A59" w:rsidP="00621AEA">
            <w:pPr>
              <w:pStyle w:val="TableBullet1"/>
            </w:pPr>
            <w:r w:rsidRPr="00DF53C8">
              <w:t>Payments for people on a social security pension – the impact for pensioners who receive a consistent monthly income from an employer.</w:t>
            </w:r>
          </w:p>
          <w:p w14:paraId="0F6AD7FF" w14:textId="77777777" w:rsidR="00044A59" w:rsidRPr="00DF53C8" w:rsidRDefault="00044A59" w:rsidP="00621AEA">
            <w:pPr>
              <w:pStyle w:val="Tabletext"/>
            </w:pPr>
            <w:r w:rsidRPr="00DF53C8">
              <w:t>Each of these topics is discussed in more detail below.</w:t>
            </w:r>
          </w:p>
          <w:p w14:paraId="72CDEE6F" w14:textId="77777777" w:rsidR="0066551C" w:rsidRPr="00DF53C8" w:rsidRDefault="00044A59" w:rsidP="00621AEA">
            <w:pPr>
              <w:pStyle w:val="Tabletext"/>
            </w:pPr>
            <w:r w:rsidRPr="00DF53C8">
              <w:rPr>
                <w:b/>
                <w:bCs/>
              </w:rPr>
              <w:lastRenderedPageBreak/>
              <w:t xml:space="preserve">Changing from the old model to the current model: </w:t>
            </w:r>
            <w:r w:rsidR="0066551C" w:rsidRPr="00DF53C8">
              <w:t>The change from reporting earned income to reporting paid income happened on 7 December 2020. Services Australia advised everyone who was receiving a social security payment and reporting employment income at that time by sending letters, adding messages to reporting channels, and publicising the change via their website, radio and social media (Facebook, Twitter).</w:t>
            </w:r>
          </w:p>
          <w:p w14:paraId="61411D2C" w14:textId="77777777" w:rsidR="0066551C" w:rsidRPr="00DF53C8" w:rsidRDefault="0066551C" w:rsidP="00621AEA">
            <w:pPr>
              <w:pStyle w:val="Tabletext"/>
            </w:pPr>
            <w:r w:rsidRPr="00DF53C8">
              <w:t>At the time, some people were required to do a one-off calculation to ensure they did not report the same income twice. They could do this through their myGov account or the Express Plus Centrelink mobile app or with staff assistance on the phone or in a Service Centre. An online calculator was also made available to help people understand what it meant for them.</w:t>
            </w:r>
          </w:p>
          <w:p w14:paraId="1A08FCC6" w14:textId="5EA14FCE" w:rsidR="003F223B" w:rsidRPr="00DF53C8" w:rsidRDefault="0066551C" w:rsidP="00621AEA">
            <w:pPr>
              <w:pStyle w:val="Tabletext"/>
              <w:rPr>
                <w:b/>
                <w:bCs/>
              </w:rPr>
            </w:pPr>
            <w:r w:rsidRPr="00DF53C8">
              <w:t>We want to understand how effectively people were supported through this change and how easy it was to navigate.</w:t>
            </w:r>
          </w:p>
          <w:p w14:paraId="2019DF12" w14:textId="77777777" w:rsidR="00E76981" w:rsidRPr="00DF53C8" w:rsidRDefault="00670F2A" w:rsidP="00621AEA">
            <w:pPr>
              <w:pStyle w:val="TableBullet1"/>
            </w:pPr>
            <w:r w:rsidRPr="00DF53C8">
              <w:t>How effective was the transition from the earned income model to the paid income model?</w:t>
            </w:r>
          </w:p>
          <w:p w14:paraId="3BBD3FE8" w14:textId="77777777" w:rsidR="00670F2A" w:rsidRPr="00DF53C8" w:rsidRDefault="00670F2A" w:rsidP="00621AEA">
            <w:pPr>
              <w:pStyle w:val="TableBullet1"/>
            </w:pPr>
            <w:r w:rsidRPr="00DF53C8">
              <w:t>How effectively was the change communicated, including to people with different circumstances?</w:t>
            </w:r>
          </w:p>
          <w:p w14:paraId="2A740AE6" w14:textId="77777777" w:rsidR="00445714" w:rsidRPr="00DF53C8" w:rsidRDefault="00467C2B" w:rsidP="00621AEA">
            <w:pPr>
              <w:pStyle w:val="Tabletext"/>
            </w:pPr>
            <w:r w:rsidRPr="00DF53C8">
              <w:rPr>
                <w:b/>
                <w:bCs/>
              </w:rPr>
              <w:t xml:space="preserve">Experiences since the change: </w:t>
            </w:r>
            <w:r w:rsidR="00445714" w:rsidRPr="00DF53C8">
              <w:t>This review aims to understand what impact the change to income reporting has had on people who receive a social security payment. We want to know whether the change has made income reporting easier, more difficult, or remained about the same.</w:t>
            </w:r>
          </w:p>
          <w:p w14:paraId="40D2E409" w14:textId="77777777" w:rsidR="00445714" w:rsidRPr="00DF53C8" w:rsidRDefault="00445714" w:rsidP="00621AEA">
            <w:pPr>
              <w:pStyle w:val="Tabletext"/>
            </w:pPr>
            <w:r w:rsidRPr="00DF53C8">
              <w:t>We appreciate this might be different for different cohorts of people, depending on what support they receive, how they are paid by their employer, and their personal circumstances. If individuals or organisations share their views with us via DSS Engage, we may some questions about their personal circumstances so we can understand who the change has had the most impact on.</w:t>
            </w:r>
          </w:p>
          <w:p w14:paraId="7582F5DF" w14:textId="77777777" w:rsidR="00445714" w:rsidRPr="00DF53C8" w:rsidRDefault="00445714" w:rsidP="00621AEA">
            <w:pPr>
              <w:pStyle w:val="Tabletext"/>
            </w:pPr>
            <w:r w:rsidRPr="00DF53C8">
              <w:t xml:space="preserve">We are also interested in how easy it is to understand communication and information about how to report income. </w:t>
            </w:r>
          </w:p>
          <w:p w14:paraId="3B4AC1C4" w14:textId="77777777" w:rsidR="00670F2A" w:rsidRPr="00DF53C8" w:rsidRDefault="00A300D8" w:rsidP="00621AEA">
            <w:pPr>
              <w:pStyle w:val="TableBullet1"/>
            </w:pPr>
            <w:r w:rsidRPr="00DF53C8">
              <w:t>Has the change to reporting paid income made reporting income easier, more difficult, or about the same?</w:t>
            </w:r>
          </w:p>
          <w:p w14:paraId="74DBB666" w14:textId="77777777" w:rsidR="00A300D8" w:rsidRPr="00DF53C8" w:rsidRDefault="00A300D8" w:rsidP="00621AEA">
            <w:pPr>
              <w:pStyle w:val="TableBullet1"/>
            </w:pPr>
            <w:r w:rsidRPr="00DF53C8">
              <w:t>What factors have made this easier or more difficult?</w:t>
            </w:r>
          </w:p>
          <w:p w14:paraId="6D8A6F8C" w14:textId="77777777" w:rsidR="00A300D8" w:rsidRPr="00DF53C8" w:rsidRDefault="00A300D8" w:rsidP="00621AEA">
            <w:pPr>
              <w:pStyle w:val="TableBullet1"/>
              <w:rPr>
                <w:b/>
                <w:bCs/>
              </w:rPr>
            </w:pPr>
            <w:r w:rsidRPr="00DF53C8">
              <w:t>How easy it is to understand communication from Centrelink / Services Australia about the way to report income?</w:t>
            </w:r>
          </w:p>
          <w:p w14:paraId="04C149F0" w14:textId="77777777" w:rsidR="00FC1D38" w:rsidRPr="00DF53C8" w:rsidRDefault="00F1280D" w:rsidP="00621AEA">
            <w:pPr>
              <w:pStyle w:val="Tabletext"/>
            </w:pPr>
            <w:r w:rsidRPr="00DF53C8">
              <w:rPr>
                <w:b/>
                <w:bCs/>
              </w:rPr>
              <w:t xml:space="preserve">Unintended consequences: </w:t>
            </w:r>
            <w:r w:rsidR="00FC1D38" w:rsidRPr="00DF53C8">
              <w:t>The change from reporting earned income to reporting paid income was expected to have made it easier for people to report the right amount of income to Centrelink.</w:t>
            </w:r>
          </w:p>
          <w:p w14:paraId="063E2C38" w14:textId="77777777" w:rsidR="00FC1D38" w:rsidRPr="00DF53C8" w:rsidRDefault="00FC1D38" w:rsidP="00621AEA">
            <w:pPr>
              <w:pStyle w:val="Tabletext"/>
            </w:pPr>
            <w:r w:rsidRPr="00DF53C8">
              <w:t>Sometimes changes to policy or legislation can have unintended consequences – this means that something has happened as a result of the change that wasn’t expected and may have made things more difficult. For example, the change might simplify one form, but make another form more complex.</w:t>
            </w:r>
          </w:p>
          <w:p w14:paraId="1A332462" w14:textId="77777777" w:rsidR="00FC1D38" w:rsidRPr="00DF53C8" w:rsidRDefault="00FC1D38" w:rsidP="00621AEA">
            <w:pPr>
              <w:pStyle w:val="Tabletext"/>
            </w:pPr>
            <w:r w:rsidRPr="00DF53C8">
              <w:t>If something has changed, we’d like to know how you’ve coped – what strategies you’ve had to put in place to address this.</w:t>
            </w:r>
          </w:p>
          <w:p w14:paraId="53A7F2AF" w14:textId="77777777" w:rsidR="00F1280D" w:rsidRPr="00DF53C8" w:rsidRDefault="00FC1D38" w:rsidP="00621AEA">
            <w:pPr>
              <w:pStyle w:val="TableBullet1"/>
            </w:pPr>
            <w:r w:rsidRPr="00DF53C8">
              <w:t>What impact has the change had?</w:t>
            </w:r>
          </w:p>
          <w:p w14:paraId="38B2A152" w14:textId="2E1637BC" w:rsidR="00FC1D38" w:rsidRPr="00DF53C8" w:rsidRDefault="00FC1D38" w:rsidP="00621AEA">
            <w:pPr>
              <w:pStyle w:val="TableBullet1"/>
            </w:pPr>
            <w:r w:rsidRPr="00DF53C8">
              <w:t>If there have been any unexpected outcomes from reporting paid income, what are they?</w:t>
            </w:r>
          </w:p>
          <w:p w14:paraId="299BEA89" w14:textId="1AC1AEB9" w:rsidR="0024433F" w:rsidRPr="00DF53C8" w:rsidRDefault="00FC1D38" w:rsidP="00621AEA">
            <w:pPr>
              <w:pStyle w:val="TableBullet1"/>
            </w:pPr>
            <w:r w:rsidRPr="00DF53C8">
              <w:t>What have people done differently as a result of the change?</w:t>
            </w:r>
          </w:p>
          <w:p w14:paraId="42CBC0B0" w14:textId="6A98D8B3" w:rsidR="0024433F" w:rsidRPr="00DF53C8" w:rsidRDefault="0024433F" w:rsidP="00621AEA">
            <w:pPr>
              <w:pStyle w:val="Tabletext"/>
            </w:pPr>
            <w:r w:rsidRPr="00DF53C8">
              <w:rPr>
                <w:b/>
                <w:bCs/>
              </w:rPr>
              <w:t xml:space="preserve">Payments for pension payments: </w:t>
            </w:r>
            <w:r w:rsidRPr="00DF53C8">
              <w:t>This section relates to pensioners receiving a social security pension (a Disability Support Pension, Age Pension and the Carer Payment) who receive a consistent payment from an employer on a monthly basis.</w:t>
            </w:r>
          </w:p>
          <w:p w14:paraId="1DABEEB1" w14:textId="77777777" w:rsidR="0024433F" w:rsidRPr="00DF53C8" w:rsidRDefault="0024433F" w:rsidP="00621AEA">
            <w:pPr>
              <w:pStyle w:val="Tabletext"/>
            </w:pPr>
            <w:r w:rsidRPr="00DF53C8">
              <w:lastRenderedPageBreak/>
              <w:t xml:space="preserve">The legislation contains a specific clause to make sure this cohort of people do not experience fluctuations in their rate of pension as a result of the fact that they receive employment income monthly. It means that they do not need to report their income each fortnight or month to Centrelink, so the change to how to report earned income is not observed by the pension recipient. </w:t>
            </w:r>
          </w:p>
          <w:p w14:paraId="67F0AC1A" w14:textId="77777777" w:rsidR="0024433F" w:rsidRPr="00DF53C8" w:rsidRDefault="0024433F" w:rsidP="00621AEA">
            <w:pPr>
              <w:pStyle w:val="Tabletext"/>
            </w:pPr>
            <w:r w:rsidRPr="00DF53C8">
              <w:t xml:space="preserve">Pensioners assessed this way will only be required to report to Centrelink if there is a change to their income. </w:t>
            </w:r>
          </w:p>
          <w:p w14:paraId="3CC3814D" w14:textId="77777777" w:rsidR="0024433F" w:rsidRPr="00DF53C8" w:rsidRDefault="0024433F" w:rsidP="00621AEA">
            <w:pPr>
              <w:pStyle w:val="TableBullet1"/>
            </w:pPr>
            <w:r w:rsidRPr="00DF53C8">
              <w:t xml:space="preserve">These questions relate specifically to people on a social security pension who receive regular consistent payment from an employer on a monthly basis. </w:t>
            </w:r>
          </w:p>
          <w:p w14:paraId="212F5D64" w14:textId="77777777" w:rsidR="0024433F" w:rsidRPr="00DF53C8" w:rsidRDefault="0024433F" w:rsidP="00621AEA">
            <w:pPr>
              <w:pStyle w:val="TableBullet1"/>
            </w:pPr>
            <w:r w:rsidRPr="00DF53C8">
              <w:t>For people receiving a pension, has the change to reporting paid income paid income made reporting income easier, more difficult or about the same?</w:t>
            </w:r>
          </w:p>
          <w:p w14:paraId="7005E5EA" w14:textId="77777777" w:rsidR="0024433F" w:rsidRPr="00DF53C8" w:rsidRDefault="0024433F" w:rsidP="00621AEA">
            <w:pPr>
              <w:pStyle w:val="TableBullet1"/>
            </w:pPr>
            <w:r w:rsidRPr="00DF53C8">
              <w:t>What factors have made this easier or more difficult?</w:t>
            </w:r>
          </w:p>
          <w:p w14:paraId="6DC0BC72" w14:textId="44E58B16" w:rsidR="0024433F" w:rsidRPr="00DF53C8" w:rsidRDefault="0024433F" w:rsidP="00621AEA">
            <w:pPr>
              <w:pStyle w:val="TableBullet1"/>
              <w:rPr>
                <w:b/>
                <w:bCs/>
              </w:rPr>
            </w:pPr>
            <w:r w:rsidRPr="00DF53C8">
              <w:t>Have people experienced unexpected fluctuations in their rate of pension as a result of reporting employment income?</w:t>
            </w:r>
          </w:p>
        </w:tc>
      </w:tr>
      <w:tr w:rsidR="00477BE1" w:rsidRPr="00CA2C01" w14:paraId="2E2778A9" w14:textId="77777777" w:rsidTr="4675547F">
        <w:trPr>
          <w:trHeight w:val="359"/>
        </w:trPr>
        <w:tc>
          <w:tcPr>
            <w:tcW w:w="2552" w:type="dxa"/>
          </w:tcPr>
          <w:p w14:paraId="06A35F8D" w14:textId="3BFF6040" w:rsidR="00477BE1" w:rsidRPr="00621AEA" w:rsidRDefault="00477BE1" w:rsidP="00621AEA">
            <w:pPr>
              <w:pStyle w:val="Tabletext"/>
              <w:rPr>
                <w:b/>
                <w:bCs/>
              </w:rPr>
            </w:pPr>
            <w:r w:rsidRPr="00621AEA">
              <w:rPr>
                <w:b/>
                <w:bCs/>
              </w:rPr>
              <w:lastRenderedPageBreak/>
              <w:t>How to have your say</w:t>
            </w:r>
          </w:p>
        </w:tc>
        <w:tc>
          <w:tcPr>
            <w:tcW w:w="6433" w:type="dxa"/>
          </w:tcPr>
          <w:p w14:paraId="37D098BF" w14:textId="77777777" w:rsidR="00477BE1" w:rsidRPr="00DF53C8" w:rsidRDefault="00477BE1" w:rsidP="00621AEA">
            <w:pPr>
              <w:pStyle w:val="Tabletext"/>
            </w:pPr>
            <w:r w:rsidRPr="00DF53C8">
              <w:t xml:space="preserve">We want to hear from anyone who receives a social security payment or is the nominee or partner of a person receiving a social security payment as outlined in section 2.2. </w:t>
            </w:r>
          </w:p>
          <w:p w14:paraId="5880AAB5" w14:textId="77777777" w:rsidR="00477BE1" w:rsidRPr="00DF53C8" w:rsidRDefault="00477BE1" w:rsidP="00621AEA">
            <w:pPr>
              <w:pStyle w:val="Tabletext"/>
            </w:pPr>
            <w:r w:rsidRPr="00DF53C8">
              <w:t>We particularly want to hear from people who received social security payment prior to 7 December 2020, and who have continued to receive a social security payment since that date. This is because you will have experienced the change from the Earned Income Model to the Paid Income Model.</w:t>
            </w:r>
          </w:p>
          <w:p w14:paraId="5B21BAFE" w14:textId="77777777" w:rsidR="00477BE1" w:rsidRPr="00DF53C8" w:rsidRDefault="00477BE1" w:rsidP="00621AEA">
            <w:pPr>
              <w:pStyle w:val="Tabletext"/>
            </w:pPr>
            <w:r w:rsidRPr="00DF53C8">
              <w:t>We also want to hear from organisations and groups who represent or advocate on behalf of people receiving a social security payment.</w:t>
            </w:r>
          </w:p>
          <w:p w14:paraId="380F88ED" w14:textId="77777777" w:rsidR="00477BE1" w:rsidRPr="00DF53C8" w:rsidRDefault="00477BE1" w:rsidP="00621AEA">
            <w:pPr>
              <w:pStyle w:val="Tabletext"/>
            </w:pPr>
            <w:r w:rsidRPr="00DF53C8">
              <w:t>Consultation is open from 15 March 2022 to 22 April 2022. During this time, individuals and organisations can submit their views via the DSS Engage platform, by either:</w:t>
            </w:r>
          </w:p>
          <w:p w14:paraId="4704C018" w14:textId="5AB8BCAF" w:rsidR="00477BE1" w:rsidRPr="00DF53C8" w:rsidRDefault="00CA2C01" w:rsidP="00621AEA">
            <w:pPr>
              <w:pStyle w:val="TableBullet1"/>
            </w:pPr>
            <w:r w:rsidRPr="00DF53C8">
              <w:t>T</w:t>
            </w:r>
            <w:r w:rsidR="00477BE1" w:rsidRPr="00DF53C8">
              <w:t xml:space="preserve">aking part in a short survey; or </w:t>
            </w:r>
          </w:p>
          <w:p w14:paraId="1C4A23F3" w14:textId="5D8B5C1F" w:rsidR="00477BE1" w:rsidRPr="00DF53C8" w:rsidRDefault="00CA2C01" w:rsidP="00621AEA">
            <w:pPr>
              <w:pStyle w:val="TableBullet1"/>
            </w:pPr>
            <w:r w:rsidRPr="00DF53C8">
              <w:t>L</w:t>
            </w:r>
            <w:r w:rsidR="00477BE1" w:rsidRPr="00DF53C8">
              <w:t>odging a written submission.</w:t>
            </w:r>
          </w:p>
          <w:p w14:paraId="6351E2D6" w14:textId="77777777" w:rsidR="00477BE1" w:rsidRPr="00DF53C8" w:rsidRDefault="00477BE1" w:rsidP="00621AEA">
            <w:pPr>
              <w:pStyle w:val="Tabletext"/>
            </w:pPr>
            <w:r w:rsidRPr="00DF53C8">
              <w:t xml:space="preserve">The short survey invites responses from both individuals and organisations. The survey asks questions related to: </w:t>
            </w:r>
          </w:p>
          <w:p w14:paraId="57782979" w14:textId="77777777" w:rsidR="00477BE1" w:rsidRPr="00DF53C8" w:rsidRDefault="00477BE1" w:rsidP="00621AEA">
            <w:pPr>
              <w:pStyle w:val="TableBullet1"/>
            </w:pPr>
            <w:r w:rsidRPr="00DF53C8">
              <w:t>Demographics to ensure we’re consulting with a range of different stakeholders</w:t>
            </w:r>
          </w:p>
          <w:p w14:paraId="37DBD8DB" w14:textId="77777777" w:rsidR="00477BE1" w:rsidRPr="00DF53C8" w:rsidRDefault="00477BE1" w:rsidP="00621AEA">
            <w:pPr>
              <w:pStyle w:val="TableBullet1"/>
            </w:pPr>
            <w:r w:rsidRPr="00DF53C8">
              <w:t xml:space="preserve">Overall experience with the income reporting process </w:t>
            </w:r>
          </w:p>
          <w:p w14:paraId="081B117E" w14:textId="77777777" w:rsidR="00477BE1" w:rsidRPr="00DF53C8" w:rsidRDefault="00477BE1" w:rsidP="00621AEA">
            <w:pPr>
              <w:pStyle w:val="TableBullet1"/>
            </w:pPr>
            <w:r w:rsidRPr="00DF53C8">
              <w:t>Changes in the experience of reporting income since the legislative change was implemented</w:t>
            </w:r>
          </w:p>
          <w:p w14:paraId="117AD0A3" w14:textId="77777777" w:rsidR="00477BE1" w:rsidRPr="00DF53C8" w:rsidRDefault="00477BE1" w:rsidP="00621AEA">
            <w:pPr>
              <w:pStyle w:val="TableBullet1"/>
            </w:pPr>
            <w:r w:rsidRPr="00DF53C8">
              <w:t>Awareness of the legislative change at the time of transition</w:t>
            </w:r>
          </w:p>
          <w:p w14:paraId="2FA2CA18" w14:textId="77777777" w:rsidR="00477BE1" w:rsidRPr="00DF53C8" w:rsidRDefault="00477BE1" w:rsidP="00621AEA">
            <w:pPr>
              <w:pStyle w:val="TableBullet1"/>
            </w:pPr>
            <w:r w:rsidRPr="00DF53C8">
              <w:t xml:space="preserve">Challenges during the transition process </w:t>
            </w:r>
          </w:p>
          <w:p w14:paraId="132FBC22" w14:textId="7A58862C" w:rsidR="00477BE1" w:rsidRPr="00DF53C8" w:rsidRDefault="00477BE1" w:rsidP="00621AEA">
            <w:pPr>
              <w:pStyle w:val="TableBullet1"/>
            </w:pPr>
            <w:r w:rsidRPr="00DF53C8">
              <w:t xml:space="preserve">Impacts of the legislative change (including for those receiving Pension Payments). </w:t>
            </w:r>
          </w:p>
          <w:p w14:paraId="29512DC8" w14:textId="77777777" w:rsidR="00477BE1" w:rsidRPr="00DF53C8" w:rsidRDefault="00477BE1" w:rsidP="00621AEA">
            <w:pPr>
              <w:pStyle w:val="Tabletext"/>
            </w:pPr>
            <w:r w:rsidRPr="00DF53C8">
              <w:t xml:space="preserve">Written submissions are less prescriptive in nature and can be submitted in the preferred structure and style of an organisation or individual. </w:t>
            </w:r>
          </w:p>
          <w:p w14:paraId="2A562BCC" w14:textId="77777777" w:rsidR="00477BE1" w:rsidRPr="00DF53C8" w:rsidRDefault="00477BE1" w:rsidP="00621AEA">
            <w:pPr>
              <w:pStyle w:val="Tabletext"/>
            </w:pPr>
            <w:r w:rsidRPr="00DF53C8">
              <w:t>All views will be considered. Responses will not be visible to anyone else and will not be directly attributed back to any individual or organisation. More information about how feedback will be used is available on DSS Engage.</w:t>
            </w:r>
          </w:p>
          <w:p w14:paraId="4495493D" w14:textId="09C1D4C5" w:rsidR="00477BE1" w:rsidRPr="00DF53C8" w:rsidRDefault="00477BE1" w:rsidP="00621AEA">
            <w:pPr>
              <w:pStyle w:val="Tabletext"/>
            </w:pPr>
            <w:r w:rsidRPr="00DF53C8">
              <w:t xml:space="preserve">Please email </w:t>
            </w:r>
            <w:hyperlink r:id="rId22" w:history="1">
              <w:r w:rsidRPr="00DF53C8">
                <w:rPr>
                  <w:rStyle w:val="Hyperlink"/>
                  <w:color w:val="auto"/>
                  <w:sz w:val="20"/>
                  <w:szCs w:val="20"/>
                </w:rPr>
                <w:t>incomereporting@kpmg.com.au</w:t>
              </w:r>
            </w:hyperlink>
            <w:r w:rsidRPr="00DF53C8">
              <w:t xml:space="preserve"> with any questions.</w:t>
            </w:r>
          </w:p>
        </w:tc>
      </w:tr>
    </w:tbl>
    <w:p w14:paraId="0A83123F" w14:textId="2CD2D6FE" w:rsidR="00721F2E" w:rsidRDefault="00721F2E" w:rsidP="00F62A0D"/>
    <w:p w14:paraId="0EEFEC3F" w14:textId="02AA6978" w:rsidR="00D2314B" w:rsidRDefault="00B85E8D" w:rsidP="00B85E8D">
      <w:pPr>
        <w:pStyle w:val="Appendixheading"/>
      </w:pPr>
      <w:bookmarkStart w:id="31" w:name="_Toc104983823"/>
      <w:r>
        <w:lastRenderedPageBreak/>
        <w:t>: Survey Outlines</w:t>
      </w:r>
      <w:bookmarkEnd w:id="31"/>
      <w:r>
        <w:t xml:space="preserve"> </w:t>
      </w:r>
    </w:p>
    <w:p w14:paraId="2F8E8B1E" w14:textId="38102C92" w:rsidR="00721F2E" w:rsidRDefault="00D66CDF" w:rsidP="00D66CDF">
      <w:pPr>
        <w:pStyle w:val="Caption"/>
        <w:rPr>
          <w:color w:val="auto"/>
        </w:rPr>
      </w:pPr>
      <w:bookmarkStart w:id="32" w:name="_Ref103932017"/>
      <w:r w:rsidRPr="00D66CDF">
        <w:rPr>
          <w:color w:val="auto"/>
        </w:rPr>
        <w:t xml:space="preserve">Table </w:t>
      </w:r>
      <w:r w:rsidRPr="00D66CDF">
        <w:rPr>
          <w:color w:val="auto"/>
        </w:rPr>
        <w:fldChar w:fldCharType="begin"/>
      </w:r>
      <w:r w:rsidRPr="00D66CDF">
        <w:rPr>
          <w:color w:val="auto"/>
        </w:rPr>
        <w:instrText xml:space="preserve"> SEQ Table \* ARABIC </w:instrText>
      </w:r>
      <w:r w:rsidRPr="00D66CDF">
        <w:rPr>
          <w:color w:val="auto"/>
        </w:rPr>
        <w:fldChar w:fldCharType="separate"/>
      </w:r>
      <w:r w:rsidR="009B630A">
        <w:rPr>
          <w:noProof/>
          <w:color w:val="auto"/>
        </w:rPr>
        <w:t>11</w:t>
      </w:r>
      <w:r w:rsidRPr="00D66CDF">
        <w:rPr>
          <w:color w:val="auto"/>
        </w:rPr>
        <w:fldChar w:fldCharType="end"/>
      </w:r>
      <w:r w:rsidRPr="00D66CDF">
        <w:rPr>
          <w:color w:val="auto"/>
        </w:rPr>
        <w:t>: Individual survey outline - via DSS Engage</w:t>
      </w:r>
      <w:bookmarkEnd w:id="32"/>
    </w:p>
    <w:p w14:paraId="4E365AC7" w14:textId="4FD030FA" w:rsidR="005360C3" w:rsidRPr="005360C3" w:rsidRDefault="005360C3" w:rsidP="005360C3">
      <w:pPr>
        <w:pStyle w:val="Caption"/>
        <w:rPr>
          <w:color w:val="auto"/>
        </w:rPr>
      </w:pPr>
      <w:r w:rsidRPr="005360C3">
        <w:rPr>
          <w:color w:val="auto"/>
        </w:rPr>
        <w:t>Note all questions were optional and did no need to be completed prior to</w:t>
      </w:r>
      <w:r>
        <w:rPr>
          <w:color w:val="auto"/>
        </w:rPr>
        <w:t xml:space="preserve"> an individual</w:t>
      </w:r>
      <w:r w:rsidRPr="005360C3">
        <w:rPr>
          <w:color w:val="auto"/>
        </w:rPr>
        <w:t xml:space="preserve"> submitting the survey.</w:t>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2: Individual survey outline - via DSS Engage"/>
        <w:tblDescription w:val="Table 12 provides an outline of the survey sections and questions that were asked via DSS Engage to individuals that participated in the consultation survey. The Table has 2 columns. Column 1 lists the different sections of the individual survey. Column 2 lists the questions that were asked of individual participants during the survey. All survey questions were optional and did not need to be completed prior to an individual submitting the survey."/>
      </w:tblPr>
      <w:tblGrid>
        <w:gridCol w:w="2552"/>
        <w:gridCol w:w="6433"/>
      </w:tblGrid>
      <w:tr w:rsidR="00721F2E" w:rsidRPr="001C6DF3" w14:paraId="637B34E6" w14:textId="77777777" w:rsidTr="0064228B">
        <w:trPr>
          <w:trHeight w:val="502"/>
          <w:tblHeader/>
        </w:trPr>
        <w:tc>
          <w:tcPr>
            <w:tcW w:w="2552" w:type="dxa"/>
            <w:vAlign w:val="center"/>
          </w:tcPr>
          <w:p w14:paraId="2EC62C62" w14:textId="3FA00009" w:rsidR="00721F2E" w:rsidRPr="00DF53C8" w:rsidRDefault="00721F2E" w:rsidP="00621AEA">
            <w:pPr>
              <w:pStyle w:val="Tableheading"/>
              <w:rPr>
                <w:b w:val="0"/>
                <w:color w:val="00338D" w:themeColor="background2"/>
                <w:szCs w:val="20"/>
              </w:rPr>
            </w:pPr>
            <w:r w:rsidRPr="00DF53C8">
              <w:t>Section</w:t>
            </w:r>
          </w:p>
        </w:tc>
        <w:tc>
          <w:tcPr>
            <w:tcW w:w="6433" w:type="dxa"/>
            <w:vAlign w:val="center"/>
          </w:tcPr>
          <w:p w14:paraId="03A17110" w14:textId="294BF5AC" w:rsidR="00721F2E" w:rsidRPr="00DF53C8" w:rsidRDefault="00721F2E" w:rsidP="00621AEA">
            <w:pPr>
              <w:pStyle w:val="Tableheading"/>
              <w:rPr>
                <w:b w:val="0"/>
                <w:color w:val="00338D" w:themeColor="background2"/>
                <w:szCs w:val="20"/>
              </w:rPr>
            </w:pPr>
            <w:r w:rsidRPr="00DF53C8">
              <w:t>Survey questions</w:t>
            </w:r>
          </w:p>
        </w:tc>
      </w:tr>
      <w:tr w:rsidR="00721F2E" w:rsidRPr="001C6DF3" w14:paraId="079DE297" w14:textId="77777777" w:rsidTr="00B671CE">
        <w:trPr>
          <w:trHeight w:val="359"/>
        </w:trPr>
        <w:tc>
          <w:tcPr>
            <w:tcW w:w="2552" w:type="dxa"/>
          </w:tcPr>
          <w:p w14:paraId="08A93D57" w14:textId="028CE4C7" w:rsidR="00721F2E" w:rsidRPr="00621AEA" w:rsidRDefault="003060F1" w:rsidP="00621AEA">
            <w:pPr>
              <w:pStyle w:val="Tabletext"/>
              <w:rPr>
                <w:b/>
                <w:bCs/>
              </w:rPr>
            </w:pPr>
            <w:r w:rsidRPr="00621AEA">
              <w:rPr>
                <w:b/>
                <w:bCs/>
              </w:rPr>
              <w:t>Section A – Demographics</w:t>
            </w:r>
          </w:p>
        </w:tc>
        <w:tc>
          <w:tcPr>
            <w:tcW w:w="6433" w:type="dxa"/>
          </w:tcPr>
          <w:p w14:paraId="1D8A4A9B" w14:textId="77777777" w:rsidR="00721F2E" w:rsidRPr="00DF53C8" w:rsidRDefault="00AE024A" w:rsidP="00621AEA">
            <w:pPr>
              <w:pStyle w:val="TableBullet1"/>
            </w:pPr>
            <w:r w:rsidRPr="00DF53C8">
              <w:t>How do you identify?</w:t>
            </w:r>
          </w:p>
          <w:p w14:paraId="0B38190C" w14:textId="77777777" w:rsidR="00AE024A" w:rsidRPr="00DF53C8" w:rsidRDefault="00D675DA" w:rsidP="00621AEA">
            <w:pPr>
              <w:pStyle w:val="TableBullet1"/>
            </w:pPr>
            <w:r w:rsidRPr="00DF53C8">
              <w:t>Do you identify as a member of the LGBTIQA+SB community?</w:t>
            </w:r>
          </w:p>
          <w:p w14:paraId="7A56EF0C" w14:textId="77777777" w:rsidR="00D4623E" w:rsidRPr="00DF53C8" w:rsidRDefault="00E544AF" w:rsidP="00621AEA">
            <w:pPr>
              <w:pStyle w:val="TableBullet1"/>
            </w:pPr>
            <w:r w:rsidRPr="00DF53C8">
              <w:t>What is your age?</w:t>
            </w:r>
          </w:p>
          <w:p w14:paraId="4C58D041" w14:textId="10BADF96" w:rsidR="00B671CE" w:rsidRPr="00DF53C8" w:rsidRDefault="00D4623E" w:rsidP="00621AEA">
            <w:pPr>
              <w:pStyle w:val="TableBullet1"/>
            </w:pPr>
            <w:r w:rsidRPr="00DF53C8">
              <w:t xml:space="preserve">Which of the following best describes you? (Social security </w:t>
            </w:r>
            <w:r w:rsidR="003D2038">
              <w:t xml:space="preserve">payment </w:t>
            </w:r>
            <w:r w:rsidRPr="00DF53C8">
              <w:t>recipient profile)</w:t>
            </w:r>
          </w:p>
          <w:p w14:paraId="40E6742D" w14:textId="77777777" w:rsidR="00D646AF" w:rsidRPr="00DF53C8" w:rsidRDefault="00B671CE" w:rsidP="00621AEA">
            <w:pPr>
              <w:pStyle w:val="TableBullet1"/>
            </w:pPr>
            <w:r w:rsidRPr="00DF53C8">
              <w:t xml:space="preserve">Did you report employment income to Centrelink for yourself, or a partner before 7 December 2020?  </w:t>
            </w:r>
          </w:p>
          <w:p w14:paraId="57A78E96" w14:textId="26783D08" w:rsidR="00D646AF" w:rsidRPr="00DF53C8" w:rsidRDefault="007F455A" w:rsidP="00621AEA">
            <w:pPr>
              <w:pStyle w:val="TableBullet1"/>
            </w:pPr>
            <w:r w:rsidRPr="00DF53C8">
              <w:t xml:space="preserve">Have you reported employment income to Centrelink for yourself, or a partner </w:t>
            </w:r>
            <w:r w:rsidR="003C4E2D">
              <w:t>on or after</w:t>
            </w:r>
            <w:r w:rsidRPr="00DF53C8">
              <w:t xml:space="preserve"> 7 December 2020?</w:t>
            </w:r>
          </w:p>
          <w:p w14:paraId="0DC063BC" w14:textId="77777777" w:rsidR="002014B7" w:rsidRPr="00DF53C8" w:rsidRDefault="00D646AF" w:rsidP="00621AEA">
            <w:pPr>
              <w:pStyle w:val="TableBullet1"/>
            </w:pPr>
            <w:r w:rsidRPr="00DF53C8">
              <w:t>Do you currently report your, or your partner’s employment income to Centrelink?</w:t>
            </w:r>
          </w:p>
          <w:p w14:paraId="0E2EFFDD" w14:textId="0E692963" w:rsidR="002014B7" w:rsidRPr="00DF53C8" w:rsidRDefault="00D04047" w:rsidP="00621AEA">
            <w:pPr>
              <w:pStyle w:val="TableBullet1"/>
            </w:pPr>
            <w:r w:rsidRPr="00DF53C8">
              <w:t xml:space="preserve">Which of the following payments do you </w:t>
            </w:r>
            <w:r w:rsidR="003C4E2D">
              <w:t>currently</w:t>
            </w:r>
            <w:r w:rsidRPr="00DF53C8">
              <w:t xml:space="preserve"> receive?</w:t>
            </w:r>
          </w:p>
          <w:p w14:paraId="75F61C36" w14:textId="77777777" w:rsidR="002014B7" w:rsidRPr="00DF53C8" w:rsidRDefault="00A149C1" w:rsidP="00621AEA">
            <w:pPr>
              <w:pStyle w:val="TableBullet1"/>
            </w:pPr>
            <w:r w:rsidRPr="00DF53C8">
              <w:t>How long have you been receiving the following payment(s)?</w:t>
            </w:r>
          </w:p>
          <w:p w14:paraId="58CC2A16" w14:textId="77777777" w:rsidR="002014B7" w:rsidRPr="00DF53C8" w:rsidRDefault="002014B7" w:rsidP="00621AEA">
            <w:pPr>
              <w:pStyle w:val="TableBullet1"/>
            </w:pPr>
            <w:r w:rsidRPr="00DF53C8">
              <w:t>Do you identify as having a disability?</w:t>
            </w:r>
          </w:p>
          <w:p w14:paraId="44821D0F" w14:textId="77777777" w:rsidR="002014B7" w:rsidRPr="00DF53C8" w:rsidRDefault="002014B7" w:rsidP="00621AEA">
            <w:pPr>
              <w:pStyle w:val="TableBullet1"/>
            </w:pPr>
            <w:r w:rsidRPr="00DF53C8">
              <w:t>Do you identify as Aboriginal and Torres Strait Islander?</w:t>
            </w:r>
          </w:p>
          <w:p w14:paraId="0CD8BC94" w14:textId="3362CC86" w:rsidR="002014B7" w:rsidRPr="00DF53C8" w:rsidRDefault="002014B7" w:rsidP="00621AEA">
            <w:pPr>
              <w:pStyle w:val="TableBullet1"/>
            </w:pPr>
            <w:r w:rsidRPr="00DF53C8">
              <w:t>Which state or territory do you live in?</w:t>
            </w:r>
          </w:p>
          <w:p w14:paraId="5348E533" w14:textId="77777777" w:rsidR="002014B7" w:rsidRPr="00DF53C8" w:rsidRDefault="002014B7" w:rsidP="00621AEA">
            <w:pPr>
              <w:pStyle w:val="TableBullet1"/>
            </w:pPr>
            <w:r w:rsidRPr="00DF53C8">
              <w:t>In which type of location do you live?</w:t>
            </w:r>
          </w:p>
          <w:p w14:paraId="582F6F68" w14:textId="77777777" w:rsidR="002014B7" w:rsidRPr="00DF53C8" w:rsidRDefault="002014B7" w:rsidP="00621AEA">
            <w:pPr>
              <w:pStyle w:val="TableBullet1"/>
            </w:pPr>
            <w:r w:rsidRPr="00DF53C8">
              <w:t>Which of the following best describes your current employment status?</w:t>
            </w:r>
          </w:p>
          <w:p w14:paraId="58C984C2" w14:textId="77777777" w:rsidR="002014B7" w:rsidRPr="00DF53C8" w:rsidRDefault="002014B7" w:rsidP="00621AEA">
            <w:pPr>
              <w:pStyle w:val="TableBullet1"/>
            </w:pPr>
            <w:r w:rsidRPr="00DF53C8">
              <w:t xml:space="preserve">How frequently do you get paid by your employer? </w:t>
            </w:r>
          </w:p>
          <w:p w14:paraId="6629AFC2" w14:textId="77777777" w:rsidR="002014B7" w:rsidRPr="00DF53C8" w:rsidRDefault="002014B7" w:rsidP="00621AEA">
            <w:pPr>
              <w:pStyle w:val="TableBullet1"/>
            </w:pPr>
            <w:r w:rsidRPr="00DF53C8">
              <w:t xml:space="preserve">What country were you born in? </w:t>
            </w:r>
          </w:p>
          <w:p w14:paraId="5FA2E7A7" w14:textId="18D2D91E" w:rsidR="007F455A" w:rsidRPr="00DF53C8" w:rsidRDefault="002014B7" w:rsidP="00621AEA">
            <w:pPr>
              <w:pStyle w:val="TableBullet1"/>
            </w:pPr>
            <w:r w:rsidRPr="00DF53C8">
              <w:t>Do you speak a language other than English at home?</w:t>
            </w:r>
          </w:p>
        </w:tc>
      </w:tr>
      <w:tr w:rsidR="00721F2E" w:rsidRPr="001C6DF3" w14:paraId="0F364398" w14:textId="77777777" w:rsidTr="00B671CE">
        <w:trPr>
          <w:trHeight w:val="359"/>
        </w:trPr>
        <w:tc>
          <w:tcPr>
            <w:tcW w:w="2552" w:type="dxa"/>
          </w:tcPr>
          <w:p w14:paraId="4F0A6411" w14:textId="628901F4" w:rsidR="00721F2E" w:rsidRPr="00621AEA" w:rsidRDefault="003060F1" w:rsidP="00621AEA">
            <w:pPr>
              <w:pStyle w:val="Tabletext"/>
              <w:rPr>
                <w:b/>
                <w:bCs/>
              </w:rPr>
            </w:pPr>
            <w:r w:rsidRPr="00621AEA">
              <w:rPr>
                <w:b/>
                <w:bCs/>
              </w:rPr>
              <w:t>Section B – Overall Experience</w:t>
            </w:r>
          </w:p>
        </w:tc>
        <w:tc>
          <w:tcPr>
            <w:tcW w:w="6433" w:type="dxa"/>
          </w:tcPr>
          <w:p w14:paraId="5B8F7A0A" w14:textId="77777777" w:rsidR="0061658E" w:rsidRPr="00DF53C8" w:rsidRDefault="009A2EFA" w:rsidP="00621AEA">
            <w:pPr>
              <w:pStyle w:val="TableBullet1"/>
            </w:pPr>
            <w:r w:rsidRPr="00DF53C8">
              <w:t>How do you typically report employment income to Centrelink?</w:t>
            </w:r>
          </w:p>
          <w:p w14:paraId="1EE6A44B" w14:textId="5ADAC6C6" w:rsidR="0061658E" w:rsidRPr="00DF53C8" w:rsidRDefault="0061658E" w:rsidP="00621AEA">
            <w:pPr>
              <w:pStyle w:val="TableBullet1"/>
            </w:pPr>
            <w:r w:rsidRPr="00DF53C8">
              <w:t>To what extent do you agree with the following statements</w:t>
            </w:r>
            <w:r w:rsidR="00B17C07" w:rsidRPr="00DF53C8">
              <w:t xml:space="preserve"> [about the current employment income process]</w:t>
            </w:r>
            <w:r w:rsidRPr="00DF53C8">
              <w:t>?</w:t>
            </w:r>
          </w:p>
          <w:p w14:paraId="5CADB644" w14:textId="6EECD2B6" w:rsidR="0061658E" w:rsidRPr="00DF53C8" w:rsidRDefault="006E0C14" w:rsidP="00621AEA">
            <w:pPr>
              <w:pStyle w:val="TableBullet1"/>
            </w:pPr>
            <w:r w:rsidRPr="00DF53C8">
              <w:t>Compared to this time two years ago (beginning of 2020), would you say your experience with the employment income reporting process has changed? How?</w:t>
            </w:r>
          </w:p>
        </w:tc>
      </w:tr>
      <w:tr w:rsidR="00721F2E" w:rsidRPr="001C6DF3" w14:paraId="0716B784" w14:textId="77777777" w:rsidTr="00B671CE">
        <w:trPr>
          <w:trHeight w:val="359"/>
        </w:trPr>
        <w:tc>
          <w:tcPr>
            <w:tcW w:w="2552" w:type="dxa"/>
          </w:tcPr>
          <w:p w14:paraId="2FCBDF7C" w14:textId="24C7900D" w:rsidR="00721F2E" w:rsidRPr="00621AEA" w:rsidRDefault="003060F1" w:rsidP="00621AEA">
            <w:pPr>
              <w:pStyle w:val="Tabletext"/>
              <w:rPr>
                <w:b/>
                <w:bCs/>
              </w:rPr>
            </w:pPr>
            <w:r w:rsidRPr="00621AEA">
              <w:rPr>
                <w:b/>
                <w:bCs/>
              </w:rPr>
              <w:t>Section C – The Transition from Earned to Paid</w:t>
            </w:r>
          </w:p>
        </w:tc>
        <w:tc>
          <w:tcPr>
            <w:tcW w:w="6433" w:type="dxa"/>
          </w:tcPr>
          <w:p w14:paraId="53522242" w14:textId="77777777" w:rsidR="006C4341" w:rsidRPr="00DF53C8" w:rsidRDefault="00143DBC" w:rsidP="00621AEA">
            <w:pPr>
              <w:pStyle w:val="TableBullet1"/>
            </w:pPr>
            <w:r w:rsidRPr="00DF53C8">
              <w:t>Do you recall hearing about or being notified about the above change before it was implemented?</w:t>
            </w:r>
          </w:p>
          <w:p w14:paraId="60B9C516" w14:textId="6776CAE2" w:rsidR="00695276" w:rsidRPr="00DF53C8" w:rsidRDefault="00B248D8" w:rsidP="00621AEA">
            <w:pPr>
              <w:pStyle w:val="TableBullet1"/>
            </w:pPr>
            <w:r w:rsidRPr="00DF53C8">
              <w:t xml:space="preserve">How do you recall hearing about the change? </w:t>
            </w:r>
          </w:p>
          <w:p w14:paraId="05A1DDFB" w14:textId="77777777" w:rsidR="008E3CC6" w:rsidRPr="00DF53C8" w:rsidRDefault="00695276" w:rsidP="00621AEA">
            <w:pPr>
              <w:pStyle w:val="TableBullet1"/>
            </w:pPr>
            <w:r w:rsidRPr="00DF53C8">
              <w:t>Do you agree you felt adequately informed about your requirement to report in a different way moving forward?</w:t>
            </w:r>
          </w:p>
          <w:p w14:paraId="66438D3A" w14:textId="77777777" w:rsidR="00AF106E" w:rsidRPr="00DF53C8" w:rsidRDefault="008E3CC6" w:rsidP="00621AEA">
            <w:pPr>
              <w:pStyle w:val="TableBullet1"/>
            </w:pPr>
            <w:r w:rsidRPr="00DF53C8">
              <w:t>Do you recall having any issues with reporting employment income during the transition period (December 2020)?</w:t>
            </w:r>
          </w:p>
          <w:p w14:paraId="3B49538A" w14:textId="65D0E40E" w:rsidR="00721F2E" w:rsidRPr="00DF53C8" w:rsidRDefault="00AF106E" w:rsidP="00621AEA">
            <w:pPr>
              <w:pStyle w:val="TableBullet1"/>
            </w:pPr>
            <w:r w:rsidRPr="00DF53C8">
              <w:rPr>
                <w:rFonts w:cs="Arial"/>
                <w:color w:val="2C2A29"/>
                <w:shd w:val="clear" w:color="auto" w:fill="FFFFFF"/>
              </w:rPr>
              <w:t>What issues do you recall having with reporting employment income during the transition period (December 2020)?</w:t>
            </w:r>
          </w:p>
        </w:tc>
      </w:tr>
      <w:tr w:rsidR="003060F1" w:rsidRPr="001C6DF3" w14:paraId="7AB0192D" w14:textId="77777777" w:rsidTr="00B671CE">
        <w:trPr>
          <w:trHeight w:val="359"/>
        </w:trPr>
        <w:tc>
          <w:tcPr>
            <w:tcW w:w="2552" w:type="dxa"/>
          </w:tcPr>
          <w:p w14:paraId="2BA62696" w14:textId="3E9F893E" w:rsidR="003060F1" w:rsidRPr="00621AEA" w:rsidRDefault="003060F1" w:rsidP="00621AEA">
            <w:pPr>
              <w:pStyle w:val="Tabletext"/>
              <w:rPr>
                <w:b/>
                <w:bCs/>
              </w:rPr>
            </w:pPr>
            <w:r w:rsidRPr="00621AEA">
              <w:rPr>
                <w:b/>
                <w:bCs/>
              </w:rPr>
              <w:lastRenderedPageBreak/>
              <w:t>Section D – Unintended Consequences</w:t>
            </w:r>
          </w:p>
        </w:tc>
        <w:tc>
          <w:tcPr>
            <w:tcW w:w="6433" w:type="dxa"/>
          </w:tcPr>
          <w:p w14:paraId="116C078C" w14:textId="77777777" w:rsidR="005D081B" w:rsidRPr="00DF53C8" w:rsidRDefault="00F245F2" w:rsidP="00621AEA">
            <w:pPr>
              <w:pStyle w:val="TableBullet1"/>
            </w:pPr>
            <w:r w:rsidRPr="00DF53C8">
              <w:t>To what extent do you agree with the following statements [about the employment income reporting process since change was introduced]?</w:t>
            </w:r>
          </w:p>
          <w:p w14:paraId="6A4DCBB0" w14:textId="07382EE7" w:rsidR="005D081B" w:rsidRPr="00DF53C8" w:rsidRDefault="005D081B" w:rsidP="00621AEA">
            <w:pPr>
              <w:pStyle w:val="TableBullet1"/>
              <w:rPr>
                <w:rFonts w:cs="Arial"/>
                <w:color w:val="2C2A29"/>
                <w:shd w:val="clear" w:color="auto" w:fill="FFFFFF"/>
              </w:rPr>
            </w:pPr>
            <w:r w:rsidRPr="00DF53C8">
              <w:t>On a scale of 0 to 10, to what extent did the employment income reporting change impact you?</w:t>
            </w:r>
          </w:p>
          <w:p w14:paraId="20230629" w14:textId="53D43CC6" w:rsidR="003060F1" w:rsidRPr="00DF53C8" w:rsidRDefault="00ED18A0" w:rsidP="00621AEA">
            <w:pPr>
              <w:pStyle w:val="TableBullet1"/>
              <w:rPr>
                <w:rFonts w:cs="Arial"/>
                <w:color w:val="2C2A29"/>
                <w:shd w:val="clear" w:color="auto" w:fill="FFFFFF"/>
              </w:rPr>
            </w:pPr>
            <w:r w:rsidRPr="00DF53C8">
              <w:t xml:space="preserve">In what ways has the employment income reporting change made the process more complex? </w:t>
            </w:r>
          </w:p>
        </w:tc>
      </w:tr>
      <w:tr w:rsidR="003060F1" w:rsidRPr="001C6DF3" w14:paraId="02BCA32D" w14:textId="77777777" w:rsidTr="00B671CE">
        <w:trPr>
          <w:trHeight w:val="359"/>
        </w:trPr>
        <w:tc>
          <w:tcPr>
            <w:tcW w:w="2552" w:type="dxa"/>
          </w:tcPr>
          <w:p w14:paraId="0014F7EF" w14:textId="2B796645" w:rsidR="003060F1" w:rsidRPr="00621AEA" w:rsidRDefault="003060F1" w:rsidP="00621AEA">
            <w:pPr>
              <w:pStyle w:val="Tabletext"/>
              <w:rPr>
                <w:b/>
                <w:bCs/>
              </w:rPr>
            </w:pPr>
            <w:r w:rsidRPr="00621AEA">
              <w:rPr>
                <w:b/>
                <w:bCs/>
              </w:rPr>
              <w:t xml:space="preserve">Section E – Pension Payments </w:t>
            </w:r>
          </w:p>
        </w:tc>
        <w:tc>
          <w:tcPr>
            <w:tcW w:w="6433" w:type="dxa"/>
          </w:tcPr>
          <w:p w14:paraId="26BB0019" w14:textId="694311BC" w:rsidR="00886B48" w:rsidRPr="00DF53C8" w:rsidRDefault="00886B48" w:rsidP="00621AEA">
            <w:pPr>
              <w:pStyle w:val="TableBullet1"/>
              <w:rPr>
                <w:i/>
                <w:iCs/>
              </w:rPr>
            </w:pPr>
            <w:r w:rsidRPr="00DF53C8">
              <w:t>On a scale of 0 to 10, to what extent has the change to pension payment reporting frequency impacted you?</w:t>
            </w:r>
          </w:p>
          <w:p w14:paraId="3F783CAE" w14:textId="2D724081" w:rsidR="003060F1" w:rsidRPr="00DF53C8" w:rsidRDefault="005329E4" w:rsidP="00621AEA">
            <w:pPr>
              <w:pStyle w:val="TableBullet1"/>
            </w:pPr>
            <w:r w:rsidRPr="00DF53C8">
              <w:t>Do you have any further comments about the employment income reporting change or this survey?</w:t>
            </w:r>
          </w:p>
        </w:tc>
      </w:tr>
    </w:tbl>
    <w:p w14:paraId="748049D4" w14:textId="1D392FB5" w:rsidR="00FA15E6" w:rsidRDefault="00FA15E6" w:rsidP="00D2314B">
      <w:pPr>
        <w:pStyle w:val="Caption"/>
        <w:rPr>
          <w:color w:val="auto"/>
        </w:rPr>
      </w:pPr>
    </w:p>
    <w:p w14:paraId="494B2294" w14:textId="6B1C55BF" w:rsidR="00D2314B" w:rsidRDefault="00D66CDF" w:rsidP="00D66CDF">
      <w:pPr>
        <w:pStyle w:val="Caption"/>
        <w:rPr>
          <w:color w:val="auto"/>
        </w:rPr>
      </w:pPr>
      <w:bookmarkStart w:id="33" w:name="_Ref103932020"/>
      <w:r w:rsidRPr="00D66CDF">
        <w:rPr>
          <w:color w:val="auto"/>
        </w:rPr>
        <w:t xml:space="preserve">Table </w:t>
      </w:r>
      <w:r w:rsidRPr="00D66CDF">
        <w:rPr>
          <w:color w:val="auto"/>
        </w:rPr>
        <w:fldChar w:fldCharType="begin"/>
      </w:r>
      <w:r w:rsidRPr="00D66CDF">
        <w:rPr>
          <w:color w:val="auto"/>
        </w:rPr>
        <w:instrText xml:space="preserve"> SEQ Table \* ARABIC </w:instrText>
      </w:r>
      <w:r w:rsidRPr="00D66CDF">
        <w:rPr>
          <w:color w:val="auto"/>
        </w:rPr>
        <w:fldChar w:fldCharType="separate"/>
      </w:r>
      <w:r w:rsidR="009B630A">
        <w:rPr>
          <w:noProof/>
          <w:color w:val="auto"/>
        </w:rPr>
        <w:t>12</w:t>
      </w:r>
      <w:r w:rsidRPr="00D66CDF">
        <w:rPr>
          <w:color w:val="auto"/>
        </w:rPr>
        <w:fldChar w:fldCharType="end"/>
      </w:r>
      <w:r w:rsidRPr="00D66CDF">
        <w:rPr>
          <w:color w:val="auto"/>
        </w:rPr>
        <w:t>: Organisation survey outline - via DSS Engage</w:t>
      </w:r>
      <w:bookmarkEnd w:id="33"/>
    </w:p>
    <w:p w14:paraId="4BD4F747" w14:textId="30BA6F95" w:rsidR="005360C3" w:rsidRPr="005360C3" w:rsidRDefault="005360C3" w:rsidP="005360C3">
      <w:pPr>
        <w:pStyle w:val="Caption"/>
        <w:rPr>
          <w:color w:val="auto"/>
        </w:rPr>
      </w:pPr>
      <w:r w:rsidRPr="005360C3">
        <w:rPr>
          <w:color w:val="auto"/>
        </w:rPr>
        <w:t>Note all questions were optional and did no need to be completed prior to</w:t>
      </w:r>
      <w:r>
        <w:rPr>
          <w:color w:val="auto"/>
        </w:rPr>
        <w:t xml:space="preserve"> an organisation</w:t>
      </w:r>
      <w:r w:rsidRPr="005360C3">
        <w:rPr>
          <w:color w:val="auto"/>
        </w:rPr>
        <w:t xml:space="preserve"> submitting the survey</w:t>
      </w:r>
      <w:r>
        <w:rPr>
          <w:color w:val="auto"/>
        </w:rPr>
        <w:t>.</w:t>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3: Organisation survey outline - via DSS Engage"/>
        <w:tblDescription w:val="Table 13 provides an outline of the survey sections and questions that were asked via DSS Engage to organisations that participated in the consultation survey. The Table has 2 columns. Column 1 lists the different sections of the organisation survey. Column 2 lists the questions that were asked of organisations during the survey. All survey questions were optional and did not need to be completed prior to an organisation submitting the survey."/>
      </w:tblPr>
      <w:tblGrid>
        <w:gridCol w:w="2552"/>
        <w:gridCol w:w="6433"/>
      </w:tblGrid>
      <w:tr w:rsidR="001C6DF3" w:rsidRPr="001C6DF3" w14:paraId="46462290" w14:textId="77777777" w:rsidTr="0064228B">
        <w:trPr>
          <w:trHeight w:val="502"/>
          <w:tblHeader/>
        </w:trPr>
        <w:tc>
          <w:tcPr>
            <w:tcW w:w="2552" w:type="dxa"/>
            <w:vAlign w:val="center"/>
          </w:tcPr>
          <w:p w14:paraId="789D38C2" w14:textId="77777777" w:rsidR="001C6DF3" w:rsidRPr="004C7065" w:rsidRDefault="001C6DF3" w:rsidP="004C7065">
            <w:pPr>
              <w:pStyle w:val="Tableheading"/>
            </w:pPr>
            <w:r w:rsidRPr="004C7065">
              <w:t>Section</w:t>
            </w:r>
          </w:p>
        </w:tc>
        <w:tc>
          <w:tcPr>
            <w:tcW w:w="6433" w:type="dxa"/>
            <w:vAlign w:val="center"/>
          </w:tcPr>
          <w:p w14:paraId="42976D3A" w14:textId="77777777" w:rsidR="001C6DF3" w:rsidRPr="004C7065" w:rsidRDefault="001C6DF3" w:rsidP="004C7065">
            <w:pPr>
              <w:pStyle w:val="Tableheading"/>
            </w:pPr>
            <w:r w:rsidRPr="004C7065">
              <w:t>Survey questions</w:t>
            </w:r>
          </w:p>
        </w:tc>
      </w:tr>
      <w:tr w:rsidR="001C6DF3" w:rsidRPr="001C6DF3" w14:paraId="5356D6A0" w14:textId="77777777" w:rsidTr="0064228B">
        <w:trPr>
          <w:trHeight w:val="359"/>
        </w:trPr>
        <w:tc>
          <w:tcPr>
            <w:tcW w:w="2552" w:type="dxa"/>
          </w:tcPr>
          <w:p w14:paraId="0BA8B5A6" w14:textId="77777777" w:rsidR="001C6DF3" w:rsidRPr="000D3DDB" w:rsidRDefault="001C6DF3" w:rsidP="000D3DDB">
            <w:pPr>
              <w:pStyle w:val="Tabletext"/>
              <w:rPr>
                <w:b/>
                <w:bCs/>
              </w:rPr>
            </w:pPr>
            <w:r w:rsidRPr="000D3DDB">
              <w:rPr>
                <w:b/>
                <w:bCs/>
              </w:rPr>
              <w:t>Section A – Demographics</w:t>
            </w:r>
          </w:p>
        </w:tc>
        <w:tc>
          <w:tcPr>
            <w:tcW w:w="6433" w:type="dxa"/>
          </w:tcPr>
          <w:p w14:paraId="1BF34FB8" w14:textId="77777777" w:rsidR="004E39AB" w:rsidRPr="00DF53C8" w:rsidRDefault="004E39AB" w:rsidP="000D3DDB">
            <w:pPr>
              <w:pStyle w:val="TableBullet1"/>
              <w:rPr>
                <w:color w:val="000000" w:themeColor="text1"/>
                <w:szCs w:val="20"/>
              </w:rPr>
            </w:pPr>
            <w:r w:rsidRPr="00DF53C8">
              <w:rPr>
                <w:szCs w:val="20"/>
              </w:rPr>
              <w:t>Which organisation are you representing?</w:t>
            </w:r>
          </w:p>
          <w:p w14:paraId="79DBB354" w14:textId="4FE084C8" w:rsidR="00FB36DA" w:rsidRPr="00DF53C8" w:rsidRDefault="00FB36DA" w:rsidP="000D3DDB">
            <w:pPr>
              <w:pStyle w:val="TableBullet1"/>
              <w:rPr>
                <w:szCs w:val="20"/>
              </w:rPr>
            </w:pPr>
            <w:r w:rsidRPr="00DF53C8">
              <w:rPr>
                <w:szCs w:val="20"/>
              </w:rPr>
              <w:t>Which of the following describes the organisation you are representing?</w:t>
            </w:r>
          </w:p>
          <w:p w14:paraId="76F6FA82" w14:textId="77777777" w:rsidR="00DA6E4B" w:rsidRPr="00DF53C8" w:rsidRDefault="00DA6E4B" w:rsidP="000D3DDB">
            <w:pPr>
              <w:pStyle w:val="TableBullet1"/>
              <w:rPr>
                <w:rFonts w:cs="Arial"/>
                <w:color w:val="2C2A29"/>
                <w:szCs w:val="20"/>
                <w:shd w:val="clear" w:color="auto" w:fill="FFFFFF"/>
              </w:rPr>
            </w:pPr>
            <w:r w:rsidRPr="00DF53C8">
              <w:rPr>
                <w:szCs w:val="20"/>
              </w:rPr>
              <w:t>Which of the below services does your organisation provide?</w:t>
            </w:r>
          </w:p>
          <w:p w14:paraId="5E7EA445" w14:textId="77777777" w:rsidR="00BE3D77" w:rsidRPr="00DF53C8" w:rsidRDefault="00BE3D77" w:rsidP="000D3DDB">
            <w:pPr>
              <w:pStyle w:val="TableBullet1"/>
              <w:rPr>
                <w:rFonts w:cs="Arial"/>
                <w:color w:val="2C2A29"/>
                <w:szCs w:val="20"/>
                <w:shd w:val="clear" w:color="auto" w:fill="FFFFFF"/>
              </w:rPr>
            </w:pPr>
            <w:r w:rsidRPr="00DF53C8">
              <w:rPr>
                <w:szCs w:val="20"/>
              </w:rPr>
              <w:t>In which states or territories are your organisations’ services available?</w:t>
            </w:r>
          </w:p>
          <w:p w14:paraId="276D6A44" w14:textId="77777777" w:rsidR="00BE3D77" w:rsidRPr="00DF53C8" w:rsidRDefault="00BE3D77" w:rsidP="000D3DDB">
            <w:pPr>
              <w:pStyle w:val="TableBullet1"/>
              <w:rPr>
                <w:rFonts w:cs="Arial"/>
                <w:color w:val="2C2A29"/>
                <w:szCs w:val="20"/>
                <w:shd w:val="clear" w:color="auto" w:fill="FFFFFF"/>
              </w:rPr>
            </w:pPr>
            <w:r w:rsidRPr="00DF53C8">
              <w:rPr>
                <w:rFonts w:cs="Arial"/>
                <w:color w:val="2C2A29"/>
                <w:szCs w:val="20"/>
                <w:shd w:val="clear" w:color="auto" w:fill="FFFFFF"/>
              </w:rPr>
              <w:t xml:space="preserve">Does your organisation target services to any of the following customers or groups? </w:t>
            </w:r>
          </w:p>
          <w:p w14:paraId="50A1340E" w14:textId="1C9109B2" w:rsidR="001C6DF3" w:rsidRPr="00DF53C8" w:rsidRDefault="00BE3D77" w:rsidP="000D3DDB">
            <w:pPr>
              <w:pStyle w:val="TableBullet1"/>
              <w:rPr>
                <w:rFonts w:cs="Arial"/>
                <w:color w:val="2C2A29"/>
                <w:szCs w:val="20"/>
                <w:shd w:val="clear" w:color="auto" w:fill="FFFFFF"/>
              </w:rPr>
            </w:pPr>
            <w:r w:rsidRPr="00DF53C8">
              <w:rPr>
                <w:szCs w:val="20"/>
              </w:rPr>
              <w:t>Which of the following social security payments* are most relevant to the services your organisation offers?</w:t>
            </w:r>
          </w:p>
        </w:tc>
      </w:tr>
      <w:tr w:rsidR="001C6DF3" w:rsidRPr="001C6DF3" w14:paraId="6B13EECA" w14:textId="77777777" w:rsidTr="0064228B">
        <w:trPr>
          <w:trHeight w:val="359"/>
        </w:trPr>
        <w:tc>
          <w:tcPr>
            <w:tcW w:w="2552" w:type="dxa"/>
          </w:tcPr>
          <w:p w14:paraId="45749449" w14:textId="77777777" w:rsidR="001C6DF3" w:rsidRPr="000D3DDB" w:rsidRDefault="001C6DF3" w:rsidP="000D3DDB">
            <w:pPr>
              <w:pStyle w:val="Tabletext"/>
              <w:rPr>
                <w:b/>
                <w:szCs w:val="20"/>
              </w:rPr>
            </w:pPr>
            <w:r w:rsidRPr="000D3DDB">
              <w:rPr>
                <w:b/>
                <w:szCs w:val="20"/>
              </w:rPr>
              <w:t>Section B – Overall Experience</w:t>
            </w:r>
          </w:p>
        </w:tc>
        <w:tc>
          <w:tcPr>
            <w:tcW w:w="6433" w:type="dxa"/>
          </w:tcPr>
          <w:p w14:paraId="0C4FC3B7" w14:textId="04C2AD47" w:rsidR="001C6DF3" w:rsidRPr="00DF53C8" w:rsidRDefault="00E5796F" w:rsidP="000D3DDB">
            <w:pPr>
              <w:pStyle w:val="TableBullet1"/>
              <w:rPr>
                <w:rFonts w:cs="Arial"/>
                <w:color w:val="2C2A29"/>
                <w:szCs w:val="20"/>
                <w:shd w:val="clear" w:color="auto" w:fill="FFFFFF"/>
              </w:rPr>
            </w:pPr>
            <w:r w:rsidRPr="00DF53C8">
              <w:rPr>
                <w:szCs w:val="20"/>
              </w:rPr>
              <w:t>To what extent do you agree with the following statements about the current employment income reporting process?</w:t>
            </w:r>
          </w:p>
        </w:tc>
      </w:tr>
      <w:tr w:rsidR="001C6DF3" w:rsidRPr="001C6DF3" w14:paraId="74634586" w14:textId="77777777" w:rsidTr="0064228B">
        <w:trPr>
          <w:trHeight w:val="359"/>
        </w:trPr>
        <w:tc>
          <w:tcPr>
            <w:tcW w:w="2552" w:type="dxa"/>
          </w:tcPr>
          <w:p w14:paraId="76BCABC3" w14:textId="77777777" w:rsidR="001C6DF3" w:rsidRPr="000D3DDB" w:rsidRDefault="001C6DF3" w:rsidP="000D3DDB">
            <w:pPr>
              <w:pStyle w:val="Tabletext"/>
              <w:rPr>
                <w:b/>
                <w:szCs w:val="20"/>
              </w:rPr>
            </w:pPr>
            <w:r w:rsidRPr="000D3DDB">
              <w:rPr>
                <w:b/>
                <w:szCs w:val="20"/>
              </w:rPr>
              <w:t>Section C – The Transition from Earned to Paid</w:t>
            </w:r>
          </w:p>
        </w:tc>
        <w:tc>
          <w:tcPr>
            <w:tcW w:w="6433" w:type="dxa"/>
          </w:tcPr>
          <w:p w14:paraId="166BADD7" w14:textId="77777777" w:rsidR="0054228E" w:rsidRPr="00DF53C8" w:rsidRDefault="0054228E" w:rsidP="000D3DDB">
            <w:pPr>
              <w:pStyle w:val="TableBullet1"/>
              <w:rPr>
                <w:szCs w:val="20"/>
              </w:rPr>
            </w:pPr>
            <w:r w:rsidRPr="00DF53C8">
              <w:rPr>
                <w:szCs w:val="20"/>
              </w:rPr>
              <w:t>Do you recall hearing about or being notified about the above change before it was implemented?</w:t>
            </w:r>
          </w:p>
          <w:p w14:paraId="3BF8D43E" w14:textId="77777777" w:rsidR="0054228E" w:rsidRPr="00DF53C8" w:rsidRDefault="0054228E" w:rsidP="000D3DDB">
            <w:pPr>
              <w:pStyle w:val="TableBullet1"/>
              <w:rPr>
                <w:rFonts w:cs="Arial"/>
                <w:color w:val="2C2A29"/>
                <w:szCs w:val="20"/>
                <w:shd w:val="clear" w:color="auto" w:fill="FFFFFF"/>
              </w:rPr>
            </w:pPr>
            <w:r w:rsidRPr="00DF53C8">
              <w:rPr>
                <w:szCs w:val="20"/>
              </w:rPr>
              <w:t xml:space="preserve">How do you recall hearing about the change? </w:t>
            </w:r>
          </w:p>
          <w:p w14:paraId="53F31EC5" w14:textId="77777777" w:rsidR="0054228E" w:rsidRPr="00DF53C8" w:rsidRDefault="0054228E" w:rsidP="000D3DDB">
            <w:pPr>
              <w:pStyle w:val="TableBullet1"/>
              <w:rPr>
                <w:rFonts w:cs="Arial"/>
                <w:color w:val="2C2A29"/>
                <w:szCs w:val="20"/>
                <w:shd w:val="clear" w:color="auto" w:fill="FFFFFF"/>
              </w:rPr>
            </w:pPr>
            <w:r w:rsidRPr="00DF53C8">
              <w:rPr>
                <w:szCs w:val="20"/>
              </w:rPr>
              <w:t>To what extent do you agree that your organisation felt adequately informed about the change to the employment income reporting process?</w:t>
            </w:r>
          </w:p>
          <w:p w14:paraId="1287876E" w14:textId="30F05A03" w:rsidR="001C6DF3" w:rsidRPr="00DF53C8" w:rsidRDefault="0054228E" w:rsidP="000D3DDB">
            <w:pPr>
              <w:pStyle w:val="TableBullet1"/>
              <w:rPr>
                <w:szCs w:val="20"/>
              </w:rPr>
            </w:pPr>
            <w:r w:rsidRPr="00DF53C8">
              <w:rPr>
                <w:szCs w:val="20"/>
              </w:rPr>
              <w:t>If anything, what</w:t>
            </w:r>
            <w:r w:rsidRPr="00DF53C8" w:rsidDel="001D6F4F">
              <w:rPr>
                <w:szCs w:val="20"/>
              </w:rPr>
              <w:t xml:space="preserve"> </w:t>
            </w:r>
            <w:r w:rsidRPr="00DF53C8">
              <w:rPr>
                <w:szCs w:val="20"/>
              </w:rPr>
              <w:t>could have been improved about how the change was communicated to your organisation?</w:t>
            </w:r>
          </w:p>
        </w:tc>
      </w:tr>
      <w:tr w:rsidR="001C6DF3" w:rsidRPr="001C6DF3" w14:paraId="05FA9D54" w14:textId="77777777" w:rsidTr="0064228B">
        <w:trPr>
          <w:trHeight w:val="359"/>
        </w:trPr>
        <w:tc>
          <w:tcPr>
            <w:tcW w:w="2552" w:type="dxa"/>
          </w:tcPr>
          <w:p w14:paraId="1F6F1939" w14:textId="77777777" w:rsidR="001C6DF3" w:rsidRPr="000D3DDB" w:rsidRDefault="001C6DF3" w:rsidP="000D3DDB">
            <w:pPr>
              <w:pStyle w:val="Tabletext"/>
              <w:rPr>
                <w:b/>
                <w:szCs w:val="20"/>
              </w:rPr>
            </w:pPr>
            <w:r w:rsidRPr="000D3DDB">
              <w:rPr>
                <w:b/>
                <w:szCs w:val="20"/>
              </w:rPr>
              <w:t>Section D – Unintended Consequences</w:t>
            </w:r>
          </w:p>
        </w:tc>
        <w:tc>
          <w:tcPr>
            <w:tcW w:w="6433" w:type="dxa"/>
          </w:tcPr>
          <w:p w14:paraId="3C61BB99" w14:textId="77777777" w:rsidR="0054228E" w:rsidRPr="00DF53C8" w:rsidRDefault="0054228E" w:rsidP="000D3DDB">
            <w:pPr>
              <w:pStyle w:val="TableBullet1"/>
              <w:rPr>
                <w:rFonts w:cs="Arial"/>
                <w:color w:val="2C2A29"/>
                <w:szCs w:val="20"/>
                <w:shd w:val="clear" w:color="auto" w:fill="FFFFFF"/>
              </w:rPr>
            </w:pPr>
            <w:r w:rsidRPr="00DF53C8">
              <w:rPr>
                <w:szCs w:val="20"/>
              </w:rPr>
              <w:t>On a scale of 0 to 10, to what extent do you believe the employment income reporting change has impacted social security payment recipients?</w:t>
            </w:r>
          </w:p>
          <w:p w14:paraId="0C66C0D7" w14:textId="77777777" w:rsidR="0054228E" w:rsidRPr="00DF53C8" w:rsidRDefault="0054228E" w:rsidP="000D3DDB">
            <w:pPr>
              <w:pStyle w:val="TableBullet1"/>
              <w:rPr>
                <w:rFonts w:cs="Arial"/>
                <w:color w:val="2C2A29"/>
                <w:szCs w:val="20"/>
                <w:shd w:val="clear" w:color="auto" w:fill="FFFFFF"/>
              </w:rPr>
            </w:pPr>
            <w:r w:rsidRPr="00DF53C8">
              <w:rPr>
                <w:szCs w:val="20"/>
              </w:rPr>
              <w:t xml:space="preserve"> In what ways has the change made the process more complex?</w:t>
            </w:r>
          </w:p>
          <w:p w14:paraId="49636A87" w14:textId="5D00ACEE" w:rsidR="001C6DF3" w:rsidRPr="00DF53C8" w:rsidRDefault="0054228E" w:rsidP="000D3DDB">
            <w:pPr>
              <w:pStyle w:val="TableBullet1"/>
              <w:rPr>
                <w:rFonts w:cs="Arial"/>
                <w:color w:val="2C2A29"/>
                <w:szCs w:val="20"/>
                <w:shd w:val="clear" w:color="auto" w:fill="FFFFFF"/>
              </w:rPr>
            </w:pPr>
            <w:r w:rsidRPr="00DF53C8">
              <w:rPr>
                <w:szCs w:val="20"/>
              </w:rPr>
              <w:t>Since the change came into effect, have you implemented any initiatives to help your organisation or social security payment recipients</w:t>
            </w:r>
            <w:r w:rsidRPr="00DF53C8" w:rsidDel="005E0168">
              <w:rPr>
                <w:rFonts w:cs="Arial"/>
                <w:color w:val="2C2A29"/>
                <w:szCs w:val="20"/>
                <w:shd w:val="clear" w:color="auto" w:fill="FFFFFF"/>
              </w:rPr>
              <w:t xml:space="preserve"> </w:t>
            </w:r>
            <w:r w:rsidRPr="00DF53C8">
              <w:rPr>
                <w:szCs w:val="20"/>
              </w:rPr>
              <w:t>manage the change?</w:t>
            </w:r>
          </w:p>
        </w:tc>
      </w:tr>
      <w:tr w:rsidR="001C6DF3" w:rsidRPr="001C6DF3" w14:paraId="0BE9A4D0" w14:textId="77777777" w:rsidTr="0064228B">
        <w:trPr>
          <w:trHeight w:val="359"/>
        </w:trPr>
        <w:tc>
          <w:tcPr>
            <w:tcW w:w="2552" w:type="dxa"/>
          </w:tcPr>
          <w:p w14:paraId="7A7262A6" w14:textId="3721692C" w:rsidR="001C6DF3" w:rsidRPr="000D3DDB" w:rsidRDefault="001C6DF3" w:rsidP="000D3DDB">
            <w:pPr>
              <w:pStyle w:val="Tabletext"/>
              <w:rPr>
                <w:b/>
                <w:szCs w:val="20"/>
              </w:rPr>
            </w:pPr>
            <w:r w:rsidRPr="000D3DDB">
              <w:rPr>
                <w:b/>
                <w:szCs w:val="20"/>
              </w:rPr>
              <w:t xml:space="preserve">Section E – Pension Payments </w:t>
            </w:r>
          </w:p>
        </w:tc>
        <w:tc>
          <w:tcPr>
            <w:tcW w:w="6433" w:type="dxa"/>
          </w:tcPr>
          <w:p w14:paraId="030E8983" w14:textId="2DED5EB5" w:rsidR="0054228E" w:rsidRPr="00DF53C8" w:rsidRDefault="0054228E" w:rsidP="000D3DDB">
            <w:pPr>
              <w:pStyle w:val="TableBullet1"/>
              <w:rPr>
                <w:szCs w:val="20"/>
              </w:rPr>
            </w:pPr>
            <w:r w:rsidRPr="00DF53C8">
              <w:rPr>
                <w:szCs w:val="20"/>
              </w:rPr>
              <w:t>On a scale of 0 to 10, to what extent do you believe the change to pension payment reporting frequency has impacted social security payment recipients?</w:t>
            </w:r>
          </w:p>
          <w:p w14:paraId="49DBAF87" w14:textId="55BC3D7E" w:rsidR="001C6DF3" w:rsidRPr="00DF53C8" w:rsidRDefault="0054228E" w:rsidP="000D3DDB">
            <w:pPr>
              <w:pStyle w:val="TableBullet1"/>
              <w:rPr>
                <w:i/>
                <w:szCs w:val="20"/>
              </w:rPr>
            </w:pPr>
            <w:r w:rsidRPr="00DF53C8">
              <w:rPr>
                <w:szCs w:val="20"/>
              </w:rPr>
              <w:t>Do you have any further comments about the employment income reporting change or this survey?</w:t>
            </w:r>
          </w:p>
        </w:tc>
      </w:tr>
    </w:tbl>
    <w:p w14:paraId="74C81FB9" w14:textId="77777777" w:rsidR="001C6DF3" w:rsidRPr="00F62A0D" w:rsidRDefault="001C6DF3" w:rsidP="00F62A0D"/>
    <w:p w14:paraId="3CE3DF2B" w14:textId="1FC16A6C" w:rsidR="0003685E" w:rsidRDefault="00586261" w:rsidP="00FA15E6">
      <w:pPr>
        <w:pStyle w:val="Appendixheading"/>
        <w:numPr>
          <w:ilvl w:val="0"/>
          <w:numId w:val="0"/>
        </w:numPr>
      </w:pPr>
      <w:bookmarkStart w:id="34" w:name="_Ref103689641"/>
      <w:bookmarkStart w:id="35" w:name="_Ref103689650"/>
      <w:bookmarkStart w:id="36" w:name="_Toc104983824"/>
      <w:r>
        <w:lastRenderedPageBreak/>
        <w:t xml:space="preserve">Appendix D: </w:t>
      </w:r>
      <w:r w:rsidR="0003685E">
        <w:t xml:space="preserve">Stakeholders </w:t>
      </w:r>
      <w:r w:rsidR="00916C59">
        <w:t>who</w:t>
      </w:r>
      <w:r w:rsidR="005C53B0">
        <w:t xml:space="preserve"> participated in consultation</w:t>
      </w:r>
      <w:bookmarkEnd w:id="34"/>
      <w:bookmarkEnd w:id="35"/>
      <w:bookmarkEnd w:id="36"/>
    </w:p>
    <w:p w14:paraId="33016A7A" w14:textId="10B92036" w:rsidR="00546FB8" w:rsidRDefault="00546FB8" w:rsidP="007D5C91">
      <w:pPr>
        <w:pStyle w:val="HeadingLevel3NoNumber"/>
      </w:pPr>
      <w:r>
        <w:t xml:space="preserve">Organisations consulted in </w:t>
      </w:r>
      <w:r w:rsidR="0019046C">
        <w:t>one-on-one</w:t>
      </w:r>
      <w:r>
        <w:t xml:space="preserve"> interview</w:t>
      </w:r>
    </w:p>
    <w:p w14:paraId="5BF6E4BB" w14:textId="7F315152" w:rsidR="0053411F" w:rsidRDefault="00386FB9" w:rsidP="00527F51">
      <w:r>
        <w:t>The following four organisations gave consent to be identified as having participated in consultation as part of the review. The fifth organisation did not wish to be publicly identified.</w:t>
      </w:r>
    </w:p>
    <w:p w14:paraId="28EAEF7B" w14:textId="6B3A1968" w:rsidR="0053411F" w:rsidRPr="00D66CDF" w:rsidRDefault="00D66CDF" w:rsidP="00D66CDF">
      <w:pPr>
        <w:pStyle w:val="Caption"/>
        <w:rPr>
          <w:color w:val="auto"/>
        </w:rPr>
      </w:pPr>
      <w:bookmarkStart w:id="37" w:name="_Ref103932006"/>
      <w:r w:rsidRPr="00D66CDF">
        <w:rPr>
          <w:color w:val="auto"/>
        </w:rPr>
        <w:t xml:space="preserve">Table </w:t>
      </w:r>
      <w:r w:rsidRPr="00D66CDF">
        <w:rPr>
          <w:color w:val="auto"/>
        </w:rPr>
        <w:fldChar w:fldCharType="begin"/>
      </w:r>
      <w:r w:rsidRPr="00D66CDF">
        <w:rPr>
          <w:color w:val="auto"/>
        </w:rPr>
        <w:instrText xml:space="preserve"> SEQ Table \* ARABIC </w:instrText>
      </w:r>
      <w:r w:rsidRPr="00D66CDF">
        <w:rPr>
          <w:color w:val="auto"/>
        </w:rPr>
        <w:fldChar w:fldCharType="separate"/>
      </w:r>
      <w:r w:rsidR="009B630A">
        <w:rPr>
          <w:noProof/>
          <w:color w:val="auto"/>
        </w:rPr>
        <w:t>13</w:t>
      </w:r>
      <w:r w:rsidRPr="00D66CDF">
        <w:rPr>
          <w:color w:val="auto"/>
        </w:rPr>
        <w:fldChar w:fldCharType="end"/>
      </w:r>
      <w:r w:rsidRPr="00D66CDF">
        <w:rPr>
          <w:color w:val="auto"/>
        </w:rPr>
        <w:t>: Peak body organisations interviewed in one-on-one consultation</w:t>
      </w:r>
      <w:bookmarkEnd w:id="37"/>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4: Peak body organisations interviewed in one-on-one consultation"/>
        <w:tblDescription w:val="Table 14 lists the peak body organisations that were interviewed as part of a one-on-one consultation discussion with KPMG. The Table has 2 columns. Column 1 names the organisations that gave consent to be identified publicly as having participated in consultation as part of the review. Column 2 lists the dates the one-on-one discussions were completed with organisations. "/>
      </w:tblPr>
      <w:tblGrid>
        <w:gridCol w:w="5812"/>
        <w:gridCol w:w="3248"/>
      </w:tblGrid>
      <w:tr w:rsidR="0053411F" w:rsidRPr="000E4828" w14:paraId="0C0B560A" w14:textId="77777777" w:rsidTr="0064228B">
        <w:trPr>
          <w:tblHeader/>
        </w:trPr>
        <w:tc>
          <w:tcPr>
            <w:tcW w:w="5812" w:type="dxa"/>
          </w:tcPr>
          <w:p w14:paraId="57F1F89B" w14:textId="3C0849E0" w:rsidR="0053411F" w:rsidRPr="0064228B" w:rsidRDefault="00114276" w:rsidP="00916C59">
            <w:pPr>
              <w:pStyle w:val="Tableheading"/>
            </w:pPr>
            <w:r w:rsidRPr="0064228B">
              <w:t>Organisation</w:t>
            </w:r>
          </w:p>
        </w:tc>
        <w:tc>
          <w:tcPr>
            <w:tcW w:w="3248" w:type="dxa"/>
          </w:tcPr>
          <w:p w14:paraId="78DB319D" w14:textId="0AACE6F1" w:rsidR="0053411F" w:rsidRPr="0064228B" w:rsidRDefault="00386FB9" w:rsidP="00916C59">
            <w:pPr>
              <w:pStyle w:val="Tableheading"/>
            </w:pPr>
            <w:r w:rsidRPr="0064228B">
              <w:t>Date of consultation</w:t>
            </w:r>
            <w:r w:rsidR="00EA48FF" w:rsidRPr="0064228B">
              <w:t xml:space="preserve"> with KPMG</w:t>
            </w:r>
          </w:p>
        </w:tc>
      </w:tr>
      <w:tr w:rsidR="0053411F" w14:paraId="73EA778C" w14:textId="77777777" w:rsidTr="00EA48FF">
        <w:tc>
          <w:tcPr>
            <w:tcW w:w="5812" w:type="dxa"/>
            <w:vAlign w:val="center"/>
          </w:tcPr>
          <w:p w14:paraId="29F076CE" w14:textId="479A80F6" w:rsidR="0053411F" w:rsidRPr="0064228B" w:rsidRDefault="00386FB9" w:rsidP="00916C59">
            <w:pPr>
              <w:pStyle w:val="Tabletext"/>
            </w:pPr>
            <w:r w:rsidRPr="0064228B">
              <w:t>Economic Justice Australia</w:t>
            </w:r>
          </w:p>
        </w:tc>
        <w:tc>
          <w:tcPr>
            <w:tcW w:w="3248" w:type="dxa"/>
            <w:vAlign w:val="center"/>
          </w:tcPr>
          <w:p w14:paraId="090A8705" w14:textId="085C8927" w:rsidR="0053411F" w:rsidRPr="0064228B" w:rsidRDefault="00CC0ED7" w:rsidP="00916C59">
            <w:pPr>
              <w:pStyle w:val="Tabletext"/>
            </w:pPr>
            <w:r w:rsidRPr="0064228B">
              <w:t>27 April 2022</w:t>
            </w:r>
          </w:p>
        </w:tc>
      </w:tr>
      <w:tr w:rsidR="0053411F" w:rsidRPr="008B3529" w14:paraId="3F6918D1" w14:textId="77777777" w:rsidTr="00EA48FF">
        <w:tc>
          <w:tcPr>
            <w:tcW w:w="5812" w:type="dxa"/>
            <w:vAlign w:val="center"/>
          </w:tcPr>
          <w:p w14:paraId="04F92090" w14:textId="7B99F8B1" w:rsidR="0053411F" w:rsidRPr="0064228B" w:rsidRDefault="00386FB9" w:rsidP="00916C59">
            <w:pPr>
              <w:pStyle w:val="Tabletext"/>
            </w:pPr>
            <w:r w:rsidRPr="0064228B">
              <w:t>ANU Crawford School of Public Policy</w:t>
            </w:r>
          </w:p>
        </w:tc>
        <w:tc>
          <w:tcPr>
            <w:tcW w:w="3248" w:type="dxa"/>
            <w:vAlign w:val="center"/>
          </w:tcPr>
          <w:p w14:paraId="6462DA99" w14:textId="33319B95" w:rsidR="0053411F" w:rsidRPr="0064228B" w:rsidRDefault="00CC0ED7" w:rsidP="00916C59">
            <w:pPr>
              <w:pStyle w:val="Tabletext"/>
            </w:pPr>
            <w:r w:rsidRPr="0064228B">
              <w:t>22 April 2022</w:t>
            </w:r>
          </w:p>
        </w:tc>
      </w:tr>
      <w:tr w:rsidR="0053411F" w14:paraId="2001BFAC" w14:textId="77777777" w:rsidTr="00EA48FF">
        <w:tc>
          <w:tcPr>
            <w:tcW w:w="5812" w:type="dxa"/>
            <w:vAlign w:val="center"/>
          </w:tcPr>
          <w:p w14:paraId="3DE9DFB8" w14:textId="11AD2859" w:rsidR="0053411F" w:rsidRPr="0064228B" w:rsidRDefault="00EA48FF" w:rsidP="00916C59">
            <w:pPr>
              <w:pStyle w:val="Tabletext"/>
            </w:pPr>
            <w:r w:rsidRPr="0064228B">
              <w:t>Rural Financial Counselling Service NSW</w:t>
            </w:r>
          </w:p>
        </w:tc>
        <w:tc>
          <w:tcPr>
            <w:tcW w:w="3248" w:type="dxa"/>
            <w:vAlign w:val="center"/>
          </w:tcPr>
          <w:p w14:paraId="50386EDC" w14:textId="4EB9F7D2" w:rsidR="0053411F" w:rsidRPr="0064228B" w:rsidRDefault="00CC0ED7" w:rsidP="00916C59">
            <w:pPr>
              <w:pStyle w:val="Tabletext"/>
            </w:pPr>
            <w:r w:rsidRPr="0064228B">
              <w:t>27 April 2022</w:t>
            </w:r>
          </w:p>
        </w:tc>
      </w:tr>
      <w:tr w:rsidR="0053411F" w14:paraId="3FCDA496" w14:textId="77777777" w:rsidTr="00EA48FF">
        <w:tc>
          <w:tcPr>
            <w:tcW w:w="5812" w:type="dxa"/>
            <w:vAlign w:val="center"/>
          </w:tcPr>
          <w:p w14:paraId="7E22E37A" w14:textId="1BC23FB7" w:rsidR="0053411F" w:rsidRPr="0064228B" w:rsidRDefault="00EA48FF" w:rsidP="00916C59">
            <w:pPr>
              <w:pStyle w:val="Tabletext"/>
            </w:pPr>
            <w:r w:rsidRPr="0064228B">
              <w:t>Federation of Ethnic Communities Councils of Australia</w:t>
            </w:r>
          </w:p>
        </w:tc>
        <w:tc>
          <w:tcPr>
            <w:tcW w:w="3248" w:type="dxa"/>
            <w:vAlign w:val="center"/>
          </w:tcPr>
          <w:p w14:paraId="1B7DAFCA" w14:textId="14B84A56" w:rsidR="0053411F" w:rsidRPr="0064228B" w:rsidRDefault="00CC0ED7" w:rsidP="00916C59">
            <w:pPr>
              <w:pStyle w:val="Tabletext"/>
            </w:pPr>
            <w:r w:rsidRPr="0064228B">
              <w:t>29 April 2022</w:t>
            </w:r>
          </w:p>
        </w:tc>
      </w:tr>
    </w:tbl>
    <w:p w14:paraId="4ABE2176" w14:textId="77777777" w:rsidR="00546FB8" w:rsidRDefault="00546FB8" w:rsidP="00546FB8">
      <w:pPr>
        <w:pStyle w:val="Caption"/>
      </w:pPr>
      <w:bookmarkStart w:id="38" w:name="_Ref103588703"/>
    </w:p>
    <w:p w14:paraId="7B1693DD" w14:textId="7FA5D471" w:rsidR="00546FB8" w:rsidRPr="00D66CDF" w:rsidRDefault="00D66CDF" w:rsidP="00D66CDF">
      <w:pPr>
        <w:pStyle w:val="Caption"/>
        <w:rPr>
          <w:color w:val="auto"/>
        </w:rPr>
      </w:pPr>
      <w:r w:rsidRPr="00D66CDF">
        <w:rPr>
          <w:color w:val="auto"/>
        </w:rPr>
        <w:t xml:space="preserve">Table </w:t>
      </w:r>
      <w:r w:rsidRPr="00D66CDF">
        <w:rPr>
          <w:color w:val="auto"/>
        </w:rPr>
        <w:fldChar w:fldCharType="begin"/>
      </w:r>
      <w:r w:rsidRPr="00D66CDF">
        <w:rPr>
          <w:color w:val="auto"/>
        </w:rPr>
        <w:instrText xml:space="preserve"> SEQ Table \* ARABIC </w:instrText>
      </w:r>
      <w:r w:rsidRPr="00D66CDF">
        <w:rPr>
          <w:color w:val="auto"/>
        </w:rPr>
        <w:fldChar w:fldCharType="separate"/>
      </w:r>
      <w:r w:rsidR="009B630A">
        <w:rPr>
          <w:noProof/>
          <w:color w:val="auto"/>
        </w:rPr>
        <w:t>14</w:t>
      </w:r>
      <w:r w:rsidRPr="00D66CDF">
        <w:rPr>
          <w:color w:val="auto"/>
        </w:rPr>
        <w:fldChar w:fldCharType="end"/>
      </w:r>
      <w:r w:rsidRPr="00D66CDF">
        <w:rPr>
          <w:color w:val="auto"/>
        </w:rPr>
        <w:t xml:space="preserve">: </w:t>
      </w:r>
      <w:r w:rsidR="00EE6667">
        <w:rPr>
          <w:color w:val="auto"/>
        </w:rPr>
        <w:t>Demographic profile</w:t>
      </w:r>
      <w:r w:rsidRPr="00D66CDF">
        <w:rPr>
          <w:color w:val="auto"/>
        </w:rPr>
        <w:t xml:space="preserve"> of individuals surveyed</w:t>
      </w:r>
    </w:p>
    <w:tbl>
      <w:tblPr>
        <w:tblStyle w:val="TableGrid"/>
        <w:tblW w:w="0" w:type="auto"/>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5: Demographic profile of individuals surveyed"/>
        <w:tblDescription w:val="Table 15 shows the demographic profile of individuals that completed the individual survey. The Table has 4 columns. Column 1 shows the different cohorts that KPMG sourced demographic profiling information on from survey participants that were willing to provide it in the survey. Column 2 shows the subgroups of the broader cohort. Column 3 show the percentage of total survey participants for each subgroup. Column 4 shows the number of total survey participants for each subgroup.  "/>
      </w:tblPr>
      <w:tblGrid>
        <w:gridCol w:w="2835"/>
        <w:gridCol w:w="2268"/>
        <w:gridCol w:w="567"/>
        <w:gridCol w:w="1411"/>
        <w:gridCol w:w="284"/>
        <w:gridCol w:w="1695"/>
      </w:tblGrid>
      <w:tr w:rsidR="00546FB8" w:rsidRPr="003539FF" w14:paraId="28385F2B" w14:textId="77777777" w:rsidTr="0064228B">
        <w:trPr>
          <w:tblHeader/>
        </w:trPr>
        <w:tc>
          <w:tcPr>
            <w:tcW w:w="2835" w:type="dxa"/>
          </w:tcPr>
          <w:p w14:paraId="2C3389FC" w14:textId="44F13766" w:rsidR="00546FB8" w:rsidRPr="00DF53C8" w:rsidRDefault="0029528F" w:rsidP="00916C59">
            <w:pPr>
              <w:pStyle w:val="Tableheading"/>
              <w:rPr>
                <w:lang w:eastAsia="en-AU"/>
              </w:rPr>
            </w:pPr>
            <w:r w:rsidRPr="00DF53C8">
              <w:rPr>
                <w:lang w:eastAsia="en-AU"/>
              </w:rPr>
              <w:t xml:space="preserve">Demographic </w:t>
            </w:r>
            <w:r w:rsidR="0035089E">
              <w:rPr>
                <w:lang w:eastAsia="en-AU"/>
              </w:rPr>
              <w:t>profiler</w:t>
            </w:r>
          </w:p>
        </w:tc>
        <w:tc>
          <w:tcPr>
            <w:tcW w:w="2268" w:type="dxa"/>
          </w:tcPr>
          <w:p w14:paraId="50415666" w14:textId="2EFA04C9" w:rsidR="00546FB8" w:rsidRPr="00DF53C8" w:rsidRDefault="0035089E" w:rsidP="00916C59">
            <w:pPr>
              <w:pStyle w:val="Tableheading"/>
              <w:rPr>
                <w:lang w:eastAsia="en-AU"/>
              </w:rPr>
            </w:pPr>
            <w:r>
              <w:rPr>
                <w:lang w:eastAsia="en-AU"/>
              </w:rPr>
              <w:t>Subgroup</w:t>
            </w:r>
          </w:p>
        </w:tc>
        <w:tc>
          <w:tcPr>
            <w:tcW w:w="1978" w:type="dxa"/>
            <w:gridSpan w:val="2"/>
          </w:tcPr>
          <w:p w14:paraId="759C5653" w14:textId="7EEA6FD8" w:rsidR="00546FB8" w:rsidRPr="00DF53C8" w:rsidRDefault="00B3787B" w:rsidP="00916C59">
            <w:pPr>
              <w:pStyle w:val="Tableheading"/>
              <w:rPr>
                <w:lang w:eastAsia="en-AU"/>
              </w:rPr>
            </w:pPr>
            <w:r>
              <w:rPr>
                <w:lang w:eastAsia="en-AU"/>
              </w:rPr>
              <w:t>Per</w:t>
            </w:r>
            <w:r w:rsidR="00BB1B66">
              <w:rPr>
                <w:lang w:eastAsia="en-AU"/>
              </w:rPr>
              <w:t xml:space="preserve"> cent</w:t>
            </w:r>
            <w:r w:rsidR="00546FB8" w:rsidRPr="00DF53C8">
              <w:rPr>
                <w:lang w:eastAsia="en-AU"/>
              </w:rPr>
              <w:t xml:space="preserve"> of individuals surveyed (n=54)</w:t>
            </w:r>
          </w:p>
        </w:tc>
        <w:tc>
          <w:tcPr>
            <w:tcW w:w="1979" w:type="dxa"/>
            <w:gridSpan w:val="2"/>
          </w:tcPr>
          <w:p w14:paraId="09A8B51A" w14:textId="77777777" w:rsidR="00546FB8" w:rsidRPr="00DF53C8" w:rsidRDefault="00546FB8" w:rsidP="00916C59">
            <w:pPr>
              <w:pStyle w:val="Tableheading"/>
              <w:rPr>
                <w:lang w:eastAsia="en-AU"/>
              </w:rPr>
            </w:pPr>
            <w:r w:rsidRPr="00DF53C8">
              <w:rPr>
                <w:lang w:eastAsia="en-AU"/>
              </w:rPr>
              <w:t>Number of individuals surveyed (n=)</w:t>
            </w:r>
          </w:p>
        </w:tc>
      </w:tr>
      <w:tr w:rsidR="00546FB8" w:rsidRPr="003539FF" w14:paraId="51AC1B1B" w14:textId="77777777" w:rsidTr="0064228B">
        <w:tc>
          <w:tcPr>
            <w:tcW w:w="2835" w:type="dxa"/>
            <w:vMerge w:val="restart"/>
          </w:tcPr>
          <w:p w14:paraId="15A7BB5B" w14:textId="77777777" w:rsidR="00546FB8" w:rsidRPr="00916C59" w:rsidRDefault="00546FB8" w:rsidP="00916C59">
            <w:pPr>
              <w:pStyle w:val="Tabletext"/>
              <w:rPr>
                <w:b/>
                <w:bCs/>
              </w:rPr>
            </w:pPr>
            <w:r w:rsidRPr="00916C59">
              <w:rPr>
                <w:b/>
                <w:bCs/>
              </w:rPr>
              <w:t>Aboriginal &amp; Torres Strait Islander People</w:t>
            </w:r>
          </w:p>
          <w:p w14:paraId="5ECB5784" w14:textId="77777777" w:rsidR="00546FB8" w:rsidRPr="00916C59" w:rsidRDefault="00546FB8" w:rsidP="00916C59">
            <w:pPr>
              <w:pStyle w:val="Tabletext"/>
              <w:rPr>
                <w:b/>
                <w:bCs/>
              </w:rPr>
            </w:pPr>
          </w:p>
        </w:tc>
        <w:tc>
          <w:tcPr>
            <w:tcW w:w="2835" w:type="dxa"/>
            <w:gridSpan w:val="2"/>
          </w:tcPr>
          <w:p w14:paraId="39E94B67" w14:textId="50EFC8D8" w:rsidR="00546FB8" w:rsidRPr="00AC68AC" w:rsidRDefault="00AC68AC" w:rsidP="00916C59">
            <w:pPr>
              <w:pStyle w:val="Tabletext"/>
            </w:pPr>
            <w:r w:rsidRPr="00AC68AC">
              <w:t>Aboriginal &amp; Torres Strait Islander People</w:t>
            </w:r>
          </w:p>
        </w:tc>
        <w:tc>
          <w:tcPr>
            <w:tcW w:w="1695" w:type="dxa"/>
            <w:gridSpan w:val="2"/>
          </w:tcPr>
          <w:p w14:paraId="45FE9033" w14:textId="01E2BA2E" w:rsidR="00546FB8" w:rsidRPr="00DF53C8" w:rsidRDefault="00546FB8" w:rsidP="00916C59">
            <w:pPr>
              <w:pStyle w:val="Tabletext"/>
            </w:pPr>
            <w:r w:rsidRPr="00DF53C8">
              <w:t>6</w:t>
            </w:r>
            <w:r w:rsidR="00B05778">
              <w:t>%</w:t>
            </w:r>
          </w:p>
        </w:tc>
        <w:tc>
          <w:tcPr>
            <w:tcW w:w="1695" w:type="dxa"/>
          </w:tcPr>
          <w:p w14:paraId="51EECFF0" w14:textId="77777777" w:rsidR="00546FB8" w:rsidRPr="00DF53C8" w:rsidRDefault="00546FB8" w:rsidP="00916C59">
            <w:pPr>
              <w:pStyle w:val="Tabletext"/>
            </w:pPr>
            <w:r w:rsidRPr="00DF53C8">
              <w:rPr>
                <w:szCs w:val="20"/>
              </w:rPr>
              <w:t>3</w:t>
            </w:r>
          </w:p>
        </w:tc>
      </w:tr>
      <w:tr w:rsidR="00546FB8" w:rsidRPr="003539FF" w14:paraId="6B5B52BE" w14:textId="77777777" w:rsidTr="0064228B">
        <w:tc>
          <w:tcPr>
            <w:tcW w:w="2835" w:type="dxa"/>
            <w:vMerge/>
          </w:tcPr>
          <w:p w14:paraId="5298AA62" w14:textId="77777777" w:rsidR="00546FB8" w:rsidRPr="00916C59" w:rsidRDefault="00546FB8" w:rsidP="00916C59">
            <w:pPr>
              <w:pStyle w:val="Tabletext"/>
              <w:rPr>
                <w:b/>
                <w:bCs/>
              </w:rPr>
            </w:pPr>
          </w:p>
        </w:tc>
        <w:tc>
          <w:tcPr>
            <w:tcW w:w="2835" w:type="dxa"/>
            <w:gridSpan w:val="2"/>
          </w:tcPr>
          <w:p w14:paraId="45CD47B2" w14:textId="56C4CAB7" w:rsidR="00546FB8" w:rsidRPr="00AC68AC" w:rsidRDefault="00546FB8" w:rsidP="00916C59">
            <w:pPr>
              <w:pStyle w:val="Tabletext"/>
            </w:pPr>
            <w:r w:rsidRPr="00AC68AC">
              <w:t>No</w:t>
            </w:r>
            <w:r w:rsidR="00054D08">
              <w:t>n-</w:t>
            </w:r>
            <w:r w:rsidR="00AC68AC" w:rsidRPr="00AC68AC">
              <w:t>Aboriginal &amp; Torres Strait Islander People</w:t>
            </w:r>
          </w:p>
        </w:tc>
        <w:tc>
          <w:tcPr>
            <w:tcW w:w="1695" w:type="dxa"/>
            <w:gridSpan w:val="2"/>
          </w:tcPr>
          <w:p w14:paraId="6F444630" w14:textId="23F804B0" w:rsidR="00546FB8" w:rsidRPr="00DF53C8" w:rsidRDefault="00546FB8" w:rsidP="00916C59">
            <w:pPr>
              <w:pStyle w:val="Tabletext"/>
            </w:pPr>
            <w:r w:rsidRPr="00DF53C8">
              <w:t>93</w:t>
            </w:r>
            <w:r w:rsidR="00B05778">
              <w:t>%</w:t>
            </w:r>
          </w:p>
        </w:tc>
        <w:tc>
          <w:tcPr>
            <w:tcW w:w="1695" w:type="dxa"/>
          </w:tcPr>
          <w:p w14:paraId="29458711" w14:textId="77777777" w:rsidR="00546FB8" w:rsidRPr="00DF53C8" w:rsidRDefault="00546FB8" w:rsidP="00916C59">
            <w:pPr>
              <w:pStyle w:val="Tabletext"/>
            </w:pPr>
            <w:r w:rsidRPr="00DF53C8">
              <w:rPr>
                <w:szCs w:val="20"/>
              </w:rPr>
              <w:t>50</w:t>
            </w:r>
          </w:p>
        </w:tc>
      </w:tr>
      <w:tr w:rsidR="00546FB8" w:rsidRPr="003539FF" w14:paraId="01F1A6EA" w14:textId="77777777" w:rsidTr="0064228B">
        <w:tc>
          <w:tcPr>
            <w:tcW w:w="2835" w:type="dxa"/>
            <w:vMerge/>
          </w:tcPr>
          <w:p w14:paraId="29822C60" w14:textId="77777777" w:rsidR="00546FB8" w:rsidRPr="00916C59" w:rsidRDefault="00546FB8" w:rsidP="00916C59">
            <w:pPr>
              <w:pStyle w:val="Tabletext"/>
              <w:rPr>
                <w:b/>
                <w:bCs/>
              </w:rPr>
            </w:pPr>
          </w:p>
        </w:tc>
        <w:tc>
          <w:tcPr>
            <w:tcW w:w="2835" w:type="dxa"/>
            <w:gridSpan w:val="2"/>
          </w:tcPr>
          <w:p w14:paraId="01ED2157" w14:textId="77777777" w:rsidR="00546FB8" w:rsidRPr="00DF53C8" w:rsidRDefault="00546FB8" w:rsidP="00916C59">
            <w:pPr>
              <w:pStyle w:val="Tabletext"/>
            </w:pPr>
            <w:r w:rsidRPr="00DF53C8">
              <w:t>Prefer not to say</w:t>
            </w:r>
          </w:p>
        </w:tc>
        <w:tc>
          <w:tcPr>
            <w:tcW w:w="1695" w:type="dxa"/>
            <w:gridSpan w:val="2"/>
          </w:tcPr>
          <w:p w14:paraId="0124BE82" w14:textId="7363F7D7" w:rsidR="00546FB8" w:rsidRPr="00DF53C8" w:rsidRDefault="00546FB8" w:rsidP="00916C59">
            <w:pPr>
              <w:pStyle w:val="Tabletext"/>
            </w:pPr>
            <w:r w:rsidRPr="00DF53C8">
              <w:t>2</w:t>
            </w:r>
            <w:r w:rsidR="00B05778">
              <w:t>%</w:t>
            </w:r>
          </w:p>
        </w:tc>
        <w:tc>
          <w:tcPr>
            <w:tcW w:w="1695" w:type="dxa"/>
          </w:tcPr>
          <w:p w14:paraId="79AD21AB" w14:textId="77777777" w:rsidR="00546FB8" w:rsidRPr="00DF53C8" w:rsidRDefault="00546FB8" w:rsidP="00916C59">
            <w:pPr>
              <w:pStyle w:val="Tabletext"/>
            </w:pPr>
            <w:r w:rsidRPr="00DF53C8">
              <w:rPr>
                <w:szCs w:val="20"/>
              </w:rPr>
              <w:t>1</w:t>
            </w:r>
          </w:p>
        </w:tc>
      </w:tr>
      <w:tr w:rsidR="00546FB8" w:rsidRPr="003539FF" w14:paraId="30AABB5C" w14:textId="77777777" w:rsidTr="0064228B">
        <w:tc>
          <w:tcPr>
            <w:tcW w:w="2835" w:type="dxa"/>
            <w:vMerge w:val="restart"/>
          </w:tcPr>
          <w:p w14:paraId="2E9D00CD" w14:textId="77777777" w:rsidR="00546FB8" w:rsidRPr="00916C59" w:rsidRDefault="00546FB8" w:rsidP="00916C59">
            <w:pPr>
              <w:pStyle w:val="Tabletext"/>
              <w:rPr>
                <w:b/>
                <w:bCs/>
              </w:rPr>
            </w:pPr>
            <w:r w:rsidRPr="00916C59">
              <w:rPr>
                <w:b/>
                <w:bCs/>
              </w:rPr>
              <w:t>Country of birth</w:t>
            </w:r>
          </w:p>
        </w:tc>
        <w:tc>
          <w:tcPr>
            <w:tcW w:w="2835" w:type="dxa"/>
            <w:gridSpan w:val="2"/>
          </w:tcPr>
          <w:p w14:paraId="58348F3E" w14:textId="77777777" w:rsidR="00546FB8" w:rsidRPr="00DF53C8" w:rsidRDefault="00546FB8" w:rsidP="00916C59">
            <w:pPr>
              <w:pStyle w:val="Tabletext"/>
            </w:pPr>
            <w:r w:rsidRPr="00DF53C8">
              <w:t>Australia</w:t>
            </w:r>
          </w:p>
        </w:tc>
        <w:tc>
          <w:tcPr>
            <w:tcW w:w="1695" w:type="dxa"/>
            <w:gridSpan w:val="2"/>
          </w:tcPr>
          <w:p w14:paraId="73681509" w14:textId="28A03999" w:rsidR="00546FB8" w:rsidRPr="00DF53C8" w:rsidRDefault="00546FB8" w:rsidP="00916C59">
            <w:pPr>
              <w:pStyle w:val="Tabletext"/>
            </w:pPr>
            <w:r w:rsidRPr="00DF53C8">
              <w:t>80</w:t>
            </w:r>
            <w:r w:rsidR="00B05778">
              <w:t>%</w:t>
            </w:r>
          </w:p>
        </w:tc>
        <w:tc>
          <w:tcPr>
            <w:tcW w:w="1695" w:type="dxa"/>
          </w:tcPr>
          <w:p w14:paraId="7AFC0076" w14:textId="77777777" w:rsidR="00546FB8" w:rsidRPr="00DF53C8" w:rsidRDefault="00546FB8" w:rsidP="00916C59">
            <w:pPr>
              <w:pStyle w:val="Tabletext"/>
            </w:pPr>
            <w:r w:rsidRPr="00DF53C8">
              <w:rPr>
                <w:szCs w:val="20"/>
              </w:rPr>
              <w:t>43</w:t>
            </w:r>
          </w:p>
        </w:tc>
      </w:tr>
      <w:tr w:rsidR="00546FB8" w:rsidRPr="003539FF" w14:paraId="3C50F4B2" w14:textId="77777777" w:rsidTr="0064228B">
        <w:tc>
          <w:tcPr>
            <w:tcW w:w="2835" w:type="dxa"/>
            <w:vMerge/>
          </w:tcPr>
          <w:p w14:paraId="20E28214" w14:textId="77777777" w:rsidR="00546FB8" w:rsidRPr="00916C59" w:rsidRDefault="00546FB8" w:rsidP="00916C59">
            <w:pPr>
              <w:pStyle w:val="Tabletext"/>
              <w:rPr>
                <w:b/>
                <w:bCs/>
              </w:rPr>
            </w:pPr>
          </w:p>
        </w:tc>
        <w:tc>
          <w:tcPr>
            <w:tcW w:w="2835" w:type="dxa"/>
            <w:gridSpan w:val="2"/>
          </w:tcPr>
          <w:p w14:paraId="2CA501F3" w14:textId="77777777" w:rsidR="00546FB8" w:rsidRPr="00DF53C8" w:rsidRDefault="00546FB8" w:rsidP="00916C59">
            <w:pPr>
              <w:pStyle w:val="Tabletext"/>
            </w:pPr>
            <w:r w:rsidRPr="00DF53C8">
              <w:t>Outside of Australia</w:t>
            </w:r>
          </w:p>
        </w:tc>
        <w:tc>
          <w:tcPr>
            <w:tcW w:w="1695" w:type="dxa"/>
            <w:gridSpan w:val="2"/>
          </w:tcPr>
          <w:p w14:paraId="51488218" w14:textId="0C9550A2" w:rsidR="00546FB8" w:rsidRPr="00DF53C8" w:rsidRDefault="00546FB8" w:rsidP="00916C59">
            <w:pPr>
              <w:pStyle w:val="Tabletext"/>
            </w:pPr>
            <w:r w:rsidRPr="00DF53C8">
              <w:t>20</w:t>
            </w:r>
            <w:r w:rsidR="00B05778">
              <w:t>%</w:t>
            </w:r>
          </w:p>
        </w:tc>
        <w:tc>
          <w:tcPr>
            <w:tcW w:w="1695" w:type="dxa"/>
          </w:tcPr>
          <w:p w14:paraId="65B3C31C" w14:textId="77777777" w:rsidR="00546FB8" w:rsidRPr="00DF53C8" w:rsidRDefault="00546FB8" w:rsidP="00916C59">
            <w:pPr>
              <w:pStyle w:val="Tabletext"/>
            </w:pPr>
            <w:r w:rsidRPr="00DF53C8">
              <w:rPr>
                <w:szCs w:val="20"/>
              </w:rPr>
              <w:t>11</w:t>
            </w:r>
          </w:p>
        </w:tc>
      </w:tr>
      <w:tr w:rsidR="00546FB8" w:rsidRPr="003539FF" w14:paraId="68440E69" w14:textId="77777777" w:rsidTr="0064228B">
        <w:tc>
          <w:tcPr>
            <w:tcW w:w="2835" w:type="dxa"/>
            <w:vMerge w:val="restart"/>
          </w:tcPr>
          <w:p w14:paraId="08C81D3F" w14:textId="77777777" w:rsidR="00546FB8" w:rsidRPr="00916C59" w:rsidRDefault="00546FB8" w:rsidP="00916C59">
            <w:pPr>
              <w:pStyle w:val="Tabletext"/>
              <w:rPr>
                <w:b/>
                <w:bCs/>
              </w:rPr>
            </w:pPr>
            <w:r w:rsidRPr="00916C59">
              <w:rPr>
                <w:b/>
                <w:bCs/>
              </w:rPr>
              <w:t>Gender</w:t>
            </w:r>
          </w:p>
        </w:tc>
        <w:tc>
          <w:tcPr>
            <w:tcW w:w="2835" w:type="dxa"/>
            <w:gridSpan w:val="2"/>
          </w:tcPr>
          <w:p w14:paraId="00169F6E" w14:textId="77777777" w:rsidR="00546FB8" w:rsidRPr="00DF53C8" w:rsidRDefault="00546FB8" w:rsidP="00916C59">
            <w:pPr>
              <w:pStyle w:val="Tabletext"/>
            </w:pPr>
            <w:r w:rsidRPr="00DF53C8">
              <w:t>Male</w:t>
            </w:r>
          </w:p>
        </w:tc>
        <w:tc>
          <w:tcPr>
            <w:tcW w:w="1695" w:type="dxa"/>
            <w:gridSpan w:val="2"/>
          </w:tcPr>
          <w:p w14:paraId="7EEEF282" w14:textId="30D19AE7" w:rsidR="00546FB8" w:rsidRPr="00DF53C8" w:rsidRDefault="00546FB8" w:rsidP="00916C59">
            <w:pPr>
              <w:pStyle w:val="Tabletext"/>
            </w:pPr>
            <w:r w:rsidRPr="00DF53C8">
              <w:t>20</w:t>
            </w:r>
            <w:r w:rsidR="00BB1B66">
              <w:t xml:space="preserve"> </w:t>
            </w:r>
            <w:r w:rsidR="00244641">
              <w:t>%</w:t>
            </w:r>
          </w:p>
        </w:tc>
        <w:tc>
          <w:tcPr>
            <w:tcW w:w="1695" w:type="dxa"/>
          </w:tcPr>
          <w:p w14:paraId="2FDA643C" w14:textId="77777777" w:rsidR="00546FB8" w:rsidRPr="00DF53C8" w:rsidRDefault="00546FB8" w:rsidP="00916C59">
            <w:pPr>
              <w:pStyle w:val="Tabletext"/>
            </w:pPr>
            <w:r w:rsidRPr="00DF53C8">
              <w:rPr>
                <w:szCs w:val="20"/>
              </w:rPr>
              <w:t>11</w:t>
            </w:r>
          </w:p>
        </w:tc>
      </w:tr>
      <w:tr w:rsidR="00546FB8" w:rsidRPr="003539FF" w14:paraId="34842165" w14:textId="77777777" w:rsidTr="0064228B">
        <w:tc>
          <w:tcPr>
            <w:tcW w:w="2835" w:type="dxa"/>
            <w:vMerge/>
          </w:tcPr>
          <w:p w14:paraId="15E9D054"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45E9D57F" w14:textId="77777777" w:rsidR="00546FB8" w:rsidRPr="00DF53C8" w:rsidRDefault="00546FB8" w:rsidP="00916C59">
            <w:pPr>
              <w:pStyle w:val="Tabletext"/>
            </w:pPr>
            <w:r w:rsidRPr="00DF53C8">
              <w:t>Female</w:t>
            </w:r>
          </w:p>
        </w:tc>
        <w:tc>
          <w:tcPr>
            <w:tcW w:w="1695" w:type="dxa"/>
            <w:gridSpan w:val="2"/>
          </w:tcPr>
          <w:p w14:paraId="36B03EB5" w14:textId="30195975" w:rsidR="00546FB8" w:rsidRPr="00DF53C8" w:rsidRDefault="00546FB8" w:rsidP="00916C59">
            <w:pPr>
              <w:pStyle w:val="Tabletext"/>
            </w:pPr>
            <w:r w:rsidRPr="00DF53C8">
              <w:t>70</w:t>
            </w:r>
            <w:r w:rsidR="0063251E" w:rsidRPr="0095243C">
              <w:t>%</w:t>
            </w:r>
          </w:p>
        </w:tc>
        <w:tc>
          <w:tcPr>
            <w:tcW w:w="1695" w:type="dxa"/>
          </w:tcPr>
          <w:p w14:paraId="226269DE" w14:textId="77777777" w:rsidR="00546FB8" w:rsidRPr="00DF53C8" w:rsidRDefault="00546FB8" w:rsidP="00916C59">
            <w:pPr>
              <w:pStyle w:val="Tabletext"/>
              <w:rPr>
                <w:rFonts w:eastAsia="Times New Roman" w:cs="Calibri"/>
                <w:color w:val="000000"/>
                <w:szCs w:val="20"/>
                <w:lang w:eastAsia="en-AU"/>
              </w:rPr>
            </w:pPr>
            <w:r w:rsidRPr="00DF53C8">
              <w:rPr>
                <w:rFonts w:eastAsia="Times New Roman" w:cs="Calibri"/>
                <w:color w:val="000000"/>
                <w:szCs w:val="20"/>
                <w:lang w:eastAsia="en-AU"/>
              </w:rPr>
              <w:t>38</w:t>
            </w:r>
          </w:p>
        </w:tc>
      </w:tr>
      <w:tr w:rsidR="00546FB8" w:rsidRPr="003539FF" w14:paraId="0B93514D" w14:textId="77777777" w:rsidTr="0064228B">
        <w:tc>
          <w:tcPr>
            <w:tcW w:w="2835" w:type="dxa"/>
            <w:vMerge/>
          </w:tcPr>
          <w:p w14:paraId="4C01FEED"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039D9EC5" w14:textId="77777777" w:rsidR="00546FB8" w:rsidRPr="00DF53C8" w:rsidRDefault="00546FB8" w:rsidP="00916C59">
            <w:pPr>
              <w:pStyle w:val="Tabletext"/>
              <w:rPr>
                <w:rFonts w:eastAsia="Times New Roman" w:cs="Calibri"/>
                <w:color w:val="000000"/>
                <w:szCs w:val="20"/>
                <w:lang w:eastAsia="en-AU"/>
              </w:rPr>
            </w:pPr>
            <w:r w:rsidRPr="00DF53C8">
              <w:rPr>
                <w:rFonts w:eastAsia="Times New Roman" w:cs="Calibri"/>
                <w:color w:val="000000"/>
                <w:szCs w:val="20"/>
                <w:lang w:eastAsia="en-AU"/>
              </w:rPr>
              <w:t>Other</w:t>
            </w:r>
          </w:p>
        </w:tc>
        <w:tc>
          <w:tcPr>
            <w:tcW w:w="1695" w:type="dxa"/>
            <w:gridSpan w:val="2"/>
          </w:tcPr>
          <w:p w14:paraId="50E0A8C8" w14:textId="4BB40311" w:rsidR="00546FB8" w:rsidRPr="00DF53C8" w:rsidRDefault="004A6E19" w:rsidP="00916C59">
            <w:pPr>
              <w:pStyle w:val="Tabletext"/>
              <w:rPr>
                <w:rFonts w:eastAsia="Times New Roman" w:cs="Calibri"/>
                <w:color w:val="000000"/>
                <w:szCs w:val="20"/>
                <w:lang w:eastAsia="en-AU"/>
              </w:rPr>
            </w:pPr>
            <w:r w:rsidRPr="00DF53C8">
              <w:rPr>
                <w:rFonts w:eastAsia="Times New Roman" w:cs="Calibri"/>
                <w:color w:val="000000"/>
                <w:szCs w:val="20"/>
                <w:lang w:eastAsia="en-AU"/>
              </w:rPr>
              <w:t>10</w:t>
            </w:r>
            <w:r w:rsidR="0063251E" w:rsidRPr="0095243C">
              <w:t>%</w:t>
            </w:r>
          </w:p>
        </w:tc>
        <w:tc>
          <w:tcPr>
            <w:tcW w:w="1695" w:type="dxa"/>
          </w:tcPr>
          <w:p w14:paraId="55B7E9DB" w14:textId="77777777" w:rsidR="00546FB8" w:rsidRPr="00DF53C8" w:rsidRDefault="00546FB8" w:rsidP="00916C59">
            <w:pPr>
              <w:pStyle w:val="Tabletext"/>
              <w:rPr>
                <w:rFonts w:eastAsia="Times New Roman" w:cs="Calibri"/>
                <w:color w:val="000000"/>
                <w:szCs w:val="20"/>
                <w:lang w:eastAsia="en-AU"/>
              </w:rPr>
            </w:pPr>
            <w:r w:rsidRPr="00DF53C8">
              <w:rPr>
                <w:szCs w:val="20"/>
              </w:rPr>
              <w:t>5</w:t>
            </w:r>
          </w:p>
        </w:tc>
      </w:tr>
      <w:tr w:rsidR="00546FB8" w:rsidRPr="003539FF" w14:paraId="33E76E50" w14:textId="77777777" w:rsidTr="0064228B">
        <w:tc>
          <w:tcPr>
            <w:tcW w:w="2835" w:type="dxa"/>
            <w:vMerge w:val="restart"/>
          </w:tcPr>
          <w:p w14:paraId="2DA2A92D" w14:textId="77777777" w:rsidR="00546FB8" w:rsidRPr="00916C59" w:rsidRDefault="00546FB8" w:rsidP="00916C59">
            <w:pPr>
              <w:pStyle w:val="Tabletext"/>
              <w:rPr>
                <w:rFonts w:eastAsia="Times New Roman" w:cs="Calibri"/>
                <w:b/>
                <w:color w:val="000000"/>
                <w:szCs w:val="20"/>
                <w:lang w:eastAsia="en-AU"/>
              </w:rPr>
            </w:pPr>
            <w:r w:rsidRPr="00916C59">
              <w:rPr>
                <w:b/>
                <w:bCs/>
              </w:rPr>
              <w:t>Geographic Location</w:t>
            </w:r>
          </w:p>
        </w:tc>
        <w:tc>
          <w:tcPr>
            <w:tcW w:w="2835" w:type="dxa"/>
            <w:gridSpan w:val="2"/>
          </w:tcPr>
          <w:p w14:paraId="5440F1A6" w14:textId="77777777" w:rsidR="00546FB8" w:rsidRPr="00DF53C8" w:rsidRDefault="00546FB8" w:rsidP="00916C59">
            <w:pPr>
              <w:pStyle w:val="Tabletext"/>
              <w:rPr>
                <w:rFonts w:eastAsia="Times New Roman" w:cs="Calibri"/>
                <w:color w:val="000000"/>
                <w:szCs w:val="20"/>
                <w:lang w:eastAsia="en-AU"/>
              </w:rPr>
            </w:pPr>
            <w:r w:rsidRPr="00DF53C8">
              <w:t>Australian Capital Territory</w:t>
            </w:r>
          </w:p>
        </w:tc>
        <w:tc>
          <w:tcPr>
            <w:tcW w:w="1695" w:type="dxa"/>
            <w:gridSpan w:val="2"/>
          </w:tcPr>
          <w:p w14:paraId="5A834006" w14:textId="454B8068" w:rsidR="00546FB8" w:rsidRPr="00DF53C8" w:rsidRDefault="00546FB8" w:rsidP="00916C59">
            <w:pPr>
              <w:pStyle w:val="Tabletext"/>
              <w:rPr>
                <w:rFonts w:eastAsia="Times New Roman" w:cs="Calibri"/>
                <w:color w:val="000000"/>
                <w:szCs w:val="20"/>
                <w:lang w:eastAsia="en-AU"/>
              </w:rPr>
            </w:pPr>
            <w:r w:rsidRPr="00DF53C8">
              <w:t>2</w:t>
            </w:r>
            <w:r w:rsidR="0063251E" w:rsidRPr="0095243C">
              <w:t>%</w:t>
            </w:r>
          </w:p>
        </w:tc>
        <w:tc>
          <w:tcPr>
            <w:tcW w:w="1695" w:type="dxa"/>
          </w:tcPr>
          <w:p w14:paraId="783C1465" w14:textId="77777777" w:rsidR="00546FB8" w:rsidRPr="00DF53C8" w:rsidRDefault="00546FB8" w:rsidP="00916C59">
            <w:pPr>
              <w:pStyle w:val="Tabletext"/>
              <w:rPr>
                <w:rFonts w:eastAsia="Times New Roman" w:cs="Calibri"/>
                <w:color w:val="000000"/>
                <w:szCs w:val="20"/>
                <w:lang w:eastAsia="en-AU"/>
              </w:rPr>
            </w:pPr>
            <w:r w:rsidRPr="00DF53C8">
              <w:rPr>
                <w:szCs w:val="20"/>
              </w:rPr>
              <w:t>1</w:t>
            </w:r>
          </w:p>
        </w:tc>
      </w:tr>
      <w:tr w:rsidR="00546FB8" w:rsidRPr="003539FF" w14:paraId="7B99F17B" w14:textId="77777777" w:rsidTr="0064228B">
        <w:tc>
          <w:tcPr>
            <w:tcW w:w="2835" w:type="dxa"/>
            <w:vMerge/>
          </w:tcPr>
          <w:p w14:paraId="507FC436"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50971A97" w14:textId="77777777" w:rsidR="00546FB8" w:rsidRPr="00DF53C8" w:rsidRDefault="00546FB8" w:rsidP="00916C59">
            <w:pPr>
              <w:pStyle w:val="Tabletext"/>
              <w:rPr>
                <w:rFonts w:eastAsia="Times New Roman" w:cs="Calibri"/>
                <w:color w:val="000000"/>
                <w:szCs w:val="20"/>
                <w:lang w:eastAsia="en-AU"/>
              </w:rPr>
            </w:pPr>
            <w:r w:rsidRPr="00DF53C8">
              <w:t>New South Wales</w:t>
            </w:r>
          </w:p>
        </w:tc>
        <w:tc>
          <w:tcPr>
            <w:tcW w:w="1695" w:type="dxa"/>
            <w:gridSpan w:val="2"/>
          </w:tcPr>
          <w:p w14:paraId="4FE3FDED" w14:textId="6628ADDE" w:rsidR="00546FB8" w:rsidRPr="00DF53C8" w:rsidRDefault="00546FB8" w:rsidP="00916C59">
            <w:pPr>
              <w:pStyle w:val="Tabletext"/>
              <w:rPr>
                <w:rFonts w:eastAsia="Times New Roman" w:cs="Calibri"/>
                <w:color w:val="000000"/>
                <w:szCs w:val="20"/>
                <w:lang w:eastAsia="en-AU"/>
              </w:rPr>
            </w:pPr>
            <w:r w:rsidRPr="00DF53C8">
              <w:t>24</w:t>
            </w:r>
            <w:r w:rsidR="00DB1601">
              <w:t>%</w:t>
            </w:r>
          </w:p>
        </w:tc>
        <w:tc>
          <w:tcPr>
            <w:tcW w:w="1695" w:type="dxa"/>
          </w:tcPr>
          <w:p w14:paraId="78915C96" w14:textId="77777777" w:rsidR="00546FB8" w:rsidRPr="00DF53C8" w:rsidRDefault="00546FB8" w:rsidP="00916C59">
            <w:pPr>
              <w:pStyle w:val="Tabletext"/>
              <w:rPr>
                <w:rFonts w:eastAsia="Times New Roman" w:cs="Calibri"/>
                <w:color w:val="000000"/>
                <w:szCs w:val="20"/>
                <w:lang w:eastAsia="en-AU"/>
              </w:rPr>
            </w:pPr>
            <w:r w:rsidRPr="00DF53C8">
              <w:rPr>
                <w:szCs w:val="20"/>
              </w:rPr>
              <w:t>13</w:t>
            </w:r>
          </w:p>
        </w:tc>
      </w:tr>
      <w:tr w:rsidR="00546FB8" w:rsidRPr="003539FF" w14:paraId="12B009E5" w14:textId="77777777" w:rsidTr="0064228B">
        <w:tc>
          <w:tcPr>
            <w:tcW w:w="2835" w:type="dxa"/>
            <w:vMerge/>
          </w:tcPr>
          <w:p w14:paraId="5BD1F9C9"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216888D6" w14:textId="77777777" w:rsidR="00546FB8" w:rsidRPr="00DF53C8" w:rsidRDefault="00546FB8" w:rsidP="00916C59">
            <w:pPr>
              <w:pStyle w:val="Tabletext"/>
              <w:rPr>
                <w:rFonts w:eastAsia="Times New Roman" w:cs="Calibri"/>
                <w:color w:val="000000"/>
                <w:szCs w:val="20"/>
                <w:lang w:eastAsia="en-AU"/>
              </w:rPr>
            </w:pPr>
            <w:r w:rsidRPr="00DF53C8">
              <w:t>Northern Territory</w:t>
            </w:r>
          </w:p>
        </w:tc>
        <w:tc>
          <w:tcPr>
            <w:tcW w:w="1695" w:type="dxa"/>
            <w:gridSpan w:val="2"/>
          </w:tcPr>
          <w:p w14:paraId="42563409" w14:textId="58E72844" w:rsidR="00546FB8" w:rsidRPr="00DF53C8" w:rsidRDefault="00546FB8" w:rsidP="00916C59">
            <w:pPr>
              <w:pStyle w:val="Tabletext"/>
              <w:rPr>
                <w:rFonts w:eastAsia="Times New Roman" w:cs="Calibri"/>
                <w:color w:val="000000"/>
                <w:szCs w:val="20"/>
                <w:lang w:eastAsia="en-AU"/>
              </w:rPr>
            </w:pPr>
            <w:r w:rsidRPr="00DF53C8">
              <w:t>6</w:t>
            </w:r>
            <w:r w:rsidR="00DB1601">
              <w:t>%</w:t>
            </w:r>
          </w:p>
        </w:tc>
        <w:tc>
          <w:tcPr>
            <w:tcW w:w="1695" w:type="dxa"/>
          </w:tcPr>
          <w:p w14:paraId="00172340" w14:textId="77777777" w:rsidR="00546FB8" w:rsidRPr="00DF53C8" w:rsidRDefault="00546FB8" w:rsidP="00916C59">
            <w:pPr>
              <w:pStyle w:val="Tabletext"/>
              <w:rPr>
                <w:rFonts w:eastAsia="Times New Roman" w:cs="Calibri"/>
                <w:color w:val="000000"/>
                <w:szCs w:val="20"/>
                <w:lang w:eastAsia="en-AU"/>
              </w:rPr>
            </w:pPr>
            <w:r w:rsidRPr="00DF53C8">
              <w:rPr>
                <w:szCs w:val="20"/>
              </w:rPr>
              <w:t>3</w:t>
            </w:r>
          </w:p>
        </w:tc>
      </w:tr>
      <w:tr w:rsidR="00546FB8" w:rsidRPr="003539FF" w14:paraId="1E9C03FE" w14:textId="77777777" w:rsidTr="0064228B">
        <w:tc>
          <w:tcPr>
            <w:tcW w:w="2835" w:type="dxa"/>
            <w:vMerge/>
          </w:tcPr>
          <w:p w14:paraId="06786027"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530D5DA6" w14:textId="77777777" w:rsidR="00546FB8" w:rsidRPr="00DF53C8" w:rsidRDefault="00546FB8" w:rsidP="00916C59">
            <w:pPr>
              <w:pStyle w:val="Tabletext"/>
              <w:rPr>
                <w:rFonts w:eastAsia="Times New Roman" w:cs="Calibri"/>
                <w:color w:val="000000"/>
                <w:szCs w:val="20"/>
                <w:lang w:eastAsia="en-AU"/>
              </w:rPr>
            </w:pPr>
            <w:r w:rsidRPr="00DF53C8">
              <w:t>Queensland</w:t>
            </w:r>
          </w:p>
        </w:tc>
        <w:tc>
          <w:tcPr>
            <w:tcW w:w="1695" w:type="dxa"/>
            <w:gridSpan w:val="2"/>
          </w:tcPr>
          <w:p w14:paraId="42CE9AC4" w14:textId="29422162" w:rsidR="00546FB8" w:rsidRPr="00DF53C8" w:rsidRDefault="00546FB8" w:rsidP="00916C59">
            <w:pPr>
              <w:pStyle w:val="Tabletext"/>
              <w:rPr>
                <w:rFonts w:eastAsia="Times New Roman" w:cs="Calibri"/>
                <w:color w:val="000000"/>
                <w:szCs w:val="20"/>
                <w:lang w:eastAsia="en-AU"/>
              </w:rPr>
            </w:pPr>
            <w:r w:rsidRPr="00DF53C8">
              <w:t>22</w:t>
            </w:r>
            <w:r w:rsidR="00DB1601">
              <w:t>%</w:t>
            </w:r>
          </w:p>
        </w:tc>
        <w:tc>
          <w:tcPr>
            <w:tcW w:w="1695" w:type="dxa"/>
          </w:tcPr>
          <w:p w14:paraId="0B142354" w14:textId="77777777" w:rsidR="00546FB8" w:rsidRPr="00DF53C8" w:rsidRDefault="00546FB8" w:rsidP="00916C59">
            <w:pPr>
              <w:pStyle w:val="Tabletext"/>
              <w:rPr>
                <w:rFonts w:eastAsia="Times New Roman" w:cs="Calibri"/>
                <w:color w:val="000000"/>
                <w:szCs w:val="20"/>
                <w:lang w:eastAsia="en-AU"/>
              </w:rPr>
            </w:pPr>
            <w:r w:rsidRPr="00DF53C8">
              <w:rPr>
                <w:szCs w:val="20"/>
              </w:rPr>
              <w:t>12</w:t>
            </w:r>
          </w:p>
        </w:tc>
      </w:tr>
      <w:tr w:rsidR="00546FB8" w:rsidRPr="003539FF" w14:paraId="3F21DC69" w14:textId="77777777" w:rsidTr="0064228B">
        <w:tc>
          <w:tcPr>
            <w:tcW w:w="2835" w:type="dxa"/>
            <w:vMerge/>
          </w:tcPr>
          <w:p w14:paraId="6251DCC5"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798F65ED" w14:textId="77777777" w:rsidR="00546FB8" w:rsidRPr="00DF53C8" w:rsidRDefault="00546FB8" w:rsidP="00916C59">
            <w:pPr>
              <w:pStyle w:val="Tabletext"/>
              <w:rPr>
                <w:rFonts w:eastAsia="Times New Roman" w:cs="Calibri"/>
                <w:color w:val="000000"/>
                <w:szCs w:val="20"/>
                <w:lang w:eastAsia="en-AU"/>
              </w:rPr>
            </w:pPr>
            <w:r w:rsidRPr="00DF53C8">
              <w:t>South Australia</w:t>
            </w:r>
          </w:p>
        </w:tc>
        <w:tc>
          <w:tcPr>
            <w:tcW w:w="1695" w:type="dxa"/>
            <w:gridSpan w:val="2"/>
          </w:tcPr>
          <w:p w14:paraId="0D4638AD" w14:textId="41C61E15" w:rsidR="00546FB8" w:rsidRPr="00DF53C8" w:rsidRDefault="00DB1601" w:rsidP="00916C59">
            <w:pPr>
              <w:pStyle w:val="Tabletext"/>
              <w:rPr>
                <w:rFonts w:eastAsia="Times New Roman" w:cs="Calibri"/>
                <w:color w:val="000000"/>
                <w:szCs w:val="20"/>
                <w:lang w:eastAsia="en-AU"/>
              </w:rPr>
            </w:pPr>
            <w:r>
              <w:rPr>
                <w:rFonts w:eastAsia="Times New Roman" w:cs="Calibri"/>
                <w:color w:val="000000"/>
                <w:szCs w:val="20"/>
                <w:lang w:eastAsia="en-AU"/>
              </w:rPr>
              <w:t>13</w:t>
            </w:r>
            <w:r w:rsidRPr="0095243C">
              <w:t>%</w:t>
            </w:r>
          </w:p>
        </w:tc>
        <w:tc>
          <w:tcPr>
            <w:tcW w:w="1695" w:type="dxa"/>
          </w:tcPr>
          <w:p w14:paraId="59F8F6D3" w14:textId="77777777" w:rsidR="00546FB8" w:rsidRPr="00DF53C8" w:rsidRDefault="00546FB8" w:rsidP="00916C59">
            <w:pPr>
              <w:pStyle w:val="Tabletext"/>
              <w:rPr>
                <w:rFonts w:eastAsia="Times New Roman" w:cs="Calibri"/>
                <w:color w:val="000000"/>
                <w:szCs w:val="20"/>
                <w:lang w:eastAsia="en-AU"/>
              </w:rPr>
            </w:pPr>
            <w:r w:rsidRPr="00DF53C8">
              <w:rPr>
                <w:szCs w:val="20"/>
              </w:rPr>
              <w:t>7</w:t>
            </w:r>
          </w:p>
        </w:tc>
      </w:tr>
      <w:tr w:rsidR="00546FB8" w:rsidRPr="003539FF" w14:paraId="4866B543" w14:textId="77777777" w:rsidTr="0064228B">
        <w:tc>
          <w:tcPr>
            <w:tcW w:w="2835" w:type="dxa"/>
            <w:vMerge/>
          </w:tcPr>
          <w:p w14:paraId="1111873B"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687DA92A" w14:textId="77777777" w:rsidR="00546FB8" w:rsidRPr="00DF53C8" w:rsidRDefault="00546FB8" w:rsidP="00916C59">
            <w:pPr>
              <w:pStyle w:val="Tabletext"/>
              <w:rPr>
                <w:rFonts w:eastAsia="Times New Roman" w:cs="Calibri"/>
                <w:color w:val="000000"/>
                <w:szCs w:val="20"/>
                <w:lang w:eastAsia="en-AU"/>
              </w:rPr>
            </w:pPr>
            <w:r w:rsidRPr="00DF53C8">
              <w:t>Tasmania</w:t>
            </w:r>
          </w:p>
        </w:tc>
        <w:tc>
          <w:tcPr>
            <w:tcW w:w="1695" w:type="dxa"/>
            <w:gridSpan w:val="2"/>
          </w:tcPr>
          <w:p w14:paraId="37CF9C15" w14:textId="39F381D5" w:rsidR="00546FB8" w:rsidRPr="00DF53C8" w:rsidRDefault="00DB1601" w:rsidP="00916C59">
            <w:pPr>
              <w:pStyle w:val="Tabletext"/>
              <w:rPr>
                <w:rFonts w:eastAsia="Times New Roman" w:cs="Calibri"/>
                <w:color w:val="000000"/>
                <w:szCs w:val="20"/>
                <w:lang w:eastAsia="en-AU"/>
              </w:rPr>
            </w:pPr>
            <w:r>
              <w:t>0%</w:t>
            </w:r>
          </w:p>
        </w:tc>
        <w:tc>
          <w:tcPr>
            <w:tcW w:w="1695" w:type="dxa"/>
          </w:tcPr>
          <w:p w14:paraId="32A393B8" w14:textId="77777777" w:rsidR="00546FB8" w:rsidRPr="00DF53C8" w:rsidRDefault="00546FB8" w:rsidP="00916C59">
            <w:pPr>
              <w:pStyle w:val="Tabletext"/>
              <w:rPr>
                <w:rFonts w:eastAsia="Times New Roman" w:cs="Calibri"/>
                <w:color w:val="000000"/>
                <w:szCs w:val="20"/>
                <w:lang w:eastAsia="en-AU"/>
              </w:rPr>
            </w:pPr>
            <w:r w:rsidRPr="00DF53C8">
              <w:rPr>
                <w:rFonts w:eastAsia="Times New Roman" w:cs="Calibri"/>
                <w:color w:val="000000"/>
                <w:szCs w:val="20"/>
                <w:lang w:eastAsia="en-AU"/>
              </w:rPr>
              <w:t>0</w:t>
            </w:r>
          </w:p>
        </w:tc>
      </w:tr>
      <w:tr w:rsidR="00546FB8" w:rsidRPr="003539FF" w14:paraId="65C65600" w14:textId="77777777" w:rsidTr="0064228B">
        <w:tc>
          <w:tcPr>
            <w:tcW w:w="2835" w:type="dxa"/>
            <w:vMerge/>
          </w:tcPr>
          <w:p w14:paraId="2744A6C1"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0FBE04AC" w14:textId="77777777" w:rsidR="00546FB8" w:rsidRPr="00DF53C8" w:rsidRDefault="00546FB8" w:rsidP="00916C59">
            <w:pPr>
              <w:pStyle w:val="Tabletext"/>
              <w:rPr>
                <w:rFonts w:eastAsia="Times New Roman" w:cs="Calibri"/>
                <w:color w:val="000000"/>
                <w:szCs w:val="20"/>
                <w:lang w:eastAsia="en-AU"/>
              </w:rPr>
            </w:pPr>
            <w:r w:rsidRPr="00DF53C8">
              <w:t>Victoria</w:t>
            </w:r>
          </w:p>
        </w:tc>
        <w:tc>
          <w:tcPr>
            <w:tcW w:w="1695" w:type="dxa"/>
            <w:gridSpan w:val="2"/>
          </w:tcPr>
          <w:p w14:paraId="07C5E3B3" w14:textId="55280D8E" w:rsidR="00546FB8" w:rsidRPr="00DF53C8" w:rsidRDefault="00546FB8" w:rsidP="00916C59">
            <w:pPr>
              <w:pStyle w:val="Tabletext"/>
              <w:rPr>
                <w:rFonts w:eastAsia="Times New Roman" w:cs="Calibri"/>
                <w:color w:val="000000"/>
                <w:szCs w:val="20"/>
                <w:lang w:eastAsia="en-AU"/>
              </w:rPr>
            </w:pPr>
            <w:r w:rsidRPr="00DF53C8">
              <w:t>22</w:t>
            </w:r>
            <w:r w:rsidR="0063251E" w:rsidRPr="0095243C">
              <w:t>%</w:t>
            </w:r>
          </w:p>
        </w:tc>
        <w:tc>
          <w:tcPr>
            <w:tcW w:w="1695" w:type="dxa"/>
          </w:tcPr>
          <w:p w14:paraId="4DBCF9C2" w14:textId="77777777" w:rsidR="00546FB8" w:rsidRPr="00DF53C8" w:rsidRDefault="00546FB8" w:rsidP="00916C59">
            <w:pPr>
              <w:pStyle w:val="Tabletext"/>
              <w:rPr>
                <w:rFonts w:eastAsia="Times New Roman" w:cs="Calibri"/>
                <w:color w:val="000000"/>
                <w:szCs w:val="20"/>
                <w:lang w:eastAsia="en-AU"/>
              </w:rPr>
            </w:pPr>
            <w:r w:rsidRPr="00DF53C8">
              <w:rPr>
                <w:szCs w:val="20"/>
              </w:rPr>
              <w:t>12</w:t>
            </w:r>
          </w:p>
        </w:tc>
      </w:tr>
      <w:tr w:rsidR="00546FB8" w:rsidRPr="003539FF" w14:paraId="4738121F" w14:textId="77777777" w:rsidTr="0064228B">
        <w:tc>
          <w:tcPr>
            <w:tcW w:w="2835" w:type="dxa"/>
            <w:vMerge/>
          </w:tcPr>
          <w:p w14:paraId="04DE25A1"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59564CFB" w14:textId="77777777" w:rsidR="00546FB8" w:rsidRPr="00DF53C8" w:rsidRDefault="00546FB8" w:rsidP="00916C59">
            <w:pPr>
              <w:pStyle w:val="Tabletext"/>
              <w:rPr>
                <w:rFonts w:eastAsia="Times New Roman" w:cs="Calibri"/>
                <w:color w:val="000000"/>
                <w:szCs w:val="20"/>
                <w:lang w:eastAsia="en-AU"/>
              </w:rPr>
            </w:pPr>
            <w:r w:rsidRPr="00DF53C8">
              <w:t>Western Australia</w:t>
            </w:r>
          </w:p>
        </w:tc>
        <w:tc>
          <w:tcPr>
            <w:tcW w:w="1695" w:type="dxa"/>
            <w:gridSpan w:val="2"/>
          </w:tcPr>
          <w:p w14:paraId="5ED41B90" w14:textId="6EB3E372" w:rsidR="00546FB8" w:rsidRPr="00DF53C8" w:rsidRDefault="00546FB8" w:rsidP="00916C59">
            <w:pPr>
              <w:pStyle w:val="Tabletext"/>
              <w:rPr>
                <w:rFonts w:eastAsia="Times New Roman" w:cs="Calibri"/>
                <w:color w:val="000000"/>
                <w:szCs w:val="20"/>
                <w:lang w:eastAsia="en-AU"/>
              </w:rPr>
            </w:pPr>
            <w:r w:rsidRPr="00DF53C8">
              <w:t>11</w:t>
            </w:r>
            <w:r w:rsidR="00B05778">
              <w:t>%</w:t>
            </w:r>
          </w:p>
        </w:tc>
        <w:tc>
          <w:tcPr>
            <w:tcW w:w="1695" w:type="dxa"/>
          </w:tcPr>
          <w:p w14:paraId="0A32501D" w14:textId="77777777" w:rsidR="00546FB8" w:rsidRPr="00DF53C8" w:rsidRDefault="00546FB8" w:rsidP="00916C59">
            <w:pPr>
              <w:pStyle w:val="Tabletext"/>
              <w:rPr>
                <w:rFonts w:eastAsia="Times New Roman" w:cs="Calibri"/>
                <w:color w:val="000000"/>
                <w:szCs w:val="20"/>
                <w:lang w:eastAsia="en-AU"/>
              </w:rPr>
            </w:pPr>
            <w:r w:rsidRPr="00DF53C8">
              <w:rPr>
                <w:szCs w:val="20"/>
              </w:rPr>
              <w:t>6</w:t>
            </w:r>
          </w:p>
        </w:tc>
      </w:tr>
      <w:tr w:rsidR="00546FB8" w:rsidRPr="003539FF" w14:paraId="792F9821" w14:textId="77777777" w:rsidTr="0064228B">
        <w:tc>
          <w:tcPr>
            <w:tcW w:w="2835" w:type="dxa"/>
            <w:vMerge w:val="restart"/>
          </w:tcPr>
          <w:p w14:paraId="4D1C01D5" w14:textId="77777777" w:rsidR="00546FB8" w:rsidRPr="00916C59" w:rsidRDefault="00546FB8" w:rsidP="00916C59">
            <w:pPr>
              <w:pStyle w:val="Tabletext"/>
              <w:rPr>
                <w:rFonts w:eastAsia="Times New Roman" w:cs="Calibri"/>
                <w:b/>
                <w:color w:val="000000"/>
                <w:szCs w:val="20"/>
                <w:lang w:eastAsia="en-AU"/>
              </w:rPr>
            </w:pPr>
            <w:r w:rsidRPr="00916C59">
              <w:rPr>
                <w:b/>
                <w:bCs/>
              </w:rPr>
              <w:t>Age</w:t>
            </w:r>
          </w:p>
        </w:tc>
        <w:tc>
          <w:tcPr>
            <w:tcW w:w="2835" w:type="dxa"/>
            <w:gridSpan w:val="2"/>
          </w:tcPr>
          <w:p w14:paraId="467F28A9" w14:textId="77777777" w:rsidR="00546FB8" w:rsidRPr="00DF53C8" w:rsidRDefault="00546FB8" w:rsidP="00916C59">
            <w:pPr>
              <w:pStyle w:val="Tabletext"/>
            </w:pPr>
            <w:r w:rsidRPr="00DF53C8">
              <w:t>Under 20</w:t>
            </w:r>
          </w:p>
        </w:tc>
        <w:tc>
          <w:tcPr>
            <w:tcW w:w="1695" w:type="dxa"/>
            <w:gridSpan w:val="2"/>
          </w:tcPr>
          <w:p w14:paraId="1747C4E5" w14:textId="1543E861" w:rsidR="00546FB8" w:rsidRPr="00DF53C8" w:rsidRDefault="00546FB8" w:rsidP="00916C59">
            <w:pPr>
              <w:pStyle w:val="Tabletext"/>
            </w:pPr>
            <w:r w:rsidRPr="00DF53C8">
              <w:t>2</w:t>
            </w:r>
            <w:r w:rsidR="00B05778">
              <w:t>%</w:t>
            </w:r>
          </w:p>
        </w:tc>
        <w:tc>
          <w:tcPr>
            <w:tcW w:w="1695" w:type="dxa"/>
          </w:tcPr>
          <w:p w14:paraId="37595571" w14:textId="77777777" w:rsidR="00546FB8" w:rsidRPr="00DF53C8" w:rsidRDefault="00546FB8" w:rsidP="00916C59">
            <w:pPr>
              <w:pStyle w:val="Tabletext"/>
            </w:pPr>
            <w:r w:rsidRPr="00DF53C8">
              <w:rPr>
                <w:szCs w:val="20"/>
              </w:rPr>
              <w:t>1</w:t>
            </w:r>
          </w:p>
        </w:tc>
      </w:tr>
      <w:tr w:rsidR="00546FB8" w:rsidRPr="003539FF" w14:paraId="68D80C75" w14:textId="77777777" w:rsidTr="0064228B">
        <w:tc>
          <w:tcPr>
            <w:tcW w:w="2835" w:type="dxa"/>
            <w:vMerge/>
          </w:tcPr>
          <w:p w14:paraId="31EC2027"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4A9A3CE0" w14:textId="77777777" w:rsidR="00546FB8" w:rsidRPr="00DF53C8" w:rsidRDefault="00546FB8" w:rsidP="00916C59">
            <w:pPr>
              <w:pStyle w:val="Tabletext"/>
            </w:pPr>
            <w:r w:rsidRPr="00DF53C8">
              <w:t>21-44</w:t>
            </w:r>
          </w:p>
        </w:tc>
        <w:tc>
          <w:tcPr>
            <w:tcW w:w="1695" w:type="dxa"/>
            <w:gridSpan w:val="2"/>
          </w:tcPr>
          <w:p w14:paraId="1A1E4CDF" w14:textId="51198275" w:rsidR="00546FB8" w:rsidRPr="00DF53C8" w:rsidRDefault="00546FB8" w:rsidP="00916C59">
            <w:pPr>
              <w:pStyle w:val="Tabletext"/>
            </w:pPr>
            <w:r w:rsidRPr="00DF53C8">
              <w:t>41</w:t>
            </w:r>
            <w:r w:rsidR="00B05778">
              <w:t>%</w:t>
            </w:r>
          </w:p>
        </w:tc>
        <w:tc>
          <w:tcPr>
            <w:tcW w:w="1695" w:type="dxa"/>
          </w:tcPr>
          <w:p w14:paraId="1777C548" w14:textId="77777777" w:rsidR="00546FB8" w:rsidRPr="00DF53C8" w:rsidRDefault="00546FB8" w:rsidP="00916C59">
            <w:pPr>
              <w:pStyle w:val="Tabletext"/>
            </w:pPr>
            <w:r w:rsidRPr="00DF53C8">
              <w:rPr>
                <w:szCs w:val="20"/>
              </w:rPr>
              <w:t>22</w:t>
            </w:r>
          </w:p>
        </w:tc>
      </w:tr>
      <w:tr w:rsidR="00546FB8" w:rsidRPr="003539FF" w14:paraId="78A6E4D7" w14:textId="77777777" w:rsidTr="0064228B">
        <w:tc>
          <w:tcPr>
            <w:tcW w:w="2835" w:type="dxa"/>
            <w:vMerge/>
          </w:tcPr>
          <w:p w14:paraId="4362D246"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4129A53D" w14:textId="77777777" w:rsidR="00546FB8" w:rsidRPr="00DF53C8" w:rsidRDefault="00546FB8" w:rsidP="00916C59">
            <w:pPr>
              <w:pStyle w:val="Tabletext"/>
            </w:pPr>
            <w:r w:rsidRPr="00DF53C8">
              <w:t>Over 45</w:t>
            </w:r>
          </w:p>
        </w:tc>
        <w:tc>
          <w:tcPr>
            <w:tcW w:w="1695" w:type="dxa"/>
            <w:gridSpan w:val="2"/>
          </w:tcPr>
          <w:p w14:paraId="75B4FEE2" w14:textId="0F682D42" w:rsidR="00546FB8" w:rsidRPr="00DF53C8" w:rsidRDefault="00546FB8" w:rsidP="00916C59">
            <w:pPr>
              <w:pStyle w:val="Tabletext"/>
            </w:pPr>
            <w:r w:rsidRPr="00DF53C8">
              <w:t>56</w:t>
            </w:r>
            <w:r w:rsidR="00B05778">
              <w:t>%</w:t>
            </w:r>
          </w:p>
        </w:tc>
        <w:tc>
          <w:tcPr>
            <w:tcW w:w="1695" w:type="dxa"/>
          </w:tcPr>
          <w:p w14:paraId="3BA30941" w14:textId="77777777" w:rsidR="00546FB8" w:rsidRPr="00DF53C8" w:rsidRDefault="00546FB8" w:rsidP="00916C59">
            <w:pPr>
              <w:pStyle w:val="Tabletext"/>
            </w:pPr>
            <w:r w:rsidRPr="00DF53C8">
              <w:rPr>
                <w:szCs w:val="20"/>
              </w:rPr>
              <w:t>30</w:t>
            </w:r>
          </w:p>
        </w:tc>
      </w:tr>
      <w:tr w:rsidR="00546FB8" w:rsidRPr="003539FF" w14:paraId="17E92253" w14:textId="77777777" w:rsidTr="0064228B">
        <w:tc>
          <w:tcPr>
            <w:tcW w:w="2835" w:type="dxa"/>
            <w:vMerge/>
          </w:tcPr>
          <w:p w14:paraId="35A61154"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3EF39BDB" w14:textId="77777777" w:rsidR="00546FB8" w:rsidRPr="00DF53C8" w:rsidRDefault="00546FB8" w:rsidP="00916C59">
            <w:pPr>
              <w:pStyle w:val="Tabletext"/>
            </w:pPr>
            <w:r w:rsidRPr="00DF53C8">
              <w:t>Prefer not to say</w:t>
            </w:r>
          </w:p>
        </w:tc>
        <w:tc>
          <w:tcPr>
            <w:tcW w:w="1695" w:type="dxa"/>
            <w:gridSpan w:val="2"/>
          </w:tcPr>
          <w:p w14:paraId="22AF0052" w14:textId="278CBA97" w:rsidR="00546FB8" w:rsidRPr="00DF53C8" w:rsidRDefault="00546FB8" w:rsidP="00916C59">
            <w:pPr>
              <w:pStyle w:val="Tabletext"/>
            </w:pPr>
            <w:r w:rsidRPr="00DF53C8">
              <w:t>2</w:t>
            </w:r>
            <w:r w:rsidR="00B05778">
              <w:t>%</w:t>
            </w:r>
          </w:p>
        </w:tc>
        <w:tc>
          <w:tcPr>
            <w:tcW w:w="1695" w:type="dxa"/>
          </w:tcPr>
          <w:p w14:paraId="2EAC0283" w14:textId="77777777" w:rsidR="00546FB8" w:rsidRPr="00DF53C8" w:rsidRDefault="00546FB8" w:rsidP="00916C59">
            <w:pPr>
              <w:pStyle w:val="Tabletext"/>
            </w:pPr>
            <w:r w:rsidRPr="00DF53C8">
              <w:rPr>
                <w:szCs w:val="20"/>
              </w:rPr>
              <w:t>1</w:t>
            </w:r>
          </w:p>
        </w:tc>
      </w:tr>
      <w:tr w:rsidR="00546FB8" w:rsidRPr="003539FF" w14:paraId="64696E91" w14:textId="77777777" w:rsidTr="0064228B">
        <w:tc>
          <w:tcPr>
            <w:tcW w:w="2835" w:type="dxa"/>
            <w:vMerge w:val="restart"/>
          </w:tcPr>
          <w:p w14:paraId="65D68F9C" w14:textId="77777777" w:rsidR="00546FB8" w:rsidRPr="00916C59" w:rsidRDefault="00546FB8" w:rsidP="00916C59">
            <w:pPr>
              <w:pStyle w:val="Tabletext"/>
              <w:rPr>
                <w:rFonts w:eastAsia="Times New Roman" w:cs="Calibri"/>
                <w:b/>
                <w:color w:val="000000"/>
                <w:szCs w:val="20"/>
                <w:lang w:eastAsia="en-AU"/>
              </w:rPr>
            </w:pPr>
            <w:r w:rsidRPr="00916C59">
              <w:rPr>
                <w:b/>
                <w:bCs/>
              </w:rPr>
              <w:t>Rural / Remote</w:t>
            </w:r>
          </w:p>
        </w:tc>
        <w:tc>
          <w:tcPr>
            <w:tcW w:w="2835" w:type="dxa"/>
            <w:gridSpan w:val="2"/>
          </w:tcPr>
          <w:p w14:paraId="73503C1E" w14:textId="77777777" w:rsidR="00546FB8" w:rsidRPr="00DF53C8" w:rsidRDefault="00546FB8" w:rsidP="00916C59">
            <w:pPr>
              <w:pStyle w:val="Tabletext"/>
            </w:pPr>
            <w:r w:rsidRPr="00DF53C8">
              <w:t>Metro</w:t>
            </w:r>
          </w:p>
        </w:tc>
        <w:tc>
          <w:tcPr>
            <w:tcW w:w="1695" w:type="dxa"/>
            <w:gridSpan w:val="2"/>
          </w:tcPr>
          <w:p w14:paraId="681F530B" w14:textId="12577FDF" w:rsidR="00546FB8" w:rsidRPr="00DF53C8" w:rsidRDefault="00546FB8" w:rsidP="00916C59">
            <w:pPr>
              <w:pStyle w:val="Tabletext"/>
            </w:pPr>
            <w:r w:rsidRPr="00DF53C8">
              <w:t>63</w:t>
            </w:r>
            <w:r w:rsidR="00B05778">
              <w:t>%</w:t>
            </w:r>
          </w:p>
        </w:tc>
        <w:tc>
          <w:tcPr>
            <w:tcW w:w="1695" w:type="dxa"/>
          </w:tcPr>
          <w:p w14:paraId="14C1A87D" w14:textId="77777777" w:rsidR="00546FB8" w:rsidRPr="00DF53C8" w:rsidRDefault="00546FB8" w:rsidP="00916C59">
            <w:pPr>
              <w:pStyle w:val="Tabletext"/>
            </w:pPr>
            <w:r w:rsidRPr="00DF53C8">
              <w:rPr>
                <w:szCs w:val="20"/>
              </w:rPr>
              <w:t>34</w:t>
            </w:r>
          </w:p>
        </w:tc>
      </w:tr>
      <w:tr w:rsidR="00546FB8" w:rsidRPr="003539FF" w14:paraId="5340B68B" w14:textId="77777777" w:rsidTr="0064228B">
        <w:tc>
          <w:tcPr>
            <w:tcW w:w="2835" w:type="dxa"/>
            <w:vMerge/>
          </w:tcPr>
          <w:p w14:paraId="3BC3A27E"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5B3D923D" w14:textId="77777777" w:rsidR="00546FB8" w:rsidRPr="00DF53C8" w:rsidRDefault="00546FB8" w:rsidP="00916C59">
            <w:pPr>
              <w:pStyle w:val="Tabletext"/>
            </w:pPr>
            <w:r w:rsidRPr="00DF53C8">
              <w:t>Regional/ rural</w:t>
            </w:r>
          </w:p>
        </w:tc>
        <w:tc>
          <w:tcPr>
            <w:tcW w:w="1695" w:type="dxa"/>
            <w:gridSpan w:val="2"/>
          </w:tcPr>
          <w:p w14:paraId="64201F86" w14:textId="66EC2251" w:rsidR="00546FB8" w:rsidRPr="00DF53C8" w:rsidRDefault="00546FB8" w:rsidP="00916C59">
            <w:pPr>
              <w:pStyle w:val="Tabletext"/>
            </w:pPr>
            <w:r w:rsidRPr="00DF53C8">
              <w:t>26</w:t>
            </w:r>
            <w:r w:rsidR="00B05778">
              <w:t>%</w:t>
            </w:r>
          </w:p>
        </w:tc>
        <w:tc>
          <w:tcPr>
            <w:tcW w:w="1695" w:type="dxa"/>
          </w:tcPr>
          <w:p w14:paraId="3F665110" w14:textId="77777777" w:rsidR="00546FB8" w:rsidRPr="00DF53C8" w:rsidRDefault="00546FB8" w:rsidP="00916C59">
            <w:pPr>
              <w:pStyle w:val="Tabletext"/>
            </w:pPr>
            <w:r w:rsidRPr="00DF53C8">
              <w:rPr>
                <w:szCs w:val="20"/>
              </w:rPr>
              <w:t>14</w:t>
            </w:r>
          </w:p>
        </w:tc>
      </w:tr>
      <w:tr w:rsidR="00546FB8" w:rsidRPr="003539FF" w14:paraId="72895926" w14:textId="77777777" w:rsidTr="0064228B">
        <w:tc>
          <w:tcPr>
            <w:tcW w:w="2835" w:type="dxa"/>
            <w:vMerge/>
          </w:tcPr>
          <w:p w14:paraId="74A7C344"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62FB0090" w14:textId="77777777" w:rsidR="00546FB8" w:rsidRPr="00DF53C8" w:rsidRDefault="00546FB8" w:rsidP="00916C59">
            <w:pPr>
              <w:pStyle w:val="Tabletext"/>
            </w:pPr>
            <w:r w:rsidRPr="00DF53C8">
              <w:t>Remote</w:t>
            </w:r>
          </w:p>
        </w:tc>
        <w:tc>
          <w:tcPr>
            <w:tcW w:w="1695" w:type="dxa"/>
            <w:gridSpan w:val="2"/>
          </w:tcPr>
          <w:p w14:paraId="52516DB3" w14:textId="12E93851" w:rsidR="00546FB8" w:rsidRPr="00DF53C8" w:rsidRDefault="00546FB8" w:rsidP="00916C59">
            <w:pPr>
              <w:pStyle w:val="Tabletext"/>
            </w:pPr>
            <w:r w:rsidRPr="00DF53C8">
              <w:t>7</w:t>
            </w:r>
            <w:r w:rsidR="00B05778">
              <w:t>%</w:t>
            </w:r>
          </w:p>
        </w:tc>
        <w:tc>
          <w:tcPr>
            <w:tcW w:w="1695" w:type="dxa"/>
          </w:tcPr>
          <w:p w14:paraId="18EA609E" w14:textId="77777777" w:rsidR="00546FB8" w:rsidRPr="00DF53C8" w:rsidRDefault="00546FB8" w:rsidP="00916C59">
            <w:pPr>
              <w:pStyle w:val="Tabletext"/>
            </w:pPr>
            <w:r w:rsidRPr="00DF53C8">
              <w:rPr>
                <w:szCs w:val="20"/>
              </w:rPr>
              <w:t>4</w:t>
            </w:r>
          </w:p>
        </w:tc>
      </w:tr>
      <w:tr w:rsidR="00546FB8" w:rsidRPr="003539FF" w14:paraId="525C924A" w14:textId="77777777" w:rsidTr="0064228B">
        <w:tc>
          <w:tcPr>
            <w:tcW w:w="2835" w:type="dxa"/>
            <w:vMerge/>
          </w:tcPr>
          <w:p w14:paraId="1A2DF926"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70BBE179" w14:textId="77777777" w:rsidR="00546FB8" w:rsidRPr="00DF53C8" w:rsidRDefault="00546FB8" w:rsidP="00916C59">
            <w:pPr>
              <w:pStyle w:val="Tabletext"/>
            </w:pPr>
            <w:r w:rsidRPr="00DF53C8">
              <w:t>Unsure / prefer not to say</w:t>
            </w:r>
          </w:p>
        </w:tc>
        <w:tc>
          <w:tcPr>
            <w:tcW w:w="1695" w:type="dxa"/>
            <w:gridSpan w:val="2"/>
          </w:tcPr>
          <w:p w14:paraId="72C5C169" w14:textId="062047DB" w:rsidR="00546FB8" w:rsidRPr="00DF53C8" w:rsidRDefault="00546FB8" w:rsidP="00916C59">
            <w:pPr>
              <w:pStyle w:val="Tabletext"/>
            </w:pPr>
            <w:r w:rsidRPr="00DF53C8">
              <w:t>4</w:t>
            </w:r>
            <w:r w:rsidR="00B05778">
              <w:t>%</w:t>
            </w:r>
          </w:p>
        </w:tc>
        <w:tc>
          <w:tcPr>
            <w:tcW w:w="1695" w:type="dxa"/>
          </w:tcPr>
          <w:p w14:paraId="2799CD0F" w14:textId="77777777" w:rsidR="00546FB8" w:rsidRPr="00DF53C8" w:rsidRDefault="00546FB8" w:rsidP="00916C59">
            <w:pPr>
              <w:pStyle w:val="Tabletext"/>
            </w:pPr>
            <w:r w:rsidRPr="00DF53C8">
              <w:rPr>
                <w:szCs w:val="20"/>
              </w:rPr>
              <w:t>2</w:t>
            </w:r>
          </w:p>
        </w:tc>
      </w:tr>
      <w:tr w:rsidR="00546FB8" w:rsidRPr="003539FF" w14:paraId="50C9BB83" w14:textId="77777777" w:rsidTr="0064228B">
        <w:tc>
          <w:tcPr>
            <w:tcW w:w="2835" w:type="dxa"/>
            <w:vMerge w:val="restart"/>
          </w:tcPr>
          <w:p w14:paraId="4464F28E" w14:textId="6843244A" w:rsidR="00546FB8" w:rsidRPr="00916C59" w:rsidRDefault="00A240EC" w:rsidP="00916C59">
            <w:pPr>
              <w:pStyle w:val="Tabletext"/>
              <w:rPr>
                <w:rFonts w:eastAsia="Times New Roman" w:cs="Calibri"/>
                <w:b/>
                <w:color w:val="000000"/>
                <w:szCs w:val="20"/>
                <w:lang w:eastAsia="en-AU"/>
              </w:rPr>
            </w:pPr>
            <w:r w:rsidRPr="00916C59">
              <w:rPr>
                <w:rFonts w:eastAsia="Times New Roman" w:cs="Calibri"/>
                <w:b/>
                <w:color w:val="000000"/>
                <w:szCs w:val="20"/>
                <w:lang w:eastAsia="en-AU"/>
              </w:rPr>
              <w:t>People with disability</w:t>
            </w:r>
          </w:p>
        </w:tc>
        <w:tc>
          <w:tcPr>
            <w:tcW w:w="2835" w:type="dxa"/>
            <w:gridSpan w:val="2"/>
          </w:tcPr>
          <w:p w14:paraId="6FBA0AF9" w14:textId="77777777" w:rsidR="00546FB8" w:rsidRPr="00DF53C8" w:rsidRDefault="00546FB8" w:rsidP="00916C59">
            <w:pPr>
              <w:pStyle w:val="Tabletext"/>
            </w:pPr>
            <w:r w:rsidRPr="00DF53C8">
              <w:t>Yes</w:t>
            </w:r>
          </w:p>
        </w:tc>
        <w:tc>
          <w:tcPr>
            <w:tcW w:w="1695" w:type="dxa"/>
            <w:gridSpan w:val="2"/>
          </w:tcPr>
          <w:p w14:paraId="4F43E70B" w14:textId="4D6A4706" w:rsidR="00546FB8" w:rsidRPr="00DF53C8" w:rsidRDefault="00546FB8" w:rsidP="00916C59">
            <w:pPr>
              <w:pStyle w:val="Tabletext"/>
            </w:pPr>
            <w:r w:rsidRPr="00DF53C8">
              <w:t>50</w:t>
            </w:r>
            <w:r w:rsidR="00B05778">
              <w:t>%</w:t>
            </w:r>
          </w:p>
        </w:tc>
        <w:tc>
          <w:tcPr>
            <w:tcW w:w="1695" w:type="dxa"/>
          </w:tcPr>
          <w:p w14:paraId="7B03831C" w14:textId="77777777" w:rsidR="00546FB8" w:rsidRPr="00DF53C8" w:rsidRDefault="00546FB8" w:rsidP="00916C59">
            <w:pPr>
              <w:pStyle w:val="Tabletext"/>
            </w:pPr>
            <w:r w:rsidRPr="00DF53C8">
              <w:rPr>
                <w:szCs w:val="20"/>
              </w:rPr>
              <w:t>27</w:t>
            </w:r>
          </w:p>
        </w:tc>
      </w:tr>
      <w:tr w:rsidR="00546FB8" w:rsidRPr="003539FF" w14:paraId="52A937ED" w14:textId="77777777" w:rsidTr="0064228B">
        <w:tc>
          <w:tcPr>
            <w:tcW w:w="2835" w:type="dxa"/>
            <w:vMerge/>
          </w:tcPr>
          <w:p w14:paraId="662B719F"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2BB2C338" w14:textId="77777777" w:rsidR="00546FB8" w:rsidRPr="00DF53C8" w:rsidRDefault="00546FB8" w:rsidP="00916C59">
            <w:pPr>
              <w:pStyle w:val="Tabletext"/>
            </w:pPr>
            <w:r w:rsidRPr="00DF53C8">
              <w:t>No</w:t>
            </w:r>
          </w:p>
        </w:tc>
        <w:tc>
          <w:tcPr>
            <w:tcW w:w="1695" w:type="dxa"/>
            <w:gridSpan w:val="2"/>
          </w:tcPr>
          <w:p w14:paraId="03F808C0" w14:textId="6A46E6B3" w:rsidR="00546FB8" w:rsidRPr="00DF53C8" w:rsidRDefault="00546FB8" w:rsidP="00916C59">
            <w:pPr>
              <w:pStyle w:val="Tabletext"/>
            </w:pPr>
            <w:r w:rsidRPr="00DF53C8">
              <w:t>46</w:t>
            </w:r>
            <w:r w:rsidR="00B05778">
              <w:t>%</w:t>
            </w:r>
          </w:p>
        </w:tc>
        <w:tc>
          <w:tcPr>
            <w:tcW w:w="1695" w:type="dxa"/>
          </w:tcPr>
          <w:p w14:paraId="5D745336" w14:textId="77777777" w:rsidR="00546FB8" w:rsidRPr="00DF53C8" w:rsidRDefault="00546FB8" w:rsidP="00916C59">
            <w:pPr>
              <w:pStyle w:val="Tabletext"/>
            </w:pPr>
            <w:r w:rsidRPr="00DF53C8">
              <w:rPr>
                <w:szCs w:val="20"/>
              </w:rPr>
              <w:t>25</w:t>
            </w:r>
          </w:p>
        </w:tc>
      </w:tr>
      <w:tr w:rsidR="00546FB8" w:rsidRPr="003539FF" w14:paraId="2E294A07" w14:textId="77777777" w:rsidTr="0064228B">
        <w:tc>
          <w:tcPr>
            <w:tcW w:w="2835" w:type="dxa"/>
            <w:vMerge/>
          </w:tcPr>
          <w:p w14:paraId="40D35BDC" w14:textId="77777777" w:rsidR="00546FB8" w:rsidRPr="00916C59" w:rsidRDefault="00546FB8" w:rsidP="00916C59">
            <w:pPr>
              <w:pStyle w:val="Tabletext"/>
              <w:rPr>
                <w:rFonts w:eastAsia="Times New Roman" w:cs="Calibri"/>
                <w:b/>
                <w:color w:val="000000"/>
                <w:szCs w:val="20"/>
                <w:lang w:eastAsia="en-AU"/>
              </w:rPr>
            </w:pPr>
          </w:p>
        </w:tc>
        <w:tc>
          <w:tcPr>
            <w:tcW w:w="2835" w:type="dxa"/>
            <w:gridSpan w:val="2"/>
          </w:tcPr>
          <w:p w14:paraId="0777DBD2" w14:textId="77777777" w:rsidR="00546FB8" w:rsidRPr="00DF53C8" w:rsidRDefault="00546FB8" w:rsidP="00916C59">
            <w:pPr>
              <w:pStyle w:val="Tabletext"/>
            </w:pPr>
            <w:r w:rsidRPr="00DF53C8">
              <w:t>Prefer not to say</w:t>
            </w:r>
          </w:p>
        </w:tc>
        <w:tc>
          <w:tcPr>
            <w:tcW w:w="1695" w:type="dxa"/>
            <w:gridSpan w:val="2"/>
          </w:tcPr>
          <w:p w14:paraId="1C38B30D" w14:textId="6213220D" w:rsidR="00546FB8" w:rsidRPr="00DF53C8" w:rsidRDefault="00546FB8" w:rsidP="00916C59">
            <w:pPr>
              <w:pStyle w:val="Tabletext"/>
            </w:pPr>
            <w:r w:rsidRPr="00DF53C8">
              <w:t>4</w:t>
            </w:r>
            <w:r w:rsidR="00B05778">
              <w:t>%</w:t>
            </w:r>
          </w:p>
        </w:tc>
        <w:tc>
          <w:tcPr>
            <w:tcW w:w="1695" w:type="dxa"/>
          </w:tcPr>
          <w:p w14:paraId="4639B032" w14:textId="77777777" w:rsidR="00546FB8" w:rsidRPr="00DF53C8" w:rsidRDefault="00546FB8" w:rsidP="00916C59">
            <w:pPr>
              <w:pStyle w:val="Tabletext"/>
            </w:pPr>
            <w:r w:rsidRPr="00DF53C8">
              <w:rPr>
                <w:szCs w:val="20"/>
              </w:rPr>
              <w:t>2</w:t>
            </w:r>
          </w:p>
        </w:tc>
      </w:tr>
      <w:tr w:rsidR="00546FB8" w:rsidRPr="003539FF" w14:paraId="40A8F45C" w14:textId="77777777" w:rsidTr="0064228B">
        <w:tc>
          <w:tcPr>
            <w:tcW w:w="2835" w:type="dxa"/>
            <w:vMerge w:val="restart"/>
          </w:tcPr>
          <w:p w14:paraId="0109BC8C" w14:textId="77777777" w:rsidR="00546FB8" w:rsidRPr="00916C59" w:rsidRDefault="00546FB8" w:rsidP="00916C59">
            <w:pPr>
              <w:pStyle w:val="Tabletext"/>
              <w:rPr>
                <w:rFonts w:eastAsia="Times New Roman" w:cs="Calibri"/>
                <w:b/>
                <w:color w:val="000000"/>
                <w:szCs w:val="20"/>
                <w:lang w:eastAsia="en-AU"/>
              </w:rPr>
            </w:pPr>
            <w:r w:rsidRPr="00916C59">
              <w:rPr>
                <w:rFonts w:eastAsia="Times New Roman" w:cs="Calibri"/>
                <w:b/>
                <w:color w:val="000000"/>
                <w:szCs w:val="20"/>
                <w:lang w:eastAsia="en-AU"/>
              </w:rPr>
              <w:t>Identify as a member of the LGBTQI+ community</w:t>
            </w:r>
          </w:p>
        </w:tc>
        <w:tc>
          <w:tcPr>
            <w:tcW w:w="2835" w:type="dxa"/>
            <w:gridSpan w:val="2"/>
          </w:tcPr>
          <w:p w14:paraId="6D92FDB4" w14:textId="77777777" w:rsidR="00546FB8" w:rsidRPr="00DF53C8" w:rsidRDefault="00546FB8" w:rsidP="00916C59">
            <w:pPr>
              <w:pStyle w:val="Tabletext"/>
            </w:pPr>
            <w:r w:rsidRPr="00DF53C8">
              <w:t xml:space="preserve">Yes </w:t>
            </w:r>
          </w:p>
        </w:tc>
        <w:tc>
          <w:tcPr>
            <w:tcW w:w="1695" w:type="dxa"/>
            <w:gridSpan w:val="2"/>
          </w:tcPr>
          <w:p w14:paraId="3B1BE119" w14:textId="05E9A8B7" w:rsidR="00546FB8" w:rsidRPr="00DF53C8" w:rsidRDefault="00546FB8" w:rsidP="00916C59">
            <w:pPr>
              <w:pStyle w:val="Tabletext"/>
            </w:pPr>
            <w:r w:rsidRPr="00DF53C8">
              <w:t>15</w:t>
            </w:r>
            <w:r w:rsidR="00B05778">
              <w:t>%</w:t>
            </w:r>
          </w:p>
        </w:tc>
        <w:tc>
          <w:tcPr>
            <w:tcW w:w="1695" w:type="dxa"/>
          </w:tcPr>
          <w:p w14:paraId="37974118" w14:textId="77777777" w:rsidR="00546FB8" w:rsidRPr="00DF53C8" w:rsidRDefault="00546FB8" w:rsidP="00916C59">
            <w:pPr>
              <w:pStyle w:val="Tabletext"/>
            </w:pPr>
            <w:r w:rsidRPr="00DF53C8">
              <w:rPr>
                <w:szCs w:val="20"/>
              </w:rPr>
              <w:t>8</w:t>
            </w:r>
          </w:p>
        </w:tc>
      </w:tr>
      <w:tr w:rsidR="00546FB8" w:rsidRPr="003539FF" w14:paraId="1A80613A" w14:textId="77777777" w:rsidTr="0064228B">
        <w:tc>
          <w:tcPr>
            <w:tcW w:w="2835" w:type="dxa"/>
            <w:vMerge/>
          </w:tcPr>
          <w:p w14:paraId="2CB34191" w14:textId="77777777" w:rsidR="00546FB8" w:rsidRPr="00DF53C8" w:rsidRDefault="00546FB8" w:rsidP="00857DE3">
            <w:pPr>
              <w:pStyle w:val="BodyText"/>
              <w:spacing w:before="60" w:after="60"/>
              <w:rPr>
                <w:rFonts w:eastAsia="Times New Roman" w:cs="Calibri"/>
                <w:b/>
                <w:bCs/>
                <w:color w:val="000000"/>
                <w:szCs w:val="20"/>
                <w:lang w:eastAsia="en-AU"/>
              </w:rPr>
            </w:pPr>
          </w:p>
        </w:tc>
        <w:tc>
          <w:tcPr>
            <w:tcW w:w="2835" w:type="dxa"/>
            <w:gridSpan w:val="2"/>
          </w:tcPr>
          <w:p w14:paraId="73E730D6" w14:textId="77777777" w:rsidR="00546FB8" w:rsidRPr="00DF53C8" w:rsidRDefault="00546FB8" w:rsidP="00916C59">
            <w:pPr>
              <w:pStyle w:val="Tabletext"/>
            </w:pPr>
            <w:r w:rsidRPr="00DF53C8">
              <w:t>No</w:t>
            </w:r>
          </w:p>
        </w:tc>
        <w:tc>
          <w:tcPr>
            <w:tcW w:w="1695" w:type="dxa"/>
            <w:gridSpan w:val="2"/>
          </w:tcPr>
          <w:p w14:paraId="074987CB" w14:textId="78708A75" w:rsidR="00546FB8" w:rsidRPr="00DF53C8" w:rsidRDefault="00546FB8" w:rsidP="00916C59">
            <w:pPr>
              <w:pStyle w:val="Tabletext"/>
            </w:pPr>
            <w:r w:rsidRPr="00DF53C8">
              <w:t>80</w:t>
            </w:r>
            <w:r w:rsidR="00B05778">
              <w:t>%</w:t>
            </w:r>
          </w:p>
        </w:tc>
        <w:tc>
          <w:tcPr>
            <w:tcW w:w="1695" w:type="dxa"/>
          </w:tcPr>
          <w:p w14:paraId="2AEB2893" w14:textId="77777777" w:rsidR="00546FB8" w:rsidRPr="00DF53C8" w:rsidRDefault="00546FB8" w:rsidP="00916C59">
            <w:pPr>
              <w:pStyle w:val="Tabletext"/>
            </w:pPr>
            <w:r w:rsidRPr="00DF53C8">
              <w:rPr>
                <w:szCs w:val="20"/>
              </w:rPr>
              <w:t>43</w:t>
            </w:r>
          </w:p>
        </w:tc>
      </w:tr>
      <w:tr w:rsidR="00546FB8" w:rsidRPr="003539FF" w14:paraId="36ECF46A" w14:textId="77777777" w:rsidTr="0064228B">
        <w:tc>
          <w:tcPr>
            <w:tcW w:w="2835" w:type="dxa"/>
            <w:vMerge/>
          </w:tcPr>
          <w:p w14:paraId="4A1EAF08" w14:textId="77777777" w:rsidR="00546FB8" w:rsidRPr="00DF53C8" w:rsidRDefault="00546FB8" w:rsidP="00857DE3">
            <w:pPr>
              <w:pStyle w:val="BodyText"/>
              <w:spacing w:before="60" w:after="60"/>
              <w:rPr>
                <w:rFonts w:eastAsia="Times New Roman" w:cs="Calibri"/>
                <w:b/>
                <w:bCs/>
                <w:color w:val="000000"/>
                <w:szCs w:val="20"/>
                <w:lang w:eastAsia="en-AU"/>
              </w:rPr>
            </w:pPr>
          </w:p>
        </w:tc>
        <w:tc>
          <w:tcPr>
            <w:tcW w:w="2835" w:type="dxa"/>
            <w:gridSpan w:val="2"/>
          </w:tcPr>
          <w:p w14:paraId="162DB241" w14:textId="77777777" w:rsidR="00546FB8" w:rsidRPr="00DF53C8" w:rsidRDefault="00546FB8" w:rsidP="00916C59">
            <w:pPr>
              <w:pStyle w:val="Tabletext"/>
            </w:pPr>
            <w:r w:rsidRPr="00DF53C8">
              <w:t>Prefer not to say</w:t>
            </w:r>
          </w:p>
        </w:tc>
        <w:tc>
          <w:tcPr>
            <w:tcW w:w="1695" w:type="dxa"/>
            <w:gridSpan w:val="2"/>
          </w:tcPr>
          <w:p w14:paraId="721C341D" w14:textId="416A15E1" w:rsidR="00546FB8" w:rsidRPr="00DF53C8" w:rsidRDefault="00546FB8" w:rsidP="00916C59">
            <w:pPr>
              <w:pStyle w:val="Tabletext"/>
            </w:pPr>
            <w:r w:rsidRPr="00DF53C8">
              <w:t>6</w:t>
            </w:r>
            <w:r w:rsidR="00B05778">
              <w:t>%</w:t>
            </w:r>
          </w:p>
        </w:tc>
        <w:tc>
          <w:tcPr>
            <w:tcW w:w="1695" w:type="dxa"/>
          </w:tcPr>
          <w:p w14:paraId="3F0827D5" w14:textId="77777777" w:rsidR="00546FB8" w:rsidRPr="00DF53C8" w:rsidRDefault="00546FB8" w:rsidP="00916C59">
            <w:pPr>
              <w:pStyle w:val="Tabletext"/>
            </w:pPr>
            <w:r w:rsidRPr="00DF53C8">
              <w:rPr>
                <w:szCs w:val="20"/>
              </w:rPr>
              <w:t>3</w:t>
            </w:r>
          </w:p>
        </w:tc>
      </w:tr>
    </w:tbl>
    <w:p w14:paraId="3AEFEDEB" w14:textId="77777777" w:rsidR="00010A08" w:rsidRDefault="00010A08" w:rsidP="00010A08">
      <w:pPr>
        <w:pStyle w:val="Caption"/>
        <w:rPr>
          <w:color w:val="auto"/>
        </w:rPr>
      </w:pPr>
    </w:p>
    <w:p w14:paraId="0E6FB666" w14:textId="6ABAE63A" w:rsidR="00B3787B" w:rsidRPr="00D66CDF" w:rsidRDefault="00D66CDF" w:rsidP="00D66CDF">
      <w:pPr>
        <w:pStyle w:val="Caption"/>
        <w:rPr>
          <w:color w:val="auto"/>
        </w:rPr>
      </w:pPr>
      <w:r w:rsidRPr="00D66CDF">
        <w:rPr>
          <w:color w:val="auto"/>
        </w:rPr>
        <w:t xml:space="preserve">Table </w:t>
      </w:r>
      <w:r w:rsidRPr="00D66CDF">
        <w:rPr>
          <w:color w:val="auto"/>
        </w:rPr>
        <w:fldChar w:fldCharType="begin"/>
      </w:r>
      <w:r w:rsidRPr="00D66CDF">
        <w:rPr>
          <w:color w:val="auto"/>
        </w:rPr>
        <w:instrText xml:space="preserve"> SEQ Table \* ARABIC </w:instrText>
      </w:r>
      <w:r w:rsidRPr="00D66CDF">
        <w:rPr>
          <w:color w:val="auto"/>
        </w:rPr>
        <w:fldChar w:fldCharType="separate"/>
      </w:r>
      <w:r w:rsidR="009B630A">
        <w:rPr>
          <w:noProof/>
          <w:color w:val="auto"/>
        </w:rPr>
        <w:t>15</w:t>
      </w:r>
      <w:r w:rsidRPr="00D66CDF">
        <w:rPr>
          <w:color w:val="auto"/>
        </w:rPr>
        <w:fldChar w:fldCharType="end"/>
      </w:r>
      <w:r w:rsidRPr="00D66CDF">
        <w:rPr>
          <w:color w:val="auto"/>
        </w:rPr>
        <w:t xml:space="preserve">: </w:t>
      </w:r>
      <w:r w:rsidR="00EE6F6F">
        <w:rPr>
          <w:color w:val="auto"/>
        </w:rPr>
        <w:t>Social security profile</w:t>
      </w:r>
      <w:r w:rsidRPr="00D66CDF">
        <w:rPr>
          <w:color w:val="auto"/>
        </w:rPr>
        <w:t xml:space="preserve"> of individuals surveyed </w:t>
      </w:r>
    </w:p>
    <w:tbl>
      <w:tblPr>
        <w:tblStyle w:val="TableGrid"/>
        <w:tblW w:w="9067" w:type="dxa"/>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6: Social security profile of individuals surveyed"/>
        <w:tblDescription w:val="Table 16 shows the social security profile of individuals that completed the individual survey. The Table has 4 columns. Column 1 lists the different social security profilers. Column 2 shows the cohort subgroups of the social security profiles. Column 3 show the percentage of total survey participants for each subgroup. Column 4 shows the number of total survey participants for each subgroup.  "/>
      </w:tblPr>
      <w:tblGrid>
        <w:gridCol w:w="2552"/>
        <w:gridCol w:w="2835"/>
        <w:gridCol w:w="1985"/>
        <w:gridCol w:w="1695"/>
      </w:tblGrid>
      <w:tr w:rsidR="00B3787B" w:rsidRPr="003539FF" w14:paraId="07E11A5D" w14:textId="77777777" w:rsidTr="002C321D">
        <w:trPr>
          <w:tblHeader/>
        </w:trPr>
        <w:tc>
          <w:tcPr>
            <w:tcW w:w="2552" w:type="dxa"/>
          </w:tcPr>
          <w:p w14:paraId="6EB528B0" w14:textId="65AAA195" w:rsidR="00B3787B" w:rsidRPr="00DF53C8" w:rsidRDefault="00E2391E" w:rsidP="00916C59">
            <w:pPr>
              <w:pStyle w:val="Tableheading"/>
              <w:rPr>
                <w:lang w:eastAsia="en-AU"/>
              </w:rPr>
            </w:pPr>
            <w:r>
              <w:rPr>
                <w:lang w:eastAsia="en-AU"/>
              </w:rPr>
              <w:t>Social security related-profile</w:t>
            </w:r>
            <w:r w:rsidR="00B3787B" w:rsidRPr="00DF53C8">
              <w:rPr>
                <w:lang w:eastAsia="en-AU"/>
              </w:rPr>
              <w:t xml:space="preserve"> </w:t>
            </w:r>
          </w:p>
        </w:tc>
        <w:tc>
          <w:tcPr>
            <w:tcW w:w="2835" w:type="dxa"/>
          </w:tcPr>
          <w:p w14:paraId="36E6ECA3" w14:textId="04DE7B6E" w:rsidR="00B3787B" w:rsidRPr="00DF53C8" w:rsidRDefault="0035089E" w:rsidP="00916C59">
            <w:pPr>
              <w:pStyle w:val="Tableheading"/>
              <w:rPr>
                <w:lang w:eastAsia="en-AU"/>
              </w:rPr>
            </w:pPr>
            <w:r>
              <w:rPr>
                <w:lang w:eastAsia="en-AU"/>
              </w:rPr>
              <w:t>Subgroup</w:t>
            </w:r>
          </w:p>
        </w:tc>
        <w:tc>
          <w:tcPr>
            <w:tcW w:w="1985" w:type="dxa"/>
          </w:tcPr>
          <w:p w14:paraId="5410F710" w14:textId="77777777" w:rsidR="00B3787B" w:rsidRPr="00DF53C8" w:rsidRDefault="00B3787B" w:rsidP="00916C59">
            <w:pPr>
              <w:pStyle w:val="Tableheading"/>
              <w:rPr>
                <w:lang w:eastAsia="en-AU"/>
              </w:rPr>
            </w:pPr>
            <w:r>
              <w:rPr>
                <w:lang w:eastAsia="en-AU"/>
              </w:rPr>
              <w:t>Per cent</w:t>
            </w:r>
            <w:r w:rsidRPr="00DF53C8">
              <w:rPr>
                <w:lang w:eastAsia="en-AU"/>
              </w:rPr>
              <w:t xml:space="preserve"> of individuals surveyed (n=54)</w:t>
            </w:r>
          </w:p>
        </w:tc>
        <w:tc>
          <w:tcPr>
            <w:tcW w:w="1695" w:type="dxa"/>
          </w:tcPr>
          <w:p w14:paraId="29E31674" w14:textId="77777777" w:rsidR="00B3787B" w:rsidRPr="00DF53C8" w:rsidRDefault="00B3787B" w:rsidP="00916C59">
            <w:pPr>
              <w:pStyle w:val="Tableheading"/>
              <w:rPr>
                <w:lang w:eastAsia="en-AU"/>
              </w:rPr>
            </w:pPr>
            <w:r w:rsidRPr="00DF53C8">
              <w:rPr>
                <w:lang w:eastAsia="en-AU"/>
              </w:rPr>
              <w:t>Number of individuals surveyed (n=)</w:t>
            </w:r>
          </w:p>
        </w:tc>
      </w:tr>
      <w:tr w:rsidR="004B6793" w:rsidRPr="003539FF" w14:paraId="2F1FE094" w14:textId="77777777" w:rsidTr="002C321D">
        <w:tc>
          <w:tcPr>
            <w:tcW w:w="2552" w:type="dxa"/>
            <w:vMerge w:val="restart"/>
          </w:tcPr>
          <w:p w14:paraId="61BD1A6E" w14:textId="557DE735" w:rsidR="004B6793" w:rsidRPr="00916C59" w:rsidRDefault="004B6793" w:rsidP="00916C59">
            <w:pPr>
              <w:pStyle w:val="Tabletext"/>
              <w:rPr>
                <w:b/>
                <w:bCs/>
              </w:rPr>
            </w:pPr>
            <w:r w:rsidRPr="00916C59">
              <w:rPr>
                <w:b/>
                <w:bCs/>
              </w:rPr>
              <w:t>Social security profile</w:t>
            </w:r>
          </w:p>
          <w:p w14:paraId="2EABD417" w14:textId="6394BD89" w:rsidR="004B6793" w:rsidRPr="00916C59" w:rsidRDefault="004B6793" w:rsidP="00916C59">
            <w:pPr>
              <w:pStyle w:val="Tabletext"/>
              <w:rPr>
                <w:b/>
                <w:bCs/>
              </w:rPr>
            </w:pPr>
          </w:p>
        </w:tc>
        <w:tc>
          <w:tcPr>
            <w:tcW w:w="2835" w:type="dxa"/>
          </w:tcPr>
          <w:p w14:paraId="10F43FF0" w14:textId="6DDEABF3" w:rsidR="004B6793" w:rsidRPr="00AC68AC" w:rsidRDefault="004B6793" w:rsidP="00916C59">
            <w:pPr>
              <w:pStyle w:val="Tabletext"/>
              <w:rPr>
                <w:color w:val="000000" w:themeColor="text1"/>
                <w:szCs w:val="20"/>
              </w:rPr>
            </w:pPr>
            <w:r w:rsidRPr="00751778">
              <w:t>I am a carer / parent or guardian of a social security payment(s) recipient, but do not receive payment myself</w:t>
            </w:r>
          </w:p>
        </w:tc>
        <w:tc>
          <w:tcPr>
            <w:tcW w:w="1985" w:type="dxa"/>
            <w:vAlign w:val="center"/>
          </w:tcPr>
          <w:p w14:paraId="05459BE7" w14:textId="4ED30430" w:rsidR="004B6793" w:rsidRPr="00DF53C8" w:rsidRDefault="004B6793" w:rsidP="00916C59">
            <w:pPr>
              <w:pStyle w:val="Tabletext"/>
              <w:rPr>
                <w:color w:val="000000" w:themeColor="text1"/>
                <w:szCs w:val="20"/>
              </w:rPr>
            </w:pPr>
            <w:r w:rsidRPr="00514F41">
              <w:rPr>
                <w:color w:val="000000" w:themeColor="text1"/>
                <w:szCs w:val="20"/>
              </w:rPr>
              <w:t>11%</w:t>
            </w:r>
          </w:p>
        </w:tc>
        <w:tc>
          <w:tcPr>
            <w:tcW w:w="1695" w:type="dxa"/>
            <w:vAlign w:val="center"/>
          </w:tcPr>
          <w:p w14:paraId="5A7AABDB" w14:textId="13D781A6" w:rsidR="004B6793" w:rsidRPr="00DF53C8" w:rsidRDefault="004B6793" w:rsidP="00916C59">
            <w:pPr>
              <w:pStyle w:val="Tabletext"/>
              <w:rPr>
                <w:color w:val="000000" w:themeColor="text1"/>
                <w:szCs w:val="20"/>
              </w:rPr>
            </w:pPr>
            <w:r w:rsidRPr="00514F41">
              <w:rPr>
                <w:color w:val="000000" w:themeColor="text1"/>
                <w:szCs w:val="20"/>
              </w:rPr>
              <w:t>6</w:t>
            </w:r>
          </w:p>
        </w:tc>
      </w:tr>
      <w:tr w:rsidR="004B6793" w:rsidRPr="003539FF" w14:paraId="724503A2" w14:textId="77777777" w:rsidTr="002C321D">
        <w:tc>
          <w:tcPr>
            <w:tcW w:w="2552" w:type="dxa"/>
            <w:vMerge/>
          </w:tcPr>
          <w:p w14:paraId="74F75671" w14:textId="5AA3171B" w:rsidR="004B6793" w:rsidRPr="00916C59" w:rsidRDefault="004B6793" w:rsidP="00916C59">
            <w:pPr>
              <w:pStyle w:val="Tabletext"/>
              <w:rPr>
                <w:b/>
                <w:bCs/>
              </w:rPr>
            </w:pPr>
          </w:p>
        </w:tc>
        <w:tc>
          <w:tcPr>
            <w:tcW w:w="2835" w:type="dxa"/>
          </w:tcPr>
          <w:p w14:paraId="4FBC3498" w14:textId="0EF344A8" w:rsidR="004B6793" w:rsidRPr="00AC68AC" w:rsidRDefault="004B6793" w:rsidP="00916C59">
            <w:pPr>
              <w:pStyle w:val="Tabletext"/>
              <w:rPr>
                <w:color w:val="000000" w:themeColor="text1"/>
                <w:szCs w:val="20"/>
              </w:rPr>
            </w:pPr>
            <w:r w:rsidRPr="00751778">
              <w:t>I am a partner or nominee of someone who is a social security payment(s) recipient, but do not receive a payment myself</w:t>
            </w:r>
          </w:p>
        </w:tc>
        <w:tc>
          <w:tcPr>
            <w:tcW w:w="1985" w:type="dxa"/>
            <w:vAlign w:val="center"/>
          </w:tcPr>
          <w:p w14:paraId="023A9BB1" w14:textId="7C9DF196" w:rsidR="004B6793" w:rsidRPr="00DF53C8" w:rsidRDefault="004B6793" w:rsidP="00916C59">
            <w:pPr>
              <w:pStyle w:val="Tabletext"/>
              <w:rPr>
                <w:color w:val="000000" w:themeColor="text1"/>
                <w:szCs w:val="20"/>
              </w:rPr>
            </w:pPr>
            <w:r w:rsidRPr="00514F41">
              <w:rPr>
                <w:color w:val="000000" w:themeColor="text1"/>
                <w:szCs w:val="20"/>
              </w:rPr>
              <w:t>7%</w:t>
            </w:r>
          </w:p>
        </w:tc>
        <w:tc>
          <w:tcPr>
            <w:tcW w:w="1695" w:type="dxa"/>
            <w:vAlign w:val="center"/>
          </w:tcPr>
          <w:p w14:paraId="1D737B11" w14:textId="7DF35F60" w:rsidR="004B6793" w:rsidRPr="00DF53C8" w:rsidRDefault="004B6793" w:rsidP="00916C59">
            <w:pPr>
              <w:pStyle w:val="Tabletext"/>
              <w:rPr>
                <w:color w:val="000000" w:themeColor="text1"/>
                <w:szCs w:val="20"/>
              </w:rPr>
            </w:pPr>
            <w:r w:rsidRPr="00514F41">
              <w:rPr>
                <w:color w:val="000000" w:themeColor="text1"/>
                <w:szCs w:val="20"/>
              </w:rPr>
              <w:t>4</w:t>
            </w:r>
          </w:p>
        </w:tc>
      </w:tr>
      <w:tr w:rsidR="004B6793" w:rsidRPr="003539FF" w14:paraId="08F94DE7" w14:textId="77777777" w:rsidTr="002C321D">
        <w:tc>
          <w:tcPr>
            <w:tcW w:w="2552" w:type="dxa"/>
            <w:vMerge/>
          </w:tcPr>
          <w:p w14:paraId="5CA94121" w14:textId="0C8B9E0B" w:rsidR="004B6793" w:rsidRPr="00916C59" w:rsidRDefault="004B6793" w:rsidP="00916C59">
            <w:pPr>
              <w:pStyle w:val="Tabletext"/>
              <w:rPr>
                <w:b/>
                <w:bCs/>
              </w:rPr>
            </w:pPr>
          </w:p>
        </w:tc>
        <w:tc>
          <w:tcPr>
            <w:tcW w:w="2835" w:type="dxa"/>
          </w:tcPr>
          <w:p w14:paraId="643482C0" w14:textId="2C5C4E1C" w:rsidR="004B6793" w:rsidRPr="00DF53C8" w:rsidRDefault="004B6793" w:rsidP="00916C59">
            <w:pPr>
              <w:pStyle w:val="Tabletext"/>
              <w:rPr>
                <w:color w:val="000000" w:themeColor="text1"/>
                <w:szCs w:val="20"/>
              </w:rPr>
            </w:pPr>
            <w:r w:rsidRPr="00751778">
              <w:t>I currently receive a social security payment from Centrelink</w:t>
            </w:r>
          </w:p>
        </w:tc>
        <w:tc>
          <w:tcPr>
            <w:tcW w:w="1985" w:type="dxa"/>
            <w:vAlign w:val="center"/>
          </w:tcPr>
          <w:p w14:paraId="4D88F1F1" w14:textId="754C91D6" w:rsidR="004B6793" w:rsidRPr="00DF53C8" w:rsidRDefault="004B6793" w:rsidP="00916C59">
            <w:pPr>
              <w:pStyle w:val="Tabletext"/>
              <w:rPr>
                <w:color w:val="000000" w:themeColor="text1"/>
                <w:szCs w:val="20"/>
              </w:rPr>
            </w:pPr>
            <w:r w:rsidRPr="00514F41">
              <w:rPr>
                <w:color w:val="000000" w:themeColor="text1"/>
                <w:szCs w:val="20"/>
              </w:rPr>
              <w:t>74%</w:t>
            </w:r>
          </w:p>
        </w:tc>
        <w:tc>
          <w:tcPr>
            <w:tcW w:w="1695" w:type="dxa"/>
            <w:vAlign w:val="center"/>
          </w:tcPr>
          <w:p w14:paraId="19B67D80" w14:textId="79D9A050" w:rsidR="004B6793" w:rsidRPr="00DF53C8" w:rsidRDefault="004B6793" w:rsidP="00916C59">
            <w:pPr>
              <w:pStyle w:val="Tabletext"/>
              <w:rPr>
                <w:color w:val="000000" w:themeColor="text1"/>
                <w:szCs w:val="20"/>
              </w:rPr>
            </w:pPr>
            <w:r w:rsidRPr="00514F41">
              <w:rPr>
                <w:color w:val="000000" w:themeColor="text1"/>
                <w:szCs w:val="20"/>
              </w:rPr>
              <w:t>40</w:t>
            </w:r>
          </w:p>
        </w:tc>
      </w:tr>
      <w:tr w:rsidR="004B6793" w:rsidRPr="003539FF" w14:paraId="36B627CD" w14:textId="77777777" w:rsidTr="002C321D">
        <w:tc>
          <w:tcPr>
            <w:tcW w:w="2552" w:type="dxa"/>
            <w:vMerge/>
          </w:tcPr>
          <w:p w14:paraId="5F2E4572" w14:textId="6D114D49" w:rsidR="004B6793" w:rsidRPr="00916C59" w:rsidRDefault="004B6793" w:rsidP="00916C59">
            <w:pPr>
              <w:pStyle w:val="Tabletext"/>
              <w:rPr>
                <w:b/>
                <w:bCs/>
              </w:rPr>
            </w:pPr>
          </w:p>
        </w:tc>
        <w:tc>
          <w:tcPr>
            <w:tcW w:w="2835" w:type="dxa"/>
          </w:tcPr>
          <w:p w14:paraId="0D2B1EE7" w14:textId="249CF8AF" w:rsidR="004B6793" w:rsidRPr="00DF53C8" w:rsidRDefault="004B6793" w:rsidP="00916C59">
            <w:pPr>
              <w:pStyle w:val="Tabletext"/>
              <w:rPr>
                <w:color w:val="000000" w:themeColor="text1"/>
                <w:szCs w:val="20"/>
              </w:rPr>
            </w:pPr>
            <w:r w:rsidRPr="00751778">
              <w:t>I have expertise in social security law, social security payment, public policy or another relevant field</w:t>
            </w:r>
          </w:p>
        </w:tc>
        <w:tc>
          <w:tcPr>
            <w:tcW w:w="1985" w:type="dxa"/>
            <w:vAlign w:val="center"/>
          </w:tcPr>
          <w:p w14:paraId="4A4D3A64" w14:textId="5FEE2911" w:rsidR="004B6793" w:rsidRPr="00DF53C8" w:rsidRDefault="004B6793" w:rsidP="00916C59">
            <w:pPr>
              <w:pStyle w:val="Tabletext"/>
              <w:rPr>
                <w:color w:val="000000" w:themeColor="text1"/>
                <w:szCs w:val="20"/>
              </w:rPr>
            </w:pPr>
            <w:r w:rsidRPr="00514F41">
              <w:rPr>
                <w:color w:val="000000" w:themeColor="text1"/>
                <w:szCs w:val="20"/>
              </w:rPr>
              <w:t>4%</w:t>
            </w:r>
          </w:p>
        </w:tc>
        <w:tc>
          <w:tcPr>
            <w:tcW w:w="1695" w:type="dxa"/>
            <w:vAlign w:val="center"/>
          </w:tcPr>
          <w:p w14:paraId="0FC5EA32" w14:textId="77D5B58F" w:rsidR="004B6793" w:rsidRPr="00DF53C8" w:rsidRDefault="004B6793" w:rsidP="00916C59">
            <w:pPr>
              <w:pStyle w:val="Tabletext"/>
              <w:rPr>
                <w:color w:val="000000" w:themeColor="text1"/>
                <w:szCs w:val="20"/>
              </w:rPr>
            </w:pPr>
            <w:r w:rsidRPr="00514F41">
              <w:rPr>
                <w:color w:val="000000" w:themeColor="text1"/>
                <w:szCs w:val="20"/>
              </w:rPr>
              <w:t>2</w:t>
            </w:r>
          </w:p>
        </w:tc>
      </w:tr>
      <w:tr w:rsidR="00207784" w:rsidRPr="003539FF" w14:paraId="6056A86E" w14:textId="77777777" w:rsidTr="002C321D">
        <w:tc>
          <w:tcPr>
            <w:tcW w:w="2552" w:type="dxa"/>
            <w:vMerge/>
          </w:tcPr>
          <w:p w14:paraId="0521C0B0" w14:textId="77777777" w:rsidR="00207784" w:rsidRPr="00916C59" w:rsidRDefault="00207784" w:rsidP="00916C59">
            <w:pPr>
              <w:pStyle w:val="Tabletext"/>
              <w:rPr>
                <w:b/>
                <w:bCs/>
              </w:rPr>
            </w:pPr>
          </w:p>
        </w:tc>
        <w:tc>
          <w:tcPr>
            <w:tcW w:w="2835" w:type="dxa"/>
          </w:tcPr>
          <w:p w14:paraId="7AE9D1E9" w14:textId="41799EB2" w:rsidR="00207784" w:rsidRPr="00DF53C8" w:rsidRDefault="00514F41" w:rsidP="00916C59">
            <w:pPr>
              <w:pStyle w:val="Tabletext"/>
              <w:rPr>
                <w:color w:val="000000" w:themeColor="text1"/>
                <w:szCs w:val="20"/>
              </w:rPr>
            </w:pPr>
            <w:r>
              <w:rPr>
                <w:color w:val="000000" w:themeColor="text1"/>
                <w:szCs w:val="20"/>
              </w:rPr>
              <w:t>Other</w:t>
            </w:r>
          </w:p>
        </w:tc>
        <w:tc>
          <w:tcPr>
            <w:tcW w:w="1985" w:type="dxa"/>
          </w:tcPr>
          <w:p w14:paraId="7726DDC3" w14:textId="3A7DC444" w:rsidR="00207784" w:rsidRPr="00DF53C8" w:rsidRDefault="00514F41" w:rsidP="00916C59">
            <w:pPr>
              <w:pStyle w:val="Tabletext"/>
              <w:rPr>
                <w:color w:val="000000" w:themeColor="text1"/>
                <w:szCs w:val="20"/>
              </w:rPr>
            </w:pPr>
            <w:r>
              <w:rPr>
                <w:color w:val="000000" w:themeColor="text1"/>
                <w:szCs w:val="20"/>
              </w:rPr>
              <w:t>4%</w:t>
            </w:r>
          </w:p>
        </w:tc>
        <w:tc>
          <w:tcPr>
            <w:tcW w:w="1695" w:type="dxa"/>
          </w:tcPr>
          <w:p w14:paraId="29168770" w14:textId="44CF9D3A" w:rsidR="00207784" w:rsidRPr="00DF53C8" w:rsidRDefault="00514F41" w:rsidP="00916C59">
            <w:pPr>
              <w:pStyle w:val="Tabletext"/>
              <w:rPr>
                <w:color w:val="000000" w:themeColor="text1"/>
                <w:szCs w:val="20"/>
              </w:rPr>
            </w:pPr>
            <w:r>
              <w:rPr>
                <w:szCs w:val="20"/>
              </w:rPr>
              <w:t>2</w:t>
            </w:r>
          </w:p>
        </w:tc>
      </w:tr>
      <w:tr w:rsidR="005300A2" w:rsidRPr="003539FF" w14:paraId="20E8633D" w14:textId="77777777" w:rsidTr="002C321D">
        <w:tc>
          <w:tcPr>
            <w:tcW w:w="2552" w:type="dxa"/>
            <w:vMerge w:val="restart"/>
          </w:tcPr>
          <w:p w14:paraId="77886E82" w14:textId="52F81955" w:rsidR="005300A2" w:rsidRPr="00916C59" w:rsidRDefault="005300A2" w:rsidP="00916C59">
            <w:pPr>
              <w:pStyle w:val="Tabletext"/>
              <w:rPr>
                <w:b/>
                <w:bCs/>
              </w:rPr>
            </w:pPr>
            <w:r w:rsidRPr="00916C59">
              <w:rPr>
                <w:b/>
                <w:bCs/>
              </w:rPr>
              <w:t>Reported employment income to Centrelink BEFORE 7 December 2020</w:t>
            </w:r>
          </w:p>
        </w:tc>
        <w:tc>
          <w:tcPr>
            <w:tcW w:w="2835" w:type="dxa"/>
            <w:vAlign w:val="bottom"/>
          </w:tcPr>
          <w:p w14:paraId="4804564E" w14:textId="4660990A" w:rsidR="005300A2" w:rsidRPr="0095243C" w:rsidRDefault="005300A2" w:rsidP="00916C59">
            <w:pPr>
              <w:pStyle w:val="Tabletext"/>
            </w:pPr>
            <w:r w:rsidRPr="0095243C">
              <w:t>Yes</w:t>
            </w:r>
          </w:p>
        </w:tc>
        <w:tc>
          <w:tcPr>
            <w:tcW w:w="1985" w:type="dxa"/>
            <w:vAlign w:val="bottom"/>
          </w:tcPr>
          <w:p w14:paraId="696FC985" w14:textId="490538E4" w:rsidR="005300A2" w:rsidRPr="0095243C" w:rsidRDefault="005300A2" w:rsidP="00916C59">
            <w:pPr>
              <w:pStyle w:val="Tabletext"/>
            </w:pPr>
            <w:r w:rsidRPr="0095243C">
              <w:t>81%</w:t>
            </w:r>
          </w:p>
        </w:tc>
        <w:tc>
          <w:tcPr>
            <w:tcW w:w="1695" w:type="dxa"/>
            <w:vAlign w:val="bottom"/>
          </w:tcPr>
          <w:p w14:paraId="0092F5B2" w14:textId="6B558B0A" w:rsidR="005300A2" w:rsidRPr="0095243C" w:rsidRDefault="005300A2" w:rsidP="00916C59">
            <w:pPr>
              <w:pStyle w:val="Tabletext"/>
            </w:pPr>
            <w:r w:rsidRPr="0095243C">
              <w:t>44</w:t>
            </w:r>
          </w:p>
        </w:tc>
      </w:tr>
      <w:tr w:rsidR="005300A2" w:rsidRPr="003539FF" w14:paraId="4BBF2BC6" w14:textId="77777777" w:rsidTr="002C321D">
        <w:tc>
          <w:tcPr>
            <w:tcW w:w="2552" w:type="dxa"/>
            <w:vMerge/>
          </w:tcPr>
          <w:p w14:paraId="0E33F022" w14:textId="77777777" w:rsidR="005300A2" w:rsidRPr="00916C59" w:rsidRDefault="005300A2" w:rsidP="00916C59">
            <w:pPr>
              <w:pStyle w:val="Tabletext"/>
              <w:rPr>
                <w:rFonts w:eastAsia="Times New Roman" w:cs="Calibri"/>
                <w:b/>
                <w:color w:val="000000"/>
                <w:szCs w:val="20"/>
                <w:lang w:eastAsia="en-AU"/>
              </w:rPr>
            </w:pPr>
          </w:p>
        </w:tc>
        <w:tc>
          <w:tcPr>
            <w:tcW w:w="2835" w:type="dxa"/>
            <w:vAlign w:val="bottom"/>
          </w:tcPr>
          <w:p w14:paraId="79900694" w14:textId="34A4BC80" w:rsidR="005300A2" w:rsidRPr="0095243C" w:rsidRDefault="005300A2" w:rsidP="00916C59">
            <w:pPr>
              <w:pStyle w:val="Tabletext"/>
            </w:pPr>
            <w:r w:rsidRPr="0095243C">
              <w:t>No</w:t>
            </w:r>
          </w:p>
        </w:tc>
        <w:tc>
          <w:tcPr>
            <w:tcW w:w="1985" w:type="dxa"/>
            <w:vAlign w:val="bottom"/>
          </w:tcPr>
          <w:p w14:paraId="25594322" w14:textId="6BBAA5AF" w:rsidR="005300A2" w:rsidRPr="0095243C" w:rsidRDefault="005300A2" w:rsidP="00916C59">
            <w:pPr>
              <w:pStyle w:val="Tabletext"/>
            </w:pPr>
            <w:r w:rsidRPr="0095243C">
              <w:t>19%</w:t>
            </w:r>
          </w:p>
        </w:tc>
        <w:tc>
          <w:tcPr>
            <w:tcW w:w="1695" w:type="dxa"/>
            <w:vAlign w:val="bottom"/>
          </w:tcPr>
          <w:p w14:paraId="6C7125AC" w14:textId="469ECD14" w:rsidR="005300A2" w:rsidRPr="0095243C" w:rsidRDefault="005300A2" w:rsidP="00916C59">
            <w:pPr>
              <w:pStyle w:val="Tabletext"/>
            </w:pPr>
            <w:r w:rsidRPr="0095243C">
              <w:t>10</w:t>
            </w:r>
          </w:p>
        </w:tc>
      </w:tr>
      <w:tr w:rsidR="007C0DAF" w:rsidRPr="003539FF" w14:paraId="08BD040D" w14:textId="77777777" w:rsidTr="002C321D">
        <w:tc>
          <w:tcPr>
            <w:tcW w:w="2552" w:type="dxa"/>
            <w:vMerge w:val="restart"/>
          </w:tcPr>
          <w:p w14:paraId="202A2A2C" w14:textId="5181F233" w:rsidR="007C0DAF" w:rsidRPr="00916C59" w:rsidRDefault="007C0DAF" w:rsidP="00916C59">
            <w:pPr>
              <w:pStyle w:val="Tabletext"/>
              <w:rPr>
                <w:rFonts w:eastAsia="Times New Roman" w:cs="Calibri"/>
                <w:b/>
                <w:color w:val="000000"/>
                <w:szCs w:val="20"/>
                <w:lang w:eastAsia="en-AU"/>
              </w:rPr>
            </w:pPr>
            <w:r w:rsidRPr="00916C59">
              <w:rPr>
                <w:b/>
                <w:bCs/>
              </w:rPr>
              <w:lastRenderedPageBreak/>
              <w:t>Reported employment income to Centrelink ON OR AFTER 7 December 2020</w:t>
            </w:r>
          </w:p>
        </w:tc>
        <w:tc>
          <w:tcPr>
            <w:tcW w:w="2835" w:type="dxa"/>
            <w:vAlign w:val="bottom"/>
          </w:tcPr>
          <w:p w14:paraId="0CA0A704" w14:textId="21D8EE31" w:rsidR="007C0DAF" w:rsidRPr="0095243C" w:rsidRDefault="007C0DAF" w:rsidP="00916C59">
            <w:pPr>
              <w:pStyle w:val="Tabletext"/>
            </w:pPr>
            <w:r w:rsidRPr="0095243C">
              <w:t>Yes</w:t>
            </w:r>
          </w:p>
        </w:tc>
        <w:tc>
          <w:tcPr>
            <w:tcW w:w="1985" w:type="dxa"/>
            <w:vAlign w:val="bottom"/>
          </w:tcPr>
          <w:p w14:paraId="0A33ED71" w14:textId="3CF839B1" w:rsidR="007C0DAF" w:rsidRPr="0095243C" w:rsidRDefault="007C0DAF" w:rsidP="00916C59">
            <w:pPr>
              <w:pStyle w:val="Tabletext"/>
            </w:pPr>
            <w:r w:rsidRPr="0095243C">
              <w:t>76%</w:t>
            </w:r>
          </w:p>
        </w:tc>
        <w:tc>
          <w:tcPr>
            <w:tcW w:w="1695" w:type="dxa"/>
            <w:vAlign w:val="bottom"/>
          </w:tcPr>
          <w:p w14:paraId="0528C93E" w14:textId="779FC300" w:rsidR="007C0DAF" w:rsidRPr="0095243C" w:rsidRDefault="007C0DAF" w:rsidP="00916C59">
            <w:pPr>
              <w:pStyle w:val="Tabletext"/>
            </w:pPr>
            <w:r w:rsidRPr="0095243C">
              <w:t>41</w:t>
            </w:r>
          </w:p>
        </w:tc>
      </w:tr>
      <w:tr w:rsidR="007C0DAF" w:rsidRPr="003539FF" w14:paraId="42237BB3" w14:textId="77777777" w:rsidTr="002C321D">
        <w:tc>
          <w:tcPr>
            <w:tcW w:w="2552" w:type="dxa"/>
            <w:vMerge/>
          </w:tcPr>
          <w:p w14:paraId="565126DC" w14:textId="77777777" w:rsidR="007C0DAF" w:rsidRPr="00916C59" w:rsidRDefault="007C0DAF" w:rsidP="00916C59">
            <w:pPr>
              <w:pStyle w:val="Tabletext"/>
              <w:rPr>
                <w:rFonts w:eastAsia="Times New Roman" w:cs="Calibri"/>
                <w:b/>
                <w:color w:val="000000"/>
                <w:szCs w:val="20"/>
                <w:lang w:eastAsia="en-AU"/>
              </w:rPr>
            </w:pPr>
          </w:p>
        </w:tc>
        <w:tc>
          <w:tcPr>
            <w:tcW w:w="2835" w:type="dxa"/>
            <w:vAlign w:val="bottom"/>
          </w:tcPr>
          <w:p w14:paraId="024CB259" w14:textId="356083D0" w:rsidR="007C0DAF" w:rsidRPr="0095243C" w:rsidRDefault="007C0DAF" w:rsidP="00916C59">
            <w:pPr>
              <w:pStyle w:val="Tabletext"/>
            </w:pPr>
            <w:r w:rsidRPr="0095243C">
              <w:t>No</w:t>
            </w:r>
          </w:p>
        </w:tc>
        <w:tc>
          <w:tcPr>
            <w:tcW w:w="1985" w:type="dxa"/>
            <w:vAlign w:val="bottom"/>
          </w:tcPr>
          <w:p w14:paraId="5362AD70" w14:textId="693C0E40" w:rsidR="007C0DAF" w:rsidRPr="0095243C" w:rsidRDefault="007C0DAF" w:rsidP="00916C59">
            <w:pPr>
              <w:pStyle w:val="Tabletext"/>
            </w:pPr>
            <w:r w:rsidRPr="0095243C">
              <w:t>20%</w:t>
            </w:r>
          </w:p>
        </w:tc>
        <w:tc>
          <w:tcPr>
            <w:tcW w:w="1695" w:type="dxa"/>
            <w:vAlign w:val="bottom"/>
          </w:tcPr>
          <w:p w14:paraId="0BA488DF" w14:textId="34F7EFCA" w:rsidR="007C0DAF" w:rsidRPr="0095243C" w:rsidRDefault="007C0DAF" w:rsidP="00916C59">
            <w:pPr>
              <w:pStyle w:val="Tabletext"/>
            </w:pPr>
            <w:r w:rsidRPr="0095243C">
              <w:t>11</w:t>
            </w:r>
          </w:p>
        </w:tc>
      </w:tr>
      <w:tr w:rsidR="007C0DAF" w:rsidRPr="003539FF" w14:paraId="1B73A034" w14:textId="77777777" w:rsidTr="002C321D">
        <w:tc>
          <w:tcPr>
            <w:tcW w:w="2552" w:type="dxa"/>
            <w:vMerge/>
          </w:tcPr>
          <w:p w14:paraId="664D4DB4" w14:textId="77777777" w:rsidR="007C0DAF" w:rsidRPr="00916C59" w:rsidRDefault="007C0DAF" w:rsidP="00916C59">
            <w:pPr>
              <w:pStyle w:val="Tabletext"/>
              <w:rPr>
                <w:rFonts w:eastAsia="Times New Roman" w:cs="Calibri"/>
                <w:b/>
                <w:color w:val="000000"/>
                <w:szCs w:val="20"/>
                <w:lang w:eastAsia="en-AU"/>
              </w:rPr>
            </w:pPr>
          </w:p>
        </w:tc>
        <w:tc>
          <w:tcPr>
            <w:tcW w:w="2835" w:type="dxa"/>
            <w:vAlign w:val="bottom"/>
          </w:tcPr>
          <w:p w14:paraId="3EAADDC3" w14:textId="505B0A34" w:rsidR="007C0DAF" w:rsidRPr="0095243C" w:rsidRDefault="007C0DAF" w:rsidP="00916C59">
            <w:pPr>
              <w:pStyle w:val="Tabletext"/>
            </w:pPr>
            <w:r w:rsidRPr="0095243C">
              <w:t>Not applicable</w:t>
            </w:r>
          </w:p>
        </w:tc>
        <w:tc>
          <w:tcPr>
            <w:tcW w:w="1985" w:type="dxa"/>
            <w:vAlign w:val="bottom"/>
          </w:tcPr>
          <w:p w14:paraId="3C0A66D8" w14:textId="4464B68C" w:rsidR="007C0DAF" w:rsidRPr="0095243C" w:rsidRDefault="007C0DAF" w:rsidP="00916C59">
            <w:pPr>
              <w:pStyle w:val="Tabletext"/>
            </w:pPr>
            <w:r w:rsidRPr="0095243C">
              <w:t>2%</w:t>
            </w:r>
          </w:p>
        </w:tc>
        <w:tc>
          <w:tcPr>
            <w:tcW w:w="1695" w:type="dxa"/>
            <w:vAlign w:val="bottom"/>
          </w:tcPr>
          <w:p w14:paraId="7618409C" w14:textId="53B3AAB0" w:rsidR="007C0DAF" w:rsidRPr="0095243C" w:rsidRDefault="007C0DAF" w:rsidP="00916C59">
            <w:pPr>
              <w:pStyle w:val="Tabletext"/>
            </w:pPr>
            <w:r w:rsidRPr="0095243C">
              <w:t>1</w:t>
            </w:r>
          </w:p>
        </w:tc>
      </w:tr>
      <w:tr w:rsidR="007C0DAF" w:rsidRPr="003539FF" w14:paraId="6B75B8F5" w14:textId="77777777" w:rsidTr="002C321D">
        <w:tc>
          <w:tcPr>
            <w:tcW w:w="2552" w:type="dxa"/>
            <w:vMerge/>
          </w:tcPr>
          <w:p w14:paraId="3DD5A45C" w14:textId="77777777" w:rsidR="007C0DAF" w:rsidRPr="00916C59" w:rsidRDefault="007C0DAF" w:rsidP="00916C59">
            <w:pPr>
              <w:pStyle w:val="Tabletext"/>
              <w:rPr>
                <w:rFonts w:eastAsia="Times New Roman" w:cs="Calibri"/>
                <w:b/>
                <w:color w:val="000000"/>
                <w:szCs w:val="20"/>
                <w:lang w:eastAsia="en-AU"/>
              </w:rPr>
            </w:pPr>
          </w:p>
        </w:tc>
        <w:tc>
          <w:tcPr>
            <w:tcW w:w="2835" w:type="dxa"/>
            <w:vAlign w:val="bottom"/>
          </w:tcPr>
          <w:p w14:paraId="480F4379" w14:textId="013B8763" w:rsidR="007C0DAF" w:rsidRPr="0095243C" w:rsidRDefault="007C0DAF" w:rsidP="00916C59">
            <w:pPr>
              <w:pStyle w:val="Tabletext"/>
            </w:pPr>
            <w:r w:rsidRPr="0095243C">
              <w:t>Prefer not to say</w:t>
            </w:r>
          </w:p>
        </w:tc>
        <w:tc>
          <w:tcPr>
            <w:tcW w:w="1985" w:type="dxa"/>
            <w:vAlign w:val="bottom"/>
          </w:tcPr>
          <w:p w14:paraId="0C9C61EF" w14:textId="2CA332D2" w:rsidR="007C0DAF" w:rsidRPr="0095243C" w:rsidRDefault="007C0DAF" w:rsidP="00916C59">
            <w:pPr>
              <w:pStyle w:val="Tabletext"/>
            </w:pPr>
            <w:r w:rsidRPr="0095243C">
              <w:t>2%</w:t>
            </w:r>
          </w:p>
        </w:tc>
        <w:tc>
          <w:tcPr>
            <w:tcW w:w="1695" w:type="dxa"/>
            <w:vAlign w:val="bottom"/>
          </w:tcPr>
          <w:p w14:paraId="6665D3A8" w14:textId="645E0FEB" w:rsidR="007C0DAF" w:rsidRPr="0095243C" w:rsidRDefault="007C0DAF" w:rsidP="00916C59">
            <w:pPr>
              <w:pStyle w:val="Tabletext"/>
            </w:pPr>
            <w:r w:rsidRPr="0095243C">
              <w:t>1</w:t>
            </w:r>
          </w:p>
        </w:tc>
      </w:tr>
      <w:tr w:rsidR="00701DC3" w:rsidRPr="003539FF" w14:paraId="60F90759" w14:textId="77777777" w:rsidTr="002C321D">
        <w:tc>
          <w:tcPr>
            <w:tcW w:w="2552" w:type="dxa"/>
            <w:vMerge w:val="restart"/>
          </w:tcPr>
          <w:p w14:paraId="0CA36DB4" w14:textId="245ED8E5" w:rsidR="00701DC3" w:rsidRPr="00916C59" w:rsidRDefault="00701DC3" w:rsidP="00916C59">
            <w:pPr>
              <w:pStyle w:val="Tabletext"/>
              <w:rPr>
                <w:rFonts w:eastAsia="Times New Roman" w:cs="Calibri"/>
                <w:b/>
                <w:color w:val="000000"/>
                <w:szCs w:val="20"/>
                <w:lang w:eastAsia="en-AU"/>
              </w:rPr>
            </w:pPr>
            <w:r w:rsidRPr="00916C59">
              <w:rPr>
                <w:b/>
                <w:bCs/>
              </w:rPr>
              <w:t>Currently report employment income to Centrelink</w:t>
            </w:r>
          </w:p>
        </w:tc>
        <w:tc>
          <w:tcPr>
            <w:tcW w:w="2835" w:type="dxa"/>
            <w:vAlign w:val="bottom"/>
          </w:tcPr>
          <w:p w14:paraId="74B4511A" w14:textId="219742B2" w:rsidR="00701DC3" w:rsidRPr="0095243C" w:rsidRDefault="00701DC3" w:rsidP="00916C59">
            <w:pPr>
              <w:pStyle w:val="Tabletext"/>
            </w:pPr>
            <w:r w:rsidRPr="0095243C">
              <w:t>Yes</w:t>
            </w:r>
          </w:p>
        </w:tc>
        <w:tc>
          <w:tcPr>
            <w:tcW w:w="1985" w:type="dxa"/>
            <w:vAlign w:val="bottom"/>
          </w:tcPr>
          <w:p w14:paraId="449853EC" w14:textId="1A9E42EF" w:rsidR="00701DC3" w:rsidRPr="0095243C" w:rsidRDefault="00701DC3" w:rsidP="00916C59">
            <w:pPr>
              <w:pStyle w:val="Tabletext"/>
            </w:pPr>
            <w:r w:rsidRPr="0095243C">
              <w:t>70%</w:t>
            </w:r>
          </w:p>
        </w:tc>
        <w:tc>
          <w:tcPr>
            <w:tcW w:w="1695" w:type="dxa"/>
            <w:vAlign w:val="bottom"/>
          </w:tcPr>
          <w:p w14:paraId="22D859C8" w14:textId="2B2F376E" w:rsidR="00701DC3" w:rsidRPr="0095243C" w:rsidRDefault="00701DC3" w:rsidP="00916C59">
            <w:pPr>
              <w:pStyle w:val="Tabletext"/>
            </w:pPr>
            <w:r w:rsidRPr="0095243C">
              <w:t>38</w:t>
            </w:r>
          </w:p>
        </w:tc>
      </w:tr>
      <w:tr w:rsidR="00701DC3" w:rsidRPr="003539FF" w14:paraId="60FAAAB7" w14:textId="77777777" w:rsidTr="002C321D">
        <w:tc>
          <w:tcPr>
            <w:tcW w:w="2552" w:type="dxa"/>
            <w:vMerge/>
          </w:tcPr>
          <w:p w14:paraId="4C9BDC4A" w14:textId="77777777" w:rsidR="00701DC3" w:rsidRPr="00916C59" w:rsidRDefault="00701DC3" w:rsidP="00916C59">
            <w:pPr>
              <w:pStyle w:val="Tabletext"/>
              <w:rPr>
                <w:rFonts w:eastAsia="Times New Roman" w:cs="Calibri"/>
                <w:b/>
                <w:color w:val="000000"/>
                <w:szCs w:val="20"/>
                <w:lang w:eastAsia="en-AU"/>
              </w:rPr>
            </w:pPr>
          </w:p>
        </w:tc>
        <w:tc>
          <w:tcPr>
            <w:tcW w:w="2835" w:type="dxa"/>
            <w:vAlign w:val="bottom"/>
          </w:tcPr>
          <w:p w14:paraId="125EDF7F" w14:textId="19419B20" w:rsidR="00701DC3" w:rsidRPr="0095243C" w:rsidRDefault="00701DC3" w:rsidP="00916C59">
            <w:pPr>
              <w:pStyle w:val="Tabletext"/>
            </w:pPr>
            <w:r w:rsidRPr="0095243C">
              <w:t>No</w:t>
            </w:r>
          </w:p>
        </w:tc>
        <w:tc>
          <w:tcPr>
            <w:tcW w:w="1985" w:type="dxa"/>
            <w:vAlign w:val="bottom"/>
          </w:tcPr>
          <w:p w14:paraId="5CB0D218" w14:textId="746813E5" w:rsidR="00701DC3" w:rsidRPr="0095243C" w:rsidRDefault="00701DC3" w:rsidP="00916C59">
            <w:pPr>
              <w:pStyle w:val="Tabletext"/>
            </w:pPr>
            <w:r w:rsidRPr="0095243C">
              <w:t>22%</w:t>
            </w:r>
          </w:p>
        </w:tc>
        <w:tc>
          <w:tcPr>
            <w:tcW w:w="1695" w:type="dxa"/>
            <w:vAlign w:val="bottom"/>
          </w:tcPr>
          <w:p w14:paraId="0678BD16" w14:textId="6A4CA9A5" w:rsidR="00701DC3" w:rsidRPr="0095243C" w:rsidRDefault="00701DC3" w:rsidP="00916C59">
            <w:pPr>
              <w:pStyle w:val="Tabletext"/>
            </w:pPr>
            <w:r w:rsidRPr="0095243C">
              <w:t>12</w:t>
            </w:r>
          </w:p>
        </w:tc>
      </w:tr>
      <w:tr w:rsidR="00701DC3" w:rsidRPr="003539FF" w14:paraId="2EB3A31C" w14:textId="77777777" w:rsidTr="002C321D">
        <w:tc>
          <w:tcPr>
            <w:tcW w:w="2552" w:type="dxa"/>
            <w:vMerge/>
          </w:tcPr>
          <w:p w14:paraId="0B741164" w14:textId="77777777" w:rsidR="00701DC3" w:rsidRPr="00916C59" w:rsidRDefault="00701DC3" w:rsidP="00916C59">
            <w:pPr>
              <w:pStyle w:val="Tabletext"/>
              <w:rPr>
                <w:rFonts w:eastAsia="Times New Roman" w:cs="Calibri"/>
                <w:b/>
                <w:color w:val="000000"/>
                <w:szCs w:val="20"/>
                <w:lang w:eastAsia="en-AU"/>
              </w:rPr>
            </w:pPr>
          </w:p>
        </w:tc>
        <w:tc>
          <w:tcPr>
            <w:tcW w:w="2835" w:type="dxa"/>
            <w:vAlign w:val="bottom"/>
          </w:tcPr>
          <w:p w14:paraId="7ECBD3CF" w14:textId="35CED1D5" w:rsidR="00701DC3" w:rsidRPr="0095243C" w:rsidRDefault="00701DC3" w:rsidP="00916C59">
            <w:pPr>
              <w:pStyle w:val="Tabletext"/>
            </w:pPr>
            <w:r w:rsidRPr="0095243C">
              <w:t>Not applicable</w:t>
            </w:r>
          </w:p>
        </w:tc>
        <w:tc>
          <w:tcPr>
            <w:tcW w:w="1985" w:type="dxa"/>
            <w:vAlign w:val="bottom"/>
          </w:tcPr>
          <w:p w14:paraId="6C89AC06" w14:textId="7C93D38A" w:rsidR="00701DC3" w:rsidRPr="0095243C" w:rsidRDefault="00701DC3" w:rsidP="00916C59">
            <w:pPr>
              <w:pStyle w:val="Tabletext"/>
            </w:pPr>
            <w:r w:rsidRPr="0095243C">
              <w:t>6%</w:t>
            </w:r>
          </w:p>
        </w:tc>
        <w:tc>
          <w:tcPr>
            <w:tcW w:w="1695" w:type="dxa"/>
            <w:vAlign w:val="bottom"/>
          </w:tcPr>
          <w:p w14:paraId="78995DE2" w14:textId="5735283A" w:rsidR="00701DC3" w:rsidRPr="0095243C" w:rsidRDefault="00701DC3" w:rsidP="00916C59">
            <w:pPr>
              <w:pStyle w:val="Tabletext"/>
            </w:pPr>
            <w:r w:rsidRPr="0095243C">
              <w:t>3</w:t>
            </w:r>
          </w:p>
        </w:tc>
      </w:tr>
      <w:tr w:rsidR="00701DC3" w:rsidRPr="003539FF" w14:paraId="3DD154D3" w14:textId="77777777" w:rsidTr="002C321D">
        <w:tc>
          <w:tcPr>
            <w:tcW w:w="2552" w:type="dxa"/>
            <w:vMerge/>
          </w:tcPr>
          <w:p w14:paraId="3C853453" w14:textId="77777777" w:rsidR="00701DC3" w:rsidRPr="00916C59" w:rsidRDefault="00701DC3" w:rsidP="00916C59">
            <w:pPr>
              <w:pStyle w:val="Tabletext"/>
              <w:rPr>
                <w:rFonts w:eastAsia="Times New Roman" w:cs="Calibri"/>
                <w:b/>
                <w:color w:val="000000"/>
                <w:szCs w:val="20"/>
                <w:lang w:eastAsia="en-AU"/>
              </w:rPr>
            </w:pPr>
          </w:p>
        </w:tc>
        <w:tc>
          <w:tcPr>
            <w:tcW w:w="2835" w:type="dxa"/>
            <w:vAlign w:val="bottom"/>
          </w:tcPr>
          <w:p w14:paraId="5D35351C" w14:textId="32F16FC2" w:rsidR="00701DC3" w:rsidRPr="0095243C" w:rsidRDefault="00701DC3" w:rsidP="00916C59">
            <w:pPr>
              <w:pStyle w:val="Tabletext"/>
            </w:pPr>
            <w:r w:rsidRPr="0095243C">
              <w:t>Prefer not to say</w:t>
            </w:r>
          </w:p>
        </w:tc>
        <w:tc>
          <w:tcPr>
            <w:tcW w:w="1985" w:type="dxa"/>
            <w:vAlign w:val="bottom"/>
          </w:tcPr>
          <w:p w14:paraId="5D434EA8" w14:textId="40E4C359" w:rsidR="00701DC3" w:rsidRPr="0095243C" w:rsidRDefault="00701DC3" w:rsidP="00916C59">
            <w:pPr>
              <w:pStyle w:val="Tabletext"/>
            </w:pPr>
            <w:r w:rsidRPr="0095243C">
              <w:t>2%</w:t>
            </w:r>
          </w:p>
        </w:tc>
        <w:tc>
          <w:tcPr>
            <w:tcW w:w="1695" w:type="dxa"/>
            <w:vAlign w:val="bottom"/>
          </w:tcPr>
          <w:p w14:paraId="7A2D7AEA" w14:textId="2D395E6A" w:rsidR="00701DC3" w:rsidRPr="0095243C" w:rsidRDefault="00701DC3" w:rsidP="00916C59">
            <w:pPr>
              <w:pStyle w:val="Tabletext"/>
            </w:pPr>
            <w:r w:rsidRPr="0095243C">
              <w:t>1</w:t>
            </w:r>
          </w:p>
        </w:tc>
      </w:tr>
      <w:tr w:rsidR="00E2340C" w:rsidRPr="003539FF" w14:paraId="3BB31F54" w14:textId="77777777" w:rsidTr="002C321D">
        <w:tc>
          <w:tcPr>
            <w:tcW w:w="2552" w:type="dxa"/>
            <w:vMerge w:val="restart"/>
          </w:tcPr>
          <w:p w14:paraId="186E41CF" w14:textId="666C210F" w:rsidR="00E2340C" w:rsidRPr="00916C59" w:rsidRDefault="00E2340C" w:rsidP="00916C59">
            <w:pPr>
              <w:pStyle w:val="Tabletext"/>
              <w:rPr>
                <w:rFonts w:eastAsia="Times New Roman" w:cs="Calibri"/>
                <w:b/>
                <w:color w:val="000000"/>
                <w:szCs w:val="20"/>
                <w:lang w:eastAsia="en-AU"/>
              </w:rPr>
            </w:pPr>
            <w:r w:rsidRPr="00916C59">
              <w:rPr>
                <w:b/>
                <w:bCs/>
              </w:rPr>
              <w:t>Payment</w:t>
            </w:r>
            <w:r w:rsidR="005649C5" w:rsidRPr="00916C59">
              <w:rPr>
                <w:b/>
                <w:bCs/>
              </w:rPr>
              <w:t>(</w:t>
            </w:r>
            <w:r w:rsidRPr="00916C59">
              <w:rPr>
                <w:b/>
                <w:bCs/>
              </w:rPr>
              <w:t>s</w:t>
            </w:r>
            <w:r w:rsidR="005649C5" w:rsidRPr="00916C59">
              <w:rPr>
                <w:b/>
                <w:bCs/>
              </w:rPr>
              <w:t>)</w:t>
            </w:r>
            <w:r w:rsidRPr="00916C59">
              <w:rPr>
                <w:b/>
                <w:bCs/>
              </w:rPr>
              <w:t xml:space="preserve"> currently received</w:t>
            </w:r>
          </w:p>
          <w:p w14:paraId="22AFF932" w14:textId="3C538230" w:rsidR="00E2340C" w:rsidRPr="00916C59" w:rsidRDefault="00E2340C" w:rsidP="00916C59">
            <w:pPr>
              <w:pStyle w:val="Tabletext"/>
              <w:rPr>
                <w:rFonts w:eastAsia="Times New Roman" w:cs="Calibri"/>
                <w:b/>
                <w:color w:val="000000"/>
                <w:szCs w:val="20"/>
                <w:lang w:eastAsia="en-AU"/>
              </w:rPr>
            </w:pPr>
          </w:p>
        </w:tc>
        <w:tc>
          <w:tcPr>
            <w:tcW w:w="2835" w:type="dxa"/>
            <w:vAlign w:val="bottom"/>
          </w:tcPr>
          <w:p w14:paraId="53F7C522" w14:textId="678FC68E" w:rsidR="00E2340C" w:rsidRPr="0095243C" w:rsidRDefault="00E2340C" w:rsidP="00916C59">
            <w:pPr>
              <w:pStyle w:val="Tabletext"/>
            </w:pPr>
            <w:r w:rsidRPr="0095243C">
              <w:t>Age Pension</w:t>
            </w:r>
          </w:p>
        </w:tc>
        <w:tc>
          <w:tcPr>
            <w:tcW w:w="1985" w:type="dxa"/>
            <w:vAlign w:val="bottom"/>
          </w:tcPr>
          <w:p w14:paraId="63529E9D" w14:textId="39033D0B" w:rsidR="00E2340C" w:rsidRPr="0095243C" w:rsidRDefault="00E2340C" w:rsidP="00916C59">
            <w:pPr>
              <w:pStyle w:val="Tabletext"/>
            </w:pPr>
            <w:r w:rsidRPr="0095243C">
              <w:t>6%</w:t>
            </w:r>
          </w:p>
        </w:tc>
        <w:tc>
          <w:tcPr>
            <w:tcW w:w="1695" w:type="dxa"/>
            <w:vAlign w:val="bottom"/>
          </w:tcPr>
          <w:p w14:paraId="739BD123" w14:textId="3F357E8E" w:rsidR="00E2340C" w:rsidRPr="0095243C" w:rsidRDefault="00E2340C" w:rsidP="00916C59">
            <w:pPr>
              <w:pStyle w:val="Tabletext"/>
            </w:pPr>
            <w:r w:rsidRPr="0095243C">
              <w:t>4</w:t>
            </w:r>
          </w:p>
        </w:tc>
      </w:tr>
      <w:tr w:rsidR="00E2340C" w:rsidRPr="003539FF" w14:paraId="3EBE0099" w14:textId="77777777" w:rsidTr="002C321D">
        <w:tc>
          <w:tcPr>
            <w:tcW w:w="2552" w:type="dxa"/>
            <w:vMerge/>
          </w:tcPr>
          <w:p w14:paraId="61C5BDD8" w14:textId="180D90A1" w:rsidR="00E2340C" w:rsidRPr="00916C59" w:rsidRDefault="00E2340C" w:rsidP="00916C59">
            <w:pPr>
              <w:pStyle w:val="Tabletext"/>
              <w:rPr>
                <w:rFonts w:eastAsia="Times New Roman" w:cs="Calibri"/>
                <w:b/>
                <w:color w:val="000000"/>
                <w:szCs w:val="20"/>
                <w:lang w:eastAsia="en-AU"/>
              </w:rPr>
            </w:pPr>
          </w:p>
        </w:tc>
        <w:tc>
          <w:tcPr>
            <w:tcW w:w="2835" w:type="dxa"/>
            <w:vAlign w:val="bottom"/>
          </w:tcPr>
          <w:p w14:paraId="7A10E99F" w14:textId="27C859C6" w:rsidR="00E2340C" w:rsidRPr="0095243C" w:rsidRDefault="00E2340C" w:rsidP="00916C59">
            <w:pPr>
              <w:pStyle w:val="Tabletext"/>
            </w:pPr>
            <w:r w:rsidRPr="0095243C">
              <w:t>Jobseeker</w:t>
            </w:r>
          </w:p>
        </w:tc>
        <w:tc>
          <w:tcPr>
            <w:tcW w:w="1985" w:type="dxa"/>
            <w:vAlign w:val="bottom"/>
          </w:tcPr>
          <w:p w14:paraId="75DF7703" w14:textId="51DFD3F9" w:rsidR="00E2340C" w:rsidRPr="0095243C" w:rsidRDefault="00E2340C" w:rsidP="00916C59">
            <w:pPr>
              <w:pStyle w:val="Tabletext"/>
            </w:pPr>
            <w:r w:rsidRPr="0095243C">
              <w:t>38%</w:t>
            </w:r>
          </w:p>
        </w:tc>
        <w:tc>
          <w:tcPr>
            <w:tcW w:w="1695" w:type="dxa"/>
            <w:vAlign w:val="bottom"/>
          </w:tcPr>
          <w:p w14:paraId="18E5B0D8" w14:textId="617614C6" w:rsidR="00E2340C" w:rsidRPr="0095243C" w:rsidRDefault="00E2340C" w:rsidP="00916C59">
            <w:pPr>
              <w:pStyle w:val="Tabletext"/>
            </w:pPr>
            <w:r w:rsidRPr="0095243C">
              <w:t>24</w:t>
            </w:r>
          </w:p>
        </w:tc>
      </w:tr>
      <w:tr w:rsidR="00E2340C" w:rsidRPr="003539FF" w14:paraId="29FCC5BB" w14:textId="77777777" w:rsidTr="002C321D">
        <w:tc>
          <w:tcPr>
            <w:tcW w:w="2552" w:type="dxa"/>
            <w:vMerge/>
          </w:tcPr>
          <w:p w14:paraId="1A29B4EB" w14:textId="5C7179A0" w:rsidR="00E2340C" w:rsidRPr="00916C59" w:rsidRDefault="00E2340C" w:rsidP="00916C59">
            <w:pPr>
              <w:pStyle w:val="Tabletext"/>
              <w:rPr>
                <w:rFonts w:eastAsia="Times New Roman" w:cs="Calibri"/>
                <w:b/>
                <w:color w:val="000000"/>
                <w:szCs w:val="20"/>
                <w:lang w:eastAsia="en-AU"/>
              </w:rPr>
            </w:pPr>
          </w:p>
        </w:tc>
        <w:tc>
          <w:tcPr>
            <w:tcW w:w="2835" w:type="dxa"/>
            <w:vAlign w:val="bottom"/>
          </w:tcPr>
          <w:p w14:paraId="4D0E4BD9" w14:textId="69D6E516" w:rsidR="00E2340C" w:rsidRPr="0095243C" w:rsidRDefault="00E2340C" w:rsidP="00916C59">
            <w:pPr>
              <w:pStyle w:val="Tabletext"/>
            </w:pPr>
            <w:r w:rsidRPr="0095243C">
              <w:t>Disability Support Pension</w:t>
            </w:r>
          </w:p>
        </w:tc>
        <w:tc>
          <w:tcPr>
            <w:tcW w:w="1985" w:type="dxa"/>
            <w:vAlign w:val="bottom"/>
          </w:tcPr>
          <w:p w14:paraId="3880B1AD" w14:textId="75B128BD" w:rsidR="00E2340C" w:rsidRPr="0095243C" w:rsidRDefault="00E2340C" w:rsidP="00916C59">
            <w:pPr>
              <w:pStyle w:val="Tabletext"/>
            </w:pPr>
            <w:r w:rsidRPr="0095243C">
              <w:t>13%</w:t>
            </w:r>
          </w:p>
        </w:tc>
        <w:tc>
          <w:tcPr>
            <w:tcW w:w="1695" w:type="dxa"/>
            <w:vAlign w:val="bottom"/>
          </w:tcPr>
          <w:p w14:paraId="3C2D1EA0" w14:textId="27281495" w:rsidR="00E2340C" w:rsidRPr="0095243C" w:rsidRDefault="00E2340C" w:rsidP="00916C59">
            <w:pPr>
              <w:pStyle w:val="Tabletext"/>
            </w:pPr>
            <w:r w:rsidRPr="0095243C">
              <w:t>8</w:t>
            </w:r>
          </w:p>
        </w:tc>
      </w:tr>
      <w:tr w:rsidR="00E2340C" w:rsidRPr="003539FF" w14:paraId="587E8AFC" w14:textId="77777777" w:rsidTr="002C321D">
        <w:tc>
          <w:tcPr>
            <w:tcW w:w="2552" w:type="dxa"/>
            <w:vMerge/>
          </w:tcPr>
          <w:p w14:paraId="613A5619" w14:textId="33619E53" w:rsidR="00E2340C" w:rsidRPr="00916C59" w:rsidRDefault="00E2340C" w:rsidP="00916C59">
            <w:pPr>
              <w:pStyle w:val="Tabletext"/>
              <w:rPr>
                <w:rFonts w:eastAsia="Times New Roman" w:cs="Calibri"/>
                <w:b/>
                <w:color w:val="000000"/>
                <w:szCs w:val="20"/>
                <w:lang w:eastAsia="en-AU"/>
              </w:rPr>
            </w:pPr>
          </w:p>
        </w:tc>
        <w:tc>
          <w:tcPr>
            <w:tcW w:w="2835" w:type="dxa"/>
            <w:vAlign w:val="bottom"/>
          </w:tcPr>
          <w:p w14:paraId="1605DBA5" w14:textId="70E028E4" w:rsidR="00E2340C" w:rsidRPr="0095243C" w:rsidRDefault="00E2340C" w:rsidP="00916C59">
            <w:pPr>
              <w:pStyle w:val="Tabletext"/>
            </w:pPr>
            <w:r w:rsidRPr="0095243C">
              <w:t>Carer Payment</w:t>
            </w:r>
          </w:p>
        </w:tc>
        <w:tc>
          <w:tcPr>
            <w:tcW w:w="1985" w:type="dxa"/>
            <w:vAlign w:val="bottom"/>
          </w:tcPr>
          <w:p w14:paraId="79C80541" w14:textId="71A6E53D" w:rsidR="00E2340C" w:rsidRPr="0095243C" w:rsidRDefault="00E2340C" w:rsidP="00916C59">
            <w:pPr>
              <w:pStyle w:val="Tabletext"/>
            </w:pPr>
            <w:r w:rsidRPr="0095243C">
              <w:t>19%</w:t>
            </w:r>
          </w:p>
        </w:tc>
        <w:tc>
          <w:tcPr>
            <w:tcW w:w="1695" w:type="dxa"/>
            <w:vAlign w:val="bottom"/>
          </w:tcPr>
          <w:p w14:paraId="097E9749" w14:textId="080354D8" w:rsidR="00E2340C" w:rsidRPr="0095243C" w:rsidRDefault="00E2340C" w:rsidP="00916C59">
            <w:pPr>
              <w:pStyle w:val="Tabletext"/>
            </w:pPr>
            <w:r w:rsidRPr="0095243C">
              <w:t>12</w:t>
            </w:r>
          </w:p>
        </w:tc>
      </w:tr>
      <w:tr w:rsidR="00E2340C" w:rsidRPr="003539FF" w14:paraId="7FF69C1B" w14:textId="77777777" w:rsidTr="002C321D">
        <w:tc>
          <w:tcPr>
            <w:tcW w:w="2552" w:type="dxa"/>
            <w:vMerge/>
          </w:tcPr>
          <w:p w14:paraId="09A6B99F" w14:textId="197B3808" w:rsidR="00E2340C" w:rsidRPr="00916C59" w:rsidRDefault="00E2340C" w:rsidP="00916C59">
            <w:pPr>
              <w:pStyle w:val="Tabletext"/>
              <w:rPr>
                <w:rFonts w:eastAsia="Times New Roman" w:cs="Calibri"/>
                <w:b/>
                <w:color w:val="000000"/>
                <w:szCs w:val="20"/>
                <w:lang w:eastAsia="en-AU"/>
              </w:rPr>
            </w:pPr>
          </w:p>
        </w:tc>
        <w:tc>
          <w:tcPr>
            <w:tcW w:w="2835" w:type="dxa"/>
            <w:vAlign w:val="bottom"/>
          </w:tcPr>
          <w:p w14:paraId="5C2BB498" w14:textId="1994359C" w:rsidR="00E2340C" w:rsidRPr="0095243C" w:rsidRDefault="00E2340C" w:rsidP="00916C59">
            <w:pPr>
              <w:pStyle w:val="Tabletext"/>
            </w:pPr>
            <w:r w:rsidRPr="0095243C">
              <w:t>Parenting Payment single or partnered</w:t>
            </w:r>
          </w:p>
        </w:tc>
        <w:tc>
          <w:tcPr>
            <w:tcW w:w="1985" w:type="dxa"/>
            <w:vAlign w:val="bottom"/>
          </w:tcPr>
          <w:p w14:paraId="13BC0F07" w14:textId="61113409" w:rsidR="00E2340C" w:rsidRPr="0095243C" w:rsidRDefault="00E2340C" w:rsidP="00916C59">
            <w:pPr>
              <w:pStyle w:val="Tabletext"/>
            </w:pPr>
            <w:r w:rsidRPr="0095243C">
              <w:t>6%</w:t>
            </w:r>
          </w:p>
        </w:tc>
        <w:tc>
          <w:tcPr>
            <w:tcW w:w="1695" w:type="dxa"/>
            <w:vAlign w:val="bottom"/>
          </w:tcPr>
          <w:p w14:paraId="309930EC" w14:textId="40A01F9F" w:rsidR="00E2340C" w:rsidRPr="0095243C" w:rsidRDefault="00E2340C" w:rsidP="00916C59">
            <w:pPr>
              <w:pStyle w:val="Tabletext"/>
            </w:pPr>
            <w:r w:rsidRPr="0095243C">
              <w:t>4</w:t>
            </w:r>
          </w:p>
        </w:tc>
      </w:tr>
      <w:tr w:rsidR="00E2340C" w:rsidRPr="003539FF" w14:paraId="6EDD5F9C" w14:textId="77777777" w:rsidTr="002C321D">
        <w:tc>
          <w:tcPr>
            <w:tcW w:w="2552" w:type="dxa"/>
            <w:vMerge/>
          </w:tcPr>
          <w:p w14:paraId="32CFB7DD" w14:textId="77777777" w:rsidR="00E2340C" w:rsidRPr="00916C59" w:rsidRDefault="00E2340C" w:rsidP="00916C59">
            <w:pPr>
              <w:pStyle w:val="Tabletext"/>
              <w:rPr>
                <w:rFonts w:eastAsia="Times New Roman" w:cs="Calibri"/>
                <w:b/>
                <w:color w:val="000000"/>
                <w:szCs w:val="20"/>
                <w:lang w:eastAsia="en-AU"/>
              </w:rPr>
            </w:pPr>
          </w:p>
        </w:tc>
        <w:tc>
          <w:tcPr>
            <w:tcW w:w="2835" w:type="dxa"/>
            <w:vAlign w:val="bottom"/>
          </w:tcPr>
          <w:p w14:paraId="65CD5D18" w14:textId="7CA3ADED" w:rsidR="00E2340C" w:rsidRPr="0095243C" w:rsidRDefault="00E2340C" w:rsidP="00916C59">
            <w:pPr>
              <w:pStyle w:val="Tabletext"/>
            </w:pPr>
            <w:r w:rsidRPr="0095243C">
              <w:t>Youth Allowance</w:t>
            </w:r>
          </w:p>
        </w:tc>
        <w:tc>
          <w:tcPr>
            <w:tcW w:w="1985" w:type="dxa"/>
            <w:vAlign w:val="bottom"/>
          </w:tcPr>
          <w:p w14:paraId="12794A52" w14:textId="769A588F" w:rsidR="00E2340C" w:rsidRPr="0095243C" w:rsidRDefault="00E2340C" w:rsidP="00916C59">
            <w:pPr>
              <w:pStyle w:val="Tabletext"/>
            </w:pPr>
            <w:r w:rsidRPr="0095243C">
              <w:t>3%</w:t>
            </w:r>
          </w:p>
        </w:tc>
        <w:tc>
          <w:tcPr>
            <w:tcW w:w="1695" w:type="dxa"/>
            <w:vAlign w:val="bottom"/>
          </w:tcPr>
          <w:p w14:paraId="5224F525" w14:textId="4D7A130E" w:rsidR="00E2340C" w:rsidRPr="0095243C" w:rsidRDefault="00E2340C" w:rsidP="00916C59">
            <w:pPr>
              <w:pStyle w:val="Tabletext"/>
            </w:pPr>
            <w:r w:rsidRPr="0095243C">
              <w:t>2</w:t>
            </w:r>
          </w:p>
        </w:tc>
      </w:tr>
      <w:tr w:rsidR="00CC0CF1" w:rsidRPr="003539FF" w14:paraId="68A04C2C" w14:textId="77777777" w:rsidTr="002C321D">
        <w:tc>
          <w:tcPr>
            <w:tcW w:w="2552" w:type="dxa"/>
            <w:vMerge w:val="restart"/>
          </w:tcPr>
          <w:p w14:paraId="225E9D46" w14:textId="5AF1F338" w:rsidR="00CC0CF1" w:rsidRPr="00916C59" w:rsidRDefault="00CC0CF1" w:rsidP="00916C59">
            <w:pPr>
              <w:pStyle w:val="Tabletext"/>
              <w:rPr>
                <w:rFonts w:eastAsia="Times New Roman" w:cs="Calibri"/>
                <w:b/>
                <w:color w:val="000000"/>
                <w:szCs w:val="20"/>
                <w:lang w:eastAsia="en-AU"/>
              </w:rPr>
            </w:pPr>
            <w:r w:rsidRPr="00916C59">
              <w:rPr>
                <w:rFonts w:eastAsia="Times New Roman" w:cs="Calibri"/>
                <w:b/>
                <w:color w:val="000000"/>
                <w:szCs w:val="20"/>
                <w:lang w:eastAsia="en-AU"/>
              </w:rPr>
              <w:t>Duration of payment (s) currently received</w:t>
            </w:r>
          </w:p>
        </w:tc>
        <w:tc>
          <w:tcPr>
            <w:tcW w:w="2835" w:type="dxa"/>
          </w:tcPr>
          <w:p w14:paraId="22C44B4A" w14:textId="6BEC5D83" w:rsidR="00CC0CF1" w:rsidRPr="0095243C" w:rsidRDefault="00CC0CF1" w:rsidP="00916C59">
            <w:pPr>
              <w:pStyle w:val="Tabletext"/>
            </w:pPr>
            <w:r w:rsidRPr="0095243C">
              <w:t>Under 5 years</w:t>
            </w:r>
          </w:p>
        </w:tc>
        <w:tc>
          <w:tcPr>
            <w:tcW w:w="1985" w:type="dxa"/>
            <w:vAlign w:val="bottom"/>
          </w:tcPr>
          <w:p w14:paraId="5F892CF3" w14:textId="1E5DF3DD" w:rsidR="00CC0CF1" w:rsidRPr="0095243C" w:rsidRDefault="00CC0CF1" w:rsidP="00916C59">
            <w:pPr>
              <w:pStyle w:val="Tabletext"/>
            </w:pPr>
            <w:r w:rsidRPr="0095243C">
              <w:t>58%</w:t>
            </w:r>
          </w:p>
        </w:tc>
        <w:tc>
          <w:tcPr>
            <w:tcW w:w="1695" w:type="dxa"/>
            <w:vAlign w:val="bottom"/>
          </w:tcPr>
          <w:p w14:paraId="2C8E42AA" w14:textId="4A0DF65B" w:rsidR="00CC0CF1" w:rsidRPr="0095243C" w:rsidRDefault="00CC0CF1" w:rsidP="00916C59">
            <w:pPr>
              <w:pStyle w:val="Tabletext"/>
            </w:pPr>
            <w:r w:rsidRPr="0095243C">
              <w:t>23</w:t>
            </w:r>
          </w:p>
        </w:tc>
      </w:tr>
      <w:tr w:rsidR="00CC0CF1" w:rsidRPr="003539FF" w14:paraId="2A27306E" w14:textId="77777777" w:rsidTr="002C321D">
        <w:tc>
          <w:tcPr>
            <w:tcW w:w="2552" w:type="dxa"/>
            <w:vMerge/>
          </w:tcPr>
          <w:p w14:paraId="68971AB5" w14:textId="77777777" w:rsidR="00CC0CF1" w:rsidRPr="00916C59" w:rsidRDefault="00CC0CF1" w:rsidP="00916C59">
            <w:pPr>
              <w:pStyle w:val="Tabletext"/>
              <w:rPr>
                <w:rFonts w:eastAsia="Times New Roman" w:cs="Calibri"/>
                <w:b/>
                <w:color w:val="000000"/>
                <w:szCs w:val="20"/>
                <w:lang w:eastAsia="en-AU"/>
              </w:rPr>
            </w:pPr>
          </w:p>
        </w:tc>
        <w:tc>
          <w:tcPr>
            <w:tcW w:w="2835" w:type="dxa"/>
          </w:tcPr>
          <w:p w14:paraId="07E89315" w14:textId="55F46AAC" w:rsidR="00CC0CF1" w:rsidRPr="0095243C" w:rsidRDefault="00CC0CF1" w:rsidP="00916C59">
            <w:pPr>
              <w:pStyle w:val="Tabletext"/>
            </w:pPr>
            <w:r w:rsidRPr="0095243C">
              <w:t>5-10 years</w:t>
            </w:r>
          </w:p>
        </w:tc>
        <w:tc>
          <w:tcPr>
            <w:tcW w:w="1985" w:type="dxa"/>
            <w:vAlign w:val="bottom"/>
          </w:tcPr>
          <w:p w14:paraId="005F53BD" w14:textId="5F298278" w:rsidR="00CC0CF1" w:rsidRPr="0095243C" w:rsidRDefault="00CC0CF1" w:rsidP="00916C59">
            <w:pPr>
              <w:pStyle w:val="Tabletext"/>
            </w:pPr>
            <w:r w:rsidRPr="0095243C">
              <w:t>28%</w:t>
            </w:r>
          </w:p>
        </w:tc>
        <w:tc>
          <w:tcPr>
            <w:tcW w:w="1695" w:type="dxa"/>
            <w:vAlign w:val="bottom"/>
          </w:tcPr>
          <w:p w14:paraId="641C3B98" w14:textId="6385A6BC" w:rsidR="00CC0CF1" w:rsidRPr="0095243C" w:rsidRDefault="00CC0CF1" w:rsidP="00916C59">
            <w:pPr>
              <w:pStyle w:val="Tabletext"/>
            </w:pPr>
            <w:r w:rsidRPr="0095243C">
              <w:t>11</w:t>
            </w:r>
          </w:p>
        </w:tc>
      </w:tr>
      <w:tr w:rsidR="00CC0CF1" w:rsidRPr="003539FF" w14:paraId="71B54551" w14:textId="77777777" w:rsidTr="002C321D">
        <w:tc>
          <w:tcPr>
            <w:tcW w:w="2552" w:type="dxa"/>
            <w:vMerge/>
          </w:tcPr>
          <w:p w14:paraId="3C79B7A4" w14:textId="77777777" w:rsidR="00CC0CF1" w:rsidRPr="00916C59" w:rsidRDefault="00CC0CF1" w:rsidP="00916C59">
            <w:pPr>
              <w:pStyle w:val="Tabletext"/>
              <w:rPr>
                <w:rFonts w:eastAsia="Times New Roman" w:cs="Calibri"/>
                <w:b/>
                <w:color w:val="000000"/>
                <w:szCs w:val="20"/>
                <w:lang w:eastAsia="en-AU"/>
              </w:rPr>
            </w:pPr>
          </w:p>
        </w:tc>
        <w:tc>
          <w:tcPr>
            <w:tcW w:w="2835" w:type="dxa"/>
          </w:tcPr>
          <w:p w14:paraId="2486D397" w14:textId="560C8394" w:rsidR="00CC0CF1" w:rsidRPr="0095243C" w:rsidRDefault="00CC0CF1" w:rsidP="00916C59">
            <w:pPr>
              <w:pStyle w:val="Tabletext"/>
            </w:pPr>
            <w:r w:rsidRPr="0095243C">
              <w:t>Over 10 years</w:t>
            </w:r>
          </w:p>
        </w:tc>
        <w:tc>
          <w:tcPr>
            <w:tcW w:w="1985" w:type="dxa"/>
            <w:vAlign w:val="bottom"/>
          </w:tcPr>
          <w:p w14:paraId="6370067E" w14:textId="3DCCE12D" w:rsidR="00CC0CF1" w:rsidRPr="0095243C" w:rsidRDefault="00CC0CF1" w:rsidP="00916C59">
            <w:pPr>
              <w:pStyle w:val="Tabletext"/>
            </w:pPr>
            <w:r w:rsidRPr="0095243C">
              <w:t>15%</w:t>
            </w:r>
          </w:p>
        </w:tc>
        <w:tc>
          <w:tcPr>
            <w:tcW w:w="1695" w:type="dxa"/>
            <w:vAlign w:val="bottom"/>
          </w:tcPr>
          <w:p w14:paraId="5BB60A48" w14:textId="7D914893" w:rsidR="00CC0CF1" w:rsidRPr="0095243C" w:rsidRDefault="00CC0CF1" w:rsidP="00916C59">
            <w:pPr>
              <w:pStyle w:val="Tabletext"/>
            </w:pPr>
            <w:r w:rsidRPr="0095243C">
              <w:t>6</w:t>
            </w:r>
          </w:p>
        </w:tc>
      </w:tr>
      <w:tr w:rsidR="0095243C" w:rsidRPr="003539FF" w14:paraId="5BB34A56" w14:textId="77777777" w:rsidTr="002C321D">
        <w:tc>
          <w:tcPr>
            <w:tcW w:w="2552" w:type="dxa"/>
            <w:vMerge w:val="restart"/>
          </w:tcPr>
          <w:p w14:paraId="3C51F081" w14:textId="6E39637A" w:rsidR="0095243C" w:rsidRPr="00916C59" w:rsidRDefault="0095243C" w:rsidP="00916C59">
            <w:pPr>
              <w:pStyle w:val="Tabletext"/>
              <w:rPr>
                <w:rFonts w:eastAsia="Times New Roman" w:cs="Calibri"/>
                <w:b/>
                <w:color w:val="000000"/>
                <w:szCs w:val="20"/>
                <w:lang w:eastAsia="en-AU"/>
              </w:rPr>
            </w:pPr>
            <w:r w:rsidRPr="00916C59">
              <w:rPr>
                <w:rFonts w:eastAsia="Times New Roman" w:cs="Calibri"/>
                <w:b/>
                <w:color w:val="000000"/>
                <w:szCs w:val="20"/>
                <w:lang w:eastAsia="en-AU"/>
              </w:rPr>
              <w:t>Frequency of payment from employer (if employed)</w:t>
            </w:r>
          </w:p>
        </w:tc>
        <w:tc>
          <w:tcPr>
            <w:tcW w:w="2835" w:type="dxa"/>
            <w:vAlign w:val="bottom"/>
          </w:tcPr>
          <w:p w14:paraId="2E846B54" w14:textId="1CBE7FCE" w:rsidR="0095243C" w:rsidRPr="0095243C" w:rsidRDefault="0095243C" w:rsidP="00916C59">
            <w:pPr>
              <w:pStyle w:val="Tabletext"/>
            </w:pPr>
            <w:r w:rsidRPr="0095243C">
              <w:t>Weekly</w:t>
            </w:r>
          </w:p>
        </w:tc>
        <w:tc>
          <w:tcPr>
            <w:tcW w:w="1985" w:type="dxa"/>
            <w:vAlign w:val="bottom"/>
          </w:tcPr>
          <w:p w14:paraId="29164B3C" w14:textId="5339B22A" w:rsidR="0095243C" w:rsidRPr="0095243C" w:rsidRDefault="0095243C" w:rsidP="00916C59">
            <w:pPr>
              <w:pStyle w:val="Tabletext"/>
            </w:pPr>
            <w:r w:rsidRPr="0095243C">
              <w:t>18%</w:t>
            </w:r>
          </w:p>
        </w:tc>
        <w:tc>
          <w:tcPr>
            <w:tcW w:w="1695" w:type="dxa"/>
            <w:vAlign w:val="bottom"/>
          </w:tcPr>
          <w:p w14:paraId="57510ED8" w14:textId="6774D52A" w:rsidR="0095243C" w:rsidRPr="0095243C" w:rsidRDefault="0095243C" w:rsidP="00916C59">
            <w:pPr>
              <w:pStyle w:val="Tabletext"/>
            </w:pPr>
            <w:r w:rsidRPr="0095243C">
              <w:t>6</w:t>
            </w:r>
          </w:p>
        </w:tc>
      </w:tr>
      <w:tr w:rsidR="0095243C" w:rsidRPr="003539FF" w14:paraId="3DA0F0CD" w14:textId="77777777" w:rsidTr="002C321D">
        <w:tc>
          <w:tcPr>
            <w:tcW w:w="2552" w:type="dxa"/>
            <w:vMerge/>
          </w:tcPr>
          <w:p w14:paraId="057E0160" w14:textId="77777777" w:rsidR="0095243C" w:rsidRPr="00DF53C8" w:rsidRDefault="0095243C" w:rsidP="0095243C">
            <w:pPr>
              <w:pStyle w:val="BodyText"/>
              <w:spacing w:before="60" w:after="60"/>
              <w:rPr>
                <w:rFonts w:eastAsia="Times New Roman" w:cs="Calibri"/>
                <w:b/>
                <w:bCs/>
                <w:color w:val="000000"/>
                <w:szCs w:val="20"/>
                <w:lang w:eastAsia="en-AU"/>
              </w:rPr>
            </w:pPr>
          </w:p>
        </w:tc>
        <w:tc>
          <w:tcPr>
            <w:tcW w:w="2835" w:type="dxa"/>
            <w:vAlign w:val="bottom"/>
          </w:tcPr>
          <w:p w14:paraId="4E076F14" w14:textId="08229948" w:rsidR="0095243C" w:rsidRPr="0095243C" w:rsidRDefault="0095243C" w:rsidP="00916C59">
            <w:pPr>
              <w:pStyle w:val="Tabletext"/>
            </w:pPr>
            <w:r w:rsidRPr="0095243C">
              <w:t>Fortnightly</w:t>
            </w:r>
          </w:p>
        </w:tc>
        <w:tc>
          <w:tcPr>
            <w:tcW w:w="1985" w:type="dxa"/>
            <w:vAlign w:val="bottom"/>
          </w:tcPr>
          <w:p w14:paraId="0E3D3CBE" w14:textId="325F1DA6" w:rsidR="0095243C" w:rsidRPr="0095243C" w:rsidRDefault="0095243C" w:rsidP="00916C59">
            <w:pPr>
              <w:pStyle w:val="Tabletext"/>
            </w:pPr>
            <w:r w:rsidRPr="0095243C">
              <w:t>68%</w:t>
            </w:r>
          </w:p>
        </w:tc>
        <w:tc>
          <w:tcPr>
            <w:tcW w:w="1695" w:type="dxa"/>
            <w:vAlign w:val="bottom"/>
          </w:tcPr>
          <w:p w14:paraId="5E4FFCC5" w14:textId="06012F84" w:rsidR="0095243C" w:rsidRPr="0095243C" w:rsidRDefault="0095243C" w:rsidP="00916C59">
            <w:pPr>
              <w:pStyle w:val="Tabletext"/>
            </w:pPr>
            <w:r w:rsidRPr="0095243C">
              <w:t>23</w:t>
            </w:r>
          </w:p>
        </w:tc>
      </w:tr>
      <w:tr w:rsidR="0095243C" w:rsidRPr="003539FF" w14:paraId="587496D4" w14:textId="77777777" w:rsidTr="002C321D">
        <w:tc>
          <w:tcPr>
            <w:tcW w:w="2552" w:type="dxa"/>
            <w:vMerge/>
          </w:tcPr>
          <w:p w14:paraId="2BB672F2" w14:textId="77777777" w:rsidR="0095243C" w:rsidRPr="00DF53C8" w:rsidRDefault="0095243C" w:rsidP="0095243C">
            <w:pPr>
              <w:pStyle w:val="BodyText"/>
              <w:spacing w:before="60" w:after="60"/>
              <w:rPr>
                <w:rFonts w:eastAsia="Times New Roman" w:cs="Calibri"/>
                <w:b/>
                <w:bCs/>
                <w:color w:val="000000"/>
                <w:szCs w:val="20"/>
                <w:lang w:eastAsia="en-AU"/>
              </w:rPr>
            </w:pPr>
          </w:p>
        </w:tc>
        <w:tc>
          <w:tcPr>
            <w:tcW w:w="2835" w:type="dxa"/>
            <w:vAlign w:val="bottom"/>
          </w:tcPr>
          <w:p w14:paraId="116468E3" w14:textId="768895FE" w:rsidR="0095243C" w:rsidRPr="0095243C" w:rsidRDefault="0095243C" w:rsidP="00916C59">
            <w:pPr>
              <w:pStyle w:val="Tabletext"/>
            </w:pPr>
            <w:r w:rsidRPr="0095243C">
              <w:t>Irregular / per contract</w:t>
            </w:r>
          </w:p>
        </w:tc>
        <w:tc>
          <w:tcPr>
            <w:tcW w:w="1985" w:type="dxa"/>
            <w:vAlign w:val="bottom"/>
          </w:tcPr>
          <w:p w14:paraId="54187E11" w14:textId="70EF3691" w:rsidR="0095243C" w:rsidRPr="0095243C" w:rsidRDefault="0095243C" w:rsidP="00916C59">
            <w:pPr>
              <w:pStyle w:val="Tabletext"/>
            </w:pPr>
            <w:r w:rsidRPr="0095243C">
              <w:t>9%</w:t>
            </w:r>
          </w:p>
        </w:tc>
        <w:tc>
          <w:tcPr>
            <w:tcW w:w="1695" w:type="dxa"/>
            <w:vAlign w:val="bottom"/>
          </w:tcPr>
          <w:p w14:paraId="4AA93575" w14:textId="240D5E46" w:rsidR="0095243C" w:rsidRPr="0095243C" w:rsidRDefault="0095243C" w:rsidP="00916C59">
            <w:pPr>
              <w:pStyle w:val="Tabletext"/>
            </w:pPr>
            <w:r w:rsidRPr="0095243C">
              <w:t>3</w:t>
            </w:r>
          </w:p>
        </w:tc>
      </w:tr>
      <w:tr w:rsidR="0095243C" w:rsidRPr="003539FF" w14:paraId="58F91FEB" w14:textId="77777777" w:rsidTr="002C321D">
        <w:tc>
          <w:tcPr>
            <w:tcW w:w="2552" w:type="dxa"/>
            <w:vMerge/>
          </w:tcPr>
          <w:p w14:paraId="54232CB5" w14:textId="77777777" w:rsidR="0095243C" w:rsidRPr="00DF53C8" w:rsidRDefault="0095243C" w:rsidP="0095243C">
            <w:pPr>
              <w:pStyle w:val="BodyText"/>
              <w:spacing w:before="60" w:after="60"/>
              <w:rPr>
                <w:rFonts w:eastAsia="Times New Roman" w:cs="Calibri"/>
                <w:b/>
                <w:bCs/>
                <w:color w:val="000000"/>
                <w:szCs w:val="20"/>
                <w:lang w:eastAsia="en-AU"/>
              </w:rPr>
            </w:pPr>
          </w:p>
        </w:tc>
        <w:tc>
          <w:tcPr>
            <w:tcW w:w="2835" w:type="dxa"/>
            <w:vAlign w:val="bottom"/>
          </w:tcPr>
          <w:p w14:paraId="64770480" w14:textId="2DEB716A" w:rsidR="0095243C" w:rsidRPr="0095243C" w:rsidRDefault="0095243C" w:rsidP="00916C59">
            <w:pPr>
              <w:pStyle w:val="Tabletext"/>
            </w:pPr>
            <w:r w:rsidRPr="0095243C">
              <w:t xml:space="preserve">Other </w:t>
            </w:r>
          </w:p>
        </w:tc>
        <w:tc>
          <w:tcPr>
            <w:tcW w:w="1985" w:type="dxa"/>
            <w:vAlign w:val="bottom"/>
          </w:tcPr>
          <w:p w14:paraId="44F4A028" w14:textId="379D1A89" w:rsidR="0095243C" w:rsidRPr="0095243C" w:rsidRDefault="0095243C" w:rsidP="00916C59">
            <w:pPr>
              <w:pStyle w:val="Tabletext"/>
            </w:pPr>
            <w:r w:rsidRPr="0095243C">
              <w:t>6%</w:t>
            </w:r>
          </w:p>
        </w:tc>
        <w:tc>
          <w:tcPr>
            <w:tcW w:w="1695" w:type="dxa"/>
            <w:vAlign w:val="bottom"/>
          </w:tcPr>
          <w:p w14:paraId="77B0E975" w14:textId="210FB87D" w:rsidR="0095243C" w:rsidRPr="0095243C" w:rsidRDefault="0095243C" w:rsidP="00916C59">
            <w:pPr>
              <w:pStyle w:val="Tabletext"/>
            </w:pPr>
            <w:r w:rsidRPr="0095243C">
              <w:t>2</w:t>
            </w:r>
          </w:p>
        </w:tc>
      </w:tr>
    </w:tbl>
    <w:p w14:paraId="304B6932" w14:textId="77777777" w:rsidR="00B3787B" w:rsidRPr="00B3787B" w:rsidRDefault="00B3787B" w:rsidP="00B3787B"/>
    <w:p w14:paraId="44C3098D" w14:textId="47E21390" w:rsidR="00B4792B" w:rsidRPr="00B4792B" w:rsidRDefault="00B4792B" w:rsidP="00B4792B">
      <w:pPr>
        <w:pStyle w:val="Caption"/>
        <w:rPr>
          <w:color w:val="auto"/>
        </w:rPr>
      </w:pPr>
      <w:bookmarkStart w:id="39" w:name="_Ref103942805"/>
      <w:r w:rsidRPr="00B4792B">
        <w:rPr>
          <w:color w:val="auto"/>
        </w:rPr>
        <w:t xml:space="preserve">Table </w:t>
      </w:r>
      <w:r w:rsidRPr="00B4792B">
        <w:rPr>
          <w:color w:val="auto"/>
        </w:rPr>
        <w:fldChar w:fldCharType="begin"/>
      </w:r>
      <w:r w:rsidRPr="00B4792B">
        <w:rPr>
          <w:color w:val="auto"/>
        </w:rPr>
        <w:instrText xml:space="preserve"> SEQ Table \* ARABIC </w:instrText>
      </w:r>
      <w:r w:rsidRPr="00B4792B">
        <w:rPr>
          <w:color w:val="auto"/>
        </w:rPr>
        <w:fldChar w:fldCharType="separate"/>
      </w:r>
      <w:r w:rsidR="009B630A">
        <w:rPr>
          <w:noProof/>
          <w:color w:val="auto"/>
        </w:rPr>
        <w:t>16</w:t>
      </w:r>
      <w:r w:rsidRPr="00B4792B">
        <w:rPr>
          <w:color w:val="auto"/>
        </w:rPr>
        <w:fldChar w:fldCharType="end"/>
      </w:r>
      <w:r w:rsidRPr="00B4792B">
        <w:rPr>
          <w:color w:val="auto"/>
        </w:rPr>
        <w:t>: Profile of external organisations consulted</w:t>
      </w:r>
      <w:bookmarkEnd w:id="39"/>
    </w:p>
    <w:p w14:paraId="4B97D829" w14:textId="62C899D9" w:rsidR="00586261" w:rsidRPr="00B4792B" w:rsidRDefault="00586261" w:rsidP="00B4792B">
      <w:pPr>
        <w:pStyle w:val="Caption"/>
        <w:rPr>
          <w:color w:val="auto"/>
        </w:rPr>
      </w:pPr>
      <w:r w:rsidRPr="00B4792B">
        <w:rPr>
          <w:color w:val="auto"/>
        </w:rPr>
        <w:t>Note: counts equal more than the total completes as questions allowed multiple responses.</w:t>
      </w:r>
    </w:p>
    <w:tbl>
      <w:tblPr>
        <w:tblStyle w:val="TableGrid"/>
        <w:tblW w:w="9072" w:type="dxa"/>
        <w:tblBorders>
          <w:top w:val="none" w:sz="0" w:space="0" w:color="auto"/>
          <w:left w:val="none" w:sz="0" w:space="0" w:color="auto"/>
          <w:bottom w:val="single" w:sz="4" w:space="0" w:color="44546A" w:themeColor="text2"/>
          <w:right w:val="none" w:sz="0" w:space="0" w:color="auto"/>
          <w:insideH w:val="single" w:sz="4" w:space="0" w:color="44546A" w:themeColor="text2"/>
          <w:insideV w:val="none" w:sz="0" w:space="0" w:color="auto"/>
        </w:tblBorders>
        <w:tblLook w:val="04A0" w:firstRow="1" w:lastRow="0" w:firstColumn="1" w:lastColumn="0" w:noHBand="0" w:noVBand="1"/>
        <w:tblCaption w:val="Table 17: Profile of external organisations consulted"/>
        <w:tblDescription w:val="Table 17 shows the profile of organisations that completed the organisation survey. The Table has 3 columns. Column 1 lists the different organisation profiles. Column 2 shows the subgroups of the organisation profiles. Column 3 show the number of total survey participants for each subgroup. "/>
      </w:tblPr>
      <w:tblGrid>
        <w:gridCol w:w="2895"/>
        <w:gridCol w:w="3768"/>
        <w:gridCol w:w="2409"/>
      </w:tblGrid>
      <w:tr w:rsidR="0029528F" w:rsidRPr="003539FF" w14:paraId="008A0BC5" w14:textId="77777777" w:rsidTr="002C321D">
        <w:trPr>
          <w:trHeight w:val="762"/>
          <w:tblHeader/>
        </w:trPr>
        <w:tc>
          <w:tcPr>
            <w:tcW w:w="2895" w:type="dxa"/>
          </w:tcPr>
          <w:p w14:paraId="0DED766E" w14:textId="320519F6" w:rsidR="0029528F" w:rsidRPr="00DF53C8" w:rsidRDefault="0029528F" w:rsidP="002C321D">
            <w:pPr>
              <w:pStyle w:val="Tableheading"/>
              <w:rPr>
                <w:lang w:eastAsia="en-AU"/>
              </w:rPr>
            </w:pPr>
            <w:r w:rsidRPr="00DF53C8">
              <w:rPr>
                <w:lang w:eastAsia="en-AU"/>
              </w:rPr>
              <w:t xml:space="preserve">Organisation </w:t>
            </w:r>
            <w:r w:rsidR="00866340">
              <w:rPr>
                <w:lang w:eastAsia="en-AU"/>
              </w:rPr>
              <w:t>profiler</w:t>
            </w:r>
          </w:p>
        </w:tc>
        <w:tc>
          <w:tcPr>
            <w:tcW w:w="3768" w:type="dxa"/>
          </w:tcPr>
          <w:p w14:paraId="0ACAD5C8" w14:textId="396A8B89" w:rsidR="0029528F" w:rsidRPr="00DF53C8" w:rsidRDefault="00866340" w:rsidP="002C321D">
            <w:pPr>
              <w:pStyle w:val="Tableheading"/>
              <w:rPr>
                <w:lang w:eastAsia="en-AU"/>
              </w:rPr>
            </w:pPr>
            <w:r>
              <w:rPr>
                <w:lang w:eastAsia="en-AU"/>
              </w:rPr>
              <w:t>Subgroup</w:t>
            </w:r>
          </w:p>
        </w:tc>
        <w:tc>
          <w:tcPr>
            <w:tcW w:w="2409" w:type="dxa"/>
          </w:tcPr>
          <w:p w14:paraId="69E5123B" w14:textId="2605DFCE" w:rsidR="0029528F" w:rsidRPr="00DF53C8" w:rsidRDefault="0029528F" w:rsidP="002C321D">
            <w:pPr>
              <w:pStyle w:val="Tableheading"/>
              <w:rPr>
                <w:lang w:eastAsia="en-AU"/>
              </w:rPr>
            </w:pPr>
            <w:r w:rsidRPr="00DF53C8">
              <w:rPr>
                <w:lang w:eastAsia="en-AU"/>
              </w:rPr>
              <w:t>Number of organisations surveyed (n=)</w:t>
            </w:r>
          </w:p>
        </w:tc>
      </w:tr>
      <w:tr w:rsidR="0029528F" w:rsidRPr="003539FF" w14:paraId="6A4F71D0" w14:textId="79FBD71E" w:rsidTr="002C321D">
        <w:trPr>
          <w:trHeight w:val="334"/>
        </w:trPr>
        <w:tc>
          <w:tcPr>
            <w:tcW w:w="2895" w:type="dxa"/>
            <w:vMerge w:val="restart"/>
          </w:tcPr>
          <w:p w14:paraId="47F85FB5" w14:textId="031CBC8C" w:rsidR="0029528F" w:rsidRPr="002C321D" w:rsidRDefault="0029528F" w:rsidP="002C321D">
            <w:pPr>
              <w:pStyle w:val="Tabletext"/>
              <w:rPr>
                <w:b/>
                <w:bCs/>
              </w:rPr>
            </w:pPr>
            <w:r w:rsidRPr="002C321D">
              <w:rPr>
                <w:b/>
                <w:bCs/>
              </w:rPr>
              <w:t>Organisation type</w:t>
            </w:r>
          </w:p>
        </w:tc>
        <w:tc>
          <w:tcPr>
            <w:tcW w:w="3768" w:type="dxa"/>
          </w:tcPr>
          <w:p w14:paraId="05AD7433" w14:textId="1057FFE1" w:rsidR="0029528F" w:rsidRPr="00DF53C8" w:rsidRDefault="00E03702" w:rsidP="002C321D">
            <w:pPr>
              <w:pStyle w:val="Tabletext"/>
              <w:rPr>
                <w:color w:val="000000" w:themeColor="text1"/>
                <w:szCs w:val="20"/>
              </w:rPr>
            </w:pPr>
            <w:r w:rsidRPr="00DF53C8">
              <w:rPr>
                <w:szCs w:val="20"/>
              </w:rPr>
              <w:t>Charitable organisation / not for profit / community group</w:t>
            </w:r>
          </w:p>
        </w:tc>
        <w:tc>
          <w:tcPr>
            <w:tcW w:w="2409" w:type="dxa"/>
          </w:tcPr>
          <w:p w14:paraId="4D789634" w14:textId="4749EE67" w:rsidR="0029528F" w:rsidRPr="00DF53C8" w:rsidRDefault="00E03702" w:rsidP="002C321D">
            <w:pPr>
              <w:pStyle w:val="Tabletext"/>
              <w:rPr>
                <w:szCs w:val="20"/>
              </w:rPr>
            </w:pPr>
            <w:r w:rsidRPr="00DF53C8">
              <w:rPr>
                <w:szCs w:val="20"/>
              </w:rPr>
              <w:t>6</w:t>
            </w:r>
          </w:p>
        </w:tc>
      </w:tr>
      <w:tr w:rsidR="0029528F" w:rsidRPr="003539FF" w14:paraId="6EEADC9B" w14:textId="1020AD75" w:rsidTr="002C321D">
        <w:trPr>
          <w:trHeight w:val="348"/>
        </w:trPr>
        <w:tc>
          <w:tcPr>
            <w:tcW w:w="2895" w:type="dxa"/>
            <w:vMerge/>
          </w:tcPr>
          <w:p w14:paraId="0A949A9D" w14:textId="77777777" w:rsidR="0029528F" w:rsidRPr="00DF53C8" w:rsidRDefault="0029528F" w:rsidP="00176F32">
            <w:pPr>
              <w:pStyle w:val="BodyText"/>
              <w:spacing w:before="60" w:after="60"/>
              <w:rPr>
                <w:b/>
                <w:bCs/>
                <w:color w:val="000000" w:themeColor="text1"/>
                <w:szCs w:val="20"/>
              </w:rPr>
            </w:pPr>
          </w:p>
        </w:tc>
        <w:tc>
          <w:tcPr>
            <w:tcW w:w="3768" w:type="dxa"/>
          </w:tcPr>
          <w:p w14:paraId="291A3EE0" w14:textId="039D234B" w:rsidR="0029528F" w:rsidRPr="00DF53C8" w:rsidRDefault="00E03702" w:rsidP="002C321D">
            <w:pPr>
              <w:pStyle w:val="Tabletext"/>
              <w:rPr>
                <w:szCs w:val="20"/>
              </w:rPr>
            </w:pPr>
            <w:r w:rsidRPr="00DF53C8">
              <w:rPr>
                <w:szCs w:val="20"/>
              </w:rPr>
              <w:t>Advocacy body / organisation</w:t>
            </w:r>
          </w:p>
        </w:tc>
        <w:tc>
          <w:tcPr>
            <w:tcW w:w="2409" w:type="dxa"/>
          </w:tcPr>
          <w:p w14:paraId="50AB24F0" w14:textId="355B04AD" w:rsidR="0029528F" w:rsidRPr="00DF53C8" w:rsidRDefault="00E03702" w:rsidP="002C321D">
            <w:pPr>
              <w:pStyle w:val="Tabletext"/>
              <w:rPr>
                <w:szCs w:val="20"/>
              </w:rPr>
            </w:pPr>
            <w:r w:rsidRPr="00DF53C8">
              <w:rPr>
                <w:szCs w:val="20"/>
              </w:rPr>
              <w:t>4</w:t>
            </w:r>
          </w:p>
        </w:tc>
      </w:tr>
      <w:tr w:rsidR="0029528F" w:rsidRPr="003539FF" w14:paraId="11EB6E10" w14:textId="5F4877B1" w:rsidTr="002C321D">
        <w:trPr>
          <w:trHeight w:val="348"/>
        </w:trPr>
        <w:tc>
          <w:tcPr>
            <w:tcW w:w="2895" w:type="dxa"/>
            <w:vMerge/>
          </w:tcPr>
          <w:p w14:paraId="535595E5" w14:textId="77777777" w:rsidR="0029528F" w:rsidRPr="00DF53C8" w:rsidRDefault="0029528F" w:rsidP="00176F32">
            <w:pPr>
              <w:pStyle w:val="BodyText"/>
              <w:spacing w:before="60" w:after="60"/>
              <w:rPr>
                <w:b/>
                <w:bCs/>
                <w:color w:val="000000" w:themeColor="text1"/>
                <w:szCs w:val="20"/>
              </w:rPr>
            </w:pPr>
          </w:p>
        </w:tc>
        <w:tc>
          <w:tcPr>
            <w:tcW w:w="3768" w:type="dxa"/>
          </w:tcPr>
          <w:p w14:paraId="71EFA720" w14:textId="7DA1D33A" w:rsidR="0029528F" w:rsidRPr="00DF53C8" w:rsidRDefault="00E03702" w:rsidP="002C321D">
            <w:pPr>
              <w:pStyle w:val="Tabletext"/>
              <w:rPr>
                <w:szCs w:val="20"/>
              </w:rPr>
            </w:pPr>
            <w:r w:rsidRPr="00DF53C8">
              <w:rPr>
                <w:szCs w:val="20"/>
              </w:rPr>
              <w:t>Peak / leadership / expert body</w:t>
            </w:r>
          </w:p>
        </w:tc>
        <w:tc>
          <w:tcPr>
            <w:tcW w:w="2409" w:type="dxa"/>
          </w:tcPr>
          <w:p w14:paraId="7A249E35" w14:textId="09E54DB0" w:rsidR="0029528F" w:rsidRPr="00DF53C8" w:rsidRDefault="00E03702" w:rsidP="002C321D">
            <w:pPr>
              <w:pStyle w:val="Tabletext"/>
              <w:rPr>
                <w:szCs w:val="20"/>
              </w:rPr>
            </w:pPr>
            <w:r w:rsidRPr="00DF53C8">
              <w:rPr>
                <w:szCs w:val="20"/>
              </w:rPr>
              <w:t>2</w:t>
            </w:r>
          </w:p>
        </w:tc>
      </w:tr>
      <w:tr w:rsidR="0029528F" w:rsidRPr="003539FF" w14:paraId="3B5CF2A8" w14:textId="68001B7C" w:rsidTr="002C321D">
        <w:trPr>
          <w:trHeight w:val="348"/>
        </w:trPr>
        <w:tc>
          <w:tcPr>
            <w:tcW w:w="2895" w:type="dxa"/>
            <w:vMerge/>
          </w:tcPr>
          <w:p w14:paraId="04CE15A1" w14:textId="77777777" w:rsidR="0029528F" w:rsidRPr="00DF53C8" w:rsidRDefault="0029528F" w:rsidP="00176F32">
            <w:pPr>
              <w:pStyle w:val="BodyText"/>
              <w:spacing w:before="60" w:after="60"/>
              <w:rPr>
                <w:b/>
                <w:bCs/>
                <w:color w:val="000000" w:themeColor="text1"/>
                <w:szCs w:val="20"/>
              </w:rPr>
            </w:pPr>
          </w:p>
        </w:tc>
        <w:tc>
          <w:tcPr>
            <w:tcW w:w="3768" w:type="dxa"/>
          </w:tcPr>
          <w:p w14:paraId="794A8854" w14:textId="1B0010D7" w:rsidR="0029528F" w:rsidRPr="00DF53C8" w:rsidRDefault="00E03702" w:rsidP="002C321D">
            <w:pPr>
              <w:pStyle w:val="Tabletext"/>
              <w:rPr>
                <w:color w:val="000000" w:themeColor="text1"/>
                <w:szCs w:val="20"/>
              </w:rPr>
            </w:pPr>
            <w:r w:rsidRPr="00DF53C8">
              <w:rPr>
                <w:szCs w:val="20"/>
              </w:rPr>
              <w:t>Social security employment provider</w:t>
            </w:r>
          </w:p>
        </w:tc>
        <w:tc>
          <w:tcPr>
            <w:tcW w:w="2409" w:type="dxa"/>
          </w:tcPr>
          <w:p w14:paraId="672B5B1B" w14:textId="4F1C67D8" w:rsidR="0029528F" w:rsidRPr="00DF53C8" w:rsidRDefault="00E03702" w:rsidP="002C321D">
            <w:pPr>
              <w:pStyle w:val="Tabletext"/>
              <w:rPr>
                <w:szCs w:val="20"/>
              </w:rPr>
            </w:pPr>
            <w:r w:rsidRPr="00DF53C8">
              <w:rPr>
                <w:szCs w:val="20"/>
              </w:rPr>
              <w:t>2</w:t>
            </w:r>
          </w:p>
        </w:tc>
      </w:tr>
      <w:tr w:rsidR="0029528F" w:rsidRPr="003539FF" w14:paraId="67C5EF0F" w14:textId="4EB9F81D" w:rsidTr="002C321D">
        <w:trPr>
          <w:trHeight w:val="348"/>
        </w:trPr>
        <w:tc>
          <w:tcPr>
            <w:tcW w:w="2895" w:type="dxa"/>
            <w:vMerge/>
          </w:tcPr>
          <w:p w14:paraId="77D5F669" w14:textId="77777777" w:rsidR="0029528F" w:rsidRPr="00DF53C8" w:rsidRDefault="0029528F" w:rsidP="00176F32">
            <w:pPr>
              <w:pStyle w:val="BodyText"/>
              <w:spacing w:before="60" w:after="60"/>
              <w:rPr>
                <w:b/>
                <w:bCs/>
                <w:color w:val="000000" w:themeColor="text1"/>
                <w:szCs w:val="20"/>
              </w:rPr>
            </w:pPr>
          </w:p>
        </w:tc>
        <w:tc>
          <w:tcPr>
            <w:tcW w:w="3768" w:type="dxa"/>
          </w:tcPr>
          <w:p w14:paraId="416556F6" w14:textId="6C92C120" w:rsidR="0029528F" w:rsidRPr="00DF53C8" w:rsidRDefault="00E03702" w:rsidP="002C321D">
            <w:pPr>
              <w:pStyle w:val="Tabletext"/>
              <w:rPr>
                <w:color w:val="000000" w:themeColor="text1"/>
                <w:szCs w:val="20"/>
              </w:rPr>
            </w:pPr>
            <w:r w:rsidRPr="00DF53C8">
              <w:rPr>
                <w:szCs w:val="20"/>
              </w:rPr>
              <w:t>Social security legal counsel provider</w:t>
            </w:r>
          </w:p>
        </w:tc>
        <w:tc>
          <w:tcPr>
            <w:tcW w:w="2409" w:type="dxa"/>
          </w:tcPr>
          <w:p w14:paraId="4F7043EE" w14:textId="61EDE160" w:rsidR="0029528F" w:rsidRPr="00DF53C8" w:rsidRDefault="00E03702" w:rsidP="002C321D">
            <w:pPr>
              <w:pStyle w:val="Tabletext"/>
              <w:rPr>
                <w:szCs w:val="20"/>
              </w:rPr>
            </w:pPr>
            <w:r w:rsidRPr="00DF53C8">
              <w:rPr>
                <w:szCs w:val="20"/>
              </w:rPr>
              <w:t>1</w:t>
            </w:r>
          </w:p>
        </w:tc>
      </w:tr>
      <w:tr w:rsidR="00DF53C8" w:rsidRPr="003539FF" w14:paraId="5E3A1885" w14:textId="2DC5FA84" w:rsidTr="002C321D">
        <w:trPr>
          <w:trHeight w:val="334"/>
        </w:trPr>
        <w:tc>
          <w:tcPr>
            <w:tcW w:w="2895" w:type="dxa"/>
            <w:vMerge w:val="restart"/>
          </w:tcPr>
          <w:p w14:paraId="00398C2F" w14:textId="62DA1313" w:rsidR="00DF53C8" w:rsidRPr="00DF53C8" w:rsidRDefault="0064228B" w:rsidP="002C321D">
            <w:pPr>
              <w:pStyle w:val="Tabletext"/>
              <w:rPr>
                <w:rFonts w:eastAsia="Times New Roman" w:cs="Calibri"/>
                <w:b/>
                <w:bCs/>
                <w:color w:val="000000"/>
                <w:szCs w:val="20"/>
                <w:lang w:eastAsia="en-AU"/>
              </w:rPr>
            </w:pPr>
            <w:r w:rsidRPr="002C321D">
              <w:rPr>
                <w:b/>
                <w:bCs/>
              </w:rPr>
              <w:t>Payment relevant to services offered by organisation</w:t>
            </w:r>
          </w:p>
        </w:tc>
        <w:tc>
          <w:tcPr>
            <w:tcW w:w="3768" w:type="dxa"/>
          </w:tcPr>
          <w:p w14:paraId="66D04027" w14:textId="384E02EB" w:rsidR="00DF53C8" w:rsidRPr="00DF53C8" w:rsidRDefault="00DF53C8" w:rsidP="002C321D">
            <w:pPr>
              <w:pStyle w:val="Tabletext"/>
              <w:rPr>
                <w:rFonts w:eastAsia="Times New Roman"/>
                <w:lang w:eastAsia="en-AU"/>
              </w:rPr>
            </w:pPr>
            <w:r w:rsidRPr="00DF53C8">
              <w:t>Disability Support Pension</w:t>
            </w:r>
          </w:p>
        </w:tc>
        <w:tc>
          <w:tcPr>
            <w:tcW w:w="2409" w:type="dxa"/>
            <w:vAlign w:val="bottom"/>
          </w:tcPr>
          <w:p w14:paraId="1F286050" w14:textId="4B606FB5" w:rsidR="00DF53C8" w:rsidRPr="00DF53C8" w:rsidRDefault="00DF53C8" w:rsidP="002C321D">
            <w:pPr>
              <w:pStyle w:val="Tabletext"/>
              <w:rPr>
                <w:szCs w:val="20"/>
              </w:rPr>
            </w:pPr>
            <w:r w:rsidRPr="00DF53C8">
              <w:t>8</w:t>
            </w:r>
          </w:p>
        </w:tc>
      </w:tr>
      <w:tr w:rsidR="00DF53C8" w:rsidRPr="003539FF" w14:paraId="71AF38A8" w14:textId="273DA1EC" w:rsidTr="002C321D">
        <w:trPr>
          <w:trHeight w:val="348"/>
        </w:trPr>
        <w:tc>
          <w:tcPr>
            <w:tcW w:w="2895" w:type="dxa"/>
            <w:vMerge/>
          </w:tcPr>
          <w:p w14:paraId="75CB85EC"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1E34FBDE" w14:textId="5C0A25A3" w:rsidR="00DF53C8" w:rsidRPr="00DF53C8" w:rsidRDefault="00DF53C8" w:rsidP="002C321D">
            <w:pPr>
              <w:pStyle w:val="Tabletext"/>
              <w:rPr>
                <w:rFonts w:eastAsia="Times New Roman"/>
                <w:lang w:eastAsia="en-AU"/>
              </w:rPr>
            </w:pPr>
            <w:r w:rsidRPr="00DF53C8">
              <w:t>Jobseeker</w:t>
            </w:r>
          </w:p>
        </w:tc>
        <w:tc>
          <w:tcPr>
            <w:tcW w:w="2409" w:type="dxa"/>
            <w:vAlign w:val="bottom"/>
          </w:tcPr>
          <w:p w14:paraId="0279A85D" w14:textId="4DAA56B5" w:rsidR="00DF53C8" w:rsidRPr="00DF53C8" w:rsidRDefault="00DF53C8" w:rsidP="002C321D">
            <w:pPr>
              <w:pStyle w:val="Tabletext"/>
              <w:rPr>
                <w:szCs w:val="20"/>
              </w:rPr>
            </w:pPr>
            <w:r w:rsidRPr="00DF53C8">
              <w:t>5</w:t>
            </w:r>
          </w:p>
        </w:tc>
      </w:tr>
      <w:tr w:rsidR="00DF53C8" w:rsidRPr="003539FF" w14:paraId="2277D5BD" w14:textId="1732A06D" w:rsidTr="002C321D">
        <w:trPr>
          <w:trHeight w:val="348"/>
        </w:trPr>
        <w:tc>
          <w:tcPr>
            <w:tcW w:w="2895" w:type="dxa"/>
            <w:vMerge/>
          </w:tcPr>
          <w:p w14:paraId="6A1D6A08"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6C15FC2A" w14:textId="175CC7E2" w:rsidR="00DF53C8" w:rsidRPr="00DF53C8" w:rsidRDefault="00DF53C8" w:rsidP="002C321D">
            <w:pPr>
              <w:pStyle w:val="Tabletext"/>
              <w:rPr>
                <w:rFonts w:eastAsia="Times New Roman"/>
                <w:szCs w:val="20"/>
                <w:lang w:eastAsia="en-AU"/>
              </w:rPr>
            </w:pPr>
            <w:r w:rsidRPr="00DF53C8">
              <w:rPr>
                <w:szCs w:val="20"/>
              </w:rPr>
              <w:t>Youth Allowance</w:t>
            </w:r>
          </w:p>
        </w:tc>
        <w:tc>
          <w:tcPr>
            <w:tcW w:w="2409" w:type="dxa"/>
            <w:vAlign w:val="bottom"/>
          </w:tcPr>
          <w:p w14:paraId="0C4136DD" w14:textId="1ACD436F" w:rsidR="00DF53C8" w:rsidRPr="00DF53C8" w:rsidRDefault="00DF53C8" w:rsidP="002C321D">
            <w:pPr>
              <w:pStyle w:val="Tabletext"/>
              <w:rPr>
                <w:szCs w:val="20"/>
              </w:rPr>
            </w:pPr>
            <w:r w:rsidRPr="00DF53C8">
              <w:rPr>
                <w:szCs w:val="20"/>
              </w:rPr>
              <w:t>6</w:t>
            </w:r>
          </w:p>
        </w:tc>
      </w:tr>
      <w:tr w:rsidR="00DF53C8" w:rsidRPr="003539FF" w14:paraId="2F8D1266" w14:textId="190C8648" w:rsidTr="002C321D">
        <w:trPr>
          <w:trHeight w:val="360"/>
        </w:trPr>
        <w:tc>
          <w:tcPr>
            <w:tcW w:w="2895" w:type="dxa"/>
            <w:vMerge/>
          </w:tcPr>
          <w:p w14:paraId="6A4F7E83"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1D28568D" w14:textId="353FAFF1" w:rsidR="00DF53C8" w:rsidRPr="00DF53C8" w:rsidRDefault="00DF53C8" w:rsidP="002C321D">
            <w:pPr>
              <w:pStyle w:val="Tabletext"/>
              <w:rPr>
                <w:rFonts w:eastAsia="Times New Roman"/>
                <w:szCs w:val="20"/>
                <w:lang w:eastAsia="en-AU"/>
              </w:rPr>
            </w:pPr>
            <w:r w:rsidRPr="00DF53C8">
              <w:rPr>
                <w:szCs w:val="20"/>
              </w:rPr>
              <w:t>Special Benefit</w:t>
            </w:r>
          </w:p>
        </w:tc>
        <w:tc>
          <w:tcPr>
            <w:tcW w:w="2409" w:type="dxa"/>
            <w:vAlign w:val="bottom"/>
          </w:tcPr>
          <w:p w14:paraId="1088481C" w14:textId="4FA0BF75" w:rsidR="00DF53C8" w:rsidRPr="00DF53C8" w:rsidRDefault="00DF53C8" w:rsidP="002C321D">
            <w:pPr>
              <w:pStyle w:val="Tabletext"/>
              <w:rPr>
                <w:szCs w:val="20"/>
              </w:rPr>
            </w:pPr>
            <w:r w:rsidRPr="00DF53C8">
              <w:rPr>
                <w:szCs w:val="20"/>
              </w:rPr>
              <w:t>5</w:t>
            </w:r>
          </w:p>
        </w:tc>
      </w:tr>
      <w:tr w:rsidR="00DF53C8" w:rsidRPr="003539FF" w14:paraId="03C2AD19" w14:textId="7EB9B2D0" w:rsidTr="002C321D">
        <w:trPr>
          <w:trHeight w:val="348"/>
        </w:trPr>
        <w:tc>
          <w:tcPr>
            <w:tcW w:w="2895" w:type="dxa"/>
            <w:vMerge/>
          </w:tcPr>
          <w:p w14:paraId="5207AF37"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12633A5D" w14:textId="62C79028" w:rsidR="00DF53C8" w:rsidRPr="00DF53C8" w:rsidRDefault="00DF53C8" w:rsidP="002C321D">
            <w:pPr>
              <w:pStyle w:val="Tabletext"/>
              <w:rPr>
                <w:rFonts w:eastAsia="Times New Roman"/>
                <w:szCs w:val="20"/>
                <w:lang w:eastAsia="en-AU"/>
              </w:rPr>
            </w:pPr>
            <w:r w:rsidRPr="00DF53C8">
              <w:rPr>
                <w:szCs w:val="20"/>
              </w:rPr>
              <w:t>ABSTUDY</w:t>
            </w:r>
          </w:p>
        </w:tc>
        <w:tc>
          <w:tcPr>
            <w:tcW w:w="2409" w:type="dxa"/>
            <w:vAlign w:val="bottom"/>
          </w:tcPr>
          <w:p w14:paraId="350DCC2D" w14:textId="64DDC5F1" w:rsidR="00DF53C8" w:rsidRPr="00DF53C8" w:rsidRDefault="00DF53C8" w:rsidP="002C321D">
            <w:pPr>
              <w:pStyle w:val="Tabletext"/>
              <w:rPr>
                <w:szCs w:val="20"/>
              </w:rPr>
            </w:pPr>
            <w:r w:rsidRPr="00DF53C8">
              <w:rPr>
                <w:szCs w:val="20"/>
              </w:rPr>
              <w:t>5</w:t>
            </w:r>
          </w:p>
        </w:tc>
      </w:tr>
      <w:tr w:rsidR="00DF53C8" w:rsidRPr="003539FF" w14:paraId="38BA7B3B" w14:textId="571DD883" w:rsidTr="002C321D">
        <w:trPr>
          <w:trHeight w:val="348"/>
        </w:trPr>
        <w:tc>
          <w:tcPr>
            <w:tcW w:w="2895" w:type="dxa"/>
            <w:vMerge/>
          </w:tcPr>
          <w:p w14:paraId="5E774B1B"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489C8C2D" w14:textId="7DB6A527" w:rsidR="00DF53C8" w:rsidRPr="00DF53C8" w:rsidRDefault="00DF53C8" w:rsidP="002C321D">
            <w:pPr>
              <w:pStyle w:val="Tabletext"/>
              <w:rPr>
                <w:rFonts w:eastAsia="Times New Roman"/>
                <w:szCs w:val="20"/>
                <w:lang w:eastAsia="en-AU"/>
              </w:rPr>
            </w:pPr>
            <w:r w:rsidRPr="00DF53C8">
              <w:rPr>
                <w:szCs w:val="20"/>
              </w:rPr>
              <w:t>Carer Payment</w:t>
            </w:r>
          </w:p>
        </w:tc>
        <w:tc>
          <w:tcPr>
            <w:tcW w:w="2409" w:type="dxa"/>
            <w:vAlign w:val="bottom"/>
          </w:tcPr>
          <w:p w14:paraId="2F08106D" w14:textId="2AFF919C" w:rsidR="00DF53C8" w:rsidRPr="00DF53C8" w:rsidRDefault="00DF53C8" w:rsidP="002C321D">
            <w:pPr>
              <w:pStyle w:val="Tabletext"/>
              <w:rPr>
                <w:rFonts w:eastAsia="Times New Roman"/>
                <w:szCs w:val="20"/>
                <w:lang w:eastAsia="en-AU"/>
              </w:rPr>
            </w:pPr>
            <w:r w:rsidRPr="00DF53C8">
              <w:rPr>
                <w:szCs w:val="20"/>
              </w:rPr>
              <w:t>4</w:t>
            </w:r>
          </w:p>
        </w:tc>
      </w:tr>
      <w:tr w:rsidR="00DF53C8" w:rsidRPr="003539FF" w14:paraId="0D7956A7" w14:textId="3F8A2B38" w:rsidTr="002C321D">
        <w:trPr>
          <w:trHeight w:val="348"/>
        </w:trPr>
        <w:tc>
          <w:tcPr>
            <w:tcW w:w="2895" w:type="dxa"/>
            <w:vMerge/>
          </w:tcPr>
          <w:p w14:paraId="65165AF3"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025B8E93" w14:textId="164FC6AB" w:rsidR="00DF53C8" w:rsidRPr="00DF53C8" w:rsidRDefault="00DF53C8" w:rsidP="002C321D">
            <w:pPr>
              <w:pStyle w:val="Tabletext"/>
              <w:rPr>
                <w:rFonts w:eastAsia="Times New Roman"/>
                <w:szCs w:val="20"/>
                <w:lang w:eastAsia="en-AU"/>
              </w:rPr>
            </w:pPr>
            <w:r w:rsidRPr="00DF53C8">
              <w:rPr>
                <w:szCs w:val="20"/>
              </w:rPr>
              <w:t>Parenting Payment (single or partnered)</w:t>
            </w:r>
          </w:p>
        </w:tc>
        <w:tc>
          <w:tcPr>
            <w:tcW w:w="2409" w:type="dxa"/>
            <w:vAlign w:val="bottom"/>
          </w:tcPr>
          <w:p w14:paraId="32A8E14E" w14:textId="2981C618" w:rsidR="00DF53C8" w:rsidRPr="00DF53C8" w:rsidRDefault="00DF53C8" w:rsidP="002C321D">
            <w:pPr>
              <w:pStyle w:val="Tabletext"/>
              <w:rPr>
                <w:szCs w:val="20"/>
              </w:rPr>
            </w:pPr>
            <w:r w:rsidRPr="00DF53C8">
              <w:rPr>
                <w:szCs w:val="20"/>
              </w:rPr>
              <w:t>4</w:t>
            </w:r>
          </w:p>
        </w:tc>
      </w:tr>
      <w:tr w:rsidR="00DF53C8" w:rsidRPr="003539FF" w14:paraId="46B7D7A6" w14:textId="776880AB" w:rsidTr="002C321D">
        <w:trPr>
          <w:trHeight w:val="348"/>
        </w:trPr>
        <w:tc>
          <w:tcPr>
            <w:tcW w:w="2895" w:type="dxa"/>
            <w:vMerge/>
          </w:tcPr>
          <w:p w14:paraId="02FDEF75"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515BB83D" w14:textId="19DD701D" w:rsidR="00DF53C8" w:rsidRPr="00DF53C8" w:rsidRDefault="00DF53C8" w:rsidP="002C321D">
            <w:pPr>
              <w:pStyle w:val="Tabletext"/>
              <w:rPr>
                <w:rFonts w:eastAsia="Times New Roman"/>
                <w:szCs w:val="20"/>
                <w:lang w:eastAsia="en-AU"/>
              </w:rPr>
            </w:pPr>
            <w:r w:rsidRPr="00DF53C8">
              <w:rPr>
                <w:szCs w:val="20"/>
              </w:rPr>
              <w:t>Age Pension</w:t>
            </w:r>
          </w:p>
        </w:tc>
        <w:tc>
          <w:tcPr>
            <w:tcW w:w="2409" w:type="dxa"/>
            <w:vAlign w:val="bottom"/>
          </w:tcPr>
          <w:p w14:paraId="7F1D105C" w14:textId="729957F0" w:rsidR="00DF53C8" w:rsidRPr="00DF53C8" w:rsidRDefault="00DF53C8" w:rsidP="002C321D">
            <w:pPr>
              <w:pStyle w:val="Tabletext"/>
              <w:rPr>
                <w:szCs w:val="20"/>
              </w:rPr>
            </w:pPr>
            <w:r w:rsidRPr="00DF53C8">
              <w:rPr>
                <w:szCs w:val="20"/>
              </w:rPr>
              <w:t>3</w:t>
            </w:r>
          </w:p>
        </w:tc>
      </w:tr>
      <w:tr w:rsidR="00DF53C8" w:rsidRPr="003539FF" w14:paraId="037ED2F4" w14:textId="3979ADAF" w:rsidTr="002C321D">
        <w:trPr>
          <w:trHeight w:val="334"/>
        </w:trPr>
        <w:tc>
          <w:tcPr>
            <w:tcW w:w="2895" w:type="dxa"/>
            <w:vMerge/>
          </w:tcPr>
          <w:p w14:paraId="15D8CCD4" w14:textId="01E1955A"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255686D1" w14:textId="61128B20" w:rsidR="00DF53C8" w:rsidRPr="00DF53C8" w:rsidRDefault="00DF53C8" w:rsidP="002C321D">
            <w:pPr>
              <w:pStyle w:val="Tabletext"/>
              <w:rPr>
                <w:color w:val="000000" w:themeColor="text1"/>
                <w:szCs w:val="20"/>
              </w:rPr>
            </w:pPr>
            <w:r w:rsidRPr="00DF53C8">
              <w:rPr>
                <w:szCs w:val="20"/>
              </w:rPr>
              <w:t>Austudy</w:t>
            </w:r>
          </w:p>
        </w:tc>
        <w:tc>
          <w:tcPr>
            <w:tcW w:w="2409" w:type="dxa"/>
            <w:vAlign w:val="bottom"/>
          </w:tcPr>
          <w:p w14:paraId="0C08F02A" w14:textId="7FCF8E7D" w:rsidR="00DF53C8" w:rsidRPr="00DF53C8" w:rsidRDefault="00DF53C8" w:rsidP="002C321D">
            <w:pPr>
              <w:pStyle w:val="Tabletext"/>
              <w:rPr>
                <w:szCs w:val="20"/>
              </w:rPr>
            </w:pPr>
            <w:r w:rsidRPr="00DF53C8">
              <w:rPr>
                <w:szCs w:val="20"/>
              </w:rPr>
              <w:t>4</w:t>
            </w:r>
          </w:p>
        </w:tc>
      </w:tr>
      <w:tr w:rsidR="00DF53C8" w:rsidRPr="003539FF" w14:paraId="46084A0C" w14:textId="035253D0" w:rsidTr="002C321D">
        <w:trPr>
          <w:trHeight w:val="348"/>
        </w:trPr>
        <w:tc>
          <w:tcPr>
            <w:tcW w:w="2895" w:type="dxa"/>
            <w:vMerge/>
          </w:tcPr>
          <w:p w14:paraId="336F7D25"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5E177C4C" w14:textId="0C799DDE" w:rsidR="00DF53C8" w:rsidRPr="00DF53C8" w:rsidRDefault="00DF53C8" w:rsidP="002C321D">
            <w:pPr>
              <w:pStyle w:val="Tabletext"/>
              <w:rPr>
                <w:color w:val="000000" w:themeColor="text1"/>
                <w:szCs w:val="20"/>
              </w:rPr>
            </w:pPr>
            <w:r w:rsidRPr="00DF53C8">
              <w:rPr>
                <w:szCs w:val="20"/>
              </w:rPr>
              <w:t>Partner Allowance</w:t>
            </w:r>
          </w:p>
        </w:tc>
        <w:tc>
          <w:tcPr>
            <w:tcW w:w="2409" w:type="dxa"/>
            <w:vAlign w:val="bottom"/>
          </w:tcPr>
          <w:p w14:paraId="086607B1" w14:textId="589A5ECC" w:rsidR="00DF53C8" w:rsidRPr="00DF53C8" w:rsidRDefault="00DF53C8" w:rsidP="002C321D">
            <w:pPr>
              <w:pStyle w:val="Tabletext"/>
              <w:rPr>
                <w:szCs w:val="20"/>
              </w:rPr>
            </w:pPr>
            <w:r w:rsidRPr="00DF53C8">
              <w:rPr>
                <w:szCs w:val="20"/>
              </w:rPr>
              <w:t>2</w:t>
            </w:r>
          </w:p>
        </w:tc>
      </w:tr>
      <w:tr w:rsidR="00DF53C8" w:rsidRPr="003539FF" w14:paraId="2B547FB9" w14:textId="73222A8A" w:rsidTr="002C321D">
        <w:trPr>
          <w:trHeight w:val="348"/>
        </w:trPr>
        <w:tc>
          <w:tcPr>
            <w:tcW w:w="2895" w:type="dxa"/>
            <w:vMerge/>
          </w:tcPr>
          <w:p w14:paraId="470D916A"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078C458A" w14:textId="1D48DCD5" w:rsidR="00DF53C8" w:rsidRPr="00DF53C8" w:rsidRDefault="00DF53C8" w:rsidP="002C321D">
            <w:pPr>
              <w:pStyle w:val="Tabletext"/>
              <w:rPr>
                <w:color w:val="000000" w:themeColor="text1"/>
                <w:szCs w:val="20"/>
              </w:rPr>
            </w:pPr>
            <w:r w:rsidRPr="00DF53C8">
              <w:rPr>
                <w:szCs w:val="20"/>
              </w:rPr>
              <w:t>Widow Allowance</w:t>
            </w:r>
          </w:p>
        </w:tc>
        <w:tc>
          <w:tcPr>
            <w:tcW w:w="2409" w:type="dxa"/>
            <w:vAlign w:val="bottom"/>
          </w:tcPr>
          <w:p w14:paraId="00C6E04E" w14:textId="3533AF06" w:rsidR="00DF53C8" w:rsidRPr="00DF53C8" w:rsidRDefault="00DF53C8" w:rsidP="002C321D">
            <w:pPr>
              <w:pStyle w:val="Tabletext"/>
              <w:rPr>
                <w:szCs w:val="20"/>
              </w:rPr>
            </w:pPr>
            <w:r w:rsidRPr="00DF53C8">
              <w:rPr>
                <w:szCs w:val="20"/>
              </w:rPr>
              <w:t>2</w:t>
            </w:r>
          </w:p>
        </w:tc>
      </w:tr>
      <w:tr w:rsidR="00DF53C8" w:rsidRPr="003539FF" w14:paraId="7EA45C0D" w14:textId="1130873F" w:rsidTr="002C321D">
        <w:trPr>
          <w:trHeight w:val="348"/>
        </w:trPr>
        <w:tc>
          <w:tcPr>
            <w:tcW w:w="2895" w:type="dxa"/>
            <w:vMerge/>
          </w:tcPr>
          <w:p w14:paraId="63B4A5B6"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tcPr>
          <w:p w14:paraId="43D5DDA2" w14:textId="01EA5AC5" w:rsidR="00DF53C8" w:rsidRPr="00DF53C8" w:rsidRDefault="00DF53C8" w:rsidP="002C321D">
            <w:pPr>
              <w:pStyle w:val="Tabletext"/>
              <w:rPr>
                <w:color w:val="000000" w:themeColor="text1"/>
                <w:szCs w:val="20"/>
              </w:rPr>
            </w:pPr>
            <w:r w:rsidRPr="00DF53C8">
              <w:rPr>
                <w:szCs w:val="20"/>
              </w:rPr>
              <w:t>Status Resolution Support Services</w:t>
            </w:r>
          </w:p>
        </w:tc>
        <w:tc>
          <w:tcPr>
            <w:tcW w:w="2409" w:type="dxa"/>
            <w:vAlign w:val="bottom"/>
          </w:tcPr>
          <w:p w14:paraId="0DC1325D" w14:textId="1ACE36C6" w:rsidR="00DF53C8" w:rsidRPr="00DF53C8" w:rsidRDefault="00DF53C8" w:rsidP="002C321D">
            <w:pPr>
              <w:pStyle w:val="Tabletext"/>
              <w:rPr>
                <w:szCs w:val="20"/>
              </w:rPr>
            </w:pPr>
            <w:r w:rsidRPr="00DF53C8">
              <w:rPr>
                <w:szCs w:val="20"/>
              </w:rPr>
              <w:t>1</w:t>
            </w:r>
          </w:p>
        </w:tc>
      </w:tr>
      <w:tr w:rsidR="00DF53C8" w:rsidRPr="003539FF" w14:paraId="2B3CB132" w14:textId="71875886" w:rsidTr="002C321D">
        <w:trPr>
          <w:trHeight w:val="334"/>
        </w:trPr>
        <w:tc>
          <w:tcPr>
            <w:tcW w:w="2895" w:type="dxa"/>
            <w:vMerge w:val="restart"/>
          </w:tcPr>
          <w:p w14:paraId="08BE5588" w14:textId="6698C6BF" w:rsidR="00DF53C8" w:rsidRPr="002C321D" w:rsidRDefault="00DF53C8" w:rsidP="002C321D">
            <w:pPr>
              <w:pStyle w:val="Tabletext"/>
              <w:rPr>
                <w:rFonts w:eastAsia="Times New Roman" w:cs="Calibri"/>
                <w:b/>
                <w:color w:val="000000"/>
                <w:szCs w:val="20"/>
                <w:lang w:eastAsia="en-AU"/>
              </w:rPr>
            </w:pPr>
            <w:r w:rsidRPr="002C321D">
              <w:rPr>
                <w:b/>
                <w:bCs/>
              </w:rPr>
              <w:t>State in which organisation has a presence</w:t>
            </w:r>
          </w:p>
          <w:p w14:paraId="026C5484" w14:textId="0E0D881F" w:rsidR="00DF53C8" w:rsidRPr="002C321D" w:rsidRDefault="00DF53C8" w:rsidP="002C321D">
            <w:pPr>
              <w:pStyle w:val="Tabletext"/>
              <w:rPr>
                <w:rFonts w:eastAsia="Times New Roman" w:cs="Calibri"/>
                <w:b/>
                <w:color w:val="000000"/>
                <w:szCs w:val="20"/>
                <w:lang w:eastAsia="en-AU"/>
              </w:rPr>
            </w:pPr>
          </w:p>
        </w:tc>
        <w:tc>
          <w:tcPr>
            <w:tcW w:w="3768" w:type="dxa"/>
          </w:tcPr>
          <w:p w14:paraId="1B5BC90D" w14:textId="382BD4F8" w:rsidR="00DF53C8" w:rsidRPr="00DF53C8" w:rsidRDefault="00DF53C8" w:rsidP="002C321D">
            <w:pPr>
              <w:pStyle w:val="Tabletext"/>
              <w:rPr>
                <w:color w:val="000000" w:themeColor="text1"/>
                <w:szCs w:val="20"/>
              </w:rPr>
            </w:pPr>
            <w:r w:rsidRPr="00DF53C8">
              <w:rPr>
                <w:szCs w:val="20"/>
              </w:rPr>
              <w:t>Nationally</w:t>
            </w:r>
          </w:p>
        </w:tc>
        <w:tc>
          <w:tcPr>
            <w:tcW w:w="2409" w:type="dxa"/>
          </w:tcPr>
          <w:p w14:paraId="705C0B61" w14:textId="49471D19" w:rsidR="00DF53C8" w:rsidRPr="00DF53C8" w:rsidRDefault="00DF53C8" w:rsidP="002C321D">
            <w:pPr>
              <w:pStyle w:val="Tabletext"/>
              <w:rPr>
                <w:szCs w:val="20"/>
              </w:rPr>
            </w:pPr>
            <w:r w:rsidRPr="00DF53C8">
              <w:rPr>
                <w:szCs w:val="20"/>
              </w:rPr>
              <w:t>1</w:t>
            </w:r>
            <w:r w:rsidRPr="00DF53C8">
              <w:rPr>
                <w:rFonts w:ascii="Times New Roman" w:hAnsi="Times New Roman" w:cs="Times New Roman"/>
                <w:szCs w:val="20"/>
              </w:rPr>
              <w:t>     </w:t>
            </w:r>
          </w:p>
        </w:tc>
      </w:tr>
      <w:tr w:rsidR="00DF53C8" w:rsidRPr="003539FF" w14:paraId="61DECFBC" w14:textId="54A311B8" w:rsidTr="002C321D">
        <w:trPr>
          <w:trHeight w:val="348"/>
        </w:trPr>
        <w:tc>
          <w:tcPr>
            <w:tcW w:w="2895" w:type="dxa"/>
            <w:vMerge/>
          </w:tcPr>
          <w:p w14:paraId="52668ADA" w14:textId="77777777" w:rsidR="00DF53C8" w:rsidRPr="002C321D" w:rsidRDefault="00DF53C8" w:rsidP="002C321D">
            <w:pPr>
              <w:pStyle w:val="Tabletext"/>
              <w:rPr>
                <w:rFonts w:eastAsia="Times New Roman" w:cs="Calibri"/>
                <w:b/>
                <w:color w:val="000000"/>
                <w:szCs w:val="20"/>
                <w:lang w:eastAsia="en-AU"/>
              </w:rPr>
            </w:pPr>
          </w:p>
        </w:tc>
        <w:tc>
          <w:tcPr>
            <w:tcW w:w="3768" w:type="dxa"/>
          </w:tcPr>
          <w:p w14:paraId="2FE0E5DB" w14:textId="0496016B" w:rsidR="00DF53C8" w:rsidRPr="00DF53C8" w:rsidRDefault="00DF53C8" w:rsidP="002C321D">
            <w:pPr>
              <w:pStyle w:val="Tabletext"/>
              <w:rPr>
                <w:color w:val="000000" w:themeColor="text1"/>
                <w:szCs w:val="20"/>
              </w:rPr>
            </w:pPr>
            <w:r w:rsidRPr="00DF53C8">
              <w:rPr>
                <w:szCs w:val="20"/>
              </w:rPr>
              <w:t>NSW</w:t>
            </w:r>
          </w:p>
        </w:tc>
        <w:tc>
          <w:tcPr>
            <w:tcW w:w="2409" w:type="dxa"/>
          </w:tcPr>
          <w:p w14:paraId="0EEBA813" w14:textId="634A6BF8" w:rsidR="00DF53C8" w:rsidRPr="00DF53C8" w:rsidRDefault="00DF53C8" w:rsidP="002C321D">
            <w:pPr>
              <w:pStyle w:val="Tabletext"/>
              <w:rPr>
                <w:szCs w:val="20"/>
              </w:rPr>
            </w:pPr>
            <w:r w:rsidRPr="00DF53C8">
              <w:rPr>
                <w:szCs w:val="20"/>
              </w:rPr>
              <w:t>5</w:t>
            </w:r>
            <w:r w:rsidRPr="00DF53C8">
              <w:rPr>
                <w:rFonts w:ascii="Times New Roman" w:hAnsi="Times New Roman" w:cs="Times New Roman"/>
                <w:szCs w:val="20"/>
              </w:rPr>
              <w:t>  </w:t>
            </w:r>
          </w:p>
        </w:tc>
      </w:tr>
      <w:tr w:rsidR="00DF53C8" w:rsidRPr="003539FF" w14:paraId="0A5ABC40" w14:textId="09511AF4" w:rsidTr="002C321D">
        <w:trPr>
          <w:trHeight w:val="348"/>
        </w:trPr>
        <w:tc>
          <w:tcPr>
            <w:tcW w:w="2895" w:type="dxa"/>
            <w:vMerge/>
          </w:tcPr>
          <w:p w14:paraId="3BD43C95" w14:textId="77777777" w:rsidR="00DF53C8" w:rsidRPr="002C321D" w:rsidRDefault="00DF53C8" w:rsidP="002C321D">
            <w:pPr>
              <w:pStyle w:val="Tabletext"/>
              <w:rPr>
                <w:rFonts w:eastAsia="Times New Roman" w:cs="Calibri"/>
                <w:b/>
                <w:color w:val="000000"/>
                <w:szCs w:val="20"/>
                <w:lang w:eastAsia="en-AU"/>
              </w:rPr>
            </w:pPr>
          </w:p>
        </w:tc>
        <w:tc>
          <w:tcPr>
            <w:tcW w:w="3768" w:type="dxa"/>
          </w:tcPr>
          <w:p w14:paraId="21851A9D" w14:textId="09C118C0" w:rsidR="00DF53C8" w:rsidRPr="00DF53C8" w:rsidRDefault="00DF53C8" w:rsidP="002C321D">
            <w:pPr>
              <w:pStyle w:val="Tabletext"/>
              <w:rPr>
                <w:color w:val="000000" w:themeColor="text1"/>
                <w:szCs w:val="20"/>
              </w:rPr>
            </w:pPr>
            <w:r w:rsidRPr="00DF53C8">
              <w:rPr>
                <w:szCs w:val="20"/>
              </w:rPr>
              <w:t>VIC</w:t>
            </w:r>
          </w:p>
        </w:tc>
        <w:tc>
          <w:tcPr>
            <w:tcW w:w="2409" w:type="dxa"/>
          </w:tcPr>
          <w:p w14:paraId="0783C1E2" w14:textId="6AAABC02" w:rsidR="00DF53C8" w:rsidRPr="00DF53C8" w:rsidRDefault="00DF53C8" w:rsidP="002C321D">
            <w:pPr>
              <w:pStyle w:val="Tabletext"/>
              <w:rPr>
                <w:szCs w:val="20"/>
              </w:rPr>
            </w:pPr>
            <w:r w:rsidRPr="00DF53C8">
              <w:rPr>
                <w:szCs w:val="20"/>
              </w:rPr>
              <w:t>2</w:t>
            </w:r>
            <w:r w:rsidRPr="00DF53C8">
              <w:rPr>
                <w:rFonts w:ascii="Times New Roman" w:hAnsi="Times New Roman" w:cs="Times New Roman"/>
                <w:szCs w:val="20"/>
              </w:rPr>
              <w:t> </w:t>
            </w:r>
          </w:p>
        </w:tc>
      </w:tr>
      <w:tr w:rsidR="00DF53C8" w:rsidRPr="003539FF" w14:paraId="71EAC0A2" w14:textId="6A8E6A05" w:rsidTr="002C321D">
        <w:trPr>
          <w:trHeight w:val="348"/>
        </w:trPr>
        <w:tc>
          <w:tcPr>
            <w:tcW w:w="2895" w:type="dxa"/>
            <w:vMerge/>
          </w:tcPr>
          <w:p w14:paraId="55F4941A" w14:textId="77777777" w:rsidR="00DF53C8" w:rsidRPr="002C321D" w:rsidRDefault="00DF53C8" w:rsidP="002C321D">
            <w:pPr>
              <w:pStyle w:val="Tabletext"/>
              <w:rPr>
                <w:rFonts w:eastAsia="Times New Roman" w:cs="Calibri"/>
                <w:b/>
                <w:color w:val="000000"/>
                <w:szCs w:val="20"/>
                <w:lang w:eastAsia="en-AU"/>
              </w:rPr>
            </w:pPr>
          </w:p>
        </w:tc>
        <w:tc>
          <w:tcPr>
            <w:tcW w:w="3768" w:type="dxa"/>
          </w:tcPr>
          <w:p w14:paraId="19948624" w14:textId="4FDF3E0A" w:rsidR="00DF53C8" w:rsidRPr="00DF53C8" w:rsidRDefault="00DF53C8" w:rsidP="002C321D">
            <w:pPr>
              <w:pStyle w:val="Tabletext"/>
              <w:rPr>
                <w:color w:val="000000" w:themeColor="text1"/>
                <w:szCs w:val="20"/>
              </w:rPr>
            </w:pPr>
            <w:r w:rsidRPr="00DF53C8">
              <w:rPr>
                <w:szCs w:val="20"/>
              </w:rPr>
              <w:t>WA</w:t>
            </w:r>
          </w:p>
        </w:tc>
        <w:tc>
          <w:tcPr>
            <w:tcW w:w="2409" w:type="dxa"/>
          </w:tcPr>
          <w:p w14:paraId="7486241F" w14:textId="5D3EE63E" w:rsidR="00DF53C8" w:rsidRPr="00DF53C8" w:rsidRDefault="00DF53C8" w:rsidP="002C321D">
            <w:pPr>
              <w:pStyle w:val="Tabletext"/>
              <w:rPr>
                <w:szCs w:val="20"/>
              </w:rPr>
            </w:pPr>
            <w:r w:rsidRPr="00DF53C8">
              <w:rPr>
                <w:szCs w:val="20"/>
              </w:rPr>
              <w:t>2</w:t>
            </w:r>
            <w:r w:rsidRPr="00DF53C8">
              <w:rPr>
                <w:rFonts w:ascii="Times New Roman" w:hAnsi="Times New Roman" w:cs="Times New Roman"/>
                <w:szCs w:val="20"/>
              </w:rPr>
              <w:t>  </w:t>
            </w:r>
          </w:p>
        </w:tc>
      </w:tr>
      <w:tr w:rsidR="00DF53C8" w:rsidRPr="003539FF" w14:paraId="6BCD78CC" w14:textId="02914CAB" w:rsidTr="002C321D">
        <w:trPr>
          <w:trHeight w:val="334"/>
        </w:trPr>
        <w:tc>
          <w:tcPr>
            <w:tcW w:w="2895" w:type="dxa"/>
            <w:vMerge/>
          </w:tcPr>
          <w:p w14:paraId="55ECF179" w14:textId="6E5457E1" w:rsidR="00DF53C8" w:rsidRPr="002C321D" w:rsidRDefault="00DF53C8" w:rsidP="002C321D">
            <w:pPr>
              <w:pStyle w:val="Tabletext"/>
              <w:rPr>
                <w:rFonts w:eastAsia="Times New Roman" w:cs="Calibri"/>
                <w:b/>
                <w:color w:val="000000"/>
                <w:szCs w:val="20"/>
                <w:lang w:eastAsia="en-AU"/>
              </w:rPr>
            </w:pPr>
          </w:p>
        </w:tc>
        <w:tc>
          <w:tcPr>
            <w:tcW w:w="3768" w:type="dxa"/>
          </w:tcPr>
          <w:p w14:paraId="62477E84" w14:textId="425BD9A1" w:rsidR="00DF53C8" w:rsidRPr="00DF53C8" w:rsidRDefault="00DF53C8" w:rsidP="002C321D">
            <w:pPr>
              <w:pStyle w:val="Tabletext"/>
              <w:rPr>
                <w:color w:val="000000" w:themeColor="text1"/>
                <w:szCs w:val="20"/>
              </w:rPr>
            </w:pPr>
            <w:r w:rsidRPr="00DF53C8">
              <w:rPr>
                <w:szCs w:val="20"/>
              </w:rPr>
              <w:t>QLD</w:t>
            </w:r>
          </w:p>
        </w:tc>
        <w:tc>
          <w:tcPr>
            <w:tcW w:w="2409" w:type="dxa"/>
          </w:tcPr>
          <w:p w14:paraId="1B36F598" w14:textId="0F308730" w:rsidR="00DF53C8" w:rsidRPr="00DF53C8" w:rsidRDefault="00DF53C8" w:rsidP="002C321D">
            <w:pPr>
              <w:pStyle w:val="Tabletext"/>
              <w:rPr>
                <w:szCs w:val="20"/>
              </w:rPr>
            </w:pPr>
            <w:r w:rsidRPr="00DF53C8">
              <w:rPr>
                <w:szCs w:val="20"/>
              </w:rPr>
              <w:t>1</w:t>
            </w:r>
          </w:p>
        </w:tc>
      </w:tr>
      <w:tr w:rsidR="00DF53C8" w:rsidRPr="003539FF" w14:paraId="4FB1C3E7" w14:textId="7BD5FA1A" w:rsidTr="002C321D">
        <w:trPr>
          <w:trHeight w:val="348"/>
        </w:trPr>
        <w:tc>
          <w:tcPr>
            <w:tcW w:w="2895" w:type="dxa"/>
            <w:vMerge/>
          </w:tcPr>
          <w:p w14:paraId="44A02B10" w14:textId="77777777" w:rsidR="00DF53C8" w:rsidRPr="002C321D" w:rsidRDefault="00DF53C8" w:rsidP="002C321D">
            <w:pPr>
              <w:pStyle w:val="Tabletext"/>
              <w:rPr>
                <w:rFonts w:eastAsia="Times New Roman" w:cs="Calibri"/>
                <w:b/>
                <w:color w:val="000000"/>
                <w:szCs w:val="20"/>
                <w:lang w:eastAsia="en-AU"/>
              </w:rPr>
            </w:pPr>
          </w:p>
        </w:tc>
        <w:tc>
          <w:tcPr>
            <w:tcW w:w="3768" w:type="dxa"/>
          </w:tcPr>
          <w:p w14:paraId="7D8E1B14" w14:textId="58B8C0B7" w:rsidR="00DF53C8" w:rsidRPr="00DF53C8" w:rsidRDefault="00DF53C8" w:rsidP="002C321D">
            <w:pPr>
              <w:pStyle w:val="Tabletext"/>
              <w:rPr>
                <w:color w:val="000000" w:themeColor="text1"/>
                <w:szCs w:val="20"/>
              </w:rPr>
            </w:pPr>
            <w:r w:rsidRPr="00DF53C8">
              <w:rPr>
                <w:szCs w:val="20"/>
              </w:rPr>
              <w:t>SA</w:t>
            </w:r>
          </w:p>
        </w:tc>
        <w:tc>
          <w:tcPr>
            <w:tcW w:w="2409" w:type="dxa"/>
          </w:tcPr>
          <w:p w14:paraId="5AE8C3A3" w14:textId="0E62CDEE" w:rsidR="00DF53C8" w:rsidRPr="00DF53C8" w:rsidRDefault="00DF53C8" w:rsidP="002C321D">
            <w:pPr>
              <w:pStyle w:val="Tabletext"/>
              <w:rPr>
                <w:szCs w:val="20"/>
              </w:rPr>
            </w:pPr>
            <w:r w:rsidRPr="00DF53C8">
              <w:rPr>
                <w:szCs w:val="20"/>
              </w:rPr>
              <w:t>1</w:t>
            </w:r>
            <w:r w:rsidRPr="00DF53C8">
              <w:rPr>
                <w:rFonts w:ascii="Times New Roman" w:hAnsi="Times New Roman" w:cs="Times New Roman"/>
                <w:szCs w:val="20"/>
              </w:rPr>
              <w:t> </w:t>
            </w:r>
          </w:p>
        </w:tc>
      </w:tr>
      <w:tr w:rsidR="00DF53C8" w:rsidRPr="00DF53C8" w14:paraId="640B8096" w14:textId="77777777" w:rsidTr="002C321D">
        <w:trPr>
          <w:trHeight w:val="348"/>
        </w:trPr>
        <w:tc>
          <w:tcPr>
            <w:tcW w:w="2895" w:type="dxa"/>
            <w:vMerge w:val="restart"/>
          </w:tcPr>
          <w:p w14:paraId="53DA16F3" w14:textId="4102DF31" w:rsidR="00DF53C8" w:rsidRPr="002C321D" w:rsidRDefault="00DF53C8" w:rsidP="002C321D">
            <w:pPr>
              <w:pStyle w:val="Tabletext"/>
              <w:rPr>
                <w:rFonts w:eastAsia="Times New Roman" w:cs="Calibri"/>
                <w:b/>
                <w:color w:val="000000"/>
                <w:szCs w:val="20"/>
                <w:lang w:eastAsia="en-AU"/>
              </w:rPr>
            </w:pPr>
            <w:r w:rsidRPr="002C321D">
              <w:rPr>
                <w:rFonts w:eastAsia="Times New Roman" w:cs="Calibri"/>
                <w:b/>
                <w:color w:val="000000"/>
                <w:szCs w:val="20"/>
                <w:lang w:eastAsia="en-AU"/>
              </w:rPr>
              <w:t>Represented cohorts through leadership of services offered</w:t>
            </w:r>
          </w:p>
        </w:tc>
        <w:tc>
          <w:tcPr>
            <w:tcW w:w="3768" w:type="dxa"/>
            <w:vAlign w:val="bottom"/>
          </w:tcPr>
          <w:p w14:paraId="70AF554C" w14:textId="01CF8D58" w:rsidR="00DF53C8" w:rsidRPr="00DF53C8" w:rsidRDefault="00BB1B66" w:rsidP="002C321D">
            <w:pPr>
              <w:pStyle w:val="Tabletext"/>
              <w:rPr>
                <w:szCs w:val="20"/>
              </w:rPr>
            </w:pPr>
            <w:r>
              <w:rPr>
                <w:szCs w:val="20"/>
              </w:rPr>
              <w:t>People with disability</w:t>
            </w:r>
          </w:p>
        </w:tc>
        <w:tc>
          <w:tcPr>
            <w:tcW w:w="2409" w:type="dxa"/>
            <w:vAlign w:val="bottom"/>
          </w:tcPr>
          <w:p w14:paraId="11682977" w14:textId="229DEE2B" w:rsidR="00DF53C8" w:rsidRPr="00DF53C8" w:rsidRDefault="00DF53C8" w:rsidP="002C321D">
            <w:pPr>
              <w:pStyle w:val="Tabletext"/>
              <w:rPr>
                <w:szCs w:val="20"/>
              </w:rPr>
            </w:pPr>
            <w:r w:rsidRPr="00DF53C8">
              <w:rPr>
                <w:szCs w:val="20"/>
              </w:rPr>
              <w:t>8</w:t>
            </w:r>
          </w:p>
        </w:tc>
      </w:tr>
      <w:tr w:rsidR="00DF53C8" w:rsidRPr="00DF53C8" w14:paraId="29D47071" w14:textId="77777777" w:rsidTr="002C321D">
        <w:trPr>
          <w:trHeight w:val="348"/>
        </w:trPr>
        <w:tc>
          <w:tcPr>
            <w:tcW w:w="2895" w:type="dxa"/>
            <w:vMerge/>
          </w:tcPr>
          <w:p w14:paraId="73487382"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3D84261B" w14:textId="1FC6B506" w:rsidR="00DF53C8" w:rsidRPr="00DF53C8" w:rsidRDefault="00DF53C8" w:rsidP="002C321D">
            <w:pPr>
              <w:pStyle w:val="Tabletext"/>
              <w:rPr>
                <w:szCs w:val="20"/>
              </w:rPr>
            </w:pPr>
            <w:r w:rsidRPr="00DF53C8">
              <w:rPr>
                <w:szCs w:val="20"/>
              </w:rPr>
              <w:t>People facing or at risk of social or economic disadvantage</w:t>
            </w:r>
          </w:p>
        </w:tc>
        <w:tc>
          <w:tcPr>
            <w:tcW w:w="2409" w:type="dxa"/>
            <w:vAlign w:val="bottom"/>
          </w:tcPr>
          <w:p w14:paraId="11B6B899" w14:textId="251B7302" w:rsidR="00DF53C8" w:rsidRPr="00DF53C8" w:rsidRDefault="00DF53C8" w:rsidP="002C321D">
            <w:pPr>
              <w:pStyle w:val="Tabletext"/>
              <w:rPr>
                <w:szCs w:val="20"/>
              </w:rPr>
            </w:pPr>
            <w:r w:rsidRPr="00DF53C8">
              <w:rPr>
                <w:szCs w:val="20"/>
              </w:rPr>
              <w:t>6</w:t>
            </w:r>
          </w:p>
        </w:tc>
      </w:tr>
      <w:tr w:rsidR="00DF53C8" w:rsidRPr="00DF53C8" w14:paraId="26AB919E" w14:textId="77777777" w:rsidTr="002C321D">
        <w:trPr>
          <w:trHeight w:val="348"/>
        </w:trPr>
        <w:tc>
          <w:tcPr>
            <w:tcW w:w="2895" w:type="dxa"/>
            <w:vMerge/>
          </w:tcPr>
          <w:p w14:paraId="5D03880E"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6B876BB5" w14:textId="2917E6AD" w:rsidR="00DF53C8" w:rsidRPr="00DF53C8" w:rsidRDefault="00DF53C8" w:rsidP="002C321D">
            <w:pPr>
              <w:pStyle w:val="Tabletext"/>
              <w:rPr>
                <w:szCs w:val="20"/>
              </w:rPr>
            </w:pPr>
            <w:r w:rsidRPr="00DF53C8">
              <w:rPr>
                <w:szCs w:val="20"/>
              </w:rPr>
              <w:t>Aboriginal and Torres Strait Islander People</w:t>
            </w:r>
          </w:p>
        </w:tc>
        <w:tc>
          <w:tcPr>
            <w:tcW w:w="2409" w:type="dxa"/>
            <w:vAlign w:val="bottom"/>
          </w:tcPr>
          <w:p w14:paraId="453BEACD" w14:textId="14F93140" w:rsidR="00DF53C8" w:rsidRPr="00DF53C8" w:rsidRDefault="00DF53C8" w:rsidP="002C321D">
            <w:pPr>
              <w:pStyle w:val="Tabletext"/>
              <w:rPr>
                <w:szCs w:val="20"/>
              </w:rPr>
            </w:pPr>
            <w:r w:rsidRPr="00DF53C8">
              <w:rPr>
                <w:szCs w:val="20"/>
              </w:rPr>
              <w:t>5</w:t>
            </w:r>
          </w:p>
        </w:tc>
      </w:tr>
      <w:tr w:rsidR="00DF53C8" w:rsidRPr="00DF53C8" w14:paraId="4268D749" w14:textId="77777777" w:rsidTr="002C321D">
        <w:trPr>
          <w:trHeight w:val="348"/>
        </w:trPr>
        <w:tc>
          <w:tcPr>
            <w:tcW w:w="2895" w:type="dxa"/>
            <w:vMerge/>
          </w:tcPr>
          <w:p w14:paraId="7D0C1C23"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54A06778" w14:textId="36E312C8" w:rsidR="00DF53C8" w:rsidRPr="00DF53C8" w:rsidRDefault="00DF53C8" w:rsidP="002C321D">
            <w:pPr>
              <w:pStyle w:val="Tabletext"/>
              <w:rPr>
                <w:szCs w:val="20"/>
              </w:rPr>
            </w:pPr>
            <w:r w:rsidRPr="00DF53C8">
              <w:rPr>
                <w:szCs w:val="20"/>
              </w:rPr>
              <w:t>Members of the LGBTIQA+SB Community</w:t>
            </w:r>
          </w:p>
        </w:tc>
        <w:tc>
          <w:tcPr>
            <w:tcW w:w="2409" w:type="dxa"/>
            <w:vAlign w:val="bottom"/>
          </w:tcPr>
          <w:p w14:paraId="28AE5112" w14:textId="405454C7" w:rsidR="00DF53C8" w:rsidRPr="00DF53C8" w:rsidRDefault="00DF53C8" w:rsidP="002C321D">
            <w:pPr>
              <w:pStyle w:val="Tabletext"/>
              <w:rPr>
                <w:szCs w:val="20"/>
              </w:rPr>
            </w:pPr>
            <w:r w:rsidRPr="00DF53C8">
              <w:rPr>
                <w:szCs w:val="20"/>
              </w:rPr>
              <w:t>4</w:t>
            </w:r>
          </w:p>
        </w:tc>
      </w:tr>
      <w:tr w:rsidR="00DF53C8" w:rsidRPr="00DF53C8" w14:paraId="32EF92C5" w14:textId="77777777" w:rsidTr="002C321D">
        <w:trPr>
          <w:trHeight w:val="348"/>
        </w:trPr>
        <w:tc>
          <w:tcPr>
            <w:tcW w:w="2895" w:type="dxa"/>
            <w:vMerge/>
          </w:tcPr>
          <w:p w14:paraId="76EED7D3"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43DAA972" w14:textId="7E453320" w:rsidR="00DF53C8" w:rsidRPr="00DF53C8" w:rsidRDefault="00DF53C8" w:rsidP="002C321D">
            <w:pPr>
              <w:pStyle w:val="Tabletext"/>
              <w:rPr>
                <w:szCs w:val="20"/>
              </w:rPr>
            </w:pPr>
            <w:r w:rsidRPr="00DF53C8">
              <w:rPr>
                <w:szCs w:val="20"/>
              </w:rPr>
              <w:t>CALD</w:t>
            </w:r>
          </w:p>
        </w:tc>
        <w:tc>
          <w:tcPr>
            <w:tcW w:w="2409" w:type="dxa"/>
            <w:vAlign w:val="bottom"/>
          </w:tcPr>
          <w:p w14:paraId="36A3548E" w14:textId="3FC754DA" w:rsidR="00DF53C8" w:rsidRPr="00DF53C8" w:rsidRDefault="00DF53C8" w:rsidP="002C321D">
            <w:pPr>
              <w:pStyle w:val="Tabletext"/>
              <w:rPr>
                <w:szCs w:val="20"/>
              </w:rPr>
            </w:pPr>
            <w:r w:rsidRPr="00DF53C8">
              <w:rPr>
                <w:szCs w:val="20"/>
              </w:rPr>
              <w:t>4</w:t>
            </w:r>
          </w:p>
        </w:tc>
      </w:tr>
      <w:tr w:rsidR="00DF53C8" w:rsidRPr="00DF53C8" w14:paraId="447FC8B3" w14:textId="77777777" w:rsidTr="002C321D">
        <w:trPr>
          <w:trHeight w:val="348"/>
        </w:trPr>
        <w:tc>
          <w:tcPr>
            <w:tcW w:w="2895" w:type="dxa"/>
            <w:vMerge/>
          </w:tcPr>
          <w:p w14:paraId="704D604F"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6374A55E" w14:textId="5D0EFD58" w:rsidR="00DF53C8" w:rsidRPr="00DF53C8" w:rsidRDefault="00DF53C8" w:rsidP="002C321D">
            <w:pPr>
              <w:pStyle w:val="Tabletext"/>
              <w:rPr>
                <w:szCs w:val="20"/>
              </w:rPr>
            </w:pPr>
            <w:r w:rsidRPr="00DF53C8">
              <w:rPr>
                <w:szCs w:val="20"/>
              </w:rPr>
              <w:t>Migrants and refugees</w:t>
            </w:r>
          </w:p>
        </w:tc>
        <w:tc>
          <w:tcPr>
            <w:tcW w:w="2409" w:type="dxa"/>
            <w:vAlign w:val="bottom"/>
          </w:tcPr>
          <w:p w14:paraId="0CF8EBEE" w14:textId="231A041E" w:rsidR="00DF53C8" w:rsidRPr="00DF53C8" w:rsidRDefault="00DF53C8" w:rsidP="002C321D">
            <w:pPr>
              <w:pStyle w:val="Tabletext"/>
              <w:rPr>
                <w:szCs w:val="20"/>
              </w:rPr>
            </w:pPr>
            <w:r w:rsidRPr="00DF53C8">
              <w:rPr>
                <w:szCs w:val="20"/>
              </w:rPr>
              <w:t>4</w:t>
            </w:r>
          </w:p>
        </w:tc>
      </w:tr>
      <w:tr w:rsidR="00DF53C8" w:rsidRPr="00DF53C8" w14:paraId="459E9CC9" w14:textId="77777777" w:rsidTr="002C321D">
        <w:trPr>
          <w:trHeight w:val="348"/>
        </w:trPr>
        <w:tc>
          <w:tcPr>
            <w:tcW w:w="2895" w:type="dxa"/>
            <w:vMerge/>
          </w:tcPr>
          <w:p w14:paraId="3C1795B7"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6FD76DE9" w14:textId="381CC2FF" w:rsidR="00DF53C8" w:rsidRPr="00DF53C8" w:rsidRDefault="00DF53C8" w:rsidP="002C321D">
            <w:pPr>
              <w:pStyle w:val="Tabletext"/>
              <w:rPr>
                <w:szCs w:val="20"/>
              </w:rPr>
            </w:pPr>
            <w:r w:rsidRPr="00DF53C8">
              <w:rPr>
                <w:szCs w:val="20"/>
              </w:rPr>
              <w:t>People experiencing homelessness</w:t>
            </w:r>
          </w:p>
        </w:tc>
        <w:tc>
          <w:tcPr>
            <w:tcW w:w="2409" w:type="dxa"/>
            <w:vAlign w:val="bottom"/>
          </w:tcPr>
          <w:p w14:paraId="36A07B15" w14:textId="42719125" w:rsidR="00DF53C8" w:rsidRPr="00DF53C8" w:rsidRDefault="00DF53C8" w:rsidP="002C321D">
            <w:pPr>
              <w:pStyle w:val="Tabletext"/>
              <w:rPr>
                <w:szCs w:val="20"/>
              </w:rPr>
            </w:pPr>
            <w:r w:rsidRPr="00DF53C8">
              <w:rPr>
                <w:szCs w:val="20"/>
              </w:rPr>
              <w:t>4</w:t>
            </w:r>
          </w:p>
        </w:tc>
      </w:tr>
      <w:tr w:rsidR="00DF53C8" w:rsidRPr="00DF53C8" w14:paraId="4727BA65" w14:textId="77777777" w:rsidTr="002C321D">
        <w:trPr>
          <w:trHeight w:val="348"/>
        </w:trPr>
        <w:tc>
          <w:tcPr>
            <w:tcW w:w="2895" w:type="dxa"/>
            <w:vMerge/>
          </w:tcPr>
          <w:p w14:paraId="6BCD4417"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3CBA2390" w14:textId="19DA107C" w:rsidR="00DF53C8" w:rsidRPr="00DF53C8" w:rsidRDefault="00DF53C8" w:rsidP="002C321D">
            <w:pPr>
              <w:pStyle w:val="Tabletext"/>
              <w:rPr>
                <w:szCs w:val="20"/>
              </w:rPr>
            </w:pPr>
            <w:r w:rsidRPr="00DF53C8">
              <w:rPr>
                <w:szCs w:val="20"/>
              </w:rPr>
              <w:t>Children or young people</w:t>
            </w:r>
          </w:p>
        </w:tc>
        <w:tc>
          <w:tcPr>
            <w:tcW w:w="2409" w:type="dxa"/>
            <w:vAlign w:val="bottom"/>
          </w:tcPr>
          <w:p w14:paraId="4BF312DE" w14:textId="5DB728EE" w:rsidR="00DF53C8" w:rsidRPr="00DF53C8" w:rsidRDefault="00DF53C8" w:rsidP="002C321D">
            <w:pPr>
              <w:pStyle w:val="Tabletext"/>
              <w:rPr>
                <w:szCs w:val="20"/>
              </w:rPr>
            </w:pPr>
            <w:r w:rsidRPr="00DF53C8">
              <w:rPr>
                <w:szCs w:val="20"/>
              </w:rPr>
              <w:t>4</w:t>
            </w:r>
          </w:p>
        </w:tc>
      </w:tr>
      <w:tr w:rsidR="00DF53C8" w:rsidRPr="00DF53C8" w14:paraId="7C712691" w14:textId="77777777" w:rsidTr="002C321D">
        <w:trPr>
          <w:trHeight w:val="348"/>
        </w:trPr>
        <w:tc>
          <w:tcPr>
            <w:tcW w:w="2895" w:type="dxa"/>
            <w:vMerge/>
          </w:tcPr>
          <w:p w14:paraId="4D8CE385"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31015017" w14:textId="56AA2207" w:rsidR="00DF53C8" w:rsidRPr="00DF53C8" w:rsidRDefault="00DF53C8" w:rsidP="002C321D">
            <w:pPr>
              <w:pStyle w:val="Tabletext"/>
              <w:rPr>
                <w:szCs w:val="20"/>
              </w:rPr>
            </w:pPr>
            <w:r w:rsidRPr="00DF53C8">
              <w:rPr>
                <w:szCs w:val="20"/>
              </w:rPr>
              <w:t>Students</w:t>
            </w:r>
          </w:p>
        </w:tc>
        <w:tc>
          <w:tcPr>
            <w:tcW w:w="2409" w:type="dxa"/>
            <w:vAlign w:val="bottom"/>
          </w:tcPr>
          <w:p w14:paraId="1A6A55FA" w14:textId="57E85224" w:rsidR="00DF53C8" w:rsidRPr="00DF53C8" w:rsidRDefault="00DF53C8" w:rsidP="002C321D">
            <w:pPr>
              <w:pStyle w:val="Tabletext"/>
              <w:rPr>
                <w:szCs w:val="20"/>
              </w:rPr>
            </w:pPr>
            <w:r w:rsidRPr="00DF53C8">
              <w:rPr>
                <w:szCs w:val="20"/>
              </w:rPr>
              <w:t>5</w:t>
            </w:r>
          </w:p>
        </w:tc>
      </w:tr>
      <w:tr w:rsidR="00DF53C8" w:rsidRPr="00DF53C8" w14:paraId="470E7F31" w14:textId="77777777" w:rsidTr="002C321D">
        <w:trPr>
          <w:trHeight w:val="348"/>
        </w:trPr>
        <w:tc>
          <w:tcPr>
            <w:tcW w:w="2895" w:type="dxa"/>
            <w:vMerge/>
          </w:tcPr>
          <w:p w14:paraId="0695C5E2" w14:textId="77777777" w:rsidR="00DF53C8" w:rsidRPr="00DF53C8" w:rsidRDefault="00DF53C8" w:rsidP="00DF53C8">
            <w:pPr>
              <w:pStyle w:val="BodyText"/>
              <w:spacing w:before="60" w:after="60"/>
              <w:rPr>
                <w:rFonts w:eastAsia="Times New Roman" w:cs="Calibri"/>
                <w:b/>
                <w:bCs/>
                <w:color w:val="000000"/>
                <w:szCs w:val="20"/>
                <w:lang w:eastAsia="en-AU"/>
              </w:rPr>
            </w:pPr>
          </w:p>
        </w:tc>
        <w:tc>
          <w:tcPr>
            <w:tcW w:w="3768" w:type="dxa"/>
            <w:vAlign w:val="bottom"/>
          </w:tcPr>
          <w:p w14:paraId="3AD52C18" w14:textId="06A402A1" w:rsidR="00DF53C8" w:rsidRPr="00DF53C8" w:rsidRDefault="00DF53C8" w:rsidP="002C321D">
            <w:pPr>
              <w:pStyle w:val="Tabletext"/>
              <w:rPr>
                <w:szCs w:val="20"/>
              </w:rPr>
            </w:pPr>
            <w:r w:rsidRPr="00DF53C8">
              <w:rPr>
                <w:szCs w:val="20"/>
              </w:rPr>
              <w:t>Older people</w:t>
            </w:r>
          </w:p>
        </w:tc>
        <w:tc>
          <w:tcPr>
            <w:tcW w:w="2409" w:type="dxa"/>
            <w:vAlign w:val="bottom"/>
          </w:tcPr>
          <w:p w14:paraId="1F096904" w14:textId="5D057BE8" w:rsidR="00DF53C8" w:rsidRPr="00DF53C8" w:rsidRDefault="00DF53C8" w:rsidP="002C321D">
            <w:pPr>
              <w:pStyle w:val="Tabletext"/>
              <w:rPr>
                <w:szCs w:val="20"/>
              </w:rPr>
            </w:pPr>
            <w:r w:rsidRPr="00DF53C8">
              <w:rPr>
                <w:szCs w:val="20"/>
              </w:rPr>
              <w:t>3</w:t>
            </w:r>
          </w:p>
        </w:tc>
      </w:tr>
    </w:tbl>
    <w:p w14:paraId="1FDC52EA" w14:textId="77777777" w:rsidR="00010A08" w:rsidRPr="00010A08" w:rsidRDefault="00010A08" w:rsidP="00DF53C8">
      <w:pPr>
        <w:pStyle w:val="BodyText"/>
      </w:pPr>
    </w:p>
    <w:bookmarkEnd w:id="38"/>
    <w:p w14:paraId="151ED118" w14:textId="05DA8BB6" w:rsidR="00B64E54" w:rsidRDefault="00B64E54" w:rsidP="00B64E54">
      <w:pPr>
        <w:pStyle w:val="BodyText"/>
      </w:pPr>
    </w:p>
    <w:p w14:paraId="18C38BF7" w14:textId="77777777" w:rsidR="00B64E54" w:rsidRPr="00B64E54" w:rsidRDefault="00B64E54" w:rsidP="00B64E54">
      <w:pPr>
        <w:pStyle w:val="BodyText"/>
      </w:pPr>
      <w:bookmarkStart w:id="40" w:name="_Toc101361237"/>
    </w:p>
    <w:bookmarkEnd w:id="40"/>
    <w:p w14:paraId="7774638B" w14:textId="77777777" w:rsidR="00FE5E44" w:rsidRPr="004C1C71" w:rsidRDefault="00FE5E44" w:rsidP="00FE5E44">
      <w:pPr>
        <w:pStyle w:val="BodyText"/>
      </w:pPr>
    </w:p>
    <w:p w14:paraId="57F9B312" w14:textId="515F7A69" w:rsidR="00FE5E44" w:rsidRPr="00B27D32" w:rsidRDefault="00FE5E44" w:rsidP="00B27D32">
      <w:pPr>
        <w:sectPr w:rsidR="00FE5E44" w:rsidRPr="00B27D32" w:rsidSect="00E02C03">
          <w:headerReference w:type="default" r:id="rId23"/>
          <w:footerReference w:type="default" r:id="rId24"/>
          <w:pgSz w:w="11906" w:h="16838"/>
          <w:pgMar w:top="1418" w:right="1418" w:bottom="1418" w:left="1418" w:header="709" w:footer="453" w:gutter="0"/>
          <w:cols w:space="708"/>
          <w:docGrid w:linePitch="360"/>
        </w:sectPr>
      </w:pPr>
    </w:p>
    <w:p w14:paraId="2157A9A2" w14:textId="77777777" w:rsidR="009633A2" w:rsidRDefault="009633A2" w:rsidP="00723D3C">
      <w:pPr>
        <w:pStyle w:val="BodyText1"/>
      </w:pPr>
    </w:p>
    <w:p w14:paraId="3B137B80" w14:textId="77777777" w:rsidR="00C8648A" w:rsidRPr="006E3288" w:rsidRDefault="00C8648A" w:rsidP="00C8648A">
      <w:pPr>
        <w:pStyle w:val="Contactus"/>
        <w:rPr>
          <w:color w:val="00338D"/>
        </w:rPr>
      </w:pPr>
      <w:r w:rsidRPr="006E3288">
        <w:rPr>
          <w:color w:val="00338D"/>
        </w:rPr>
        <w:t>Contact us</w:t>
      </w:r>
    </w:p>
    <w:p w14:paraId="7575BA8F" w14:textId="77777777" w:rsidR="00C8648A" w:rsidRPr="006E3288" w:rsidRDefault="00C8648A" w:rsidP="00C8648A">
      <w:pPr>
        <w:pStyle w:val="BodyText1"/>
        <w:ind w:left="426"/>
        <w:rPr>
          <w:color w:val="00338D"/>
        </w:rPr>
      </w:pPr>
    </w:p>
    <w:p w14:paraId="4082F0B7" w14:textId="77777777" w:rsidR="00C8648A" w:rsidRPr="006E3288" w:rsidRDefault="00C8648A" w:rsidP="00C8648A">
      <w:pPr>
        <w:pStyle w:val="backcoverdetails"/>
        <w:rPr>
          <w:b/>
          <w:color w:val="00338D"/>
        </w:rPr>
      </w:pPr>
      <w:r w:rsidRPr="006E3288">
        <w:rPr>
          <w:b/>
          <w:color w:val="00338D"/>
        </w:rPr>
        <w:t>Ben Wallace</w:t>
      </w:r>
    </w:p>
    <w:p w14:paraId="7A59848D" w14:textId="77777777" w:rsidR="00C8648A" w:rsidRPr="006E3288" w:rsidRDefault="00C8648A" w:rsidP="00C8648A">
      <w:pPr>
        <w:pStyle w:val="backcoverdetails"/>
        <w:rPr>
          <w:color w:val="00338D"/>
        </w:rPr>
      </w:pPr>
      <w:r w:rsidRPr="006E3288">
        <w:rPr>
          <w:color w:val="00338D"/>
        </w:rPr>
        <w:t xml:space="preserve">Partner, Health Ageing and Human Services </w:t>
      </w:r>
    </w:p>
    <w:p w14:paraId="573F20E3" w14:textId="77777777" w:rsidR="00C8648A" w:rsidRPr="006E3288" w:rsidRDefault="00C8648A" w:rsidP="00C8648A">
      <w:pPr>
        <w:pStyle w:val="backcoverdetails"/>
        <w:rPr>
          <w:color w:val="00338D"/>
        </w:rPr>
      </w:pPr>
      <w:r w:rsidRPr="006E3288">
        <w:rPr>
          <w:color w:val="00338D"/>
        </w:rPr>
        <w:t xml:space="preserve">+ 61 8 8236 3432 </w:t>
      </w:r>
    </w:p>
    <w:p w14:paraId="2BDD947C" w14:textId="2E82E8CB" w:rsidR="00C8648A" w:rsidRPr="006E3288" w:rsidRDefault="00C8648A" w:rsidP="00C8648A">
      <w:pPr>
        <w:pStyle w:val="backcoverdetails"/>
        <w:rPr>
          <w:color w:val="00338D"/>
        </w:rPr>
      </w:pPr>
      <w:r w:rsidRPr="006E3288">
        <w:rPr>
          <w:color w:val="00338D"/>
        </w:rPr>
        <w:t xml:space="preserve">bwallace@kpmg.com.au </w:t>
      </w:r>
    </w:p>
    <w:p w14:paraId="6E9621BA" w14:textId="77777777" w:rsidR="00C8648A" w:rsidRPr="006E3288" w:rsidRDefault="00C8648A" w:rsidP="00C8648A">
      <w:pPr>
        <w:pStyle w:val="backcoverdetails"/>
        <w:rPr>
          <w:color w:val="00338D"/>
        </w:rPr>
      </w:pPr>
    </w:p>
    <w:p w14:paraId="1098BDC1" w14:textId="00252A22" w:rsidR="00C8648A" w:rsidRPr="006E3288" w:rsidRDefault="00D51FD2" w:rsidP="00C8648A">
      <w:pPr>
        <w:pStyle w:val="backcoverdetails"/>
        <w:rPr>
          <w:b/>
          <w:color w:val="00338D"/>
        </w:rPr>
      </w:pPr>
      <w:r w:rsidRPr="006E3288">
        <w:rPr>
          <w:b/>
          <w:color w:val="00338D"/>
        </w:rPr>
        <w:t>Janis Tebecis</w:t>
      </w:r>
    </w:p>
    <w:p w14:paraId="4EB45F37" w14:textId="72A76E14" w:rsidR="00C8648A" w:rsidRPr="006E3288" w:rsidRDefault="00D51FD2" w:rsidP="00C8648A">
      <w:pPr>
        <w:pStyle w:val="backcoverdetails"/>
        <w:rPr>
          <w:color w:val="00338D"/>
        </w:rPr>
      </w:pPr>
      <w:r w:rsidRPr="006E3288">
        <w:rPr>
          <w:color w:val="00338D"/>
        </w:rPr>
        <w:t>Director</w:t>
      </w:r>
      <w:r w:rsidR="00C8648A" w:rsidRPr="006E3288">
        <w:rPr>
          <w:color w:val="00338D"/>
        </w:rPr>
        <w:t xml:space="preserve">, </w:t>
      </w:r>
      <w:r w:rsidRPr="006E3288">
        <w:rPr>
          <w:color w:val="00338D"/>
        </w:rPr>
        <w:t>Customer Brand and Marketing Advisory</w:t>
      </w:r>
    </w:p>
    <w:p w14:paraId="78B5B378" w14:textId="77777777" w:rsidR="00C8648A" w:rsidRPr="006E3288" w:rsidRDefault="00C8648A" w:rsidP="00C8648A">
      <w:pPr>
        <w:pStyle w:val="backcoverdetails"/>
        <w:rPr>
          <w:color w:val="00338D"/>
        </w:rPr>
      </w:pPr>
      <w:r w:rsidRPr="006E3288">
        <w:rPr>
          <w:color w:val="00338D"/>
        </w:rPr>
        <w:t xml:space="preserve">+ 61 2 9455 9470 </w:t>
      </w:r>
    </w:p>
    <w:p w14:paraId="6DB2F169" w14:textId="163021B4" w:rsidR="00C8648A" w:rsidRPr="006E3288" w:rsidRDefault="00D51FD2" w:rsidP="00C8648A">
      <w:pPr>
        <w:pStyle w:val="backcoverdetails"/>
        <w:rPr>
          <w:color w:val="00338D"/>
        </w:rPr>
      </w:pPr>
      <w:r w:rsidRPr="006E3288">
        <w:rPr>
          <w:color w:val="00338D"/>
        </w:rPr>
        <w:t>jtebecis</w:t>
      </w:r>
      <w:r w:rsidR="00C8648A" w:rsidRPr="006E3288">
        <w:rPr>
          <w:color w:val="00338D"/>
        </w:rPr>
        <w:t>@kpmg.com.au</w:t>
      </w:r>
    </w:p>
    <w:p w14:paraId="04E43BDD" w14:textId="77777777" w:rsidR="00C8648A" w:rsidRPr="006E3288" w:rsidRDefault="00C8648A" w:rsidP="00C8648A">
      <w:pPr>
        <w:pStyle w:val="backcoverdetails"/>
        <w:rPr>
          <w:b/>
          <w:color w:val="00338D"/>
        </w:rPr>
      </w:pPr>
    </w:p>
    <w:p w14:paraId="42D9445C" w14:textId="77777777" w:rsidR="00C8648A" w:rsidRPr="006E3288" w:rsidRDefault="00C8648A" w:rsidP="00C8648A">
      <w:pPr>
        <w:pStyle w:val="backcoverdetails"/>
        <w:rPr>
          <w:color w:val="00338D"/>
        </w:rPr>
      </w:pPr>
    </w:p>
    <w:p w14:paraId="2420444E" w14:textId="77777777" w:rsidR="00C8648A" w:rsidRPr="006E3288" w:rsidRDefault="00C8648A" w:rsidP="00C8648A">
      <w:pPr>
        <w:pStyle w:val="backcoverdetails"/>
        <w:rPr>
          <w:color w:val="00338D"/>
        </w:rPr>
      </w:pPr>
    </w:p>
    <w:p w14:paraId="04E937BC" w14:textId="77777777" w:rsidR="00C8648A" w:rsidRPr="006E3288" w:rsidRDefault="00C8648A" w:rsidP="00C8648A">
      <w:pPr>
        <w:pStyle w:val="backcoverdetails"/>
        <w:ind w:left="0" w:firstLine="425"/>
        <w:rPr>
          <w:b/>
          <w:color w:val="00338D"/>
        </w:rPr>
      </w:pPr>
      <w:r w:rsidRPr="006E3288">
        <w:rPr>
          <w:b/>
          <w:color w:val="00338D"/>
        </w:rPr>
        <w:t>kpmg.com.au</w:t>
      </w:r>
    </w:p>
    <w:p w14:paraId="020BE125" w14:textId="77777777" w:rsidR="009633A2" w:rsidRPr="00CC7A82" w:rsidRDefault="009633A2" w:rsidP="00C8648A">
      <w:pPr>
        <w:pStyle w:val="Contactus"/>
        <w:rPr>
          <w:b w:val="0"/>
        </w:rPr>
      </w:pPr>
    </w:p>
    <w:sectPr w:rsidR="009633A2" w:rsidRPr="00CC7A82" w:rsidSect="00CC7A82">
      <w:headerReference w:type="default" r:id="rId25"/>
      <w:footerReference w:type="default" r:id="rId26"/>
      <w:pgSz w:w="11906" w:h="16838"/>
      <w:pgMar w:top="652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67043" w14:textId="77777777" w:rsidR="00BF776B" w:rsidRDefault="00BF776B" w:rsidP="004A3F32">
      <w:pPr>
        <w:spacing w:after="0"/>
      </w:pPr>
      <w:r>
        <w:separator/>
      </w:r>
    </w:p>
  </w:endnote>
  <w:endnote w:type="continuationSeparator" w:id="0">
    <w:p w14:paraId="40B76F01" w14:textId="77777777" w:rsidR="00BF776B" w:rsidRDefault="00BF776B" w:rsidP="004A3F32">
      <w:pPr>
        <w:spacing w:after="0"/>
      </w:pPr>
      <w:r>
        <w:continuationSeparator/>
      </w:r>
    </w:p>
  </w:endnote>
  <w:endnote w:type="continuationNotice" w:id="1">
    <w:p w14:paraId="681AA257" w14:textId="77777777" w:rsidR="00BF776B" w:rsidRDefault="00BF77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mbria"/>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KPMG Light">
    <w:altName w:val="Corbel"/>
    <w:charset w:val="00"/>
    <w:family w:val="swiss"/>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BEE3" w14:textId="0744F382" w:rsidR="00D67D82" w:rsidRPr="008D3B12" w:rsidRDefault="00D67D82" w:rsidP="00633A05">
    <w:pPr>
      <w:pStyle w:val="Footer"/>
      <w:rPr>
        <w:color w:val="auto"/>
        <w:lang w:val="en-US"/>
      </w:rPr>
    </w:pPr>
    <w:r w:rsidRPr="008D3B12">
      <w:rPr>
        <w:color w:val="auto"/>
        <w:lang w:val="en-US"/>
      </w:rPr>
      <w:t xml:space="preserve">KPMG  |  </w:t>
    </w:r>
    <w:r w:rsidRPr="008D3B12">
      <w:rPr>
        <w:color w:val="auto"/>
        <w:lang w:val="en-US"/>
      </w:rPr>
      <w:fldChar w:fldCharType="begin"/>
    </w:r>
    <w:r w:rsidRPr="008D3B12">
      <w:rPr>
        <w:color w:val="auto"/>
        <w:lang w:val="en-US"/>
      </w:rPr>
      <w:instrText xml:space="preserve"> PAGE   \* MERGEFORMAT </w:instrText>
    </w:r>
    <w:r w:rsidRPr="008D3B12">
      <w:rPr>
        <w:color w:val="auto"/>
        <w:lang w:val="en-US"/>
      </w:rPr>
      <w:fldChar w:fldCharType="separate"/>
    </w:r>
    <w:r w:rsidR="00480605">
      <w:rPr>
        <w:noProof/>
        <w:color w:val="auto"/>
        <w:lang w:val="en-US"/>
      </w:rPr>
      <w:t>1</w:t>
    </w:r>
    <w:r w:rsidRPr="008D3B12">
      <w:rPr>
        <w:color w:val="auto"/>
        <w:lang w:val="en-US"/>
      </w:rPr>
      <w:fldChar w:fldCharType="end"/>
    </w:r>
  </w:p>
  <w:p w14:paraId="4B72F0F5" w14:textId="6C53B053" w:rsidR="00D67D82" w:rsidRPr="00CB59C3" w:rsidRDefault="00D67D82" w:rsidP="00CB59C3">
    <w:pPr>
      <w:pStyle w:val="Footer"/>
      <w:rPr>
        <w:color w:val="auto"/>
        <w:lang w:val="en-US"/>
      </w:rPr>
    </w:pPr>
    <w:r w:rsidRPr="008D3B12">
      <w:rPr>
        <w:color w:val="auto"/>
        <w:lang w:val="en-US"/>
      </w:rPr>
      <w:t xml:space="preserve">© </w:t>
    </w:r>
    <w:r w:rsidRPr="008D3B12">
      <w:rPr>
        <w:color w:val="auto"/>
        <w:lang w:val="en-US"/>
      </w:rPr>
      <w:fldChar w:fldCharType="begin"/>
    </w:r>
    <w:r w:rsidRPr="008D3B12">
      <w:rPr>
        <w:color w:val="auto"/>
        <w:lang w:val="en-US"/>
      </w:rPr>
      <w:instrText xml:space="preserve"> DATE \@YYYY </w:instrText>
    </w:r>
    <w:r w:rsidRPr="008D3B12">
      <w:rPr>
        <w:color w:val="auto"/>
        <w:lang w:val="en-US"/>
      </w:rPr>
      <w:fldChar w:fldCharType="separate"/>
    </w:r>
    <w:r w:rsidR="00480605">
      <w:rPr>
        <w:noProof/>
        <w:color w:val="auto"/>
        <w:lang w:val="en-US"/>
      </w:rPr>
      <w:t>2022</w:t>
    </w:r>
    <w:r w:rsidRPr="008D3B12">
      <w:rPr>
        <w:color w:val="auto"/>
        <w:lang w:val="en-US"/>
      </w:rPr>
      <w:fldChar w:fldCharType="end"/>
    </w:r>
    <w:r w:rsidRPr="008D3B12">
      <w:rPr>
        <w:color w:val="auto"/>
        <w:lang w:val="en-US"/>
      </w:rPr>
      <w:t xml:space="preserve"> </w:t>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KISFirmPrtName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Law" "KPMG Law, an associate of KPMG. " </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Hands-on Management Pty Limited"  "KPMG Hands-on Management Pty Limited, an affiliate of KPMG."</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 MERGEFORMAT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Financial Services Consulting Pty Ltd" "KPMG Financial Services Consulting Pty Ltd, an affiliate of KPMG."  \* MERGEFORMAT </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Financial Advisory Services (Australia) Pty Ltd"  "KPMG Financial Advisory Services (Australia) Pty Ltd, an affiliate of KPMG."</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Actuarial Pty Ltd" "KPMG Actuarial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Corporate Finance"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Superannuation Services Pty Limited" "KPMG Superannuation Services Pty Limited,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Direct Investments"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Financial Risk Management"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Transaction Services"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Forensic Pty Ltd" "KPMG Forensic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Executive Search &amp; Selection Pty Limited" "Executive Search &amp; Selection Pty Limited,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Property Consultancy Pty Ltd" "KPMG Property Consultancy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Australia Technology Solutions Pty Limited" "KPMG Australia Technology Solutions Pty Limited, an affiliate of KPMG." </w:instrText>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t xml:space="preserve"> KPMG, an Australian partnership and a member firm of the KPMG global organization of independent member firms affiliated with KPMG International Limited, a private English company limited by guarantee. All rights reserved. The KPMG name and logo are trademarks used under license by the independent member firms of the KPMG global organization. Liability limited by a scheme approved under Professional Standards Legislation.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lang w:val="en-US"/>
      </w:rPr>
      <w:id w:val="263352949"/>
      <w:docPartObj>
        <w:docPartGallery w:val="Page Numbers (Bottom of Page)"/>
        <w:docPartUnique/>
      </w:docPartObj>
    </w:sdtPr>
    <w:sdtEndPr>
      <w:rPr>
        <w:color w:val="808080" w:themeColor="background1" w:themeShade="80"/>
      </w:rPr>
    </w:sdtEndPr>
    <w:sdtContent>
      <w:p w14:paraId="30246F52" w14:textId="3609FB87" w:rsidR="00D67D82" w:rsidRPr="008D3B12" w:rsidRDefault="00D67D82" w:rsidP="007E23D9">
        <w:pPr>
          <w:pStyle w:val="Footer"/>
          <w:rPr>
            <w:color w:val="auto"/>
            <w:lang w:val="en-US"/>
          </w:rPr>
        </w:pPr>
        <w:r w:rsidRPr="008D3B12">
          <w:rPr>
            <w:color w:val="auto"/>
            <w:lang w:val="en-US"/>
          </w:rPr>
          <w:t xml:space="preserve">KPMG  |  </w:t>
        </w:r>
        <w:r w:rsidRPr="008D3B12">
          <w:rPr>
            <w:color w:val="auto"/>
            <w:lang w:val="en-US"/>
          </w:rPr>
          <w:fldChar w:fldCharType="begin"/>
        </w:r>
        <w:r w:rsidRPr="008D3B12">
          <w:rPr>
            <w:color w:val="auto"/>
            <w:lang w:val="en-US"/>
          </w:rPr>
          <w:instrText xml:space="preserve"> PAGE   \* MERGEFORMAT </w:instrText>
        </w:r>
        <w:r w:rsidRPr="008D3B12">
          <w:rPr>
            <w:color w:val="auto"/>
            <w:lang w:val="en-US"/>
          </w:rPr>
          <w:fldChar w:fldCharType="separate"/>
        </w:r>
        <w:r w:rsidR="00480605">
          <w:rPr>
            <w:noProof/>
            <w:color w:val="auto"/>
            <w:lang w:val="en-US"/>
          </w:rPr>
          <w:t>44</w:t>
        </w:r>
        <w:r w:rsidRPr="008D3B12">
          <w:rPr>
            <w:color w:val="auto"/>
            <w:lang w:val="en-US"/>
          </w:rPr>
          <w:fldChar w:fldCharType="end"/>
        </w:r>
      </w:p>
      <w:p w14:paraId="257DEB0A" w14:textId="68CA6047" w:rsidR="00D67D82" w:rsidRPr="001D3D12" w:rsidRDefault="00D67D82" w:rsidP="001D3D12">
        <w:pPr>
          <w:pStyle w:val="Footer"/>
          <w:rPr>
            <w:lang w:val="en-US"/>
          </w:rPr>
        </w:pPr>
        <w:r w:rsidRPr="008D3B12">
          <w:rPr>
            <w:color w:val="auto"/>
            <w:lang w:val="en-US"/>
          </w:rPr>
          <w:t xml:space="preserve">© </w:t>
        </w:r>
        <w:r w:rsidRPr="008D3B12">
          <w:rPr>
            <w:color w:val="auto"/>
            <w:lang w:val="en-US"/>
          </w:rPr>
          <w:fldChar w:fldCharType="begin"/>
        </w:r>
        <w:r w:rsidRPr="008D3B12">
          <w:rPr>
            <w:color w:val="auto"/>
            <w:lang w:val="en-US"/>
          </w:rPr>
          <w:instrText xml:space="preserve"> DATE \@YYYY </w:instrText>
        </w:r>
        <w:r w:rsidRPr="008D3B12">
          <w:rPr>
            <w:color w:val="auto"/>
            <w:lang w:val="en-US"/>
          </w:rPr>
          <w:fldChar w:fldCharType="separate"/>
        </w:r>
        <w:r w:rsidR="00480605">
          <w:rPr>
            <w:noProof/>
            <w:color w:val="auto"/>
            <w:lang w:val="en-US"/>
          </w:rPr>
          <w:t>2022</w:t>
        </w:r>
        <w:r w:rsidRPr="008D3B12">
          <w:rPr>
            <w:color w:val="auto"/>
            <w:lang w:val="en-US"/>
          </w:rPr>
          <w:fldChar w:fldCharType="end"/>
        </w:r>
        <w:r w:rsidRPr="008D3B12">
          <w:rPr>
            <w:color w:val="auto"/>
            <w:lang w:val="en-US"/>
          </w:rPr>
          <w:t xml:space="preserve"> </w:t>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KISFirmPrtName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Law" "KPMG Law, an associate of KPMG. " </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Hands-on Management Pty Limited"  "KPMG Hands-on Management Pty Limited, an affiliate of KPMG."</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 MERGEFORMAT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Financial Services Consulting Pty Ltd" "KPMG Financial Services Consulting Pty Ltd, an affiliate of KPMG."  \* MERGEFORMAT </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Financial Advisory Services (Australia) Pty Ltd"  "KPMG Financial Advisory Services (Australia) Pty Ltd, an affiliate of KPMG."</w:instrText>
        </w:r>
        <w:r w:rsidRPr="008D3B12">
          <w:rPr>
            <w:color w:val="auto"/>
            <w:lang w:val="en-US"/>
          </w:rPr>
          <w:fldChar w:fldCharType="end"/>
        </w:r>
        <w:r w:rsidRPr="008D3B12">
          <w:rPr>
            <w:color w:val="auto"/>
            <w:lang w:val="en-US"/>
          </w:rPr>
          <w:fldChar w:fldCharType="begin"/>
        </w:r>
        <w:r w:rsidRPr="008D3B12">
          <w:rPr>
            <w:color w:val="auto"/>
            <w:lang w:val="en-US"/>
          </w:rPr>
          <w:instrText xml:space="preserve"> IF </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Actuarial Pty Ltd" "KPMG Actuarial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Corporate Finance"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Superannuation Services Pty Limited" "KPMG Superannuation Services Pty Limited,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Direct Investments"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Financial Risk Management"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Transaction Services" "KPMG Financial Advisory Services (Australia)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Forensic Pty Ltd" "KPMG Forensic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Executive Search &amp; Selection Pty Limited" "Executive Search &amp; Selection Pty Limited,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Property Consultancy Pty Ltd" "KPMG Property Consultancy Pty Ltd, an affiliate of KPMG." </w:instrText>
        </w:r>
        <w:r w:rsidRPr="008D3B12">
          <w:rPr>
            <w:color w:val="auto"/>
            <w:lang w:val="en-US"/>
          </w:rPr>
          <w:fldChar w:fldCharType="begin"/>
        </w:r>
        <w:r w:rsidRPr="008D3B12">
          <w:rPr>
            <w:color w:val="auto"/>
            <w:lang w:val="en-US"/>
          </w:rPr>
          <w:instrText xml:space="preserve"> IF</w:instrText>
        </w:r>
        <w:r w:rsidRPr="008D3B12">
          <w:rPr>
            <w:color w:val="auto"/>
            <w:lang w:val="en-US"/>
          </w:rPr>
          <w:fldChar w:fldCharType="begin"/>
        </w:r>
        <w:r w:rsidRPr="008D3B12">
          <w:rPr>
            <w:color w:val="auto"/>
            <w:lang w:val="en-US"/>
          </w:rPr>
          <w:instrText xml:space="preserve"> DOCPROPERTY KISSvcPrtName </w:instrText>
        </w:r>
        <w:r w:rsidRPr="008D3B12">
          <w:rPr>
            <w:color w:val="auto"/>
            <w:lang w:val="en-US"/>
          </w:rPr>
          <w:fldChar w:fldCharType="separate"/>
        </w:r>
        <w:r w:rsidRPr="008D3B12">
          <w:rPr>
            <w:b/>
            <w:bCs/>
            <w:color w:val="auto"/>
            <w:lang w:val="en-US"/>
          </w:rPr>
          <w:instrText>Error! Unknown document property name.</w:instrText>
        </w:r>
        <w:r w:rsidRPr="008D3B12">
          <w:rPr>
            <w:color w:val="auto"/>
            <w:lang w:val="en-US"/>
          </w:rPr>
          <w:fldChar w:fldCharType="end"/>
        </w:r>
        <w:r w:rsidRPr="008D3B12">
          <w:rPr>
            <w:color w:val="auto"/>
            <w:lang w:val="en-US"/>
          </w:rPr>
          <w:instrText xml:space="preserve"> = "KPMG Australia Technology Solutions Pty Limited" "KPMG Australia Technology Solutions Pty Limited, an affiliate of KPMG." </w:instrText>
        </w:r>
        <w:r w:rsidR="00480605">
          <w:rPr>
            <w:color w:val="auto"/>
            <w:lang w:val="en-US"/>
          </w:rPr>
          <w:fldChar w:fldCharType="separate"/>
        </w:r>
        <w:r w:rsidRPr="008D3B12">
          <w:rPr>
            <w:color w:val="auto"/>
            <w:lang w:val="en-US"/>
          </w:rPr>
          <w:fldChar w:fldCharType="end"/>
        </w:r>
        <w:r w:rsidR="00480605">
          <w:rPr>
            <w:color w:val="auto"/>
            <w:lang w:val="en-US"/>
          </w:rPr>
          <w:fldChar w:fldCharType="separate"/>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fldChar w:fldCharType="end"/>
        </w:r>
        <w:r w:rsidRPr="008D3B12">
          <w:rPr>
            <w:color w:val="auto"/>
            <w:lang w:val="en-US"/>
          </w:rPr>
          <w:t xml:space="preserve"> KPMG, an Australian partnership and a member firm of the KPMG global organization of independent member firms affiliated with KPMG International Limited, a private English company limited by guarantee. All rights reserved. The KPMG name and logo are trademarks used under license by the independent member firms of the KPMG global organization. Liability limited by a scheme approved under Professional Standards Legislation.</w:t>
        </w:r>
        <w:r>
          <w:rPr>
            <w:lang w:val="en-U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BC52" w14:textId="77777777" w:rsidR="00D67D82" w:rsidRPr="00CC7A82" w:rsidRDefault="00D67D82" w:rsidP="00CC7A82">
    <w:pPr>
      <w:pStyle w:val="Footer"/>
      <w:ind w:left="426" w:right="2407"/>
      <w:jc w:val="lef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773F" w14:textId="77777777" w:rsidR="00BF776B" w:rsidRDefault="00BF776B" w:rsidP="004A3F32">
      <w:pPr>
        <w:spacing w:after="0"/>
      </w:pPr>
      <w:r>
        <w:separator/>
      </w:r>
    </w:p>
  </w:footnote>
  <w:footnote w:type="continuationSeparator" w:id="0">
    <w:p w14:paraId="2F31415B" w14:textId="77777777" w:rsidR="00BF776B" w:rsidRDefault="00BF776B" w:rsidP="004A3F32">
      <w:pPr>
        <w:spacing w:after="0"/>
      </w:pPr>
      <w:r>
        <w:continuationSeparator/>
      </w:r>
    </w:p>
  </w:footnote>
  <w:footnote w:type="continuationNotice" w:id="1">
    <w:p w14:paraId="48810506" w14:textId="77777777" w:rsidR="00BF776B" w:rsidRDefault="00BF776B">
      <w:pPr>
        <w:spacing w:before="0" w:after="0"/>
      </w:pPr>
    </w:p>
  </w:footnote>
  <w:footnote w:id="2">
    <w:p w14:paraId="66B29BF5" w14:textId="249E38AE" w:rsidR="00482B7E" w:rsidRPr="003A0675" w:rsidRDefault="00482B7E">
      <w:pPr>
        <w:pStyle w:val="FootnoteText"/>
        <w:rPr>
          <w:i/>
          <w:iCs/>
          <w:sz w:val="18"/>
          <w:szCs w:val="18"/>
        </w:rPr>
      </w:pPr>
      <w:r w:rsidRPr="003A0675">
        <w:rPr>
          <w:rStyle w:val="FootnoteReference"/>
          <w:sz w:val="18"/>
          <w:szCs w:val="18"/>
        </w:rPr>
        <w:footnoteRef/>
      </w:r>
      <w:r w:rsidRPr="003A0675">
        <w:rPr>
          <w:sz w:val="18"/>
          <w:szCs w:val="18"/>
        </w:rPr>
        <w:t xml:space="preserve"> </w:t>
      </w:r>
      <w:r w:rsidRPr="003A0675">
        <w:rPr>
          <w:sz w:val="16"/>
          <w:szCs w:val="16"/>
        </w:rPr>
        <w:t xml:space="preserve">The Treasury, </w:t>
      </w:r>
      <w:r w:rsidRPr="003A0675">
        <w:rPr>
          <w:i/>
          <w:iCs/>
          <w:sz w:val="16"/>
          <w:szCs w:val="16"/>
        </w:rPr>
        <w:t>Australia’s Future Tax System: Final Report (2010), p. 485</w:t>
      </w:r>
    </w:p>
  </w:footnote>
  <w:footnote w:id="3">
    <w:p w14:paraId="03E8834B" w14:textId="079A4216" w:rsidR="005D6497" w:rsidRPr="004A5031" w:rsidRDefault="005D6497">
      <w:pPr>
        <w:pStyle w:val="FootnoteText"/>
      </w:pPr>
      <w:r>
        <w:rPr>
          <w:rStyle w:val="FootnoteReference"/>
        </w:rPr>
        <w:footnoteRef/>
      </w:r>
      <w:r>
        <w:t xml:space="preserve"> </w:t>
      </w:r>
      <w:r w:rsidR="00D8176F" w:rsidRPr="003A0675">
        <w:rPr>
          <w:sz w:val="16"/>
          <w:szCs w:val="16"/>
        </w:rPr>
        <w:t>Australian Law Reform Commission</w:t>
      </w:r>
      <w:r w:rsidR="00FC219C" w:rsidRPr="003A0675">
        <w:rPr>
          <w:i/>
          <w:iCs/>
          <w:sz w:val="16"/>
          <w:szCs w:val="16"/>
        </w:rPr>
        <w:t xml:space="preserve">, </w:t>
      </w:r>
      <w:r w:rsidR="004A5031" w:rsidRPr="003A0675">
        <w:rPr>
          <w:i/>
          <w:iCs/>
          <w:sz w:val="16"/>
          <w:szCs w:val="16"/>
        </w:rPr>
        <w:t>Grey Areas – Age Barriers to Work in Commonwealth Laws</w:t>
      </w:r>
      <w:r w:rsidR="004A5031">
        <w:rPr>
          <w:i/>
          <w:iCs/>
          <w:sz w:val="16"/>
          <w:szCs w:val="16"/>
        </w:rPr>
        <w:t xml:space="preserve"> (DP 78), </w:t>
      </w:r>
      <w:r w:rsidR="001511EB">
        <w:rPr>
          <w:i/>
          <w:iCs/>
          <w:sz w:val="16"/>
          <w:szCs w:val="16"/>
        </w:rPr>
        <w:t>paragraph 5.3</w:t>
      </w:r>
      <w:r w:rsidR="004A5031">
        <w:rPr>
          <w:i/>
          <w:iCs/>
          <w:sz w:val="16"/>
          <w:szCs w:val="16"/>
        </w:rPr>
        <w:t xml:space="preserve"> </w:t>
      </w:r>
    </w:p>
  </w:footnote>
  <w:footnote w:id="4">
    <w:p w14:paraId="6E95968C" w14:textId="1CC671AB" w:rsidR="00B95FA9" w:rsidRPr="0045163C" w:rsidRDefault="00B95FA9">
      <w:pPr>
        <w:pStyle w:val="FootnoteText"/>
        <w:rPr>
          <w:sz w:val="16"/>
          <w:szCs w:val="16"/>
        </w:rPr>
      </w:pPr>
      <w:r w:rsidRPr="0045163C">
        <w:rPr>
          <w:rStyle w:val="FootnoteReference"/>
          <w:sz w:val="16"/>
          <w:szCs w:val="16"/>
        </w:rPr>
        <w:footnoteRef/>
      </w:r>
      <w:r w:rsidRPr="0045163C">
        <w:rPr>
          <w:sz w:val="16"/>
          <w:szCs w:val="16"/>
        </w:rPr>
        <w:t xml:space="preserve"> “Media release: Update on Services Australia temporary debt pause”, </w:t>
      </w:r>
      <w:hyperlink r:id="rId1" w:history="1">
        <w:r w:rsidRPr="0045163C">
          <w:rPr>
            <w:rStyle w:val="Hyperlink"/>
            <w:sz w:val="16"/>
            <w:szCs w:val="16"/>
          </w:rPr>
          <w:t>https://minister.servicesaustralia.gov.au/media-releases/2021-12-07-update-services-australia-temporary-debt-pause</w:t>
        </w:r>
      </w:hyperlink>
      <w:r w:rsidRPr="0045163C">
        <w:rPr>
          <w:sz w:val="16"/>
          <w:szCs w:val="16"/>
        </w:rPr>
        <w:t>, accessed 2/6/22</w:t>
      </w:r>
    </w:p>
  </w:footnote>
  <w:footnote w:id="5">
    <w:p w14:paraId="4F417405" w14:textId="578B7264" w:rsidR="008D4A80" w:rsidRPr="00774BF1" w:rsidRDefault="008D4A80">
      <w:pPr>
        <w:pStyle w:val="FootnoteText"/>
        <w:rPr>
          <w:sz w:val="16"/>
          <w:szCs w:val="16"/>
        </w:rPr>
      </w:pPr>
      <w:r w:rsidRPr="00774BF1">
        <w:rPr>
          <w:rStyle w:val="FootnoteReference"/>
          <w:sz w:val="16"/>
          <w:szCs w:val="16"/>
        </w:rPr>
        <w:footnoteRef/>
      </w:r>
      <w:r w:rsidRPr="00774BF1">
        <w:rPr>
          <w:sz w:val="16"/>
          <w:szCs w:val="16"/>
        </w:rPr>
        <w:t xml:space="preserve"> </w:t>
      </w:r>
      <w:r w:rsidR="00092425" w:rsidRPr="003E0D42">
        <w:rPr>
          <w:sz w:val="16"/>
          <w:szCs w:val="16"/>
        </w:rPr>
        <w:t>It is note</w:t>
      </w:r>
      <w:r w:rsidR="00092425" w:rsidRPr="00774BF1">
        <w:rPr>
          <w:sz w:val="16"/>
          <w:szCs w:val="16"/>
        </w:rPr>
        <w:t>d that those on the Farm Household Allowance represent less than one per cent of income support recipients in scope for this review.</w:t>
      </w:r>
    </w:p>
  </w:footnote>
  <w:footnote w:id="6">
    <w:p w14:paraId="7F5D2F76" w14:textId="56C733B8" w:rsidR="00D67D82" w:rsidRDefault="00D67D82">
      <w:pPr>
        <w:pStyle w:val="FootnoteText"/>
      </w:pPr>
      <w:r w:rsidRPr="008A122F">
        <w:rPr>
          <w:rStyle w:val="FootnoteReference"/>
          <w:sz w:val="16"/>
          <w:szCs w:val="16"/>
        </w:rPr>
        <w:footnoteRef/>
      </w:r>
      <w:r w:rsidRPr="008A122F">
        <w:rPr>
          <w:sz w:val="16"/>
          <w:szCs w:val="16"/>
        </w:rPr>
        <w:t xml:space="preserve"> A ‘statement reporter’ is a recipient who is required to give a statement about a specified matter that might affect the income support payment they are receiving. All recipients who have income from employment, or whose partner has income from employment (where relevant), are required to be statement reporters (with some exceptions).</w:t>
      </w:r>
    </w:p>
  </w:footnote>
  <w:footnote w:id="7">
    <w:p w14:paraId="6E65F992" w14:textId="77777777" w:rsidR="00ED28B4" w:rsidRPr="00C135D2" w:rsidRDefault="00ED28B4" w:rsidP="00ED28B4">
      <w:pPr>
        <w:pStyle w:val="FootnoteText"/>
        <w:rPr>
          <w:i/>
          <w:iCs/>
          <w:sz w:val="18"/>
          <w:szCs w:val="18"/>
        </w:rPr>
      </w:pPr>
      <w:r w:rsidRPr="00C135D2">
        <w:rPr>
          <w:rStyle w:val="FootnoteReference"/>
          <w:sz w:val="18"/>
          <w:szCs w:val="18"/>
        </w:rPr>
        <w:footnoteRef/>
      </w:r>
      <w:r w:rsidRPr="00C135D2">
        <w:rPr>
          <w:sz w:val="18"/>
          <w:szCs w:val="18"/>
        </w:rPr>
        <w:t xml:space="preserve"> </w:t>
      </w:r>
      <w:r w:rsidRPr="00C135D2">
        <w:rPr>
          <w:sz w:val="16"/>
          <w:szCs w:val="16"/>
        </w:rPr>
        <w:t xml:space="preserve">The Treasury, </w:t>
      </w:r>
      <w:r w:rsidRPr="00C135D2">
        <w:rPr>
          <w:i/>
          <w:iCs/>
          <w:sz w:val="16"/>
          <w:szCs w:val="16"/>
        </w:rPr>
        <w:t>Australia’s Future Tax System: Final Report (2010), p. 485</w:t>
      </w:r>
    </w:p>
  </w:footnote>
  <w:footnote w:id="8">
    <w:p w14:paraId="23B9D75A" w14:textId="5E2B0031" w:rsidR="00092425" w:rsidRPr="00774BF1" w:rsidRDefault="00092425">
      <w:pPr>
        <w:pStyle w:val="FootnoteText"/>
        <w:rPr>
          <w:sz w:val="16"/>
          <w:szCs w:val="16"/>
        </w:rPr>
      </w:pPr>
      <w:r w:rsidRPr="00774BF1">
        <w:rPr>
          <w:rStyle w:val="FootnoteReference"/>
          <w:sz w:val="16"/>
          <w:szCs w:val="16"/>
        </w:rPr>
        <w:footnoteRef/>
      </w:r>
      <w:r w:rsidRPr="00774BF1">
        <w:rPr>
          <w:sz w:val="16"/>
          <w:szCs w:val="16"/>
        </w:rPr>
        <w:t xml:space="preserve"> </w:t>
      </w:r>
      <w:r w:rsidRPr="003E0D42">
        <w:rPr>
          <w:sz w:val="16"/>
          <w:szCs w:val="16"/>
        </w:rPr>
        <w:t xml:space="preserve">It is </w:t>
      </w:r>
      <w:r w:rsidRPr="00774BF1">
        <w:rPr>
          <w:sz w:val="16"/>
          <w:szCs w:val="16"/>
        </w:rPr>
        <w:t>noted that those on the Farm Household Allowance represent less than one per cent of income support recipients in scope for this review.</w:t>
      </w:r>
    </w:p>
  </w:footnote>
  <w:footnote w:id="9">
    <w:p w14:paraId="0184660F" w14:textId="670AF39F" w:rsidR="00D67D82" w:rsidRPr="007D4131" w:rsidRDefault="00D67D82">
      <w:pPr>
        <w:pStyle w:val="FootnoteText"/>
        <w:rPr>
          <w:sz w:val="16"/>
          <w:szCs w:val="16"/>
        </w:rPr>
      </w:pPr>
      <w:r>
        <w:rPr>
          <w:rStyle w:val="FootnoteReference"/>
        </w:rPr>
        <w:footnoteRef/>
      </w:r>
      <w:r>
        <w:t xml:space="preserve"> </w:t>
      </w:r>
      <w:r>
        <w:rPr>
          <w:sz w:val="16"/>
          <w:szCs w:val="16"/>
        </w:rPr>
        <w:t xml:space="preserve">Data refers to payment recipients, not the total number of payments made. Data excludes some in-scope payments so is approximate only and designed to </w:t>
      </w:r>
      <w:r w:rsidRPr="00A95732">
        <w:rPr>
          <w:sz w:val="16"/>
          <w:szCs w:val="16"/>
        </w:rPr>
        <w:t>give</w:t>
      </w:r>
      <w:r>
        <w:rPr>
          <w:sz w:val="16"/>
          <w:szCs w:val="16"/>
        </w:rPr>
        <w:t xml:space="preserve"> an indication of the representation achieved in the survey sample across key cohorts.</w:t>
      </w:r>
    </w:p>
  </w:footnote>
  <w:footnote w:id="10">
    <w:p w14:paraId="6D4049C7" w14:textId="3FD49BE1" w:rsidR="00D67D82" w:rsidRDefault="00D67D82">
      <w:pPr>
        <w:pStyle w:val="FootnoteText"/>
      </w:pPr>
      <w:r w:rsidRPr="00A95732">
        <w:rPr>
          <w:rStyle w:val="FootnoteReference"/>
          <w:sz w:val="16"/>
          <w:szCs w:val="16"/>
        </w:rPr>
        <w:footnoteRef/>
      </w:r>
      <w:r w:rsidRPr="00A95732">
        <w:rPr>
          <w:sz w:val="16"/>
          <w:szCs w:val="16"/>
        </w:rPr>
        <w:t xml:space="preserve"> External Services Australia and DSS data sources used can be found in </w:t>
      </w:r>
      <w:r w:rsidRPr="00A95732">
        <w:rPr>
          <w:sz w:val="16"/>
          <w:szCs w:val="16"/>
        </w:rPr>
        <w:fldChar w:fldCharType="begin"/>
      </w:r>
      <w:r w:rsidRPr="00A95732">
        <w:rPr>
          <w:sz w:val="16"/>
          <w:szCs w:val="16"/>
        </w:rPr>
        <w:instrText xml:space="preserve"> REF _Ref103937609 \h </w:instrText>
      </w:r>
      <w:r>
        <w:rPr>
          <w:sz w:val="16"/>
          <w:szCs w:val="16"/>
        </w:rPr>
        <w:instrText xml:space="preserve"> \* MERGEFORMAT </w:instrText>
      </w:r>
      <w:r w:rsidRPr="00A95732">
        <w:rPr>
          <w:sz w:val="16"/>
          <w:szCs w:val="16"/>
        </w:rPr>
      </w:r>
      <w:r w:rsidRPr="00A95732">
        <w:rPr>
          <w:sz w:val="16"/>
          <w:szCs w:val="16"/>
        </w:rPr>
        <w:fldChar w:fldCharType="separate"/>
      </w:r>
      <w:r w:rsidR="009B630A" w:rsidRPr="009B630A">
        <w:rPr>
          <w:sz w:val="16"/>
          <w:szCs w:val="16"/>
        </w:rPr>
        <w:t xml:space="preserve">Table </w:t>
      </w:r>
      <w:r w:rsidR="009B630A" w:rsidRPr="009B630A">
        <w:rPr>
          <w:noProof/>
          <w:sz w:val="16"/>
          <w:szCs w:val="16"/>
        </w:rPr>
        <w:t>17</w:t>
      </w:r>
      <w:r w:rsidR="009B630A" w:rsidRPr="009B630A">
        <w:rPr>
          <w:sz w:val="16"/>
          <w:szCs w:val="16"/>
        </w:rPr>
        <w:t>: External data sources referenced</w:t>
      </w:r>
      <w:r w:rsidRPr="00A95732">
        <w:rPr>
          <w:sz w:val="16"/>
          <w:szCs w:val="16"/>
        </w:rPr>
        <w:fldChar w:fldCharType="end"/>
      </w:r>
    </w:p>
  </w:footnote>
  <w:footnote w:id="11">
    <w:p w14:paraId="2A5BDB66" w14:textId="37A78FC9" w:rsidR="00D67D82" w:rsidRDefault="00D67D82" w:rsidP="00FB0866">
      <w:pPr>
        <w:pStyle w:val="FootnoteText"/>
      </w:pPr>
      <w:r w:rsidRPr="00A95732">
        <w:rPr>
          <w:rStyle w:val="FootnoteReference"/>
          <w:sz w:val="16"/>
          <w:szCs w:val="16"/>
        </w:rPr>
        <w:footnoteRef/>
      </w:r>
      <w:r w:rsidRPr="00A95732">
        <w:rPr>
          <w:sz w:val="16"/>
          <w:szCs w:val="16"/>
        </w:rPr>
        <w:t xml:space="preserve"> External Services Australia and DSS data sources used can be found in </w:t>
      </w:r>
      <w:r w:rsidRPr="00A95732">
        <w:rPr>
          <w:sz w:val="16"/>
          <w:szCs w:val="16"/>
        </w:rPr>
        <w:fldChar w:fldCharType="begin"/>
      </w:r>
      <w:r w:rsidRPr="00A95732">
        <w:rPr>
          <w:sz w:val="16"/>
          <w:szCs w:val="16"/>
        </w:rPr>
        <w:instrText xml:space="preserve"> REF _Ref103937609 \h </w:instrText>
      </w:r>
      <w:r>
        <w:rPr>
          <w:sz w:val="16"/>
          <w:szCs w:val="16"/>
        </w:rPr>
        <w:instrText xml:space="preserve"> \* MERGEFORMAT </w:instrText>
      </w:r>
      <w:r w:rsidRPr="00A95732">
        <w:rPr>
          <w:sz w:val="16"/>
          <w:szCs w:val="16"/>
        </w:rPr>
      </w:r>
      <w:r w:rsidRPr="00A95732">
        <w:rPr>
          <w:sz w:val="16"/>
          <w:szCs w:val="16"/>
        </w:rPr>
        <w:fldChar w:fldCharType="separate"/>
      </w:r>
      <w:r w:rsidR="009B630A" w:rsidRPr="009B630A">
        <w:rPr>
          <w:sz w:val="16"/>
          <w:szCs w:val="16"/>
        </w:rPr>
        <w:t xml:space="preserve">Table </w:t>
      </w:r>
      <w:r w:rsidR="009B630A" w:rsidRPr="009B630A">
        <w:rPr>
          <w:noProof/>
          <w:sz w:val="16"/>
          <w:szCs w:val="16"/>
        </w:rPr>
        <w:t>17</w:t>
      </w:r>
      <w:r w:rsidR="009B630A" w:rsidRPr="009B630A">
        <w:rPr>
          <w:sz w:val="16"/>
          <w:szCs w:val="16"/>
        </w:rPr>
        <w:t>: External data sources referenced</w:t>
      </w:r>
      <w:r w:rsidRPr="00A95732">
        <w:rPr>
          <w:sz w:val="16"/>
          <w:szCs w:val="16"/>
        </w:rPr>
        <w:fldChar w:fldCharType="end"/>
      </w:r>
    </w:p>
  </w:footnote>
  <w:footnote w:id="12">
    <w:p w14:paraId="634CFCCA" w14:textId="77777777" w:rsidR="00E348D8" w:rsidRPr="006B29CA" w:rsidRDefault="00E348D8" w:rsidP="00E348D8">
      <w:pPr>
        <w:pStyle w:val="FootnoteText"/>
        <w:rPr>
          <w:sz w:val="16"/>
          <w:szCs w:val="16"/>
        </w:rPr>
      </w:pPr>
      <w:r w:rsidRPr="006B29CA">
        <w:rPr>
          <w:sz w:val="16"/>
          <w:szCs w:val="16"/>
        </w:rPr>
        <w:footnoteRef/>
      </w:r>
      <w:r w:rsidRPr="006B29CA">
        <w:rPr>
          <w:sz w:val="16"/>
          <w:szCs w:val="16"/>
        </w:rPr>
        <w:t xml:space="preserve"> Q: Do you agree you felt adequately informed about your requirement to report in a different way moving forward? Base n = 47 </w:t>
      </w:r>
    </w:p>
  </w:footnote>
  <w:footnote w:id="13">
    <w:p w14:paraId="637E85C2" w14:textId="77777777" w:rsidR="00D67D82" w:rsidRPr="006B29CA" w:rsidRDefault="00D67D82" w:rsidP="00864C49">
      <w:pPr>
        <w:pStyle w:val="FootnoteText"/>
        <w:rPr>
          <w:sz w:val="16"/>
          <w:szCs w:val="16"/>
        </w:rPr>
      </w:pPr>
      <w:r w:rsidRPr="006B29CA">
        <w:rPr>
          <w:sz w:val="16"/>
          <w:szCs w:val="16"/>
        </w:rPr>
        <w:footnoteRef/>
      </w:r>
      <w:r w:rsidRPr="006B29CA">
        <w:rPr>
          <w:sz w:val="16"/>
          <w:szCs w:val="16"/>
        </w:rPr>
        <w:t xml:space="preserve"> Q: Do you recall hearing about or being notified about the above change before it was implemented? Base n = 50 </w:t>
      </w:r>
    </w:p>
  </w:footnote>
  <w:footnote w:id="14">
    <w:p w14:paraId="12F1FE42" w14:textId="786E428D" w:rsidR="00D67D82" w:rsidRPr="003E0D42" w:rsidRDefault="00D67D82" w:rsidP="00864C49">
      <w:pPr>
        <w:pStyle w:val="FootnoteText"/>
        <w:rPr>
          <w:sz w:val="16"/>
          <w:szCs w:val="16"/>
        </w:rPr>
      </w:pPr>
      <w:r w:rsidRPr="006B29CA">
        <w:rPr>
          <w:sz w:val="16"/>
          <w:szCs w:val="16"/>
        </w:rPr>
        <w:footnoteRef/>
      </w:r>
      <w:r w:rsidRPr="006B29CA">
        <w:rPr>
          <w:sz w:val="16"/>
          <w:szCs w:val="16"/>
        </w:rPr>
        <w:t xml:space="preserve"> Q</w:t>
      </w:r>
      <w:r w:rsidRPr="003E0D42">
        <w:rPr>
          <w:sz w:val="16"/>
          <w:szCs w:val="16"/>
        </w:rPr>
        <w:t>: How do you recall hearing about the change? Base n=15</w:t>
      </w:r>
    </w:p>
  </w:footnote>
  <w:footnote w:id="15">
    <w:p w14:paraId="471F1B7C" w14:textId="4ED2DB79" w:rsidR="00BD036D" w:rsidRPr="00774BF1" w:rsidRDefault="00BD036D">
      <w:pPr>
        <w:pStyle w:val="FootnoteText"/>
        <w:rPr>
          <w:sz w:val="16"/>
          <w:szCs w:val="16"/>
        </w:rPr>
      </w:pPr>
      <w:r w:rsidRPr="00FA105A">
        <w:rPr>
          <w:sz w:val="16"/>
          <w:szCs w:val="16"/>
        </w:rPr>
        <w:footnoteRef/>
      </w:r>
      <w:r w:rsidRPr="00FA105A">
        <w:rPr>
          <w:sz w:val="16"/>
          <w:szCs w:val="16"/>
        </w:rPr>
        <w:t xml:space="preserve"> </w:t>
      </w:r>
      <w:r w:rsidRPr="00774BF1">
        <w:rPr>
          <w:sz w:val="16"/>
          <w:szCs w:val="16"/>
        </w:rPr>
        <w:t xml:space="preserve">Throughout this report, “n=” is used to refer to the number of </w:t>
      </w:r>
      <w:r w:rsidR="00AA2928" w:rsidRPr="00774BF1">
        <w:rPr>
          <w:sz w:val="16"/>
          <w:szCs w:val="16"/>
        </w:rPr>
        <w:t>respondents</w:t>
      </w:r>
      <w:r w:rsidRPr="00774BF1">
        <w:rPr>
          <w:sz w:val="16"/>
          <w:szCs w:val="16"/>
        </w:rPr>
        <w:t xml:space="preserve"> to the particular survey question represented. The number of </w:t>
      </w:r>
      <w:r w:rsidR="00AA2928" w:rsidRPr="00774BF1">
        <w:rPr>
          <w:sz w:val="16"/>
          <w:szCs w:val="16"/>
        </w:rPr>
        <w:t>respondents</w:t>
      </w:r>
      <w:r w:rsidRPr="00774BF1">
        <w:rPr>
          <w:sz w:val="16"/>
          <w:szCs w:val="16"/>
        </w:rPr>
        <w:t xml:space="preserve"> excludes </w:t>
      </w:r>
      <w:r w:rsidR="00AA2928" w:rsidRPr="00774BF1">
        <w:rPr>
          <w:sz w:val="16"/>
          <w:szCs w:val="16"/>
        </w:rPr>
        <w:t>any responses of “not applicable”.</w:t>
      </w:r>
    </w:p>
  </w:footnote>
  <w:footnote w:id="16">
    <w:p w14:paraId="3FBAC54E" w14:textId="77777777" w:rsidR="00D67D82" w:rsidRPr="00774BF1" w:rsidRDefault="00D67D82" w:rsidP="00FA105A">
      <w:pPr>
        <w:pStyle w:val="FootnoteText"/>
        <w:rPr>
          <w:i/>
          <w:iCs/>
          <w:sz w:val="16"/>
          <w:szCs w:val="16"/>
        </w:rPr>
      </w:pPr>
      <w:r w:rsidRPr="00FA105A">
        <w:rPr>
          <w:sz w:val="16"/>
          <w:szCs w:val="16"/>
        </w:rPr>
        <w:footnoteRef/>
      </w:r>
      <w:r w:rsidRPr="00FA105A">
        <w:rPr>
          <w:sz w:val="12"/>
          <w:szCs w:val="12"/>
        </w:rPr>
        <w:t xml:space="preserve"> </w:t>
      </w:r>
      <w:r w:rsidRPr="003E0D42">
        <w:rPr>
          <w:sz w:val="16"/>
          <w:szCs w:val="16"/>
        </w:rPr>
        <w:t xml:space="preserve">Q: Do you recall hearing about or being notified about the above change before it was implemented? Base n = 50 </w:t>
      </w:r>
    </w:p>
  </w:footnote>
  <w:footnote w:id="17">
    <w:p w14:paraId="6EF2C9C6" w14:textId="77777777" w:rsidR="001712B3" w:rsidRPr="00774BF1" w:rsidRDefault="001712B3" w:rsidP="001712B3">
      <w:pPr>
        <w:pStyle w:val="FootnoteText"/>
        <w:rPr>
          <w:i/>
          <w:iCs/>
          <w:sz w:val="16"/>
          <w:szCs w:val="16"/>
        </w:rPr>
      </w:pPr>
      <w:r w:rsidRPr="003E0D42">
        <w:rPr>
          <w:sz w:val="16"/>
          <w:szCs w:val="16"/>
        </w:rPr>
        <w:footnoteRef/>
      </w:r>
      <w:r w:rsidRPr="003E0D42">
        <w:rPr>
          <w:sz w:val="16"/>
          <w:szCs w:val="16"/>
        </w:rPr>
        <w:t xml:space="preserve"> Q: Do you agree you felt adequately informed about your requirement to report in a different way moving forward? Base n = 47</w:t>
      </w:r>
      <w:r w:rsidRPr="003E0D42">
        <w:rPr>
          <w:i/>
          <w:iCs/>
          <w:sz w:val="16"/>
          <w:szCs w:val="16"/>
        </w:rPr>
        <w:t xml:space="preserve"> </w:t>
      </w:r>
    </w:p>
  </w:footnote>
  <w:footnote w:id="18">
    <w:p w14:paraId="51BABAD3" w14:textId="77777777" w:rsidR="004908AB" w:rsidRPr="003E0D42" w:rsidRDefault="004908AB" w:rsidP="004908AB">
      <w:pPr>
        <w:pStyle w:val="FootnoteText"/>
        <w:rPr>
          <w:sz w:val="16"/>
          <w:szCs w:val="16"/>
        </w:rPr>
      </w:pPr>
      <w:r w:rsidRPr="003E0D42">
        <w:rPr>
          <w:sz w:val="16"/>
          <w:szCs w:val="16"/>
        </w:rPr>
        <w:footnoteRef/>
      </w:r>
      <w:r w:rsidRPr="003E0D42">
        <w:rPr>
          <w:sz w:val="16"/>
          <w:szCs w:val="16"/>
        </w:rPr>
        <w:t xml:space="preserve"> Q: Do you recall hearing about the change? Base n=9</w:t>
      </w:r>
    </w:p>
  </w:footnote>
  <w:footnote w:id="19">
    <w:p w14:paraId="039E0387" w14:textId="77777777" w:rsidR="004908AB" w:rsidRPr="006B29CA" w:rsidRDefault="004908AB" w:rsidP="004908AB">
      <w:pPr>
        <w:pStyle w:val="FootnoteText"/>
        <w:rPr>
          <w:sz w:val="16"/>
          <w:szCs w:val="16"/>
        </w:rPr>
      </w:pPr>
      <w:r w:rsidRPr="003E0D42">
        <w:rPr>
          <w:sz w:val="16"/>
          <w:szCs w:val="16"/>
        </w:rPr>
        <w:footnoteRef/>
      </w:r>
      <w:r w:rsidRPr="003E0D42">
        <w:rPr>
          <w:sz w:val="16"/>
          <w:szCs w:val="16"/>
        </w:rPr>
        <w:t xml:space="preserve"> Q: How do you recall hearing about or being notified</w:t>
      </w:r>
      <w:r w:rsidRPr="006B29CA">
        <w:rPr>
          <w:sz w:val="16"/>
          <w:szCs w:val="16"/>
        </w:rPr>
        <w:t xml:space="preserve"> about the above change before it was implemented? Base n = 4 </w:t>
      </w:r>
    </w:p>
  </w:footnote>
  <w:footnote w:id="20">
    <w:p w14:paraId="151757FA" w14:textId="77777777" w:rsidR="004908AB" w:rsidRPr="006B29CA" w:rsidRDefault="004908AB" w:rsidP="004908AB">
      <w:pPr>
        <w:pStyle w:val="FootnoteText"/>
        <w:rPr>
          <w:sz w:val="16"/>
          <w:szCs w:val="16"/>
        </w:rPr>
      </w:pPr>
      <w:r w:rsidRPr="006B29CA">
        <w:rPr>
          <w:sz w:val="16"/>
          <w:szCs w:val="16"/>
        </w:rPr>
        <w:footnoteRef/>
      </w:r>
      <w:r w:rsidRPr="006B29CA">
        <w:rPr>
          <w:sz w:val="16"/>
          <w:szCs w:val="16"/>
        </w:rPr>
        <w:t xml:space="preserve"> Q: To what extent do you agree that your organisation felt adequately informed about the change to the employment income reporting process? Base n = 9</w:t>
      </w:r>
    </w:p>
  </w:footnote>
  <w:footnote w:id="21">
    <w:p w14:paraId="1816EB93" w14:textId="77777777" w:rsidR="00D67D82" w:rsidRPr="006B29CA" w:rsidRDefault="00D67D82" w:rsidP="00744D72">
      <w:pPr>
        <w:pStyle w:val="FootnoteText"/>
        <w:rPr>
          <w:sz w:val="16"/>
          <w:szCs w:val="16"/>
        </w:rPr>
      </w:pPr>
      <w:r w:rsidRPr="006B29CA">
        <w:rPr>
          <w:sz w:val="16"/>
          <w:szCs w:val="16"/>
        </w:rPr>
        <w:footnoteRef/>
      </w:r>
      <w:r w:rsidRPr="006B29CA">
        <w:rPr>
          <w:sz w:val="16"/>
          <w:szCs w:val="16"/>
        </w:rPr>
        <w:t xml:space="preserve"> Q: Open response: If anything, what</w:t>
      </w:r>
      <w:r w:rsidRPr="006B29CA" w:rsidDel="001D6F4F">
        <w:rPr>
          <w:sz w:val="16"/>
          <w:szCs w:val="16"/>
        </w:rPr>
        <w:t xml:space="preserve"> </w:t>
      </w:r>
      <w:r w:rsidRPr="006B29CA">
        <w:rPr>
          <w:sz w:val="16"/>
          <w:szCs w:val="16"/>
        </w:rPr>
        <w:t>could have been improved about how the change was communicated to your organisation? Base n=5</w:t>
      </w:r>
    </w:p>
  </w:footnote>
  <w:footnote w:id="22">
    <w:p w14:paraId="7BD13607" w14:textId="77777777" w:rsidR="00D67D82" w:rsidRPr="00B93545" w:rsidRDefault="00D67D82" w:rsidP="006B29CA">
      <w:pPr>
        <w:pStyle w:val="Caption"/>
        <w:rPr>
          <w:color w:val="auto"/>
          <w:sz w:val="20"/>
          <w:szCs w:val="20"/>
        </w:rPr>
      </w:pPr>
      <w:r w:rsidRPr="00A5048B">
        <w:rPr>
          <w:rStyle w:val="FootnoteReference"/>
          <w:i w:val="0"/>
          <w:iCs w:val="0"/>
          <w:sz w:val="16"/>
          <w:szCs w:val="16"/>
        </w:rPr>
        <w:footnoteRef/>
      </w:r>
      <w:r w:rsidRPr="00A5048B">
        <w:rPr>
          <w:i w:val="0"/>
          <w:iCs w:val="0"/>
          <w:sz w:val="16"/>
          <w:szCs w:val="16"/>
        </w:rPr>
        <w:t xml:space="preserve"> </w:t>
      </w:r>
      <w:r w:rsidRPr="00A5048B">
        <w:rPr>
          <w:i w:val="0"/>
          <w:iCs w:val="0"/>
          <w:color w:val="auto"/>
          <w:sz w:val="16"/>
          <w:szCs w:val="16"/>
        </w:rPr>
        <w:t>Q: Do you recall having any issues with reporting employment income during the transition period (December 2020)? Base n=36</w:t>
      </w:r>
    </w:p>
  </w:footnote>
  <w:footnote w:id="23">
    <w:p w14:paraId="1268CA3B" w14:textId="77777777" w:rsidR="00D67D82" w:rsidRPr="00B93545" w:rsidRDefault="00D67D82" w:rsidP="00FA4B53">
      <w:pPr>
        <w:pStyle w:val="Caption"/>
        <w:rPr>
          <w:color w:val="auto"/>
          <w:sz w:val="20"/>
          <w:szCs w:val="20"/>
        </w:rPr>
      </w:pPr>
      <w:r w:rsidRPr="00A5048B">
        <w:rPr>
          <w:rStyle w:val="FootnoteReference"/>
          <w:i w:val="0"/>
          <w:iCs w:val="0"/>
          <w:sz w:val="16"/>
          <w:szCs w:val="16"/>
        </w:rPr>
        <w:footnoteRef/>
      </w:r>
      <w:r w:rsidRPr="00A5048B">
        <w:rPr>
          <w:i w:val="0"/>
          <w:iCs w:val="0"/>
          <w:sz w:val="16"/>
          <w:szCs w:val="16"/>
        </w:rPr>
        <w:t xml:space="preserve"> </w:t>
      </w:r>
      <w:r w:rsidRPr="00A5048B">
        <w:rPr>
          <w:i w:val="0"/>
          <w:iCs w:val="0"/>
          <w:color w:val="auto"/>
          <w:sz w:val="16"/>
          <w:szCs w:val="16"/>
        </w:rPr>
        <w:t xml:space="preserve">Q: </w:t>
      </w:r>
      <w:r>
        <w:rPr>
          <w:i w:val="0"/>
          <w:iCs w:val="0"/>
          <w:color w:val="auto"/>
          <w:sz w:val="16"/>
          <w:szCs w:val="16"/>
        </w:rPr>
        <w:t xml:space="preserve">Open response: What issues do you recall having during the transition period </w:t>
      </w:r>
      <w:r w:rsidRPr="00A5048B">
        <w:rPr>
          <w:i w:val="0"/>
          <w:iCs w:val="0"/>
          <w:color w:val="auto"/>
          <w:sz w:val="16"/>
          <w:szCs w:val="16"/>
        </w:rPr>
        <w:t>(December 2020)? Base n=</w:t>
      </w:r>
      <w:r>
        <w:rPr>
          <w:i w:val="0"/>
          <w:iCs w:val="0"/>
          <w:color w:val="auto"/>
          <w:sz w:val="16"/>
          <w:szCs w:val="16"/>
        </w:rPr>
        <w:t>12</w:t>
      </w:r>
    </w:p>
  </w:footnote>
  <w:footnote w:id="24">
    <w:p w14:paraId="74EAB0CE" w14:textId="57DD5E0B" w:rsidR="00D67D82" w:rsidRPr="00B93545" w:rsidRDefault="00D67D82" w:rsidP="006B29CA">
      <w:pPr>
        <w:pStyle w:val="Caption"/>
        <w:rPr>
          <w:color w:val="auto"/>
          <w:sz w:val="20"/>
          <w:szCs w:val="20"/>
        </w:rPr>
      </w:pPr>
      <w:r w:rsidRPr="00A5048B">
        <w:rPr>
          <w:rStyle w:val="FootnoteReference"/>
          <w:i w:val="0"/>
          <w:iCs w:val="0"/>
          <w:sz w:val="16"/>
          <w:szCs w:val="16"/>
        </w:rPr>
        <w:footnoteRef/>
      </w:r>
      <w:r w:rsidRPr="00E85682">
        <w:rPr>
          <w:i w:val="0"/>
          <w:iCs w:val="0"/>
          <w:sz w:val="16"/>
          <w:szCs w:val="16"/>
        </w:rPr>
        <w:t xml:space="preserve"> </w:t>
      </w:r>
      <w:r w:rsidRPr="00E85682">
        <w:rPr>
          <w:i w:val="0"/>
          <w:iCs w:val="0"/>
          <w:color w:val="auto"/>
          <w:sz w:val="16"/>
          <w:szCs w:val="16"/>
        </w:rPr>
        <w:t>Q: Open response</w:t>
      </w:r>
      <w:r w:rsidRPr="00A5048B">
        <w:rPr>
          <w:i w:val="0"/>
          <w:iCs w:val="0"/>
          <w:color w:val="auto"/>
          <w:sz w:val="16"/>
          <w:szCs w:val="16"/>
        </w:rPr>
        <w:t>: Do you recall having any issues with reporting employment income during the transition period (December 2020)? Base n=36</w:t>
      </w:r>
    </w:p>
  </w:footnote>
  <w:footnote w:id="25">
    <w:p w14:paraId="1033F994" w14:textId="70FCECE4" w:rsidR="004D0B51" w:rsidRPr="000169C5" w:rsidRDefault="004D0B51">
      <w:pPr>
        <w:pStyle w:val="FootnoteText"/>
        <w:rPr>
          <w:sz w:val="16"/>
          <w:szCs w:val="16"/>
        </w:rPr>
      </w:pPr>
      <w:r w:rsidRPr="000169C5">
        <w:rPr>
          <w:rStyle w:val="FootnoteReference"/>
          <w:sz w:val="16"/>
          <w:szCs w:val="16"/>
        </w:rPr>
        <w:footnoteRef/>
      </w:r>
      <w:r w:rsidRPr="000169C5">
        <w:rPr>
          <w:sz w:val="16"/>
          <w:szCs w:val="16"/>
        </w:rPr>
        <w:t xml:space="preserve"> House of Representatives</w:t>
      </w:r>
      <w:r w:rsidR="00F37F03" w:rsidRPr="000169C5">
        <w:rPr>
          <w:sz w:val="16"/>
          <w:szCs w:val="16"/>
        </w:rPr>
        <w:t>, Social Services and Other Legislation Amendment (Simplifying Income Reporting and Other Measures) Bill 2020, Second Reading Speech, Thursday 6 February 2020</w:t>
      </w:r>
    </w:p>
  </w:footnote>
  <w:footnote w:id="26">
    <w:p w14:paraId="3B228251" w14:textId="77777777" w:rsidR="009C1D6B" w:rsidRPr="006B29CA" w:rsidRDefault="009C1D6B" w:rsidP="009C1D6B">
      <w:pPr>
        <w:pStyle w:val="FootnoteText"/>
        <w:rPr>
          <w:sz w:val="16"/>
          <w:szCs w:val="16"/>
        </w:rPr>
      </w:pPr>
      <w:r w:rsidRPr="006B29CA">
        <w:rPr>
          <w:rStyle w:val="FootnoteReference"/>
          <w:sz w:val="16"/>
          <w:szCs w:val="16"/>
        </w:rPr>
        <w:footnoteRef/>
      </w:r>
      <w:r w:rsidRPr="006B29CA">
        <w:rPr>
          <w:sz w:val="16"/>
          <w:szCs w:val="16"/>
        </w:rPr>
        <w:t xml:space="preserve"> Q: To what extent do you agree with the following statements? Base n=51</w:t>
      </w:r>
    </w:p>
  </w:footnote>
  <w:footnote w:id="27">
    <w:p w14:paraId="35EE2F40" w14:textId="77777777" w:rsidR="009C1D6B" w:rsidRPr="006B29CA" w:rsidRDefault="009C1D6B" w:rsidP="009C1D6B">
      <w:pPr>
        <w:pStyle w:val="BodyText"/>
        <w:spacing w:before="0" w:after="0"/>
        <w:rPr>
          <w:rFonts w:ascii="Arial" w:hAnsi="Arial" w:cs="Arial"/>
          <w:color w:val="2C2A29"/>
          <w:sz w:val="16"/>
          <w:szCs w:val="16"/>
          <w:shd w:val="clear" w:color="auto" w:fill="FFFFFF"/>
        </w:rPr>
      </w:pPr>
      <w:r w:rsidRPr="006B29CA">
        <w:rPr>
          <w:rStyle w:val="FootnoteReference"/>
          <w:sz w:val="16"/>
          <w:szCs w:val="16"/>
        </w:rPr>
        <w:footnoteRef/>
      </w:r>
      <w:r w:rsidRPr="006B29CA">
        <w:rPr>
          <w:sz w:val="16"/>
          <w:szCs w:val="16"/>
        </w:rPr>
        <w:t xml:space="preserve"> Q: To what extent do you agree with the following statements about the current employment income reporting process? Base n=9</w:t>
      </w:r>
    </w:p>
  </w:footnote>
  <w:footnote w:id="28">
    <w:p w14:paraId="0D976B37" w14:textId="77777777" w:rsidR="009C1D6B" w:rsidRPr="006B29CA" w:rsidRDefault="009C1D6B" w:rsidP="009C1D6B">
      <w:pPr>
        <w:pStyle w:val="FootnoteText"/>
        <w:rPr>
          <w:sz w:val="16"/>
          <w:szCs w:val="16"/>
        </w:rPr>
      </w:pPr>
      <w:r w:rsidRPr="006B29CA">
        <w:rPr>
          <w:rStyle w:val="FootnoteReference"/>
          <w:sz w:val="16"/>
          <w:szCs w:val="16"/>
        </w:rPr>
        <w:footnoteRef/>
      </w:r>
      <w:r w:rsidRPr="006B29CA">
        <w:rPr>
          <w:sz w:val="16"/>
          <w:szCs w:val="16"/>
        </w:rPr>
        <w:t xml:space="preserve"> Q: To what extent do you agree with the following statements? Base n=51</w:t>
      </w:r>
    </w:p>
  </w:footnote>
  <w:footnote w:id="29">
    <w:p w14:paraId="04F8E2F8" w14:textId="77777777" w:rsidR="009C1D6B" w:rsidRPr="00A33EEC" w:rsidRDefault="009C1D6B" w:rsidP="009C1D6B">
      <w:pPr>
        <w:pStyle w:val="FootnoteText"/>
        <w:rPr>
          <w:sz w:val="12"/>
          <w:szCs w:val="12"/>
        </w:rPr>
      </w:pPr>
      <w:r w:rsidRPr="006B29CA">
        <w:rPr>
          <w:rStyle w:val="FootnoteReference"/>
          <w:sz w:val="16"/>
          <w:szCs w:val="16"/>
        </w:rPr>
        <w:footnoteRef/>
      </w:r>
      <w:r w:rsidRPr="006B29CA">
        <w:rPr>
          <w:sz w:val="16"/>
          <w:szCs w:val="16"/>
        </w:rPr>
        <w:t xml:space="preserve"> Q: To what extent do you agree with the following statements? Base n=51</w:t>
      </w:r>
    </w:p>
  </w:footnote>
  <w:footnote w:id="30">
    <w:p w14:paraId="137CF58D" w14:textId="3E60E207" w:rsidR="00D67D82" w:rsidRPr="00A24755" w:rsidRDefault="00D67D82">
      <w:pPr>
        <w:pStyle w:val="FootnoteText"/>
        <w:rPr>
          <w:sz w:val="16"/>
          <w:szCs w:val="16"/>
        </w:rPr>
      </w:pPr>
      <w:r w:rsidRPr="00A24755">
        <w:rPr>
          <w:rStyle w:val="FootnoteReference"/>
          <w:sz w:val="16"/>
          <w:szCs w:val="16"/>
        </w:rPr>
        <w:footnoteRef/>
      </w:r>
      <w:r>
        <w:rPr>
          <w:sz w:val="16"/>
          <w:szCs w:val="16"/>
        </w:rPr>
        <w:t xml:space="preserve"> Q: Open-response: </w:t>
      </w:r>
      <w:r w:rsidRPr="00A24755">
        <w:rPr>
          <w:sz w:val="16"/>
          <w:szCs w:val="16"/>
        </w:rPr>
        <w:t>In what ways has the employment income reporting change made the process more complex?</w:t>
      </w:r>
      <w:r>
        <w:rPr>
          <w:sz w:val="16"/>
          <w:szCs w:val="16"/>
        </w:rPr>
        <w:t xml:space="preserve"> Base n=15</w:t>
      </w:r>
    </w:p>
  </w:footnote>
  <w:footnote w:id="31">
    <w:p w14:paraId="29DFD210" w14:textId="77777777" w:rsidR="00D67D82" w:rsidRPr="00A33EEC" w:rsidRDefault="00D67D82" w:rsidP="003B0889">
      <w:pPr>
        <w:pStyle w:val="FootnoteText"/>
        <w:rPr>
          <w:sz w:val="12"/>
          <w:szCs w:val="12"/>
        </w:rPr>
      </w:pPr>
      <w:r w:rsidRPr="006B29CA">
        <w:rPr>
          <w:rStyle w:val="FootnoteReference"/>
          <w:sz w:val="16"/>
          <w:szCs w:val="16"/>
        </w:rPr>
        <w:footnoteRef/>
      </w:r>
      <w:r w:rsidRPr="006B29CA">
        <w:rPr>
          <w:sz w:val="16"/>
          <w:szCs w:val="16"/>
        </w:rPr>
        <w:t xml:space="preserve"> Q: To what extent do you agree with the following statements? Base n=51</w:t>
      </w:r>
    </w:p>
  </w:footnote>
  <w:footnote w:id="32">
    <w:p w14:paraId="68078206" w14:textId="13DC93A5" w:rsidR="00D67D82" w:rsidRPr="00A33EEC" w:rsidRDefault="00D67D82" w:rsidP="003B0889">
      <w:pPr>
        <w:pStyle w:val="FootnoteText"/>
        <w:rPr>
          <w:sz w:val="12"/>
          <w:szCs w:val="12"/>
        </w:rPr>
      </w:pPr>
      <w:r w:rsidRPr="006B29CA">
        <w:rPr>
          <w:rStyle w:val="FootnoteReference"/>
          <w:sz w:val="16"/>
          <w:szCs w:val="16"/>
        </w:rPr>
        <w:footnoteRef/>
      </w:r>
      <w:r w:rsidRPr="006B29CA">
        <w:rPr>
          <w:sz w:val="16"/>
          <w:szCs w:val="16"/>
        </w:rPr>
        <w:t xml:space="preserve"> Q: </w:t>
      </w:r>
      <w:r>
        <w:rPr>
          <w:sz w:val="16"/>
          <w:szCs w:val="16"/>
        </w:rPr>
        <w:t xml:space="preserve">Open response: </w:t>
      </w:r>
      <w:r w:rsidRPr="005B15B7">
        <w:rPr>
          <w:sz w:val="16"/>
          <w:szCs w:val="16"/>
        </w:rPr>
        <w:t xml:space="preserve">How has your experience </w:t>
      </w:r>
      <w:r>
        <w:rPr>
          <w:sz w:val="16"/>
          <w:szCs w:val="16"/>
        </w:rPr>
        <w:t>change</w:t>
      </w:r>
      <w:r w:rsidRPr="005B15B7">
        <w:rPr>
          <w:sz w:val="16"/>
          <w:szCs w:val="16"/>
        </w:rPr>
        <w:t xml:space="preserve"> compared to this time 2 years ago</w:t>
      </w:r>
      <w:r>
        <w:rPr>
          <w:sz w:val="16"/>
          <w:szCs w:val="16"/>
        </w:rPr>
        <w:t xml:space="preserve">? </w:t>
      </w:r>
      <w:r w:rsidRPr="006B29CA">
        <w:rPr>
          <w:sz w:val="16"/>
          <w:szCs w:val="16"/>
        </w:rPr>
        <w:t>Base n=</w:t>
      </w:r>
      <w:r>
        <w:rPr>
          <w:sz w:val="16"/>
          <w:szCs w:val="16"/>
        </w:rPr>
        <w:t>27</w:t>
      </w:r>
    </w:p>
  </w:footnote>
  <w:footnote w:id="33">
    <w:p w14:paraId="1CE04CC8" w14:textId="3CF538E0" w:rsidR="00D67D82" w:rsidRDefault="00D67D82" w:rsidP="00774BF1">
      <w:pPr>
        <w:pStyle w:val="BodyText1"/>
        <w:spacing w:before="0" w:after="0"/>
      </w:pPr>
      <w:r w:rsidRPr="00A80810">
        <w:rPr>
          <w:rStyle w:val="FootnoteReference"/>
          <w:sz w:val="16"/>
          <w:szCs w:val="16"/>
        </w:rPr>
        <w:footnoteRef/>
      </w:r>
      <w:r w:rsidRPr="00A80810">
        <w:rPr>
          <w:sz w:val="16"/>
          <w:szCs w:val="16"/>
        </w:rPr>
        <w:t xml:space="preserve"> On a scale of 0-10, to what extent do you believe the change has impacted social security payment recipients?</w:t>
      </w:r>
      <w:r>
        <w:rPr>
          <w:sz w:val="16"/>
          <w:szCs w:val="16"/>
        </w:rPr>
        <w:t xml:space="preserve"> Base n=9</w:t>
      </w:r>
    </w:p>
  </w:footnote>
  <w:footnote w:id="34">
    <w:p w14:paraId="32A291C8" w14:textId="2FF0E1B3" w:rsidR="00196D9B" w:rsidRDefault="00196D9B">
      <w:pPr>
        <w:pStyle w:val="FootnoteText"/>
      </w:pPr>
      <w:r w:rsidRPr="00774BF1">
        <w:rPr>
          <w:rStyle w:val="FootnoteReference"/>
          <w:sz w:val="16"/>
          <w:szCs w:val="16"/>
        </w:rPr>
        <w:footnoteRef/>
      </w:r>
      <w:r w:rsidRPr="00774BF1">
        <w:rPr>
          <w:sz w:val="16"/>
          <w:szCs w:val="16"/>
        </w:rPr>
        <w:t xml:space="preserve"> It is noted that </w:t>
      </w:r>
      <w:r w:rsidR="007B07F1" w:rsidRPr="00774BF1">
        <w:rPr>
          <w:sz w:val="16"/>
          <w:szCs w:val="16"/>
        </w:rPr>
        <w:t>those on the Farm Household Allowance represent less than one per cent of income support recipients in scope for this review.</w:t>
      </w:r>
    </w:p>
  </w:footnote>
  <w:footnote w:id="35">
    <w:p w14:paraId="7A8ABA52" w14:textId="77777777" w:rsidR="00D67D82" w:rsidRPr="006A53E4" w:rsidRDefault="00D67D82" w:rsidP="00E33AAA">
      <w:pPr>
        <w:pStyle w:val="FootnoteText"/>
        <w:rPr>
          <w:sz w:val="16"/>
          <w:szCs w:val="16"/>
        </w:rPr>
      </w:pPr>
      <w:r w:rsidRPr="006A53E4">
        <w:rPr>
          <w:rStyle w:val="FootnoteReference"/>
          <w:sz w:val="16"/>
          <w:szCs w:val="16"/>
        </w:rPr>
        <w:footnoteRef/>
      </w:r>
      <w:r w:rsidRPr="006A53E4">
        <w:rPr>
          <w:sz w:val="16"/>
          <w:szCs w:val="16"/>
        </w:rPr>
        <w:t xml:space="preserve"> Q: Compared to this time two years ago (beginning of 2020), would you say your experience with the employment income reporting process has changed? Base n=44</w:t>
      </w:r>
    </w:p>
  </w:footnote>
  <w:footnote w:id="36">
    <w:p w14:paraId="7ADEFE3D" w14:textId="66509CA1" w:rsidR="00D67D82" w:rsidRPr="006A53E4" w:rsidRDefault="00D67D82">
      <w:pPr>
        <w:pStyle w:val="FootnoteText"/>
        <w:rPr>
          <w:sz w:val="16"/>
          <w:szCs w:val="16"/>
        </w:rPr>
      </w:pPr>
      <w:r w:rsidRPr="006A53E4">
        <w:rPr>
          <w:rStyle w:val="FootnoteReference"/>
          <w:sz w:val="16"/>
          <w:szCs w:val="16"/>
        </w:rPr>
        <w:footnoteRef/>
      </w:r>
      <w:r w:rsidRPr="006A53E4">
        <w:rPr>
          <w:sz w:val="16"/>
          <w:szCs w:val="16"/>
        </w:rPr>
        <w:t xml:space="preserve"> Q: On a scale of 0 to 10, to what extent did the employment income reporting change impact you? Base n=44</w:t>
      </w:r>
    </w:p>
  </w:footnote>
  <w:footnote w:id="37">
    <w:p w14:paraId="209DE7E9" w14:textId="3CE9D456" w:rsidR="00D67D82" w:rsidRPr="006A53E4" w:rsidRDefault="00D67D82">
      <w:pPr>
        <w:pStyle w:val="FootnoteText"/>
        <w:rPr>
          <w:sz w:val="16"/>
          <w:szCs w:val="16"/>
        </w:rPr>
      </w:pPr>
      <w:r w:rsidRPr="006A53E4">
        <w:rPr>
          <w:rStyle w:val="FootnoteReference"/>
          <w:sz w:val="16"/>
          <w:szCs w:val="16"/>
        </w:rPr>
        <w:footnoteRef/>
      </w:r>
      <w:r w:rsidRPr="006A53E4">
        <w:rPr>
          <w:sz w:val="16"/>
          <w:szCs w:val="16"/>
        </w:rPr>
        <w:t xml:space="preserve"> Open response: How has your experience</w:t>
      </w:r>
      <w:r>
        <w:rPr>
          <w:sz w:val="16"/>
          <w:szCs w:val="16"/>
        </w:rPr>
        <w:t xml:space="preserve"> changed</w:t>
      </w:r>
      <w:r w:rsidRPr="006A53E4">
        <w:rPr>
          <w:sz w:val="16"/>
          <w:szCs w:val="16"/>
        </w:rPr>
        <w:t xml:space="preserve"> compared to this time 2 years ago? Base n=27</w:t>
      </w:r>
    </w:p>
  </w:footnote>
  <w:footnote w:id="38">
    <w:p w14:paraId="49A67E6D" w14:textId="77777777" w:rsidR="00D67D82" w:rsidRPr="006A53E4" w:rsidRDefault="00D67D82" w:rsidP="00006D44">
      <w:pPr>
        <w:pStyle w:val="FootnoteText"/>
        <w:rPr>
          <w:sz w:val="16"/>
          <w:szCs w:val="16"/>
        </w:rPr>
      </w:pPr>
      <w:r w:rsidRPr="006A53E4">
        <w:rPr>
          <w:rStyle w:val="FootnoteReference"/>
          <w:sz w:val="16"/>
          <w:szCs w:val="16"/>
        </w:rPr>
        <w:footnoteRef/>
      </w:r>
      <w:r w:rsidRPr="006A53E4">
        <w:rPr>
          <w:sz w:val="16"/>
          <w:szCs w:val="16"/>
        </w:rPr>
        <w:t xml:space="preserve"> Open response: How has your experience</w:t>
      </w:r>
      <w:r>
        <w:rPr>
          <w:sz w:val="16"/>
          <w:szCs w:val="16"/>
        </w:rPr>
        <w:t xml:space="preserve"> changed</w:t>
      </w:r>
      <w:r w:rsidRPr="006A53E4">
        <w:rPr>
          <w:sz w:val="16"/>
          <w:szCs w:val="16"/>
        </w:rPr>
        <w:t xml:space="preserve"> compared to this time 2 years ago? Base n=27</w:t>
      </w:r>
    </w:p>
  </w:footnote>
  <w:footnote w:id="39">
    <w:p w14:paraId="3151AE0F" w14:textId="77777777" w:rsidR="00D67D82" w:rsidRPr="00315A92" w:rsidRDefault="00D67D82" w:rsidP="006A53E4">
      <w:pPr>
        <w:pStyle w:val="FootnoteText"/>
        <w:rPr>
          <w:sz w:val="24"/>
          <w:szCs w:val="24"/>
        </w:rPr>
      </w:pPr>
      <w:r w:rsidRPr="006A53E4">
        <w:rPr>
          <w:rStyle w:val="FootnoteReference"/>
          <w:sz w:val="16"/>
          <w:szCs w:val="16"/>
        </w:rPr>
        <w:footnoteRef/>
      </w:r>
      <w:r w:rsidRPr="006A53E4">
        <w:rPr>
          <w:sz w:val="16"/>
          <w:szCs w:val="16"/>
        </w:rPr>
        <w:t xml:space="preserve"> Q: Compared to this time two years ago (beginning of 2020), would you say your experience with the employment income reporting process has changed? Base n=44</w:t>
      </w:r>
    </w:p>
  </w:footnote>
  <w:footnote w:id="40">
    <w:p w14:paraId="5D3679D4" w14:textId="77777777" w:rsidR="00D67D82" w:rsidRPr="00413855" w:rsidRDefault="00D67D82" w:rsidP="00536120">
      <w:pPr>
        <w:pStyle w:val="FootnoteText"/>
        <w:rPr>
          <w:sz w:val="16"/>
          <w:szCs w:val="16"/>
        </w:rPr>
      </w:pPr>
      <w:r w:rsidRPr="00413855">
        <w:rPr>
          <w:sz w:val="16"/>
          <w:szCs w:val="16"/>
        </w:rPr>
        <w:footnoteRef/>
      </w:r>
      <w:r w:rsidRPr="00413855">
        <w:rPr>
          <w:sz w:val="16"/>
          <w:szCs w:val="16"/>
        </w:rPr>
        <w:t xml:space="preserve"> Q: To what extent do you agree with the following statements? Base n=30</w:t>
      </w:r>
    </w:p>
  </w:footnote>
  <w:footnote w:id="41">
    <w:p w14:paraId="5C244944" w14:textId="6D2BFEAF" w:rsidR="004A65D5" w:rsidRPr="00DA4C6C" w:rsidRDefault="004A65D5">
      <w:pPr>
        <w:pStyle w:val="FootnoteText"/>
        <w:rPr>
          <w:sz w:val="16"/>
          <w:szCs w:val="16"/>
        </w:rPr>
      </w:pPr>
      <w:r w:rsidRPr="00413855">
        <w:rPr>
          <w:rStyle w:val="FootnoteReference"/>
          <w:sz w:val="16"/>
          <w:szCs w:val="16"/>
        </w:rPr>
        <w:footnoteRef/>
      </w:r>
      <w:r w:rsidRPr="00413855">
        <w:rPr>
          <w:sz w:val="16"/>
          <w:szCs w:val="16"/>
        </w:rPr>
        <w:t xml:space="preserve"> Multi-agency Government Submission: Senate Community Affairs Legislation Committee inquiry; Social Services and Other legislation Amendment (Simplifying Income Reporting and Other Measures) Bill 2020, page 8</w:t>
      </w:r>
    </w:p>
  </w:footnote>
  <w:footnote w:id="42">
    <w:p w14:paraId="6C6F4721" w14:textId="0FB319A1" w:rsidR="00263E43" w:rsidRDefault="00263E43">
      <w:pPr>
        <w:pStyle w:val="FootnoteText"/>
      </w:pPr>
      <w:r>
        <w:rPr>
          <w:rStyle w:val="FootnoteReference"/>
        </w:rPr>
        <w:footnoteRef/>
      </w:r>
      <w:r>
        <w:t xml:space="preserve"> </w:t>
      </w:r>
      <w:r w:rsidRPr="00413855">
        <w:rPr>
          <w:sz w:val="16"/>
          <w:szCs w:val="16"/>
        </w:rPr>
        <w:t>Multi-agency Government Submission: Senate Community Affairs Legislation Committee inquiry; Social Services and Other legislation Amendment (Simplifying Income Reporting and Other Measures) Bill 2020, page 8</w:t>
      </w:r>
    </w:p>
  </w:footnote>
  <w:footnote w:id="43">
    <w:p w14:paraId="2D1E1808" w14:textId="3D39731B" w:rsidR="00D67D82" w:rsidRDefault="00D67D82">
      <w:pPr>
        <w:pStyle w:val="FootnoteText"/>
      </w:pPr>
      <w:r>
        <w:rPr>
          <w:rStyle w:val="FootnoteReference"/>
        </w:rPr>
        <w:footnoteRef/>
      </w:r>
      <w:r>
        <w:t xml:space="preserve"> </w:t>
      </w:r>
      <w:r w:rsidRPr="006A1AFE">
        <w:rPr>
          <w:sz w:val="16"/>
          <w:szCs w:val="16"/>
        </w:rPr>
        <w:t>Q: On a scale of 0 to 10, to what extent has the change to pensioner payment reporting frequency impacted you?</w:t>
      </w:r>
      <w:r>
        <w:rPr>
          <w:sz w:val="16"/>
          <w:szCs w:val="16"/>
        </w:rPr>
        <w:t xml:space="preserve"> Base n=22</w:t>
      </w:r>
    </w:p>
  </w:footnote>
  <w:footnote w:id="44">
    <w:p w14:paraId="180784CE" w14:textId="217AEA07" w:rsidR="00D67D82" w:rsidRPr="003F038B" w:rsidRDefault="00D67D82">
      <w:pPr>
        <w:pStyle w:val="FootnoteText"/>
        <w:rPr>
          <w:sz w:val="16"/>
          <w:szCs w:val="16"/>
        </w:rPr>
      </w:pPr>
      <w:r w:rsidRPr="003F038B">
        <w:rPr>
          <w:rStyle w:val="FootnoteReference"/>
          <w:sz w:val="16"/>
          <w:szCs w:val="16"/>
        </w:rPr>
        <w:footnoteRef/>
      </w:r>
      <w:r w:rsidRPr="003F038B">
        <w:rPr>
          <w:sz w:val="16"/>
          <w:szCs w:val="16"/>
        </w:rPr>
        <w:t xml:space="preserve"> </w:t>
      </w:r>
      <w:r>
        <w:rPr>
          <w:sz w:val="16"/>
          <w:szCs w:val="16"/>
        </w:rPr>
        <w:t>Q:</w:t>
      </w:r>
      <w:r w:rsidRPr="003F038B">
        <w:rPr>
          <w:sz w:val="16"/>
          <w:szCs w:val="16"/>
        </w:rPr>
        <w:t xml:space="preserve"> On a scale of 0 to 10, to what extent do you believe the change to pensioner payment reporting frequency has impacted social security payment recipients?</w:t>
      </w:r>
      <w:r>
        <w:rPr>
          <w:sz w:val="16"/>
          <w:szCs w:val="16"/>
        </w:rPr>
        <w:t xml:space="preserve"> Base n=8</w:t>
      </w:r>
    </w:p>
  </w:footnote>
  <w:footnote w:id="45">
    <w:p w14:paraId="5C400093" w14:textId="021988D0" w:rsidR="00D67D82" w:rsidRPr="00CA2C01" w:rsidRDefault="00D67D82">
      <w:pPr>
        <w:pStyle w:val="FootnoteText"/>
        <w:rPr>
          <w:i/>
          <w:iCs/>
        </w:rPr>
      </w:pPr>
      <w:r w:rsidRPr="00CA2C01">
        <w:rPr>
          <w:rStyle w:val="FootnoteReference"/>
          <w:i/>
          <w:iCs/>
          <w:sz w:val="12"/>
          <w:szCs w:val="12"/>
        </w:rPr>
        <w:footnoteRef/>
      </w:r>
      <w:r w:rsidRPr="00CA2C01">
        <w:rPr>
          <w:i/>
          <w:iCs/>
          <w:sz w:val="12"/>
          <w:szCs w:val="12"/>
        </w:rPr>
        <w:t xml:space="preserve"> Throughout the Discussion Paper where KPMG refer to ‘social security payment,’ this also includes the Farm Allowance and Status Resolution Support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47E" w14:textId="77777777" w:rsidR="00D67D82" w:rsidRDefault="00D67D82">
    <w:pPr>
      <w:pStyle w:val="Header"/>
    </w:pPr>
    <w:r>
      <w:rPr>
        <w:noProof/>
        <w:lang w:eastAsia="en-AU"/>
      </w:rPr>
      <mc:AlternateContent>
        <mc:Choice Requires="wps">
          <w:drawing>
            <wp:anchor distT="0" distB="0" distL="114300" distR="114300" simplePos="0" relativeHeight="251658242" behindDoc="1" locked="0" layoutInCell="1" allowOverlap="1" wp14:anchorId="5FF70952" wp14:editId="7AB45ED5">
              <wp:simplePos x="0" y="0"/>
              <wp:positionH relativeFrom="page">
                <wp:align>center</wp:align>
              </wp:positionH>
              <wp:positionV relativeFrom="page">
                <wp:align>center</wp:align>
              </wp:positionV>
              <wp:extent cx="4964430" cy="1724025"/>
              <wp:effectExtent l="0" t="1517015" r="0" b="1521460"/>
              <wp:wrapNone/>
              <wp:docPr id="340" name="Text Box 340 KISDraf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3CC003B3" w14:textId="77777777" w:rsidR="00D67D82" w:rsidRDefault="00D67D82" w:rsidP="00C7392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F70952" id="_x0000_t202" coordsize="21600,21600" o:spt="202" path="m,l,21600r21600,l21600,xe">
              <v:stroke joinstyle="miter"/>
              <v:path gradientshapeok="t" o:connecttype="rect"/>
            </v:shapetype>
            <v:shape id="Text Box 340 KISDraft" o:spid="_x0000_s1026" type="#_x0000_t202" alt="&quot;&quot;" style="position:absolute;margin-left:0;margin-top:0;width:390.9pt;height:135.75pt;rotation:-45;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UHDwIAAPcDAAAOAAAAZHJzL2Uyb0RvYy54bWysU01v2zAMvQ/YfxB0X+ykadcacYqsXYdh&#10;3VYgGXpW9BF7s0yNUmLn35eS3bTYbsN8ECxKfHzvkVpc97ZhB42+hrbk00nOmW4lqLrdlfzH5u7d&#10;JWc+iFaJBlpd8qP2/Hr59s2ic4WeQQWN0sgIpPVF50peheCKLPOy0lb4CTjd0qEBtCLQFneZQtER&#10;um2yWZ5fZB2gcghSe0/R2+GQLxO+MVqG78Z4HVhTcuIW0opp3cY1Wy5EsUPhqlqONMQ/sLCibqno&#10;CepWBMH2WP8FZWuJ4MGEiQSbgTG11EkDqZnmf6hZV8LppIXM8e5kk/9/sPLb4QFZrUp+Nid/WmGp&#10;SRvdB/YBekYx9uXzmlw1IVrVOV9QxtpRTujpBrU8yfbuHuQvz1q4qUS70ytE6CotFFGdEuwYToI2&#10;R0c1UjQW+qhq6so0wmev8IdiPlbadl9BUYrYB0jVeoOWIcS0y6s8filMbjJiRDKOp9ZGJZKC86uL&#10;+fyMjiSdTd/P5vnsPJUURUSLrXPowycNlsWfkiPNToIVh3sfIruXKyPVyG7gGfptP/qzBXUk0h3N&#10;VMn9771ATQbs7Q3QCJJqg2AfaWhXmGQ/V970jwLdWDsQ7YfmeaYSgTRcamyQUD8JyDY0qgfRsPNk&#10;wUBxvDySHVBjrncrsu+uTkqizwPPUQlNVxI4voQ4vq/36dbLe10+AQAA//8DAFBLAwQUAAYACAAA&#10;ACEAKASPKdsAAAAFAQAADwAAAGRycy9kb3ducmV2LnhtbEyPwU7DMBBE70j8g7WVuFEnRdAqxKkQ&#10;EYce2yLObrxNQu11iJ0m5etZuNDLSKtZzbzJ15Oz4ox9aD0pSOcJCKTKm5ZqBe/7t/sViBA1GW09&#10;oYILBlgXtze5zowfaYvnXawFh1DItIImxi6TMlQNOh3mvkNi7+h7pyOffS1Nr0cOd1YukuRJOt0S&#10;NzS6w9cGq9NucArM9/HSPYzjfrPZlsOXbcsSPz6VuptNL88gIk7x/xl+8RkdCmY6+IFMEFYBD4l/&#10;yt5ylfKMg4LFMn0EWeTymr74AQAA//8DAFBLAQItABQABgAIAAAAIQC2gziS/gAAAOEBAAATAAAA&#10;AAAAAAAAAAAAAAAAAABbQ29udGVudF9UeXBlc10ueG1sUEsBAi0AFAAGAAgAAAAhADj9If/WAAAA&#10;lAEAAAsAAAAAAAAAAAAAAAAALwEAAF9yZWxzLy5yZWxzUEsBAi0AFAAGAAgAAAAhANIvxQcPAgAA&#10;9wMAAA4AAAAAAAAAAAAAAAAALgIAAGRycy9lMm9Eb2MueG1sUEsBAi0AFAAGAAgAAAAhACgEjynb&#10;AAAABQEAAA8AAAAAAAAAAAAAAAAAaQQAAGRycy9kb3ducmV2LnhtbFBLBQYAAAAABAAEAPMAAABx&#10;BQAAAAA=&#10;" filled="f" stroked="f">
              <o:lock v:ext="edit" shapetype="t"/>
              <v:textbox style="mso-fit-shape-to-text:t">
                <w:txbxContent>
                  <w:p w14:paraId="3CC003B3" w14:textId="77777777" w:rsidR="00D67D82" w:rsidRDefault="00D67D82" w:rsidP="00C7392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70AC" w14:textId="77777777" w:rsidR="00D67D82" w:rsidRDefault="00D67D82">
    <w:pPr>
      <w:pStyle w:val="Header"/>
    </w:pPr>
    <w:r>
      <w:rPr>
        <w:noProof/>
        <w:lang w:eastAsia="en-AU"/>
      </w:rPr>
      <mc:AlternateContent>
        <mc:Choice Requires="wps">
          <w:drawing>
            <wp:anchor distT="0" distB="0" distL="114300" distR="114300" simplePos="0" relativeHeight="251658241" behindDoc="1" locked="0" layoutInCell="1" allowOverlap="1" wp14:anchorId="298CF07C" wp14:editId="1BFEB915">
              <wp:simplePos x="0" y="0"/>
              <wp:positionH relativeFrom="page">
                <wp:align>center</wp:align>
              </wp:positionH>
              <wp:positionV relativeFrom="page">
                <wp:align>center</wp:align>
              </wp:positionV>
              <wp:extent cx="4964430" cy="1724025"/>
              <wp:effectExtent l="0" t="1517015" r="0" b="1521460"/>
              <wp:wrapNone/>
              <wp:docPr id="339" name="Text Box 339 KISDraf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3F4A294E" w14:textId="77777777" w:rsidR="00D67D82" w:rsidRDefault="00D67D82" w:rsidP="00C7392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8CF07C" id="_x0000_t202" coordsize="21600,21600" o:spt="202" path="m,l,21600r21600,l21600,xe">
              <v:stroke joinstyle="miter"/>
              <v:path gradientshapeok="t" o:connecttype="rect"/>
            </v:shapetype>
            <v:shape id="Text Box 339 KISDraft" o:spid="_x0000_s1027" type="#_x0000_t202" alt="&quot;&quot;" style="position:absolute;margin-left:0;margin-top:0;width:390.9pt;height:135.75pt;rotation:-45;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8EgIAAP4DAAAOAAAAZHJzL2Uyb0RvYy54bWysU01v2zAMvQ/YfxB0X+18tGuMOEXWrsOw&#10;biuQDD0rkhx7s0SNUmLn35dS3KTYbsN8ECxKfHyPfJrf9KZle42+AVvy0UXOmbYSVGO3Jf+xvn93&#10;zZkPwirRgtUlP2jPbxZv38w7V+gx1NAqjYxArC86V/I6BFdkmZe1NsJfgNOWDitAIwJtcZspFB2h&#10;mzYb5/lV1gEqhyC19xS9Ox7yRcKvKi3D96ryOrC25MQtpBXTuolrtpiLYovC1Y0caIh/YGFEY6no&#10;CepOBMF22PwFZRqJ4KEKFxJMBlXVSJ00kJpR/oeaVS2cTlqoOd6d2uT/H6z8tn9E1qiSTyYzzqww&#10;NKS17gP7AD2jGPvyeUVdrUJsVed8QRkrRzmhpxs08iTbuweQvzyzcFsLu9VLROhqLRRRHRHsEE6C&#10;1gdHNVI0FvqoGprKKMJnr/CPxXystOm+gqIUsQuQqvUVGoYQ065nefxSmLrJiBGN+XAabVQiKTid&#10;XU2nEzqSdDZ6P57m48tUUhQRLY7OoQ+fNBgWf0qO5J0EK/YPPkR25ysD1cjuyDP0mz51MemIMjag&#10;DsS9I2uV3P/eCdTUh525BXIiia8QzBN5d4lJ/QuBdf8k0A0UArF/bF+slXgkj6lhTkL9JCDTkmP3&#10;omWXqRNHpsPlgfMRNeZ6t6Qu3jdJ0JnnIIhMlnQODyK6+PU+3To/28UzAAAA//8DAFBLAwQUAAYA&#10;CAAAACEAKASPKdsAAAAFAQAADwAAAGRycy9kb3ducmV2LnhtbEyPwU7DMBBE70j8g7WVuFEnRdAq&#10;xKkQEYce2yLObrxNQu11iJ0m5etZuNDLSKtZzbzJ15Oz4ox9aD0pSOcJCKTKm5ZqBe/7t/sViBA1&#10;GW09oYILBlgXtze5zowfaYvnXawFh1DItIImxi6TMlQNOh3mvkNi7+h7pyOffS1Nr0cOd1YukuRJ&#10;Ot0SNzS6w9cGq9NucArM9/HSPYzjfrPZlsOXbcsSPz6VuptNL88gIk7x/xl+8RkdCmY6+IFMEFYB&#10;D4l/yt5ylfKMg4LFMn0EWeTymr74AQAA//8DAFBLAQItABQABgAIAAAAIQC2gziS/gAAAOEBAAAT&#10;AAAAAAAAAAAAAAAAAAAAAABbQ29udGVudF9UeXBlc10ueG1sUEsBAi0AFAAGAAgAAAAhADj9If/W&#10;AAAAlAEAAAsAAAAAAAAAAAAAAAAALwEAAF9yZWxzLy5yZWxzUEsBAi0AFAAGAAgAAAAhAP/mcnwS&#10;AgAA/gMAAA4AAAAAAAAAAAAAAAAALgIAAGRycy9lMm9Eb2MueG1sUEsBAi0AFAAGAAgAAAAhACgE&#10;jynbAAAABQEAAA8AAAAAAAAAAAAAAAAAbAQAAGRycy9kb3ducmV2LnhtbFBLBQYAAAAABAAEAPMA&#10;AAB0BQAAAAA=&#10;" filled="f" stroked="f">
              <o:lock v:ext="edit" shapetype="t"/>
              <v:textbox style="mso-fit-shape-to-text:t">
                <w:txbxContent>
                  <w:p w14:paraId="3F4A294E" w14:textId="77777777" w:rsidR="00D67D82" w:rsidRDefault="00D67D82" w:rsidP="00C7392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54C1" w14:textId="78ACDD0A" w:rsidR="00D67D82" w:rsidRDefault="00D67D82">
    <w:pPr>
      <w:pStyle w:val="Header"/>
    </w:pPr>
    <w:r>
      <w:rPr>
        <w:noProof/>
        <w:lang w:eastAsia="en-AU"/>
      </w:rPr>
      <mc:AlternateContent>
        <mc:Choice Requires="wps">
          <w:drawing>
            <wp:anchor distT="0" distB="0" distL="114300" distR="114300" simplePos="0" relativeHeight="251658240" behindDoc="0" locked="0" layoutInCell="1" allowOverlap="1" wp14:anchorId="626E8B05" wp14:editId="35D5FE51">
              <wp:simplePos x="0" y="0"/>
              <wp:positionH relativeFrom="page">
                <wp:posOffset>12065</wp:posOffset>
              </wp:positionH>
              <wp:positionV relativeFrom="paragraph">
                <wp:posOffset>-436245</wp:posOffset>
              </wp:positionV>
              <wp:extent cx="720000" cy="10692000"/>
              <wp:effectExtent l="0" t="0" r="4445" b="0"/>
              <wp:wrapNone/>
              <wp:docPr id="6" name="Rectangle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132ED" id="Rectangle 6" o:spid="_x0000_s1026" alt="&quot;&quot;" style="position:absolute;margin-left:.95pt;margin-top:-34.35pt;width:56.7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0nigIAAIkFAAAOAAAAZHJzL2Uyb0RvYy54bWysVFFP2zAQfp+0/2D5fSSpoBsVKapATJMQ&#10;IGDi2Th2Y8n2ebbbtPv1O9tpYAztYdpLYvvuvvN9/u7OzndGk63wQYFtaXNUUyIsh07ZdUu/P159&#10;+kJJiMx2TIMVLd2LQM+XHz+cDW4hZtCD7oQnCGLDYnAt7WN0i6oKvBeGhSNwwqJRgjcs4tavq86z&#10;AdGNrmZ1Pa8G8J3zwEUIeHpZjHSZ8aUUPN5KGUQkuqV4t5i/Pn+f07danrHF2jPXKz5eg/3DLQxT&#10;FpNOUJcsMrLx6g8oo7iHADIecTAVSKm4yDVgNU39ppqHnjmRa0FygptoCv8Plt9s7zxRXUvnlFhm&#10;8InukTRm11qQeaJncGGBXg/uzo+7gMtU6056k/5YBdllSvcTpWIXCcfDz/hINRLP0dTU89O0TajV&#10;S7jzIX4VYEhatNRj+kwl216HWFwPLilbAK26K6V13iSdiAvtyZbhCzPOhY2zMcFvntomfwspsoCm&#10;kypVV+rJq7jXIvlpey8k0oIVzPJlsiDfJmqKqWedKPlPcrEFforIxWbAhCwx/4Q9ArxXRDMWMfqn&#10;UJH1PAXXf7tYucMUkTODjVOwURb8ewA6TpmL/4GkQk1i6Rm6PYrGQ+mm4PiVwqe7ZiHeMY/tg++N&#10;IyHe4kdqGFoK44qSHvzP986TP6oarZQM2I4tDT82zAtK9DeLej9tjo9T/+bN8QnKihL/2vL82mI3&#10;5gJQDw0OH8fzMvlHfVhKD+YJJ8cqZUUTsxxzt5RHf9hcxDImcPZwsVplN+xZx+K1fXA8gSdWkzQf&#10;d0/Mu1G/EaV/A4fWZYs3Mi6+KdLCahNBqqzxF15HvrHfs3DG2ZQGyut99nqZoMtfAAAA//8DAFBL&#10;AwQUAAYACAAAACEAoP1+HN0AAAAKAQAADwAAAGRycy9kb3ducmV2LnhtbEyPwU7DMBBE70j9B2sr&#10;cWudFCWkIU5VEL0gLi18gBMvSWi8jmI3DX/P9gS3Hc1o9k2xm20vJhx950hBvI5AINXOdNQo+Pw4&#10;rDIQPmgyuneECn7Qw65c3BU6N+5KR5xOoRFcQj7XCtoQhlxKX7dotV+7AYm9LzdaHViOjTSjvnK5&#10;7eUmilJpdUf8odUDvrRYn08Xq+DVuuT9ezvZw6arnEwzCs9vpNT9ct4/gQg4h78w3PAZHUpmqtyF&#10;jBc96y0HFazS7BHEzY+TBxAVH2mcxCDLQv6fUP4CAAD//wMAUEsBAi0AFAAGAAgAAAAhALaDOJL+&#10;AAAA4QEAABMAAAAAAAAAAAAAAAAAAAAAAFtDb250ZW50X1R5cGVzXS54bWxQSwECLQAUAAYACAAA&#10;ACEAOP0h/9YAAACUAQAACwAAAAAAAAAAAAAAAAAvAQAAX3JlbHMvLnJlbHNQSwECLQAUAAYACAAA&#10;ACEACUndJ4oCAACJBQAADgAAAAAAAAAAAAAAAAAuAgAAZHJzL2Uyb0RvYy54bWxQSwECLQAUAAYA&#10;CAAAACEAoP1+HN0AAAAKAQAADwAAAAAAAAAAAAAAAADkBAAAZHJzL2Rvd25yZXYueG1sUEsFBgAA&#10;AAAEAAQA8wAAAO4FAAAAAA==&#10;" fillcolor="#0091da [3205]"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F4A0" w14:textId="19CA202E" w:rsidR="00D67D82" w:rsidRDefault="00D67D82" w:rsidP="00757F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E373" w14:textId="6817473D" w:rsidR="00D67D82" w:rsidRDefault="00D6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348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5A4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2EBE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D6618C"/>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329AC82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569B0C"/>
    <w:lvl w:ilvl="0">
      <w:start w:val="1"/>
      <w:numFmt w:val="bullet"/>
      <w:pStyle w:val="ListBullet2"/>
      <w:lvlText w:val="-"/>
      <w:lvlJc w:val="left"/>
      <w:pPr>
        <w:tabs>
          <w:tab w:val="num" w:pos="697"/>
        </w:tabs>
        <w:ind w:left="697" w:hanging="340"/>
      </w:pPr>
      <w:rPr>
        <w:rFonts w:ascii="9999999" w:hAnsi="9999999" w:cs="Courier New" w:hint="default"/>
      </w:rPr>
    </w:lvl>
  </w:abstractNum>
  <w:abstractNum w:abstractNumId="6" w15:restartNumberingAfterBreak="0">
    <w:nsid w:val="FFFFFF88"/>
    <w:multiLevelType w:val="singleLevel"/>
    <w:tmpl w:val="F64EDA4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8FEE3B6"/>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8" w15:restartNumberingAfterBreak="0">
    <w:nsid w:val="01B65A3B"/>
    <w:multiLevelType w:val="singleLevel"/>
    <w:tmpl w:val="E354CA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2C273BD"/>
    <w:multiLevelType w:val="multilevel"/>
    <w:tmpl w:val="2B7A38C8"/>
    <w:lvl w:ilvl="0">
      <w:start w:val="1"/>
      <w:numFmt w:val="decimal"/>
      <w:lvlText w:val="D%1"/>
      <w:lvlJc w:val="left"/>
      <w:pPr>
        <w:ind w:left="720" w:hanging="360"/>
      </w:pPr>
      <w:rPr>
        <w:rFonts w:hint="default"/>
        <w:b/>
        <w:i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3016CFF"/>
    <w:multiLevelType w:val="hybridMultilevel"/>
    <w:tmpl w:val="9DBEE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6830AF"/>
    <w:multiLevelType w:val="hybridMultilevel"/>
    <w:tmpl w:val="E864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A21ED2"/>
    <w:multiLevelType w:val="hybridMultilevel"/>
    <w:tmpl w:val="32123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140AF2"/>
    <w:multiLevelType w:val="hybridMultilevel"/>
    <w:tmpl w:val="31F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CA58BF"/>
    <w:multiLevelType w:val="hybridMultilevel"/>
    <w:tmpl w:val="C6B4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4D6793"/>
    <w:multiLevelType w:val="singleLevel"/>
    <w:tmpl w:val="3D22CEDE"/>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0AE52253"/>
    <w:multiLevelType w:val="hybridMultilevel"/>
    <w:tmpl w:val="03FC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8" w15:restartNumberingAfterBreak="0">
    <w:nsid w:val="15CA1156"/>
    <w:multiLevelType w:val="hybridMultilevel"/>
    <w:tmpl w:val="8BDC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A8171C"/>
    <w:multiLevelType w:val="hybridMultilevel"/>
    <w:tmpl w:val="7CF43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D377FF"/>
    <w:multiLevelType w:val="hybridMultilevel"/>
    <w:tmpl w:val="8438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8F08A6"/>
    <w:multiLevelType w:val="hybridMultilevel"/>
    <w:tmpl w:val="F778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D20044"/>
    <w:multiLevelType w:val="hybridMultilevel"/>
    <w:tmpl w:val="253009AE"/>
    <w:lvl w:ilvl="0" w:tplc="34703EDA">
      <w:start w:val="1"/>
      <w:numFmt w:val="decimal"/>
      <w:lvlText w:val="C%1"/>
      <w:lvlJc w:val="left"/>
      <w:pPr>
        <w:ind w:left="720" w:hanging="360"/>
      </w:pPr>
      <w:rPr>
        <w:rFonts w:hint="default"/>
        <w:b/>
        <w:i w:val="0"/>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E545AA"/>
    <w:multiLevelType w:val="singleLevel"/>
    <w:tmpl w:val="C540C8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2E35596B"/>
    <w:multiLevelType w:val="hybridMultilevel"/>
    <w:tmpl w:val="7070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FE7DA6"/>
    <w:multiLevelType w:val="hybridMultilevel"/>
    <w:tmpl w:val="59A8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D03DA2"/>
    <w:multiLevelType w:val="multilevel"/>
    <w:tmpl w:val="E5DA9592"/>
    <w:lvl w:ilvl="0">
      <w:start w:val="1"/>
      <w:numFmt w:val="decimal"/>
      <w:pStyle w:val="Numberbullet1stleve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15:restartNumberingAfterBreak="0">
    <w:nsid w:val="33F61997"/>
    <w:multiLevelType w:val="multilevel"/>
    <w:tmpl w:val="4EE29128"/>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1674"/>
        </w:tabs>
        <w:ind w:left="1674" w:hanging="964"/>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357F166A"/>
    <w:multiLevelType w:val="multilevel"/>
    <w:tmpl w:val="768EC260"/>
    <w:lvl w:ilvl="0">
      <w:start w:val="1"/>
      <w:numFmt w:val="upperLetter"/>
      <w:pStyle w:val="Appendixheading"/>
      <w:suff w:val="nothing"/>
      <w:lvlText w:val="Appendix %1"/>
      <w:lvlJc w:val="left"/>
      <w:pPr>
        <w:ind w:left="0" w:firstLine="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833D8E"/>
    <w:multiLevelType w:val="hybridMultilevel"/>
    <w:tmpl w:val="7536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C371E8"/>
    <w:multiLevelType w:val="hybridMultilevel"/>
    <w:tmpl w:val="1DBC19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BD34954"/>
    <w:multiLevelType w:val="hybridMultilevel"/>
    <w:tmpl w:val="FFFAAB60"/>
    <w:lvl w:ilvl="0" w:tplc="8B4A3C06">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5C46C7"/>
    <w:multiLevelType w:val="hybridMultilevel"/>
    <w:tmpl w:val="2A8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2D062A"/>
    <w:multiLevelType w:val="hybridMultilevel"/>
    <w:tmpl w:val="5C70A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471882"/>
    <w:multiLevelType w:val="hybridMultilevel"/>
    <w:tmpl w:val="D160C9E4"/>
    <w:lvl w:ilvl="0" w:tplc="A41E829E">
      <w:start w:val="1"/>
      <w:numFmt w:val="bullet"/>
      <w:pStyle w:val="Bullet1stlevel"/>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C830B73"/>
    <w:multiLevelType w:val="hybridMultilevel"/>
    <w:tmpl w:val="B5224CDA"/>
    <w:lvl w:ilvl="0" w:tplc="CEB0E7CA">
      <w:start w:val="1"/>
      <w:numFmt w:val="decimal"/>
      <w:pStyle w:val="Numberbullet2ndlevel"/>
      <w:lvlText w:val="%1)"/>
      <w:lvlJc w:val="left"/>
      <w:pPr>
        <w:ind w:left="720" w:hanging="360"/>
      </w:pPr>
    </w:lvl>
    <w:lvl w:ilvl="1" w:tplc="D7AA11E6" w:tentative="1">
      <w:start w:val="1"/>
      <w:numFmt w:val="lowerLetter"/>
      <w:lvlText w:val="%2."/>
      <w:lvlJc w:val="left"/>
      <w:pPr>
        <w:ind w:left="1440" w:hanging="360"/>
      </w:pPr>
    </w:lvl>
    <w:lvl w:ilvl="2" w:tplc="EF6E1862" w:tentative="1">
      <w:start w:val="1"/>
      <w:numFmt w:val="lowerRoman"/>
      <w:lvlText w:val="%3."/>
      <w:lvlJc w:val="right"/>
      <w:pPr>
        <w:ind w:left="2160" w:hanging="180"/>
      </w:pPr>
    </w:lvl>
    <w:lvl w:ilvl="3" w:tplc="CDD265A8" w:tentative="1">
      <w:start w:val="1"/>
      <w:numFmt w:val="decimal"/>
      <w:lvlText w:val="%4."/>
      <w:lvlJc w:val="left"/>
      <w:pPr>
        <w:ind w:left="2880" w:hanging="360"/>
      </w:pPr>
    </w:lvl>
    <w:lvl w:ilvl="4" w:tplc="78642E24" w:tentative="1">
      <w:start w:val="1"/>
      <w:numFmt w:val="lowerLetter"/>
      <w:lvlText w:val="%5."/>
      <w:lvlJc w:val="left"/>
      <w:pPr>
        <w:ind w:left="3600" w:hanging="360"/>
      </w:pPr>
    </w:lvl>
    <w:lvl w:ilvl="5" w:tplc="97E6D6CE" w:tentative="1">
      <w:start w:val="1"/>
      <w:numFmt w:val="lowerRoman"/>
      <w:lvlText w:val="%6."/>
      <w:lvlJc w:val="right"/>
      <w:pPr>
        <w:ind w:left="4320" w:hanging="180"/>
      </w:pPr>
    </w:lvl>
    <w:lvl w:ilvl="6" w:tplc="2ACA1434" w:tentative="1">
      <w:start w:val="1"/>
      <w:numFmt w:val="decimal"/>
      <w:lvlText w:val="%7."/>
      <w:lvlJc w:val="left"/>
      <w:pPr>
        <w:ind w:left="5040" w:hanging="360"/>
      </w:pPr>
    </w:lvl>
    <w:lvl w:ilvl="7" w:tplc="72A249C4" w:tentative="1">
      <w:start w:val="1"/>
      <w:numFmt w:val="lowerLetter"/>
      <w:lvlText w:val="%8."/>
      <w:lvlJc w:val="left"/>
      <w:pPr>
        <w:ind w:left="5760" w:hanging="360"/>
      </w:pPr>
    </w:lvl>
    <w:lvl w:ilvl="8" w:tplc="670C93A4" w:tentative="1">
      <w:start w:val="1"/>
      <w:numFmt w:val="lowerRoman"/>
      <w:lvlText w:val="%9."/>
      <w:lvlJc w:val="right"/>
      <w:pPr>
        <w:ind w:left="6480" w:hanging="180"/>
      </w:pPr>
    </w:lvl>
  </w:abstractNum>
  <w:abstractNum w:abstractNumId="36" w15:restartNumberingAfterBreak="0">
    <w:nsid w:val="4CBA3B0F"/>
    <w:multiLevelType w:val="hybridMultilevel"/>
    <w:tmpl w:val="886AB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3014C9"/>
    <w:multiLevelType w:val="hybridMultilevel"/>
    <w:tmpl w:val="2572E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6309E2"/>
    <w:multiLevelType w:val="multilevel"/>
    <w:tmpl w:val="861AF5C8"/>
    <w:lvl w:ilvl="0">
      <w:start w:val="1"/>
      <w:numFmt w:val="decimal"/>
      <w:lvlText w:val="%1"/>
      <w:lvlJc w:val="left"/>
      <w:pPr>
        <w:tabs>
          <w:tab w:val="num" w:pos="340"/>
        </w:tabs>
        <w:ind w:left="340" w:hanging="340"/>
      </w:pPr>
      <w:rPr>
        <w:rFonts w:ascii="Arial" w:hAnsi="Arial" w:cs="Arial"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39" w15:restartNumberingAfterBreak="0">
    <w:nsid w:val="5A042708"/>
    <w:multiLevelType w:val="hybridMultilevel"/>
    <w:tmpl w:val="ECA2B3FE"/>
    <w:lvl w:ilvl="0" w:tplc="5B2CFBA8">
      <w:start w:val="1"/>
      <w:numFmt w:val="bullet"/>
      <w:pStyle w:val="CVbullet1"/>
      <w:lvlText w:val=""/>
      <w:lvlJc w:val="left"/>
      <w:pPr>
        <w:tabs>
          <w:tab w:val="num" w:pos="340"/>
        </w:tabs>
        <w:ind w:left="340" w:hanging="340"/>
      </w:pPr>
      <w:rPr>
        <w:rFonts w:ascii="Symbol" w:hAnsi="Symbol" w:hint="default"/>
        <w:color w:val="0091DA" w:themeColor="accent2"/>
        <w:sz w:val="22"/>
      </w:rPr>
    </w:lvl>
    <w:lvl w:ilvl="1" w:tplc="26D4EB7E" w:tentative="1">
      <w:start w:val="1"/>
      <w:numFmt w:val="bullet"/>
      <w:lvlText w:val="o"/>
      <w:lvlJc w:val="left"/>
      <w:pPr>
        <w:ind w:left="1440" w:hanging="360"/>
      </w:pPr>
      <w:rPr>
        <w:rFonts w:ascii="Courier New" w:hAnsi="Courier New" w:cs="Courier New" w:hint="default"/>
      </w:rPr>
    </w:lvl>
    <w:lvl w:ilvl="2" w:tplc="F154A4B4" w:tentative="1">
      <w:start w:val="1"/>
      <w:numFmt w:val="bullet"/>
      <w:lvlText w:val=""/>
      <w:lvlJc w:val="left"/>
      <w:pPr>
        <w:ind w:left="2160" w:hanging="360"/>
      </w:pPr>
      <w:rPr>
        <w:rFonts w:ascii="Wingdings" w:hAnsi="Wingdings" w:hint="default"/>
      </w:rPr>
    </w:lvl>
    <w:lvl w:ilvl="3" w:tplc="00C4CA86" w:tentative="1">
      <w:start w:val="1"/>
      <w:numFmt w:val="bullet"/>
      <w:lvlText w:val=""/>
      <w:lvlJc w:val="left"/>
      <w:pPr>
        <w:ind w:left="2880" w:hanging="360"/>
      </w:pPr>
      <w:rPr>
        <w:rFonts w:ascii="Symbol" w:hAnsi="Symbol" w:hint="default"/>
      </w:rPr>
    </w:lvl>
    <w:lvl w:ilvl="4" w:tplc="F474BA78" w:tentative="1">
      <w:start w:val="1"/>
      <w:numFmt w:val="bullet"/>
      <w:lvlText w:val="o"/>
      <w:lvlJc w:val="left"/>
      <w:pPr>
        <w:ind w:left="3600" w:hanging="360"/>
      </w:pPr>
      <w:rPr>
        <w:rFonts w:ascii="Courier New" w:hAnsi="Courier New" w:cs="Courier New" w:hint="default"/>
      </w:rPr>
    </w:lvl>
    <w:lvl w:ilvl="5" w:tplc="00F4D658" w:tentative="1">
      <w:start w:val="1"/>
      <w:numFmt w:val="bullet"/>
      <w:lvlText w:val=""/>
      <w:lvlJc w:val="left"/>
      <w:pPr>
        <w:ind w:left="4320" w:hanging="360"/>
      </w:pPr>
      <w:rPr>
        <w:rFonts w:ascii="Wingdings" w:hAnsi="Wingdings" w:hint="default"/>
      </w:rPr>
    </w:lvl>
    <w:lvl w:ilvl="6" w:tplc="A8FA230A" w:tentative="1">
      <w:start w:val="1"/>
      <w:numFmt w:val="bullet"/>
      <w:lvlText w:val=""/>
      <w:lvlJc w:val="left"/>
      <w:pPr>
        <w:ind w:left="5040" w:hanging="360"/>
      </w:pPr>
      <w:rPr>
        <w:rFonts w:ascii="Symbol" w:hAnsi="Symbol" w:hint="default"/>
      </w:rPr>
    </w:lvl>
    <w:lvl w:ilvl="7" w:tplc="83A608F4" w:tentative="1">
      <w:start w:val="1"/>
      <w:numFmt w:val="bullet"/>
      <w:lvlText w:val="o"/>
      <w:lvlJc w:val="left"/>
      <w:pPr>
        <w:ind w:left="5760" w:hanging="360"/>
      </w:pPr>
      <w:rPr>
        <w:rFonts w:ascii="Courier New" w:hAnsi="Courier New" w:cs="Courier New" w:hint="default"/>
      </w:rPr>
    </w:lvl>
    <w:lvl w:ilvl="8" w:tplc="EEBA0EE2" w:tentative="1">
      <w:start w:val="1"/>
      <w:numFmt w:val="bullet"/>
      <w:lvlText w:val=""/>
      <w:lvlJc w:val="left"/>
      <w:pPr>
        <w:ind w:left="6480" w:hanging="360"/>
      </w:pPr>
      <w:rPr>
        <w:rFonts w:ascii="Wingdings" w:hAnsi="Wingdings" w:hint="default"/>
      </w:rPr>
    </w:lvl>
  </w:abstractNum>
  <w:abstractNum w:abstractNumId="40" w15:restartNumberingAfterBreak="0">
    <w:nsid w:val="5CDD54BB"/>
    <w:multiLevelType w:val="hybridMultilevel"/>
    <w:tmpl w:val="7FF0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A365BA"/>
    <w:multiLevelType w:val="hybridMultilevel"/>
    <w:tmpl w:val="61567BE2"/>
    <w:lvl w:ilvl="0" w:tplc="EEA6000C">
      <w:start w:val="1"/>
      <w:numFmt w:val="bullet"/>
      <w:pStyle w:val="Bullet3rdlevel"/>
      <w:lvlText w:val="■"/>
      <w:lvlJc w:val="left"/>
      <w:pPr>
        <w:tabs>
          <w:tab w:val="num" w:pos="340"/>
        </w:tabs>
        <w:ind w:left="340" w:hanging="340"/>
      </w:pPr>
      <w:rPr>
        <w:rFonts w:ascii="Arial" w:hAnsi="Arial" w:hint="default"/>
        <w:color w:val="auto"/>
        <w:sz w:val="22"/>
      </w:rPr>
    </w:lvl>
    <w:lvl w:ilvl="1" w:tplc="1A06A362" w:tentative="1">
      <w:start w:val="1"/>
      <w:numFmt w:val="bullet"/>
      <w:lvlText w:val="o"/>
      <w:lvlJc w:val="left"/>
      <w:pPr>
        <w:ind w:left="1440" w:hanging="360"/>
      </w:pPr>
      <w:rPr>
        <w:rFonts w:ascii="Courier New" w:hAnsi="Courier New" w:cs="Courier New" w:hint="default"/>
      </w:rPr>
    </w:lvl>
    <w:lvl w:ilvl="2" w:tplc="6C3243DA" w:tentative="1">
      <w:start w:val="1"/>
      <w:numFmt w:val="bullet"/>
      <w:lvlText w:val=""/>
      <w:lvlJc w:val="left"/>
      <w:pPr>
        <w:ind w:left="2160" w:hanging="360"/>
      </w:pPr>
      <w:rPr>
        <w:rFonts w:ascii="Wingdings" w:hAnsi="Wingdings" w:hint="default"/>
      </w:rPr>
    </w:lvl>
    <w:lvl w:ilvl="3" w:tplc="81169C94" w:tentative="1">
      <w:start w:val="1"/>
      <w:numFmt w:val="bullet"/>
      <w:lvlText w:val=""/>
      <w:lvlJc w:val="left"/>
      <w:pPr>
        <w:ind w:left="2880" w:hanging="360"/>
      </w:pPr>
      <w:rPr>
        <w:rFonts w:ascii="Symbol" w:hAnsi="Symbol" w:hint="default"/>
      </w:rPr>
    </w:lvl>
    <w:lvl w:ilvl="4" w:tplc="5D10C81C" w:tentative="1">
      <w:start w:val="1"/>
      <w:numFmt w:val="bullet"/>
      <w:lvlText w:val="o"/>
      <w:lvlJc w:val="left"/>
      <w:pPr>
        <w:ind w:left="3600" w:hanging="360"/>
      </w:pPr>
      <w:rPr>
        <w:rFonts w:ascii="Courier New" w:hAnsi="Courier New" w:cs="Courier New" w:hint="default"/>
      </w:rPr>
    </w:lvl>
    <w:lvl w:ilvl="5" w:tplc="7F4035B0" w:tentative="1">
      <w:start w:val="1"/>
      <w:numFmt w:val="bullet"/>
      <w:lvlText w:val=""/>
      <w:lvlJc w:val="left"/>
      <w:pPr>
        <w:ind w:left="4320" w:hanging="360"/>
      </w:pPr>
      <w:rPr>
        <w:rFonts w:ascii="Wingdings" w:hAnsi="Wingdings" w:hint="default"/>
      </w:rPr>
    </w:lvl>
    <w:lvl w:ilvl="6" w:tplc="0A06F862" w:tentative="1">
      <w:start w:val="1"/>
      <w:numFmt w:val="bullet"/>
      <w:lvlText w:val=""/>
      <w:lvlJc w:val="left"/>
      <w:pPr>
        <w:ind w:left="5040" w:hanging="360"/>
      </w:pPr>
      <w:rPr>
        <w:rFonts w:ascii="Symbol" w:hAnsi="Symbol" w:hint="default"/>
      </w:rPr>
    </w:lvl>
    <w:lvl w:ilvl="7" w:tplc="7752FFEA" w:tentative="1">
      <w:start w:val="1"/>
      <w:numFmt w:val="bullet"/>
      <w:lvlText w:val="o"/>
      <w:lvlJc w:val="left"/>
      <w:pPr>
        <w:ind w:left="5760" w:hanging="360"/>
      </w:pPr>
      <w:rPr>
        <w:rFonts w:ascii="Courier New" w:hAnsi="Courier New" w:cs="Courier New" w:hint="default"/>
      </w:rPr>
    </w:lvl>
    <w:lvl w:ilvl="8" w:tplc="52E6CB08" w:tentative="1">
      <w:start w:val="1"/>
      <w:numFmt w:val="bullet"/>
      <w:lvlText w:val=""/>
      <w:lvlJc w:val="left"/>
      <w:pPr>
        <w:ind w:left="6480" w:hanging="360"/>
      </w:pPr>
      <w:rPr>
        <w:rFonts w:ascii="Wingdings" w:hAnsi="Wingdings" w:hint="default"/>
      </w:rPr>
    </w:lvl>
  </w:abstractNum>
  <w:abstractNum w:abstractNumId="42" w15:restartNumberingAfterBreak="0">
    <w:nsid w:val="65523EBC"/>
    <w:multiLevelType w:val="multilevel"/>
    <w:tmpl w:val="B776E390"/>
    <w:lvl w:ilvl="0">
      <w:start w:val="1"/>
      <w:numFmt w:val="decimal"/>
      <w:lvlText w:val="C%1"/>
      <w:lvlJc w:val="left"/>
      <w:pPr>
        <w:ind w:left="720" w:hanging="360"/>
      </w:pPr>
      <w:rPr>
        <w:rFonts w:hint="default"/>
        <w:b/>
        <w:i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68FA0B0C"/>
    <w:multiLevelType w:val="hybridMultilevel"/>
    <w:tmpl w:val="15AA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054DD7"/>
    <w:multiLevelType w:val="hybridMultilevel"/>
    <w:tmpl w:val="CCBE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467330"/>
    <w:multiLevelType w:val="multilevel"/>
    <w:tmpl w:val="284E7B64"/>
    <w:lvl w:ilvl="0">
      <w:start w:val="1"/>
      <w:numFmt w:val="decimal"/>
      <w:lvlText w:val="%1"/>
      <w:lvlJc w:val="left"/>
      <w:pPr>
        <w:tabs>
          <w:tab w:val="num" w:pos="340"/>
        </w:tabs>
        <w:ind w:left="340" w:hanging="340"/>
      </w:pPr>
      <w:rPr>
        <w:rFonts w:ascii="Univers 45 Light" w:hAnsi="Univers 45 Light" w:cs="Aria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6" w15:restartNumberingAfterBreak="0">
    <w:nsid w:val="7A09735C"/>
    <w:multiLevelType w:val="hybridMultilevel"/>
    <w:tmpl w:val="D870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6"/>
  </w:num>
  <w:num w:numId="4">
    <w:abstractNumId w:val="35"/>
  </w:num>
  <w:num w:numId="5">
    <w:abstractNumId w:val="39"/>
  </w:num>
  <w:num w:numId="6">
    <w:abstractNumId w:val="31"/>
  </w:num>
  <w:num w:numId="7">
    <w:abstractNumId w:val="7"/>
  </w:num>
  <w:num w:numId="8">
    <w:abstractNumId w:val="5"/>
  </w:num>
  <w:num w:numId="9">
    <w:abstractNumId w:val="4"/>
  </w:num>
  <w:num w:numId="10">
    <w:abstractNumId w:val="2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2"/>
  </w:num>
  <w:num w:numId="14">
    <w:abstractNumId w:val="36"/>
  </w:num>
  <w:num w:numId="15">
    <w:abstractNumId w:val="40"/>
  </w:num>
  <w:num w:numId="16">
    <w:abstractNumId w:val="20"/>
  </w:num>
  <w:num w:numId="17">
    <w:abstractNumId w:val="32"/>
  </w:num>
  <w:num w:numId="18">
    <w:abstractNumId w:val="18"/>
  </w:num>
  <w:num w:numId="19">
    <w:abstractNumId w:val="21"/>
  </w:num>
  <w:num w:numId="20">
    <w:abstractNumId w:val="13"/>
  </w:num>
  <w:num w:numId="21">
    <w:abstractNumId w:val="25"/>
  </w:num>
  <w:num w:numId="22">
    <w:abstractNumId w:val="46"/>
  </w:num>
  <w:num w:numId="23">
    <w:abstractNumId w:val="43"/>
  </w:num>
  <w:num w:numId="24">
    <w:abstractNumId w:val="11"/>
  </w:num>
  <w:num w:numId="25">
    <w:abstractNumId w:val="10"/>
  </w:num>
  <w:num w:numId="26">
    <w:abstractNumId w:val="19"/>
  </w:num>
  <w:num w:numId="27">
    <w:abstractNumId w:val="24"/>
  </w:num>
  <w:num w:numId="28">
    <w:abstractNumId w:val="37"/>
  </w:num>
  <w:num w:numId="29">
    <w:abstractNumId w:val="45"/>
  </w:num>
  <w:num w:numId="30">
    <w:abstractNumId w:val="15"/>
  </w:num>
  <w:num w:numId="31">
    <w:abstractNumId w:val="34"/>
  </w:num>
  <w:num w:numId="32">
    <w:abstractNumId w:val="16"/>
  </w:num>
  <w:num w:numId="33">
    <w:abstractNumId w:val="30"/>
  </w:num>
  <w:num w:numId="34">
    <w:abstractNumId w:val="38"/>
  </w:num>
  <w:num w:numId="35">
    <w:abstractNumId w:val="8"/>
  </w:num>
  <w:num w:numId="36">
    <w:abstractNumId w:val="33"/>
  </w:num>
  <w:num w:numId="37">
    <w:abstractNumId w:val="23"/>
  </w:num>
  <w:num w:numId="38">
    <w:abstractNumId w:val="44"/>
  </w:num>
  <w:num w:numId="39">
    <w:abstractNumId w:val="14"/>
  </w:num>
  <w:num w:numId="40">
    <w:abstractNumId w:val="22"/>
  </w:num>
  <w:num w:numId="41">
    <w:abstractNumId w:val="42"/>
  </w:num>
  <w:num w:numId="42">
    <w:abstractNumId w:val="9"/>
  </w:num>
  <w:num w:numId="43">
    <w:abstractNumId w:val="6"/>
  </w:num>
  <w:num w:numId="44">
    <w:abstractNumId w:val="3"/>
  </w:num>
  <w:num w:numId="45">
    <w:abstractNumId w:val="2"/>
  </w:num>
  <w:num w:numId="46">
    <w:abstractNumId w:val="1"/>
  </w:num>
  <w:num w:numId="47">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1"/>
  </w:docVars>
  <w:rsids>
    <w:rsidRoot w:val="00864EAA"/>
    <w:rsid w:val="000000E8"/>
    <w:rsid w:val="00000312"/>
    <w:rsid w:val="0000103D"/>
    <w:rsid w:val="00001231"/>
    <w:rsid w:val="000012E1"/>
    <w:rsid w:val="00001DEB"/>
    <w:rsid w:val="000040AC"/>
    <w:rsid w:val="00004988"/>
    <w:rsid w:val="000050DA"/>
    <w:rsid w:val="00005674"/>
    <w:rsid w:val="00005A4E"/>
    <w:rsid w:val="00005C77"/>
    <w:rsid w:val="000064C6"/>
    <w:rsid w:val="00006667"/>
    <w:rsid w:val="00006D44"/>
    <w:rsid w:val="00006EA3"/>
    <w:rsid w:val="00007361"/>
    <w:rsid w:val="00007FB8"/>
    <w:rsid w:val="0001067E"/>
    <w:rsid w:val="00010A08"/>
    <w:rsid w:val="00011029"/>
    <w:rsid w:val="00011D12"/>
    <w:rsid w:val="00011D3A"/>
    <w:rsid w:val="00012BAC"/>
    <w:rsid w:val="00012C2D"/>
    <w:rsid w:val="00013578"/>
    <w:rsid w:val="00013847"/>
    <w:rsid w:val="00013899"/>
    <w:rsid w:val="00014EC0"/>
    <w:rsid w:val="00014FE9"/>
    <w:rsid w:val="00015150"/>
    <w:rsid w:val="000160B3"/>
    <w:rsid w:val="0001643E"/>
    <w:rsid w:val="000169C5"/>
    <w:rsid w:val="00016D05"/>
    <w:rsid w:val="00016EB9"/>
    <w:rsid w:val="00016EE0"/>
    <w:rsid w:val="000170DF"/>
    <w:rsid w:val="000172DD"/>
    <w:rsid w:val="000174C4"/>
    <w:rsid w:val="00017C48"/>
    <w:rsid w:val="00017DB3"/>
    <w:rsid w:val="00020AC4"/>
    <w:rsid w:val="00021476"/>
    <w:rsid w:val="00021B3F"/>
    <w:rsid w:val="00021BF6"/>
    <w:rsid w:val="00023A2F"/>
    <w:rsid w:val="00023D9A"/>
    <w:rsid w:val="00024D67"/>
    <w:rsid w:val="0002569A"/>
    <w:rsid w:val="000259F9"/>
    <w:rsid w:val="00025A51"/>
    <w:rsid w:val="00026347"/>
    <w:rsid w:val="000274DE"/>
    <w:rsid w:val="00027592"/>
    <w:rsid w:val="000278B4"/>
    <w:rsid w:val="0002791C"/>
    <w:rsid w:val="00027D50"/>
    <w:rsid w:val="000307F5"/>
    <w:rsid w:val="0003162A"/>
    <w:rsid w:val="00031BE4"/>
    <w:rsid w:val="00031CBA"/>
    <w:rsid w:val="0003247D"/>
    <w:rsid w:val="000328E6"/>
    <w:rsid w:val="00032E80"/>
    <w:rsid w:val="0003318A"/>
    <w:rsid w:val="00033A9B"/>
    <w:rsid w:val="0003494B"/>
    <w:rsid w:val="00035ABE"/>
    <w:rsid w:val="000360F2"/>
    <w:rsid w:val="00036174"/>
    <w:rsid w:val="0003685E"/>
    <w:rsid w:val="00036BBE"/>
    <w:rsid w:val="00037118"/>
    <w:rsid w:val="0003768D"/>
    <w:rsid w:val="00037B5A"/>
    <w:rsid w:val="00037BB2"/>
    <w:rsid w:val="0004069D"/>
    <w:rsid w:val="00040C40"/>
    <w:rsid w:val="00040E32"/>
    <w:rsid w:val="0004143B"/>
    <w:rsid w:val="00041730"/>
    <w:rsid w:val="00041B85"/>
    <w:rsid w:val="00041C3A"/>
    <w:rsid w:val="00041ED2"/>
    <w:rsid w:val="00041FF5"/>
    <w:rsid w:val="00042890"/>
    <w:rsid w:val="000428EF"/>
    <w:rsid w:val="00042CD1"/>
    <w:rsid w:val="00044A59"/>
    <w:rsid w:val="000454F6"/>
    <w:rsid w:val="0004591F"/>
    <w:rsid w:val="00045BD8"/>
    <w:rsid w:val="00045C9E"/>
    <w:rsid w:val="00045D6A"/>
    <w:rsid w:val="000461F9"/>
    <w:rsid w:val="00046686"/>
    <w:rsid w:val="0004730C"/>
    <w:rsid w:val="00047360"/>
    <w:rsid w:val="0004739B"/>
    <w:rsid w:val="00047777"/>
    <w:rsid w:val="00047BBC"/>
    <w:rsid w:val="00050350"/>
    <w:rsid w:val="0005049F"/>
    <w:rsid w:val="00050A3F"/>
    <w:rsid w:val="00051595"/>
    <w:rsid w:val="00051622"/>
    <w:rsid w:val="00051750"/>
    <w:rsid w:val="00052004"/>
    <w:rsid w:val="0005253B"/>
    <w:rsid w:val="00052AB0"/>
    <w:rsid w:val="00053A68"/>
    <w:rsid w:val="00053EF7"/>
    <w:rsid w:val="00054117"/>
    <w:rsid w:val="00054529"/>
    <w:rsid w:val="00054702"/>
    <w:rsid w:val="00054D08"/>
    <w:rsid w:val="00055240"/>
    <w:rsid w:val="00056259"/>
    <w:rsid w:val="000567BB"/>
    <w:rsid w:val="00056C60"/>
    <w:rsid w:val="000570C9"/>
    <w:rsid w:val="00057675"/>
    <w:rsid w:val="00057A04"/>
    <w:rsid w:val="000602BE"/>
    <w:rsid w:val="0006066B"/>
    <w:rsid w:val="000612E8"/>
    <w:rsid w:val="00061415"/>
    <w:rsid w:val="00061742"/>
    <w:rsid w:val="00061B7C"/>
    <w:rsid w:val="00062449"/>
    <w:rsid w:val="0006280C"/>
    <w:rsid w:val="00063645"/>
    <w:rsid w:val="00063DEC"/>
    <w:rsid w:val="00063DFA"/>
    <w:rsid w:val="0006405E"/>
    <w:rsid w:val="00064654"/>
    <w:rsid w:val="00064698"/>
    <w:rsid w:val="000648E1"/>
    <w:rsid w:val="0006527D"/>
    <w:rsid w:val="000656C2"/>
    <w:rsid w:val="00065C2E"/>
    <w:rsid w:val="0006677E"/>
    <w:rsid w:val="000675D3"/>
    <w:rsid w:val="000677BE"/>
    <w:rsid w:val="00067A3C"/>
    <w:rsid w:val="00067B13"/>
    <w:rsid w:val="00067CFA"/>
    <w:rsid w:val="00070511"/>
    <w:rsid w:val="0007074B"/>
    <w:rsid w:val="00070F6F"/>
    <w:rsid w:val="000713A1"/>
    <w:rsid w:val="000718DF"/>
    <w:rsid w:val="000723EB"/>
    <w:rsid w:val="00072934"/>
    <w:rsid w:val="000748CD"/>
    <w:rsid w:val="00074C1C"/>
    <w:rsid w:val="00075149"/>
    <w:rsid w:val="00075715"/>
    <w:rsid w:val="000760B1"/>
    <w:rsid w:val="0007622A"/>
    <w:rsid w:val="00076987"/>
    <w:rsid w:val="000771BC"/>
    <w:rsid w:val="00080C50"/>
    <w:rsid w:val="00080D5C"/>
    <w:rsid w:val="00080E79"/>
    <w:rsid w:val="000811FD"/>
    <w:rsid w:val="00081B03"/>
    <w:rsid w:val="000824B5"/>
    <w:rsid w:val="000824E4"/>
    <w:rsid w:val="000830F4"/>
    <w:rsid w:val="00083AB1"/>
    <w:rsid w:val="000841F9"/>
    <w:rsid w:val="00084924"/>
    <w:rsid w:val="00084B1B"/>
    <w:rsid w:val="000851D3"/>
    <w:rsid w:val="000853CB"/>
    <w:rsid w:val="000856DF"/>
    <w:rsid w:val="00085D07"/>
    <w:rsid w:val="00086036"/>
    <w:rsid w:val="00086D63"/>
    <w:rsid w:val="0008703D"/>
    <w:rsid w:val="00087140"/>
    <w:rsid w:val="00087A8B"/>
    <w:rsid w:val="00087BA1"/>
    <w:rsid w:val="00087E24"/>
    <w:rsid w:val="00090D16"/>
    <w:rsid w:val="00090EE3"/>
    <w:rsid w:val="00091F45"/>
    <w:rsid w:val="00092039"/>
    <w:rsid w:val="00092425"/>
    <w:rsid w:val="00093742"/>
    <w:rsid w:val="00093C3B"/>
    <w:rsid w:val="000944C2"/>
    <w:rsid w:val="00094D7A"/>
    <w:rsid w:val="00095D65"/>
    <w:rsid w:val="00096476"/>
    <w:rsid w:val="00096926"/>
    <w:rsid w:val="0009720F"/>
    <w:rsid w:val="00097762"/>
    <w:rsid w:val="0009796C"/>
    <w:rsid w:val="000A0F27"/>
    <w:rsid w:val="000A1318"/>
    <w:rsid w:val="000A2016"/>
    <w:rsid w:val="000A2D02"/>
    <w:rsid w:val="000A37B8"/>
    <w:rsid w:val="000A398C"/>
    <w:rsid w:val="000A496E"/>
    <w:rsid w:val="000A4E1B"/>
    <w:rsid w:val="000A569D"/>
    <w:rsid w:val="000A5971"/>
    <w:rsid w:val="000A65DA"/>
    <w:rsid w:val="000A6807"/>
    <w:rsid w:val="000A683D"/>
    <w:rsid w:val="000A6AAE"/>
    <w:rsid w:val="000A6D36"/>
    <w:rsid w:val="000B0520"/>
    <w:rsid w:val="000B0599"/>
    <w:rsid w:val="000B126F"/>
    <w:rsid w:val="000B1F49"/>
    <w:rsid w:val="000B2085"/>
    <w:rsid w:val="000B2163"/>
    <w:rsid w:val="000B26A4"/>
    <w:rsid w:val="000B27B6"/>
    <w:rsid w:val="000B3442"/>
    <w:rsid w:val="000B397D"/>
    <w:rsid w:val="000B43C7"/>
    <w:rsid w:val="000B46AA"/>
    <w:rsid w:val="000B4B75"/>
    <w:rsid w:val="000B5B82"/>
    <w:rsid w:val="000B664D"/>
    <w:rsid w:val="000B6727"/>
    <w:rsid w:val="000B69EE"/>
    <w:rsid w:val="000B7055"/>
    <w:rsid w:val="000B7115"/>
    <w:rsid w:val="000B71A7"/>
    <w:rsid w:val="000B7454"/>
    <w:rsid w:val="000B7AA8"/>
    <w:rsid w:val="000B7D35"/>
    <w:rsid w:val="000B7F0E"/>
    <w:rsid w:val="000C04F8"/>
    <w:rsid w:val="000C0652"/>
    <w:rsid w:val="000C11B0"/>
    <w:rsid w:val="000C1423"/>
    <w:rsid w:val="000C1693"/>
    <w:rsid w:val="000C2642"/>
    <w:rsid w:val="000C35D1"/>
    <w:rsid w:val="000C3A70"/>
    <w:rsid w:val="000C4C77"/>
    <w:rsid w:val="000C4D68"/>
    <w:rsid w:val="000C4D78"/>
    <w:rsid w:val="000C5918"/>
    <w:rsid w:val="000C5B09"/>
    <w:rsid w:val="000C605D"/>
    <w:rsid w:val="000C6194"/>
    <w:rsid w:val="000C6BB9"/>
    <w:rsid w:val="000C7262"/>
    <w:rsid w:val="000C7A10"/>
    <w:rsid w:val="000D0130"/>
    <w:rsid w:val="000D0394"/>
    <w:rsid w:val="000D0CD2"/>
    <w:rsid w:val="000D10B5"/>
    <w:rsid w:val="000D1242"/>
    <w:rsid w:val="000D1795"/>
    <w:rsid w:val="000D1AA6"/>
    <w:rsid w:val="000D1B9A"/>
    <w:rsid w:val="000D2170"/>
    <w:rsid w:val="000D22A4"/>
    <w:rsid w:val="000D30E4"/>
    <w:rsid w:val="000D3517"/>
    <w:rsid w:val="000D358B"/>
    <w:rsid w:val="000D3D8A"/>
    <w:rsid w:val="000D3DDB"/>
    <w:rsid w:val="000D50AA"/>
    <w:rsid w:val="000D50F9"/>
    <w:rsid w:val="000D5320"/>
    <w:rsid w:val="000D5790"/>
    <w:rsid w:val="000D62AD"/>
    <w:rsid w:val="000D6E0A"/>
    <w:rsid w:val="000D7041"/>
    <w:rsid w:val="000D74AE"/>
    <w:rsid w:val="000D75F1"/>
    <w:rsid w:val="000E0250"/>
    <w:rsid w:val="000E04AD"/>
    <w:rsid w:val="000E09FA"/>
    <w:rsid w:val="000E0A5C"/>
    <w:rsid w:val="000E0E90"/>
    <w:rsid w:val="000E14B1"/>
    <w:rsid w:val="000E1574"/>
    <w:rsid w:val="000E2775"/>
    <w:rsid w:val="000E2E47"/>
    <w:rsid w:val="000E30A1"/>
    <w:rsid w:val="000E37CF"/>
    <w:rsid w:val="000E3FB1"/>
    <w:rsid w:val="000E493A"/>
    <w:rsid w:val="000E4A35"/>
    <w:rsid w:val="000E54CE"/>
    <w:rsid w:val="000E57CE"/>
    <w:rsid w:val="000E5816"/>
    <w:rsid w:val="000E62AF"/>
    <w:rsid w:val="000E66A5"/>
    <w:rsid w:val="000E6E05"/>
    <w:rsid w:val="000E773F"/>
    <w:rsid w:val="000E795F"/>
    <w:rsid w:val="000E7FF8"/>
    <w:rsid w:val="000F0584"/>
    <w:rsid w:val="000F05A3"/>
    <w:rsid w:val="000F1550"/>
    <w:rsid w:val="000F155B"/>
    <w:rsid w:val="000F1B4F"/>
    <w:rsid w:val="000F1DD9"/>
    <w:rsid w:val="000F280A"/>
    <w:rsid w:val="000F2AA5"/>
    <w:rsid w:val="000F30CF"/>
    <w:rsid w:val="000F365D"/>
    <w:rsid w:val="000F3E1B"/>
    <w:rsid w:val="000F463E"/>
    <w:rsid w:val="000F5AC7"/>
    <w:rsid w:val="000F5AD2"/>
    <w:rsid w:val="000F5B59"/>
    <w:rsid w:val="000F65A8"/>
    <w:rsid w:val="000F68EF"/>
    <w:rsid w:val="000F698A"/>
    <w:rsid w:val="000F6C7A"/>
    <w:rsid w:val="000F7D33"/>
    <w:rsid w:val="0010035E"/>
    <w:rsid w:val="001004B2"/>
    <w:rsid w:val="00100E50"/>
    <w:rsid w:val="00100F10"/>
    <w:rsid w:val="00100F23"/>
    <w:rsid w:val="00101269"/>
    <w:rsid w:val="00101C2C"/>
    <w:rsid w:val="00102167"/>
    <w:rsid w:val="00102862"/>
    <w:rsid w:val="00102D4C"/>
    <w:rsid w:val="00103EA6"/>
    <w:rsid w:val="001048AA"/>
    <w:rsid w:val="001054AF"/>
    <w:rsid w:val="00105B12"/>
    <w:rsid w:val="00105E2C"/>
    <w:rsid w:val="00105FEE"/>
    <w:rsid w:val="0010667A"/>
    <w:rsid w:val="0010689F"/>
    <w:rsid w:val="00106994"/>
    <w:rsid w:val="001072CE"/>
    <w:rsid w:val="00107362"/>
    <w:rsid w:val="0011065F"/>
    <w:rsid w:val="00110693"/>
    <w:rsid w:val="001107A9"/>
    <w:rsid w:val="001108BE"/>
    <w:rsid w:val="00110A53"/>
    <w:rsid w:val="00110A72"/>
    <w:rsid w:val="00110D83"/>
    <w:rsid w:val="00111122"/>
    <w:rsid w:val="00111F7C"/>
    <w:rsid w:val="0011219E"/>
    <w:rsid w:val="00112218"/>
    <w:rsid w:val="001127A6"/>
    <w:rsid w:val="00112B94"/>
    <w:rsid w:val="00113D8E"/>
    <w:rsid w:val="00114276"/>
    <w:rsid w:val="001143E8"/>
    <w:rsid w:val="00114574"/>
    <w:rsid w:val="001145AC"/>
    <w:rsid w:val="00114E57"/>
    <w:rsid w:val="00115361"/>
    <w:rsid w:val="00115493"/>
    <w:rsid w:val="00115867"/>
    <w:rsid w:val="00115D3E"/>
    <w:rsid w:val="00117237"/>
    <w:rsid w:val="001174A5"/>
    <w:rsid w:val="001201B5"/>
    <w:rsid w:val="00120481"/>
    <w:rsid w:val="00120B71"/>
    <w:rsid w:val="00120CBA"/>
    <w:rsid w:val="00120F6C"/>
    <w:rsid w:val="001211F0"/>
    <w:rsid w:val="001218A0"/>
    <w:rsid w:val="00121CC3"/>
    <w:rsid w:val="00121D02"/>
    <w:rsid w:val="00121E6C"/>
    <w:rsid w:val="00121F79"/>
    <w:rsid w:val="00121FDD"/>
    <w:rsid w:val="00122910"/>
    <w:rsid w:val="00123524"/>
    <w:rsid w:val="001237A5"/>
    <w:rsid w:val="00123E91"/>
    <w:rsid w:val="001246DA"/>
    <w:rsid w:val="001247FF"/>
    <w:rsid w:val="001250AB"/>
    <w:rsid w:val="001254AF"/>
    <w:rsid w:val="00125503"/>
    <w:rsid w:val="0012600F"/>
    <w:rsid w:val="0012607B"/>
    <w:rsid w:val="001261A4"/>
    <w:rsid w:val="00126B66"/>
    <w:rsid w:val="0012703C"/>
    <w:rsid w:val="0012799E"/>
    <w:rsid w:val="001301DB"/>
    <w:rsid w:val="00130FC6"/>
    <w:rsid w:val="00131BB5"/>
    <w:rsid w:val="001322DD"/>
    <w:rsid w:val="00132747"/>
    <w:rsid w:val="00132764"/>
    <w:rsid w:val="00132EDC"/>
    <w:rsid w:val="001334DE"/>
    <w:rsid w:val="0013350B"/>
    <w:rsid w:val="00133B2E"/>
    <w:rsid w:val="00133D79"/>
    <w:rsid w:val="001340F6"/>
    <w:rsid w:val="0013449F"/>
    <w:rsid w:val="00134641"/>
    <w:rsid w:val="00134BF1"/>
    <w:rsid w:val="00134EE4"/>
    <w:rsid w:val="00135171"/>
    <w:rsid w:val="00135D72"/>
    <w:rsid w:val="00136370"/>
    <w:rsid w:val="0013648A"/>
    <w:rsid w:val="001368B6"/>
    <w:rsid w:val="00136AC9"/>
    <w:rsid w:val="00136BB9"/>
    <w:rsid w:val="00136EC2"/>
    <w:rsid w:val="00137110"/>
    <w:rsid w:val="001371BC"/>
    <w:rsid w:val="001372E0"/>
    <w:rsid w:val="001375DF"/>
    <w:rsid w:val="00137C15"/>
    <w:rsid w:val="00137C96"/>
    <w:rsid w:val="00137FFC"/>
    <w:rsid w:val="0014019E"/>
    <w:rsid w:val="00141433"/>
    <w:rsid w:val="00141B93"/>
    <w:rsid w:val="00141BD2"/>
    <w:rsid w:val="00142195"/>
    <w:rsid w:val="001428BE"/>
    <w:rsid w:val="00142923"/>
    <w:rsid w:val="00143188"/>
    <w:rsid w:val="00143237"/>
    <w:rsid w:val="00143C9A"/>
    <w:rsid w:val="00143DBC"/>
    <w:rsid w:val="00143F58"/>
    <w:rsid w:val="001441D7"/>
    <w:rsid w:val="0014450C"/>
    <w:rsid w:val="00144B97"/>
    <w:rsid w:val="00145BDD"/>
    <w:rsid w:val="0014607B"/>
    <w:rsid w:val="00146887"/>
    <w:rsid w:val="00146CBC"/>
    <w:rsid w:val="00147112"/>
    <w:rsid w:val="0014726F"/>
    <w:rsid w:val="00147593"/>
    <w:rsid w:val="00147A85"/>
    <w:rsid w:val="00147DE3"/>
    <w:rsid w:val="00147F30"/>
    <w:rsid w:val="00150A38"/>
    <w:rsid w:val="00150DD9"/>
    <w:rsid w:val="0015116E"/>
    <w:rsid w:val="001511EB"/>
    <w:rsid w:val="00151B5B"/>
    <w:rsid w:val="001521C8"/>
    <w:rsid w:val="00153018"/>
    <w:rsid w:val="00155513"/>
    <w:rsid w:val="00155DD3"/>
    <w:rsid w:val="00155ED9"/>
    <w:rsid w:val="00155F55"/>
    <w:rsid w:val="001561F3"/>
    <w:rsid w:val="0015656F"/>
    <w:rsid w:val="001570D1"/>
    <w:rsid w:val="0015746A"/>
    <w:rsid w:val="001603CA"/>
    <w:rsid w:val="001605C0"/>
    <w:rsid w:val="00161117"/>
    <w:rsid w:val="00161669"/>
    <w:rsid w:val="001616BA"/>
    <w:rsid w:val="00163196"/>
    <w:rsid w:val="00163362"/>
    <w:rsid w:val="001635BE"/>
    <w:rsid w:val="001636AB"/>
    <w:rsid w:val="0016413E"/>
    <w:rsid w:val="00164459"/>
    <w:rsid w:val="00164FD3"/>
    <w:rsid w:val="00165305"/>
    <w:rsid w:val="0016538C"/>
    <w:rsid w:val="00165B26"/>
    <w:rsid w:val="001669E7"/>
    <w:rsid w:val="00167F91"/>
    <w:rsid w:val="00170F03"/>
    <w:rsid w:val="00171087"/>
    <w:rsid w:val="001712B3"/>
    <w:rsid w:val="001716BD"/>
    <w:rsid w:val="0017189A"/>
    <w:rsid w:val="0017201E"/>
    <w:rsid w:val="00173A92"/>
    <w:rsid w:val="00174B1E"/>
    <w:rsid w:val="00174F54"/>
    <w:rsid w:val="00175594"/>
    <w:rsid w:val="00175D91"/>
    <w:rsid w:val="00175EA6"/>
    <w:rsid w:val="00175FCC"/>
    <w:rsid w:val="00176750"/>
    <w:rsid w:val="001768C3"/>
    <w:rsid w:val="00176AAC"/>
    <w:rsid w:val="00176B3F"/>
    <w:rsid w:val="00176C2B"/>
    <w:rsid w:val="00176F32"/>
    <w:rsid w:val="00176FD5"/>
    <w:rsid w:val="0017702B"/>
    <w:rsid w:val="0017725F"/>
    <w:rsid w:val="00177378"/>
    <w:rsid w:val="00177CFE"/>
    <w:rsid w:val="0018030F"/>
    <w:rsid w:val="00181672"/>
    <w:rsid w:val="00181684"/>
    <w:rsid w:val="00181D52"/>
    <w:rsid w:val="00182033"/>
    <w:rsid w:val="00182039"/>
    <w:rsid w:val="001829CB"/>
    <w:rsid w:val="00183781"/>
    <w:rsid w:val="00183876"/>
    <w:rsid w:val="00183BED"/>
    <w:rsid w:val="00183CEB"/>
    <w:rsid w:val="00183EA9"/>
    <w:rsid w:val="00183F98"/>
    <w:rsid w:val="00184416"/>
    <w:rsid w:val="00184D3C"/>
    <w:rsid w:val="001853B4"/>
    <w:rsid w:val="00185526"/>
    <w:rsid w:val="001860F2"/>
    <w:rsid w:val="001861D5"/>
    <w:rsid w:val="0018654F"/>
    <w:rsid w:val="00186B0A"/>
    <w:rsid w:val="0019046C"/>
    <w:rsid w:val="00190B46"/>
    <w:rsid w:val="00190C23"/>
    <w:rsid w:val="0019143F"/>
    <w:rsid w:val="00191779"/>
    <w:rsid w:val="001919AF"/>
    <w:rsid w:val="00191FDF"/>
    <w:rsid w:val="001934E8"/>
    <w:rsid w:val="00193A62"/>
    <w:rsid w:val="00193B91"/>
    <w:rsid w:val="0019473F"/>
    <w:rsid w:val="00195BFC"/>
    <w:rsid w:val="00195C9D"/>
    <w:rsid w:val="00196D13"/>
    <w:rsid w:val="00196D9B"/>
    <w:rsid w:val="00196EF1"/>
    <w:rsid w:val="0019719D"/>
    <w:rsid w:val="00197A86"/>
    <w:rsid w:val="001A0572"/>
    <w:rsid w:val="001A0D94"/>
    <w:rsid w:val="001A0F48"/>
    <w:rsid w:val="001A13E5"/>
    <w:rsid w:val="001A142B"/>
    <w:rsid w:val="001A2064"/>
    <w:rsid w:val="001A21C4"/>
    <w:rsid w:val="001A21D3"/>
    <w:rsid w:val="001A2640"/>
    <w:rsid w:val="001A2AA1"/>
    <w:rsid w:val="001A2F3F"/>
    <w:rsid w:val="001A3C71"/>
    <w:rsid w:val="001A3D41"/>
    <w:rsid w:val="001A43EB"/>
    <w:rsid w:val="001A4877"/>
    <w:rsid w:val="001A49E0"/>
    <w:rsid w:val="001A4B95"/>
    <w:rsid w:val="001A4FAC"/>
    <w:rsid w:val="001A51A9"/>
    <w:rsid w:val="001A57EF"/>
    <w:rsid w:val="001A5C0E"/>
    <w:rsid w:val="001A64C6"/>
    <w:rsid w:val="001A67FE"/>
    <w:rsid w:val="001B0228"/>
    <w:rsid w:val="001B025A"/>
    <w:rsid w:val="001B0F3E"/>
    <w:rsid w:val="001B1608"/>
    <w:rsid w:val="001B16A6"/>
    <w:rsid w:val="001B1B67"/>
    <w:rsid w:val="001B2203"/>
    <w:rsid w:val="001B2411"/>
    <w:rsid w:val="001B2E38"/>
    <w:rsid w:val="001B34A8"/>
    <w:rsid w:val="001B36AE"/>
    <w:rsid w:val="001B37BA"/>
    <w:rsid w:val="001B41A0"/>
    <w:rsid w:val="001B4205"/>
    <w:rsid w:val="001B4324"/>
    <w:rsid w:val="001B44EB"/>
    <w:rsid w:val="001B595A"/>
    <w:rsid w:val="001B6072"/>
    <w:rsid w:val="001B6CFB"/>
    <w:rsid w:val="001B701D"/>
    <w:rsid w:val="001B7CDB"/>
    <w:rsid w:val="001C01F9"/>
    <w:rsid w:val="001C02C8"/>
    <w:rsid w:val="001C2065"/>
    <w:rsid w:val="001C2486"/>
    <w:rsid w:val="001C24A0"/>
    <w:rsid w:val="001C263A"/>
    <w:rsid w:val="001C4140"/>
    <w:rsid w:val="001C464A"/>
    <w:rsid w:val="001C54C6"/>
    <w:rsid w:val="001C596A"/>
    <w:rsid w:val="001C5B9D"/>
    <w:rsid w:val="001C5E91"/>
    <w:rsid w:val="001C6D5D"/>
    <w:rsid w:val="001C6D71"/>
    <w:rsid w:val="001C6DF3"/>
    <w:rsid w:val="001C7EC9"/>
    <w:rsid w:val="001D0AA1"/>
    <w:rsid w:val="001D130D"/>
    <w:rsid w:val="001D25C4"/>
    <w:rsid w:val="001D25DD"/>
    <w:rsid w:val="001D268F"/>
    <w:rsid w:val="001D27A8"/>
    <w:rsid w:val="001D2948"/>
    <w:rsid w:val="001D2F6B"/>
    <w:rsid w:val="001D3622"/>
    <w:rsid w:val="001D36FA"/>
    <w:rsid w:val="001D37EE"/>
    <w:rsid w:val="001D3A47"/>
    <w:rsid w:val="001D3D12"/>
    <w:rsid w:val="001D5029"/>
    <w:rsid w:val="001D51B0"/>
    <w:rsid w:val="001D5885"/>
    <w:rsid w:val="001D6AE3"/>
    <w:rsid w:val="001D72A0"/>
    <w:rsid w:val="001D7557"/>
    <w:rsid w:val="001D78A8"/>
    <w:rsid w:val="001D7B74"/>
    <w:rsid w:val="001D7E75"/>
    <w:rsid w:val="001E03A5"/>
    <w:rsid w:val="001E0A53"/>
    <w:rsid w:val="001E0BEB"/>
    <w:rsid w:val="001E11A2"/>
    <w:rsid w:val="001E15EC"/>
    <w:rsid w:val="001E1610"/>
    <w:rsid w:val="001E1854"/>
    <w:rsid w:val="001E27A9"/>
    <w:rsid w:val="001E2934"/>
    <w:rsid w:val="001E2F5D"/>
    <w:rsid w:val="001E2F70"/>
    <w:rsid w:val="001E3977"/>
    <w:rsid w:val="001E3ADB"/>
    <w:rsid w:val="001E3F14"/>
    <w:rsid w:val="001E4145"/>
    <w:rsid w:val="001E4334"/>
    <w:rsid w:val="001E4994"/>
    <w:rsid w:val="001E49B3"/>
    <w:rsid w:val="001E54AA"/>
    <w:rsid w:val="001E567B"/>
    <w:rsid w:val="001E5768"/>
    <w:rsid w:val="001E5A1B"/>
    <w:rsid w:val="001E62EF"/>
    <w:rsid w:val="001E6422"/>
    <w:rsid w:val="001E69EB"/>
    <w:rsid w:val="001E7504"/>
    <w:rsid w:val="001E7C5A"/>
    <w:rsid w:val="001F0278"/>
    <w:rsid w:val="001F0C0B"/>
    <w:rsid w:val="001F11B6"/>
    <w:rsid w:val="001F140B"/>
    <w:rsid w:val="001F189D"/>
    <w:rsid w:val="001F1B25"/>
    <w:rsid w:val="001F1C78"/>
    <w:rsid w:val="001F220D"/>
    <w:rsid w:val="001F2EE5"/>
    <w:rsid w:val="001F32B2"/>
    <w:rsid w:val="001F37B7"/>
    <w:rsid w:val="001F4485"/>
    <w:rsid w:val="001F4A66"/>
    <w:rsid w:val="001F4C35"/>
    <w:rsid w:val="001F53AD"/>
    <w:rsid w:val="001F5484"/>
    <w:rsid w:val="001F5499"/>
    <w:rsid w:val="001F5696"/>
    <w:rsid w:val="001F589A"/>
    <w:rsid w:val="001F636C"/>
    <w:rsid w:val="001F69DB"/>
    <w:rsid w:val="001F6D43"/>
    <w:rsid w:val="001F6ECE"/>
    <w:rsid w:val="00200CA0"/>
    <w:rsid w:val="00200D37"/>
    <w:rsid w:val="00201431"/>
    <w:rsid w:val="002014B7"/>
    <w:rsid w:val="0020155D"/>
    <w:rsid w:val="00201A81"/>
    <w:rsid w:val="00201EE7"/>
    <w:rsid w:val="002023AB"/>
    <w:rsid w:val="00202AC9"/>
    <w:rsid w:val="0020389D"/>
    <w:rsid w:val="00203FEB"/>
    <w:rsid w:val="0020412C"/>
    <w:rsid w:val="0020425F"/>
    <w:rsid w:val="00204C1A"/>
    <w:rsid w:val="0020525B"/>
    <w:rsid w:val="002053FE"/>
    <w:rsid w:val="00205B42"/>
    <w:rsid w:val="00205C81"/>
    <w:rsid w:val="00205C87"/>
    <w:rsid w:val="00206381"/>
    <w:rsid w:val="002068D5"/>
    <w:rsid w:val="00207784"/>
    <w:rsid w:val="00207A26"/>
    <w:rsid w:val="00207FC4"/>
    <w:rsid w:val="00210696"/>
    <w:rsid w:val="00210F61"/>
    <w:rsid w:val="00211316"/>
    <w:rsid w:val="002113B4"/>
    <w:rsid w:val="0021156B"/>
    <w:rsid w:val="00212439"/>
    <w:rsid w:val="002128A8"/>
    <w:rsid w:val="00213372"/>
    <w:rsid w:val="00213477"/>
    <w:rsid w:val="0021431C"/>
    <w:rsid w:val="0021467C"/>
    <w:rsid w:val="002146D0"/>
    <w:rsid w:val="00214EFC"/>
    <w:rsid w:val="00215275"/>
    <w:rsid w:val="00215557"/>
    <w:rsid w:val="002157F9"/>
    <w:rsid w:val="00215A6D"/>
    <w:rsid w:val="00215C2E"/>
    <w:rsid w:val="00215C3A"/>
    <w:rsid w:val="00215F0A"/>
    <w:rsid w:val="002176F1"/>
    <w:rsid w:val="00217C75"/>
    <w:rsid w:val="00217EE0"/>
    <w:rsid w:val="002212D3"/>
    <w:rsid w:val="002217A2"/>
    <w:rsid w:val="002217CC"/>
    <w:rsid w:val="00221967"/>
    <w:rsid w:val="00221DF7"/>
    <w:rsid w:val="002232DA"/>
    <w:rsid w:val="00223377"/>
    <w:rsid w:val="00223379"/>
    <w:rsid w:val="00223896"/>
    <w:rsid w:val="0022413D"/>
    <w:rsid w:val="002252D5"/>
    <w:rsid w:val="00225AB6"/>
    <w:rsid w:val="0022650A"/>
    <w:rsid w:val="00226852"/>
    <w:rsid w:val="00226B00"/>
    <w:rsid w:val="00226E24"/>
    <w:rsid w:val="0022749A"/>
    <w:rsid w:val="0022773C"/>
    <w:rsid w:val="0022778A"/>
    <w:rsid w:val="002307CC"/>
    <w:rsid w:val="002309D9"/>
    <w:rsid w:val="00230A12"/>
    <w:rsid w:val="00231597"/>
    <w:rsid w:val="00231734"/>
    <w:rsid w:val="002324CC"/>
    <w:rsid w:val="002336F3"/>
    <w:rsid w:val="0023384B"/>
    <w:rsid w:val="00233C96"/>
    <w:rsid w:val="00233E1A"/>
    <w:rsid w:val="002346F6"/>
    <w:rsid w:val="0023585C"/>
    <w:rsid w:val="0023599F"/>
    <w:rsid w:val="002360FF"/>
    <w:rsid w:val="002361E1"/>
    <w:rsid w:val="002366DE"/>
    <w:rsid w:val="0023768E"/>
    <w:rsid w:val="00237E84"/>
    <w:rsid w:val="00237FCA"/>
    <w:rsid w:val="00240095"/>
    <w:rsid w:val="0024048C"/>
    <w:rsid w:val="0024081B"/>
    <w:rsid w:val="00240DAD"/>
    <w:rsid w:val="00241AC4"/>
    <w:rsid w:val="00241F5A"/>
    <w:rsid w:val="002422E1"/>
    <w:rsid w:val="002427E7"/>
    <w:rsid w:val="00243394"/>
    <w:rsid w:val="00243860"/>
    <w:rsid w:val="002439FB"/>
    <w:rsid w:val="00243A8C"/>
    <w:rsid w:val="0024433F"/>
    <w:rsid w:val="002444E7"/>
    <w:rsid w:val="00244641"/>
    <w:rsid w:val="00244953"/>
    <w:rsid w:val="00244C4D"/>
    <w:rsid w:val="002451B2"/>
    <w:rsid w:val="00245FBB"/>
    <w:rsid w:val="0024699F"/>
    <w:rsid w:val="00246AE0"/>
    <w:rsid w:val="00247606"/>
    <w:rsid w:val="00247B0D"/>
    <w:rsid w:val="00250108"/>
    <w:rsid w:val="00250489"/>
    <w:rsid w:val="002506ED"/>
    <w:rsid w:val="00251973"/>
    <w:rsid w:val="00251DCF"/>
    <w:rsid w:val="00252816"/>
    <w:rsid w:val="00253766"/>
    <w:rsid w:val="00253B86"/>
    <w:rsid w:val="00253D89"/>
    <w:rsid w:val="002546AE"/>
    <w:rsid w:val="002549A3"/>
    <w:rsid w:val="002551D6"/>
    <w:rsid w:val="00255B60"/>
    <w:rsid w:val="00255B8B"/>
    <w:rsid w:val="00256549"/>
    <w:rsid w:val="00256A65"/>
    <w:rsid w:val="00256B73"/>
    <w:rsid w:val="00256C6B"/>
    <w:rsid w:val="002570CA"/>
    <w:rsid w:val="0025716B"/>
    <w:rsid w:val="00260031"/>
    <w:rsid w:val="0026022F"/>
    <w:rsid w:val="00260265"/>
    <w:rsid w:val="002602E6"/>
    <w:rsid w:val="00260941"/>
    <w:rsid w:val="002609CE"/>
    <w:rsid w:val="00260C26"/>
    <w:rsid w:val="002614DB"/>
    <w:rsid w:val="00261680"/>
    <w:rsid w:val="00261C86"/>
    <w:rsid w:val="002624D6"/>
    <w:rsid w:val="0026262F"/>
    <w:rsid w:val="002629B2"/>
    <w:rsid w:val="00262DA0"/>
    <w:rsid w:val="002631E1"/>
    <w:rsid w:val="00263517"/>
    <w:rsid w:val="00263525"/>
    <w:rsid w:val="00263E43"/>
    <w:rsid w:val="0026400D"/>
    <w:rsid w:val="00264165"/>
    <w:rsid w:val="002642B3"/>
    <w:rsid w:val="0026469E"/>
    <w:rsid w:val="0026527B"/>
    <w:rsid w:val="00265BFE"/>
    <w:rsid w:val="00265DE3"/>
    <w:rsid w:val="00266659"/>
    <w:rsid w:val="00266F46"/>
    <w:rsid w:val="00267735"/>
    <w:rsid w:val="002678A6"/>
    <w:rsid w:val="00267C76"/>
    <w:rsid w:val="00267F67"/>
    <w:rsid w:val="002701F8"/>
    <w:rsid w:val="00270278"/>
    <w:rsid w:val="002704A7"/>
    <w:rsid w:val="00271478"/>
    <w:rsid w:val="00271843"/>
    <w:rsid w:val="00271BA7"/>
    <w:rsid w:val="002720C4"/>
    <w:rsid w:val="002727AF"/>
    <w:rsid w:val="00272A10"/>
    <w:rsid w:val="00272A4A"/>
    <w:rsid w:val="002741FA"/>
    <w:rsid w:val="00274220"/>
    <w:rsid w:val="002742CD"/>
    <w:rsid w:val="002748CC"/>
    <w:rsid w:val="00274D1B"/>
    <w:rsid w:val="00274DF6"/>
    <w:rsid w:val="00275321"/>
    <w:rsid w:val="00275330"/>
    <w:rsid w:val="002756D9"/>
    <w:rsid w:val="00275EEB"/>
    <w:rsid w:val="0027632B"/>
    <w:rsid w:val="00276762"/>
    <w:rsid w:val="00276CC2"/>
    <w:rsid w:val="002777EF"/>
    <w:rsid w:val="00277A2D"/>
    <w:rsid w:val="00280831"/>
    <w:rsid w:val="0028108C"/>
    <w:rsid w:val="00281B80"/>
    <w:rsid w:val="00281D6B"/>
    <w:rsid w:val="00282558"/>
    <w:rsid w:val="00282993"/>
    <w:rsid w:val="00282B07"/>
    <w:rsid w:val="002833E5"/>
    <w:rsid w:val="00283A95"/>
    <w:rsid w:val="00283F65"/>
    <w:rsid w:val="002841AC"/>
    <w:rsid w:val="0028454F"/>
    <w:rsid w:val="0028460C"/>
    <w:rsid w:val="00284A55"/>
    <w:rsid w:val="00284BC8"/>
    <w:rsid w:val="002858C5"/>
    <w:rsid w:val="00285F7E"/>
    <w:rsid w:val="00287AD6"/>
    <w:rsid w:val="00287CE1"/>
    <w:rsid w:val="00290320"/>
    <w:rsid w:val="00290ED2"/>
    <w:rsid w:val="002912AC"/>
    <w:rsid w:val="0029136C"/>
    <w:rsid w:val="00291659"/>
    <w:rsid w:val="0029181F"/>
    <w:rsid w:val="00291F29"/>
    <w:rsid w:val="00293427"/>
    <w:rsid w:val="002935F6"/>
    <w:rsid w:val="00294973"/>
    <w:rsid w:val="0029528F"/>
    <w:rsid w:val="002956E0"/>
    <w:rsid w:val="002963FA"/>
    <w:rsid w:val="002967C6"/>
    <w:rsid w:val="00296E32"/>
    <w:rsid w:val="00296F70"/>
    <w:rsid w:val="0029755D"/>
    <w:rsid w:val="00297595"/>
    <w:rsid w:val="002978E0"/>
    <w:rsid w:val="00297D34"/>
    <w:rsid w:val="00297FA2"/>
    <w:rsid w:val="002A05DA"/>
    <w:rsid w:val="002A07DD"/>
    <w:rsid w:val="002A0C8D"/>
    <w:rsid w:val="002A2090"/>
    <w:rsid w:val="002A2CFB"/>
    <w:rsid w:val="002A2D96"/>
    <w:rsid w:val="002A31CE"/>
    <w:rsid w:val="002A3496"/>
    <w:rsid w:val="002A3C7B"/>
    <w:rsid w:val="002A44A6"/>
    <w:rsid w:val="002A6128"/>
    <w:rsid w:val="002A61FD"/>
    <w:rsid w:val="002A6395"/>
    <w:rsid w:val="002A6794"/>
    <w:rsid w:val="002A6B39"/>
    <w:rsid w:val="002A7C0B"/>
    <w:rsid w:val="002A7D28"/>
    <w:rsid w:val="002A7E26"/>
    <w:rsid w:val="002B0257"/>
    <w:rsid w:val="002B08E4"/>
    <w:rsid w:val="002B1586"/>
    <w:rsid w:val="002B1A9E"/>
    <w:rsid w:val="002B2537"/>
    <w:rsid w:val="002B2741"/>
    <w:rsid w:val="002B27FE"/>
    <w:rsid w:val="002B2F5C"/>
    <w:rsid w:val="002B2F70"/>
    <w:rsid w:val="002B3495"/>
    <w:rsid w:val="002B3E3C"/>
    <w:rsid w:val="002B409B"/>
    <w:rsid w:val="002B42A1"/>
    <w:rsid w:val="002B48CF"/>
    <w:rsid w:val="002B4A1E"/>
    <w:rsid w:val="002B56AE"/>
    <w:rsid w:val="002B5A1B"/>
    <w:rsid w:val="002B5BEE"/>
    <w:rsid w:val="002B6792"/>
    <w:rsid w:val="002B6897"/>
    <w:rsid w:val="002B6DB2"/>
    <w:rsid w:val="002C022C"/>
    <w:rsid w:val="002C060E"/>
    <w:rsid w:val="002C0A48"/>
    <w:rsid w:val="002C1891"/>
    <w:rsid w:val="002C1AF0"/>
    <w:rsid w:val="002C1B85"/>
    <w:rsid w:val="002C1BAD"/>
    <w:rsid w:val="002C1F7B"/>
    <w:rsid w:val="002C2D52"/>
    <w:rsid w:val="002C321D"/>
    <w:rsid w:val="002C3599"/>
    <w:rsid w:val="002C3699"/>
    <w:rsid w:val="002C382A"/>
    <w:rsid w:val="002C3D54"/>
    <w:rsid w:val="002C43BD"/>
    <w:rsid w:val="002C4751"/>
    <w:rsid w:val="002C4C8C"/>
    <w:rsid w:val="002C4E62"/>
    <w:rsid w:val="002C5834"/>
    <w:rsid w:val="002C59C1"/>
    <w:rsid w:val="002C5FEC"/>
    <w:rsid w:val="002C6AC9"/>
    <w:rsid w:val="002C6D82"/>
    <w:rsid w:val="002C7161"/>
    <w:rsid w:val="002C7190"/>
    <w:rsid w:val="002C742D"/>
    <w:rsid w:val="002C7D2B"/>
    <w:rsid w:val="002C7F94"/>
    <w:rsid w:val="002D014E"/>
    <w:rsid w:val="002D1190"/>
    <w:rsid w:val="002D16E1"/>
    <w:rsid w:val="002D20AA"/>
    <w:rsid w:val="002D2B33"/>
    <w:rsid w:val="002D2EAC"/>
    <w:rsid w:val="002D3EE8"/>
    <w:rsid w:val="002D478C"/>
    <w:rsid w:val="002D4D24"/>
    <w:rsid w:val="002D505C"/>
    <w:rsid w:val="002D529A"/>
    <w:rsid w:val="002D52D7"/>
    <w:rsid w:val="002D5962"/>
    <w:rsid w:val="002D5EC7"/>
    <w:rsid w:val="002D6CC4"/>
    <w:rsid w:val="002D6D6C"/>
    <w:rsid w:val="002D6EEA"/>
    <w:rsid w:val="002D7DDE"/>
    <w:rsid w:val="002E0186"/>
    <w:rsid w:val="002E0560"/>
    <w:rsid w:val="002E0B8D"/>
    <w:rsid w:val="002E1418"/>
    <w:rsid w:val="002E1527"/>
    <w:rsid w:val="002E1724"/>
    <w:rsid w:val="002E1FD7"/>
    <w:rsid w:val="002E2454"/>
    <w:rsid w:val="002E3B55"/>
    <w:rsid w:val="002E4753"/>
    <w:rsid w:val="002E4A77"/>
    <w:rsid w:val="002E5415"/>
    <w:rsid w:val="002E54A3"/>
    <w:rsid w:val="002E54D6"/>
    <w:rsid w:val="002E5AB0"/>
    <w:rsid w:val="002E5C94"/>
    <w:rsid w:val="002E5D5E"/>
    <w:rsid w:val="002E63A2"/>
    <w:rsid w:val="002E6D8C"/>
    <w:rsid w:val="002E6EDB"/>
    <w:rsid w:val="002E7BB1"/>
    <w:rsid w:val="002F07B0"/>
    <w:rsid w:val="002F0C61"/>
    <w:rsid w:val="002F20FE"/>
    <w:rsid w:val="002F2547"/>
    <w:rsid w:val="002F2D56"/>
    <w:rsid w:val="002F2D79"/>
    <w:rsid w:val="002F35E4"/>
    <w:rsid w:val="002F40D6"/>
    <w:rsid w:val="002F48CA"/>
    <w:rsid w:val="002F5855"/>
    <w:rsid w:val="002F588D"/>
    <w:rsid w:val="002F606C"/>
    <w:rsid w:val="002F774A"/>
    <w:rsid w:val="002F7BE8"/>
    <w:rsid w:val="002F7CBF"/>
    <w:rsid w:val="00302176"/>
    <w:rsid w:val="003021B9"/>
    <w:rsid w:val="003031DC"/>
    <w:rsid w:val="00304393"/>
    <w:rsid w:val="00304B97"/>
    <w:rsid w:val="00305149"/>
    <w:rsid w:val="00305325"/>
    <w:rsid w:val="003060F1"/>
    <w:rsid w:val="0030617D"/>
    <w:rsid w:val="0030629F"/>
    <w:rsid w:val="00306D06"/>
    <w:rsid w:val="0030755F"/>
    <w:rsid w:val="00307D9F"/>
    <w:rsid w:val="00310B14"/>
    <w:rsid w:val="00311D21"/>
    <w:rsid w:val="00312298"/>
    <w:rsid w:val="003127B4"/>
    <w:rsid w:val="00312EFF"/>
    <w:rsid w:val="00313759"/>
    <w:rsid w:val="00313CA8"/>
    <w:rsid w:val="00313EC4"/>
    <w:rsid w:val="00314AF1"/>
    <w:rsid w:val="0031501D"/>
    <w:rsid w:val="00315A92"/>
    <w:rsid w:val="00316419"/>
    <w:rsid w:val="00316C03"/>
    <w:rsid w:val="00317776"/>
    <w:rsid w:val="00317D3C"/>
    <w:rsid w:val="0032010C"/>
    <w:rsid w:val="003201A2"/>
    <w:rsid w:val="00320800"/>
    <w:rsid w:val="00321055"/>
    <w:rsid w:val="0032196F"/>
    <w:rsid w:val="00321C4E"/>
    <w:rsid w:val="0032305B"/>
    <w:rsid w:val="003230BD"/>
    <w:rsid w:val="0032325D"/>
    <w:rsid w:val="00323C7C"/>
    <w:rsid w:val="00324C4D"/>
    <w:rsid w:val="00324E02"/>
    <w:rsid w:val="00325998"/>
    <w:rsid w:val="00325A6B"/>
    <w:rsid w:val="00325FAD"/>
    <w:rsid w:val="0032629A"/>
    <w:rsid w:val="0032674B"/>
    <w:rsid w:val="00327294"/>
    <w:rsid w:val="0032773C"/>
    <w:rsid w:val="00327746"/>
    <w:rsid w:val="003301CB"/>
    <w:rsid w:val="00331DDE"/>
    <w:rsid w:val="00332D08"/>
    <w:rsid w:val="00334621"/>
    <w:rsid w:val="00334F7C"/>
    <w:rsid w:val="00335094"/>
    <w:rsid w:val="00336ACB"/>
    <w:rsid w:val="00337114"/>
    <w:rsid w:val="0033775B"/>
    <w:rsid w:val="003379B7"/>
    <w:rsid w:val="003379E3"/>
    <w:rsid w:val="00337A46"/>
    <w:rsid w:val="003400EC"/>
    <w:rsid w:val="003403F6"/>
    <w:rsid w:val="0034068F"/>
    <w:rsid w:val="00341763"/>
    <w:rsid w:val="00341770"/>
    <w:rsid w:val="00341915"/>
    <w:rsid w:val="00342205"/>
    <w:rsid w:val="00342ACF"/>
    <w:rsid w:val="00342D16"/>
    <w:rsid w:val="00342DAA"/>
    <w:rsid w:val="00343879"/>
    <w:rsid w:val="00343EC7"/>
    <w:rsid w:val="00343FBE"/>
    <w:rsid w:val="003443F3"/>
    <w:rsid w:val="00344CB7"/>
    <w:rsid w:val="00344E1F"/>
    <w:rsid w:val="00344E46"/>
    <w:rsid w:val="00345104"/>
    <w:rsid w:val="00345CB6"/>
    <w:rsid w:val="00345E81"/>
    <w:rsid w:val="0034611A"/>
    <w:rsid w:val="003463E2"/>
    <w:rsid w:val="00346953"/>
    <w:rsid w:val="003469BE"/>
    <w:rsid w:val="00346A72"/>
    <w:rsid w:val="00347C80"/>
    <w:rsid w:val="003500CD"/>
    <w:rsid w:val="0035066D"/>
    <w:rsid w:val="0035089E"/>
    <w:rsid w:val="0035092F"/>
    <w:rsid w:val="0035182B"/>
    <w:rsid w:val="00352461"/>
    <w:rsid w:val="003537E9"/>
    <w:rsid w:val="00353925"/>
    <w:rsid w:val="0035393A"/>
    <w:rsid w:val="003539FF"/>
    <w:rsid w:val="00353E1D"/>
    <w:rsid w:val="00354851"/>
    <w:rsid w:val="00354FE9"/>
    <w:rsid w:val="003554C3"/>
    <w:rsid w:val="00355C02"/>
    <w:rsid w:val="003561B7"/>
    <w:rsid w:val="00356708"/>
    <w:rsid w:val="00356DA2"/>
    <w:rsid w:val="00356E4C"/>
    <w:rsid w:val="00356F55"/>
    <w:rsid w:val="00357584"/>
    <w:rsid w:val="003577F4"/>
    <w:rsid w:val="003579B3"/>
    <w:rsid w:val="00357FF0"/>
    <w:rsid w:val="00360055"/>
    <w:rsid w:val="003603D5"/>
    <w:rsid w:val="003607FC"/>
    <w:rsid w:val="00360E3B"/>
    <w:rsid w:val="00361019"/>
    <w:rsid w:val="003612C6"/>
    <w:rsid w:val="00361485"/>
    <w:rsid w:val="00361C1D"/>
    <w:rsid w:val="00361E08"/>
    <w:rsid w:val="0036224F"/>
    <w:rsid w:val="00362F0B"/>
    <w:rsid w:val="00363354"/>
    <w:rsid w:val="0036371D"/>
    <w:rsid w:val="00363C59"/>
    <w:rsid w:val="00363F52"/>
    <w:rsid w:val="003640DD"/>
    <w:rsid w:val="003651E0"/>
    <w:rsid w:val="003651EE"/>
    <w:rsid w:val="003658C7"/>
    <w:rsid w:val="00365D3A"/>
    <w:rsid w:val="00365E62"/>
    <w:rsid w:val="003669EB"/>
    <w:rsid w:val="00367D2D"/>
    <w:rsid w:val="00370147"/>
    <w:rsid w:val="0037090A"/>
    <w:rsid w:val="00370B38"/>
    <w:rsid w:val="0037157D"/>
    <w:rsid w:val="003723A2"/>
    <w:rsid w:val="003725EC"/>
    <w:rsid w:val="00372795"/>
    <w:rsid w:val="00372EE3"/>
    <w:rsid w:val="00373713"/>
    <w:rsid w:val="00373714"/>
    <w:rsid w:val="00374069"/>
    <w:rsid w:val="00374110"/>
    <w:rsid w:val="0037421D"/>
    <w:rsid w:val="0037476F"/>
    <w:rsid w:val="003747DC"/>
    <w:rsid w:val="00374C63"/>
    <w:rsid w:val="00374DC8"/>
    <w:rsid w:val="00374F44"/>
    <w:rsid w:val="00376017"/>
    <w:rsid w:val="003761E4"/>
    <w:rsid w:val="0037638B"/>
    <w:rsid w:val="003763E2"/>
    <w:rsid w:val="003774FE"/>
    <w:rsid w:val="003778DA"/>
    <w:rsid w:val="003807DB"/>
    <w:rsid w:val="003809AB"/>
    <w:rsid w:val="00380C2B"/>
    <w:rsid w:val="00380E24"/>
    <w:rsid w:val="00381085"/>
    <w:rsid w:val="0038118A"/>
    <w:rsid w:val="00381486"/>
    <w:rsid w:val="003827D2"/>
    <w:rsid w:val="00382D78"/>
    <w:rsid w:val="00382F6D"/>
    <w:rsid w:val="00383379"/>
    <w:rsid w:val="00383562"/>
    <w:rsid w:val="00383807"/>
    <w:rsid w:val="00383A12"/>
    <w:rsid w:val="00383BCA"/>
    <w:rsid w:val="00383DD8"/>
    <w:rsid w:val="00383EA7"/>
    <w:rsid w:val="003846CA"/>
    <w:rsid w:val="003849E0"/>
    <w:rsid w:val="00384BF2"/>
    <w:rsid w:val="00384D1E"/>
    <w:rsid w:val="00384D54"/>
    <w:rsid w:val="003857FB"/>
    <w:rsid w:val="00385847"/>
    <w:rsid w:val="00385D52"/>
    <w:rsid w:val="00385DA5"/>
    <w:rsid w:val="00385E23"/>
    <w:rsid w:val="003860F5"/>
    <w:rsid w:val="00386290"/>
    <w:rsid w:val="00386FB9"/>
    <w:rsid w:val="00386FCD"/>
    <w:rsid w:val="003871F1"/>
    <w:rsid w:val="00387425"/>
    <w:rsid w:val="00387816"/>
    <w:rsid w:val="00387D7B"/>
    <w:rsid w:val="0039062F"/>
    <w:rsid w:val="003907AE"/>
    <w:rsid w:val="00390A6E"/>
    <w:rsid w:val="00390AA7"/>
    <w:rsid w:val="00391546"/>
    <w:rsid w:val="00391EA5"/>
    <w:rsid w:val="00393443"/>
    <w:rsid w:val="00393524"/>
    <w:rsid w:val="003938BD"/>
    <w:rsid w:val="00394377"/>
    <w:rsid w:val="00394714"/>
    <w:rsid w:val="003947DE"/>
    <w:rsid w:val="003949BC"/>
    <w:rsid w:val="00394BF9"/>
    <w:rsid w:val="00394D09"/>
    <w:rsid w:val="00394EE9"/>
    <w:rsid w:val="00395A08"/>
    <w:rsid w:val="00396985"/>
    <w:rsid w:val="00396F58"/>
    <w:rsid w:val="003974B2"/>
    <w:rsid w:val="00397FA1"/>
    <w:rsid w:val="003A01B7"/>
    <w:rsid w:val="003A050E"/>
    <w:rsid w:val="003A0675"/>
    <w:rsid w:val="003A07F1"/>
    <w:rsid w:val="003A095D"/>
    <w:rsid w:val="003A09AB"/>
    <w:rsid w:val="003A0B7C"/>
    <w:rsid w:val="003A1427"/>
    <w:rsid w:val="003A20FF"/>
    <w:rsid w:val="003A214F"/>
    <w:rsid w:val="003A26FC"/>
    <w:rsid w:val="003A28FC"/>
    <w:rsid w:val="003A2E7E"/>
    <w:rsid w:val="003A3443"/>
    <w:rsid w:val="003A360F"/>
    <w:rsid w:val="003A368E"/>
    <w:rsid w:val="003A376E"/>
    <w:rsid w:val="003A3C25"/>
    <w:rsid w:val="003A3C7B"/>
    <w:rsid w:val="003A4BD5"/>
    <w:rsid w:val="003A4C5F"/>
    <w:rsid w:val="003A5740"/>
    <w:rsid w:val="003A582B"/>
    <w:rsid w:val="003A6531"/>
    <w:rsid w:val="003A6600"/>
    <w:rsid w:val="003A68CA"/>
    <w:rsid w:val="003A71CA"/>
    <w:rsid w:val="003A765B"/>
    <w:rsid w:val="003A7DAD"/>
    <w:rsid w:val="003A7EFD"/>
    <w:rsid w:val="003B0889"/>
    <w:rsid w:val="003B0942"/>
    <w:rsid w:val="003B136F"/>
    <w:rsid w:val="003B1415"/>
    <w:rsid w:val="003B14E1"/>
    <w:rsid w:val="003B18D4"/>
    <w:rsid w:val="003B1C70"/>
    <w:rsid w:val="003B1DFA"/>
    <w:rsid w:val="003B1EA4"/>
    <w:rsid w:val="003B1FF8"/>
    <w:rsid w:val="003B2149"/>
    <w:rsid w:val="003B231F"/>
    <w:rsid w:val="003B25B9"/>
    <w:rsid w:val="003B2B60"/>
    <w:rsid w:val="003B3EC9"/>
    <w:rsid w:val="003B4417"/>
    <w:rsid w:val="003B4E94"/>
    <w:rsid w:val="003B500D"/>
    <w:rsid w:val="003B510D"/>
    <w:rsid w:val="003B54B7"/>
    <w:rsid w:val="003B6376"/>
    <w:rsid w:val="003B666E"/>
    <w:rsid w:val="003B6966"/>
    <w:rsid w:val="003B6AB7"/>
    <w:rsid w:val="003B72F8"/>
    <w:rsid w:val="003B798F"/>
    <w:rsid w:val="003B7B42"/>
    <w:rsid w:val="003B7C98"/>
    <w:rsid w:val="003C0471"/>
    <w:rsid w:val="003C06EF"/>
    <w:rsid w:val="003C1CC8"/>
    <w:rsid w:val="003C333F"/>
    <w:rsid w:val="003C47FC"/>
    <w:rsid w:val="003C4DBD"/>
    <w:rsid w:val="003C4E2D"/>
    <w:rsid w:val="003C5309"/>
    <w:rsid w:val="003C58CC"/>
    <w:rsid w:val="003C5D39"/>
    <w:rsid w:val="003C5ED5"/>
    <w:rsid w:val="003C6816"/>
    <w:rsid w:val="003C6AA0"/>
    <w:rsid w:val="003C7845"/>
    <w:rsid w:val="003C7F8B"/>
    <w:rsid w:val="003D023B"/>
    <w:rsid w:val="003D0942"/>
    <w:rsid w:val="003D0B1D"/>
    <w:rsid w:val="003D0F9E"/>
    <w:rsid w:val="003D111C"/>
    <w:rsid w:val="003D13F0"/>
    <w:rsid w:val="003D140B"/>
    <w:rsid w:val="003D14F9"/>
    <w:rsid w:val="003D168B"/>
    <w:rsid w:val="003D1937"/>
    <w:rsid w:val="003D197D"/>
    <w:rsid w:val="003D1DB3"/>
    <w:rsid w:val="003D2038"/>
    <w:rsid w:val="003D27D9"/>
    <w:rsid w:val="003D2817"/>
    <w:rsid w:val="003D2BD7"/>
    <w:rsid w:val="003D2C0C"/>
    <w:rsid w:val="003D2C97"/>
    <w:rsid w:val="003D3209"/>
    <w:rsid w:val="003D3731"/>
    <w:rsid w:val="003D41BE"/>
    <w:rsid w:val="003D45B4"/>
    <w:rsid w:val="003D4F36"/>
    <w:rsid w:val="003D525B"/>
    <w:rsid w:val="003D54E0"/>
    <w:rsid w:val="003D57FB"/>
    <w:rsid w:val="003D5980"/>
    <w:rsid w:val="003D60E2"/>
    <w:rsid w:val="003D6564"/>
    <w:rsid w:val="003D6642"/>
    <w:rsid w:val="003D7003"/>
    <w:rsid w:val="003D7033"/>
    <w:rsid w:val="003E0735"/>
    <w:rsid w:val="003E07B6"/>
    <w:rsid w:val="003E0846"/>
    <w:rsid w:val="003E0C13"/>
    <w:rsid w:val="003E0C92"/>
    <w:rsid w:val="003E0D42"/>
    <w:rsid w:val="003E0ED6"/>
    <w:rsid w:val="003E10F8"/>
    <w:rsid w:val="003E1309"/>
    <w:rsid w:val="003E1DC9"/>
    <w:rsid w:val="003E202E"/>
    <w:rsid w:val="003E2649"/>
    <w:rsid w:val="003E2E4C"/>
    <w:rsid w:val="003E3145"/>
    <w:rsid w:val="003E4009"/>
    <w:rsid w:val="003E44A3"/>
    <w:rsid w:val="003E4A7E"/>
    <w:rsid w:val="003E50C2"/>
    <w:rsid w:val="003E5968"/>
    <w:rsid w:val="003E5AB8"/>
    <w:rsid w:val="003E5AF0"/>
    <w:rsid w:val="003E5C9A"/>
    <w:rsid w:val="003F01FD"/>
    <w:rsid w:val="003F038B"/>
    <w:rsid w:val="003F045A"/>
    <w:rsid w:val="003F139F"/>
    <w:rsid w:val="003F1A26"/>
    <w:rsid w:val="003F1A6B"/>
    <w:rsid w:val="003F1F84"/>
    <w:rsid w:val="003F223B"/>
    <w:rsid w:val="003F23BF"/>
    <w:rsid w:val="003F2577"/>
    <w:rsid w:val="003F2624"/>
    <w:rsid w:val="003F2754"/>
    <w:rsid w:val="003F27AD"/>
    <w:rsid w:val="003F28DB"/>
    <w:rsid w:val="003F2F47"/>
    <w:rsid w:val="003F3674"/>
    <w:rsid w:val="003F39CA"/>
    <w:rsid w:val="003F4414"/>
    <w:rsid w:val="003F471F"/>
    <w:rsid w:val="003F4902"/>
    <w:rsid w:val="003F5726"/>
    <w:rsid w:val="003F5B8E"/>
    <w:rsid w:val="003F5EFC"/>
    <w:rsid w:val="003F62B3"/>
    <w:rsid w:val="003F69EB"/>
    <w:rsid w:val="00400744"/>
    <w:rsid w:val="00400835"/>
    <w:rsid w:val="00401C43"/>
    <w:rsid w:val="00402149"/>
    <w:rsid w:val="00402EC7"/>
    <w:rsid w:val="00403197"/>
    <w:rsid w:val="004031FF"/>
    <w:rsid w:val="00403B67"/>
    <w:rsid w:val="004055AB"/>
    <w:rsid w:val="00405D9D"/>
    <w:rsid w:val="00406218"/>
    <w:rsid w:val="004072FC"/>
    <w:rsid w:val="00407E69"/>
    <w:rsid w:val="00407EB5"/>
    <w:rsid w:val="00407FC4"/>
    <w:rsid w:val="004101FC"/>
    <w:rsid w:val="00410551"/>
    <w:rsid w:val="00410C63"/>
    <w:rsid w:val="00411223"/>
    <w:rsid w:val="00411CB1"/>
    <w:rsid w:val="00411CE2"/>
    <w:rsid w:val="00411E28"/>
    <w:rsid w:val="00411F4E"/>
    <w:rsid w:val="004120AE"/>
    <w:rsid w:val="0041279A"/>
    <w:rsid w:val="00412A9D"/>
    <w:rsid w:val="00412B9F"/>
    <w:rsid w:val="00412C9B"/>
    <w:rsid w:val="00412CB3"/>
    <w:rsid w:val="00412CDA"/>
    <w:rsid w:val="00413048"/>
    <w:rsid w:val="0041310D"/>
    <w:rsid w:val="00413248"/>
    <w:rsid w:val="00413855"/>
    <w:rsid w:val="00413B08"/>
    <w:rsid w:val="004140E0"/>
    <w:rsid w:val="004140EA"/>
    <w:rsid w:val="004141D1"/>
    <w:rsid w:val="00415154"/>
    <w:rsid w:val="00415365"/>
    <w:rsid w:val="00415A64"/>
    <w:rsid w:val="004168C0"/>
    <w:rsid w:val="0041708E"/>
    <w:rsid w:val="0041777C"/>
    <w:rsid w:val="0042011F"/>
    <w:rsid w:val="00420B4F"/>
    <w:rsid w:val="00421082"/>
    <w:rsid w:val="004211C9"/>
    <w:rsid w:val="00421A46"/>
    <w:rsid w:val="00421CCD"/>
    <w:rsid w:val="00422017"/>
    <w:rsid w:val="00422376"/>
    <w:rsid w:val="004227E1"/>
    <w:rsid w:val="004227F3"/>
    <w:rsid w:val="004227FE"/>
    <w:rsid w:val="004230DB"/>
    <w:rsid w:val="00423835"/>
    <w:rsid w:val="0042389F"/>
    <w:rsid w:val="00424223"/>
    <w:rsid w:val="00424836"/>
    <w:rsid w:val="004251BE"/>
    <w:rsid w:val="0042533F"/>
    <w:rsid w:val="0042659C"/>
    <w:rsid w:val="00426CEC"/>
    <w:rsid w:val="00427165"/>
    <w:rsid w:val="00427B0B"/>
    <w:rsid w:val="00427C14"/>
    <w:rsid w:val="0043013F"/>
    <w:rsid w:val="0043017B"/>
    <w:rsid w:val="00430234"/>
    <w:rsid w:val="004303FD"/>
    <w:rsid w:val="00431448"/>
    <w:rsid w:val="00431517"/>
    <w:rsid w:val="00431A3C"/>
    <w:rsid w:val="00431C36"/>
    <w:rsid w:val="00432471"/>
    <w:rsid w:val="00432841"/>
    <w:rsid w:val="004330E1"/>
    <w:rsid w:val="00435B72"/>
    <w:rsid w:val="00436599"/>
    <w:rsid w:val="00436DA7"/>
    <w:rsid w:val="00436F57"/>
    <w:rsid w:val="00437B3C"/>
    <w:rsid w:val="004404D6"/>
    <w:rsid w:val="004408C7"/>
    <w:rsid w:val="00441DE4"/>
    <w:rsid w:val="00442063"/>
    <w:rsid w:val="00442325"/>
    <w:rsid w:val="00442592"/>
    <w:rsid w:val="00443147"/>
    <w:rsid w:val="004437CA"/>
    <w:rsid w:val="004438E2"/>
    <w:rsid w:val="00444431"/>
    <w:rsid w:val="00444A2A"/>
    <w:rsid w:val="00445002"/>
    <w:rsid w:val="00445450"/>
    <w:rsid w:val="00445714"/>
    <w:rsid w:val="004465BD"/>
    <w:rsid w:val="0044685D"/>
    <w:rsid w:val="00446DC6"/>
    <w:rsid w:val="00447045"/>
    <w:rsid w:val="004474E1"/>
    <w:rsid w:val="00447912"/>
    <w:rsid w:val="00447E5A"/>
    <w:rsid w:val="004514E3"/>
    <w:rsid w:val="0045163C"/>
    <w:rsid w:val="00451B8C"/>
    <w:rsid w:val="004532F7"/>
    <w:rsid w:val="00454005"/>
    <w:rsid w:val="00454476"/>
    <w:rsid w:val="00454B01"/>
    <w:rsid w:val="00454B25"/>
    <w:rsid w:val="00454C33"/>
    <w:rsid w:val="00455139"/>
    <w:rsid w:val="004552B5"/>
    <w:rsid w:val="00455444"/>
    <w:rsid w:val="004556D8"/>
    <w:rsid w:val="00455DCE"/>
    <w:rsid w:val="004560F4"/>
    <w:rsid w:val="004562CB"/>
    <w:rsid w:val="00456E82"/>
    <w:rsid w:val="0045708F"/>
    <w:rsid w:val="00457BD7"/>
    <w:rsid w:val="00457F11"/>
    <w:rsid w:val="00460267"/>
    <w:rsid w:val="004602A0"/>
    <w:rsid w:val="004609FA"/>
    <w:rsid w:val="00460DB0"/>
    <w:rsid w:val="00460E09"/>
    <w:rsid w:val="00460EA8"/>
    <w:rsid w:val="00460FEC"/>
    <w:rsid w:val="0046183D"/>
    <w:rsid w:val="00461A9E"/>
    <w:rsid w:val="004623D6"/>
    <w:rsid w:val="00462DCB"/>
    <w:rsid w:val="0046374A"/>
    <w:rsid w:val="004638B2"/>
    <w:rsid w:val="00463F97"/>
    <w:rsid w:val="004645DF"/>
    <w:rsid w:val="00464C5D"/>
    <w:rsid w:val="004655D3"/>
    <w:rsid w:val="00465C1A"/>
    <w:rsid w:val="004664D0"/>
    <w:rsid w:val="00466562"/>
    <w:rsid w:val="00466741"/>
    <w:rsid w:val="00466BB7"/>
    <w:rsid w:val="004674B0"/>
    <w:rsid w:val="00467953"/>
    <w:rsid w:val="00467C2B"/>
    <w:rsid w:val="00467F47"/>
    <w:rsid w:val="0047006B"/>
    <w:rsid w:val="00471236"/>
    <w:rsid w:val="00471252"/>
    <w:rsid w:val="0047297B"/>
    <w:rsid w:val="00473589"/>
    <w:rsid w:val="004736A2"/>
    <w:rsid w:val="00473A63"/>
    <w:rsid w:val="00473D4D"/>
    <w:rsid w:val="00473F90"/>
    <w:rsid w:val="004742D8"/>
    <w:rsid w:val="004745E0"/>
    <w:rsid w:val="00474E52"/>
    <w:rsid w:val="004755F9"/>
    <w:rsid w:val="004765F2"/>
    <w:rsid w:val="00476ED5"/>
    <w:rsid w:val="004774B6"/>
    <w:rsid w:val="004777E1"/>
    <w:rsid w:val="00477B14"/>
    <w:rsid w:val="00477BE1"/>
    <w:rsid w:val="00477C3D"/>
    <w:rsid w:val="004800D4"/>
    <w:rsid w:val="00480502"/>
    <w:rsid w:val="00480605"/>
    <w:rsid w:val="00480C7F"/>
    <w:rsid w:val="00481372"/>
    <w:rsid w:val="00481492"/>
    <w:rsid w:val="00481E5A"/>
    <w:rsid w:val="0048206F"/>
    <w:rsid w:val="00482A31"/>
    <w:rsid w:val="00482B7E"/>
    <w:rsid w:val="004841C0"/>
    <w:rsid w:val="0048489F"/>
    <w:rsid w:val="00484D62"/>
    <w:rsid w:val="0048568E"/>
    <w:rsid w:val="00485B6C"/>
    <w:rsid w:val="00485F06"/>
    <w:rsid w:val="00486111"/>
    <w:rsid w:val="00486531"/>
    <w:rsid w:val="004866E5"/>
    <w:rsid w:val="0048673F"/>
    <w:rsid w:val="00486B51"/>
    <w:rsid w:val="00486F1D"/>
    <w:rsid w:val="00487B80"/>
    <w:rsid w:val="004908AB"/>
    <w:rsid w:val="00490CE9"/>
    <w:rsid w:val="00490D93"/>
    <w:rsid w:val="00491437"/>
    <w:rsid w:val="00491970"/>
    <w:rsid w:val="00491B5B"/>
    <w:rsid w:val="0049204D"/>
    <w:rsid w:val="00492775"/>
    <w:rsid w:val="004943D4"/>
    <w:rsid w:val="004948D6"/>
    <w:rsid w:val="00494B76"/>
    <w:rsid w:val="00494F5A"/>
    <w:rsid w:val="004959C3"/>
    <w:rsid w:val="00495E51"/>
    <w:rsid w:val="0049603D"/>
    <w:rsid w:val="00496093"/>
    <w:rsid w:val="004969AE"/>
    <w:rsid w:val="00496CED"/>
    <w:rsid w:val="004972A4"/>
    <w:rsid w:val="004978CD"/>
    <w:rsid w:val="00497A7F"/>
    <w:rsid w:val="004A03B1"/>
    <w:rsid w:val="004A08E2"/>
    <w:rsid w:val="004A0E31"/>
    <w:rsid w:val="004A0F0D"/>
    <w:rsid w:val="004A12DD"/>
    <w:rsid w:val="004A2550"/>
    <w:rsid w:val="004A27A0"/>
    <w:rsid w:val="004A2D49"/>
    <w:rsid w:val="004A2DF3"/>
    <w:rsid w:val="004A2E8E"/>
    <w:rsid w:val="004A3617"/>
    <w:rsid w:val="004A3C4B"/>
    <w:rsid w:val="004A3CAA"/>
    <w:rsid w:val="004A3DB0"/>
    <w:rsid w:val="004A3F32"/>
    <w:rsid w:val="004A4A15"/>
    <w:rsid w:val="004A4BD6"/>
    <w:rsid w:val="004A5031"/>
    <w:rsid w:val="004A5864"/>
    <w:rsid w:val="004A6011"/>
    <w:rsid w:val="004A605D"/>
    <w:rsid w:val="004A65D5"/>
    <w:rsid w:val="004A677D"/>
    <w:rsid w:val="004A6E19"/>
    <w:rsid w:val="004A7117"/>
    <w:rsid w:val="004A74AE"/>
    <w:rsid w:val="004A7955"/>
    <w:rsid w:val="004A7EBA"/>
    <w:rsid w:val="004B06B3"/>
    <w:rsid w:val="004B0BCB"/>
    <w:rsid w:val="004B0E23"/>
    <w:rsid w:val="004B167D"/>
    <w:rsid w:val="004B1B12"/>
    <w:rsid w:val="004B1EA3"/>
    <w:rsid w:val="004B227F"/>
    <w:rsid w:val="004B2533"/>
    <w:rsid w:val="004B2B69"/>
    <w:rsid w:val="004B2B6A"/>
    <w:rsid w:val="004B2CF8"/>
    <w:rsid w:val="004B41DE"/>
    <w:rsid w:val="004B55B9"/>
    <w:rsid w:val="004B6793"/>
    <w:rsid w:val="004B6C9A"/>
    <w:rsid w:val="004B70FC"/>
    <w:rsid w:val="004C0371"/>
    <w:rsid w:val="004C0E53"/>
    <w:rsid w:val="004C11A3"/>
    <w:rsid w:val="004C157F"/>
    <w:rsid w:val="004C1C71"/>
    <w:rsid w:val="004C1F88"/>
    <w:rsid w:val="004C20CA"/>
    <w:rsid w:val="004C252A"/>
    <w:rsid w:val="004C27C2"/>
    <w:rsid w:val="004C2850"/>
    <w:rsid w:val="004C2C3F"/>
    <w:rsid w:val="004C3455"/>
    <w:rsid w:val="004C34A4"/>
    <w:rsid w:val="004C4800"/>
    <w:rsid w:val="004C5270"/>
    <w:rsid w:val="004C5420"/>
    <w:rsid w:val="004C54B5"/>
    <w:rsid w:val="004C5780"/>
    <w:rsid w:val="004C5A13"/>
    <w:rsid w:val="004C5D70"/>
    <w:rsid w:val="004C6770"/>
    <w:rsid w:val="004C7065"/>
    <w:rsid w:val="004C767F"/>
    <w:rsid w:val="004D0067"/>
    <w:rsid w:val="004D039B"/>
    <w:rsid w:val="004D0460"/>
    <w:rsid w:val="004D0B51"/>
    <w:rsid w:val="004D0F85"/>
    <w:rsid w:val="004D13D4"/>
    <w:rsid w:val="004D19FA"/>
    <w:rsid w:val="004D226E"/>
    <w:rsid w:val="004D24DE"/>
    <w:rsid w:val="004D29FF"/>
    <w:rsid w:val="004D2E96"/>
    <w:rsid w:val="004D2FFF"/>
    <w:rsid w:val="004D3CF8"/>
    <w:rsid w:val="004D3F9A"/>
    <w:rsid w:val="004D57DE"/>
    <w:rsid w:val="004D5ED5"/>
    <w:rsid w:val="004D6037"/>
    <w:rsid w:val="004D7628"/>
    <w:rsid w:val="004D7943"/>
    <w:rsid w:val="004D7C07"/>
    <w:rsid w:val="004E0658"/>
    <w:rsid w:val="004E078F"/>
    <w:rsid w:val="004E0C22"/>
    <w:rsid w:val="004E0E97"/>
    <w:rsid w:val="004E0ECE"/>
    <w:rsid w:val="004E15C4"/>
    <w:rsid w:val="004E1EC6"/>
    <w:rsid w:val="004E2DE5"/>
    <w:rsid w:val="004E342D"/>
    <w:rsid w:val="004E38A9"/>
    <w:rsid w:val="004E39AB"/>
    <w:rsid w:val="004E4798"/>
    <w:rsid w:val="004E5324"/>
    <w:rsid w:val="004E5B2F"/>
    <w:rsid w:val="004E5F97"/>
    <w:rsid w:val="004E68C1"/>
    <w:rsid w:val="004E6C46"/>
    <w:rsid w:val="004E6D4C"/>
    <w:rsid w:val="004E7435"/>
    <w:rsid w:val="004E7B2E"/>
    <w:rsid w:val="004E7BAC"/>
    <w:rsid w:val="004F005E"/>
    <w:rsid w:val="004F01F3"/>
    <w:rsid w:val="004F0DBF"/>
    <w:rsid w:val="004F107F"/>
    <w:rsid w:val="004F131B"/>
    <w:rsid w:val="004F2054"/>
    <w:rsid w:val="004F2C88"/>
    <w:rsid w:val="004F2E6E"/>
    <w:rsid w:val="004F377A"/>
    <w:rsid w:val="004F37D5"/>
    <w:rsid w:val="004F3B9D"/>
    <w:rsid w:val="004F3C60"/>
    <w:rsid w:val="004F3DEC"/>
    <w:rsid w:val="004F44F9"/>
    <w:rsid w:val="004F4C27"/>
    <w:rsid w:val="004F50C9"/>
    <w:rsid w:val="004F5308"/>
    <w:rsid w:val="004F54B1"/>
    <w:rsid w:val="004F55B5"/>
    <w:rsid w:val="004F5826"/>
    <w:rsid w:val="004F596A"/>
    <w:rsid w:val="004F602D"/>
    <w:rsid w:val="004F6301"/>
    <w:rsid w:val="004F638E"/>
    <w:rsid w:val="004F67A7"/>
    <w:rsid w:val="004F691D"/>
    <w:rsid w:val="004F6E88"/>
    <w:rsid w:val="004F7E86"/>
    <w:rsid w:val="004F7EF6"/>
    <w:rsid w:val="005002CF"/>
    <w:rsid w:val="00500936"/>
    <w:rsid w:val="005009DB"/>
    <w:rsid w:val="00500A1E"/>
    <w:rsid w:val="00500AD2"/>
    <w:rsid w:val="005012F5"/>
    <w:rsid w:val="00501796"/>
    <w:rsid w:val="00502B97"/>
    <w:rsid w:val="00502E01"/>
    <w:rsid w:val="00503388"/>
    <w:rsid w:val="0050361C"/>
    <w:rsid w:val="0050376D"/>
    <w:rsid w:val="00503962"/>
    <w:rsid w:val="005040A2"/>
    <w:rsid w:val="005042BF"/>
    <w:rsid w:val="0050466C"/>
    <w:rsid w:val="0050489F"/>
    <w:rsid w:val="00505AD5"/>
    <w:rsid w:val="00506AD5"/>
    <w:rsid w:val="00506C40"/>
    <w:rsid w:val="00506D2B"/>
    <w:rsid w:val="00506FC0"/>
    <w:rsid w:val="00507562"/>
    <w:rsid w:val="00510071"/>
    <w:rsid w:val="005116C5"/>
    <w:rsid w:val="00511D1E"/>
    <w:rsid w:val="0051311A"/>
    <w:rsid w:val="0051362E"/>
    <w:rsid w:val="005137D5"/>
    <w:rsid w:val="00514F41"/>
    <w:rsid w:val="0051534F"/>
    <w:rsid w:val="00516CFB"/>
    <w:rsid w:val="005174DB"/>
    <w:rsid w:val="00517665"/>
    <w:rsid w:val="00517873"/>
    <w:rsid w:val="0051788D"/>
    <w:rsid w:val="00517AB9"/>
    <w:rsid w:val="005200C0"/>
    <w:rsid w:val="005207A9"/>
    <w:rsid w:val="00520F41"/>
    <w:rsid w:val="00521781"/>
    <w:rsid w:val="00521975"/>
    <w:rsid w:val="00521A27"/>
    <w:rsid w:val="00522131"/>
    <w:rsid w:val="005221CD"/>
    <w:rsid w:val="00522300"/>
    <w:rsid w:val="0052293C"/>
    <w:rsid w:val="00523925"/>
    <w:rsid w:val="00523965"/>
    <w:rsid w:val="00523E39"/>
    <w:rsid w:val="00524529"/>
    <w:rsid w:val="00524A12"/>
    <w:rsid w:val="00524B28"/>
    <w:rsid w:val="00524C93"/>
    <w:rsid w:val="00524DC0"/>
    <w:rsid w:val="0052500F"/>
    <w:rsid w:val="0052533E"/>
    <w:rsid w:val="005256CF"/>
    <w:rsid w:val="00525A31"/>
    <w:rsid w:val="00526224"/>
    <w:rsid w:val="005262C3"/>
    <w:rsid w:val="00526541"/>
    <w:rsid w:val="00526B14"/>
    <w:rsid w:val="00526CC1"/>
    <w:rsid w:val="00526CF9"/>
    <w:rsid w:val="00526D3E"/>
    <w:rsid w:val="00527797"/>
    <w:rsid w:val="00527AF0"/>
    <w:rsid w:val="00527BA3"/>
    <w:rsid w:val="00527F51"/>
    <w:rsid w:val="00530003"/>
    <w:rsid w:val="005300A2"/>
    <w:rsid w:val="00530BA8"/>
    <w:rsid w:val="00530BB7"/>
    <w:rsid w:val="00531711"/>
    <w:rsid w:val="0053187C"/>
    <w:rsid w:val="005318C7"/>
    <w:rsid w:val="00531D3D"/>
    <w:rsid w:val="00531D40"/>
    <w:rsid w:val="00531DBF"/>
    <w:rsid w:val="005326E1"/>
    <w:rsid w:val="005329E4"/>
    <w:rsid w:val="00532A5D"/>
    <w:rsid w:val="005338B7"/>
    <w:rsid w:val="0053411F"/>
    <w:rsid w:val="0053489D"/>
    <w:rsid w:val="00535191"/>
    <w:rsid w:val="005353BA"/>
    <w:rsid w:val="005360C3"/>
    <w:rsid w:val="00536120"/>
    <w:rsid w:val="00536502"/>
    <w:rsid w:val="0053652B"/>
    <w:rsid w:val="0053698F"/>
    <w:rsid w:val="0053719A"/>
    <w:rsid w:val="00537235"/>
    <w:rsid w:val="00537333"/>
    <w:rsid w:val="005378F6"/>
    <w:rsid w:val="00537DE4"/>
    <w:rsid w:val="0054011F"/>
    <w:rsid w:val="005405E7"/>
    <w:rsid w:val="00541225"/>
    <w:rsid w:val="00541717"/>
    <w:rsid w:val="00542050"/>
    <w:rsid w:val="0054228E"/>
    <w:rsid w:val="00543142"/>
    <w:rsid w:val="00543335"/>
    <w:rsid w:val="00543353"/>
    <w:rsid w:val="00543B25"/>
    <w:rsid w:val="005449F6"/>
    <w:rsid w:val="00545000"/>
    <w:rsid w:val="00545959"/>
    <w:rsid w:val="00545AD5"/>
    <w:rsid w:val="00546AA8"/>
    <w:rsid w:val="00546B25"/>
    <w:rsid w:val="00546FB8"/>
    <w:rsid w:val="005473E2"/>
    <w:rsid w:val="0054775B"/>
    <w:rsid w:val="00547DDC"/>
    <w:rsid w:val="00550CF9"/>
    <w:rsid w:val="00550E56"/>
    <w:rsid w:val="00550F98"/>
    <w:rsid w:val="0055140B"/>
    <w:rsid w:val="00551A18"/>
    <w:rsid w:val="005522E9"/>
    <w:rsid w:val="0055268B"/>
    <w:rsid w:val="00552FE3"/>
    <w:rsid w:val="00553003"/>
    <w:rsid w:val="005533D2"/>
    <w:rsid w:val="005534FA"/>
    <w:rsid w:val="00553EDD"/>
    <w:rsid w:val="0055440E"/>
    <w:rsid w:val="00554E77"/>
    <w:rsid w:val="0055572D"/>
    <w:rsid w:val="00555D84"/>
    <w:rsid w:val="00557DB0"/>
    <w:rsid w:val="005600BE"/>
    <w:rsid w:val="005603CA"/>
    <w:rsid w:val="00560769"/>
    <w:rsid w:val="00560C1F"/>
    <w:rsid w:val="005612FF"/>
    <w:rsid w:val="00561AFD"/>
    <w:rsid w:val="0056212C"/>
    <w:rsid w:val="00562461"/>
    <w:rsid w:val="0056263A"/>
    <w:rsid w:val="00563755"/>
    <w:rsid w:val="005637AE"/>
    <w:rsid w:val="00564495"/>
    <w:rsid w:val="005644D8"/>
    <w:rsid w:val="005649C5"/>
    <w:rsid w:val="00564C84"/>
    <w:rsid w:val="0056547B"/>
    <w:rsid w:val="005655BD"/>
    <w:rsid w:val="00565712"/>
    <w:rsid w:val="00565B8A"/>
    <w:rsid w:val="00565B93"/>
    <w:rsid w:val="00565D13"/>
    <w:rsid w:val="005666DD"/>
    <w:rsid w:val="00567956"/>
    <w:rsid w:val="00567EEA"/>
    <w:rsid w:val="005708C3"/>
    <w:rsid w:val="00570928"/>
    <w:rsid w:val="005709E4"/>
    <w:rsid w:val="00570A2A"/>
    <w:rsid w:val="00570BBB"/>
    <w:rsid w:val="00570BD2"/>
    <w:rsid w:val="00570C12"/>
    <w:rsid w:val="005713DF"/>
    <w:rsid w:val="00571B29"/>
    <w:rsid w:val="00571E4F"/>
    <w:rsid w:val="00571F87"/>
    <w:rsid w:val="00572285"/>
    <w:rsid w:val="00572631"/>
    <w:rsid w:val="0057300B"/>
    <w:rsid w:val="00573273"/>
    <w:rsid w:val="0057361E"/>
    <w:rsid w:val="00573947"/>
    <w:rsid w:val="005742CF"/>
    <w:rsid w:val="00574701"/>
    <w:rsid w:val="00574A68"/>
    <w:rsid w:val="00574B5C"/>
    <w:rsid w:val="00575D5E"/>
    <w:rsid w:val="0057646F"/>
    <w:rsid w:val="00576DDB"/>
    <w:rsid w:val="005774BF"/>
    <w:rsid w:val="00577F0D"/>
    <w:rsid w:val="0058032F"/>
    <w:rsid w:val="005818BC"/>
    <w:rsid w:val="00582053"/>
    <w:rsid w:val="005822FD"/>
    <w:rsid w:val="00582879"/>
    <w:rsid w:val="00582FD7"/>
    <w:rsid w:val="00583035"/>
    <w:rsid w:val="005835E0"/>
    <w:rsid w:val="00583C27"/>
    <w:rsid w:val="00583D00"/>
    <w:rsid w:val="00583DDC"/>
    <w:rsid w:val="00584342"/>
    <w:rsid w:val="00584476"/>
    <w:rsid w:val="00585184"/>
    <w:rsid w:val="005854B6"/>
    <w:rsid w:val="00585CA0"/>
    <w:rsid w:val="005861A1"/>
    <w:rsid w:val="00586261"/>
    <w:rsid w:val="005867FB"/>
    <w:rsid w:val="00586A68"/>
    <w:rsid w:val="00586DBC"/>
    <w:rsid w:val="00587252"/>
    <w:rsid w:val="0058754B"/>
    <w:rsid w:val="0058779A"/>
    <w:rsid w:val="00587E85"/>
    <w:rsid w:val="0059023E"/>
    <w:rsid w:val="00590BE1"/>
    <w:rsid w:val="00590CED"/>
    <w:rsid w:val="00590D21"/>
    <w:rsid w:val="005911A3"/>
    <w:rsid w:val="00591A99"/>
    <w:rsid w:val="00592C49"/>
    <w:rsid w:val="00592EB8"/>
    <w:rsid w:val="005935B9"/>
    <w:rsid w:val="00593D32"/>
    <w:rsid w:val="005944AE"/>
    <w:rsid w:val="00595A6F"/>
    <w:rsid w:val="00595ED5"/>
    <w:rsid w:val="005960F7"/>
    <w:rsid w:val="00596259"/>
    <w:rsid w:val="00596E2D"/>
    <w:rsid w:val="00597F22"/>
    <w:rsid w:val="005A06C2"/>
    <w:rsid w:val="005A0AF7"/>
    <w:rsid w:val="005A109F"/>
    <w:rsid w:val="005A12EB"/>
    <w:rsid w:val="005A1859"/>
    <w:rsid w:val="005A1A38"/>
    <w:rsid w:val="005A27C6"/>
    <w:rsid w:val="005A28A7"/>
    <w:rsid w:val="005A2A99"/>
    <w:rsid w:val="005A2C82"/>
    <w:rsid w:val="005A3259"/>
    <w:rsid w:val="005A3304"/>
    <w:rsid w:val="005A3517"/>
    <w:rsid w:val="005A3539"/>
    <w:rsid w:val="005A360F"/>
    <w:rsid w:val="005A3942"/>
    <w:rsid w:val="005A39F3"/>
    <w:rsid w:val="005A47D7"/>
    <w:rsid w:val="005A5126"/>
    <w:rsid w:val="005A5514"/>
    <w:rsid w:val="005A602B"/>
    <w:rsid w:val="005A6062"/>
    <w:rsid w:val="005A64B5"/>
    <w:rsid w:val="005A6DD0"/>
    <w:rsid w:val="005A78A5"/>
    <w:rsid w:val="005A7AB3"/>
    <w:rsid w:val="005B017A"/>
    <w:rsid w:val="005B01CB"/>
    <w:rsid w:val="005B0795"/>
    <w:rsid w:val="005B09E5"/>
    <w:rsid w:val="005B0E7D"/>
    <w:rsid w:val="005B0FCE"/>
    <w:rsid w:val="005B13B0"/>
    <w:rsid w:val="005B15B7"/>
    <w:rsid w:val="005B16E1"/>
    <w:rsid w:val="005B176D"/>
    <w:rsid w:val="005B1964"/>
    <w:rsid w:val="005B2229"/>
    <w:rsid w:val="005B29B2"/>
    <w:rsid w:val="005B2B51"/>
    <w:rsid w:val="005B3031"/>
    <w:rsid w:val="005B34F2"/>
    <w:rsid w:val="005B3A98"/>
    <w:rsid w:val="005B3E8A"/>
    <w:rsid w:val="005B421A"/>
    <w:rsid w:val="005B44F1"/>
    <w:rsid w:val="005B4584"/>
    <w:rsid w:val="005B4690"/>
    <w:rsid w:val="005B4AEF"/>
    <w:rsid w:val="005B5450"/>
    <w:rsid w:val="005B5622"/>
    <w:rsid w:val="005B58BC"/>
    <w:rsid w:val="005B5BFF"/>
    <w:rsid w:val="005B5D0C"/>
    <w:rsid w:val="005B6455"/>
    <w:rsid w:val="005B67A7"/>
    <w:rsid w:val="005B6F9C"/>
    <w:rsid w:val="005C069C"/>
    <w:rsid w:val="005C0A8C"/>
    <w:rsid w:val="005C0D96"/>
    <w:rsid w:val="005C100D"/>
    <w:rsid w:val="005C14BD"/>
    <w:rsid w:val="005C1564"/>
    <w:rsid w:val="005C2892"/>
    <w:rsid w:val="005C3685"/>
    <w:rsid w:val="005C36D5"/>
    <w:rsid w:val="005C42B4"/>
    <w:rsid w:val="005C48C7"/>
    <w:rsid w:val="005C53B0"/>
    <w:rsid w:val="005C54F8"/>
    <w:rsid w:val="005C58A1"/>
    <w:rsid w:val="005C5C59"/>
    <w:rsid w:val="005C62C4"/>
    <w:rsid w:val="005C6D22"/>
    <w:rsid w:val="005C73CA"/>
    <w:rsid w:val="005C7541"/>
    <w:rsid w:val="005C78AB"/>
    <w:rsid w:val="005C7901"/>
    <w:rsid w:val="005C7C5C"/>
    <w:rsid w:val="005C7D1D"/>
    <w:rsid w:val="005D0196"/>
    <w:rsid w:val="005D059A"/>
    <w:rsid w:val="005D0664"/>
    <w:rsid w:val="005D081B"/>
    <w:rsid w:val="005D0E70"/>
    <w:rsid w:val="005D0F3A"/>
    <w:rsid w:val="005D1487"/>
    <w:rsid w:val="005D1739"/>
    <w:rsid w:val="005D1BFE"/>
    <w:rsid w:val="005D1D62"/>
    <w:rsid w:val="005D1F35"/>
    <w:rsid w:val="005D2245"/>
    <w:rsid w:val="005D2547"/>
    <w:rsid w:val="005D2A99"/>
    <w:rsid w:val="005D2BF7"/>
    <w:rsid w:val="005D2CF3"/>
    <w:rsid w:val="005D360C"/>
    <w:rsid w:val="005D36B5"/>
    <w:rsid w:val="005D379F"/>
    <w:rsid w:val="005D37F1"/>
    <w:rsid w:val="005D39B2"/>
    <w:rsid w:val="005D3A74"/>
    <w:rsid w:val="005D4120"/>
    <w:rsid w:val="005D448F"/>
    <w:rsid w:val="005D4D6A"/>
    <w:rsid w:val="005D5247"/>
    <w:rsid w:val="005D57AC"/>
    <w:rsid w:val="005D59F1"/>
    <w:rsid w:val="005D5C9D"/>
    <w:rsid w:val="005D5CBF"/>
    <w:rsid w:val="005D5DDD"/>
    <w:rsid w:val="005D5FC0"/>
    <w:rsid w:val="005D6221"/>
    <w:rsid w:val="005D6497"/>
    <w:rsid w:val="005D6508"/>
    <w:rsid w:val="005D66DF"/>
    <w:rsid w:val="005D6936"/>
    <w:rsid w:val="005D6B54"/>
    <w:rsid w:val="005E0088"/>
    <w:rsid w:val="005E00EA"/>
    <w:rsid w:val="005E0FD0"/>
    <w:rsid w:val="005E1D0E"/>
    <w:rsid w:val="005E2189"/>
    <w:rsid w:val="005E2271"/>
    <w:rsid w:val="005E2BDB"/>
    <w:rsid w:val="005E3173"/>
    <w:rsid w:val="005E380B"/>
    <w:rsid w:val="005E3D45"/>
    <w:rsid w:val="005E3E50"/>
    <w:rsid w:val="005E3F2B"/>
    <w:rsid w:val="005E4A50"/>
    <w:rsid w:val="005E4A6C"/>
    <w:rsid w:val="005E5212"/>
    <w:rsid w:val="005E526A"/>
    <w:rsid w:val="005E5403"/>
    <w:rsid w:val="005E5D05"/>
    <w:rsid w:val="005E5D3A"/>
    <w:rsid w:val="005E716F"/>
    <w:rsid w:val="005E720C"/>
    <w:rsid w:val="005E7953"/>
    <w:rsid w:val="005F029C"/>
    <w:rsid w:val="005F0F2A"/>
    <w:rsid w:val="005F1240"/>
    <w:rsid w:val="005F1CDE"/>
    <w:rsid w:val="005F2B5C"/>
    <w:rsid w:val="005F3309"/>
    <w:rsid w:val="005F3681"/>
    <w:rsid w:val="005F3742"/>
    <w:rsid w:val="005F3CE6"/>
    <w:rsid w:val="005F5075"/>
    <w:rsid w:val="005F5143"/>
    <w:rsid w:val="005F567E"/>
    <w:rsid w:val="005F571B"/>
    <w:rsid w:val="005F58EA"/>
    <w:rsid w:val="005F6016"/>
    <w:rsid w:val="005F6473"/>
    <w:rsid w:val="005F69B1"/>
    <w:rsid w:val="005F6EB1"/>
    <w:rsid w:val="005F741D"/>
    <w:rsid w:val="005F7BDC"/>
    <w:rsid w:val="00600597"/>
    <w:rsid w:val="00600749"/>
    <w:rsid w:val="00600A37"/>
    <w:rsid w:val="0060187D"/>
    <w:rsid w:val="006019B0"/>
    <w:rsid w:val="00602234"/>
    <w:rsid w:val="0060299F"/>
    <w:rsid w:val="00602B8B"/>
    <w:rsid w:val="00603293"/>
    <w:rsid w:val="006035BE"/>
    <w:rsid w:val="00603768"/>
    <w:rsid w:val="00603E2E"/>
    <w:rsid w:val="006049D8"/>
    <w:rsid w:val="0060525D"/>
    <w:rsid w:val="00605296"/>
    <w:rsid w:val="0060589B"/>
    <w:rsid w:val="00605B75"/>
    <w:rsid w:val="00605C55"/>
    <w:rsid w:val="00605C79"/>
    <w:rsid w:val="00605FBD"/>
    <w:rsid w:val="006069E7"/>
    <w:rsid w:val="00606B9D"/>
    <w:rsid w:val="00607249"/>
    <w:rsid w:val="00607CF9"/>
    <w:rsid w:val="00610339"/>
    <w:rsid w:val="006110CD"/>
    <w:rsid w:val="006111CD"/>
    <w:rsid w:val="006115D1"/>
    <w:rsid w:val="00611763"/>
    <w:rsid w:val="0061200F"/>
    <w:rsid w:val="00612129"/>
    <w:rsid w:val="00612130"/>
    <w:rsid w:val="006125D5"/>
    <w:rsid w:val="006137D9"/>
    <w:rsid w:val="00613C80"/>
    <w:rsid w:val="006149C4"/>
    <w:rsid w:val="00614BE6"/>
    <w:rsid w:val="0061651F"/>
    <w:rsid w:val="0061658E"/>
    <w:rsid w:val="006165F2"/>
    <w:rsid w:val="006168D8"/>
    <w:rsid w:val="00616EB9"/>
    <w:rsid w:val="0061723D"/>
    <w:rsid w:val="0061745A"/>
    <w:rsid w:val="00617B63"/>
    <w:rsid w:val="00617E79"/>
    <w:rsid w:val="006211C9"/>
    <w:rsid w:val="00621383"/>
    <w:rsid w:val="006213B6"/>
    <w:rsid w:val="00621637"/>
    <w:rsid w:val="00621AEA"/>
    <w:rsid w:val="00621F90"/>
    <w:rsid w:val="00621F9D"/>
    <w:rsid w:val="00622149"/>
    <w:rsid w:val="006227CC"/>
    <w:rsid w:val="00622A84"/>
    <w:rsid w:val="00622C89"/>
    <w:rsid w:val="006234A8"/>
    <w:rsid w:val="00623EBF"/>
    <w:rsid w:val="00624365"/>
    <w:rsid w:val="00624737"/>
    <w:rsid w:val="00624A65"/>
    <w:rsid w:val="00624B40"/>
    <w:rsid w:val="0062562A"/>
    <w:rsid w:val="00625A15"/>
    <w:rsid w:val="00626250"/>
    <w:rsid w:val="006267B9"/>
    <w:rsid w:val="00627010"/>
    <w:rsid w:val="00627AF8"/>
    <w:rsid w:val="00627EAA"/>
    <w:rsid w:val="0063026E"/>
    <w:rsid w:val="00630886"/>
    <w:rsid w:val="00630C45"/>
    <w:rsid w:val="00630E5D"/>
    <w:rsid w:val="00631719"/>
    <w:rsid w:val="00631FAF"/>
    <w:rsid w:val="0063251E"/>
    <w:rsid w:val="00632AD9"/>
    <w:rsid w:val="00632FAE"/>
    <w:rsid w:val="006334F5"/>
    <w:rsid w:val="00633530"/>
    <w:rsid w:val="00633695"/>
    <w:rsid w:val="00633A05"/>
    <w:rsid w:val="00633E6B"/>
    <w:rsid w:val="00634FB1"/>
    <w:rsid w:val="00635F2D"/>
    <w:rsid w:val="00636CF6"/>
    <w:rsid w:val="006375C6"/>
    <w:rsid w:val="0063796C"/>
    <w:rsid w:val="00640243"/>
    <w:rsid w:val="006405AD"/>
    <w:rsid w:val="0064077E"/>
    <w:rsid w:val="00641432"/>
    <w:rsid w:val="00641904"/>
    <w:rsid w:val="00641DDD"/>
    <w:rsid w:val="0064228B"/>
    <w:rsid w:val="006422FF"/>
    <w:rsid w:val="00642901"/>
    <w:rsid w:val="00643A11"/>
    <w:rsid w:val="00643D53"/>
    <w:rsid w:val="00643FDD"/>
    <w:rsid w:val="00644114"/>
    <w:rsid w:val="006446D1"/>
    <w:rsid w:val="00644958"/>
    <w:rsid w:val="0064509B"/>
    <w:rsid w:val="00645781"/>
    <w:rsid w:val="00645A0B"/>
    <w:rsid w:val="00645FE3"/>
    <w:rsid w:val="0064605F"/>
    <w:rsid w:val="00646300"/>
    <w:rsid w:val="006464A9"/>
    <w:rsid w:val="00646BCF"/>
    <w:rsid w:val="00646D84"/>
    <w:rsid w:val="00646DD1"/>
    <w:rsid w:val="00647256"/>
    <w:rsid w:val="00647B07"/>
    <w:rsid w:val="00650C97"/>
    <w:rsid w:val="0065260A"/>
    <w:rsid w:val="006527BA"/>
    <w:rsid w:val="00652CA3"/>
    <w:rsid w:val="006531C5"/>
    <w:rsid w:val="00653E37"/>
    <w:rsid w:val="006540B0"/>
    <w:rsid w:val="006544E3"/>
    <w:rsid w:val="0065577B"/>
    <w:rsid w:val="006557E3"/>
    <w:rsid w:val="00656094"/>
    <w:rsid w:val="006560D9"/>
    <w:rsid w:val="006564EC"/>
    <w:rsid w:val="00656928"/>
    <w:rsid w:val="00657154"/>
    <w:rsid w:val="006576AC"/>
    <w:rsid w:val="00657A17"/>
    <w:rsid w:val="00657C8E"/>
    <w:rsid w:val="00657F44"/>
    <w:rsid w:val="00660DEC"/>
    <w:rsid w:val="0066130A"/>
    <w:rsid w:val="006614D8"/>
    <w:rsid w:val="00661EA5"/>
    <w:rsid w:val="00663800"/>
    <w:rsid w:val="0066380B"/>
    <w:rsid w:val="00663840"/>
    <w:rsid w:val="0066427D"/>
    <w:rsid w:val="00664491"/>
    <w:rsid w:val="006644F4"/>
    <w:rsid w:val="00664C6F"/>
    <w:rsid w:val="0066551C"/>
    <w:rsid w:val="00667275"/>
    <w:rsid w:val="00667582"/>
    <w:rsid w:val="00667737"/>
    <w:rsid w:val="00667944"/>
    <w:rsid w:val="00670BCD"/>
    <w:rsid w:val="00670F2A"/>
    <w:rsid w:val="00671450"/>
    <w:rsid w:val="00671B4D"/>
    <w:rsid w:val="00672515"/>
    <w:rsid w:val="00672569"/>
    <w:rsid w:val="0067309F"/>
    <w:rsid w:val="0067331A"/>
    <w:rsid w:val="00673ED6"/>
    <w:rsid w:val="00674086"/>
    <w:rsid w:val="0067495B"/>
    <w:rsid w:val="00674AEA"/>
    <w:rsid w:val="00674B26"/>
    <w:rsid w:val="00674FFB"/>
    <w:rsid w:val="006764FA"/>
    <w:rsid w:val="006767FF"/>
    <w:rsid w:val="00676DAA"/>
    <w:rsid w:val="00676E7F"/>
    <w:rsid w:val="00676F29"/>
    <w:rsid w:val="00677466"/>
    <w:rsid w:val="00677D2A"/>
    <w:rsid w:val="006814B2"/>
    <w:rsid w:val="00681D54"/>
    <w:rsid w:val="00682B65"/>
    <w:rsid w:val="00682E95"/>
    <w:rsid w:val="006837B1"/>
    <w:rsid w:val="00683CB6"/>
    <w:rsid w:val="0068443D"/>
    <w:rsid w:val="00684985"/>
    <w:rsid w:val="00684E0A"/>
    <w:rsid w:val="006851B3"/>
    <w:rsid w:val="00685464"/>
    <w:rsid w:val="00685714"/>
    <w:rsid w:val="00685B39"/>
    <w:rsid w:val="00685BAE"/>
    <w:rsid w:val="00686494"/>
    <w:rsid w:val="006865EC"/>
    <w:rsid w:val="006866F5"/>
    <w:rsid w:val="00686AB5"/>
    <w:rsid w:val="006877F3"/>
    <w:rsid w:val="00687D83"/>
    <w:rsid w:val="0069005B"/>
    <w:rsid w:val="00690558"/>
    <w:rsid w:val="00690C2B"/>
    <w:rsid w:val="00690E37"/>
    <w:rsid w:val="006912FE"/>
    <w:rsid w:val="006919E7"/>
    <w:rsid w:val="0069216B"/>
    <w:rsid w:val="006928B8"/>
    <w:rsid w:val="006928DE"/>
    <w:rsid w:val="00692A2C"/>
    <w:rsid w:val="00694333"/>
    <w:rsid w:val="00695093"/>
    <w:rsid w:val="00695276"/>
    <w:rsid w:val="006958D6"/>
    <w:rsid w:val="00695D97"/>
    <w:rsid w:val="00696817"/>
    <w:rsid w:val="0069692E"/>
    <w:rsid w:val="00696BC1"/>
    <w:rsid w:val="006A08D1"/>
    <w:rsid w:val="006A0D38"/>
    <w:rsid w:val="006A1396"/>
    <w:rsid w:val="006A184F"/>
    <w:rsid w:val="006A1AFE"/>
    <w:rsid w:val="006A1EAA"/>
    <w:rsid w:val="006A29EB"/>
    <w:rsid w:val="006A2B31"/>
    <w:rsid w:val="006A2B8F"/>
    <w:rsid w:val="006A2DE9"/>
    <w:rsid w:val="006A37C4"/>
    <w:rsid w:val="006A3A0D"/>
    <w:rsid w:val="006A3A61"/>
    <w:rsid w:val="006A3AC4"/>
    <w:rsid w:val="006A536F"/>
    <w:rsid w:val="006A53E4"/>
    <w:rsid w:val="006A548B"/>
    <w:rsid w:val="006A6523"/>
    <w:rsid w:val="006A7073"/>
    <w:rsid w:val="006A7D54"/>
    <w:rsid w:val="006B01AD"/>
    <w:rsid w:val="006B01CC"/>
    <w:rsid w:val="006B0645"/>
    <w:rsid w:val="006B0BF7"/>
    <w:rsid w:val="006B1391"/>
    <w:rsid w:val="006B187D"/>
    <w:rsid w:val="006B1B57"/>
    <w:rsid w:val="006B1D35"/>
    <w:rsid w:val="006B2376"/>
    <w:rsid w:val="006B255E"/>
    <w:rsid w:val="006B25B3"/>
    <w:rsid w:val="006B29CA"/>
    <w:rsid w:val="006B2A35"/>
    <w:rsid w:val="006B36B5"/>
    <w:rsid w:val="006B3EA8"/>
    <w:rsid w:val="006B4429"/>
    <w:rsid w:val="006B494E"/>
    <w:rsid w:val="006B4DA5"/>
    <w:rsid w:val="006B4DF8"/>
    <w:rsid w:val="006B572C"/>
    <w:rsid w:val="006B6479"/>
    <w:rsid w:val="006B648B"/>
    <w:rsid w:val="006B6640"/>
    <w:rsid w:val="006C0954"/>
    <w:rsid w:val="006C0EF7"/>
    <w:rsid w:val="006C10FD"/>
    <w:rsid w:val="006C1347"/>
    <w:rsid w:val="006C1427"/>
    <w:rsid w:val="006C1AE7"/>
    <w:rsid w:val="006C2415"/>
    <w:rsid w:val="006C2494"/>
    <w:rsid w:val="006C30FC"/>
    <w:rsid w:val="006C3752"/>
    <w:rsid w:val="006C3915"/>
    <w:rsid w:val="006C3C70"/>
    <w:rsid w:val="006C40C3"/>
    <w:rsid w:val="006C424E"/>
    <w:rsid w:val="006C42D7"/>
    <w:rsid w:val="006C4341"/>
    <w:rsid w:val="006C5233"/>
    <w:rsid w:val="006C55B2"/>
    <w:rsid w:val="006C5A0D"/>
    <w:rsid w:val="006C5A1B"/>
    <w:rsid w:val="006C6537"/>
    <w:rsid w:val="006C6645"/>
    <w:rsid w:val="006C6831"/>
    <w:rsid w:val="006C6DBA"/>
    <w:rsid w:val="006C741D"/>
    <w:rsid w:val="006C776F"/>
    <w:rsid w:val="006C7804"/>
    <w:rsid w:val="006C7EC8"/>
    <w:rsid w:val="006D02C0"/>
    <w:rsid w:val="006D0310"/>
    <w:rsid w:val="006D16A5"/>
    <w:rsid w:val="006D1FB5"/>
    <w:rsid w:val="006D268B"/>
    <w:rsid w:val="006D2CF3"/>
    <w:rsid w:val="006D2E2B"/>
    <w:rsid w:val="006D3544"/>
    <w:rsid w:val="006D388E"/>
    <w:rsid w:val="006D3CA8"/>
    <w:rsid w:val="006D4177"/>
    <w:rsid w:val="006D4269"/>
    <w:rsid w:val="006D455B"/>
    <w:rsid w:val="006D4827"/>
    <w:rsid w:val="006D4905"/>
    <w:rsid w:val="006D4A7B"/>
    <w:rsid w:val="006D4E1D"/>
    <w:rsid w:val="006D547B"/>
    <w:rsid w:val="006D5CB0"/>
    <w:rsid w:val="006D624B"/>
    <w:rsid w:val="006D6486"/>
    <w:rsid w:val="006D67F5"/>
    <w:rsid w:val="006D72BC"/>
    <w:rsid w:val="006D7820"/>
    <w:rsid w:val="006D796E"/>
    <w:rsid w:val="006D7D94"/>
    <w:rsid w:val="006D7E89"/>
    <w:rsid w:val="006D7EA3"/>
    <w:rsid w:val="006E02D7"/>
    <w:rsid w:val="006E0337"/>
    <w:rsid w:val="006E0AC0"/>
    <w:rsid w:val="006E0C14"/>
    <w:rsid w:val="006E0ECC"/>
    <w:rsid w:val="006E0F0F"/>
    <w:rsid w:val="006E1CCC"/>
    <w:rsid w:val="006E1D2C"/>
    <w:rsid w:val="006E207D"/>
    <w:rsid w:val="006E2100"/>
    <w:rsid w:val="006E2A32"/>
    <w:rsid w:val="006E2B6B"/>
    <w:rsid w:val="006E3288"/>
    <w:rsid w:val="006E3B67"/>
    <w:rsid w:val="006E40E3"/>
    <w:rsid w:val="006E49D7"/>
    <w:rsid w:val="006E4DA7"/>
    <w:rsid w:val="006E4E21"/>
    <w:rsid w:val="006E51AF"/>
    <w:rsid w:val="006E57EC"/>
    <w:rsid w:val="006E6179"/>
    <w:rsid w:val="006E6527"/>
    <w:rsid w:val="006E6A30"/>
    <w:rsid w:val="006E6FF4"/>
    <w:rsid w:val="006E71D2"/>
    <w:rsid w:val="006E7900"/>
    <w:rsid w:val="006E7A91"/>
    <w:rsid w:val="006F1378"/>
    <w:rsid w:val="006F14D0"/>
    <w:rsid w:val="006F169F"/>
    <w:rsid w:val="006F185B"/>
    <w:rsid w:val="006F1E8F"/>
    <w:rsid w:val="006F1EE8"/>
    <w:rsid w:val="006F2A2A"/>
    <w:rsid w:val="006F2F2C"/>
    <w:rsid w:val="006F3021"/>
    <w:rsid w:val="006F3158"/>
    <w:rsid w:val="006F337F"/>
    <w:rsid w:val="006F37C5"/>
    <w:rsid w:val="006F3F0A"/>
    <w:rsid w:val="006F3F3F"/>
    <w:rsid w:val="006F413E"/>
    <w:rsid w:val="006F433F"/>
    <w:rsid w:val="006F4C18"/>
    <w:rsid w:val="006F4F3B"/>
    <w:rsid w:val="006F5900"/>
    <w:rsid w:val="006F5D31"/>
    <w:rsid w:val="006F62E3"/>
    <w:rsid w:val="006F64BB"/>
    <w:rsid w:val="006F661D"/>
    <w:rsid w:val="006F734F"/>
    <w:rsid w:val="0070016B"/>
    <w:rsid w:val="00700244"/>
    <w:rsid w:val="00700B80"/>
    <w:rsid w:val="007012CF"/>
    <w:rsid w:val="00701A7C"/>
    <w:rsid w:val="00701D46"/>
    <w:rsid w:val="00701DC3"/>
    <w:rsid w:val="00701E18"/>
    <w:rsid w:val="00702169"/>
    <w:rsid w:val="00702787"/>
    <w:rsid w:val="0070292D"/>
    <w:rsid w:val="007031BC"/>
    <w:rsid w:val="00707327"/>
    <w:rsid w:val="007100FE"/>
    <w:rsid w:val="00710293"/>
    <w:rsid w:val="007106D8"/>
    <w:rsid w:val="00711A2D"/>
    <w:rsid w:val="00711B51"/>
    <w:rsid w:val="00711BA3"/>
    <w:rsid w:val="007121DD"/>
    <w:rsid w:val="007121F8"/>
    <w:rsid w:val="00712D2E"/>
    <w:rsid w:val="00712F03"/>
    <w:rsid w:val="00712F93"/>
    <w:rsid w:val="00713320"/>
    <w:rsid w:val="00714644"/>
    <w:rsid w:val="007152DB"/>
    <w:rsid w:val="00715857"/>
    <w:rsid w:val="00716498"/>
    <w:rsid w:val="00716CCF"/>
    <w:rsid w:val="00716D72"/>
    <w:rsid w:val="00717226"/>
    <w:rsid w:val="00717A08"/>
    <w:rsid w:val="007200D3"/>
    <w:rsid w:val="007201C6"/>
    <w:rsid w:val="0072045C"/>
    <w:rsid w:val="00720C94"/>
    <w:rsid w:val="00721007"/>
    <w:rsid w:val="007210AF"/>
    <w:rsid w:val="00721A17"/>
    <w:rsid w:val="00721B0A"/>
    <w:rsid w:val="00721F2E"/>
    <w:rsid w:val="007220AC"/>
    <w:rsid w:val="00723D3C"/>
    <w:rsid w:val="00724564"/>
    <w:rsid w:val="007247B2"/>
    <w:rsid w:val="00724DED"/>
    <w:rsid w:val="007251E8"/>
    <w:rsid w:val="007259D7"/>
    <w:rsid w:val="00725A50"/>
    <w:rsid w:val="00725FA8"/>
    <w:rsid w:val="0072651F"/>
    <w:rsid w:val="00726709"/>
    <w:rsid w:val="00726FF8"/>
    <w:rsid w:val="00727122"/>
    <w:rsid w:val="00727BC7"/>
    <w:rsid w:val="007304F5"/>
    <w:rsid w:val="00730E94"/>
    <w:rsid w:val="007316D0"/>
    <w:rsid w:val="007318D7"/>
    <w:rsid w:val="00731DCA"/>
    <w:rsid w:val="00731E5F"/>
    <w:rsid w:val="007320A8"/>
    <w:rsid w:val="00732224"/>
    <w:rsid w:val="00732361"/>
    <w:rsid w:val="00732641"/>
    <w:rsid w:val="00732BB4"/>
    <w:rsid w:val="007335F5"/>
    <w:rsid w:val="0073366F"/>
    <w:rsid w:val="007336C6"/>
    <w:rsid w:val="0073374C"/>
    <w:rsid w:val="00734627"/>
    <w:rsid w:val="00734628"/>
    <w:rsid w:val="00734652"/>
    <w:rsid w:val="0073474C"/>
    <w:rsid w:val="007354AF"/>
    <w:rsid w:val="00735A45"/>
    <w:rsid w:val="00735AF9"/>
    <w:rsid w:val="00735BC0"/>
    <w:rsid w:val="00736BCC"/>
    <w:rsid w:val="0073725E"/>
    <w:rsid w:val="00737D31"/>
    <w:rsid w:val="00737E8B"/>
    <w:rsid w:val="00740AFE"/>
    <w:rsid w:val="00740BF2"/>
    <w:rsid w:val="00741695"/>
    <w:rsid w:val="00741839"/>
    <w:rsid w:val="00741B33"/>
    <w:rsid w:val="007420B5"/>
    <w:rsid w:val="007421D4"/>
    <w:rsid w:val="00742F90"/>
    <w:rsid w:val="007431A4"/>
    <w:rsid w:val="007443C5"/>
    <w:rsid w:val="00744622"/>
    <w:rsid w:val="007447D4"/>
    <w:rsid w:val="00744842"/>
    <w:rsid w:val="007448ED"/>
    <w:rsid w:val="00744D72"/>
    <w:rsid w:val="00745384"/>
    <w:rsid w:val="00745E92"/>
    <w:rsid w:val="00746293"/>
    <w:rsid w:val="0074640E"/>
    <w:rsid w:val="00746836"/>
    <w:rsid w:val="00746C72"/>
    <w:rsid w:val="0074703A"/>
    <w:rsid w:val="00747FCA"/>
    <w:rsid w:val="007502E7"/>
    <w:rsid w:val="007509F4"/>
    <w:rsid w:val="00750A6C"/>
    <w:rsid w:val="00750EB2"/>
    <w:rsid w:val="00751C7A"/>
    <w:rsid w:val="00751F33"/>
    <w:rsid w:val="00751FA7"/>
    <w:rsid w:val="00752C98"/>
    <w:rsid w:val="0075302A"/>
    <w:rsid w:val="00753243"/>
    <w:rsid w:val="00754A46"/>
    <w:rsid w:val="00754C11"/>
    <w:rsid w:val="00755E0C"/>
    <w:rsid w:val="0075601D"/>
    <w:rsid w:val="00756382"/>
    <w:rsid w:val="00757219"/>
    <w:rsid w:val="00757270"/>
    <w:rsid w:val="007575B8"/>
    <w:rsid w:val="00757B94"/>
    <w:rsid w:val="00757FAD"/>
    <w:rsid w:val="007607CC"/>
    <w:rsid w:val="0076095E"/>
    <w:rsid w:val="00760A6B"/>
    <w:rsid w:val="007613AC"/>
    <w:rsid w:val="00761562"/>
    <w:rsid w:val="00762510"/>
    <w:rsid w:val="007625D0"/>
    <w:rsid w:val="0076267E"/>
    <w:rsid w:val="007634C5"/>
    <w:rsid w:val="00763A12"/>
    <w:rsid w:val="00763C30"/>
    <w:rsid w:val="007642F5"/>
    <w:rsid w:val="007647AA"/>
    <w:rsid w:val="00764D6B"/>
    <w:rsid w:val="00764E9C"/>
    <w:rsid w:val="007659E6"/>
    <w:rsid w:val="00765EA1"/>
    <w:rsid w:val="007665F5"/>
    <w:rsid w:val="0076667A"/>
    <w:rsid w:val="00766DFB"/>
    <w:rsid w:val="0076706A"/>
    <w:rsid w:val="00767570"/>
    <w:rsid w:val="007678A9"/>
    <w:rsid w:val="00767A02"/>
    <w:rsid w:val="00767DDD"/>
    <w:rsid w:val="0077019F"/>
    <w:rsid w:val="0077050C"/>
    <w:rsid w:val="00770F53"/>
    <w:rsid w:val="00770F82"/>
    <w:rsid w:val="00771399"/>
    <w:rsid w:val="007715B5"/>
    <w:rsid w:val="00771717"/>
    <w:rsid w:val="00771813"/>
    <w:rsid w:val="00771987"/>
    <w:rsid w:val="00771F06"/>
    <w:rsid w:val="00772839"/>
    <w:rsid w:val="00772CB7"/>
    <w:rsid w:val="00772E43"/>
    <w:rsid w:val="00773D37"/>
    <w:rsid w:val="0077495D"/>
    <w:rsid w:val="00774BF1"/>
    <w:rsid w:val="00774DB4"/>
    <w:rsid w:val="00774DE6"/>
    <w:rsid w:val="0077569C"/>
    <w:rsid w:val="007757BF"/>
    <w:rsid w:val="00776041"/>
    <w:rsid w:val="007766C5"/>
    <w:rsid w:val="007771B6"/>
    <w:rsid w:val="007775E5"/>
    <w:rsid w:val="0077795A"/>
    <w:rsid w:val="007779A8"/>
    <w:rsid w:val="007801A8"/>
    <w:rsid w:val="007812ED"/>
    <w:rsid w:val="0078146A"/>
    <w:rsid w:val="00781AEE"/>
    <w:rsid w:val="0078260D"/>
    <w:rsid w:val="007826FB"/>
    <w:rsid w:val="00783056"/>
    <w:rsid w:val="007834B5"/>
    <w:rsid w:val="00783DD9"/>
    <w:rsid w:val="0078430C"/>
    <w:rsid w:val="00784532"/>
    <w:rsid w:val="00784974"/>
    <w:rsid w:val="0078499F"/>
    <w:rsid w:val="007849BA"/>
    <w:rsid w:val="00784C1A"/>
    <w:rsid w:val="00784D77"/>
    <w:rsid w:val="0078561C"/>
    <w:rsid w:val="00786022"/>
    <w:rsid w:val="007873F1"/>
    <w:rsid w:val="00787482"/>
    <w:rsid w:val="00787C8A"/>
    <w:rsid w:val="0079010C"/>
    <w:rsid w:val="0079040D"/>
    <w:rsid w:val="007906B6"/>
    <w:rsid w:val="00790A21"/>
    <w:rsid w:val="00791002"/>
    <w:rsid w:val="0079104A"/>
    <w:rsid w:val="0079122F"/>
    <w:rsid w:val="00791283"/>
    <w:rsid w:val="00791318"/>
    <w:rsid w:val="00791824"/>
    <w:rsid w:val="00791B35"/>
    <w:rsid w:val="00791F0E"/>
    <w:rsid w:val="00792062"/>
    <w:rsid w:val="00792974"/>
    <w:rsid w:val="00793207"/>
    <w:rsid w:val="007932B9"/>
    <w:rsid w:val="00793A63"/>
    <w:rsid w:val="00793B4C"/>
    <w:rsid w:val="00794012"/>
    <w:rsid w:val="007941B0"/>
    <w:rsid w:val="00794290"/>
    <w:rsid w:val="0079437F"/>
    <w:rsid w:val="00794687"/>
    <w:rsid w:val="00795406"/>
    <w:rsid w:val="007967C7"/>
    <w:rsid w:val="00796C1C"/>
    <w:rsid w:val="00797184"/>
    <w:rsid w:val="00797237"/>
    <w:rsid w:val="00797B32"/>
    <w:rsid w:val="00797FE3"/>
    <w:rsid w:val="007A03AD"/>
    <w:rsid w:val="007A0C5D"/>
    <w:rsid w:val="007A0E89"/>
    <w:rsid w:val="007A157D"/>
    <w:rsid w:val="007A18E3"/>
    <w:rsid w:val="007A1BD6"/>
    <w:rsid w:val="007A23F8"/>
    <w:rsid w:val="007A2BCA"/>
    <w:rsid w:val="007A39E4"/>
    <w:rsid w:val="007A427F"/>
    <w:rsid w:val="007A4ECE"/>
    <w:rsid w:val="007A5075"/>
    <w:rsid w:val="007A5138"/>
    <w:rsid w:val="007A53A3"/>
    <w:rsid w:val="007A5C8E"/>
    <w:rsid w:val="007A69AB"/>
    <w:rsid w:val="007A6CB5"/>
    <w:rsid w:val="007A7464"/>
    <w:rsid w:val="007A790B"/>
    <w:rsid w:val="007A7C77"/>
    <w:rsid w:val="007B030A"/>
    <w:rsid w:val="007B054B"/>
    <w:rsid w:val="007B07F1"/>
    <w:rsid w:val="007B0CF1"/>
    <w:rsid w:val="007B18A4"/>
    <w:rsid w:val="007B1D81"/>
    <w:rsid w:val="007B2E5B"/>
    <w:rsid w:val="007B2F98"/>
    <w:rsid w:val="007B3C58"/>
    <w:rsid w:val="007B484E"/>
    <w:rsid w:val="007B4A45"/>
    <w:rsid w:val="007B54E7"/>
    <w:rsid w:val="007B5BCB"/>
    <w:rsid w:val="007B5C2A"/>
    <w:rsid w:val="007B6358"/>
    <w:rsid w:val="007B6B46"/>
    <w:rsid w:val="007B70C0"/>
    <w:rsid w:val="007B7AC4"/>
    <w:rsid w:val="007C0026"/>
    <w:rsid w:val="007C0105"/>
    <w:rsid w:val="007C0352"/>
    <w:rsid w:val="007C087D"/>
    <w:rsid w:val="007C0A72"/>
    <w:rsid w:val="007C0DAF"/>
    <w:rsid w:val="007C1303"/>
    <w:rsid w:val="007C217D"/>
    <w:rsid w:val="007C2FAA"/>
    <w:rsid w:val="007C345D"/>
    <w:rsid w:val="007C3511"/>
    <w:rsid w:val="007C3713"/>
    <w:rsid w:val="007C4343"/>
    <w:rsid w:val="007C44AA"/>
    <w:rsid w:val="007C4B2F"/>
    <w:rsid w:val="007C4C66"/>
    <w:rsid w:val="007C4CD1"/>
    <w:rsid w:val="007C4EA0"/>
    <w:rsid w:val="007C5AB5"/>
    <w:rsid w:val="007C5B7B"/>
    <w:rsid w:val="007C5BAE"/>
    <w:rsid w:val="007C5E3A"/>
    <w:rsid w:val="007C6231"/>
    <w:rsid w:val="007C6568"/>
    <w:rsid w:val="007C65C6"/>
    <w:rsid w:val="007C6F56"/>
    <w:rsid w:val="007C7027"/>
    <w:rsid w:val="007C72CF"/>
    <w:rsid w:val="007C7E05"/>
    <w:rsid w:val="007D08B1"/>
    <w:rsid w:val="007D0E5C"/>
    <w:rsid w:val="007D0EAF"/>
    <w:rsid w:val="007D1400"/>
    <w:rsid w:val="007D1DE1"/>
    <w:rsid w:val="007D1DFD"/>
    <w:rsid w:val="007D226F"/>
    <w:rsid w:val="007D33EE"/>
    <w:rsid w:val="007D3DC9"/>
    <w:rsid w:val="007D400E"/>
    <w:rsid w:val="007D4032"/>
    <w:rsid w:val="007D4131"/>
    <w:rsid w:val="007D5061"/>
    <w:rsid w:val="007D5C91"/>
    <w:rsid w:val="007D660B"/>
    <w:rsid w:val="007D6893"/>
    <w:rsid w:val="007D6905"/>
    <w:rsid w:val="007D6D00"/>
    <w:rsid w:val="007D6EA6"/>
    <w:rsid w:val="007E06A5"/>
    <w:rsid w:val="007E0C8C"/>
    <w:rsid w:val="007E0D9C"/>
    <w:rsid w:val="007E10B1"/>
    <w:rsid w:val="007E10D6"/>
    <w:rsid w:val="007E1CC1"/>
    <w:rsid w:val="007E1E1B"/>
    <w:rsid w:val="007E2177"/>
    <w:rsid w:val="007E23D9"/>
    <w:rsid w:val="007E2516"/>
    <w:rsid w:val="007E25CF"/>
    <w:rsid w:val="007E265B"/>
    <w:rsid w:val="007E37E6"/>
    <w:rsid w:val="007E40EF"/>
    <w:rsid w:val="007E4119"/>
    <w:rsid w:val="007E4258"/>
    <w:rsid w:val="007E45F1"/>
    <w:rsid w:val="007E57EB"/>
    <w:rsid w:val="007E5AB1"/>
    <w:rsid w:val="007E60C1"/>
    <w:rsid w:val="007E61E2"/>
    <w:rsid w:val="007E62D2"/>
    <w:rsid w:val="007E7124"/>
    <w:rsid w:val="007E776B"/>
    <w:rsid w:val="007E795F"/>
    <w:rsid w:val="007E7EA0"/>
    <w:rsid w:val="007E7EF2"/>
    <w:rsid w:val="007F0544"/>
    <w:rsid w:val="007F0C66"/>
    <w:rsid w:val="007F2834"/>
    <w:rsid w:val="007F2E03"/>
    <w:rsid w:val="007F37BE"/>
    <w:rsid w:val="007F4196"/>
    <w:rsid w:val="007F455A"/>
    <w:rsid w:val="007F4629"/>
    <w:rsid w:val="007F4835"/>
    <w:rsid w:val="007F5DFE"/>
    <w:rsid w:val="007F64D2"/>
    <w:rsid w:val="007F7004"/>
    <w:rsid w:val="007F718F"/>
    <w:rsid w:val="007F7483"/>
    <w:rsid w:val="007F74BB"/>
    <w:rsid w:val="007F7F27"/>
    <w:rsid w:val="00800521"/>
    <w:rsid w:val="00800BF6"/>
    <w:rsid w:val="008012C0"/>
    <w:rsid w:val="00801409"/>
    <w:rsid w:val="0080149B"/>
    <w:rsid w:val="00801EED"/>
    <w:rsid w:val="00802A5B"/>
    <w:rsid w:val="00802C00"/>
    <w:rsid w:val="00803D5F"/>
    <w:rsid w:val="00805B2C"/>
    <w:rsid w:val="00807023"/>
    <w:rsid w:val="00807117"/>
    <w:rsid w:val="00807B1B"/>
    <w:rsid w:val="00807EE7"/>
    <w:rsid w:val="00807F28"/>
    <w:rsid w:val="008103F8"/>
    <w:rsid w:val="00810605"/>
    <w:rsid w:val="008108D6"/>
    <w:rsid w:val="00810B39"/>
    <w:rsid w:val="00810DB6"/>
    <w:rsid w:val="008113F8"/>
    <w:rsid w:val="008118E6"/>
    <w:rsid w:val="00812A7B"/>
    <w:rsid w:val="00812A98"/>
    <w:rsid w:val="00812F55"/>
    <w:rsid w:val="00813535"/>
    <w:rsid w:val="00813618"/>
    <w:rsid w:val="0081390E"/>
    <w:rsid w:val="008140D3"/>
    <w:rsid w:val="0081471A"/>
    <w:rsid w:val="00814CBD"/>
    <w:rsid w:val="00815E8E"/>
    <w:rsid w:val="00816118"/>
    <w:rsid w:val="00816404"/>
    <w:rsid w:val="0081758D"/>
    <w:rsid w:val="0082014E"/>
    <w:rsid w:val="008201F6"/>
    <w:rsid w:val="00820204"/>
    <w:rsid w:val="00820AED"/>
    <w:rsid w:val="00820BEC"/>
    <w:rsid w:val="0082144C"/>
    <w:rsid w:val="00821D98"/>
    <w:rsid w:val="00821FAB"/>
    <w:rsid w:val="008221F9"/>
    <w:rsid w:val="00822E5A"/>
    <w:rsid w:val="008231F6"/>
    <w:rsid w:val="00823405"/>
    <w:rsid w:val="00823B89"/>
    <w:rsid w:val="00823BD9"/>
    <w:rsid w:val="008244B1"/>
    <w:rsid w:val="00824676"/>
    <w:rsid w:val="00824927"/>
    <w:rsid w:val="008251A6"/>
    <w:rsid w:val="0082525B"/>
    <w:rsid w:val="008253BB"/>
    <w:rsid w:val="00825785"/>
    <w:rsid w:val="00825CB9"/>
    <w:rsid w:val="00825DF9"/>
    <w:rsid w:val="00826506"/>
    <w:rsid w:val="008268A6"/>
    <w:rsid w:val="008269FE"/>
    <w:rsid w:val="00826B41"/>
    <w:rsid w:val="00826EEA"/>
    <w:rsid w:val="00826F68"/>
    <w:rsid w:val="008300CD"/>
    <w:rsid w:val="00830318"/>
    <w:rsid w:val="008309D3"/>
    <w:rsid w:val="00830C9F"/>
    <w:rsid w:val="008316E2"/>
    <w:rsid w:val="008317D2"/>
    <w:rsid w:val="008325E3"/>
    <w:rsid w:val="00832D65"/>
    <w:rsid w:val="00832E8C"/>
    <w:rsid w:val="00833EDF"/>
    <w:rsid w:val="0083444F"/>
    <w:rsid w:val="00834AA2"/>
    <w:rsid w:val="00834E1C"/>
    <w:rsid w:val="00834E3C"/>
    <w:rsid w:val="008363A8"/>
    <w:rsid w:val="0083645A"/>
    <w:rsid w:val="00836C13"/>
    <w:rsid w:val="00836EA3"/>
    <w:rsid w:val="00837471"/>
    <w:rsid w:val="008374A5"/>
    <w:rsid w:val="0083760E"/>
    <w:rsid w:val="00837633"/>
    <w:rsid w:val="0084047D"/>
    <w:rsid w:val="00840481"/>
    <w:rsid w:val="0084219B"/>
    <w:rsid w:val="00843251"/>
    <w:rsid w:val="00843994"/>
    <w:rsid w:val="008439DE"/>
    <w:rsid w:val="00844329"/>
    <w:rsid w:val="0084436F"/>
    <w:rsid w:val="008444A0"/>
    <w:rsid w:val="00844CF1"/>
    <w:rsid w:val="008451F2"/>
    <w:rsid w:val="0084539D"/>
    <w:rsid w:val="00845F58"/>
    <w:rsid w:val="00845FAB"/>
    <w:rsid w:val="00846BBD"/>
    <w:rsid w:val="00846C65"/>
    <w:rsid w:val="00846DC7"/>
    <w:rsid w:val="0084703D"/>
    <w:rsid w:val="008500C1"/>
    <w:rsid w:val="0085020E"/>
    <w:rsid w:val="0085165A"/>
    <w:rsid w:val="00851D67"/>
    <w:rsid w:val="008523E0"/>
    <w:rsid w:val="0085263A"/>
    <w:rsid w:val="0085295A"/>
    <w:rsid w:val="008531F1"/>
    <w:rsid w:val="008534D2"/>
    <w:rsid w:val="00853D44"/>
    <w:rsid w:val="00853EF8"/>
    <w:rsid w:val="008545B1"/>
    <w:rsid w:val="00854C27"/>
    <w:rsid w:val="00854F8C"/>
    <w:rsid w:val="0085510C"/>
    <w:rsid w:val="00855296"/>
    <w:rsid w:val="008553D2"/>
    <w:rsid w:val="0085540C"/>
    <w:rsid w:val="00855A1D"/>
    <w:rsid w:val="0085612D"/>
    <w:rsid w:val="00856159"/>
    <w:rsid w:val="00856378"/>
    <w:rsid w:val="00856469"/>
    <w:rsid w:val="0085649A"/>
    <w:rsid w:val="0085686E"/>
    <w:rsid w:val="00856F02"/>
    <w:rsid w:val="0085758A"/>
    <w:rsid w:val="0085760F"/>
    <w:rsid w:val="00857A25"/>
    <w:rsid w:val="00857D60"/>
    <w:rsid w:val="00857DE3"/>
    <w:rsid w:val="008600F2"/>
    <w:rsid w:val="00860166"/>
    <w:rsid w:val="00860227"/>
    <w:rsid w:val="0086023D"/>
    <w:rsid w:val="00860A83"/>
    <w:rsid w:val="00860ACD"/>
    <w:rsid w:val="00860F4D"/>
    <w:rsid w:val="00861474"/>
    <w:rsid w:val="008614B3"/>
    <w:rsid w:val="00861A06"/>
    <w:rsid w:val="008627A4"/>
    <w:rsid w:val="0086309C"/>
    <w:rsid w:val="00863367"/>
    <w:rsid w:val="00864607"/>
    <w:rsid w:val="00864C49"/>
    <w:rsid w:val="00864C74"/>
    <w:rsid w:val="00864EAA"/>
    <w:rsid w:val="00865DBE"/>
    <w:rsid w:val="00866340"/>
    <w:rsid w:val="008664B3"/>
    <w:rsid w:val="00866849"/>
    <w:rsid w:val="00866C5A"/>
    <w:rsid w:val="00867D92"/>
    <w:rsid w:val="00867F4E"/>
    <w:rsid w:val="0087075D"/>
    <w:rsid w:val="008709AD"/>
    <w:rsid w:val="00870AFC"/>
    <w:rsid w:val="00870DA3"/>
    <w:rsid w:val="008715CF"/>
    <w:rsid w:val="00871805"/>
    <w:rsid w:val="008728F6"/>
    <w:rsid w:val="008733D7"/>
    <w:rsid w:val="00873A53"/>
    <w:rsid w:val="0087481B"/>
    <w:rsid w:val="00875384"/>
    <w:rsid w:val="008755B6"/>
    <w:rsid w:val="00875824"/>
    <w:rsid w:val="008758F7"/>
    <w:rsid w:val="00875F87"/>
    <w:rsid w:val="0087786A"/>
    <w:rsid w:val="00877A28"/>
    <w:rsid w:val="00881534"/>
    <w:rsid w:val="008826D3"/>
    <w:rsid w:val="00882C1C"/>
    <w:rsid w:val="00884376"/>
    <w:rsid w:val="00884E90"/>
    <w:rsid w:val="0088501D"/>
    <w:rsid w:val="008853D3"/>
    <w:rsid w:val="0088573B"/>
    <w:rsid w:val="00886084"/>
    <w:rsid w:val="008860B0"/>
    <w:rsid w:val="008868CF"/>
    <w:rsid w:val="00886B48"/>
    <w:rsid w:val="00887B93"/>
    <w:rsid w:val="00887C3A"/>
    <w:rsid w:val="00887D1B"/>
    <w:rsid w:val="00887ED3"/>
    <w:rsid w:val="00890826"/>
    <w:rsid w:val="00891A58"/>
    <w:rsid w:val="00891F11"/>
    <w:rsid w:val="0089266D"/>
    <w:rsid w:val="00892FA4"/>
    <w:rsid w:val="0089374D"/>
    <w:rsid w:val="00893B3C"/>
    <w:rsid w:val="0089411B"/>
    <w:rsid w:val="00894672"/>
    <w:rsid w:val="008947A8"/>
    <w:rsid w:val="008950CA"/>
    <w:rsid w:val="008955E5"/>
    <w:rsid w:val="0089628F"/>
    <w:rsid w:val="008962C1"/>
    <w:rsid w:val="00897D3D"/>
    <w:rsid w:val="008A02A1"/>
    <w:rsid w:val="008A0AD1"/>
    <w:rsid w:val="008A122F"/>
    <w:rsid w:val="008A17C3"/>
    <w:rsid w:val="008A1EC9"/>
    <w:rsid w:val="008A2748"/>
    <w:rsid w:val="008A3F0D"/>
    <w:rsid w:val="008A4168"/>
    <w:rsid w:val="008A4CA4"/>
    <w:rsid w:val="008A5035"/>
    <w:rsid w:val="008A5CD5"/>
    <w:rsid w:val="008A6222"/>
    <w:rsid w:val="008A6270"/>
    <w:rsid w:val="008A639B"/>
    <w:rsid w:val="008A63C4"/>
    <w:rsid w:val="008A6C2A"/>
    <w:rsid w:val="008A6D9D"/>
    <w:rsid w:val="008B02BA"/>
    <w:rsid w:val="008B091D"/>
    <w:rsid w:val="008B0C6E"/>
    <w:rsid w:val="008B0D19"/>
    <w:rsid w:val="008B10F8"/>
    <w:rsid w:val="008B1B1E"/>
    <w:rsid w:val="008B36D0"/>
    <w:rsid w:val="008B39F5"/>
    <w:rsid w:val="008B4502"/>
    <w:rsid w:val="008B4515"/>
    <w:rsid w:val="008B49C2"/>
    <w:rsid w:val="008B4E60"/>
    <w:rsid w:val="008B5222"/>
    <w:rsid w:val="008B53FE"/>
    <w:rsid w:val="008B5474"/>
    <w:rsid w:val="008B5D38"/>
    <w:rsid w:val="008B6AFF"/>
    <w:rsid w:val="008B74C2"/>
    <w:rsid w:val="008C03E0"/>
    <w:rsid w:val="008C04FD"/>
    <w:rsid w:val="008C076C"/>
    <w:rsid w:val="008C0E7A"/>
    <w:rsid w:val="008C1691"/>
    <w:rsid w:val="008C279F"/>
    <w:rsid w:val="008C2E6B"/>
    <w:rsid w:val="008C2EA7"/>
    <w:rsid w:val="008C3C59"/>
    <w:rsid w:val="008C41F2"/>
    <w:rsid w:val="008C43E3"/>
    <w:rsid w:val="008C453F"/>
    <w:rsid w:val="008C545C"/>
    <w:rsid w:val="008C5810"/>
    <w:rsid w:val="008C588E"/>
    <w:rsid w:val="008C5A15"/>
    <w:rsid w:val="008C7746"/>
    <w:rsid w:val="008C78CF"/>
    <w:rsid w:val="008D0D45"/>
    <w:rsid w:val="008D126D"/>
    <w:rsid w:val="008D173A"/>
    <w:rsid w:val="008D1971"/>
    <w:rsid w:val="008D2151"/>
    <w:rsid w:val="008D30A4"/>
    <w:rsid w:val="008D3B12"/>
    <w:rsid w:val="008D482E"/>
    <w:rsid w:val="008D4A80"/>
    <w:rsid w:val="008D4BD6"/>
    <w:rsid w:val="008D4CE6"/>
    <w:rsid w:val="008D5E86"/>
    <w:rsid w:val="008D64A0"/>
    <w:rsid w:val="008D7476"/>
    <w:rsid w:val="008D7678"/>
    <w:rsid w:val="008D7CEB"/>
    <w:rsid w:val="008E06C5"/>
    <w:rsid w:val="008E0E67"/>
    <w:rsid w:val="008E1E59"/>
    <w:rsid w:val="008E2258"/>
    <w:rsid w:val="008E29B2"/>
    <w:rsid w:val="008E2CED"/>
    <w:rsid w:val="008E2CF3"/>
    <w:rsid w:val="008E3116"/>
    <w:rsid w:val="008E322F"/>
    <w:rsid w:val="008E3CC6"/>
    <w:rsid w:val="008E40FB"/>
    <w:rsid w:val="008E4347"/>
    <w:rsid w:val="008E434F"/>
    <w:rsid w:val="008E4AC5"/>
    <w:rsid w:val="008E4D08"/>
    <w:rsid w:val="008E54F3"/>
    <w:rsid w:val="008E6045"/>
    <w:rsid w:val="008E615E"/>
    <w:rsid w:val="008E63EB"/>
    <w:rsid w:val="008E67B9"/>
    <w:rsid w:val="008E6836"/>
    <w:rsid w:val="008E6C4F"/>
    <w:rsid w:val="008E723A"/>
    <w:rsid w:val="008E7489"/>
    <w:rsid w:val="008E76B5"/>
    <w:rsid w:val="008E7888"/>
    <w:rsid w:val="008E7D08"/>
    <w:rsid w:val="008E7E50"/>
    <w:rsid w:val="008F13B0"/>
    <w:rsid w:val="008F14CA"/>
    <w:rsid w:val="008F1980"/>
    <w:rsid w:val="008F2825"/>
    <w:rsid w:val="008F2956"/>
    <w:rsid w:val="008F32F0"/>
    <w:rsid w:val="008F4E13"/>
    <w:rsid w:val="008F54BA"/>
    <w:rsid w:val="008F5721"/>
    <w:rsid w:val="008F6560"/>
    <w:rsid w:val="00900004"/>
    <w:rsid w:val="009005D6"/>
    <w:rsid w:val="0090087B"/>
    <w:rsid w:val="009009E7"/>
    <w:rsid w:val="00901904"/>
    <w:rsid w:val="00901BA9"/>
    <w:rsid w:val="00901E43"/>
    <w:rsid w:val="0090236F"/>
    <w:rsid w:val="009024B6"/>
    <w:rsid w:val="009029AE"/>
    <w:rsid w:val="00902AC8"/>
    <w:rsid w:val="00903423"/>
    <w:rsid w:val="009041BB"/>
    <w:rsid w:val="009043CB"/>
    <w:rsid w:val="00904532"/>
    <w:rsid w:val="00904A7A"/>
    <w:rsid w:val="00905367"/>
    <w:rsid w:val="0090549B"/>
    <w:rsid w:val="00905EDA"/>
    <w:rsid w:val="00906E8F"/>
    <w:rsid w:val="00906F8F"/>
    <w:rsid w:val="0091047B"/>
    <w:rsid w:val="00910AB0"/>
    <w:rsid w:val="009110CA"/>
    <w:rsid w:val="00911368"/>
    <w:rsid w:val="00911723"/>
    <w:rsid w:val="0091263F"/>
    <w:rsid w:val="00912F20"/>
    <w:rsid w:val="009134EC"/>
    <w:rsid w:val="00914E18"/>
    <w:rsid w:val="00915194"/>
    <w:rsid w:val="009155F1"/>
    <w:rsid w:val="00915965"/>
    <w:rsid w:val="00915B22"/>
    <w:rsid w:val="009164AF"/>
    <w:rsid w:val="00916854"/>
    <w:rsid w:val="00916C59"/>
    <w:rsid w:val="00916C82"/>
    <w:rsid w:val="00917113"/>
    <w:rsid w:val="00917EBF"/>
    <w:rsid w:val="0092006B"/>
    <w:rsid w:val="00920707"/>
    <w:rsid w:val="00920A46"/>
    <w:rsid w:val="00920BDF"/>
    <w:rsid w:val="00920DDD"/>
    <w:rsid w:val="0092137F"/>
    <w:rsid w:val="00922079"/>
    <w:rsid w:val="00922A0E"/>
    <w:rsid w:val="00924434"/>
    <w:rsid w:val="0092593D"/>
    <w:rsid w:val="009259EC"/>
    <w:rsid w:val="00925B4D"/>
    <w:rsid w:val="00926C88"/>
    <w:rsid w:val="00926CA2"/>
    <w:rsid w:val="00926F3F"/>
    <w:rsid w:val="009271DD"/>
    <w:rsid w:val="009306DC"/>
    <w:rsid w:val="00930772"/>
    <w:rsid w:val="00930B7D"/>
    <w:rsid w:val="009310A5"/>
    <w:rsid w:val="00931B4E"/>
    <w:rsid w:val="00931B96"/>
    <w:rsid w:val="00931D09"/>
    <w:rsid w:val="0093246F"/>
    <w:rsid w:val="00932BE5"/>
    <w:rsid w:val="009330FE"/>
    <w:rsid w:val="009333AB"/>
    <w:rsid w:val="00933534"/>
    <w:rsid w:val="009341E2"/>
    <w:rsid w:val="009344B3"/>
    <w:rsid w:val="00935066"/>
    <w:rsid w:val="00935CEB"/>
    <w:rsid w:val="00935E34"/>
    <w:rsid w:val="0093628C"/>
    <w:rsid w:val="00936656"/>
    <w:rsid w:val="00936D92"/>
    <w:rsid w:val="00936F1C"/>
    <w:rsid w:val="00936FCF"/>
    <w:rsid w:val="00937557"/>
    <w:rsid w:val="00937898"/>
    <w:rsid w:val="009378E1"/>
    <w:rsid w:val="00937A65"/>
    <w:rsid w:val="00937C0A"/>
    <w:rsid w:val="00937F53"/>
    <w:rsid w:val="00940718"/>
    <w:rsid w:val="00940C41"/>
    <w:rsid w:val="00940E63"/>
    <w:rsid w:val="00941126"/>
    <w:rsid w:val="0094162F"/>
    <w:rsid w:val="00941C00"/>
    <w:rsid w:val="00941D19"/>
    <w:rsid w:val="0094205C"/>
    <w:rsid w:val="00942414"/>
    <w:rsid w:val="009428D8"/>
    <w:rsid w:val="00942C13"/>
    <w:rsid w:val="009435D7"/>
    <w:rsid w:val="0094397F"/>
    <w:rsid w:val="00943D20"/>
    <w:rsid w:val="00943F35"/>
    <w:rsid w:val="00943F93"/>
    <w:rsid w:val="00943FAA"/>
    <w:rsid w:val="00944312"/>
    <w:rsid w:val="0094461E"/>
    <w:rsid w:val="00944A07"/>
    <w:rsid w:val="00944C5D"/>
    <w:rsid w:val="00944EBB"/>
    <w:rsid w:val="009451CE"/>
    <w:rsid w:val="00945775"/>
    <w:rsid w:val="00945C93"/>
    <w:rsid w:val="00945CF4"/>
    <w:rsid w:val="009471C3"/>
    <w:rsid w:val="009474CE"/>
    <w:rsid w:val="0094797F"/>
    <w:rsid w:val="00947CAD"/>
    <w:rsid w:val="00947FEA"/>
    <w:rsid w:val="009506B9"/>
    <w:rsid w:val="00950769"/>
    <w:rsid w:val="009507BD"/>
    <w:rsid w:val="009507C3"/>
    <w:rsid w:val="00950956"/>
    <w:rsid w:val="009509EF"/>
    <w:rsid w:val="0095135D"/>
    <w:rsid w:val="00951654"/>
    <w:rsid w:val="00952283"/>
    <w:rsid w:val="0095243C"/>
    <w:rsid w:val="009533AF"/>
    <w:rsid w:val="009536CB"/>
    <w:rsid w:val="00954493"/>
    <w:rsid w:val="00954D30"/>
    <w:rsid w:val="00954E60"/>
    <w:rsid w:val="009551CF"/>
    <w:rsid w:val="009555F1"/>
    <w:rsid w:val="0095569C"/>
    <w:rsid w:val="0095603D"/>
    <w:rsid w:val="009560F7"/>
    <w:rsid w:val="0095621A"/>
    <w:rsid w:val="00956896"/>
    <w:rsid w:val="00956D6E"/>
    <w:rsid w:val="00956F25"/>
    <w:rsid w:val="00956FEA"/>
    <w:rsid w:val="00957458"/>
    <w:rsid w:val="00957D84"/>
    <w:rsid w:val="0096010E"/>
    <w:rsid w:val="009604D7"/>
    <w:rsid w:val="00960DFA"/>
    <w:rsid w:val="00961018"/>
    <w:rsid w:val="009611AE"/>
    <w:rsid w:val="00961682"/>
    <w:rsid w:val="00961E6A"/>
    <w:rsid w:val="009622BD"/>
    <w:rsid w:val="0096275B"/>
    <w:rsid w:val="00962DC9"/>
    <w:rsid w:val="0096319A"/>
    <w:rsid w:val="009633A2"/>
    <w:rsid w:val="00963792"/>
    <w:rsid w:val="009643A9"/>
    <w:rsid w:val="00964881"/>
    <w:rsid w:val="00965854"/>
    <w:rsid w:val="00965FC5"/>
    <w:rsid w:val="0096661C"/>
    <w:rsid w:val="00966752"/>
    <w:rsid w:val="00966D69"/>
    <w:rsid w:val="0096752E"/>
    <w:rsid w:val="00967CB3"/>
    <w:rsid w:val="00970071"/>
    <w:rsid w:val="00970EED"/>
    <w:rsid w:val="00970FE1"/>
    <w:rsid w:val="0097156A"/>
    <w:rsid w:val="009719E2"/>
    <w:rsid w:val="00972302"/>
    <w:rsid w:val="00972827"/>
    <w:rsid w:val="0097310E"/>
    <w:rsid w:val="00973503"/>
    <w:rsid w:val="00973540"/>
    <w:rsid w:val="009738AE"/>
    <w:rsid w:val="00973C68"/>
    <w:rsid w:val="00973EA8"/>
    <w:rsid w:val="009742BF"/>
    <w:rsid w:val="00974911"/>
    <w:rsid w:val="00975E8A"/>
    <w:rsid w:val="00975EB0"/>
    <w:rsid w:val="009761F2"/>
    <w:rsid w:val="00976406"/>
    <w:rsid w:val="009767E4"/>
    <w:rsid w:val="0097685B"/>
    <w:rsid w:val="00976879"/>
    <w:rsid w:val="00976980"/>
    <w:rsid w:val="00976C98"/>
    <w:rsid w:val="00976F7A"/>
    <w:rsid w:val="00977C76"/>
    <w:rsid w:val="009800A1"/>
    <w:rsid w:val="00980938"/>
    <w:rsid w:val="009811D5"/>
    <w:rsid w:val="00981ADD"/>
    <w:rsid w:val="0098200F"/>
    <w:rsid w:val="00982568"/>
    <w:rsid w:val="00982762"/>
    <w:rsid w:val="00982A0C"/>
    <w:rsid w:val="00982B83"/>
    <w:rsid w:val="00983193"/>
    <w:rsid w:val="009831D9"/>
    <w:rsid w:val="00983356"/>
    <w:rsid w:val="00984EBB"/>
    <w:rsid w:val="009852D0"/>
    <w:rsid w:val="009854BF"/>
    <w:rsid w:val="00985513"/>
    <w:rsid w:val="0098593B"/>
    <w:rsid w:val="00985BF6"/>
    <w:rsid w:val="0098611B"/>
    <w:rsid w:val="00986FB0"/>
    <w:rsid w:val="00987120"/>
    <w:rsid w:val="00987356"/>
    <w:rsid w:val="00987369"/>
    <w:rsid w:val="00987638"/>
    <w:rsid w:val="00990397"/>
    <w:rsid w:val="00990730"/>
    <w:rsid w:val="00990760"/>
    <w:rsid w:val="00990824"/>
    <w:rsid w:val="009908A6"/>
    <w:rsid w:val="00991160"/>
    <w:rsid w:val="009914A3"/>
    <w:rsid w:val="009918E6"/>
    <w:rsid w:val="00991E4D"/>
    <w:rsid w:val="0099242A"/>
    <w:rsid w:val="00992A28"/>
    <w:rsid w:val="0099357C"/>
    <w:rsid w:val="00993598"/>
    <w:rsid w:val="009938AC"/>
    <w:rsid w:val="00993FCD"/>
    <w:rsid w:val="009941B4"/>
    <w:rsid w:val="00994507"/>
    <w:rsid w:val="00995530"/>
    <w:rsid w:val="0099638C"/>
    <w:rsid w:val="0099656E"/>
    <w:rsid w:val="0099709E"/>
    <w:rsid w:val="009977A0"/>
    <w:rsid w:val="00997975"/>
    <w:rsid w:val="00997C1A"/>
    <w:rsid w:val="00997F6A"/>
    <w:rsid w:val="009A0140"/>
    <w:rsid w:val="009A0519"/>
    <w:rsid w:val="009A12D4"/>
    <w:rsid w:val="009A1A2B"/>
    <w:rsid w:val="009A1D1A"/>
    <w:rsid w:val="009A2167"/>
    <w:rsid w:val="009A2EFA"/>
    <w:rsid w:val="009A3486"/>
    <w:rsid w:val="009A3864"/>
    <w:rsid w:val="009A41D1"/>
    <w:rsid w:val="009A4556"/>
    <w:rsid w:val="009A49D2"/>
    <w:rsid w:val="009A49D5"/>
    <w:rsid w:val="009A4BA3"/>
    <w:rsid w:val="009A4EEF"/>
    <w:rsid w:val="009A5609"/>
    <w:rsid w:val="009A567F"/>
    <w:rsid w:val="009A570D"/>
    <w:rsid w:val="009A5B79"/>
    <w:rsid w:val="009A5C61"/>
    <w:rsid w:val="009A638B"/>
    <w:rsid w:val="009A6771"/>
    <w:rsid w:val="009A718D"/>
    <w:rsid w:val="009A77EB"/>
    <w:rsid w:val="009A7AEC"/>
    <w:rsid w:val="009A7D7F"/>
    <w:rsid w:val="009B0506"/>
    <w:rsid w:val="009B0779"/>
    <w:rsid w:val="009B08EA"/>
    <w:rsid w:val="009B0AD6"/>
    <w:rsid w:val="009B1253"/>
    <w:rsid w:val="009B1492"/>
    <w:rsid w:val="009B251B"/>
    <w:rsid w:val="009B28FF"/>
    <w:rsid w:val="009B2AFF"/>
    <w:rsid w:val="009B2D7C"/>
    <w:rsid w:val="009B3111"/>
    <w:rsid w:val="009B35F4"/>
    <w:rsid w:val="009B3A39"/>
    <w:rsid w:val="009B3A4F"/>
    <w:rsid w:val="009B4186"/>
    <w:rsid w:val="009B44E8"/>
    <w:rsid w:val="009B46A0"/>
    <w:rsid w:val="009B48DB"/>
    <w:rsid w:val="009B4E09"/>
    <w:rsid w:val="009B58E9"/>
    <w:rsid w:val="009B59DA"/>
    <w:rsid w:val="009B5EE7"/>
    <w:rsid w:val="009B5FC4"/>
    <w:rsid w:val="009B630A"/>
    <w:rsid w:val="009B678B"/>
    <w:rsid w:val="009B69A2"/>
    <w:rsid w:val="009B6BF1"/>
    <w:rsid w:val="009B6E3A"/>
    <w:rsid w:val="009B6FBD"/>
    <w:rsid w:val="009B779B"/>
    <w:rsid w:val="009B7F1F"/>
    <w:rsid w:val="009B7FDB"/>
    <w:rsid w:val="009C0736"/>
    <w:rsid w:val="009C0DEB"/>
    <w:rsid w:val="009C11C3"/>
    <w:rsid w:val="009C158B"/>
    <w:rsid w:val="009C1D6B"/>
    <w:rsid w:val="009C25C0"/>
    <w:rsid w:val="009C2DCC"/>
    <w:rsid w:val="009C3048"/>
    <w:rsid w:val="009C366D"/>
    <w:rsid w:val="009C4037"/>
    <w:rsid w:val="009C4656"/>
    <w:rsid w:val="009C6339"/>
    <w:rsid w:val="009C65A1"/>
    <w:rsid w:val="009C6864"/>
    <w:rsid w:val="009C6974"/>
    <w:rsid w:val="009C70F8"/>
    <w:rsid w:val="009C739B"/>
    <w:rsid w:val="009C7528"/>
    <w:rsid w:val="009C7E13"/>
    <w:rsid w:val="009D10C9"/>
    <w:rsid w:val="009D1599"/>
    <w:rsid w:val="009D1801"/>
    <w:rsid w:val="009D2295"/>
    <w:rsid w:val="009D2775"/>
    <w:rsid w:val="009D2D8F"/>
    <w:rsid w:val="009D3620"/>
    <w:rsid w:val="009D36C8"/>
    <w:rsid w:val="009D3B48"/>
    <w:rsid w:val="009D3B9E"/>
    <w:rsid w:val="009D3D03"/>
    <w:rsid w:val="009D474C"/>
    <w:rsid w:val="009D4A9D"/>
    <w:rsid w:val="009D5296"/>
    <w:rsid w:val="009D5B36"/>
    <w:rsid w:val="009D609F"/>
    <w:rsid w:val="009D6262"/>
    <w:rsid w:val="009D62E1"/>
    <w:rsid w:val="009D65C4"/>
    <w:rsid w:val="009D6963"/>
    <w:rsid w:val="009D6A52"/>
    <w:rsid w:val="009D6E77"/>
    <w:rsid w:val="009D7E55"/>
    <w:rsid w:val="009D7E76"/>
    <w:rsid w:val="009D7E97"/>
    <w:rsid w:val="009E0844"/>
    <w:rsid w:val="009E11EE"/>
    <w:rsid w:val="009E14A1"/>
    <w:rsid w:val="009E14B4"/>
    <w:rsid w:val="009E1934"/>
    <w:rsid w:val="009E263A"/>
    <w:rsid w:val="009E2985"/>
    <w:rsid w:val="009E2EBD"/>
    <w:rsid w:val="009E2FBC"/>
    <w:rsid w:val="009E4153"/>
    <w:rsid w:val="009E55CD"/>
    <w:rsid w:val="009E59F6"/>
    <w:rsid w:val="009E5D03"/>
    <w:rsid w:val="009E6217"/>
    <w:rsid w:val="009E625C"/>
    <w:rsid w:val="009E64F3"/>
    <w:rsid w:val="009E6537"/>
    <w:rsid w:val="009E68DC"/>
    <w:rsid w:val="009E6D07"/>
    <w:rsid w:val="009E7A1F"/>
    <w:rsid w:val="009E7DF0"/>
    <w:rsid w:val="009F06E0"/>
    <w:rsid w:val="009F0BD7"/>
    <w:rsid w:val="009F1953"/>
    <w:rsid w:val="009F1C20"/>
    <w:rsid w:val="009F1C6B"/>
    <w:rsid w:val="009F1CC1"/>
    <w:rsid w:val="009F22A2"/>
    <w:rsid w:val="009F272B"/>
    <w:rsid w:val="009F2A3C"/>
    <w:rsid w:val="009F2F85"/>
    <w:rsid w:val="009F3143"/>
    <w:rsid w:val="009F4AE7"/>
    <w:rsid w:val="009F4EA9"/>
    <w:rsid w:val="009F5850"/>
    <w:rsid w:val="009F61CB"/>
    <w:rsid w:val="009F67E2"/>
    <w:rsid w:val="009F6BFE"/>
    <w:rsid w:val="009F723A"/>
    <w:rsid w:val="00A0002C"/>
    <w:rsid w:val="00A005A6"/>
    <w:rsid w:val="00A00D35"/>
    <w:rsid w:val="00A0174A"/>
    <w:rsid w:val="00A01E50"/>
    <w:rsid w:val="00A0242A"/>
    <w:rsid w:val="00A02574"/>
    <w:rsid w:val="00A02589"/>
    <w:rsid w:val="00A02B70"/>
    <w:rsid w:val="00A03203"/>
    <w:rsid w:val="00A037EC"/>
    <w:rsid w:val="00A03D18"/>
    <w:rsid w:val="00A0481F"/>
    <w:rsid w:val="00A04ABC"/>
    <w:rsid w:val="00A04F84"/>
    <w:rsid w:val="00A05667"/>
    <w:rsid w:val="00A06784"/>
    <w:rsid w:val="00A0701E"/>
    <w:rsid w:val="00A0786C"/>
    <w:rsid w:val="00A07E40"/>
    <w:rsid w:val="00A101FF"/>
    <w:rsid w:val="00A108C2"/>
    <w:rsid w:val="00A10E32"/>
    <w:rsid w:val="00A11F76"/>
    <w:rsid w:val="00A12122"/>
    <w:rsid w:val="00A1242A"/>
    <w:rsid w:val="00A126F6"/>
    <w:rsid w:val="00A13ECA"/>
    <w:rsid w:val="00A143EA"/>
    <w:rsid w:val="00A149C1"/>
    <w:rsid w:val="00A14C4C"/>
    <w:rsid w:val="00A14D66"/>
    <w:rsid w:val="00A15023"/>
    <w:rsid w:val="00A15905"/>
    <w:rsid w:val="00A16E5A"/>
    <w:rsid w:val="00A17809"/>
    <w:rsid w:val="00A17E09"/>
    <w:rsid w:val="00A2003F"/>
    <w:rsid w:val="00A200D5"/>
    <w:rsid w:val="00A20169"/>
    <w:rsid w:val="00A20BC3"/>
    <w:rsid w:val="00A21788"/>
    <w:rsid w:val="00A2262D"/>
    <w:rsid w:val="00A2268A"/>
    <w:rsid w:val="00A236BD"/>
    <w:rsid w:val="00A2392A"/>
    <w:rsid w:val="00A240EC"/>
    <w:rsid w:val="00A24755"/>
    <w:rsid w:val="00A24762"/>
    <w:rsid w:val="00A24904"/>
    <w:rsid w:val="00A24DF0"/>
    <w:rsid w:val="00A24F60"/>
    <w:rsid w:val="00A26C39"/>
    <w:rsid w:val="00A300D8"/>
    <w:rsid w:val="00A304C5"/>
    <w:rsid w:val="00A305BF"/>
    <w:rsid w:val="00A307C6"/>
    <w:rsid w:val="00A30861"/>
    <w:rsid w:val="00A30ACF"/>
    <w:rsid w:val="00A3127C"/>
    <w:rsid w:val="00A32A28"/>
    <w:rsid w:val="00A3344D"/>
    <w:rsid w:val="00A3371E"/>
    <w:rsid w:val="00A33B18"/>
    <w:rsid w:val="00A33C8B"/>
    <w:rsid w:val="00A33EEC"/>
    <w:rsid w:val="00A34643"/>
    <w:rsid w:val="00A34ADA"/>
    <w:rsid w:val="00A34C43"/>
    <w:rsid w:val="00A352EB"/>
    <w:rsid w:val="00A355E3"/>
    <w:rsid w:val="00A358D6"/>
    <w:rsid w:val="00A35E99"/>
    <w:rsid w:val="00A37B0F"/>
    <w:rsid w:val="00A37BF0"/>
    <w:rsid w:val="00A37CD7"/>
    <w:rsid w:val="00A4080A"/>
    <w:rsid w:val="00A41182"/>
    <w:rsid w:val="00A41303"/>
    <w:rsid w:val="00A415C2"/>
    <w:rsid w:val="00A41F39"/>
    <w:rsid w:val="00A427F8"/>
    <w:rsid w:val="00A42874"/>
    <w:rsid w:val="00A42A36"/>
    <w:rsid w:val="00A42CD7"/>
    <w:rsid w:val="00A43D91"/>
    <w:rsid w:val="00A4404E"/>
    <w:rsid w:val="00A441C1"/>
    <w:rsid w:val="00A44BE2"/>
    <w:rsid w:val="00A45528"/>
    <w:rsid w:val="00A4560C"/>
    <w:rsid w:val="00A46E47"/>
    <w:rsid w:val="00A46F71"/>
    <w:rsid w:val="00A471C7"/>
    <w:rsid w:val="00A473F6"/>
    <w:rsid w:val="00A474C7"/>
    <w:rsid w:val="00A47523"/>
    <w:rsid w:val="00A47BB4"/>
    <w:rsid w:val="00A47CA4"/>
    <w:rsid w:val="00A47FEB"/>
    <w:rsid w:val="00A47FFA"/>
    <w:rsid w:val="00A5048B"/>
    <w:rsid w:val="00A50979"/>
    <w:rsid w:val="00A50A53"/>
    <w:rsid w:val="00A50DA2"/>
    <w:rsid w:val="00A51155"/>
    <w:rsid w:val="00A511A3"/>
    <w:rsid w:val="00A5160C"/>
    <w:rsid w:val="00A51752"/>
    <w:rsid w:val="00A51D93"/>
    <w:rsid w:val="00A5296C"/>
    <w:rsid w:val="00A52D07"/>
    <w:rsid w:val="00A535AF"/>
    <w:rsid w:val="00A54063"/>
    <w:rsid w:val="00A549DA"/>
    <w:rsid w:val="00A561FD"/>
    <w:rsid w:val="00A5696A"/>
    <w:rsid w:val="00A56A7E"/>
    <w:rsid w:val="00A56BD4"/>
    <w:rsid w:val="00A57414"/>
    <w:rsid w:val="00A57435"/>
    <w:rsid w:val="00A60009"/>
    <w:rsid w:val="00A6028E"/>
    <w:rsid w:val="00A60338"/>
    <w:rsid w:val="00A60574"/>
    <w:rsid w:val="00A60659"/>
    <w:rsid w:val="00A612A0"/>
    <w:rsid w:val="00A6156B"/>
    <w:rsid w:val="00A61950"/>
    <w:rsid w:val="00A62D2D"/>
    <w:rsid w:val="00A62D9B"/>
    <w:rsid w:val="00A6346E"/>
    <w:rsid w:val="00A638F1"/>
    <w:rsid w:val="00A63C1B"/>
    <w:rsid w:val="00A64334"/>
    <w:rsid w:val="00A64D29"/>
    <w:rsid w:val="00A64F9D"/>
    <w:rsid w:val="00A65B34"/>
    <w:rsid w:val="00A65DE9"/>
    <w:rsid w:val="00A66A49"/>
    <w:rsid w:val="00A70016"/>
    <w:rsid w:val="00A70054"/>
    <w:rsid w:val="00A70C23"/>
    <w:rsid w:val="00A71254"/>
    <w:rsid w:val="00A71621"/>
    <w:rsid w:val="00A717F7"/>
    <w:rsid w:val="00A71A02"/>
    <w:rsid w:val="00A71A04"/>
    <w:rsid w:val="00A71A97"/>
    <w:rsid w:val="00A71D2E"/>
    <w:rsid w:val="00A723DA"/>
    <w:rsid w:val="00A72BC4"/>
    <w:rsid w:val="00A73293"/>
    <w:rsid w:val="00A738AA"/>
    <w:rsid w:val="00A73DBE"/>
    <w:rsid w:val="00A73DCD"/>
    <w:rsid w:val="00A742E8"/>
    <w:rsid w:val="00A74EC2"/>
    <w:rsid w:val="00A74EC8"/>
    <w:rsid w:val="00A75C75"/>
    <w:rsid w:val="00A7623E"/>
    <w:rsid w:val="00A7635E"/>
    <w:rsid w:val="00A7663B"/>
    <w:rsid w:val="00A769E1"/>
    <w:rsid w:val="00A76C10"/>
    <w:rsid w:val="00A7713A"/>
    <w:rsid w:val="00A77801"/>
    <w:rsid w:val="00A77A2F"/>
    <w:rsid w:val="00A77E08"/>
    <w:rsid w:val="00A80270"/>
    <w:rsid w:val="00A80532"/>
    <w:rsid w:val="00A80799"/>
    <w:rsid w:val="00A80810"/>
    <w:rsid w:val="00A8082C"/>
    <w:rsid w:val="00A80C6A"/>
    <w:rsid w:val="00A81235"/>
    <w:rsid w:val="00A816E0"/>
    <w:rsid w:val="00A81895"/>
    <w:rsid w:val="00A81DAB"/>
    <w:rsid w:val="00A829A6"/>
    <w:rsid w:val="00A829AF"/>
    <w:rsid w:val="00A83DFD"/>
    <w:rsid w:val="00A840CB"/>
    <w:rsid w:val="00A84992"/>
    <w:rsid w:val="00A84A62"/>
    <w:rsid w:val="00A84E04"/>
    <w:rsid w:val="00A857B5"/>
    <w:rsid w:val="00A858A3"/>
    <w:rsid w:val="00A85961"/>
    <w:rsid w:val="00A85B14"/>
    <w:rsid w:val="00A85F1B"/>
    <w:rsid w:val="00A85F43"/>
    <w:rsid w:val="00A869A8"/>
    <w:rsid w:val="00A9002E"/>
    <w:rsid w:val="00A900B7"/>
    <w:rsid w:val="00A90538"/>
    <w:rsid w:val="00A90AFA"/>
    <w:rsid w:val="00A90EC1"/>
    <w:rsid w:val="00A9103F"/>
    <w:rsid w:val="00A9113C"/>
    <w:rsid w:val="00A9179A"/>
    <w:rsid w:val="00A91880"/>
    <w:rsid w:val="00A91AAA"/>
    <w:rsid w:val="00A91C8D"/>
    <w:rsid w:val="00A92349"/>
    <w:rsid w:val="00A928D5"/>
    <w:rsid w:val="00A928E1"/>
    <w:rsid w:val="00A92AA0"/>
    <w:rsid w:val="00A92DA6"/>
    <w:rsid w:val="00A92F48"/>
    <w:rsid w:val="00A93652"/>
    <w:rsid w:val="00A9411A"/>
    <w:rsid w:val="00A94290"/>
    <w:rsid w:val="00A9443E"/>
    <w:rsid w:val="00A951E7"/>
    <w:rsid w:val="00A95732"/>
    <w:rsid w:val="00A9581E"/>
    <w:rsid w:val="00A96386"/>
    <w:rsid w:val="00A963AF"/>
    <w:rsid w:val="00A96556"/>
    <w:rsid w:val="00A96A6E"/>
    <w:rsid w:val="00A96EB8"/>
    <w:rsid w:val="00A97167"/>
    <w:rsid w:val="00A974EE"/>
    <w:rsid w:val="00A97BF3"/>
    <w:rsid w:val="00AA002B"/>
    <w:rsid w:val="00AA087D"/>
    <w:rsid w:val="00AA0E0D"/>
    <w:rsid w:val="00AA0F9F"/>
    <w:rsid w:val="00AA1577"/>
    <w:rsid w:val="00AA19A6"/>
    <w:rsid w:val="00AA1A50"/>
    <w:rsid w:val="00AA1CEA"/>
    <w:rsid w:val="00AA2928"/>
    <w:rsid w:val="00AA36BF"/>
    <w:rsid w:val="00AA37EA"/>
    <w:rsid w:val="00AA534C"/>
    <w:rsid w:val="00AA5406"/>
    <w:rsid w:val="00AA54FF"/>
    <w:rsid w:val="00AA6038"/>
    <w:rsid w:val="00AA6736"/>
    <w:rsid w:val="00AA6D34"/>
    <w:rsid w:val="00AA6F23"/>
    <w:rsid w:val="00AB0276"/>
    <w:rsid w:val="00AB085E"/>
    <w:rsid w:val="00AB0DEA"/>
    <w:rsid w:val="00AB12B6"/>
    <w:rsid w:val="00AB1B41"/>
    <w:rsid w:val="00AB1E0A"/>
    <w:rsid w:val="00AB2521"/>
    <w:rsid w:val="00AB299B"/>
    <w:rsid w:val="00AB2ED1"/>
    <w:rsid w:val="00AB3AB1"/>
    <w:rsid w:val="00AB440E"/>
    <w:rsid w:val="00AB4634"/>
    <w:rsid w:val="00AB47E3"/>
    <w:rsid w:val="00AB4FAA"/>
    <w:rsid w:val="00AB53BA"/>
    <w:rsid w:val="00AB5CA3"/>
    <w:rsid w:val="00AB5DD7"/>
    <w:rsid w:val="00AB6235"/>
    <w:rsid w:val="00AB6FE7"/>
    <w:rsid w:val="00AB72F0"/>
    <w:rsid w:val="00AC042D"/>
    <w:rsid w:val="00AC0F47"/>
    <w:rsid w:val="00AC21E2"/>
    <w:rsid w:val="00AC2750"/>
    <w:rsid w:val="00AC28D0"/>
    <w:rsid w:val="00AC2D08"/>
    <w:rsid w:val="00AC337C"/>
    <w:rsid w:val="00AC3EAB"/>
    <w:rsid w:val="00AC4218"/>
    <w:rsid w:val="00AC46E5"/>
    <w:rsid w:val="00AC4A99"/>
    <w:rsid w:val="00AC4C99"/>
    <w:rsid w:val="00AC4FA9"/>
    <w:rsid w:val="00AC51D5"/>
    <w:rsid w:val="00AC5F68"/>
    <w:rsid w:val="00AC62C1"/>
    <w:rsid w:val="00AC68AC"/>
    <w:rsid w:val="00AC6EE5"/>
    <w:rsid w:val="00AC7D34"/>
    <w:rsid w:val="00AC7DF3"/>
    <w:rsid w:val="00AD01C6"/>
    <w:rsid w:val="00AD0434"/>
    <w:rsid w:val="00AD074C"/>
    <w:rsid w:val="00AD0A0F"/>
    <w:rsid w:val="00AD0D26"/>
    <w:rsid w:val="00AD1527"/>
    <w:rsid w:val="00AD1562"/>
    <w:rsid w:val="00AD1F73"/>
    <w:rsid w:val="00AD2258"/>
    <w:rsid w:val="00AD282F"/>
    <w:rsid w:val="00AD3109"/>
    <w:rsid w:val="00AD3E19"/>
    <w:rsid w:val="00AD4578"/>
    <w:rsid w:val="00AD507B"/>
    <w:rsid w:val="00AD5703"/>
    <w:rsid w:val="00AD5D9B"/>
    <w:rsid w:val="00AD6979"/>
    <w:rsid w:val="00AD69A1"/>
    <w:rsid w:val="00AD6C3C"/>
    <w:rsid w:val="00AD6F00"/>
    <w:rsid w:val="00AD7024"/>
    <w:rsid w:val="00AD7444"/>
    <w:rsid w:val="00AD7D08"/>
    <w:rsid w:val="00AE024A"/>
    <w:rsid w:val="00AE0576"/>
    <w:rsid w:val="00AE078C"/>
    <w:rsid w:val="00AE0A86"/>
    <w:rsid w:val="00AE1095"/>
    <w:rsid w:val="00AE1791"/>
    <w:rsid w:val="00AE19E0"/>
    <w:rsid w:val="00AE1ED1"/>
    <w:rsid w:val="00AE1EE6"/>
    <w:rsid w:val="00AE219F"/>
    <w:rsid w:val="00AE2947"/>
    <w:rsid w:val="00AE30AC"/>
    <w:rsid w:val="00AE35CA"/>
    <w:rsid w:val="00AE35CC"/>
    <w:rsid w:val="00AE42CC"/>
    <w:rsid w:val="00AE4F3B"/>
    <w:rsid w:val="00AE586F"/>
    <w:rsid w:val="00AE5C4A"/>
    <w:rsid w:val="00AE5E61"/>
    <w:rsid w:val="00AE5EE3"/>
    <w:rsid w:val="00AE64A1"/>
    <w:rsid w:val="00AE6560"/>
    <w:rsid w:val="00AE66C2"/>
    <w:rsid w:val="00AE6FB5"/>
    <w:rsid w:val="00AE715E"/>
    <w:rsid w:val="00AE73AD"/>
    <w:rsid w:val="00AE7433"/>
    <w:rsid w:val="00AE7854"/>
    <w:rsid w:val="00AE7AB2"/>
    <w:rsid w:val="00AF09DD"/>
    <w:rsid w:val="00AF106E"/>
    <w:rsid w:val="00AF1195"/>
    <w:rsid w:val="00AF1C02"/>
    <w:rsid w:val="00AF2429"/>
    <w:rsid w:val="00AF26B0"/>
    <w:rsid w:val="00AF380B"/>
    <w:rsid w:val="00AF4382"/>
    <w:rsid w:val="00AF43FA"/>
    <w:rsid w:val="00AF575B"/>
    <w:rsid w:val="00AF5F92"/>
    <w:rsid w:val="00AF6C0E"/>
    <w:rsid w:val="00AF7471"/>
    <w:rsid w:val="00AF7B98"/>
    <w:rsid w:val="00AF7DF2"/>
    <w:rsid w:val="00B00291"/>
    <w:rsid w:val="00B0034A"/>
    <w:rsid w:val="00B003D9"/>
    <w:rsid w:val="00B0096A"/>
    <w:rsid w:val="00B01A29"/>
    <w:rsid w:val="00B01D2C"/>
    <w:rsid w:val="00B02025"/>
    <w:rsid w:val="00B02149"/>
    <w:rsid w:val="00B021AB"/>
    <w:rsid w:val="00B02238"/>
    <w:rsid w:val="00B0277A"/>
    <w:rsid w:val="00B02B43"/>
    <w:rsid w:val="00B02CC8"/>
    <w:rsid w:val="00B03222"/>
    <w:rsid w:val="00B0357B"/>
    <w:rsid w:val="00B03984"/>
    <w:rsid w:val="00B03DC9"/>
    <w:rsid w:val="00B0466B"/>
    <w:rsid w:val="00B04F6A"/>
    <w:rsid w:val="00B054DE"/>
    <w:rsid w:val="00B05778"/>
    <w:rsid w:val="00B05F05"/>
    <w:rsid w:val="00B0617A"/>
    <w:rsid w:val="00B0647F"/>
    <w:rsid w:val="00B064C6"/>
    <w:rsid w:val="00B065F4"/>
    <w:rsid w:val="00B068F8"/>
    <w:rsid w:val="00B07B02"/>
    <w:rsid w:val="00B07B1B"/>
    <w:rsid w:val="00B10813"/>
    <w:rsid w:val="00B10A8F"/>
    <w:rsid w:val="00B10EFB"/>
    <w:rsid w:val="00B113BA"/>
    <w:rsid w:val="00B121FA"/>
    <w:rsid w:val="00B12E54"/>
    <w:rsid w:val="00B12F94"/>
    <w:rsid w:val="00B134E4"/>
    <w:rsid w:val="00B136B6"/>
    <w:rsid w:val="00B14164"/>
    <w:rsid w:val="00B146A6"/>
    <w:rsid w:val="00B14937"/>
    <w:rsid w:val="00B14A7C"/>
    <w:rsid w:val="00B14F7F"/>
    <w:rsid w:val="00B154DA"/>
    <w:rsid w:val="00B162C0"/>
    <w:rsid w:val="00B16B91"/>
    <w:rsid w:val="00B16FF5"/>
    <w:rsid w:val="00B170FB"/>
    <w:rsid w:val="00B172E7"/>
    <w:rsid w:val="00B17522"/>
    <w:rsid w:val="00B17C07"/>
    <w:rsid w:val="00B17F9B"/>
    <w:rsid w:val="00B20393"/>
    <w:rsid w:val="00B20771"/>
    <w:rsid w:val="00B20D13"/>
    <w:rsid w:val="00B21020"/>
    <w:rsid w:val="00B210E6"/>
    <w:rsid w:val="00B214CC"/>
    <w:rsid w:val="00B22DEF"/>
    <w:rsid w:val="00B2305D"/>
    <w:rsid w:val="00B23459"/>
    <w:rsid w:val="00B2365F"/>
    <w:rsid w:val="00B237BF"/>
    <w:rsid w:val="00B248D8"/>
    <w:rsid w:val="00B24C81"/>
    <w:rsid w:val="00B2548E"/>
    <w:rsid w:val="00B258C6"/>
    <w:rsid w:val="00B25A3D"/>
    <w:rsid w:val="00B25C7A"/>
    <w:rsid w:val="00B25CB4"/>
    <w:rsid w:val="00B25D7B"/>
    <w:rsid w:val="00B25FC5"/>
    <w:rsid w:val="00B26A95"/>
    <w:rsid w:val="00B27003"/>
    <w:rsid w:val="00B27169"/>
    <w:rsid w:val="00B276FC"/>
    <w:rsid w:val="00B279D9"/>
    <w:rsid w:val="00B27BE1"/>
    <w:rsid w:val="00B27D32"/>
    <w:rsid w:val="00B27DB6"/>
    <w:rsid w:val="00B3092A"/>
    <w:rsid w:val="00B314CB"/>
    <w:rsid w:val="00B3170B"/>
    <w:rsid w:val="00B321DD"/>
    <w:rsid w:val="00B321F3"/>
    <w:rsid w:val="00B326AE"/>
    <w:rsid w:val="00B32812"/>
    <w:rsid w:val="00B32E54"/>
    <w:rsid w:val="00B32E76"/>
    <w:rsid w:val="00B33A69"/>
    <w:rsid w:val="00B33CC1"/>
    <w:rsid w:val="00B34713"/>
    <w:rsid w:val="00B34BDF"/>
    <w:rsid w:val="00B3512D"/>
    <w:rsid w:val="00B35B33"/>
    <w:rsid w:val="00B35C47"/>
    <w:rsid w:val="00B362BF"/>
    <w:rsid w:val="00B36481"/>
    <w:rsid w:val="00B368F3"/>
    <w:rsid w:val="00B36A22"/>
    <w:rsid w:val="00B36F13"/>
    <w:rsid w:val="00B371AA"/>
    <w:rsid w:val="00B3787B"/>
    <w:rsid w:val="00B37CB9"/>
    <w:rsid w:val="00B40125"/>
    <w:rsid w:val="00B40417"/>
    <w:rsid w:val="00B40A00"/>
    <w:rsid w:val="00B40C15"/>
    <w:rsid w:val="00B40D52"/>
    <w:rsid w:val="00B40E4F"/>
    <w:rsid w:val="00B413A7"/>
    <w:rsid w:val="00B41889"/>
    <w:rsid w:val="00B4241C"/>
    <w:rsid w:val="00B42F67"/>
    <w:rsid w:val="00B43894"/>
    <w:rsid w:val="00B43A68"/>
    <w:rsid w:val="00B4477A"/>
    <w:rsid w:val="00B44E5F"/>
    <w:rsid w:val="00B45936"/>
    <w:rsid w:val="00B45A6C"/>
    <w:rsid w:val="00B45B41"/>
    <w:rsid w:val="00B45B7E"/>
    <w:rsid w:val="00B4635F"/>
    <w:rsid w:val="00B46393"/>
    <w:rsid w:val="00B4792B"/>
    <w:rsid w:val="00B47C00"/>
    <w:rsid w:val="00B47D71"/>
    <w:rsid w:val="00B47FDE"/>
    <w:rsid w:val="00B50586"/>
    <w:rsid w:val="00B5078F"/>
    <w:rsid w:val="00B507F7"/>
    <w:rsid w:val="00B5115B"/>
    <w:rsid w:val="00B5155A"/>
    <w:rsid w:val="00B516CA"/>
    <w:rsid w:val="00B518A1"/>
    <w:rsid w:val="00B51C34"/>
    <w:rsid w:val="00B51F86"/>
    <w:rsid w:val="00B53C8D"/>
    <w:rsid w:val="00B54966"/>
    <w:rsid w:val="00B54C0E"/>
    <w:rsid w:val="00B5652C"/>
    <w:rsid w:val="00B565B5"/>
    <w:rsid w:val="00B5668C"/>
    <w:rsid w:val="00B569AB"/>
    <w:rsid w:val="00B56A97"/>
    <w:rsid w:val="00B5775E"/>
    <w:rsid w:val="00B57F8F"/>
    <w:rsid w:val="00B60F34"/>
    <w:rsid w:val="00B61400"/>
    <w:rsid w:val="00B61977"/>
    <w:rsid w:val="00B61B0A"/>
    <w:rsid w:val="00B61D1A"/>
    <w:rsid w:val="00B61F71"/>
    <w:rsid w:val="00B61FA0"/>
    <w:rsid w:val="00B622AF"/>
    <w:rsid w:val="00B625B0"/>
    <w:rsid w:val="00B63192"/>
    <w:rsid w:val="00B636E3"/>
    <w:rsid w:val="00B63A0E"/>
    <w:rsid w:val="00B64176"/>
    <w:rsid w:val="00B642AC"/>
    <w:rsid w:val="00B642E2"/>
    <w:rsid w:val="00B6433F"/>
    <w:rsid w:val="00B64E54"/>
    <w:rsid w:val="00B65CF7"/>
    <w:rsid w:val="00B65D26"/>
    <w:rsid w:val="00B65D90"/>
    <w:rsid w:val="00B65EF9"/>
    <w:rsid w:val="00B6684E"/>
    <w:rsid w:val="00B66DC7"/>
    <w:rsid w:val="00B671CE"/>
    <w:rsid w:val="00B675F0"/>
    <w:rsid w:val="00B679BA"/>
    <w:rsid w:val="00B70394"/>
    <w:rsid w:val="00B70D4D"/>
    <w:rsid w:val="00B70F04"/>
    <w:rsid w:val="00B711DB"/>
    <w:rsid w:val="00B712D1"/>
    <w:rsid w:val="00B722BD"/>
    <w:rsid w:val="00B7247D"/>
    <w:rsid w:val="00B728C9"/>
    <w:rsid w:val="00B72A99"/>
    <w:rsid w:val="00B73CEE"/>
    <w:rsid w:val="00B741A2"/>
    <w:rsid w:val="00B741FA"/>
    <w:rsid w:val="00B74C55"/>
    <w:rsid w:val="00B7543C"/>
    <w:rsid w:val="00B75459"/>
    <w:rsid w:val="00B755B1"/>
    <w:rsid w:val="00B75681"/>
    <w:rsid w:val="00B75ED5"/>
    <w:rsid w:val="00B76189"/>
    <w:rsid w:val="00B764DC"/>
    <w:rsid w:val="00B7726C"/>
    <w:rsid w:val="00B776E0"/>
    <w:rsid w:val="00B77836"/>
    <w:rsid w:val="00B77B2F"/>
    <w:rsid w:val="00B802FD"/>
    <w:rsid w:val="00B80808"/>
    <w:rsid w:val="00B80C48"/>
    <w:rsid w:val="00B80CC0"/>
    <w:rsid w:val="00B81196"/>
    <w:rsid w:val="00B8171C"/>
    <w:rsid w:val="00B81B52"/>
    <w:rsid w:val="00B82404"/>
    <w:rsid w:val="00B825B6"/>
    <w:rsid w:val="00B83013"/>
    <w:rsid w:val="00B83050"/>
    <w:rsid w:val="00B835FE"/>
    <w:rsid w:val="00B83927"/>
    <w:rsid w:val="00B83AF3"/>
    <w:rsid w:val="00B84003"/>
    <w:rsid w:val="00B8441E"/>
    <w:rsid w:val="00B84423"/>
    <w:rsid w:val="00B852A0"/>
    <w:rsid w:val="00B8552D"/>
    <w:rsid w:val="00B85E8D"/>
    <w:rsid w:val="00B865D7"/>
    <w:rsid w:val="00B86B72"/>
    <w:rsid w:val="00B86D39"/>
    <w:rsid w:val="00B90973"/>
    <w:rsid w:val="00B909FD"/>
    <w:rsid w:val="00B9116B"/>
    <w:rsid w:val="00B91613"/>
    <w:rsid w:val="00B9258D"/>
    <w:rsid w:val="00B92A67"/>
    <w:rsid w:val="00B92B14"/>
    <w:rsid w:val="00B932EE"/>
    <w:rsid w:val="00B934F6"/>
    <w:rsid w:val="00B93545"/>
    <w:rsid w:val="00B93805"/>
    <w:rsid w:val="00B93B13"/>
    <w:rsid w:val="00B95CB6"/>
    <w:rsid w:val="00B95F2D"/>
    <w:rsid w:val="00B95FA9"/>
    <w:rsid w:val="00B9605D"/>
    <w:rsid w:val="00B962CD"/>
    <w:rsid w:val="00B9637C"/>
    <w:rsid w:val="00B96980"/>
    <w:rsid w:val="00B96F99"/>
    <w:rsid w:val="00B9712B"/>
    <w:rsid w:val="00B97392"/>
    <w:rsid w:val="00B97791"/>
    <w:rsid w:val="00B97D4D"/>
    <w:rsid w:val="00BA1AC6"/>
    <w:rsid w:val="00BA1CC0"/>
    <w:rsid w:val="00BA1CE6"/>
    <w:rsid w:val="00BA1D66"/>
    <w:rsid w:val="00BA2453"/>
    <w:rsid w:val="00BA25CD"/>
    <w:rsid w:val="00BA2CE0"/>
    <w:rsid w:val="00BA2F8A"/>
    <w:rsid w:val="00BA30BC"/>
    <w:rsid w:val="00BA3149"/>
    <w:rsid w:val="00BA375C"/>
    <w:rsid w:val="00BA3829"/>
    <w:rsid w:val="00BA39E0"/>
    <w:rsid w:val="00BA3E66"/>
    <w:rsid w:val="00BA4108"/>
    <w:rsid w:val="00BA4559"/>
    <w:rsid w:val="00BA46FD"/>
    <w:rsid w:val="00BA4F06"/>
    <w:rsid w:val="00BA556C"/>
    <w:rsid w:val="00BA5A8F"/>
    <w:rsid w:val="00BA5D8D"/>
    <w:rsid w:val="00BA5E79"/>
    <w:rsid w:val="00BA5FC3"/>
    <w:rsid w:val="00BA6EBE"/>
    <w:rsid w:val="00BA70FA"/>
    <w:rsid w:val="00BA73A5"/>
    <w:rsid w:val="00BA7449"/>
    <w:rsid w:val="00BA7A14"/>
    <w:rsid w:val="00BA7F51"/>
    <w:rsid w:val="00BB016D"/>
    <w:rsid w:val="00BB01FA"/>
    <w:rsid w:val="00BB0D85"/>
    <w:rsid w:val="00BB0FB5"/>
    <w:rsid w:val="00BB1A1D"/>
    <w:rsid w:val="00BB1B66"/>
    <w:rsid w:val="00BB1EB1"/>
    <w:rsid w:val="00BB26F6"/>
    <w:rsid w:val="00BB2798"/>
    <w:rsid w:val="00BB2E50"/>
    <w:rsid w:val="00BB324E"/>
    <w:rsid w:val="00BB3284"/>
    <w:rsid w:val="00BB3C36"/>
    <w:rsid w:val="00BB3C51"/>
    <w:rsid w:val="00BB4318"/>
    <w:rsid w:val="00BB49D5"/>
    <w:rsid w:val="00BB5422"/>
    <w:rsid w:val="00BB5490"/>
    <w:rsid w:val="00BB6233"/>
    <w:rsid w:val="00BB62A4"/>
    <w:rsid w:val="00BB75CC"/>
    <w:rsid w:val="00BB79AB"/>
    <w:rsid w:val="00BB7C08"/>
    <w:rsid w:val="00BB7E12"/>
    <w:rsid w:val="00BC0429"/>
    <w:rsid w:val="00BC1D84"/>
    <w:rsid w:val="00BC2088"/>
    <w:rsid w:val="00BC3259"/>
    <w:rsid w:val="00BC3796"/>
    <w:rsid w:val="00BC3B75"/>
    <w:rsid w:val="00BC42C1"/>
    <w:rsid w:val="00BC45C6"/>
    <w:rsid w:val="00BC478C"/>
    <w:rsid w:val="00BC4987"/>
    <w:rsid w:val="00BC4A2C"/>
    <w:rsid w:val="00BC5F86"/>
    <w:rsid w:val="00BC6546"/>
    <w:rsid w:val="00BC65AF"/>
    <w:rsid w:val="00BC6DB7"/>
    <w:rsid w:val="00BC7B08"/>
    <w:rsid w:val="00BD036D"/>
    <w:rsid w:val="00BD03C5"/>
    <w:rsid w:val="00BD04C4"/>
    <w:rsid w:val="00BD10D3"/>
    <w:rsid w:val="00BD181A"/>
    <w:rsid w:val="00BD18B7"/>
    <w:rsid w:val="00BD1969"/>
    <w:rsid w:val="00BD28BB"/>
    <w:rsid w:val="00BD2C5C"/>
    <w:rsid w:val="00BD33BD"/>
    <w:rsid w:val="00BD44C6"/>
    <w:rsid w:val="00BD4609"/>
    <w:rsid w:val="00BD50A3"/>
    <w:rsid w:val="00BD513B"/>
    <w:rsid w:val="00BD5229"/>
    <w:rsid w:val="00BD531E"/>
    <w:rsid w:val="00BD5469"/>
    <w:rsid w:val="00BD5B22"/>
    <w:rsid w:val="00BD6146"/>
    <w:rsid w:val="00BD6382"/>
    <w:rsid w:val="00BD64D3"/>
    <w:rsid w:val="00BD667B"/>
    <w:rsid w:val="00BD6AEE"/>
    <w:rsid w:val="00BD7266"/>
    <w:rsid w:val="00BD785D"/>
    <w:rsid w:val="00BD7B2A"/>
    <w:rsid w:val="00BE008A"/>
    <w:rsid w:val="00BE0334"/>
    <w:rsid w:val="00BE1444"/>
    <w:rsid w:val="00BE1FDC"/>
    <w:rsid w:val="00BE2455"/>
    <w:rsid w:val="00BE289C"/>
    <w:rsid w:val="00BE3C8A"/>
    <w:rsid w:val="00BE3D77"/>
    <w:rsid w:val="00BE408F"/>
    <w:rsid w:val="00BE438F"/>
    <w:rsid w:val="00BE4816"/>
    <w:rsid w:val="00BE5565"/>
    <w:rsid w:val="00BE56F5"/>
    <w:rsid w:val="00BE576B"/>
    <w:rsid w:val="00BE6713"/>
    <w:rsid w:val="00BE6A82"/>
    <w:rsid w:val="00BE6CA4"/>
    <w:rsid w:val="00BE6D27"/>
    <w:rsid w:val="00BE6E6A"/>
    <w:rsid w:val="00BE79D6"/>
    <w:rsid w:val="00BF0500"/>
    <w:rsid w:val="00BF079C"/>
    <w:rsid w:val="00BF0B9A"/>
    <w:rsid w:val="00BF1369"/>
    <w:rsid w:val="00BF147D"/>
    <w:rsid w:val="00BF17E9"/>
    <w:rsid w:val="00BF1822"/>
    <w:rsid w:val="00BF1974"/>
    <w:rsid w:val="00BF1B20"/>
    <w:rsid w:val="00BF268C"/>
    <w:rsid w:val="00BF2B01"/>
    <w:rsid w:val="00BF3521"/>
    <w:rsid w:val="00BF3C73"/>
    <w:rsid w:val="00BF3EF2"/>
    <w:rsid w:val="00BF4531"/>
    <w:rsid w:val="00BF4B28"/>
    <w:rsid w:val="00BF5A11"/>
    <w:rsid w:val="00BF61C5"/>
    <w:rsid w:val="00BF641E"/>
    <w:rsid w:val="00BF7175"/>
    <w:rsid w:val="00BF776B"/>
    <w:rsid w:val="00BF7DBF"/>
    <w:rsid w:val="00C0045A"/>
    <w:rsid w:val="00C00751"/>
    <w:rsid w:val="00C009C8"/>
    <w:rsid w:val="00C00D34"/>
    <w:rsid w:val="00C014B7"/>
    <w:rsid w:val="00C01933"/>
    <w:rsid w:val="00C01B7A"/>
    <w:rsid w:val="00C021F5"/>
    <w:rsid w:val="00C0223A"/>
    <w:rsid w:val="00C0249B"/>
    <w:rsid w:val="00C0249F"/>
    <w:rsid w:val="00C02822"/>
    <w:rsid w:val="00C028E3"/>
    <w:rsid w:val="00C02C5C"/>
    <w:rsid w:val="00C0310C"/>
    <w:rsid w:val="00C03385"/>
    <w:rsid w:val="00C036C5"/>
    <w:rsid w:val="00C0398F"/>
    <w:rsid w:val="00C03DA2"/>
    <w:rsid w:val="00C044C1"/>
    <w:rsid w:val="00C0490D"/>
    <w:rsid w:val="00C05FE0"/>
    <w:rsid w:val="00C06137"/>
    <w:rsid w:val="00C064AA"/>
    <w:rsid w:val="00C06805"/>
    <w:rsid w:val="00C079B6"/>
    <w:rsid w:val="00C07F09"/>
    <w:rsid w:val="00C10172"/>
    <w:rsid w:val="00C11280"/>
    <w:rsid w:val="00C11CCB"/>
    <w:rsid w:val="00C11E35"/>
    <w:rsid w:val="00C122DE"/>
    <w:rsid w:val="00C123AD"/>
    <w:rsid w:val="00C141E1"/>
    <w:rsid w:val="00C14D48"/>
    <w:rsid w:val="00C15822"/>
    <w:rsid w:val="00C15BD3"/>
    <w:rsid w:val="00C16301"/>
    <w:rsid w:val="00C1662E"/>
    <w:rsid w:val="00C169A0"/>
    <w:rsid w:val="00C16D9D"/>
    <w:rsid w:val="00C17432"/>
    <w:rsid w:val="00C20192"/>
    <w:rsid w:val="00C21677"/>
    <w:rsid w:val="00C21AEB"/>
    <w:rsid w:val="00C21C84"/>
    <w:rsid w:val="00C21EE6"/>
    <w:rsid w:val="00C22265"/>
    <w:rsid w:val="00C22B43"/>
    <w:rsid w:val="00C22B51"/>
    <w:rsid w:val="00C232BC"/>
    <w:rsid w:val="00C2357E"/>
    <w:rsid w:val="00C240C4"/>
    <w:rsid w:val="00C24396"/>
    <w:rsid w:val="00C2477D"/>
    <w:rsid w:val="00C25521"/>
    <w:rsid w:val="00C2559E"/>
    <w:rsid w:val="00C25EC7"/>
    <w:rsid w:val="00C26910"/>
    <w:rsid w:val="00C26D99"/>
    <w:rsid w:val="00C2757C"/>
    <w:rsid w:val="00C27BBE"/>
    <w:rsid w:val="00C27E28"/>
    <w:rsid w:val="00C303AC"/>
    <w:rsid w:val="00C307DF"/>
    <w:rsid w:val="00C310E1"/>
    <w:rsid w:val="00C32128"/>
    <w:rsid w:val="00C32789"/>
    <w:rsid w:val="00C338DB"/>
    <w:rsid w:val="00C33E6E"/>
    <w:rsid w:val="00C33E9B"/>
    <w:rsid w:val="00C34858"/>
    <w:rsid w:val="00C34EEE"/>
    <w:rsid w:val="00C3554B"/>
    <w:rsid w:val="00C35740"/>
    <w:rsid w:val="00C35CA3"/>
    <w:rsid w:val="00C35D5F"/>
    <w:rsid w:val="00C35F79"/>
    <w:rsid w:val="00C36054"/>
    <w:rsid w:val="00C36762"/>
    <w:rsid w:val="00C37377"/>
    <w:rsid w:val="00C37594"/>
    <w:rsid w:val="00C3785F"/>
    <w:rsid w:val="00C3790E"/>
    <w:rsid w:val="00C37E41"/>
    <w:rsid w:val="00C40E33"/>
    <w:rsid w:val="00C410D5"/>
    <w:rsid w:val="00C41356"/>
    <w:rsid w:val="00C418AC"/>
    <w:rsid w:val="00C433AA"/>
    <w:rsid w:val="00C43EEC"/>
    <w:rsid w:val="00C44339"/>
    <w:rsid w:val="00C447EE"/>
    <w:rsid w:val="00C44DE1"/>
    <w:rsid w:val="00C44E8C"/>
    <w:rsid w:val="00C451AE"/>
    <w:rsid w:val="00C46205"/>
    <w:rsid w:val="00C50120"/>
    <w:rsid w:val="00C50282"/>
    <w:rsid w:val="00C50597"/>
    <w:rsid w:val="00C50A97"/>
    <w:rsid w:val="00C518AE"/>
    <w:rsid w:val="00C52323"/>
    <w:rsid w:val="00C5235C"/>
    <w:rsid w:val="00C5253D"/>
    <w:rsid w:val="00C528B3"/>
    <w:rsid w:val="00C530AF"/>
    <w:rsid w:val="00C5334F"/>
    <w:rsid w:val="00C545F9"/>
    <w:rsid w:val="00C54CE2"/>
    <w:rsid w:val="00C55077"/>
    <w:rsid w:val="00C56162"/>
    <w:rsid w:val="00C565EF"/>
    <w:rsid w:val="00C56D0D"/>
    <w:rsid w:val="00C572DC"/>
    <w:rsid w:val="00C6062A"/>
    <w:rsid w:val="00C607F7"/>
    <w:rsid w:val="00C60D46"/>
    <w:rsid w:val="00C6105B"/>
    <w:rsid w:val="00C613D7"/>
    <w:rsid w:val="00C6187E"/>
    <w:rsid w:val="00C619B4"/>
    <w:rsid w:val="00C620E6"/>
    <w:rsid w:val="00C634E4"/>
    <w:rsid w:val="00C6357B"/>
    <w:rsid w:val="00C63D28"/>
    <w:rsid w:val="00C64388"/>
    <w:rsid w:val="00C6482B"/>
    <w:rsid w:val="00C64B7D"/>
    <w:rsid w:val="00C64FE3"/>
    <w:rsid w:val="00C6557B"/>
    <w:rsid w:val="00C65626"/>
    <w:rsid w:val="00C6598D"/>
    <w:rsid w:val="00C659A9"/>
    <w:rsid w:val="00C65C25"/>
    <w:rsid w:val="00C663AB"/>
    <w:rsid w:val="00C667EF"/>
    <w:rsid w:val="00C66915"/>
    <w:rsid w:val="00C66B7A"/>
    <w:rsid w:val="00C67589"/>
    <w:rsid w:val="00C6798F"/>
    <w:rsid w:val="00C67AE4"/>
    <w:rsid w:val="00C70849"/>
    <w:rsid w:val="00C70AC4"/>
    <w:rsid w:val="00C70E53"/>
    <w:rsid w:val="00C70FD4"/>
    <w:rsid w:val="00C72769"/>
    <w:rsid w:val="00C727E5"/>
    <w:rsid w:val="00C73924"/>
    <w:rsid w:val="00C73937"/>
    <w:rsid w:val="00C741A3"/>
    <w:rsid w:val="00C742CB"/>
    <w:rsid w:val="00C757AA"/>
    <w:rsid w:val="00C75A95"/>
    <w:rsid w:val="00C75B13"/>
    <w:rsid w:val="00C75D6D"/>
    <w:rsid w:val="00C75E3F"/>
    <w:rsid w:val="00C77015"/>
    <w:rsid w:val="00C77332"/>
    <w:rsid w:val="00C7772D"/>
    <w:rsid w:val="00C77A1D"/>
    <w:rsid w:val="00C77F9B"/>
    <w:rsid w:val="00C80170"/>
    <w:rsid w:val="00C8097E"/>
    <w:rsid w:val="00C80BBC"/>
    <w:rsid w:val="00C80D57"/>
    <w:rsid w:val="00C81502"/>
    <w:rsid w:val="00C817B8"/>
    <w:rsid w:val="00C819A6"/>
    <w:rsid w:val="00C81AB6"/>
    <w:rsid w:val="00C81CD6"/>
    <w:rsid w:val="00C8244C"/>
    <w:rsid w:val="00C825AB"/>
    <w:rsid w:val="00C82B07"/>
    <w:rsid w:val="00C83076"/>
    <w:rsid w:val="00C831FF"/>
    <w:rsid w:val="00C83425"/>
    <w:rsid w:val="00C836EC"/>
    <w:rsid w:val="00C83934"/>
    <w:rsid w:val="00C83ED6"/>
    <w:rsid w:val="00C8405B"/>
    <w:rsid w:val="00C8430E"/>
    <w:rsid w:val="00C84466"/>
    <w:rsid w:val="00C845F4"/>
    <w:rsid w:val="00C84B93"/>
    <w:rsid w:val="00C8502F"/>
    <w:rsid w:val="00C85CDD"/>
    <w:rsid w:val="00C85EBC"/>
    <w:rsid w:val="00C862CC"/>
    <w:rsid w:val="00C86441"/>
    <w:rsid w:val="00C8648A"/>
    <w:rsid w:val="00C871A3"/>
    <w:rsid w:val="00C873F8"/>
    <w:rsid w:val="00C875F3"/>
    <w:rsid w:val="00C919CF"/>
    <w:rsid w:val="00C91A29"/>
    <w:rsid w:val="00C91C9B"/>
    <w:rsid w:val="00C92940"/>
    <w:rsid w:val="00C92E2E"/>
    <w:rsid w:val="00C93150"/>
    <w:rsid w:val="00C93628"/>
    <w:rsid w:val="00C93F18"/>
    <w:rsid w:val="00C93FAC"/>
    <w:rsid w:val="00C949E9"/>
    <w:rsid w:val="00C950E4"/>
    <w:rsid w:val="00C954B9"/>
    <w:rsid w:val="00C9588C"/>
    <w:rsid w:val="00C958EF"/>
    <w:rsid w:val="00C96AED"/>
    <w:rsid w:val="00C97795"/>
    <w:rsid w:val="00CA032C"/>
    <w:rsid w:val="00CA05BB"/>
    <w:rsid w:val="00CA08C6"/>
    <w:rsid w:val="00CA0EE9"/>
    <w:rsid w:val="00CA0FF8"/>
    <w:rsid w:val="00CA11C1"/>
    <w:rsid w:val="00CA11D7"/>
    <w:rsid w:val="00CA1236"/>
    <w:rsid w:val="00CA1247"/>
    <w:rsid w:val="00CA1332"/>
    <w:rsid w:val="00CA1775"/>
    <w:rsid w:val="00CA1B7D"/>
    <w:rsid w:val="00CA1E6F"/>
    <w:rsid w:val="00CA1F74"/>
    <w:rsid w:val="00CA253C"/>
    <w:rsid w:val="00CA268C"/>
    <w:rsid w:val="00CA2C01"/>
    <w:rsid w:val="00CA2D5B"/>
    <w:rsid w:val="00CA324B"/>
    <w:rsid w:val="00CA3264"/>
    <w:rsid w:val="00CA481A"/>
    <w:rsid w:val="00CA4842"/>
    <w:rsid w:val="00CA49BC"/>
    <w:rsid w:val="00CA4B9A"/>
    <w:rsid w:val="00CA52D0"/>
    <w:rsid w:val="00CA6B99"/>
    <w:rsid w:val="00CA6EDC"/>
    <w:rsid w:val="00CA73A3"/>
    <w:rsid w:val="00CA75C4"/>
    <w:rsid w:val="00CB00C2"/>
    <w:rsid w:val="00CB0437"/>
    <w:rsid w:val="00CB0629"/>
    <w:rsid w:val="00CB0DBA"/>
    <w:rsid w:val="00CB144D"/>
    <w:rsid w:val="00CB1541"/>
    <w:rsid w:val="00CB17DB"/>
    <w:rsid w:val="00CB1823"/>
    <w:rsid w:val="00CB1F8A"/>
    <w:rsid w:val="00CB24B7"/>
    <w:rsid w:val="00CB2974"/>
    <w:rsid w:val="00CB2A00"/>
    <w:rsid w:val="00CB2E56"/>
    <w:rsid w:val="00CB33EF"/>
    <w:rsid w:val="00CB3708"/>
    <w:rsid w:val="00CB379D"/>
    <w:rsid w:val="00CB3DE5"/>
    <w:rsid w:val="00CB3E43"/>
    <w:rsid w:val="00CB4497"/>
    <w:rsid w:val="00CB493F"/>
    <w:rsid w:val="00CB56B0"/>
    <w:rsid w:val="00CB59C3"/>
    <w:rsid w:val="00CB60E8"/>
    <w:rsid w:val="00CB648F"/>
    <w:rsid w:val="00CB65A1"/>
    <w:rsid w:val="00CB686F"/>
    <w:rsid w:val="00CB70D2"/>
    <w:rsid w:val="00CB75AB"/>
    <w:rsid w:val="00CB762F"/>
    <w:rsid w:val="00CB7E4D"/>
    <w:rsid w:val="00CC02AB"/>
    <w:rsid w:val="00CC0594"/>
    <w:rsid w:val="00CC0CF1"/>
    <w:rsid w:val="00CC0EC2"/>
    <w:rsid w:val="00CC0ED7"/>
    <w:rsid w:val="00CC110A"/>
    <w:rsid w:val="00CC126A"/>
    <w:rsid w:val="00CC1A68"/>
    <w:rsid w:val="00CC1AE3"/>
    <w:rsid w:val="00CC1E3E"/>
    <w:rsid w:val="00CC21A1"/>
    <w:rsid w:val="00CC45CD"/>
    <w:rsid w:val="00CC4976"/>
    <w:rsid w:val="00CC576B"/>
    <w:rsid w:val="00CC603A"/>
    <w:rsid w:val="00CC6812"/>
    <w:rsid w:val="00CC6A23"/>
    <w:rsid w:val="00CC72ED"/>
    <w:rsid w:val="00CC75B4"/>
    <w:rsid w:val="00CC7802"/>
    <w:rsid w:val="00CC7A82"/>
    <w:rsid w:val="00CC7F02"/>
    <w:rsid w:val="00CD047D"/>
    <w:rsid w:val="00CD09D6"/>
    <w:rsid w:val="00CD1485"/>
    <w:rsid w:val="00CD1AEC"/>
    <w:rsid w:val="00CD1DCA"/>
    <w:rsid w:val="00CD2546"/>
    <w:rsid w:val="00CD28FC"/>
    <w:rsid w:val="00CD2E61"/>
    <w:rsid w:val="00CD33E2"/>
    <w:rsid w:val="00CD39D9"/>
    <w:rsid w:val="00CD4174"/>
    <w:rsid w:val="00CD42A0"/>
    <w:rsid w:val="00CD4332"/>
    <w:rsid w:val="00CD461A"/>
    <w:rsid w:val="00CD511A"/>
    <w:rsid w:val="00CD5815"/>
    <w:rsid w:val="00CD5DCF"/>
    <w:rsid w:val="00CD6175"/>
    <w:rsid w:val="00CD78EA"/>
    <w:rsid w:val="00CD7B37"/>
    <w:rsid w:val="00CE0C07"/>
    <w:rsid w:val="00CE0FB0"/>
    <w:rsid w:val="00CE0FD2"/>
    <w:rsid w:val="00CE1BAB"/>
    <w:rsid w:val="00CE1D7D"/>
    <w:rsid w:val="00CE1E69"/>
    <w:rsid w:val="00CE2474"/>
    <w:rsid w:val="00CE2625"/>
    <w:rsid w:val="00CE29DC"/>
    <w:rsid w:val="00CE2B77"/>
    <w:rsid w:val="00CE2F0A"/>
    <w:rsid w:val="00CE2FA1"/>
    <w:rsid w:val="00CE315D"/>
    <w:rsid w:val="00CE32BB"/>
    <w:rsid w:val="00CE40F9"/>
    <w:rsid w:val="00CE4325"/>
    <w:rsid w:val="00CE4532"/>
    <w:rsid w:val="00CE4765"/>
    <w:rsid w:val="00CE4972"/>
    <w:rsid w:val="00CE49A2"/>
    <w:rsid w:val="00CE4E08"/>
    <w:rsid w:val="00CE4FF1"/>
    <w:rsid w:val="00CE589A"/>
    <w:rsid w:val="00CE5C49"/>
    <w:rsid w:val="00CE5E83"/>
    <w:rsid w:val="00CE5EDF"/>
    <w:rsid w:val="00CE752A"/>
    <w:rsid w:val="00CE7A32"/>
    <w:rsid w:val="00CE7DD6"/>
    <w:rsid w:val="00CF05C0"/>
    <w:rsid w:val="00CF0C93"/>
    <w:rsid w:val="00CF0E24"/>
    <w:rsid w:val="00CF0EFD"/>
    <w:rsid w:val="00CF2054"/>
    <w:rsid w:val="00CF3658"/>
    <w:rsid w:val="00CF3917"/>
    <w:rsid w:val="00CF3AF7"/>
    <w:rsid w:val="00CF3F0F"/>
    <w:rsid w:val="00CF41F3"/>
    <w:rsid w:val="00CF43F2"/>
    <w:rsid w:val="00CF4F1E"/>
    <w:rsid w:val="00CF5250"/>
    <w:rsid w:val="00CF53E2"/>
    <w:rsid w:val="00CF558F"/>
    <w:rsid w:val="00CF587A"/>
    <w:rsid w:val="00CF5B59"/>
    <w:rsid w:val="00CF5D12"/>
    <w:rsid w:val="00CF62A4"/>
    <w:rsid w:val="00CF66A3"/>
    <w:rsid w:val="00CF6734"/>
    <w:rsid w:val="00CF696E"/>
    <w:rsid w:val="00CF699E"/>
    <w:rsid w:val="00CF6FE9"/>
    <w:rsid w:val="00D009C4"/>
    <w:rsid w:val="00D00BD9"/>
    <w:rsid w:val="00D00C71"/>
    <w:rsid w:val="00D01884"/>
    <w:rsid w:val="00D02E6E"/>
    <w:rsid w:val="00D02E9C"/>
    <w:rsid w:val="00D03150"/>
    <w:rsid w:val="00D0400A"/>
    <w:rsid w:val="00D04047"/>
    <w:rsid w:val="00D04D02"/>
    <w:rsid w:val="00D050FC"/>
    <w:rsid w:val="00D05ED5"/>
    <w:rsid w:val="00D06719"/>
    <w:rsid w:val="00D06C05"/>
    <w:rsid w:val="00D07164"/>
    <w:rsid w:val="00D07EA2"/>
    <w:rsid w:val="00D100D5"/>
    <w:rsid w:val="00D1021B"/>
    <w:rsid w:val="00D105BC"/>
    <w:rsid w:val="00D1087A"/>
    <w:rsid w:val="00D116A7"/>
    <w:rsid w:val="00D128C6"/>
    <w:rsid w:val="00D12CA1"/>
    <w:rsid w:val="00D1321E"/>
    <w:rsid w:val="00D13D7B"/>
    <w:rsid w:val="00D14225"/>
    <w:rsid w:val="00D150F3"/>
    <w:rsid w:val="00D151D1"/>
    <w:rsid w:val="00D15947"/>
    <w:rsid w:val="00D15ED2"/>
    <w:rsid w:val="00D1656E"/>
    <w:rsid w:val="00D170B1"/>
    <w:rsid w:val="00D1718C"/>
    <w:rsid w:val="00D17198"/>
    <w:rsid w:val="00D17C37"/>
    <w:rsid w:val="00D17CBE"/>
    <w:rsid w:val="00D20A2D"/>
    <w:rsid w:val="00D21103"/>
    <w:rsid w:val="00D21120"/>
    <w:rsid w:val="00D215A9"/>
    <w:rsid w:val="00D215DE"/>
    <w:rsid w:val="00D21964"/>
    <w:rsid w:val="00D22952"/>
    <w:rsid w:val="00D22AF6"/>
    <w:rsid w:val="00D22E21"/>
    <w:rsid w:val="00D2314B"/>
    <w:rsid w:val="00D2393A"/>
    <w:rsid w:val="00D23BA0"/>
    <w:rsid w:val="00D23D70"/>
    <w:rsid w:val="00D248B8"/>
    <w:rsid w:val="00D24C72"/>
    <w:rsid w:val="00D250FA"/>
    <w:rsid w:val="00D2549A"/>
    <w:rsid w:val="00D254B4"/>
    <w:rsid w:val="00D25576"/>
    <w:rsid w:val="00D26257"/>
    <w:rsid w:val="00D266D5"/>
    <w:rsid w:val="00D26C6E"/>
    <w:rsid w:val="00D26FA2"/>
    <w:rsid w:val="00D272FB"/>
    <w:rsid w:val="00D2736E"/>
    <w:rsid w:val="00D279EA"/>
    <w:rsid w:val="00D30043"/>
    <w:rsid w:val="00D30FA3"/>
    <w:rsid w:val="00D32E17"/>
    <w:rsid w:val="00D33331"/>
    <w:rsid w:val="00D33991"/>
    <w:rsid w:val="00D33E19"/>
    <w:rsid w:val="00D355A8"/>
    <w:rsid w:val="00D359C0"/>
    <w:rsid w:val="00D35A3A"/>
    <w:rsid w:val="00D35FD9"/>
    <w:rsid w:val="00D36C89"/>
    <w:rsid w:val="00D3794C"/>
    <w:rsid w:val="00D40BED"/>
    <w:rsid w:val="00D40E5C"/>
    <w:rsid w:val="00D417C5"/>
    <w:rsid w:val="00D418C2"/>
    <w:rsid w:val="00D424BC"/>
    <w:rsid w:val="00D42C20"/>
    <w:rsid w:val="00D42ECD"/>
    <w:rsid w:val="00D43267"/>
    <w:rsid w:val="00D436D8"/>
    <w:rsid w:val="00D43AEE"/>
    <w:rsid w:val="00D43C3B"/>
    <w:rsid w:val="00D43CA2"/>
    <w:rsid w:val="00D43FC9"/>
    <w:rsid w:val="00D440AD"/>
    <w:rsid w:val="00D4423D"/>
    <w:rsid w:val="00D4426A"/>
    <w:rsid w:val="00D443B5"/>
    <w:rsid w:val="00D445D3"/>
    <w:rsid w:val="00D44D5B"/>
    <w:rsid w:val="00D453E0"/>
    <w:rsid w:val="00D453F7"/>
    <w:rsid w:val="00D45C57"/>
    <w:rsid w:val="00D45D3F"/>
    <w:rsid w:val="00D4623E"/>
    <w:rsid w:val="00D46960"/>
    <w:rsid w:val="00D46B6B"/>
    <w:rsid w:val="00D46F1D"/>
    <w:rsid w:val="00D47304"/>
    <w:rsid w:val="00D47AB8"/>
    <w:rsid w:val="00D47C45"/>
    <w:rsid w:val="00D47F14"/>
    <w:rsid w:val="00D50288"/>
    <w:rsid w:val="00D502E8"/>
    <w:rsid w:val="00D509E8"/>
    <w:rsid w:val="00D50B9D"/>
    <w:rsid w:val="00D5102C"/>
    <w:rsid w:val="00D51287"/>
    <w:rsid w:val="00D512AC"/>
    <w:rsid w:val="00D51927"/>
    <w:rsid w:val="00D519EE"/>
    <w:rsid w:val="00D51DAF"/>
    <w:rsid w:val="00D51FD2"/>
    <w:rsid w:val="00D52316"/>
    <w:rsid w:val="00D52362"/>
    <w:rsid w:val="00D5277E"/>
    <w:rsid w:val="00D52826"/>
    <w:rsid w:val="00D52D0B"/>
    <w:rsid w:val="00D52F74"/>
    <w:rsid w:val="00D53487"/>
    <w:rsid w:val="00D53984"/>
    <w:rsid w:val="00D53A4A"/>
    <w:rsid w:val="00D543AA"/>
    <w:rsid w:val="00D548C6"/>
    <w:rsid w:val="00D54A58"/>
    <w:rsid w:val="00D54BAC"/>
    <w:rsid w:val="00D54CFA"/>
    <w:rsid w:val="00D552A0"/>
    <w:rsid w:val="00D552AB"/>
    <w:rsid w:val="00D558C3"/>
    <w:rsid w:val="00D56D48"/>
    <w:rsid w:val="00D56F75"/>
    <w:rsid w:val="00D574B4"/>
    <w:rsid w:val="00D574EA"/>
    <w:rsid w:val="00D57705"/>
    <w:rsid w:val="00D57D90"/>
    <w:rsid w:val="00D60656"/>
    <w:rsid w:val="00D61016"/>
    <w:rsid w:val="00D6163E"/>
    <w:rsid w:val="00D61CC6"/>
    <w:rsid w:val="00D61FE5"/>
    <w:rsid w:val="00D6224B"/>
    <w:rsid w:val="00D62509"/>
    <w:rsid w:val="00D62606"/>
    <w:rsid w:val="00D630CB"/>
    <w:rsid w:val="00D646AF"/>
    <w:rsid w:val="00D64733"/>
    <w:rsid w:val="00D64978"/>
    <w:rsid w:val="00D65A2D"/>
    <w:rsid w:val="00D66CDF"/>
    <w:rsid w:val="00D66D19"/>
    <w:rsid w:val="00D671CA"/>
    <w:rsid w:val="00D675DA"/>
    <w:rsid w:val="00D676E4"/>
    <w:rsid w:val="00D67D82"/>
    <w:rsid w:val="00D70059"/>
    <w:rsid w:val="00D703E6"/>
    <w:rsid w:val="00D707EA"/>
    <w:rsid w:val="00D70B55"/>
    <w:rsid w:val="00D71218"/>
    <w:rsid w:val="00D71333"/>
    <w:rsid w:val="00D71382"/>
    <w:rsid w:val="00D71522"/>
    <w:rsid w:val="00D717BD"/>
    <w:rsid w:val="00D717CC"/>
    <w:rsid w:val="00D728F1"/>
    <w:rsid w:val="00D7430E"/>
    <w:rsid w:val="00D74339"/>
    <w:rsid w:val="00D74D13"/>
    <w:rsid w:val="00D756EE"/>
    <w:rsid w:val="00D75A16"/>
    <w:rsid w:val="00D75A8E"/>
    <w:rsid w:val="00D75E7E"/>
    <w:rsid w:val="00D75F3A"/>
    <w:rsid w:val="00D771A4"/>
    <w:rsid w:val="00D77492"/>
    <w:rsid w:val="00D774F7"/>
    <w:rsid w:val="00D8015C"/>
    <w:rsid w:val="00D8020C"/>
    <w:rsid w:val="00D807C6"/>
    <w:rsid w:val="00D80F28"/>
    <w:rsid w:val="00D81211"/>
    <w:rsid w:val="00D8176F"/>
    <w:rsid w:val="00D82A1D"/>
    <w:rsid w:val="00D84176"/>
    <w:rsid w:val="00D84F7F"/>
    <w:rsid w:val="00D8581F"/>
    <w:rsid w:val="00D8612C"/>
    <w:rsid w:val="00D86F48"/>
    <w:rsid w:val="00D876FC"/>
    <w:rsid w:val="00D8781D"/>
    <w:rsid w:val="00D90F2C"/>
    <w:rsid w:val="00D9120F"/>
    <w:rsid w:val="00D91440"/>
    <w:rsid w:val="00D91558"/>
    <w:rsid w:val="00D91760"/>
    <w:rsid w:val="00D91F2C"/>
    <w:rsid w:val="00D91F9E"/>
    <w:rsid w:val="00D92B6E"/>
    <w:rsid w:val="00D935EC"/>
    <w:rsid w:val="00D93997"/>
    <w:rsid w:val="00D93EF7"/>
    <w:rsid w:val="00D94145"/>
    <w:rsid w:val="00D94550"/>
    <w:rsid w:val="00D94E67"/>
    <w:rsid w:val="00D94F58"/>
    <w:rsid w:val="00D95469"/>
    <w:rsid w:val="00D95AB2"/>
    <w:rsid w:val="00D95D4D"/>
    <w:rsid w:val="00D960CE"/>
    <w:rsid w:val="00D964D2"/>
    <w:rsid w:val="00D96EFE"/>
    <w:rsid w:val="00D9729F"/>
    <w:rsid w:val="00D97A39"/>
    <w:rsid w:val="00D97AAB"/>
    <w:rsid w:val="00DA061E"/>
    <w:rsid w:val="00DA0A14"/>
    <w:rsid w:val="00DA0A5B"/>
    <w:rsid w:val="00DA0DD6"/>
    <w:rsid w:val="00DA10C1"/>
    <w:rsid w:val="00DA138E"/>
    <w:rsid w:val="00DA1968"/>
    <w:rsid w:val="00DA1C6A"/>
    <w:rsid w:val="00DA2620"/>
    <w:rsid w:val="00DA2BA7"/>
    <w:rsid w:val="00DA39C5"/>
    <w:rsid w:val="00DA4C6C"/>
    <w:rsid w:val="00DA534E"/>
    <w:rsid w:val="00DA5580"/>
    <w:rsid w:val="00DA58DB"/>
    <w:rsid w:val="00DA58F0"/>
    <w:rsid w:val="00DA5DB6"/>
    <w:rsid w:val="00DA6484"/>
    <w:rsid w:val="00DA6A33"/>
    <w:rsid w:val="00DA6E4B"/>
    <w:rsid w:val="00DA71E3"/>
    <w:rsid w:val="00DA7885"/>
    <w:rsid w:val="00DB0067"/>
    <w:rsid w:val="00DB01DC"/>
    <w:rsid w:val="00DB0A0A"/>
    <w:rsid w:val="00DB0F39"/>
    <w:rsid w:val="00DB134A"/>
    <w:rsid w:val="00DB1601"/>
    <w:rsid w:val="00DB1697"/>
    <w:rsid w:val="00DB1914"/>
    <w:rsid w:val="00DB203A"/>
    <w:rsid w:val="00DB22E7"/>
    <w:rsid w:val="00DB290C"/>
    <w:rsid w:val="00DB2BB8"/>
    <w:rsid w:val="00DB2D47"/>
    <w:rsid w:val="00DB34C0"/>
    <w:rsid w:val="00DB352F"/>
    <w:rsid w:val="00DB3D0F"/>
    <w:rsid w:val="00DB4559"/>
    <w:rsid w:val="00DB4DDB"/>
    <w:rsid w:val="00DB6399"/>
    <w:rsid w:val="00DB651D"/>
    <w:rsid w:val="00DB6851"/>
    <w:rsid w:val="00DB6897"/>
    <w:rsid w:val="00DB69C9"/>
    <w:rsid w:val="00DB71D4"/>
    <w:rsid w:val="00DB73CB"/>
    <w:rsid w:val="00DB75B8"/>
    <w:rsid w:val="00DC024E"/>
    <w:rsid w:val="00DC02B4"/>
    <w:rsid w:val="00DC07B9"/>
    <w:rsid w:val="00DC127D"/>
    <w:rsid w:val="00DC246F"/>
    <w:rsid w:val="00DC2B8F"/>
    <w:rsid w:val="00DC2DF0"/>
    <w:rsid w:val="00DC394B"/>
    <w:rsid w:val="00DC417F"/>
    <w:rsid w:val="00DC45AB"/>
    <w:rsid w:val="00DC4C68"/>
    <w:rsid w:val="00DC5178"/>
    <w:rsid w:val="00DC55F5"/>
    <w:rsid w:val="00DC58C6"/>
    <w:rsid w:val="00DC5F3D"/>
    <w:rsid w:val="00DC62B5"/>
    <w:rsid w:val="00DC6528"/>
    <w:rsid w:val="00DC66C3"/>
    <w:rsid w:val="00DC7A1F"/>
    <w:rsid w:val="00DC7CBD"/>
    <w:rsid w:val="00DC7E29"/>
    <w:rsid w:val="00DD0DD8"/>
    <w:rsid w:val="00DD2257"/>
    <w:rsid w:val="00DD303E"/>
    <w:rsid w:val="00DD3CA4"/>
    <w:rsid w:val="00DD3E35"/>
    <w:rsid w:val="00DD3E89"/>
    <w:rsid w:val="00DD42C3"/>
    <w:rsid w:val="00DD4C38"/>
    <w:rsid w:val="00DD504E"/>
    <w:rsid w:val="00DD53DF"/>
    <w:rsid w:val="00DD5649"/>
    <w:rsid w:val="00DD5FBA"/>
    <w:rsid w:val="00DD634E"/>
    <w:rsid w:val="00DD670F"/>
    <w:rsid w:val="00DD697C"/>
    <w:rsid w:val="00DD6B9B"/>
    <w:rsid w:val="00DD6F25"/>
    <w:rsid w:val="00DD7245"/>
    <w:rsid w:val="00DD77F3"/>
    <w:rsid w:val="00DE0076"/>
    <w:rsid w:val="00DE07CE"/>
    <w:rsid w:val="00DE19F1"/>
    <w:rsid w:val="00DE2762"/>
    <w:rsid w:val="00DE2F9B"/>
    <w:rsid w:val="00DE4BB3"/>
    <w:rsid w:val="00DE5888"/>
    <w:rsid w:val="00DE5C83"/>
    <w:rsid w:val="00DE617A"/>
    <w:rsid w:val="00DE65AB"/>
    <w:rsid w:val="00DE675B"/>
    <w:rsid w:val="00DE698C"/>
    <w:rsid w:val="00DE6A09"/>
    <w:rsid w:val="00DE6F5A"/>
    <w:rsid w:val="00DE6FAB"/>
    <w:rsid w:val="00DE7C63"/>
    <w:rsid w:val="00DF057A"/>
    <w:rsid w:val="00DF0803"/>
    <w:rsid w:val="00DF08AE"/>
    <w:rsid w:val="00DF0912"/>
    <w:rsid w:val="00DF0FE1"/>
    <w:rsid w:val="00DF11A8"/>
    <w:rsid w:val="00DF1B69"/>
    <w:rsid w:val="00DF1BBA"/>
    <w:rsid w:val="00DF230D"/>
    <w:rsid w:val="00DF273D"/>
    <w:rsid w:val="00DF2744"/>
    <w:rsid w:val="00DF2CA6"/>
    <w:rsid w:val="00DF3697"/>
    <w:rsid w:val="00DF3D4F"/>
    <w:rsid w:val="00DF3EFA"/>
    <w:rsid w:val="00DF51AB"/>
    <w:rsid w:val="00DF53C8"/>
    <w:rsid w:val="00DF57FC"/>
    <w:rsid w:val="00DF64D6"/>
    <w:rsid w:val="00DF65B1"/>
    <w:rsid w:val="00DF6923"/>
    <w:rsid w:val="00DF6DE3"/>
    <w:rsid w:val="00E00623"/>
    <w:rsid w:val="00E00688"/>
    <w:rsid w:val="00E00D55"/>
    <w:rsid w:val="00E01165"/>
    <w:rsid w:val="00E01BC5"/>
    <w:rsid w:val="00E029CF"/>
    <w:rsid w:val="00E02B8D"/>
    <w:rsid w:val="00E02C03"/>
    <w:rsid w:val="00E03047"/>
    <w:rsid w:val="00E03593"/>
    <w:rsid w:val="00E03702"/>
    <w:rsid w:val="00E04151"/>
    <w:rsid w:val="00E04382"/>
    <w:rsid w:val="00E044B5"/>
    <w:rsid w:val="00E051BA"/>
    <w:rsid w:val="00E052EA"/>
    <w:rsid w:val="00E055AA"/>
    <w:rsid w:val="00E0583F"/>
    <w:rsid w:val="00E05EA5"/>
    <w:rsid w:val="00E06A4A"/>
    <w:rsid w:val="00E06E41"/>
    <w:rsid w:val="00E07317"/>
    <w:rsid w:val="00E07412"/>
    <w:rsid w:val="00E074EF"/>
    <w:rsid w:val="00E07C40"/>
    <w:rsid w:val="00E07FE7"/>
    <w:rsid w:val="00E10345"/>
    <w:rsid w:val="00E10450"/>
    <w:rsid w:val="00E10821"/>
    <w:rsid w:val="00E12D6C"/>
    <w:rsid w:val="00E13301"/>
    <w:rsid w:val="00E14677"/>
    <w:rsid w:val="00E1561D"/>
    <w:rsid w:val="00E15F98"/>
    <w:rsid w:val="00E1616D"/>
    <w:rsid w:val="00E16B12"/>
    <w:rsid w:val="00E1702D"/>
    <w:rsid w:val="00E170CA"/>
    <w:rsid w:val="00E1738D"/>
    <w:rsid w:val="00E20101"/>
    <w:rsid w:val="00E2047D"/>
    <w:rsid w:val="00E214E6"/>
    <w:rsid w:val="00E21BF0"/>
    <w:rsid w:val="00E2281E"/>
    <w:rsid w:val="00E229A3"/>
    <w:rsid w:val="00E22ABF"/>
    <w:rsid w:val="00E22B0D"/>
    <w:rsid w:val="00E2340C"/>
    <w:rsid w:val="00E23774"/>
    <w:rsid w:val="00E2391E"/>
    <w:rsid w:val="00E23A1B"/>
    <w:rsid w:val="00E23EA3"/>
    <w:rsid w:val="00E2436A"/>
    <w:rsid w:val="00E2447E"/>
    <w:rsid w:val="00E249F1"/>
    <w:rsid w:val="00E24E0C"/>
    <w:rsid w:val="00E26106"/>
    <w:rsid w:val="00E26296"/>
    <w:rsid w:val="00E26B1E"/>
    <w:rsid w:val="00E300C3"/>
    <w:rsid w:val="00E30287"/>
    <w:rsid w:val="00E303F2"/>
    <w:rsid w:val="00E305C4"/>
    <w:rsid w:val="00E3062E"/>
    <w:rsid w:val="00E30AE1"/>
    <w:rsid w:val="00E3145A"/>
    <w:rsid w:val="00E31BBA"/>
    <w:rsid w:val="00E32870"/>
    <w:rsid w:val="00E32A3A"/>
    <w:rsid w:val="00E32CF8"/>
    <w:rsid w:val="00E339D1"/>
    <w:rsid w:val="00E33AAA"/>
    <w:rsid w:val="00E33B94"/>
    <w:rsid w:val="00E33E74"/>
    <w:rsid w:val="00E34392"/>
    <w:rsid w:val="00E348D8"/>
    <w:rsid w:val="00E35670"/>
    <w:rsid w:val="00E36747"/>
    <w:rsid w:val="00E36D00"/>
    <w:rsid w:val="00E36DC3"/>
    <w:rsid w:val="00E372E2"/>
    <w:rsid w:val="00E37310"/>
    <w:rsid w:val="00E376B3"/>
    <w:rsid w:val="00E37CFE"/>
    <w:rsid w:val="00E40AA7"/>
    <w:rsid w:val="00E41674"/>
    <w:rsid w:val="00E424FC"/>
    <w:rsid w:val="00E42597"/>
    <w:rsid w:val="00E42BE9"/>
    <w:rsid w:val="00E431E5"/>
    <w:rsid w:val="00E4397B"/>
    <w:rsid w:val="00E43AB2"/>
    <w:rsid w:val="00E43C55"/>
    <w:rsid w:val="00E44484"/>
    <w:rsid w:val="00E44A3C"/>
    <w:rsid w:val="00E44A3F"/>
    <w:rsid w:val="00E44A72"/>
    <w:rsid w:val="00E44BEE"/>
    <w:rsid w:val="00E44EE2"/>
    <w:rsid w:val="00E450BD"/>
    <w:rsid w:val="00E45182"/>
    <w:rsid w:val="00E4525D"/>
    <w:rsid w:val="00E45C84"/>
    <w:rsid w:val="00E45D76"/>
    <w:rsid w:val="00E46397"/>
    <w:rsid w:val="00E4686C"/>
    <w:rsid w:val="00E468AB"/>
    <w:rsid w:val="00E4694D"/>
    <w:rsid w:val="00E4759B"/>
    <w:rsid w:val="00E475F8"/>
    <w:rsid w:val="00E47E56"/>
    <w:rsid w:val="00E47F77"/>
    <w:rsid w:val="00E50099"/>
    <w:rsid w:val="00E50709"/>
    <w:rsid w:val="00E512B2"/>
    <w:rsid w:val="00E51886"/>
    <w:rsid w:val="00E51DC8"/>
    <w:rsid w:val="00E52790"/>
    <w:rsid w:val="00E5285A"/>
    <w:rsid w:val="00E53295"/>
    <w:rsid w:val="00E534F8"/>
    <w:rsid w:val="00E53533"/>
    <w:rsid w:val="00E544AF"/>
    <w:rsid w:val="00E553E3"/>
    <w:rsid w:val="00E5570C"/>
    <w:rsid w:val="00E558F9"/>
    <w:rsid w:val="00E55C71"/>
    <w:rsid w:val="00E56117"/>
    <w:rsid w:val="00E56721"/>
    <w:rsid w:val="00E56C28"/>
    <w:rsid w:val="00E5757A"/>
    <w:rsid w:val="00E5796F"/>
    <w:rsid w:val="00E57AD5"/>
    <w:rsid w:val="00E57DE0"/>
    <w:rsid w:val="00E608F2"/>
    <w:rsid w:val="00E60A75"/>
    <w:rsid w:val="00E60AFA"/>
    <w:rsid w:val="00E6102F"/>
    <w:rsid w:val="00E61109"/>
    <w:rsid w:val="00E614A7"/>
    <w:rsid w:val="00E62985"/>
    <w:rsid w:val="00E62DBD"/>
    <w:rsid w:val="00E63435"/>
    <w:rsid w:val="00E63855"/>
    <w:rsid w:val="00E63CF7"/>
    <w:rsid w:val="00E64E6A"/>
    <w:rsid w:val="00E64F34"/>
    <w:rsid w:val="00E652C7"/>
    <w:rsid w:val="00E65436"/>
    <w:rsid w:val="00E6590F"/>
    <w:rsid w:val="00E65AFD"/>
    <w:rsid w:val="00E660B0"/>
    <w:rsid w:val="00E661C2"/>
    <w:rsid w:val="00E663A0"/>
    <w:rsid w:val="00E66553"/>
    <w:rsid w:val="00E66AE0"/>
    <w:rsid w:val="00E66E58"/>
    <w:rsid w:val="00E67785"/>
    <w:rsid w:val="00E67D66"/>
    <w:rsid w:val="00E67E10"/>
    <w:rsid w:val="00E7059B"/>
    <w:rsid w:val="00E716BE"/>
    <w:rsid w:val="00E717FE"/>
    <w:rsid w:val="00E71FE4"/>
    <w:rsid w:val="00E722FA"/>
    <w:rsid w:val="00E724FC"/>
    <w:rsid w:val="00E72CAD"/>
    <w:rsid w:val="00E72D77"/>
    <w:rsid w:val="00E72EC8"/>
    <w:rsid w:val="00E7330E"/>
    <w:rsid w:val="00E73509"/>
    <w:rsid w:val="00E744AD"/>
    <w:rsid w:val="00E753BF"/>
    <w:rsid w:val="00E7661B"/>
    <w:rsid w:val="00E766F0"/>
    <w:rsid w:val="00E76981"/>
    <w:rsid w:val="00E77192"/>
    <w:rsid w:val="00E778A3"/>
    <w:rsid w:val="00E77CED"/>
    <w:rsid w:val="00E77E94"/>
    <w:rsid w:val="00E805B4"/>
    <w:rsid w:val="00E8086D"/>
    <w:rsid w:val="00E8145A"/>
    <w:rsid w:val="00E81E97"/>
    <w:rsid w:val="00E8244B"/>
    <w:rsid w:val="00E82B20"/>
    <w:rsid w:val="00E831C3"/>
    <w:rsid w:val="00E84922"/>
    <w:rsid w:val="00E84CA4"/>
    <w:rsid w:val="00E84D0D"/>
    <w:rsid w:val="00E85682"/>
    <w:rsid w:val="00E8609D"/>
    <w:rsid w:val="00E860E3"/>
    <w:rsid w:val="00E863F5"/>
    <w:rsid w:val="00E864EA"/>
    <w:rsid w:val="00E86A8A"/>
    <w:rsid w:val="00E86C27"/>
    <w:rsid w:val="00E86EBE"/>
    <w:rsid w:val="00E87D56"/>
    <w:rsid w:val="00E9095F"/>
    <w:rsid w:val="00E90C3A"/>
    <w:rsid w:val="00E9206F"/>
    <w:rsid w:val="00E92475"/>
    <w:rsid w:val="00E92603"/>
    <w:rsid w:val="00E9266D"/>
    <w:rsid w:val="00E92A6A"/>
    <w:rsid w:val="00E93FF9"/>
    <w:rsid w:val="00E9442E"/>
    <w:rsid w:val="00E94648"/>
    <w:rsid w:val="00E94805"/>
    <w:rsid w:val="00E94CDF"/>
    <w:rsid w:val="00E95336"/>
    <w:rsid w:val="00E9567B"/>
    <w:rsid w:val="00E969F3"/>
    <w:rsid w:val="00E96BD3"/>
    <w:rsid w:val="00EA01CB"/>
    <w:rsid w:val="00EA0ACC"/>
    <w:rsid w:val="00EA1AA7"/>
    <w:rsid w:val="00EA1CA4"/>
    <w:rsid w:val="00EA25AA"/>
    <w:rsid w:val="00EA3135"/>
    <w:rsid w:val="00EA3164"/>
    <w:rsid w:val="00EA367C"/>
    <w:rsid w:val="00EA38D7"/>
    <w:rsid w:val="00EA45E2"/>
    <w:rsid w:val="00EA48FF"/>
    <w:rsid w:val="00EA4BF8"/>
    <w:rsid w:val="00EA5647"/>
    <w:rsid w:val="00EA5B3F"/>
    <w:rsid w:val="00EA5F24"/>
    <w:rsid w:val="00EA6074"/>
    <w:rsid w:val="00EA60AB"/>
    <w:rsid w:val="00EA619F"/>
    <w:rsid w:val="00EA63C1"/>
    <w:rsid w:val="00EA656B"/>
    <w:rsid w:val="00EA75A4"/>
    <w:rsid w:val="00EA781F"/>
    <w:rsid w:val="00EB0437"/>
    <w:rsid w:val="00EB0790"/>
    <w:rsid w:val="00EB0D8E"/>
    <w:rsid w:val="00EB10E0"/>
    <w:rsid w:val="00EB159C"/>
    <w:rsid w:val="00EB1890"/>
    <w:rsid w:val="00EB266B"/>
    <w:rsid w:val="00EB28DC"/>
    <w:rsid w:val="00EB2D4B"/>
    <w:rsid w:val="00EB2EEE"/>
    <w:rsid w:val="00EB4AB9"/>
    <w:rsid w:val="00EB4C6B"/>
    <w:rsid w:val="00EB5D9A"/>
    <w:rsid w:val="00EB641D"/>
    <w:rsid w:val="00EB78B5"/>
    <w:rsid w:val="00EB7DAD"/>
    <w:rsid w:val="00EC0A23"/>
    <w:rsid w:val="00EC0C48"/>
    <w:rsid w:val="00EC0F01"/>
    <w:rsid w:val="00EC1209"/>
    <w:rsid w:val="00EC1BEA"/>
    <w:rsid w:val="00EC1FD8"/>
    <w:rsid w:val="00EC2108"/>
    <w:rsid w:val="00EC244E"/>
    <w:rsid w:val="00EC2845"/>
    <w:rsid w:val="00EC2A48"/>
    <w:rsid w:val="00EC30D4"/>
    <w:rsid w:val="00EC318A"/>
    <w:rsid w:val="00EC366B"/>
    <w:rsid w:val="00EC4055"/>
    <w:rsid w:val="00EC4DDF"/>
    <w:rsid w:val="00EC5978"/>
    <w:rsid w:val="00EC771E"/>
    <w:rsid w:val="00EC779B"/>
    <w:rsid w:val="00EC7DE9"/>
    <w:rsid w:val="00ED01E4"/>
    <w:rsid w:val="00ED0421"/>
    <w:rsid w:val="00ED150B"/>
    <w:rsid w:val="00ED18A0"/>
    <w:rsid w:val="00ED227E"/>
    <w:rsid w:val="00ED26EF"/>
    <w:rsid w:val="00ED28B4"/>
    <w:rsid w:val="00ED290E"/>
    <w:rsid w:val="00ED3209"/>
    <w:rsid w:val="00ED3B43"/>
    <w:rsid w:val="00ED3B8A"/>
    <w:rsid w:val="00ED427D"/>
    <w:rsid w:val="00ED44FC"/>
    <w:rsid w:val="00ED4C91"/>
    <w:rsid w:val="00ED610C"/>
    <w:rsid w:val="00ED642E"/>
    <w:rsid w:val="00ED64DD"/>
    <w:rsid w:val="00ED6F4C"/>
    <w:rsid w:val="00ED7155"/>
    <w:rsid w:val="00ED74BF"/>
    <w:rsid w:val="00ED7A87"/>
    <w:rsid w:val="00ED7BD1"/>
    <w:rsid w:val="00ED7E54"/>
    <w:rsid w:val="00ED7E9D"/>
    <w:rsid w:val="00EE0380"/>
    <w:rsid w:val="00EE06FF"/>
    <w:rsid w:val="00EE076E"/>
    <w:rsid w:val="00EE095A"/>
    <w:rsid w:val="00EE1266"/>
    <w:rsid w:val="00EE1649"/>
    <w:rsid w:val="00EE1777"/>
    <w:rsid w:val="00EE19F7"/>
    <w:rsid w:val="00EE1E24"/>
    <w:rsid w:val="00EE273F"/>
    <w:rsid w:val="00EE2F0E"/>
    <w:rsid w:val="00EE37F1"/>
    <w:rsid w:val="00EE3EAA"/>
    <w:rsid w:val="00EE41D0"/>
    <w:rsid w:val="00EE51D8"/>
    <w:rsid w:val="00EE5D2D"/>
    <w:rsid w:val="00EE6145"/>
    <w:rsid w:val="00EE6241"/>
    <w:rsid w:val="00EE6667"/>
    <w:rsid w:val="00EE69F5"/>
    <w:rsid w:val="00EE6F56"/>
    <w:rsid w:val="00EE6F6F"/>
    <w:rsid w:val="00EE71E3"/>
    <w:rsid w:val="00EF1703"/>
    <w:rsid w:val="00EF2115"/>
    <w:rsid w:val="00EF248F"/>
    <w:rsid w:val="00EF2AEE"/>
    <w:rsid w:val="00EF2E3B"/>
    <w:rsid w:val="00EF3080"/>
    <w:rsid w:val="00EF308C"/>
    <w:rsid w:val="00EF3347"/>
    <w:rsid w:val="00EF38E0"/>
    <w:rsid w:val="00EF44F5"/>
    <w:rsid w:val="00EF479A"/>
    <w:rsid w:val="00EF48BA"/>
    <w:rsid w:val="00EF5826"/>
    <w:rsid w:val="00EF605D"/>
    <w:rsid w:val="00EF68EB"/>
    <w:rsid w:val="00EF6C3B"/>
    <w:rsid w:val="00F00FB7"/>
    <w:rsid w:val="00F016CF"/>
    <w:rsid w:val="00F022A2"/>
    <w:rsid w:val="00F02483"/>
    <w:rsid w:val="00F02BDB"/>
    <w:rsid w:val="00F03085"/>
    <w:rsid w:val="00F0324C"/>
    <w:rsid w:val="00F03601"/>
    <w:rsid w:val="00F03F1D"/>
    <w:rsid w:val="00F03FF4"/>
    <w:rsid w:val="00F045CD"/>
    <w:rsid w:val="00F04AFB"/>
    <w:rsid w:val="00F052CF"/>
    <w:rsid w:val="00F0557F"/>
    <w:rsid w:val="00F0573D"/>
    <w:rsid w:val="00F06A65"/>
    <w:rsid w:val="00F06CCB"/>
    <w:rsid w:val="00F072C1"/>
    <w:rsid w:val="00F0745C"/>
    <w:rsid w:val="00F0753D"/>
    <w:rsid w:val="00F07F41"/>
    <w:rsid w:val="00F110D1"/>
    <w:rsid w:val="00F11888"/>
    <w:rsid w:val="00F11EAC"/>
    <w:rsid w:val="00F1214A"/>
    <w:rsid w:val="00F122D2"/>
    <w:rsid w:val="00F1280D"/>
    <w:rsid w:val="00F12A0C"/>
    <w:rsid w:val="00F12B9C"/>
    <w:rsid w:val="00F134E4"/>
    <w:rsid w:val="00F14128"/>
    <w:rsid w:val="00F14722"/>
    <w:rsid w:val="00F14E07"/>
    <w:rsid w:val="00F15733"/>
    <w:rsid w:val="00F157DC"/>
    <w:rsid w:val="00F15956"/>
    <w:rsid w:val="00F15C59"/>
    <w:rsid w:val="00F16324"/>
    <w:rsid w:val="00F16BAA"/>
    <w:rsid w:val="00F17269"/>
    <w:rsid w:val="00F17482"/>
    <w:rsid w:val="00F17631"/>
    <w:rsid w:val="00F17835"/>
    <w:rsid w:val="00F17C8A"/>
    <w:rsid w:val="00F17EB7"/>
    <w:rsid w:val="00F17FEC"/>
    <w:rsid w:val="00F20561"/>
    <w:rsid w:val="00F211B7"/>
    <w:rsid w:val="00F21344"/>
    <w:rsid w:val="00F2180A"/>
    <w:rsid w:val="00F21A44"/>
    <w:rsid w:val="00F21C05"/>
    <w:rsid w:val="00F21E8D"/>
    <w:rsid w:val="00F2206B"/>
    <w:rsid w:val="00F22684"/>
    <w:rsid w:val="00F22733"/>
    <w:rsid w:val="00F22947"/>
    <w:rsid w:val="00F22C76"/>
    <w:rsid w:val="00F2368D"/>
    <w:rsid w:val="00F23895"/>
    <w:rsid w:val="00F23AA9"/>
    <w:rsid w:val="00F23E8D"/>
    <w:rsid w:val="00F245F2"/>
    <w:rsid w:val="00F24608"/>
    <w:rsid w:val="00F24A6C"/>
    <w:rsid w:val="00F2553E"/>
    <w:rsid w:val="00F25612"/>
    <w:rsid w:val="00F25C10"/>
    <w:rsid w:val="00F26318"/>
    <w:rsid w:val="00F26319"/>
    <w:rsid w:val="00F26DD4"/>
    <w:rsid w:val="00F275F3"/>
    <w:rsid w:val="00F2767A"/>
    <w:rsid w:val="00F277A1"/>
    <w:rsid w:val="00F277D7"/>
    <w:rsid w:val="00F27AF3"/>
    <w:rsid w:val="00F27BF0"/>
    <w:rsid w:val="00F3090E"/>
    <w:rsid w:val="00F31B9A"/>
    <w:rsid w:val="00F3251D"/>
    <w:rsid w:val="00F32A1E"/>
    <w:rsid w:val="00F32E98"/>
    <w:rsid w:val="00F3306A"/>
    <w:rsid w:val="00F3307F"/>
    <w:rsid w:val="00F33116"/>
    <w:rsid w:val="00F334B5"/>
    <w:rsid w:val="00F337B9"/>
    <w:rsid w:val="00F33A1B"/>
    <w:rsid w:val="00F34306"/>
    <w:rsid w:val="00F3455D"/>
    <w:rsid w:val="00F349A7"/>
    <w:rsid w:val="00F34BBA"/>
    <w:rsid w:val="00F34BCA"/>
    <w:rsid w:val="00F34BF0"/>
    <w:rsid w:val="00F34EBA"/>
    <w:rsid w:val="00F35709"/>
    <w:rsid w:val="00F35972"/>
    <w:rsid w:val="00F359D6"/>
    <w:rsid w:val="00F35AC9"/>
    <w:rsid w:val="00F36486"/>
    <w:rsid w:val="00F368CA"/>
    <w:rsid w:val="00F36A7F"/>
    <w:rsid w:val="00F36FCE"/>
    <w:rsid w:val="00F375F1"/>
    <w:rsid w:val="00F37D0A"/>
    <w:rsid w:val="00F37F03"/>
    <w:rsid w:val="00F40AF1"/>
    <w:rsid w:val="00F4120C"/>
    <w:rsid w:val="00F412E6"/>
    <w:rsid w:val="00F41759"/>
    <w:rsid w:val="00F41B11"/>
    <w:rsid w:val="00F41F44"/>
    <w:rsid w:val="00F4214C"/>
    <w:rsid w:val="00F428A3"/>
    <w:rsid w:val="00F429CA"/>
    <w:rsid w:val="00F42EA6"/>
    <w:rsid w:val="00F4368E"/>
    <w:rsid w:val="00F43C1E"/>
    <w:rsid w:val="00F44211"/>
    <w:rsid w:val="00F455AD"/>
    <w:rsid w:val="00F456E9"/>
    <w:rsid w:val="00F458DE"/>
    <w:rsid w:val="00F46DBB"/>
    <w:rsid w:val="00F47623"/>
    <w:rsid w:val="00F47668"/>
    <w:rsid w:val="00F47A14"/>
    <w:rsid w:val="00F47F29"/>
    <w:rsid w:val="00F50D32"/>
    <w:rsid w:val="00F50F65"/>
    <w:rsid w:val="00F50F8D"/>
    <w:rsid w:val="00F5107A"/>
    <w:rsid w:val="00F51484"/>
    <w:rsid w:val="00F516BB"/>
    <w:rsid w:val="00F51778"/>
    <w:rsid w:val="00F51A03"/>
    <w:rsid w:val="00F51F1A"/>
    <w:rsid w:val="00F52141"/>
    <w:rsid w:val="00F521E8"/>
    <w:rsid w:val="00F52D62"/>
    <w:rsid w:val="00F52FB8"/>
    <w:rsid w:val="00F539E8"/>
    <w:rsid w:val="00F54260"/>
    <w:rsid w:val="00F544DA"/>
    <w:rsid w:val="00F54759"/>
    <w:rsid w:val="00F54AF2"/>
    <w:rsid w:val="00F550C8"/>
    <w:rsid w:val="00F55860"/>
    <w:rsid w:val="00F55ADF"/>
    <w:rsid w:val="00F55BE8"/>
    <w:rsid w:val="00F57BBE"/>
    <w:rsid w:val="00F57FFB"/>
    <w:rsid w:val="00F61155"/>
    <w:rsid w:val="00F61518"/>
    <w:rsid w:val="00F61978"/>
    <w:rsid w:val="00F61AC3"/>
    <w:rsid w:val="00F61E6D"/>
    <w:rsid w:val="00F61ED1"/>
    <w:rsid w:val="00F62137"/>
    <w:rsid w:val="00F62A0D"/>
    <w:rsid w:val="00F62B86"/>
    <w:rsid w:val="00F62CF4"/>
    <w:rsid w:val="00F6325B"/>
    <w:rsid w:val="00F63955"/>
    <w:rsid w:val="00F63B41"/>
    <w:rsid w:val="00F63E32"/>
    <w:rsid w:val="00F63FC9"/>
    <w:rsid w:val="00F64231"/>
    <w:rsid w:val="00F6477C"/>
    <w:rsid w:val="00F649D5"/>
    <w:rsid w:val="00F64A43"/>
    <w:rsid w:val="00F64C6E"/>
    <w:rsid w:val="00F64C76"/>
    <w:rsid w:val="00F64E38"/>
    <w:rsid w:val="00F64F78"/>
    <w:rsid w:val="00F65E13"/>
    <w:rsid w:val="00F65FF0"/>
    <w:rsid w:val="00F6674C"/>
    <w:rsid w:val="00F670A0"/>
    <w:rsid w:val="00F6758E"/>
    <w:rsid w:val="00F67C0B"/>
    <w:rsid w:val="00F67F8F"/>
    <w:rsid w:val="00F70500"/>
    <w:rsid w:val="00F70529"/>
    <w:rsid w:val="00F7058A"/>
    <w:rsid w:val="00F71262"/>
    <w:rsid w:val="00F7200D"/>
    <w:rsid w:val="00F729E7"/>
    <w:rsid w:val="00F73539"/>
    <w:rsid w:val="00F73DEF"/>
    <w:rsid w:val="00F73E42"/>
    <w:rsid w:val="00F73ECC"/>
    <w:rsid w:val="00F742F7"/>
    <w:rsid w:val="00F7460A"/>
    <w:rsid w:val="00F748C0"/>
    <w:rsid w:val="00F755F0"/>
    <w:rsid w:val="00F75746"/>
    <w:rsid w:val="00F75F28"/>
    <w:rsid w:val="00F766E5"/>
    <w:rsid w:val="00F76A22"/>
    <w:rsid w:val="00F77A0C"/>
    <w:rsid w:val="00F77A46"/>
    <w:rsid w:val="00F77C9B"/>
    <w:rsid w:val="00F802D8"/>
    <w:rsid w:val="00F80892"/>
    <w:rsid w:val="00F80AD9"/>
    <w:rsid w:val="00F80DE9"/>
    <w:rsid w:val="00F81EF4"/>
    <w:rsid w:val="00F82084"/>
    <w:rsid w:val="00F82A85"/>
    <w:rsid w:val="00F8496D"/>
    <w:rsid w:val="00F84C31"/>
    <w:rsid w:val="00F84CE4"/>
    <w:rsid w:val="00F84FE7"/>
    <w:rsid w:val="00F85587"/>
    <w:rsid w:val="00F85D81"/>
    <w:rsid w:val="00F86BF2"/>
    <w:rsid w:val="00F86DAE"/>
    <w:rsid w:val="00F86EF7"/>
    <w:rsid w:val="00F87B64"/>
    <w:rsid w:val="00F906AB"/>
    <w:rsid w:val="00F90869"/>
    <w:rsid w:val="00F90A34"/>
    <w:rsid w:val="00F90B00"/>
    <w:rsid w:val="00F91097"/>
    <w:rsid w:val="00F91613"/>
    <w:rsid w:val="00F9168F"/>
    <w:rsid w:val="00F91A70"/>
    <w:rsid w:val="00F91F06"/>
    <w:rsid w:val="00F91F09"/>
    <w:rsid w:val="00F91FC9"/>
    <w:rsid w:val="00F92C0A"/>
    <w:rsid w:val="00F92D76"/>
    <w:rsid w:val="00F93BAF"/>
    <w:rsid w:val="00F94052"/>
    <w:rsid w:val="00F94061"/>
    <w:rsid w:val="00F943E9"/>
    <w:rsid w:val="00F944C5"/>
    <w:rsid w:val="00F94B0E"/>
    <w:rsid w:val="00F94EDF"/>
    <w:rsid w:val="00F94FC1"/>
    <w:rsid w:val="00F95230"/>
    <w:rsid w:val="00F953B8"/>
    <w:rsid w:val="00F95C07"/>
    <w:rsid w:val="00F95C8B"/>
    <w:rsid w:val="00F95F3B"/>
    <w:rsid w:val="00F9673F"/>
    <w:rsid w:val="00F96A67"/>
    <w:rsid w:val="00F96D62"/>
    <w:rsid w:val="00F97305"/>
    <w:rsid w:val="00F97955"/>
    <w:rsid w:val="00F97977"/>
    <w:rsid w:val="00F97A61"/>
    <w:rsid w:val="00F97A87"/>
    <w:rsid w:val="00F97D87"/>
    <w:rsid w:val="00FA0010"/>
    <w:rsid w:val="00FA0157"/>
    <w:rsid w:val="00FA03B6"/>
    <w:rsid w:val="00FA08DF"/>
    <w:rsid w:val="00FA0FF3"/>
    <w:rsid w:val="00FA105A"/>
    <w:rsid w:val="00FA1288"/>
    <w:rsid w:val="00FA14DA"/>
    <w:rsid w:val="00FA15E6"/>
    <w:rsid w:val="00FA2040"/>
    <w:rsid w:val="00FA24E3"/>
    <w:rsid w:val="00FA2E65"/>
    <w:rsid w:val="00FA35C3"/>
    <w:rsid w:val="00FA35D5"/>
    <w:rsid w:val="00FA36D8"/>
    <w:rsid w:val="00FA3A7A"/>
    <w:rsid w:val="00FA3D1E"/>
    <w:rsid w:val="00FA3EA8"/>
    <w:rsid w:val="00FA43C9"/>
    <w:rsid w:val="00FA448D"/>
    <w:rsid w:val="00FA4B53"/>
    <w:rsid w:val="00FA59B7"/>
    <w:rsid w:val="00FA5FA6"/>
    <w:rsid w:val="00FA62DF"/>
    <w:rsid w:val="00FA66B6"/>
    <w:rsid w:val="00FA6872"/>
    <w:rsid w:val="00FA6BFB"/>
    <w:rsid w:val="00FA7680"/>
    <w:rsid w:val="00FA7F91"/>
    <w:rsid w:val="00FB029F"/>
    <w:rsid w:val="00FB049C"/>
    <w:rsid w:val="00FB0628"/>
    <w:rsid w:val="00FB0866"/>
    <w:rsid w:val="00FB0F98"/>
    <w:rsid w:val="00FB1113"/>
    <w:rsid w:val="00FB13C1"/>
    <w:rsid w:val="00FB146B"/>
    <w:rsid w:val="00FB191E"/>
    <w:rsid w:val="00FB1C2E"/>
    <w:rsid w:val="00FB1C6A"/>
    <w:rsid w:val="00FB21D3"/>
    <w:rsid w:val="00FB2775"/>
    <w:rsid w:val="00FB2BFC"/>
    <w:rsid w:val="00FB2E3D"/>
    <w:rsid w:val="00FB30BC"/>
    <w:rsid w:val="00FB3184"/>
    <w:rsid w:val="00FB36DA"/>
    <w:rsid w:val="00FB3752"/>
    <w:rsid w:val="00FB38B4"/>
    <w:rsid w:val="00FB3CE2"/>
    <w:rsid w:val="00FB4326"/>
    <w:rsid w:val="00FB4BB2"/>
    <w:rsid w:val="00FB50A9"/>
    <w:rsid w:val="00FB57C2"/>
    <w:rsid w:val="00FB5A34"/>
    <w:rsid w:val="00FB6ED7"/>
    <w:rsid w:val="00FC0239"/>
    <w:rsid w:val="00FC0B04"/>
    <w:rsid w:val="00FC0FBC"/>
    <w:rsid w:val="00FC15D6"/>
    <w:rsid w:val="00FC1D38"/>
    <w:rsid w:val="00FC1F94"/>
    <w:rsid w:val="00FC219C"/>
    <w:rsid w:val="00FC251D"/>
    <w:rsid w:val="00FC2B10"/>
    <w:rsid w:val="00FC2F46"/>
    <w:rsid w:val="00FC3803"/>
    <w:rsid w:val="00FC433C"/>
    <w:rsid w:val="00FC4DEB"/>
    <w:rsid w:val="00FC4E0E"/>
    <w:rsid w:val="00FC56D2"/>
    <w:rsid w:val="00FC5A5D"/>
    <w:rsid w:val="00FC5B38"/>
    <w:rsid w:val="00FC632A"/>
    <w:rsid w:val="00FC6608"/>
    <w:rsid w:val="00FC6B7F"/>
    <w:rsid w:val="00FC6CAB"/>
    <w:rsid w:val="00FC74A4"/>
    <w:rsid w:val="00FC7670"/>
    <w:rsid w:val="00FD06EC"/>
    <w:rsid w:val="00FD08C9"/>
    <w:rsid w:val="00FD0A04"/>
    <w:rsid w:val="00FD0DE8"/>
    <w:rsid w:val="00FD10C2"/>
    <w:rsid w:val="00FD1610"/>
    <w:rsid w:val="00FD1B85"/>
    <w:rsid w:val="00FD1CA9"/>
    <w:rsid w:val="00FD1CB8"/>
    <w:rsid w:val="00FD1D9D"/>
    <w:rsid w:val="00FD237B"/>
    <w:rsid w:val="00FD23C0"/>
    <w:rsid w:val="00FD3029"/>
    <w:rsid w:val="00FD3140"/>
    <w:rsid w:val="00FD319F"/>
    <w:rsid w:val="00FD3322"/>
    <w:rsid w:val="00FD372C"/>
    <w:rsid w:val="00FD402A"/>
    <w:rsid w:val="00FD4231"/>
    <w:rsid w:val="00FD4326"/>
    <w:rsid w:val="00FD4369"/>
    <w:rsid w:val="00FD44D8"/>
    <w:rsid w:val="00FD4670"/>
    <w:rsid w:val="00FD49CD"/>
    <w:rsid w:val="00FD4E82"/>
    <w:rsid w:val="00FD52CE"/>
    <w:rsid w:val="00FD584D"/>
    <w:rsid w:val="00FD5C55"/>
    <w:rsid w:val="00FD5EF9"/>
    <w:rsid w:val="00FD6265"/>
    <w:rsid w:val="00FD6821"/>
    <w:rsid w:val="00FD6C18"/>
    <w:rsid w:val="00FD7126"/>
    <w:rsid w:val="00FD74A9"/>
    <w:rsid w:val="00FD7D63"/>
    <w:rsid w:val="00FE0901"/>
    <w:rsid w:val="00FE0D71"/>
    <w:rsid w:val="00FE172C"/>
    <w:rsid w:val="00FE1D9E"/>
    <w:rsid w:val="00FE2680"/>
    <w:rsid w:val="00FE2D03"/>
    <w:rsid w:val="00FE313D"/>
    <w:rsid w:val="00FE337B"/>
    <w:rsid w:val="00FE3CF0"/>
    <w:rsid w:val="00FE4B5A"/>
    <w:rsid w:val="00FE4EDB"/>
    <w:rsid w:val="00FE5CEA"/>
    <w:rsid w:val="00FE5E44"/>
    <w:rsid w:val="00FE6831"/>
    <w:rsid w:val="00FE6879"/>
    <w:rsid w:val="00FE6B63"/>
    <w:rsid w:val="00FE6EF6"/>
    <w:rsid w:val="00FE7AEF"/>
    <w:rsid w:val="00FF25EA"/>
    <w:rsid w:val="00FF2CF8"/>
    <w:rsid w:val="00FF2D56"/>
    <w:rsid w:val="00FF2DBF"/>
    <w:rsid w:val="00FF2EFB"/>
    <w:rsid w:val="00FF30FA"/>
    <w:rsid w:val="00FF3CC9"/>
    <w:rsid w:val="00FF4470"/>
    <w:rsid w:val="00FF4517"/>
    <w:rsid w:val="00FF45B2"/>
    <w:rsid w:val="00FF48EF"/>
    <w:rsid w:val="00FF48F6"/>
    <w:rsid w:val="00FF49E8"/>
    <w:rsid w:val="00FF4B1D"/>
    <w:rsid w:val="00FF4BA0"/>
    <w:rsid w:val="00FF5114"/>
    <w:rsid w:val="00FF5E3F"/>
    <w:rsid w:val="00FF610A"/>
    <w:rsid w:val="00FF644C"/>
    <w:rsid w:val="00FF6AC3"/>
    <w:rsid w:val="00FF71BD"/>
    <w:rsid w:val="00FF7E63"/>
    <w:rsid w:val="00FF7FC2"/>
    <w:rsid w:val="0ED0AEF3"/>
    <w:rsid w:val="25D1EE76"/>
    <w:rsid w:val="2A6ED056"/>
    <w:rsid w:val="2B87B4E4"/>
    <w:rsid w:val="2DA5DB59"/>
    <w:rsid w:val="320A9BA5"/>
    <w:rsid w:val="325B0EDE"/>
    <w:rsid w:val="32DB43F1"/>
    <w:rsid w:val="32FAC542"/>
    <w:rsid w:val="3832AEA5"/>
    <w:rsid w:val="39CF7121"/>
    <w:rsid w:val="3CF25440"/>
    <w:rsid w:val="42F62D18"/>
    <w:rsid w:val="4675547F"/>
    <w:rsid w:val="490F26BB"/>
    <w:rsid w:val="4B7F0C27"/>
    <w:rsid w:val="4F51C476"/>
    <w:rsid w:val="5CA160D9"/>
    <w:rsid w:val="5E16BEC8"/>
    <w:rsid w:val="5F5ABFE9"/>
    <w:rsid w:val="6A04D991"/>
    <w:rsid w:val="6B9FADD3"/>
    <w:rsid w:val="6DAF4F08"/>
    <w:rsid w:val="766F3D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C59CC"/>
  <w15:chartTrackingRefBased/>
  <w15:docId w15:val="{9AC4D51B-69D3-47D9-A519-38F15E60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BF"/>
    <w:pPr>
      <w:spacing w:before="120" w:after="120" w:line="240" w:lineRule="auto"/>
    </w:pPr>
    <w:rPr>
      <w:rFonts w:ascii="Univers 45 Light" w:hAnsi="Univers 45 Light"/>
      <w:sz w:val="20"/>
    </w:rPr>
  </w:style>
  <w:style w:type="paragraph" w:styleId="Heading1">
    <w:name w:val="heading 1"/>
    <w:next w:val="BodyText"/>
    <w:link w:val="Heading1Char"/>
    <w:uiPriority w:val="9"/>
    <w:qFormat/>
    <w:rsid w:val="00860A83"/>
    <w:pPr>
      <w:keepNext/>
      <w:keepLines/>
      <w:numPr>
        <w:numId w:val="11"/>
      </w:numPr>
      <w:spacing w:before="240" w:after="240" w:line="240" w:lineRule="auto"/>
      <w:outlineLvl w:val="0"/>
    </w:pPr>
    <w:rPr>
      <w:rFonts w:ascii="KPMG Light" w:eastAsiaTheme="majorEastAsia" w:hAnsi="KPMG Light" w:cstheme="majorBidi"/>
      <w:color w:val="00338D"/>
      <w:sz w:val="96"/>
      <w:szCs w:val="96"/>
    </w:rPr>
  </w:style>
  <w:style w:type="paragraph" w:styleId="Heading2">
    <w:name w:val="heading 2"/>
    <w:basedOn w:val="Normal"/>
    <w:next w:val="Normal"/>
    <w:link w:val="Heading2Char"/>
    <w:uiPriority w:val="9"/>
    <w:unhideWhenUsed/>
    <w:qFormat/>
    <w:rsid w:val="002F588D"/>
    <w:pPr>
      <w:keepNext/>
      <w:keepLines/>
      <w:numPr>
        <w:ilvl w:val="1"/>
        <w:numId w:val="11"/>
      </w:numPr>
      <w:spacing w:before="240" w:after="240"/>
      <w:ind w:left="964"/>
      <w:outlineLvl w:val="1"/>
    </w:pPr>
    <w:rPr>
      <w:rFonts w:ascii="KPMG Light" w:eastAsiaTheme="majorEastAsia" w:hAnsi="KPMG Light" w:cstheme="majorBidi"/>
      <w:color w:val="00338D"/>
      <w:sz w:val="72"/>
      <w:szCs w:val="26"/>
    </w:rPr>
  </w:style>
  <w:style w:type="paragraph" w:styleId="Heading3">
    <w:name w:val="heading 3"/>
    <w:basedOn w:val="Normal"/>
    <w:next w:val="Normal"/>
    <w:link w:val="Heading3Char"/>
    <w:uiPriority w:val="9"/>
    <w:unhideWhenUsed/>
    <w:qFormat/>
    <w:rsid w:val="00A74EC8"/>
    <w:pPr>
      <w:keepNext/>
      <w:keepLines/>
      <w:numPr>
        <w:ilvl w:val="2"/>
        <w:numId w:val="11"/>
      </w:numPr>
      <w:spacing w:before="40" w:after="0"/>
      <w:outlineLvl w:val="2"/>
    </w:pPr>
    <w:rPr>
      <w:rFonts w:eastAsiaTheme="majorEastAsia" w:cstheme="majorBidi"/>
      <w:color w:val="005EB8" w:themeColor="accent1"/>
      <w:sz w:val="32"/>
      <w:szCs w:val="24"/>
    </w:rPr>
  </w:style>
  <w:style w:type="paragraph" w:styleId="Heading4">
    <w:name w:val="heading 4"/>
    <w:basedOn w:val="Normal"/>
    <w:next w:val="Normal"/>
    <w:link w:val="Heading4Char"/>
    <w:uiPriority w:val="9"/>
    <w:unhideWhenUsed/>
    <w:qFormat/>
    <w:rsid w:val="00A74EC8"/>
    <w:pPr>
      <w:keepNext/>
      <w:keepLines/>
      <w:spacing w:after="0"/>
      <w:outlineLvl w:val="3"/>
    </w:pPr>
    <w:rPr>
      <w:rFonts w:eastAsiaTheme="majorEastAsia" w:cstheme="majorBidi"/>
      <w:b/>
      <w:iCs/>
      <w:color w:val="00338D" w:themeColor="background2"/>
      <w:sz w:val="24"/>
    </w:rPr>
  </w:style>
  <w:style w:type="paragraph" w:styleId="Heading5">
    <w:name w:val="heading 5"/>
    <w:basedOn w:val="BodyText1"/>
    <w:next w:val="BodyText"/>
    <w:link w:val="Heading5Char"/>
    <w:uiPriority w:val="9"/>
    <w:unhideWhenUsed/>
    <w:qFormat/>
    <w:rsid w:val="00D65A2D"/>
    <w:pPr>
      <w:keepNext/>
      <w:numPr>
        <w:ilvl w:val="4"/>
        <w:numId w:val="11"/>
      </w:numPr>
      <w:outlineLvl w:val="4"/>
    </w:pPr>
    <w:rPr>
      <w:b/>
      <w:sz w:val="22"/>
    </w:rPr>
  </w:style>
  <w:style w:type="paragraph" w:styleId="Heading6">
    <w:name w:val="heading 6"/>
    <w:basedOn w:val="BodyText1"/>
    <w:next w:val="Normal"/>
    <w:link w:val="Heading6Char"/>
    <w:uiPriority w:val="9"/>
    <w:unhideWhenUsed/>
    <w:qFormat/>
    <w:rsid w:val="00B93B13"/>
    <w:pPr>
      <w:numPr>
        <w:ilvl w:val="5"/>
        <w:numId w:val="11"/>
      </w:numPr>
      <w:outlineLvl w:val="5"/>
    </w:pPr>
    <w:rPr>
      <w:i/>
      <w:color w:val="0091DA" w:themeColor="accent2"/>
    </w:rPr>
  </w:style>
  <w:style w:type="paragraph" w:styleId="Heading7">
    <w:name w:val="heading 7"/>
    <w:basedOn w:val="Normal"/>
    <w:next w:val="Normal"/>
    <w:link w:val="Heading7Char"/>
    <w:uiPriority w:val="9"/>
    <w:semiHidden/>
    <w:unhideWhenUsed/>
    <w:qFormat/>
    <w:rsid w:val="00AE5C4A"/>
    <w:pPr>
      <w:keepNext/>
      <w:keepLines/>
      <w:numPr>
        <w:ilvl w:val="6"/>
        <w:numId w:val="11"/>
      </w:numPr>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AE5C4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C4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08pt">
    <w:name w:val="Cover title 1_108pt"/>
    <w:qFormat/>
    <w:rsid w:val="00004988"/>
    <w:pPr>
      <w:spacing w:after="0" w:line="240" w:lineRule="auto"/>
    </w:pPr>
    <w:rPr>
      <w:rFonts w:ascii="KPMG Light" w:hAnsi="KPMG Light"/>
      <w:noProof/>
      <w:color w:val="FFFFFF" w:themeColor="background1"/>
      <w:sz w:val="96"/>
      <w:lang w:eastAsia="en-AU"/>
    </w:rPr>
  </w:style>
  <w:style w:type="paragraph" w:customStyle="1" w:styleId="Covertitle216ptB">
    <w:name w:val="Cover title 2_16pt_B"/>
    <w:qFormat/>
    <w:rsid w:val="009B5EE7"/>
    <w:pPr>
      <w:spacing w:after="0" w:line="240" w:lineRule="auto"/>
    </w:pPr>
    <w:rPr>
      <w:rFonts w:ascii="Univers 45 Light" w:hAnsi="Univers 45 Light"/>
      <w:b/>
      <w:color w:val="FFFFFF" w:themeColor="background1"/>
      <w:sz w:val="32"/>
    </w:rPr>
  </w:style>
  <w:style w:type="paragraph" w:customStyle="1" w:styleId="Covertitle316ptNB">
    <w:name w:val="Cover title 3_16pt_NB"/>
    <w:qFormat/>
    <w:rsid w:val="001B41A0"/>
    <w:pPr>
      <w:spacing w:after="0" w:line="240" w:lineRule="auto"/>
    </w:pPr>
    <w:rPr>
      <w:rFonts w:ascii="Univers 45 Light" w:hAnsi="Univers 45 Light"/>
      <w:color w:val="FFFFFF" w:themeColor="background1"/>
      <w:sz w:val="32"/>
    </w:rPr>
  </w:style>
  <w:style w:type="paragraph" w:customStyle="1" w:styleId="Covertitle412pt">
    <w:name w:val="Cover title 4_12pt"/>
    <w:qFormat/>
    <w:rsid w:val="009B5EE7"/>
    <w:pPr>
      <w:spacing w:before="3000" w:after="120" w:line="240" w:lineRule="auto"/>
    </w:pPr>
    <w:rPr>
      <w:rFonts w:ascii="Univers 45 Light" w:hAnsi="Univers 45 Light"/>
      <w:color w:val="FFFFFF" w:themeColor="background1"/>
      <w:sz w:val="24"/>
    </w:rPr>
  </w:style>
  <w:style w:type="table" w:styleId="TableGrid">
    <w:name w:val="Table Grid"/>
    <w:aliases w:val="Basic Table,McLL Table General Text"/>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854F8C"/>
    <w:pPr>
      <w:spacing w:before="120" w:after="120" w:line="240" w:lineRule="auto"/>
    </w:pPr>
    <w:rPr>
      <w:rFonts w:ascii="Univers 45 Light" w:hAnsi="Univers 45 Light"/>
      <w:b/>
      <w:color w:val="00338D"/>
      <w:sz w:val="20"/>
    </w:rPr>
  </w:style>
  <w:style w:type="paragraph" w:customStyle="1" w:styleId="Tabletext">
    <w:name w:val="Table text"/>
    <w:qFormat/>
    <w:rsid w:val="00D65A2D"/>
    <w:pPr>
      <w:spacing w:before="40" w:after="40" w:line="240" w:lineRule="auto"/>
    </w:pPr>
    <w:rPr>
      <w:rFonts w:ascii="Univers 45 Light" w:hAnsi="Univers 45 Light"/>
      <w:sz w:val="20"/>
    </w:rPr>
  </w:style>
  <w:style w:type="character" w:customStyle="1" w:styleId="Heading1Char">
    <w:name w:val="Heading 1 Char"/>
    <w:basedOn w:val="DefaultParagraphFont"/>
    <w:link w:val="Heading1"/>
    <w:uiPriority w:val="9"/>
    <w:rsid w:val="00860A83"/>
    <w:rPr>
      <w:rFonts w:ascii="KPMG Light" w:eastAsiaTheme="majorEastAsia" w:hAnsi="KPMG Light" w:cstheme="majorBidi"/>
      <w:color w:val="00338D"/>
      <w:sz w:val="96"/>
      <w:szCs w:val="96"/>
    </w:rPr>
  </w:style>
  <w:style w:type="paragraph" w:customStyle="1" w:styleId="BodyText1">
    <w:name w:val="Body Text1"/>
    <w:qFormat/>
    <w:rsid w:val="00D65A2D"/>
    <w:pPr>
      <w:spacing w:before="120" w:after="120" w:line="240" w:lineRule="auto"/>
    </w:pPr>
    <w:rPr>
      <w:rFonts w:ascii="Univers 45 Light" w:hAnsi="Univers 45 Light"/>
      <w:sz w:val="20"/>
    </w:rPr>
  </w:style>
  <w:style w:type="paragraph" w:styleId="BodyText">
    <w:name w:val="Body Text"/>
    <w:basedOn w:val="Normal"/>
    <w:link w:val="BodyTextChar"/>
    <w:uiPriority w:val="99"/>
    <w:unhideWhenUsed/>
    <w:rsid w:val="00287CE1"/>
  </w:style>
  <w:style w:type="character" w:customStyle="1" w:styleId="BodyTextChar">
    <w:name w:val="Body Text Char"/>
    <w:basedOn w:val="DefaultParagraphFont"/>
    <w:link w:val="BodyText"/>
    <w:uiPriority w:val="99"/>
    <w:rsid w:val="00287CE1"/>
  </w:style>
  <w:style w:type="paragraph" w:customStyle="1" w:styleId="Heading1Noshow">
    <w:name w:val="Heading 1_No show"/>
    <w:qFormat/>
    <w:rsid w:val="00860A83"/>
    <w:pPr>
      <w:spacing w:before="240" w:after="240" w:line="240" w:lineRule="auto"/>
    </w:pPr>
    <w:rPr>
      <w:rFonts w:ascii="KPMG Light" w:eastAsiaTheme="majorEastAsia" w:hAnsi="KPMG Light" w:cstheme="majorBidi"/>
      <w:color w:val="00338D"/>
      <w:sz w:val="108"/>
      <w:szCs w:val="32"/>
    </w:rPr>
  </w:style>
  <w:style w:type="character" w:customStyle="1" w:styleId="Heading2Char">
    <w:name w:val="Heading 2 Char"/>
    <w:basedOn w:val="DefaultParagraphFont"/>
    <w:link w:val="Heading2"/>
    <w:uiPriority w:val="9"/>
    <w:rsid w:val="00F455AD"/>
    <w:rPr>
      <w:rFonts w:ascii="KPMG Light" w:eastAsiaTheme="majorEastAsia" w:hAnsi="KPMG Light" w:cstheme="majorBidi"/>
      <w:color w:val="00338D"/>
      <w:sz w:val="72"/>
      <w:szCs w:val="26"/>
    </w:rPr>
  </w:style>
  <w:style w:type="paragraph" w:styleId="TOC1">
    <w:name w:val="toc 1"/>
    <w:basedOn w:val="Normal"/>
    <w:next w:val="Normal"/>
    <w:autoRedefine/>
    <w:uiPriority w:val="39"/>
    <w:unhideWhenUsed/>
    <w:rsid w:val="00AD5D9B"/>
    <w:pPr>
      <w:tabs>
        <w:tab w:val="left" w:pos="567"/>
        <w:tab w:val="right" w:pos="8505"/>
      </w:tabs>
      <w:ind w:left="567" w:hanging="425"/>
    </w:pPr>
    <w:rPr>
      <w:rFonts w:ascii="KPMG Light" w:hAnsi="KPMG Light"/>
      <w:noProof/>
      <w:sz w:val="24"/>
    </w:rPr>
  </w:style>
  <w:style w:type="character" w:customStyle="1" w:styleId="Heading3Char">
    <w:name w:val="Heading 3 Char"/>
    <w:basedOn w:val="DefaultParagraphFont"/>
    <w:link w:val="Heading3"/>
    <w:uiPriority w:val="9"/>
    <w:rsid w:val="00385D52"/>
    <w:rPr>
      <w:rFonts w:ascii="Univers 45 Light" w:eastAsiaTheme="majorEastAsia" w:hAnsi="Univers 45 Light" w:cstheme="majorBidi"/>
      <w:color w:val="005EB8" w:themeColor="accent1"/>
      <w:sz w:val="32"/>
      <w:szCs w:val="24"/>
    </w:rPr>
  </w:style>
  <w:style w:type="character" w:styleId="Hyperlink">
    <w:name w:val="Hyperlink"/>
    <w:basedOn w:val="DefaultParagraphFont"/>
    <w:uiPriority w:val="99"/>
    <w:unhideWhenUsed/>
    <w:rsid w:val="00BA4108"/>
    <w:rPr>
      <w:rFonts w:ascii="Univers 45 Light" w:hAnsi="Univers 45 Light"/>
      <w:color w:val="470A68" w:themeColor="hyperlink"/>
      <w:sz w:val="18"/>
      <w:u w:val="single"/>
    </w:rPr>
  </w:style>
  <w:style w:type="paragraph" w:styleId="Header">
    <w:name w:val="header"/>
    <w:basedOn w:val="Normal"/>
    <w:link w:val="HeaderChar"/>
    <w:uiPriority w:val="99"/>
    <w:unhideWhenUsed/>
    <w:rsid w:val="004A3F32"/>
    <w:pPr>
      <w:tabs>
        <w:tab w:val="center" w:pos="4513"/>
        <w:tab w:val="right" w:pos="9026"/>
      </w:tabs>
      <w:spacing w:after="0"/>
    </w:pPr>
  </w:style>
  <w:style w:type="character" w:customStyle="1" w:styleId="HeaderChar">
    <w:name w:val="Header Char"/>
    <w:basedOn w:val="DefaultParagraphFont"/>
    <w:link w:val="Header"/>
    <w:uiPriority w:val="99"/>
    <w:rsid w:val="004A3F32"/>
  </w:style>
  <w:style w:type="paragraph" w:styleId="Footer">
    <w:name w:val="footer"/>
    <w:basedOn w:val="Normal"/>
    <w:link w:val="FooterChar"/>
    <w:unhideWhenUsed/>
    <w:rsid w:val="007E23D9"/>
    <w:pPr>
      <w:tabs>
        <w:tab w:val="center" w:pos="4513"/>
        <w:tab w:val="right" w:pos="9026"/>
      </w:tabs>
      <w:spacing w:after="0"/>
      <w:jc w:val="center"/>
    </w:pPr>
    <w:rPr>
      <w:color w:val="808080" w:themeColor="background1" w:themeShade="80"/>
      <w:sz w:val="12"/>
    </w:rPr>
  </w:style>
  <w:style w:type="character" w:customStyle="1" w:styleId="FooterChar">
    <w:name w:val="Footer Char"/>
    <w:basedOn w:val="DefaultParagraphFont"/>
    <w:link w:val="Footer"/>
    <w:rsid w:val="007E23D9"/>
    <w:rPr>
      <w:rFonts w:ascii="Univers 45 Light" w:hAnsi="Univers 45 Light"/>
      <w:color w:val="808080" w:themeColor="background1" w:themeShade="80"/>
      <w:sz w:val="12"/>
    </w:rPr>
  </w:style>
  <w:style w:type="paragraph" w:customStyle="1" w:styleId="CVname">
    <w:name w:val="CV name"/>
    <w:qFormat/>
    <w:rsid w:val="008B1B1E"/>
    <w:pPr>
      <w:spacing w:after="80" w:line="240" w:lineRule="auto"/>
    </w:pPr>
    <w:rPr>
      <w:rFonts w:ascii="Univers 45 Light" w:hAnsi="Univers 45 Light"/>
      <w:color w:val="00338D"/>
      <w:sz w:val="28"/>
    </w:rPr>
  </w:style>
  <w:style w:type="paragraph" w:customStyle="1" w:styleId="CVtitle">
    <w:name w:val="CV title"/>
    <w:qFormat/>
    <w:rsid w:val="0024699F"/>
    <w:pPr>
      <w:spacing w:line="240" w:lineRule="auto"/>
    </w:pPr>
    <w:rPr>
      <w:rFonts w:ascii="Univers 45 Light" w:hAnsi="Univers 45 Light"/>
      <w:color w:val="0091DA" w:themeColor="accent2"/>
      <w:sz w:val="24"/>
    </w:rPr>
  </w:style>
  <w:style w:type="paragraph" w:customStyle="1" w:styleId="CVdetail">
    <w:name w:val="CV detail"/>
    <w:qFormat/>
    <w:rsid w:val="008B1B1E"/>
    <w:pPr>
      <w:spacing w:before="120" w:after="0" w:line="240" w:lineRule="auto"/>
    </w:pPr>
    <w:rPr>
      <w:rFonts w:ascii="Univers 45 Light" w:hAnsi="Univers 45 Light"/>
      <w:color w:val="00338D"/>
      <w:sz w:val="20"/>
    </w:rPr>
  </w:style>
  <w:style w:type="paragraph" w:customStyle="1" w:styleId="CVheader">
    <w:name w:val="CV header"/>
    <w:qFormat/>
    <w:rsid w:val="004D0067"/>
    <w:pPr>
      <w:spacing w:before="240" w:after="120" w:line="240" w:lineRule="auto"/>
    </w:pPr>
    <w:rPr>
      <w:rFonts w:ascii="Univers 45 Light" w:hAnsi="Univers 45 Light"/>
      <w:b/>
      <w:color w:val="00338D"/>
      <w:sz w:val="20"/>
    </w:rPr>
  </w:style>
  <w:style w:type="paragraph" w:customStyle="1" w:styleId="CVtext">
    <w:name w:val="CV text"/>
    <w:qFormat/>
    <w:rsid w:val="0024699F"/>
    <w:pPr>
      <w:spacing w:before="120" w:after="120" w:line="280" w:lineRule="exact"/>
    </w:pPr>
    <w:rPr>
      <w:rFonts w:ascii="Univers 45 Light" w:hAnsi="Univers 45 Light"/>
      <w:sz w:val="20"/>
    </w:rPr>
  </w:style>
  <w:style w:type="character" w:customStyle="1" w:styleId="Heading4Char">
    <w:name w:val="Heading 4 Char"/>
    <w:basedOn w:val="DefaultParagraphFont"/>
    <w:link w:val="Heading4"/>
    <w:uiPriority w:val="9"/>
    <w:rsid w:val="00BA4108"/>
    <w:rPr>
      <w:rFonts w:ascii="Univers 45 Light" w:eastAsiaTheme="majorEastAsia" w:hAnsi="Univers 45 Light" w:cstheme="majorBidi"/>
      <w:b/>
      <w:iCs/>
      <w:color w:val="00338D" w:themeColor="background2"/>
      <w:sz w:val="24"/>
    </w:rPr>
  </w:style>
  <w:style w:type="character" w:customStyle="1" w:styleId="Heading5Char">
    <w:name w:val="Heading 5 Char"/>
    <w:basedOn w:val="DefaultParagraphFont"/>
    <w:link w:val="Heading5"/>
    <w:uiPriority w:val="9"/>
    <w:rsid w:val="00D65A2D"/>
    <w:rPr>
      <w:rFonts w:ascii="Univers 45 Light" w:hAnsi="Univers 45 Light"/>
      <w:b/>
    </w:rPr>
  </w:style>
  <w:style w:type="character" w:customStyle="1" w:styleId="Heading6Char">
    <w:name w:val="Heading 6 Char"/>
    <w:basedOn w:val="DefaultParagraphFont"/>
    <w:link w:val="Heading6"/>
    <w:uiPriority w:val="9"/>
    <w:rsid w:val="00B93B13"/>
    <w:rPr>
      <w:rFonts w:ascii="Univers 45 Light" w:hAnsi="Univers 45 Light"/>
      <w:i/>
      <w:color w:val="0091DA" w:themeColor="accent2"/>
      <w:sz w:val="20"/>
    </w:rPr>
  </w:style>
  <w:style w:type="paragraph" w:customStyle="1" w:styleId="Bullet1stlevel">
    <w:name w:val="Bullet 1st level"/>
    <w:basedOn w:val="BodyText1"/>
    <w:qFormat/>
    <w:rsid w:val="00135171"/>
    <w:pPr>
      <w:numPr>
        <w:numId w:val="31"/>
      </w:numPr>
      <w:ind w:left="357" w:hanging="357"/>
    </w:pPr>
  </w:style>
  <w:style w:type="paragraph" w:customStyle="1" w:styleId="Bullet2ndlevel">
    <w:name w:val="Bullet 2nd level"/>
    <w:basedOn w:val="BodyText1"/>
    <w:qFormat/>
    <w:rsid w:val="007316D0"/>
    <w:pPr>
      <w:numPr>
        <w:numId w:val="1"/>
      </w:numPr>
      <w:tabs>
        <w:tab w:val="clear" w:pos="340"/>
      </w:tabs>
      <w:spacing w:after="60"/>
      <w:ind w:left="709" w:hanging="284"/>
    </w:pPr>
  </w:style>
  <w:style w:type="paragraph" w:customStyle="1" w:styleId="Bullet3rdlevel">
    <w:name w:val="Bullet 3rd level"/>
    <w:basedOn w:val="BodyText1"/>
    <w:qFormat/>
    <w:rsid w:val="007316D0"/>
    <w:pPr>
      <w:numPr>
        <w:numId w:val="2"/>
      </w:numPr>
      <w:spacing w:before="40"/>
    </w:pPr>
  </w:style>
  <w:style w:type="paragraph" w:customStyle="1" w:styleId="Numberbullet1stlevel">
    <w:name w:val="Number bullet 1st level"/>
    <w:basedOn w:val="BodyText1"/>
    <w:qFormat/>
    <w:rsid w:val="00D65A2D"/>
    <w:pPr>
      <w:numPr>
        <w:numId w:val="3"/>
      </w:numPr>
      <w:ind w:left="357" w:hanging="357"/>
    </w:pPr>
  </w:style>
  <w:style w:type="paragraph" w:customStyle="1" w:styleId="Numberbullet2ndlevel">
    <w:name w:val="Number bullet 2nd level"/>
    <w:basedOn w:val="BodyText1"/>
    <w:qFormat/>
    <w:rsid w:val="00D65A2D"/>
    <w:pPr>
      <w:numPr>
        <w:numId w:val="4"/>
      </w:numPr>
      <w:tabs>
        <w:tab w:val="left" w:pos="714"/>
      </w:tabs>
      <w:ind w:left="714" w:hanging="357"/>
    </w:pPr>
  </w:style>
  <w:style w:type="paragraph" w:customStyle="1" w:styleId="CVbullet1">
    <w:name w:val="CV bullet 1"/>
    <w:basedOn w:val="BodyText1"/>
    <w:qFormat/>
    <w:rsid w:val="0024699F"/>
    <w:pPr>
      <w:numPr>
        <w:numId w:val="5"/>
      </w:numPr>
    </w:pPr>
  </w:style>
  <w:style w:type="paragraph" w:customStyle="1" w:styleId="CVbullet2">
    <w:name w:val="CV bullet 2"/>
    <w:basedOn w:val="BodyText1"/>
    <w:qFormat/>
    <w:rsid w:val="002360FF"/>
    <w:pPr>
      <w:numPr>
        <w:numId w:val="6"/>
      </w:numPr>
      <w:spacing w:before="40"/>
      <w:ind w:left="714" w:hanging="357"/>
    </w:pPr>
  </w:style>
  <w:style w:type="paragraph" w:customStyle="1" w:styleId="Heading2option2">
    <w:name w:val="Heading 2_option 2"/>
    <w:basedOn w:val="Heading2"/>
    <w:qFormat/>
    <w:rsid w:val="0024699F"/>
    <w:pPr>
      <w:spacing w:before="0" w:after="360"/>
    </w:pPr>
  </w:style>
  <w:style w:type="paragraph" w:customStyle="1" w:styleId="Heading1Option2">
    <w:name w:val="Heading 1_Option 2"/>
    <w:basedOn w:val="Heading1"/>
    <w:qFormat/>
    <w:rsid w:val="0024699F"/>
    <w:pPr>
      <w:spacing w:after="360"/>
    </w:pPr>
  </w:style>
  <w:style w:type="character" w:customStyle="1" w:styleId="White">
    <w:name w:val="White"/>
    <w:basedOn w:val="DefaultParagraphFont"/>
    <w:uiPriority w:val="1"/>
    <w:qFormat/>
    <w:rsid w:val="002D014E"/>
    <w:rPr>
      <w:color w:val="FFFFFF" w:themeColor="background1"/>
    </w:rPr>
  </w:style>
  <w:style w:type="paragraph" w:styleId="Quote">
    <w:name w:val="Quote"/>
    <w:basedOn w:val="Normal"/>
    <w:next w:val="Normal"/>
    <w:link w:val="QuoteChar"/>
    <w:uiPriority w:val="29"/>
    <w:qFormat/>
    <w:rsid w:val="00821FAB"/>
    <w:pPr>
      <w:spacing w:after="360" w:line="520" w:lineRule="exact"/>
    </w:pPr>
    <w:rPr>
      <w:rFonts w:ascii="KPMG Light" w:hAnsi="KPMG Light"/>
      <w:iCs/>
      <w:color w:val="005EB8" w:themeColor="accent1"/>
      <w:sz w:val="44"/>
    </w:rPr>
  </w:style>
  <w:style w:type="character" w:customStyle="1" w:styleId="QuoteChar">
    <w:name w:val="Quote Char"/>
    <w:basedOn w:val="DefaultParagraphFont"/>
    <w:link w:val="Quote"/>
    <w:uiPriority w:val="29"/>
    <w:rsid w:val="00821FAB"/>
    <w:rPr>
      <w:rFonts w:ascii="KPMG Light" w:hAnsi="KPMG Light"/>
      <w:iCs/>
      <w:color w:val="005EB8" w:themeColor="accent1"/>
      <w:sz w:val="44"/>
    </w:rPr>
  </w:style>
  <w:style w:type="paragraph" w:customStyle="1" w:styleId="Introduction">
    <w:name w:val="Introduction"/>
    <w:basedOn w:val="Quote"/>
    <w:qFormat/>
    <w:rsid w:val="00F455AD"/>
  </w:style>
  <w:style w:type="paragraph" w:customStyle="1" w:styleId="Letterhead">
    <w:name w:val="Letterhead"/>
    <w:rsid w:val="00826506"/>
    <w:pPr>
      <w:spacing w:after="0" w:line="160" w:lineRule="atLeast"/>
    </w:pPr>
    <w:rPr>
      <w:rFonts w:eastAsia="Batang" w:cs="Arial"/>
      <w:sz w:val="12"/>
      <w:szCs w:val="12"/>
      <w:lang w:val="en-GB" w:eastAsia="ko-KR"/>
    </w:rPr>
  </w:style>
  <w:style w:type="paragraph" w:customStyle="1" w:styleId="Letterheadaddress">
    <w:name w:val="Letterhead address"/>
    <w:basedOn w:val="BodyText1"/>
    <w:qFormat/>
    <w:rsid w:val="00903423"/>
    <w:pPr>
      <w:spacing w:before="20" w:after="20"/>
      <w:ind w:left="142"/>
    </w:pPr>
  </w:style>
  <w:style w:type="paragraph" w:customStyle="1" w:styleId="Contactus">
    <w:name w:val="Contact us"/>
    <w:basedOn w:val="BodyText1"/>
    <w:qFormat/>
    <w:rsid w:val="00CC7A82"/>
    <w:pPr>
      <w:ind w:left="426"/>
    </w:pPr>
    <w:rPr>
      <w:b/>
      <w:color w:val="FFFFFF" w:themeColor="background1"/>
      <w:sz w:val="24"/>
    </w:rPr>
  </w:style>
  <w:style w:type="paragraph" w:customStyle="1" w:styleId="backcoverdetails">
    <w:name w:val="back cover details"/>
    <w:basedOn w:val="BodyText1"/>
    <w:qFormat/>
    <w:rsid w:val="00CC7A82"/>
    <w:pPr>
      <w:spacing w:before="40" w:after="40"/>
      <w:ind w:left="425"/>
    </w:pPr>
    <w:rPr>
      <w:color w:val="FFFFFF" w:themeColor="background1"/>
    </w:rPr>
  </w:style>
  <w:style w:type="paragraph" w:styleId="IntenseQuote">
    <w:name w:val="Intense Quote"/>
    <w:basedOn w:val="Normal"/>
    <w:next w:val="Normal"/>
    <w:link w:val="IntenseQuoteChar"/>
    <w:uiPriority w:val="30"/>
    <w:qFormat/>
    <w:rsid w:val="00BA4108"/>
    <w:pPr>
      <w:pBdr>
        <w:top w:val="single" w:sz="4" w:space="10" w:color="005EB8" w:themeColor="accent1"/>
        <w:bottom w:val="single" w:sz="4" w:space="10" w:color="005EB8" w:themeColor="accent1"/>
      </w:pBdr>
      <w:spacing w:before="360" w:after="360"/>
    </w:pPr>
    <w:rPr>
      <w:i/>
      <w:iCs/>
      <w:color w:val="005EB8" w:themeColor="accent1"/>
    </w:rPr>
  </w:style>
  <w:style w:type="character" w:customStyle="1" w:styleId="IntenseQuoteChar">
    <w:name w:val="Intense Quote Char"/>
    <w:basedOn w:val="DefaultParagraphFont"/>
    <w:link w:val="IntenseQuote"/>
    <w:uiPriority w:val="30"/>
    <w:rsid w:val="00BA4108"/>
    <w:rPr>
      <w:rFonts w:ascii="Univers 45 Light" w:hAnsi="Univers 45 Light"/>
      <w:i/>
      <w:iCs/>
      <w:color w:val="005EB8" w:themeColor="accent1"/>
    </w:rPr>
  </w:style>
  <w:style w:type="character" w:styleId="SubtleReference">
    <w:name w:val="Subtle Reference"/>
    <w:basedOn w:val="DefaultParagraphFont"/>
    <w:uiPriority w:val="31"/>
    <w:qFormat/>
    <w:rsid w:val="00BA4108"/>
    <w:rPr>
      <w:rFonts w:ascii="KPMG Light" w:hAnsi="KPMG Light"/>
      <w:smallCaps/>
      <w:color w:val="5A5A5A" w:themeColor="text1" w:themeTint="A5"/>
      <w:sz w:val="44"/>
    </w:rPr>
  </w:style>
  <w:style w:type="character" w:styleId="IntenseReference">
    <w:name w:val="Intense Reference"/>
    <w:basedOn w:val="DefaultParagraphFont"/>
    <w:uiPriority w:val="32"/>
    <w:qFormat/>
    <w:rsid w:val="00BA4108"/>
    <w:rPr>
      <w:rFonts w:ascii="KPMG Light" w:hAnsi="KPMG Light"/>
      <w:b/>
      <w:bCs/>
      <w:smallCaps/>
      <w:color w:val="005EB8" w:themeColor="accent1"/>
      <w:spacing w:val="5"/>
      <w:sz w:val="44"/>
    </w:rPr>
  </w:style>
  <w:style w:type="paragraph" w:customStyle="1" w:styleId="Default">
    <w:name w:val="Default"/>
    <w:rsid w:val="0041324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ntroPara">
    <w:name w:val="IntroPara"/>
    <w:basedOn w:val="Heading2"/>
    <w:qFormat/>
    <w:rsid w:val="00AE5C4A"/>
    <w:pPr>
      <w:numPr>
        <w:ilvl w:val="0"/>
        <w:numId w:val="0"/>
      </w:numPr>
    </w:pPr>
    <w:rPr>
      <w:rFonts w:eastAsiaTheme="minorHAnsi"/>
    </w:rPr>
  </w:style>
  <w:style w:type="character" w:customStyle="1" w:styleId="Heading7Char">
    <w:name w:val="Heading 7 Char"/>
    <w:basedOn w:val="DefaultParagraphFont"/>
    <w:link w:val="Heading7"/>
    <w:uiPriority w:val="9"/>
    <w:semiHidden/>
    <w:rsid w:val="00AE5C4A"/>
    <w:rPr>
      <w:rFonts w:asciiTheme="majorHAnsi" w:eastAsiaTheme="majorEastAsia" w:hAnsiTheme="majorHAnsi" w:cstheme="majorBidi"/>
      <w:i/>
      <w:iCs/>
      <w:color w:val="002E5B" w:themeColor="accent1" w:themeShade="7F"/>
      <w:sz w:val="20"/>
    </w:rPr>
  </w:style>
  <w:style w:type="character" w:customStyle="1" w:styleId="Heading9Char">
    <w:name w:val="Heading 9 Char"/>
    <w:basedOn w:val="DefaultParagraphFont"/>
    <w:link w:val="Heading9"/>
    <w:uiPriority w:val="9"/>
    <w:semiHidden/>
    <w:rsid w:val="00AE5C4A"/>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AE5C4A"/>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AE5C4A"/>
    <w:rPr>
      <w:sz w:val="16"/>
      <w:szCs w:val="16"/>
    </w:rPr>
  </w:style>
  <w:style w:type="paragraph" w:styleId="CommentText">
    <w:name w:val="annotation text"/>
    <w:basedOn w:val="Normal"/>
    <w:link w:val="CommentTextChar"/>
    <w:uiPriority w:val="99"/>
    <w:unhideWhenUsed/>
    <w:rsid w:val="00AE5C4A"/>
    <w:rPr>
      <w:szCs w:val="20"/>
    </w:rPr>
  </w:style>
  <w:style w:type="character" w:customStyle="1" w:styleId="CommentTextChar">
    <w:name w:val="Comment Text Char"/>
    <w:basedOn w:val="DefaultParagraphFont"/>
    <w:link w:val="CommentText"/>
    <w:uiPriority w:val="99"/>
    <w:rsid w:val="00AE5C4A"/>
    <w:rPr>
      <w:sz w:val="20"/>
      <w:szCs w:val="20"/>
    </w:rPr>
  </w:style>
  <w:style w:type="paragraph" w:styleId="CommentSubject">
    <w:name w:val="annotation subject"/>
    <w:basedOn w:val="CommentText"/>
    <w:next w:val="CommentText"/>
    <w:link w:val="CommentSubjectChar"/>
    <w:uiPriority w:val="99"/>
    <w:semiHidden/>
    <w:unhideWhenUsed/>
    <w:rsid w:val="00AE5C4A"/>
    <w:rPr>
      <w:b/>
      <w:bCs/>
    </w:rPr>
  </w:style>
  <w:style w:type="character" w:customStyle="1" w:styleId="CommentSubjectChar">
    <w:name w:val="Comment Subject Char"/>
    <w:basedOn w:val="CommentTextChar"/>
    <w:link w:val="CommentSubject"/>
    <w:uiPriority w:val="99"/>
    <w:semiHidden/>
    <w:rsid w:val="00AE5C4A"/>
    <w:rPr>
      <w:b/>
      <w:bCs/>
      <w:sz w:val="20"/>
      <w:szCs w:val="20"/>
    </w:rPr>
  </w:style>
  <w:style w:type="paragraph" w:styleId="BalloonText">
    <w:name w:val="Balloon Text"/>
    <w:basedOn w:val="Normal"/>
    <w:link w:val="BalloonTextChar"/>
    <w:uiPriority w:val="99"/>
    <w:semiHidden/>
    <w:unhideWhenUsed/>
    <w:rsid w:val="00AE5C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4A"/>
    <w:rPr>
      <w:rFonts w:ascii="Segoe UI" w:hAnsi="Segoe UI" w:cs="Segoe UI"/>
      <w:sz w:val="18"/>
      <w:szCs w:val="18"/>
    </w:rPr>
  </w:style>
  <w:style w:type="paragraph" w:customStyle="1" w:styleId="HeadingLevel1NoNumber">
    <w:name w:val="HeadingLevel1NoNumber"/>
    <w:basedOn w:val="Heading1"/>
    <w:next w:val="BodyText"/>
    <w:qFormat/>
    <w:rsid w:val="00AE5C4A"/>
    <w:pPr>
      <w:numPr>
        <w:numId w:val="0"/>
      </w:numPr>
    </w:pPr>
  </w:style>
  <w:style w:type="paragraph" w:customStyle="1" w:styleId="HeadingLevel2NoNumber">
    <w:name w:val="HeadingLevel2NoNumber"/>
    <w:basedOn w:val="Heading2"/>
    <w:next w:val="BodyText"/>
    <w:qFormat/>
    <w:rsid w:val="00AE5C4A"/>
    <w:pPr>
      <w:numPr>
        <w:ilvl w:val="0"/>
        <w:numId w:val="0"/>
      </w:numPr>
    </w:pPr>
  </w:style>
  <w:style w:type="paragraph" w:customStyle="1" w:styleId="HeadingLevel3NoNumber">
    <w:name w:val="HeadingLevel3NoNumber"/>
    <w:basedOn w:val="Heading3"/>
    <w:next w:val="BodyText"/>
    <w:qFormat/>
    <w:rsid w:val="009A4EEF"/>
    <w:pPr>
      <w:numPr>
        <w:ilvl w:val="0"/>
        <w:numId w:val="0"/>
      </w:numPr>
    </w:pPr>
  </w:style>
  <w:style w:type="paragraph" w:customStyle="1" w:styleId="HeadingLevel4NoNumber">
    <w:name w:val="HeadingLevel4NoNumber"/>
    <w:basedOn w:val="Heading4"/>
    <w:next w:val="BodyText"/>
    <w:qFormat/>
    <w:rsid w:val="00AE5C4A"/>
  </w:style>
  <w:style w:type="paragraph" w:styleId="ListBullet">
    <w:name w:val="List Bullet"/>
    <w:basedOn w:val="Normal"/>
    <w:unhideWhenUsed/>
    <w:qFormat/>
    <w:rsid w:val="00AE5C4A"/>
    <w:pPr>
      <w:numPr>
        <w:numId w:val="7"/>
      </w:numPr>
      <w:tabs>
        <w:tab w:val="clear" w:pos="340"/>
        <w:tab w:val="left" w:pos="357"/>
      </w:tabs>
      <w:ind w:left="357" w:hanging="357"/>
      <w:contextualSpacing/>
    </w:pPr>
  </w:style>
  <w:style w:type="paragraph" w:styleId="ListBullet2">
    <w:name w:val="List Bullet 2"/>
    <w:basedOn w:val="Normal"/>
    <w:unhideWhenUsed/>
    <w:qFormat/>
    <w:rsid w:val="00D65A2D"/>
    <w:pPr>
      <w:numPr>
        <w:numId w:val="8"/>
      </w:numPr>
      <w:tabs>
        <w:tab w:val="clear" w:pos="697"/>
        <w:tab w:val="left" w:pos="714"/>
      </w:tabs>
      <w:contextualSpacing/>
    </w:pPr>
  </w:style>
  <w:style w:type="paragraph" w:styleId="ListBullet3">
    <w:name w:val="List Bullet 3"/>
    <w:basedOn w:val="Normal"/>
    <w:unhideWhenUsed/>
    <w:qFormat/>
    <w:rsid w:val="00D65A2D"/>
    <w:pPr>
      <w:numPr>
        <w:numId w:val="9"/>
      </w:numPr>
      <w:tabs>
        <w:tab w:val="clear" w:pos="926"/>
        <w:tab w:val="num" w:pos="1072"/>
      </w:tabs>
      <w:ind w:left="1071" w:hanging="357"/>
      <w:contextualSpacing/>
    </w:pPr>
  </w:style>
  <w:style w:type="paragraph" w:customStyle="1" w:styleId="TableBullet1">
    <w:name w:val="TableBullet1"/>
    <w:basedOn w:val="ListBullet"/>
    <w:qFormat/>
    <w:rsid w:val="00D65A2D"/>
    <w:pPr>
      <w:spacing w:before="40" w:after="40"/>
    </w:pPr>
  </w:style>
  <w:style w:type="paragraph" w:customStyle="1" w:styleId="Tablebullet2">
    <w:name w:val="Tablebullet2"/>
    <w:basedOn w:val="ListBullet2"/>
    <w:qFormat/>
    <w:rsid w:val="00D65A2D"/>
    <w:pPr>
      <w:spacing w:before="40" w:after="40"/>
    </w:pPr>
  </w:style>
  <w:style w:type="paragraph" w:customStyle="1" w:styleId="Appendixheading">
    <w:name w:val="Appendix heading"/>
    <w:next w:val="BodyText0"/>
    <w:uiPriority w:val="2"/>
    <w:qFormat/>
    <w:rsid w:val="00FC5B38"/>
    <w:pPr>
      <w:keepNext/>
      <w:keepLines/>
      <w:pageBreakBefore/>
      <w:numPr>
        <w:numId w:val="10"/>
      </w:numPr>
      <w:spacing w:before="240" w:after="240" w:line="240" w:lineRule="auto"/>
      <w:outlineLvl w:val="0"/>
    </w:pPr>
    <w:rPr>
      <w:rFonts w:ascii="KPMG Light" w:eastAsia="Times New Roman" w:hAnsi="KPMG Light" w:cs="Times New Roman"/>
      <w:color w:val="00338D"/>
      <w:sz w:val="96"/>
      <w:szCs w:val="18"/>
    </w:rPr>
  </w:style>
  <w:style w:type="paragraph" w:customStyle="1" w:styleId="AppendixHeading2">
    <w:name w:val="Appendix Heading 2"/>
    <w:basedOn w:val="Heading2"/>
    <w:next w:val="BodyText"/>
    <w:rsid w:val="00FC5B38"/>
    <w:pPr>
      <w:keepLines w:val="0"/>
      <w:numPr>
        <w:numId w:val="10"/>
      </w:numPr>
      <w:tabs>
        <w:tab w:val="left" w:pos="964"/>
      </w:tabs>
      <w:spacing w:after="120"/>
      <w:jc w:val="both"/>
    </w:pPr>
    <w:rPr>
      <w:rFonts w:ascii="Univers 45 Light" w:eastAsia="Times New Roman" w:hAnsi="Univers 45 Light" w:cs="Times New Roman"/>
      <w:b/>
      <w:sz w:val="28"/>
      <w:szCs w:val="20"/>
    </w:rPr>
  </w:style>
  <w:style w:type="paragraph" w:customStyle="1" w:styleId="AppendixHeading3">
    <w:name w:val="Appendix Heading 3"/>
    <w:basedOn w:val="Heading3"/>
    <w:next w:val="BodyText"/>
    <w:rsid w:val="00FC5B38"/>
    <w:pPr>
      <w:keepLines w:val="0"/>
      <w:numPr>
        <w:numId w:val="10"/>
      </w:numPr>
      <w:tabs>
        <w:tab w:val="left" w:pos="357"/>
      </w:tabs>
      <w:spacing w:before="240" w:after="120"/>
      <w:jc w:val="both"/>
    </w:pPr>
    <w:rPr>
      <w:rFonts w:eastAsia="Times New Roman" w:cs="Times New Roman"/>
      <w:b/>
      <w:color w:val="00338D"/>
      <w:sz w:val="24"/>
      <w:szCs w:val="20"/>
    </w:rPr>
  </w:style>
  <w:style w:type="paragraph" w:customStyle="1" w:styleId="AppendixHeading4">
    <w:name w:val="Appendix Heading 4"/>
    <w:basedOn w:val="Heading4"/>
    <w:next w:val="BodyText"/>
    <w:rsid w:val="00FC5B38"/>
    <w:pPr>
      <w:keepLines w:val="0"/>
      <w:numPr>
        <w:ilvl w:val="3"/>
        <w:numId w:val="10"/>
      </w:numPr>
      <w:tabs>
        <w:tab w:val="left" w:pos="964"/>
      </w:tabs>
      <w:spacing w:before="240" w:after="120"/>
      <w:jc w:val="both"/>
    </w:pPr>
    <w:rPr>
      <w:rFonts w:eastAsia="Times New Roman" w:cs="Times New Roman"/>
      <w:iCs w:val="0"/>
      <w:color w:val="00338D"/>
      <w:sz w:val="22"/>
      <w:szCs w:val="20"/>
    </w:rPr>
  </w:style>
  <w:style w:type="paragraph" w:styleId="TOC2">
    <w:name w:val="toc 2"/>
    <w:basedOn w:val="Normal"/>
    <w:next w:val="Normal"/>
    <w:autoRedefine/>
    <w:uiPriority w:val="39"/>
    <w:unhideWhenUsed/>
    <w:rsid w:val="00E02C03"/>
    <w:pPr>
      <w:tabs>
        <w:tab w:val="left" w:pos="993"/>
        <w:tab w:val="right" w:pos="8505"/>
      </w:tabs>
      <w:spacing w:after="100"/>
      <w:ind w:left="993" w:hanging="426"/>
    </w:pPr>
    <w:rPr>
      <w:noProof/>
    </w:rPr>
  </w:style>
  <w:style w:type="paragraph" w:customStyle="1" w:styleId="BodyText0">
    <w:name w:val="BodyText"/>
    <w:basedOn w:val="Normal"/>
    <w:link w:val="BodyTextChar0"/>
    <w:rsid w:val="00860A83"/>
    <w:pPr>
      <w:spacing w:before="0" w:after="130"/>
    </w:pPr>
    <w:rPr>
      <w:rFonts w:eastAsia="Times New Roman" w:cs="Times New Roman"/>
      <w:sz w:val="22"/>
      <w:szCs w:val="20"/>
    </w:rPr>
  </w:style>
  <w:style w:type="character" w:customStyle="1" w:styleId="BodyTextChar0">
    <w:name w:val="BodyText Char"/>
    <w:basedOn w:val="DefaultParagraphFont"/>
    <w:link w:val="BodyText0"/>
    <w:rsid w:val="00860A83"/>
    <w:rPr>
      <w:rFonts w:ascii="Univers 45 Light" w:eastAsia="Times New Roman" w:hAnsi="Univers 45 Light" w:cs="Times New Roman"/>
      <w:szCs w:val="20"/>
    </w:rPr>
  </w:style>
  <w:style w:type="paragraph" w:styleId="ListParagraph">
    <w:name w:val="List Paragraph"/>
    <w:aliases w:val="Bullet Level 1,First level bullet point,Bullet point,List Paragraph1,List Paragraph11,Recommendation,List Bullet 1,L,Normal Numbered Para,Numbered Para,#List Paragraph,List Paragraph - bullet,List - bullet,List Paragraph - bullets,Bullets"/>
    <w:basedOn w:val="Normal"/>
    <w:link w:val="ListParagraphChar"/>
    <w:uiPriority w:val="34"/>
    <w:qFormat/>
    <w:rsid w:val="00B27D32"/>
    <w:pPr>
      <w:ind w:left="720"/>
      <w:contextualSpacing/>
    </w:pPr>
  </w:style>
  <w:style w:type="character" w:customStyle="1" w:styleId="ListParagraphChar">
    <w:name w:val="List Paragraph Char"/>
    <w:aliases w:val="Bullet Level 1 Char,First level bullet point Char,Bullet point Char,List Paragraph1 Char,List Paragraph11 Char,Recommendation Char,List Bullet 1 Char,L Char,Normal Numbered Para Char,Numbered Para Char,#List Paragraph Char"/>
    <w:basedOn w:val="DefaultParagraphFont"/>
    <w:link w:val="ListParagraph"/>
    <w:uiPriority w:val="34"/>
    <w:rsid w:val="00B27D32"/>
    <w:rPr>
      <w:rFonts w:ascii="Univers 45 Light" w:hAnsi="Univers 45 Light"/>
      <w:sz w:val="20"/>
    </w:rPr>
  </w:style>
  <w:style w:type="paragraph" w:styleId="Caption">
    <w:name w:val="caption"/>
    <w:basedOn w:val="Normal"/>
    <w:next w:val="Normal"/>
    <w:uiPriority w:val="35"/>
    <w:unhideWhenUsed/>
    <w:qFormat/>
    <w:rsid w:val="00854F8C"/>
    <w:pPr>
      <w:spacing w:before="0" w:after="60"/>
    </w:pPr>
    <w:rPr>
      <w:i/>
      <w:iCs/>
      <w:color w:val="44546A" w:themeColor="text2"/>
      <w:sz w:val="18"/>
      <w:szCs w:val="18"/>
    </w:rPr>
  </w:style>
  <w:style w:type="paragraph" w:styleId="NormalWeb">
    <w:name w:val="Normal (Web)"/>
    <w:basedOn w:val="Normal"/>
    <w:uiPriority w:val="99"/>
    <w:semiHidden/>
    <w:unhideWhenUsed/>
    <w:rsid w:val="00C73924"/>
    <w:pPr>
      <w:spacing w:before="100" w:beforeAutospacing="1" w:after="100" w:afterAutospacing="1"/>
    </w:pPr>
    <w:rPr>
      <w:rFonts w:ascii="Times New Roman" w:eastAsiaTheme="minorEastAsia" w:hAnsi="Times New Roman" w:cs="Times New Roman"/>
      <w:sz w:val="24"/>
      <w:szCs w:val="24"/>
      <w:lang w:eastAsia="en-AU"/>
    </w:rPr>
  </w:style>
  <w:style w:type="paragraph" w:styleId="Revision">
    <w:name w:val="Revision"/>
    <w:hidden/>
    <w:uiPriority w:val="99"/>
    <w:semiHidden/>
    <w:rsid w:val="00627EAA"/>
    <w:pPr>
      <w:spacing w:after="0" w:line="240" w:lineRule="auto"/>
    </w:pPr>
    <w:rPr>
      <w:rFonts w:ascii="Univers 45 Light" w:hAnsi="Univers 45 Light"/>
      <w:sz w:val="20"/>
    </w:rPr>
  </w:style>
  <w:style w:type="character" w:customStyle="1" w:styleId="UnresolvedMention">
    <w:name w:val="Unresolved Mention"/>
    <w:basedOn w:val="DefaultParagraphFont"/>
    <w:uiPriority w:val="99"/>
    <w:unhideWhenUsed/>
    <w:rsid w:val="004C20CA"/>
    <w:rPr>
      <w:color w:val="605E5C"/>
      <w:shd w:val="clear" w:color="auto" w:fill="E1DFDD"/>
    </w:rPr>
  </w:style>
  <w:style w:type="paragraph" w:customStyle="1" w:styleId="CMSHead2">
    <w:name w:val="CMSHead2"/>
    <w:basedOn w:val="Heading2"/>
    <w:autoRedefine/>
    <w:rsid w:val="00656928"/>
    <w:pPr>
      <w:keepLines w:val="0"/>
      <w:numPr>
        <w:ilvl w:val="0"/>
        <w:numId w:val="0"/>
      </w:numPr>
      <w:spacing w:before="120" w:after="120"/>
      <w:ind w:left="851" w:hanging="851"/>
    </w:pPr>
    <w:rPr>
      <w:rFonts w:ascii="Times" w:eastAsia="Times New Roman" w:hAnsi="Times" w:cs="Times New Roman"/>
      <w:b/>
      <w:bCs/>
      <w:color w:val="auto"/>
      <w:sz w:val="24"/>
      <w:szCs w:val="20"/>
      <w:lang w:eastAsia="en-AU"/>
    </w:rPr>
  </w:style>
  <w:style w:type="paragraph" w:styleId="FootnoteText">
    <w:name w:val="footnote text"/>
    <w:basedOn w:val="Normal"/>
    <w:link w:val="FootnoteTextChar"/>
    <w:uiPriority w:val="9"/>
    <w:unhideWhenUsed/>
    <w:rsid w:val="00FD4326"/>
    <w:pPr>
      <w:spacing w:before="0" w:after="0"/>
    </w:pPr>
    <w:rPr>
      <w:szCs w:val="20"/>
    </w:rPr>
  </w:style>
  <w:style w:type="character" w:customStyle="1" w:styleId="FootnoteTextChar">
    <w:name w:val="Footnote Text Char"/>
    <w:basedOn w:val="DefaultParagraphFont"/>
    <w:link w:val="FootnoteText"/>
    <w:uiPriority w:val="9"/>
    <w:rsid w:val="00FD4326"/>
    <w:rPr>
      <w:rFonts w:ascii="Univers 45 Light" w:hAnsi="Univers 45 Light"/>
      <w:sz w:val="20"/>
      <w:szCs w:val="20"/>
    </w:rPr>
  </w:style>
  <w:style w:type="character" w:styleId="FootnoteReference">
    <w:name w:val="footnote reference"/>
    <w:basedOn w:val="DefaultParagraphFont"/>
    <w:uiPriority w:val="99"/>
    <w:semiHidden/>
    <w:unhideWhenUsed/>
    <w:rsid w:val="00FD4326"/>
    <w:rPr>
      <w:vertAlign w:val="superscript"/>
    </w:rPr>
  </w:style>
  <w:style w:type="paragraph" w:styleId="TableofFigures">
    <w:name w:val="table of figures"/>
    <w:basedOn w:val="Normal"/>
    <w:next w:val="Normal"/>
    <w:uiPriority w:val="99"/>
    <w:unhideWhenUsed/>
    <w:rsid w:val="001E54AA"/>
    <w:pPr>
      <w:spacing w:after="0"/>
    </w:pPr>
  </w:style>
  <w:style w:type="paragraph" w:customStyle="1" w:styleId="DHSBodytext">
    <w:name w:val="DHS Body text"/>
    <w:basedOn w:val="Normal"/>
    <w:qFormat/>
    <w:rsid w:val="00701E18"/>
    <w:pPr>
      <w:spacing w:before="0"/>
    </w:pPr>
    <w:rPr>
      <w:rFonts w:ascii="Arial" w:eastAsia="Times New Roman" w:hAnsi="Arial" w:cs="Arial"/>
      <w:sz w:val="22"/>
      <w:lang w:eastAsia="en-AU"/>
    </w:rPr>
  </w:style>
  <w:style w:type="character" w:customStyle="1" w:styleId="Mention">
    <w:name w:val="Mention"/>
    <w:basedOn w:val="DefaultParagraphFont"/>
    <w:uiPriority w:val="99"/>
    <w:unhideWhenUsed/>
    <w:rsid w:val="002176F1"/>
    <w:rPr>
      <w:color w:val="2B579A"/>
      <w:shd w:val="clear" w:color="auto" w:fill="E1DFDD"/>
    </w:rPr>
  </w:style>
  <w:style w:type="paragraph" w:styleId="ListBullet4">
    <w:name w:val="List Bullet 4"/>
    <w:basedOn w:val="ListBullet2"/>
    <w:uiPriority w:val="99"/>
    <w:rsid w:val="00342D16"/>
    <w:pPr>
      <w:numPr>
        <w:numId w:val="0"/>
      </w:numPr>
      <w:tabs>
        <w:tab w:val="left" w:pos="714"/>
        <w:tab w:val="num" w:pos="1360"/>
      </w:tabs>
      <w:spacing w:before="60" w:after="60"/>
      <w:ind w:left="1360" w:hanging="340"/>
      <w:contextualSpacing w:val="0"/>
    </w:pPr>
    <w:rPr>
      <w:rFonts w:asciiTheme="minorHAnsi" w:eastAsia="Times New Roman" w:hAnsiTheme="minorHAnsi" w:cs="Times New Roman"/>
      <w:sz w:val="22"/>
      <w:lang w:val="en-US" w:eastAsia="en-AU"/>
    </w:rPr>
  </w:style>
  <w:style w:type="paragraph" w:styleId="ListBullet5">
    <w:name w:val="List Bullet 5"/>
    <w:basedOn w:val="Normal"/>
    <w:uiPriority w:val="99"/>
    <w:semiHidden/>
    <w:unhideWhenUsed/>
    <w:rsid w:val="00342D16"/>
    <w:pPr>
      <w:tabs>
        <w:tab w:val="num" w:pos="1700"/>
      </w:tabs>
      <w:spacing w:before="0" w:after="0"/>
      <w:ind w:left="1700" w:hanging="340"/>
      <w:contextualSpacing/>
    </w:pPr>
    <w:rPr>
      <w:rFonts w:asciiTheme="minorHAnsi" w:eastAsia="Times New Roman" w:hAnsiTheme="minorHAnsi" w:cs="Times New Roman"/>
      <w:sz w:val="22"/>
      <w:lang w:val="en-US" w:eastAsia="en-AU"/>
    </w:rPr>
  </w:style>
  <w:style w:type="paragraph" w:customStyle="1" w:styleId="zreportname">
    <w:name w:val="zreport name"/>
    <w:basedOn w:val="Normal"/>
    <w:uiPriority w:val="11"/>
    <w:rsid w:val="003F223B"/>
    <w:pPr>
      <w:keepLines/>
      <w:spacing w:before="0"/>
    </w:pPr>
    <w:rPr>
      <w:rFonts w:asciiTheme="minorHAnsi" w:eastAsia="Times New Roman" w:hAnsiTheme="minorHAnsi" w:cs="Times New Roman"/>
      <w:b/>
      <w:color w:val="00338D"/>
      <w:sz w:val="40"/>
      <w:lang w:val="en-US" w:eastAsia="en-AU"/>
    </w:rPr>
  </w:style>
  <w:style w:type="paragraph" w:customStyle="1" w:styleId="Quotes">
    <w:name w:val="Quotes"/>
    <w:basedOn w:val="BodyText"/>
    <w:link w:val="QuotesChar"/>
    <w:qFormat/>
    <w:rsid w:val="00417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Pr>
      <w:b/>
      <w:bCs/>
    </w:rPr>
  </w:style>
  <w:style w:type="character" w:customStyle="1" w:styleId="QuotesChar">
    <w:name w:val="Quotes Char"/>
    <w:basedOn w:val="BodyTextChar"/>
    <w:link w:val="Quotes"/>
    <w:rsid w:val="0041708E"/>
    <w:rPr>
      <w:rFonts w:ascii="Univers 45 Light" w:hAnsi="Univers 45 Light"/>
      <w:b/>
      <w:bCs/>
      <w:sz w:val="20"/>
      <w:shd w:val="clear" w:color="auto" w:fill="F2F2F2" w:themeFill="background1" w:themeFillShade="F2"/>
    </w:rPr>
  </w:style>
  <w:style w:type="character" w:styleId="PageNumber">
    <w:name w:val="page number"/>
    <w:semiHidden/>
    <w:rsid w:val="00CB59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871">
      <w:bodyDiv w:val="1"/>
      <w:marLeft w:val="0"/>
      <w:marRight w:val="0"/>
      <w:marTop w:val="0"/>
      <w:marBottom w:val="0"/>
      <w:divBdr>
        <w:top w:val="none" w:sz="0" w:space="0" w:color="auto"/>
        <w:left w:val="none" w:sz="0" w:space="0" w:color="auto"/>
        <w:bottom w:val="none" w:sz="0" w:space="0" w:color="auto"/>
        <w:right w:val="none" w:sz="0" w:space="0" w:color="auto"/>
      </w:divBdr>
      <w:divsChild>
        <w:div w:id="488710722">
          <w:marLeft w:val="274"/>
          <w:marRight w:val="0"/>
          <w:marTop w:val="30"/>
          <w:marBottom w:val="0"/>
          <w:divBdr>
            <w:top w:val="none" w:sz="0" w:space="0" w:color="auto"/>
            <w:left w:val="none" w:sz="0" w:space="0" w:color="auto"/>
            <w:bottom w:val="none" w:sz="0" w:space="0" w:color="auto"/>
            <w:right w:val="none" w:sz="0" w:space="0" w:color="auto"/>
          </w:divBdr>
        </w:div>
        <w:div w:id="979263331">
          <w:marLeft w:val="274"/>
          <w:marRight w:val="0"/>
          <w:marTop w:val="30"/>
          <w:marBottom w:val="0"/>
          <w:divBdr>
            <w:top w:val="none" w:sz="0" w:space="0" w:color="auto"/>
            <w:left w:val="none" w:sz="0" w:space="0" w:color="auto"/>
            <w:bottom w:val="none" w:sz="0" w:space="0" w:color="auto"/>
            <w:right w:val="none" w:sz="0" w:space="0" w:color="auto"/>
          </w:divBdr>
        </w:div>
        <w:div w:id="1399093559">
          <w:marLeft w:val="274"/>
          <w:marRight w:val="0"/>
          <w:marTop w:val="30"/>
          <w:marBottom w:val="0"/>
          <w:divBdr>
            <w:top w:val="none" w:sz="0" w:space="0" w:color="auto"/>
            <w:left w:val="none" w:sz="0" w:space="0" w:color="auto"/>
            <w:bottom w:val="none" w:sz="0" w:space="0" w:color="auto"/>
            <w:right w:val="none" w:sz="0" w:space="0" w:color="auto"/>
          </w:divBdr>
        </w:div>
        <w:div w:id="2073775748">
          <w:marLeft w:val="274"/>
          <w:marRight w:val="0"/>
          <w:marTop w:val="30"/>
          <w:marBottom w:val="0"/>
          <w:divBdr>
            <w:top w:val="none" w:sz="0" w:space="0" w:color="auto"/>
            <w:left w:val="none" w:sz="0" w:space="0" w:color="auto"/>
            <w:bottom w:val="none" w:sz="0" w:space="0" w:color="auto"/>
            <w:right w:val="none" w:sz="0" w:space="0" w:color="auto"/>
          </w:divBdr>
        </w:div>
      </w:divsChild>
    </w:div>
    <w:div w:id="36709443">
      <w:bodyDiv w:val="1"/>
      <w:marLeft w:val="0"/>
      <w:marRight w:val="0"/>
      <w:marTop w:val="0"/>
      <w:marBottom w:val="0"/>
      <w:divBdr>
        <w:top w:val="none" w:sz="0" w:space="0" w:color="auto"/>
        <w:left w:val="none" w:sz="0" w:space="0" w:color="auto"/>
        <w:bottom w:val="none" w:sz="0" w:space="0" w:color="auto"/>
        <w:right w:val="none" w:sz="0" w:space="0" w:color="auto"/>
      </w:divBdr>
      <w:divsChild>
        <w:div w:id="493423200">
          <w:marLeft w:val="274"/>
          <w:marRight w:val="0"/>
          <w:marTop w:val="0"/>
          <w:marBottom w:val="0"/>
          <w:divBdr>
            <w:top w:val="none" w:sz="0" w:space="0" w:color="auto"/>
            <w:left w:val="none" w:sz="0" w:space="0" w:color="auto"/>
            <w:bottom w:val="none" w:sz="0" w:space="0" w:color="auto"/>
            <w:right w:val="none" w:sz="0" w:space="0" w:color="auto"/>
          </w:divBdr>
        </w:div>
        <w:div w:id="1548957552">
          <w:marLeft w:val="274"/>
          <w:marRight w:val="0"/>
          <w:marTop w:val="0"/>
          <w:marBottom w:val="0"/>
          <w:divBdr>
            <w:top w:val="none" w:sz="0" w:space="0" w:color="auto"/>
            <w:left w:val="none" w:sz="0" w:space="0" w:color="auto"/>
            <w:bottom w:val="none" w:sz="0" w:space="0" w:color="auto"/>
            <w:right w:val="none" w:sz="0" w:space="0" w:color="auto"/>
          </w:divBdr>
        </w:div>
        <w:div w:id="1854342795">
          <w:marLeft w:val="274"/>
          <w:marRight w:val="0"/>
          <w:marTop w:val="0"/>
          <w:marBottom w:val="0"/>
          <w:divBdr>
            <w:top w:val="none" w:sz="0" w:space="0" w:color="auto"/>
            <w:left w:val="none" w:sz="0" w:space="0" w:color="auto"/>
            <w:bottom w:val="none" w:sz="0" w:space="0" w:color="auto"/>
            <w:right w:val="none" w:sz="0" w:space="0" w:color="auto"/>
          </w:divBdr>
        </w:div>
      </w:divsChild>
    </w:div>
    <w:div w:id="49034509">
      <w:bodyDiv w:val="1"/>
      <w:marLeft w:val="0"/>
      <w:marRight w:val="0"/>
      <w:marTop w:val="0"/>
      <w:marBottom w:val="0"/>
      <w:divBdr>
        <w:top w:val="none" w:sz="0" w:space="0" w:color="auto"/>
        <w:left w:val="none" w:sz="0" w:space="0" w:color="auto"/>
        <w:bottom w:val="none" w:sz="0" w:space="0" w:color="auto"/>
        <w:right w:val="none" w:sz="0" w:space="0" w:color="auto"/>
      </w:divBdr>
      <w:divsChild>
        <w:div w:id="211622040">
          <w:marLeft w:val="274"/>
          <w:marRight w:val="0"/>
          <w:marTop w:val="0"/>
          <w:marBottom w:val="0"/>
          <w:divBdr>
            <w:top w:val="none" w:sz="0" w:space="0" w:color="auto"/>
            <w:left w:val="none" w:sz="0" w:space="0" w:color="auto"/>
            <w:bottom w:val="none" w:sz="0" w:space="0" w:color="auto"/>
            <w:right w:val="none" w:sz="0" w:space="0" w:color="auto"/>
          </w:divBdr>
        </w:div>
        <w:div w:id="967977819">
          <w:marLeft w:val="274"/>
          <w:marRight w:val="0"/>
          <w:marTop w:val="0"/>
          <w:marBottom w:val="0"/>
          <w:divBdr>
            <w:top w:val="none" w:sz="0" w:space="0" w:color="auto"/>
            <w:left w:val="none" w:sz="0" w:space="0" w:color="auto"/>
            <w:bottom w:val="none" w:sz="0" w:space="0" w:color="auto"/>
            <w:right w:val="none" w:sz="0" w:space="0" w:color="auto"/>
          </w:divBdr>
        </w:div>
        <w:div w:id="1292443197">
          <w:marLeft w:val="274"/>
          <w:marRight w:val="0"/>
          <w:marTop w:val="0"/>
          <w:marBottom w:val="0"/>
          <w:divBdr>
            <w:top w:val="none" w:sz="0" w:space="0" w:color="auto"/>
            <w:left w:val="none" w:sz="0" w:space="0" w:color="auto"/>
            <w:bottom w:val="none" w:sz="0" w:space="0" w:color="auto"/>
            <w:right w:val="none" w:sz="0" w:space="0" w:color="auto"/>
          </w:divBdr>
        </w:div>
        <w:div w:id="1853761337">
          <w:marLeft w:val="274"/>
          <w:marRight w:val="0"/>
          <w:marTop w:val="0"/>
          <w:marBottom w:val="0"/>
          <w:divBdr>
            <w:top w:val="none" w:sz="0" w:space="0" w:color="auto"/>
            <w:left w:val="none" w:sz="0" w:space="0" w:color="auto"/>
            <w:bottom w:val="none" w:sz="0" w:space="0" w:color="auto"/>
            <w:right w:val="none" w:sz="0" w:space="0" w:color="auto"/>
          </w:divBdr>
        </w:div>
        <w:div w:id="2054502260">
          <w:marLeft w:val="274"/>
          <w:marRight w:val="0"/>
          <w:marTop w:val="0"/>
          <w:marBottom w:val="0"/>
          <w:divBdr>
            <w:top w:val="none" w:sz="0" w:space="0" w:color="auto"/>
            <w:left w:val="none" w:sz="0" w:space="0" w:color="auto"/>
            <w:bottom w:val="none" w:sz="0" w:space="0" w:color="auto"/>
            <w:right w:val="none" w:sz="0" w:space="0" w:color="auto"/>
          </w:divBdr>
        </w:div>
      </w:divsChild>
    </w:div>
    <w:div w:id="75176600">
      <w:bodyDiv w:val="1"/>
      <w:marLeft w:val="0"/>
      <w:marRight w:val="0"/>
      <w:marTop w:val="0"/>
      <w:marBottom w:val="0"/>
      <w:divBdr>
        <w:top w:val="none" w:sz="0" w:space="0" w:color="auto"/>
        <w:left w:val="none" w:sz="0" w:space="0" w:color="auto"/>
        <w:bottom w:val="none" w:sz="0" w:space="0" w:color="auto"/>
        <w:right w:val="none" w:sz="0" w:space="0" w:color="auto"/>
      </w:divBdr>
    </w:div>
    <w:div w:id="130290146">
      <w:bodyDiv w:val="1"/>
      <w:marLeft w:val="0"/>
      <w:marRight w:val="0"/>
      <w:marTop w:val="0"/>
      <w:marBottom w:val="0"/>
      <w:divBdr>
        <w:top w:val="none" w:sz="0" w:space="0" w:color="auto"/>
        <w:left w:val="none" w:sz="0" w:space="0" w:color="auto"/>
        <w:bottom w:val="none" w:sz="0" w:space="0" w:color="auto"/>
        <w:right w:val="none" w:sz="0" w:space="0" w:color="auto"/>
      </w:divBdr>
    </w:div>
    <w:div w:id="130903526">
      <w:bodyDiv w:val="1"/>
      <w:marLeft w:val="0"/>
      <w:marRight w:val="0"/>
      <w:marTop w:val="0"/>
      <w:marBottom w:val="0"/>
      <w:divBdr>
        <w:top w:val="none" w:sz="0" w:space="0" w:color="auto"/>
        <w:left w:val="none" w:sz="0" w:space="0" w:color="auto"/>
        <w:bottom w:val="none" w:sz="0" w:space="0" w:color="auto"/>
        <w:right w:val="none" w:sz="0" w:space="0" w:color="auto"/>
      </w:divBdr>
      <w:divsChild>
        <w:div w:id="1222525800">
          <w:marLeft w:val="446"/>
          <w:marRight w:val="0"/>
          <w:marTop w:val="0"/>
          <w:marBottom w:val="0"/>
          <w:divBdr>
            <w:top w:val="none" w:sz="0" w:space="0" w:color="auto"/>
            <w:left w:val="none" w:sz="0" w:space="0" w:color="auto"/>
            <w:bottom w:val="none" w:sz="0" w:space="0" w:color="auto"/>
            <w:right w:val="none" w:sz="0" w:space="0" w:color="auto"/>
          </w:divBdr>
        </w:div>
      </w:divsChild>
    </w:div>
    <w:div w:id="152258981">
      <w:bodyDiv w:val="1"/>
      <w:marLeft w:val="0"/>
      <w:marRight w:val="0"/>
      <w:marTop w:val="0"/>
      <w:marBottom w:val="0"/>
      <w:divBdr>
        <w:top w:val="none" w:sz="0" w:space="0" w:color="auto"/>
        <w:left w:val="none" w:sz="0" w:space="0" w:color="auto"/>
        <w:bottom w:val="none" w:sz="0" w:space="0" w:color="auto"/>
        <w:right w:val="none" w:sz="0" w:space="0" w:color="auto"/>
      </w:divBdr>
      <w:divsChild>
        <w:div w:id="2102750626">
          <w:marLeft w:val="446"/>
          <w:marRight w:val="0"/>
          <w:marTop w:val="0"/>
          <w:marBottom w:val="0"/>
          <w:divBdr>
            <w:top w:val="none" w:sz="0" w:space="0" w:color="auto"/>
            <w:left w:val="none" w:sz="0" w:space="0" w:color="auto"/>
            <w:bottom w:val="none" w:sz="0" w:space="0" w:color="auto"/>
            <w:right w:val="none" w:sz="0" w:space="0" w:color="auto"/>
          </w:divBdr>
        </w:div>
      </w:divsChild>
    </w:div>
    <w:div w:id="195236552">
      <w:bodyDiv w:val="1"/>
      <w:marLeft w:val="0"/>
      <w:marRight w:val="0"/>
      <w:marTop w:val="0"/>
      <w:marBottom w:val="0"/>
      <w:divBdr>
        <w:top w:val="none" w:sz="0" w:space="0" w:color="auto"/>
        <w:left w:val="none" w:sz="0" w:space="0" w:color="auto"/>
        <w:bottom w:val="none" w:sz="0" w:space="0" w:color="auto"/>
        <w:right w:val="none" w:sz="0" w:space="0" w:color="auto"/>
      </w:divBdr>
      <w:divsChild>
        <w:div w:id="160463735">
          <w:marLeft w:val="418"/>
          <w:marRight w:val="0"/>
          <w:marTop w:val="0"/>
          <w:marBottom w:val="60"/>
          <w:divBdr>
            <w:top w:val="none" w:sz="0" w:space="0" w:color="auto"/>
            <w:left w:val="none" w:sz="0" w:space="0" w:color="auto"/>
            <w:bottom w:val="none" w:sz="0" w:space="0" w:color="auto"/>
            <w:right w:val="none" w:sz="0" w:space="0" w:color="auto"/>
          </w:divBdr>
        </w:div>
        <w:div w:id="407004095">
          <w:marLeft w:val="418"/>
          <w:marRight w:val="0"/>
          <w:marTop w:val="0"/>
          <w:marBottom w:val="60"/>
          <w:divBdr>
            <w:top w:val="none" w:sz="0" w:space="0" w:color="auto"/>
            <w:left w:val="none" w:sz="0" w:space="0" w:color="auto"/>
            <w:bottom w:val="none" w:sz="0" w:space="0" w:color="auto"/>
            <w:right w:val="none" w:sz="0" w:space="0" w:color="auto"/>
          </w:divBdr>
        </w:div>
        <w:div w:id="408767840">
          <w:marLeft w:val="418"/>
          <w:marRight w:val="0"/>
          <w:marTop w:val="0"/>
          <w:marBottom w:val="60"/>
          <w:divBdr>
            <w:top w:val="none" w:sz="0" w:space="0" w:color="auto"/>
            <w:left w:val="none" w:sz="0" w:space="0" w:color="auto"/>
            <w:bottom w:val="none" w:sz="0" w:space="0" w:color="auto"/>
            <w:right w:val="none" w:sz="0" w:space="0" w:color="auto"/>
          </w:divBdr>
        </w:div>
        <w:div w:id="431165932">
          <w:marLeft w:val="418"/>
          <w:marRight w:val="0"/>
          <w:marTop w:val="0"/>
          <w:marBottom w:val="60"/>
          <w:divBdr>
            <w:top w:val="none" w:sz="0" w:space="0" w:color="auto"/>
            <w:left w:val="none" w:sz="0" w:space="0" w:color="auto"/>
            <w:bottom w:val="none" w:sz="0" w:space="0" w:color="auto"/>
            <w:right w:val="none" w:sz="0" w:space="0" w:color="auto"/>
          </w:divBdr>
        </w:div>
        <w:div w:id="500394833">
          <w:marLeft w:val="418"/>
          <w:marRight w:val="0"/>
          <w:marTop w:val="0"/>
          <w:marBottom w:val="60"/>
          <w:divBdr>
            <w:top w:val="none" w:sz="0" w:space="0" w:color="auto"/>
            <w:left w:val="none" w:sz="0" w:space="0" w:color="auto"/>
            <w:bottom w:val="none" w:sz="0" w:space="0" w:color="auto"/>
            <w:right w:val="none" w:sz="0" w:space="0" w:color="auto"/>
          </w:divBdr>
        </w:div>
        <w:div w:id="779036154">
          <w:marLeft w:val="418"/>
          <w:marRight w:val="0"/>
          <w:marTop w:val="0"/>
          <w:marBottom w:val="60"/>
          <w:divBdr>
            <w:top w:val="none" w:sz="0" w:space="0" w:color="auto"/>
            <w:left w:val="none" w:sz="0" w:space="0" w:color="auto"/>
            <w:bottom w:val="none" w:sz="0" w:space="0" w:color="auto"/>
            <w:right w:val="none" w:sz="0" w:space="0" w:color="auto"/>
          </w:divBdr>
        </w:div>
        <w:div w:id="872884670">
          <w:marLeft w:val="418"/>
          <w:marRight w:val="0"/>
          <w:marTop w:val="0"/>
          <w:marBottom w:val="60"/>
          <w:divBdr>
            <w:top w:val="none" w:sz="0" w:space="0" w:color="auto"/>
            <w:left w:val="none" w:sz="0" w:space="0" w:color="auto"/>
            <w:bottom w:val="none" w:sz="0" w:space="0" w:color="auto"/>
            <w:right w:val="none" w:sz="0" w:space="0" w:color="auto"/>
          </w:divBdr>
        </w:div>
        <w:div w:id="1296250708">
          <w:marLeft w:val="418"/>
          <w:marRight w:val="0"/>
          <w:marTop w:val="0"/>
          <w:marBottom w:val="60"/>
          <w:divBdr>
            <w:top w:val="none" w:sz="0" w:space="0" w:color="auto"/>
            <w:left w:val="none" w:sz="0" w:space="0" w:color="auto"/>
            <w:bottom w:val="none" w:sz="0" w:space="0" w:color="auto"/>
            <w:right w:val="none" w:sz="0" w:space="0" w:color="auto"/>
          </w:divBdr>
        </w:div>
      </w:divsChild>
    </w:div>
    <w:div w:id="196508343">
      <w:bodyDiv w:val="1"/>
      <w:marLeft w:val="0"/>
      <w:marRight w:val="0"/>
      <w:marTop w:val="0"/>
      <w:marBottom w:val="0"/>
      <w:divBdr>
        <w:top w:val="none" w:sz="0" w:space="0" w:color="auto"/>
        <w:left w:val="none" w:sz="0" w:space="0" w:color="auto"/>
        <w:bottom w:val="none" w:sz="0" w:space="0" w:color="auto"/>
        <w:right w:val="none" w:sz="0" w:space="0" w:color="auto"/>
      </w:divBdr>
    </w:div>
    <w:div w:id="204680174">
      <w:bodyDiv w:val="1"/>
      <w:marLeft w:val="0"/>
      <w:marRight w:val="0"/>
      <w:marTop w:val="0"/>
      <w:marBottom w:val="0"/>
      <w:divBdr>
        <w:top w:val="none" w:sz="0" w:space="0" w:color="auto"/>
        <w:left w:val="none" w:sz="0" w:space="0" w:color="auto"/>
        <w:bottom w:val="none" w:sz="0" w:space="0" w:color="auto"/>
        <w:right w:val="none" w:sz="0" w:space="0" w:color="auto"/>
      </w:divBdr>
      <w:divsChild>
        <w:div w:id="80688442">
          <w:marLeft w:val="418"/>
          <w:marRight w:val="0"/>
          <w:marTop w:val="0"/>
          <w:marBottom w:val="60"/>
          <w:divBdr>
            <w:top w:val="none" w:sz="0" w:space="0" w:color="auto"/>
            <w:left w:val="none" w:sz="0" w:space="0" w:color="auto"/>
            <w:bottom w:val="none" w:sz="0" w:space="0" w:color="auto"/>
            <w:right w:val="none" w:sz="0" w:space="0" w:color="auto"/>
          </w:divBdr>
        </w:div>
        <w:div w:id="162937592">
          <w:marLeft w:val="418"/>
          <w:marRight w:val="0"/>
          <w:marTop w:val="0"/>
          <w:marBottom w:val="60"/>
          <w:divBdr>
            <w:top w:val="none" w:sz="0" w:space="0" w:color="auto"/>
            <w:left w:val="none" w:sz="0" w:space="0" w:color="auto"/>
            <w:bottom w:val="none" w:sz="0" w:space="0" w:color="auto"/>
            <w:right w:val="none" w:sz="0" w:space="0" w:color="auto"/>
          </w:divBdr>
        </w:div>
        <w:div w:id="171838628">
          <w:marLeft w:val="418"/>
          <w:marRight w:val="0"/>
          <w:marTop w:val="0"/>
          <w:marBottom w:val="60"/>
          <w:divBdr>
            <w:top w:val="none" w:sz="0" w:space="0" w:color="auto"/>
            <w:left w:val="none" w:sz="0" w:space="0" w:color="auto"/>
            <w:bottom w:val="none" w:sz="0" w:space="0" w:color="auto"/>
            <w:right w:val="none" w:sz="0" w:space="0" w:color="auto"/>
          </w:divBdr>
        </w:div>
        <w:div w:id="177932025">
          <w:marLeft w:val="418"/>
          <w:marRight w:val="0"/>
          <w:marTop w:val="0"/>
          <w:marBottom w:val="60"/>
          <w:divBdr>
            <w:top w:val="none" w:sz="0" w:space="0" w:color="auto"/>
            <w:left w:val="none" w:sz="0" w:space="0" w:color="auto"/>
            <w:bottom w:val="none" w:sz="0" w:space="0" w:color="auto"/>
            <w:right w:val="none" w:sz="0" w:space="0" w:color="auto"/>
          </w:divBdr>
        </w:div>
        <w:div w:id="1125154663">
          <w:marLeft w:val="418"/>
          <w:marRight w:val="0"/>
          <w:marTop w:val="0"/>
          <w:marBottom w:val="60"/>
          <w:divBdr>
            <w:top w:val="none" w:sz="0" w:space="0" w:color="auto"/>
            <w:left w:val="none" w:sz="0" w:space="0" w:color="auto"/>
            <w:bottom w:val="none" w:sz="0" w:space="0" w:color="auto"/>
            <w:right w:val="none" w:sz="0" w:space="0" w:color="auto"/>
          </w:divBdr>
        </w:div>
      </w:divsChild>
    </w:div>
    <w:div w:id="215362005">
      <w:bodyDiv w:val="1"/>
      <w:marLeft w:val="0"/>
      <w:marRight w:val="0"/>
      <w:marTop w:val="0"/>
      <w:marBottom w:val="0"/>
      <w:divBdr>
        <w:top w:val="none" w:sz="0" w:space="0" w:color="auto"/>
        <w:left w:val="none" w:sz="0" w:space="0" w:color="auto"/>
        <w:bottom w:val="none" w:sz="0" w:space="0" w:color="auto"/>
        <w:right w:val="none" w:sz="0" w:space="0" w:color="auto"/>
      </w:divBdr>
    </w:div>
    <w:div w:id="244461617">
      <w:bodyDiv w:val="1"/>
      <w:marLeft w:val="0"/>
      <w:marRight w:val="0"/>
      <w:marTop w:val="0"/>
      <w:marBottom w:val="0"/>
      <w:divBdr>
        <w:top w:val="none" w:sz="0" w:space="0" w:color="auto"/>
        <w:left w:val="none" w:sz="0" w:space="0" w:color="auto"/>
        <w:bottom w:val="none" w:sz="0" w:space="0" w:color="auto"/>
        <w:right w:val="none" w:sz="0" w:space="0" w:color="auto"/>
      </w:divBdr>
      <w:divsChild>
        <w:div w:id="219249229">
          <w:marLeft w:val="706"/>
          <w:marRight w:val="0"/>
          <w:marTop w:val="0"/>
          <w:marBottom w:val="60"/>
          <w:divBdr>
            <w:top w:val="none" w:sz="0" w:space="0" w:color="auto"/>
            <w:left w:val="none" w:sz="0" w:space="0" w:color="auto"/>
            <w:bottom w:val="none" w:sz="0" w:space="0" w:color="auto"/>
            <w:right w:val="none" w:sz="0" w:space="0" w:color="auto"/>
          </w:divBdr>
        </w:div>
        <w:div w:id="377165936">
          <w:marLeft w:val="418"/>
          <w:marRight w:val="0"/>
          <w:marTop w:val="0"/>
          <w:marBottom w:val="60"/>
          <w:divBdr>
            <w:top w:val="none" w:sz="0" w:space="0" w:color="auto"/>
            <w:left w:val="none" w:sz="0" w:space="0" w:color="auto"/>
            <w:bottom w:val="none" w:sz="0" w:space="0" w:color="auto"/>
            <w:right w:val="none" w:sz="0" w:space="0" w:color="auto"/>
          </w:divBdr>
        </w:div>
        <w:div w:id="1283266287">
          <w:marLeft w:val="706"/>
          <w:marRight w:val="0"/>
          <w:marTop w:val="0"/>
          <w:marBottom w:val="60"/>
          <w:divBdr>
            <w:top w:val="none" w:sz="0" w:space="0" w:color="auto"/>
            <w:left w:val="none" w:sz="0" w:space="0" w:color="auto"/>
            <w:bottom w:val="none" w:sz="0" w:space="0" w:color="auto"/>
            <w:right w:val="none" w:sz="0" w:space="0" w:color="auto"/>
          </w:divBdr>
        </w:div>
        <w:div w:id="1298295270">
          <w:marLeft w:val="706"/>
          <w:marRight w:val="0"/>
          <w:marTop w:val="0"/>
          <w:marBottom w:val="60"/>
          <w:divBdr>
            <w:top w:val="none" w:sz="0" w:space="0" w:color="auto"/>
            <w:left w:val="none" w:sz="0" w:space="0" w:color="auto"/>
            <w:bottom w:val="none" w:sz="0" w:space="0" w:color="auto"/>
            <w:right w:val="none" w:sz="0" w:space="0" w:color="auto"/>
          </w:divBdr>
        </w:div>
      </w:divsChild>
    </w:div>
    <w:div w:id="260650695">
      <w:bodyDiv w:val="1"/>
      <w:marLeft w:val="0"/>
      <w:marRight w:val="0"/>
      <w:marTop w:val="0"/>
      <w:marBottom w:val="0"/>
      <w:divBdr>
        <w:top w:val="none" w:sz="0" w:space="0" w:color="auto"/>
        <w:left w:val="none" w:sz="0" w:space="0" w:color="auto"/>
        <w:bottom w:val="none" w:sz="0" w:space="0" w:color="auto"/>
        <w:right w:val="none" w:sz="0" w:space="0" w:color="auto"/>
      </w:divBdr>
      <w:divsChild>
        <w:div w:id="93281219">
          <w:marLeft w:val="274"/>
          <w:marRight w:val="0"/>
          <w:marTop w:val="0"/>
          <w:marBottom w:val="0"/>
          <w:divBdr>
            <w:top w:val="none" w:sz="0" w:space="0" w:color="auto"/>
            <w:left w:val="none" w:sz="0" w:space="0" w:color="auto"/>
            <w:bottom w:val="none" w:sz="0" w:space="0" w:color="auto"/>
            <w:right w:val="none" w:sz="0" w:space="0" w:color="auto"/>
          </w:divBdr>
        </w:div>
        <w:div w:id="213004895">
          <w:marLeft w:val="274"/>
          <w:marRight w:val="0"/>
          <w:marTop w:val="0"/>
          <w:marBottom w:val="0"/>
          <w:divBdr>
            <w:top w:val="none" w:sz="0" w:space="0" w:color="auto"/>
            <w:left w:val="none" w:sz="0" w:space="0" w:color="auto"/>
            <w:bottom w:val="none" w:sz="0" w:space="0" w:color="auto"/>
            <w:right w:val="none" w:sz="0" w:space="0" w:color="auto"/>
          </w:divBdr>
        </w:div>
        <w:div w:id="1015376947">
          <w:marLeft w:val="274"/>
          <w:marRight w:val="0"/>
          <w:marTop w:val="0"/>
          <w:marBottom w:val="0"/>
          <w:divBdr>
            <w:top w:val="none" w:sz="0" w:space="0" w:color="auto"/>
            <w:left w:val="none" w:sz="0" w:space="0" w:color="auto"/>
            <w:bottom w:val="none" w:sz="0" w:space="0" w:color="auto"/>
            <w:right w:val="none" w:sz="0" w:space="0" w:color="auto"/>
          </w:divBdr>
        </w:div>
        <w:div w:id="1366128279">
          <w:marLeft w:val="360"/>
          <w:marRight w:val="0"/>
          <w:marTop w:val="0"/>
          <w:marBottom w:val="0"/>
          <w:divBdr>
            <w:top w:val="none" w:sz="0" w:space="0" w:color="auto"/>
            <w:left w:val="none" w:sz="0" w:space="0" w:color="auto"/>
            <w:bottom w:val="none" w:sz="0" w:space="0" w:color="auto"/>
            <w:right w:val="none" w:sz="0" w:space="0" w:color="auto"/>
          </w:divBdr>
        </w:div>
        <w:div w:id="1544753382">
          <w:marLeft w:val="274"/>
          <w:marRight w:val="0"/>
          <w:marTop w:val="0"/>
          <w:marBottom w:val="0"/>
          <w:divBdr>
            <w:top w:val="none" w:sz="0" w:space="0" w:color="auto"/>
            <w:left w:val="none" w:sz="0" w:space="0" w:color="auto"/>
            <w:bottom w:val="none" w:sz="0" w:space="0" w:color="auto"/>
            <w:right w:val="none" w:sz="0" w:space="0" w:color="auto"/>
          </w:divBdr>
        </w:div>
        <w:div w:id="1991209280">
          <w:marLeft w:val="274"/>
          <w:marRight w:val="0"/>
          <w:marTop w:val="0"/>
          <w:marBottom w:val="0"/>
          <w:divBdr>
            <w:top w:val="none" w:sz="0" w:space="0" w:color="auto"/>
            <w:left w:val="none" w:sz="0" w:space="0" w:color="auto"/>
            <w:bottom w:val="none" w:sz="0" w:space="0" w:color="auto"/>
            <w:right w:val="none" w:sz="0" w:space="0" w:color="auto"/>
          </w:divBdr>
        </w:div>
      </w:divsChild>
    </w:div>
    <w:div w:id="307247061">
      <w:bodyDiv w:val="1"/>
      <w:marLeft w:val="0"/>
      <w:marRight w:val="0"/>
      <w:marTop w:val="0"/>
      <w:marBottom w:val="0"/>
      <w:divBdr>
        <w:top w:val="none" w:sz="0" w:space="0" w:color="auto"/>
        <w:left w:val="none" w:sz="0" w:space="0" w:color="auto"/>
        <w:bottom w:val="none" w:sz="0" w:space="0" w:color="auto"/>
        <w:right w:val="none" w:sz="0" w:space="0" w:color="auto"/>
      </w:divBdr>
      <w:divsChild>
        <w:div w:id="21328691">
          <w:marLeft w:val="418"/>
          <w:marRight w:val="0"/>
          <w:marTop w:val="0"/>
          <w:marBottom w:val="60"/>
          <w:divBdr>
            <w:top w:val="none" w:sz="0" w:space="0" w:color="auto"/>
            <w:left w:val="none" w:sz="0" w:space="0" w:color="auto"/>
            <w:bottom w:val="none" w:sz="0" w:space="0" w:color="auto"/>
            <w:right w:val="none" w:sz="0" w:space="0" w:color="auto"/>
          </w:divBdr>
        </w:div>
        <w:div w:id="156966791">
          <w:marLeft w:val="418"/>
          <w:marRight w:val="0"/>
          <w:marTop w:val="0"/>
          <w:marBottom w:val="60"/>
          <w:divBdr>
            <w:top w:val="none" w:sz="0" w:space="0" w:color="auto"/>
            <w:left w:val="none" w:sz="0" w:space="0" w:color="auto"/>
            <w:bottom w:val="none" w:sz="0" w:space="0" w:color="auto"/>
            <w:right w:val="none" w:sz="0" w:space="0" w:color="auto"/>
          </w:divBdr>
        </w:div>
        <w:div w:id="178811996">
          <w:marLeft w:val="418"/>
          <w:marRight w:val="0"/>
          <w:marTop w:val="0"/>
          <w:marBottom w:val="60"/>
          <w:divBdr>
            <w:top w:val="none" w:sz="0" w:space="0" w:color="auto"/>
            <w:left w:val="none" w:sz="0" w:space="0" w:color="auto"/>
            <w:bottom w:val="none" w:sz="0" w:space="0" w:color="auto"/>
            <w:right w:val="none" w:sz="0" w:space="0" w:color="auto"/>
          </w:divBdr>
        </w:div>
        <w:div w:id="236863952">
          <w:marLeft w:val="418"/>
          <w:marRight w:val="0"/>
          <w:marTop w:val="0"/>
          <w:marBottom w:val="60"/>
          <w:divBdr>
            <w:top w:val="none" w:sz="0" w:space="0" w:color="auto"/>
            <w:left w:val="none" w:sz="0" w:space="0" w:color="auto"/>
            <w:bottom w:val="none" w:sz="0" w:space="0" w:color="auto"/>
            <w:right w:val="none" w:sz="0" w:space="0" w:color="auto"/>
          </w:divBdr>
        </w:div>
        <w:div w:id="850293305">
          <w:marLeft w:val="418"/>
          <w:marRight w:val="0"/>
          <w:marTop w:val="0"/>
          <w:marBottom w:val="60"/>
          <w:divBdr>
            <w:top w:val="none" w:sz="0" w:space="0" w:color="auto"/>
            <w:left w:val="none" w:sz="0" w:space="0" w:color="auto"/>
            <w:bottom w:val="none" w:sz="0" w:space="0" w:color="auto"/>
            <w:right w:val="none" w:sz="0" w:space="0" w:color="auto"/>
          </w:divBdr>
        </w:div>
        <w:div w:id="943196972">
          <w:marLeft w:val="418"/>
          <w:marRight w:val="0"/>
          <w:marTop w:val="0"/>
          <w:marBottom w:val="60"/>
          <w:divBdr>
            <w:top w:val="none" w:sz="0" w:space="0" w:color="auto"/>
            <w:left w:val="none" w:sz="0" w:space="0" w:color="auto"/>
            <w:bottom w:val="none" w:sz="0" w:space="0" w:color="auto"/>
            <w:right w:val="none" w:sz="0" w:space="0" w:color="auto"/>
          </w:divBdr>
        </w:div>
        <w:div w:id="1005717018">
          <w:marLeft w:val="418"/>
          <w:marRight w:val="0"/>
          <w:marTop w:val="0"/>
          <w:marBottom w:val="60"/>
          <w:divBdr>
            <w:top w:val="none" w:sz="0" w:space="0" w:color="auto"/>
            <w:left w:val="none" w:sz="0" w:space="0" w:color="auto"/>
            <w:bottom w:val="none" w:sz="0" w:space="0" w:color="auto"/>
            <w:right w:val="none" w:sz="0" w:space="0" w:color="auto"/>
          </w:divBdr>
        </w:div>
        <w:div w:id="1053504026">
          <w:marLeft w:val="418"/>
          <w:marRight w:val="0"/>
          <w:marTop w:val="0"/>
          <w:marBottom w:val="60"/>
          <w:divBdr>
            <w:top w:val="none" w:sz="0" w:space="0" w:color="auto"/>
            <w:left w:val="none" w:sz="0" w:space="0" w:color="auto"/>
            <w:bottom w:val="none" w:sz="0" w:space="0" w:color="auto"/>
            <w:right w:val="none" w:sz="0" w:space="0" w:color="auto"/>
          </w:divBdr>
        </w:div>
        <w:div w:id="1236206834">
          <w:marLeft w:val="418"/>
          <w:marRight w:val="0"/>
          <w:marTop w:val="0"/>
          <w:marBottom w:val="60"/>
          <w:divBdr>
            <w:top w:val="none" w:sz="0" w:space="0" w:color="auto"/>
            <w:left w:val="none" w:sz="0" w:space="0" w:color="auto"/>
            <w:bottom w:val="none" w:sz="0" w:space="0" w:color="auto"/>
            <w:right w:val="none" w:sz="0" w:space="0" w:color="auto"/>
          </w:divBdr>
        </w:div>
        <w:div w:id="1509827633">
          <w:marLeft w:val="418"/>
          <w:marRight w:val="0"/>
          <w:marTop w:val="0"/>
          <w:marBottom w:val="60"/>
          <w:divBdr>
            <w:top w:val="none" w:sz="0" w:space="0" w:color="auto"/>
            <w:left w:val="none" w:sz="0" w:space="0" w:color="auto"/>
            <w:bottom w:val="none" w:sz="0" w:space="0" w:color="auto"/>
            <w:right w:val="none" w:sz="0" w:space="0" w:color="auto"/>
          </w:divBdr>
        </w:div>
        <w:div w:id="1696465925">
          <w:marLeft w:val="418"/>
          <w:marRight w:val="0"/>
          <w:marTop w:val="0"/>
          <w:marBottom w:val="60"/>
          <w:divBdr>
            <w:top w:val="none" w:sz="0" w:space="0" w:color="auto"/>
            <w:left w:val="none" w:sz="0" w:space="0" w:color="auto"/>
            <w:bottom w:val="none" w:sz="0" w:space="0" w:color="auto"/>
            <w:right w:val="none" w:sz="0" w:space="0" w:color="auto"/>
          </w:divBdr>
        </w:div>
        <w:div w:id="1833713166">
          <w:marLeft w:val="418"/>
          <w:marRight w:val="0"/>
          <w:marTop w:val="0"/>
          <w:marBottom w:val="60"/>
          <w:divBdr>
            <w:top w:val="none" w:sz="0" w:space="0" w:color="auto"/>
            <w:left w:val="none" w:sz="0" w:space="0" w:color="auto"/>
            <w:bottom w:val="none" w:sz="0" w:space="0" w:color="auto"/>
            <w:right w:val="none" w:sz="0" w:space="0" w:color="auto"/>
          </w:divBdr>
        </w:div>
      </w:divsChild>
    </w:div>
    <w:div w:id="336154223">
      <w:bodyDiv w:val="1"/>
      <w:marLeft w:val="0"/>
      <w:marRight w:val="0"/>
      <w:marTop w:val="0"/>
      <w:marBottom w:val="0"/>
      <w:divBdr>
        <w:top w:val="none" w:sz="0" w:space="0" w:color="auto"/>
        <w:left w:val="none" w:sz="0" w:space="0" w:color="auto"/>
        <w:bottom w:val="none" w:sz="0" w:space="0" w:color="auto"/>
        <w:right w:val="none" w:sz="0" w:space="0" w:color="auto"/>
      </w:divBdr>
    </w:div>
    <w:div w:id="384986928">
      <w:bodyDiv w:val="1"/>
      <w:marLeft w:val="0"/>
      <w:marRight w:val="0"/>
      <w:marTop w:val="0"/>
      <w:marBottom w:val="0"/>
      <w:divBdr>
        <w:top w:val="none" w:sz="0" w:space="0" w:color="auto"/>
        <w:left w:val="none" w:sz="0" w:space="0" w:color="auto"/>
        <w:bottom w:val="none" w:sz="0" w:space="0" w:color="auto"/>
        <w:right w:val="none" w:sz="0" w:space="0" w:color="auto"/>
      </w:divBdr>
      <w:divsChild>
        <w:div w:id="414208453">
          <w:marLeft w:val="446"/>
          <w:marRight w:val="0"/>
          <w:marTop w:val="0"/>
          <w:marBottom w:val="0"/>
          <w:divBdr>
            <w:top w:val="none" w:sz="0" w:space="0" w:color="auto"/>
            <w:left w:val="none" w:sz="0" w:space="0" w:color="auto"/>
            <w:bottom w:val="none" w:sz="0" w:space="0" w:color="auto"/>
            <w:right w:val="none" w:sz="0" w:space="0" w:color="auto"/>
          </w:divBdr>
        </w:div>
      </w:divsChild>
    </w:div>
    <w:div w:id="389622261">
      <w:bodyDiv w:val="1"/>
      <w:marLeft w:val="0"/>
      <w:marRight w:val="0"/>
      <w:marTop w:val="0"/>
      <w:marBottom w:val="0"/>
      <w:divBdr>
        <w:top w:val="none" w:sz="0" w:space="0" w:color="auto"/>
        <w:left w:val="none" w:sz="0" w:space="0" w:color="auto"/>
        <w:bottom w:val="none" w:sz="0" w:space="0" w:color="auto"/>
        <w:right w:val="none" w:sz="0" w:space="0" w:color="auto"/>
      </w:divBdr>
      <w:divsChild>
        <w:div w:id="75635371">
          <w:marLeft w:val="274"/>
          <w:marRight w:val="0"/>
          <w:marTop w:val="0"/>
          <w:marBottom w:val="0"/>
          <w:divBdr>
            <w:top w:val="none" w:sz="0" w:space="0" w:color="auto"/>
            <w:left w:val="none" w:sz="0" w:space="0" w:color="auto"/>
            <w:bottom w:val="none" w:sz="0" w:space="0" w:color="auto"/>
            <w:right w:val="none" w:sz="0" w:space="0" w:color="auto"/>
          </w:divBdr>
        </w:div>
        <w:div w:id="259794989">
          <w:marLeft w:val="274"/>
          <w:marRight w:val="0"/>
          <w:marTop w:val="0"/>
          <w:marBottom w:val="0"/>
          <w:divBdr>
            <w:top w:val="none" w:sz="0" w:space="0" w:color="auto"/>
            <w:left w:val="none" w:sz="0" w:space="0" w:color="auto"/>
            <w:bottom w:val="none" w:sz="0" w:space="0" w:color="auto"/>
            <w:right w:val="none" w:sz="0" w:space="0" w:color="auto"/>
          </w:divBdr>
        </w:div>
        <w:div w:id="1385568541">
          <w:marLeft w:val="360"/>
          <w:marRight w:val="0"/>
          <w:marTop w:val="0"/>
          <w:marBottom w:val="0"/>
          <w:divBdr>
            <w:top w:val="none" w:sz="0" w:space="0" w:color="auto"/>
            <w:left w:val="none" w:sz="0" w:space="0" w:color="auto"/>
            <w:bottom w:val="none" w:sz="0" w:space="0" w:color="auto"/>
            <w:right w:val="none" w:sz="0" w:space="0" w:color="auto"/>
          </w:divBdr>
        </w:div>
      </w:divsChild>
    </w:div>
    <w:div w:id="402795638">
      <w:bodyDiv w:val="1"/>
      <w:marLeft w:val="0"/>
      <w:marRight w:val="0"/>
      <w:marTop w:val="0"/>
      <w:marBottom w:val="0"/>
      <w:divBdr>
        <w:top w:val="none" w:sz="0" w:space="0" w:color="auto"/>
        <w:left w:val="none" w:sz="0" w:space="0" w:color="auto"/>
        <w:bottom w:val="none" w:sz="0" w:space="0" w:color="auto"/>
        <w:right w:val="none" w:sz="0" w:space="0" w:color="auto"/>
      </w:divBdr>
    </w:div>
    <w:div w:id="406877992">
      <w:bodyDiv w:val="1"/>
      <w:marLeft w:val="0"/>
      <w:marRight w:val="0"/>
      <w:marTop w:val="0"/>
      <w:marBottom w:val="0"/>
      <w:divBdr>
        <w:top w:val="none" w:sz="0" w:space="0" w:color="auto"/>
        <w:left w:val="none" w:sz="0" w:space="0" w:color="auto"/>
        <w:bottom w:val="none" w:sz="0" w:space="0" w:color="auto"/>
        <w:right w:val="none" w:sz="0" w:space="0" w:color="auto"/>
      </w:divBdr>
    </w:div>
    <w:div w:id="415977621">
      <w:bodyDiv w:val="1"/>
      <w:marLeft w:val="0"/>
      <w:marRight w:val="0"/>
      <w:marTop w:val="0"/>
      <w:marBottom w:val="0"/>
      <w:divBdr>
        <w:top w:val="none" w:sz="0" w:space="0" w:color="auto"/>
        <w:left w:val="none" w:sz="0" w:space="0" w:color="auto"/>
        <w:bottom w:val="none" w:sz="0" w:space="0" w:color="auto"/>
        <w:right w:val="none" w:sz="0" w:space="0" w:color="auto"/>
      </w:divBdr>
      <w:divsChild>
        <w:div w:id="622005522">
          <w:marLeft w:val="274"/>
          <w:marRight w:val="0"/>
          <w:marTop w:val="0"/>
          <w:marBottom w:val="0"/>
          <w:divBdr>
            <w:top w:val="none" w:sz="0" w:space="0" w:color="auto"/>
            <w:left w:val="none" w:sz="0" w:space="0" w:color="auto"/>
            <w:bottom w:val="none" w:sz="0" w:space="0" w:color="auto"/>
            <w:right w:val="none" w:sz="0" w:space="0" w:color="auto"/>
          </w:divBdr>
        </w:div>
        <w:div w:id="947856791">
          <w:marLeft w:val="274"/>
          <w:marRight w:val="0"/>
          <w:marTop w:val="0"/>
          <w:marBottom w:val="0"/>
          <w:divBdr>
            <w:top w:val="none" w:sz="0" w:space="0" w:color="auto"/>
            <w:left w:val="none" w:sz="0" w:space="0" w:color="auto"/>
            <w:bottom w:val="none" w:sz="0" w:space="0" w:color="auto"/>
            <w:right w:val="none" w:sz="0" w:space="0" w:color="auto"/>
          </w:divBdr>
        </w:div>
        <w:div w:id="1639332978">
          <w:marLeft w:val="274"/>
          <w:marRight w:val="0"/>
          <w:marTop w:val="0"/>
          <w:marBottom w:val="0"/>
          <w:divBdr>
            <w:top w:val="none" w:sz="0" w:space="0" w:color="auto"/>
            <w:left w:val="none" w:sz="0" w:space="0" w:color="auto"/>
            <w:bottom w:val="none" w:sz="0" w:space="0" w:color="auto"/>
            <w:right w:val="none" w:sz="0" w:space="0" w:color="auto"/>
          </w:divBdr>
        </w:div>
        <w:div w:id="1775249806">
          <w:marLeft w:val="274"/>
          <w:marRight w:val="0"/>
          <w:marTop w:val="0"/>
          <w:marBottom w:val="0"/>
          <w:divBdr>
            <w:top w:val="none" w:sz="0" w:space="0" w:color="auto"/>
            <w:left w:val="none" w:sz="0" w:space="0" w:color="auto"/>
            <w:bottom w:val="none" w:sz="0" w:space="0" w:color="auto"/>
            <w:right w:val="none" w:sz="0" w:space="0" w:color="auto"/>
          </w:divBdr>
        </w:div>
        <w:div w:id="1881673563">
          <w:marLeft w:val="274"/>
          <w:marRight w:val="0"/>
          <w:marTop w:val="0"/>
          <w:marBottom w:val="0"/>
          <w:divBdr>
            <w:top w:val="none" w:sz="0" w:space="0" w:color="auto"/>
            <w:left w:val="none" w:sz="0" w:space="0" w:color="auto"/>
            <w:bottom w:val="none" w:sz="0" w:space="0" w:color="auto"/>
            <w:right w:val="none" w:sz="0" w:space="0" w:color="auto"/>
          </w:divBdr>
        </w:div>
        <w:div w:id="1931422419">
          <w:marLeft w:val="274"/>
          <w:marRight w:val="0"/>
          <w:marTop w:val="0"/>
          <w:marBottom w:val="0"/>
          <w:divBdr>
            <w:top w:val="none" w:sz="0" w:space="0" w:color="auto"/>
            <w:left w:val="none" w:sz="0" w:space="0" w:color="auto"/>
            <w:bottom w:val="none" w:sz="0" w:space="0" w:color="auto"/>
            <w:right w:val="none" w:sz="0" w:space="0" w:color="auto"/>
          </w:divBdr>
        </w:div>
      </w:divsChild>
    </w:div>
    <w:div w:id="427123480">
      <w:bodyDiv w:val="1"/>
      <w:marLeft w:val="0"/>
      <w:marRight w:val="0"/>
      <w:marTop w:val="0"/>
      <w:marBottom w:val="0"/>
      <w:divBdr>
        <w:top w:val="none" w:sz="0" w:space="0" w:color="auto"/>
        <w:left w:val="none" w:sz="0" w:space="0" w:color="auto"/>
        <w:bottom w:val="none" w:sz="0" w:space="0" w:color="auto"/>
        <w:right w:val="none" w:sz="0" w:space="0" w:color="auto"/>
      </w:divBdr>
      <w:divsChild>
        <w:div w:id="1570650700">
          <w:marLeft w:val="274"/>
          <w:marRight w:val="0"/>
          <w:marTop w:val="0"/>
          <w:marBottom w:val="0"/>
          <w:divBdr>
            <w:top w:val="none" w:sz="0" w:space="0" w:color="auto"/>
            <w:left w:val="none" w:sz="0" w:space="0" w:color="auto"/>
            <w:bottom w:val="none" w:sz="0" w:space="0" w:color="auto"/>
            <w:right w:val="none" w:sz="0" w:space="0" w:color="auto"/>
          </w:divBdr>
        </w:div>
      </w:divsChild>
    </w:div>
    <w:div w:id="478379414">
      <w:bodyDiv w:val="1"/>
      <w:marLeft w:val="0"/>
      <w:marRight w:val="0"/>
      <w:marTop w:val="0"/>
      <w:marBottom w:val="0"/>
      <w:divBdr>
        <w:top w:val="none" w:sz="0" w:space="0" w:color="auto"/>
        <w:left w:val="none" w:sz="0" w:space="0" w:color="auto"/>
        <w:bottom w:val="none" w:sz="0" w:space="0" w:color="auto"/>
        <w:right w:val="none" w:sz="0" w:space="0" w:color="auto"/>
      </w:divBdr>
    </w:div>
    <w:div w:id="501624449">
      <w:bodyDiv w:val="1"/>
      <w:marLeft w:val="0"/>
      <w:marRight w:val="0"/>
      <w:marTop w:val="0"/>
      <w:marBottom w:val="0"/>
      <w:divBdr>
        <w:top w:val="none" w:sz="0" w:space="0" w:color="auto"/>
        <w:left w:val="none" w:sz="0" w:space="0" w:color="auto"/>
        <w:bottom w:val="none" w:sz="0" w:space="0" w:color="auto"/>
        <w:right w:val="none" w:sz="0" w:space="0" w:color="auto"/>
      </w:divBdr>
    </w:div>
    <w:div w:id="502471408">
      <w:bodyDiv w:val="1"/>
      <w:marLeft w:val="0"/>
      <w:marRight w:val="0"/>
      <w:marTop w:val="0"/>
      <w:marBottom w:val="0"/>
      <w:divBdr>
        <w:top w:val="none" w:sz="0" w:space="0" w:color="auto"/>
        <w:left w:val="none" w:sz="0" w:space="0" w:color="auto"/>
        <w:bottom w:val="none" w:sz="0" w:space="0" w:color="auto"/>
        <w:right w:val="none" w:sz="0" w:space="0" w:color="auto"/>
      </w:divBdr>
      <w:divsChild>
        <w:div w:id="259142276">
          <w:marLeft w:val="274"/>
          <w:marRight w:val="0"/>
          <w:marTop w:val="0"/>
          <w:marBottom w:val="0"/>
          <w:divBdr>
            <w:top w:val="none" w:sz="0" w:space="0" w:color="auto"/>
            <w:left w:val="none" w:sz="0" w:space="0" w:color="auto"/>
            <w:bottom w:val="none" w:sz="0" w:space="0" w:color="auto"/>
            <w:right w:val="none" w:sz="0" w:space="0" w:color="auto"/>
          </w:divBdr>
        </w:div>
        <w:div w:id="613902414">
          <w:marLeft w:val="274"/>
          <w:marRight w:val="0"/>
          <w:marTop w:val="0"/>
          <w:marBottom w:val="0"/>
          <w:divBdr>
            <w:top w:val="none" w:sz="0" w:space="0" w:color="auto"/>
            <w:left w:val="none" w:sz="0" w:space="0" w:color="auto"/>
            <w:bottom w:val="none" w:sz="0" w:space="0" w:color="auto"/>
            <w:right w:val="none" w:sz="0" w:space="0" w:color="auto"/>
          </w:divBdr>
        </w:div>
        <w:div w:id="1034041152">
          <w:marLeft w:val="274"/>
          <w:marRight w:val="0"/>
          <w:marTop w:val="0"/>
          <w:marBottom w:val="0"/>
          <w:divBdr>
            <w:top w:val="none" w:sz="0" w:space="0" w:color="auto"/>
            <w:left w:val="none" w:sz="0" w:space="0" w:color="auto"/>
            <w:bottom w:val="none" w:sz="0" w:space="0" w:color="auto"/>
            <w:right w:val="none" w:sz="0" w:space="0" w:color="auto"/>
          </w:divBdr>
        </w:div>
        <w:div w:id="1126774747">
          <w:marLeft w:val="274"/>
          <w:marRight w:val="0"/>
          <w:marTop w:val="0"/>
          <w:marBottom w:val="0"/>
          <w:divBdr>
            <w:top w:val="none" w:sz="0" w:space="0" w:color="auto"/>
            <w:left w:val="none" w:sz="0" w:space="0" w:color="auto"/>
            <w:bottom w:val="none" w:sz="0" w:space="0" w:color="auto"/>
            <w:right w:val="none" w:sz="0" w:space="0" w:color="auto"/>
          </w:divBdr>
        </w:div>
        <w:div w:id="1194080116">
          <w:marLeft w:val="274"/>
          <w:marRight w:val="0"/>
          <w:marTop w:val="0"/>
          <w:marBottom w:val="0"/>
          <w:divBdr>
            <w:top w:val="none" w:sz="0" w:space="0" w:color="auto"/>
            <w:left w:val="none" w:sz="0" w:space="0" w:color="auto"/>
            <w:bottom w:val="none" w:sz="0" w:space="0" w:color="auto"/>
            <w:right w:val="none" w:sz="0" w:space="0" w:color="auto"/>
          </w:divBdr>
        </w:div>
        <w:div w:id="1204715485">
          <w:marLeft w:val="274"/>
          <w:marRight w:val="0"/>
          <w:marTop w:val="0"/>
          <w:marBottom w:val="0"/>
          <w:divBdr>
            <w:top w:val="none" w:sz="0" w:space="0" w:color="auto"/>
            <w:left w:val="none" w:sz="0" w:space="0" w:color="auto"/>
            <w:bottom w:val="none" w:sz="0" w:space="0" w:color="auto"/>
            <w:right w:val="none" w:sz="0" w:space="0" w:color="auto"/>
          </w:divBdr>
        </w:div>
        <w:div w:id="2030597669">
          <w:marLeft w:val="274"/>
          <w:marRight w:val="0"/>
          <w:marTop w:val="0"/>
          <w:marBottom w:val="0"/>
          <w:divBdr>
            <w:top w:val="none" w:sz="0" w:space="0" w:color="auto"/>
            <w:left w:val="none" w:sz="0" w:space="0" w:color="auto"/>
            <w:bottom w:val="none" w:sz="0" w:space="0" w:color="auto"/>
            <w:right w:val="none" w:sz="0" w:space="0" w:color="auto"/>
          </w:divBdr>
        </w:div>
      </w:divsChild>
    </w:div>
    <w:div w:id="578291721">
      <w:bodyDiv w:val="1"/>
      <w:marLeft w:val="0"/>
      <w:marRight w:val="0"/>
      <w:marTop w:val="0"/>
      <w:marBottom w:val="0"/>
      <w:divBdr>
        <w:top w:val="none" w:sz="0" w:space="0" w:color="auto"/>
        <w:left w:val="none" w:sz="0" w:space="0" w:color="auto"/>
        <w:bottom w:val="none" w:sz="0" w:space="0" w:color="auto"/>
        <w:right w:val="none" w:sz="0" w:space="0" w:color="auto"/>
      </w:divBdr>
    </w:div>
    <w:div w:id="619410310">
      <w:bodyDiv w:val="1"/>
      <w:marLeft w:val="0"/>
      <w:marRight w:val="0"/>
      <w:marTop w:val="0"/>
      <w:marBottom w:val="0"/>
      <w:divBdr>
        <w:top w:val="none" w:sz="0" w:space="0" w:color="auto"/>
        <w:left w:val="none" w:sz="0" w:space="0" w:color="auto"/>
        <w:bottom w:val="none" w:sz="0" w:space="0" w:color="auto"/>
        <w:right w:val="none" w:sz="0" w:space="0" w:color="auto"/>
      </w:divBdr>
    </w:div>
    <w:div w:id="619608897">
      <w:bodyDiv w:val="1"/>
      <w:marLeft w:val="0"/>
      <w:marRight w:val="0"/>
      <w:marTop w:val="0"/>
      <w:marBottom w:val="0"/>
      <w:divBdr>
        <w:top w:val="none" w:sz="0" w:space="0" w:color="auto"/>
        <w:left w:val="none" w:sz="0" w:space="0" w:color="auto"/>
        <w:bottom w:val="none" w:sz="0" w:space="0" w:color="auto"/>
        <w:right w:val="none" w:sz="0" w:space="0" w:color="auto"/>
      </w:divBdr>
    </w:div>
    <w:div w:id="640886017">
      <w:bodyDiv w:val="1"/>
      <w:marLeft w:val="0"/>
      <w:marRight w:val="0"/>
      <w:marTop w:val="0"/>
      <w:marBottom w:val="0"/>
      <w:divBdr>
        <w:top w:val="none" w:sz="0" w:space="0" w:color="auto"/>
        <w:left w:val="none" w:sz="0" w:space="0" w:color="auto"/>
        <w:bottom w:val="none" w:sz="0" w:space="0" w:color="auto"/>
        <w:right w:val="none" w:sz="0" w:space="0" w:color="auto"/>
      </w:divBdr>
    </w:div>
    <w:div w:id="645209446">
      <w:bodyDiv w:val="1"/>
      <w:marLeft w:val="0"/>
      <w:marRight w:val="0"/>
      <w:marTop w:val="0"/>
      <w:marBottom w:val="0"/>
      <w:divBdr>
        <w:top w:val="none" w:sz="0" w:space="0" w:color="auto"/>
        <w:left w:val="none" w:sz="0" w:space="0" w:color="auto"/>
        <w:bottom w:val="none" w:sz="0" w:space="0" w:color="auto"/>
        <w:right w:val="none" w:sz="0" w:space="0" w:color="auto"/>
      </w:divBdr>
    </w:div>
    <w:div w:id="663818314">
      <w:bodyDiv w:val="1"/>
      <w:marLeft w:val="0"/>
      <w:marRight w:val="0"/>
      <w:marTop w:val="0"/>
      <w:marBottom w:val="0"/>
      <w:divBdr>
        <w:top w:val="none" w:sz="0" w:space="0" w:color="auto"/>
        <w:left w:val="none" w:sz="0" w:space="0" w:color="auto"/>
        <w:bottom w:val="none" w:sz="0" w:space="0" w:color="auto"/>
        <w:right w:val="none" w:sz="0" w:space="0" w:color="auto"/>
      </w:divBdr>
    </w:div>
    <w:div w:id="682973591">
      <w:bodyDiv w:val="1"/>
      <w:marLeft w:val="0"/>
      <w:marRight w:val="0"/>
      <w:marTop w:val="0"/>
      <w:marBottom w:val="0"/>
      <w:divBdr>
        <w:top w:val="none" w:sz="0" w:space="0" w:color="auto"/>
        <w:left w:val="none" w:sz="0" w:space="0" w:color="auto"/>
        <w:bottom w:val="none" w:sz="0" w:space="0" w:color="auto"/>
        <w:right w:val="none" w:sz="0" w:space="0" w:color="auto"/>
      </w:divBdr>
      <w:divsChild>
        <w:div w:id="552161120">
          <w:marLeft w:val="360"/>
          <w:marRight w:val="0"/>
          <w:marTop w:val="120"/>
          <w:marBottom w:val="60"/>
          <w:divBdr>
            <w:top w:val="none" w:sz="0" w:space="0" w:color="auto"/>
            <w:left w:val="none" w:sz="0" w:space="0" w:color="auto"/>
            <w:bottom w:val="none" w:sz="0" w:space="0" w:color="auto"/>
            <w:right w:val="none" w:sz="0" w:space="0" w:color="auto"/>
          </w:divBdr>
        </w:div>
        <w:div w:id="682249411">
          <w:marLeft w:val="360"/>
          <w:marRight w:val="0"/>
          <w:marTop w:val="120"/>
          <w:marBottom w:val="60"/>
          <w:divBdr>
            <w:top w:val="none" w:sz="0" w:space="0" w:color="auto"/>
            <w:left w:val="none" w:sz="0" w:space="0" w:color="auto"/>
            <w:bottom w:val="none" w:sz="0" w:space="0" w:color="auto"/>
            <w:right w:val="none" w:sz="0" w:space="0" w:color="auto"/>
          </w:divBdr>
        </w:div>
        <w:div w:id="829521553">
          <w:marLeft w:val="360"/>
          <w:marRight w:val="0"/>
          <w:marTop w:val="120"/>
          <w:marBottom w:val="60"/>
          <w:divBdr>
            <w:top w:val="none" w:sz="0" w:space="0" w:color="auto"/>
            <w:left w:val="none" w:sz="0" w:space="0" w:color="auto"/>
            <w:bottom w:val="none" w:sz="0" w:space="0" w:color="auto"/>
            <w:right w:val="none" w:sz="0" w:space="0" w:color="auto"/>
          </w:divBdr>
        </w:div>
        <w:div w:id="919868271">
          <w:marLeft w:val="360"/>
          <w:marRight w:val="0"/>
          <w:marTop w:val="120"/>
          <w:marBottom w:val="60"/>
          <w:divBdr>
            <w:top w:val="none" w:sz="0" w:space="0" w:color="auto"/>
            <w:left w:val="none" w:sz="0" w:space="0" w:color="auto"/>
            <w:bottom w:val="none" w:sz="0" w:space="0" w:color="auto"/>
            <w:right w:val="none" w:sz="0" w:space="0" w:color="auto"/>
          </w:divBdr>
        </w:div>
        <w:div w:id="1004742795">
          <w:marLeft w:val="360"/>
          <w:marRight w:val="0"/>
          <w:marTop w:val="120"/>
          <w:marBottom w:val="60"/>
          <w:divBdr>
            <w:top w:val="none" w:sz="0" w:space="0" w:color="auto"/>
            <w:left w:val="none" w:sz="0" w:space="0" w:color="auto"/>
            <w:bottom w:val="none" w:sz="0" w:space="0" w:color="auto"/>
            <w:right w:val="none" w:sz="0" w:space="0" w:color="auto"/>
          </w:divBdr>
        </w:div>
        <w:div w:id="1590848480">
          <w:marLeft w:val="360"/>
          <w:marRight w:val="0"/>
          <w:marTop w:val="120"/>
          <w:marBottom w:val="60"/>
          <w:divBdr>
            <w:top w:val="none" w:sz="0" w:space="0" w:color="auto"/>
            <w:left w:val="none" w:sz="0" w:space="0" w:color="auto"/>
            <w:bottom w:val="none" w:sz="0" w:space="0" w:color="auto"/>
            <w:right w:val="none" w:sz="0" w:space="0" w:color="auto"/>
          </w:divBdr>
        </w:div>
        <w:div w:id="2021735823">
          <w:marLeft w:val="360"/>
          <w:marRight w:val="0"/>
          <w:marTop w:val="120"/>
          <w:marBottom w:val="60"/>
          <w:divBdr>
            <w:top w:val="none" w:sz="0" w:space="0" w:color="auto"/>
            <w:left w:val="none" w:sz="0" w:space="0" w:color="auto"/>
            <w:bottom w:val="none" w:sz="0" w:space="0" w:color="auto"/>
            <w:right w:val="none" w:sz="0" w:space="0" w:color="auto"/>
          </w:divBdr>
        </w:div>
      </w:divsChild>
    </w:div>
    <w:div w:id="699666862">
      <w:bodyDiv w:val="1"/>
      <w:marLeft w:val="0"/>
      <w:marRight w:val="0"/>
      <w:marTop w:val="0"/>
      <w:marBottom w:val="0"/>
      <w:divBdr>
        <w:top w:val="none" w:sz="0" w:space="0" w:color="auto"/>
        <w:left w:val="none" w:sz="0" w:space="0" w:color="auto"/>
        <w:bottom w:val="none" w:sz="0" w:space="0" w:color="auto"/>
        <w:right w:val="none" w:sz="0" w:space="0" w:color="auto"/>
      </w:divBdr>
      <w:divsChild>
        <w:div w:id="1146047587">
          <w:marLeft w:val="274"/>
          <w:marRight w:val="0"/>
          <w:marTop w:val="0"/>
          <w:marBottom w:val="0"/>
          <w:divBdr>
            <w:top w:val="none" w:sz="0" w:space="0" w:color="auto"/>
            <w:left w:val="none" w:sz="0" w:space="0" w:color="auto"/>
            <w:bottom w:val="none" w:sz="0" w:space="0" w:color="auto"/>
            <w:right w:val="none" w:sz="0" w:space="0" w:color="auto"/>
          </w:divBdr>
        </w:div>
        <w:div w:id="1414281995">
          <w:marLeft w:val="274"/>
          <w:marRight w:val="0"/>
          <w:marTop w:val="0"/>
          <w:marBottom w:val="0"/>
          <w:divBdr>
            <w:top w:val="none" w:sz="0" w:space="0" w:color="auto"/>
            <w:left w:val="none" w:sz="0" w:space="0" w:color="auto"/>
            <w:bottom w:val="none" w:sz="0" w:space="0" w:color="auto"/>
            <w:right w:val="none" w:sz="0" w:space="0" w:color="auto"/>
          </w:divBdr>
        </w:div>
        <w:div w:id="2026246290">
          <w:marLeft w:val="274"/>
          <w:marRight w:val="0"/>
          <w:marTop w:val="0"/>
          <w:marBottom w:val="0"/>
          <w:divBdr>
            <w:top w:val="none" w:sz="0" w:space="0" w:color="auto"/>
            <w:left w:val="none" w:sz="0" w:space="0" w:color="auto"/>
            <w:bottom w:val="none" w:sz="0" w:space="0" w:color="auto"/>
            <w:right w:val="none" w:sz="0" w:space="0" w:color="auto"/>
          </w:divBdr>
        </w:div>
        <w:div w:id="2092388464">
          <w:marLeft w:val="274"/>
          <w:marRight w:val="0"/>
          <w:marTop w:val="0"/>
          <w:marBottom w:val="0"/>
          <w:divBdr>
            <w:top w:val="none" w:sz="0" w:space="0" w:color="auto"/>
            <w:left w:val="none" w:sz="0" w:space="0" w:color="auto"/>
            <w:bottom w:val="none" w:sz="0" w:space="0" w:color="auto"/>
            <w:right w:val="none" w:sz="0" w:space="0" w:color="auto"/>
          </w:divBdr>
        </w:div>
      </w:divsChild>
    </w:div>
    <w:div w:id="722601090">
      <w:bodyDiv w:val="1"/>
      <w:marLeft w:val="0"/>
      <w:marRight w:val="0"/>
      <w:marTop w:val="0"/>
      <w:marBottom w:val="0"/>
      <w:divBdr>
        <w:top w:val="none" w:sz="0" w:space="0" w:color="auto"/>
        <w:left w:val="none" w:sz="0" w:space="0" w:color="auto"/>
        <w:bottom w:val="none" w:sz="0" w:space="0" w:color="auto"/>
        <w:right w:val="none" w:sz="0" w:space="0" w:color="auto"/>
      </w:divBdr>
    </w:div>
    <w:div w:id="758672351">
      <w:bodyDiv w:val="1"/>
      <w:marLeft w:val="0"/>
      <w:marRight w:val="0"/>
      <w:marTop w:val="0"/>
      <w:marBottom w:val="0"/>
      <w:divBdr>
        <w:top w:val="none" w:sz="0" w:space="0" w:color="auto"/>
        <w:left w:val="none" w:sz="0" w:space="0" w:color="auto"/>
        <w:bottom w:val="none" w:sz="0" w:space="0" w:color="auto"/>
        <w:right w:val="none" w:sz="0" w:space="0" w:color="auto"/>
      </w:divBdr>
      <w:divsChild>
        <w:div w:id="487938337">
          <w:marLeft w:val="274"/>
          <w:marRight w:val="0"/>
          <w:marTop w:val="0"/>
          <w:marBottom w:val="0"/>
          <w:divBdr>
            <w:top w:val="none" w:sz="0" w:space="0" w:color="auto"/>
            <w:left w:val="none" w:sz="0" w:space="0" w:color="auto"/>
            <w:bottom w:val="none" w:sz="0" w:space="0" w:color="auto"/>
            <w:right w:val="none" w:sz="0" w:space="0" w:color="auto"/>
          </w:divBdr>
        </w:div>
        <w:div w:id="811411874">
          <w:marLeft w:val="274"/>
          <w:marRight w:val="0"/>
          <w:marTop w:val="0"/>
          <w:marBottom w:val="0"/>
          <w:divBdr>
            <w:top w:val="none" w:sz="0" w:space="0" w:color="auto"/>
            <w:left w:val="none" w:sz="0" w:space="0" w:color="auto"/>
            <w:bottom w:val="none" w:sz="0" w:space="0" w:color="auto"/>
            <w:right w:val="none" w:sz="0" w:space="0" w:color="auto"/>
          </w:divBdr>
        </w:div>
        <w:div w:id="819663131">
          <w:marLeft w:val="274"/>
          <w:marRight w:val="0"/>
          <w:marTop w:val="0"/>
          <w:marBottom w:val="0"/>
          <w:divBdr>
            <w:top w:val="none" w:sz="0" w:space="0" w:color="auto"/>
            <w:left w:val="none" w:sz="0" w:space="0" w:color="auto"/>
            <w:bottom w:val="none" w:sz="0" w:space="0" w:color="auto"/>
            <w:right w:val="none" w:sz="0" w:space="0" w:color="auto"/>
          </w:divBdr>
        </w:div>
        <w:div w:id="826018596">
          <w:marLeft w:val="274"/>
          <w:marRight w:val="0"/>
          <w:marTop w:val="0"/>
          <w:marBottom w:val="0"/>
          <w:divBdr>
            <w:top w:val="none" w:sz="0" w:space="0" w:color="auto"/>
            <w:left w:val="none" w:sz="0" w:space="0" w:color="auto"/>
            <w:bottom w:val="none" w:sz="0" w:space="0" w:color="auto"/>
            <w:right w:val="none" w:sz="0" w:space="0" w:color="auto"/>
          </w:divBdr>
        </w:div>
        <w:div w:id="1121729994">
          <w:marLeft w:val="274"/>
          <w:marRight w:val="0"/>
          <w:marTop w:val="0"/>
          <w:marBottom w:val="0"/>
          <w:divBdr>
            <w:top w:val="none" w:sz="0" w:space="0" w:color="auto"/>
            <w:left w:val="none" w:sz="0" w:space="0" w:color="auto"/>
            <w:bottom w:val="none" w:sz="0" w:space="0" w:color="auto"/>
            <w:right w:val="none" w:sz="0" w:space="0" w:color="auto"/>
          </w:divBdr>
        </w:div>
        <w:div w:id="1346323216">
          <w:marLeft w:val="274"/>
          <w:marRight w:val="0"/>
          <w:marTop w:val="0"/>
          <w:marBottom w:val="0"/>
          <w:divBdr>
            <w:top w:val="none" w:sz="0" w:space="0" w:color="auto"/>
            <w:left w:val="none" w:sz="0" w:space="0" w:color="auto"/>
            <w:bottom w:val="none" w:sz="0" w:space="0" w:color="auto"/>
            <w:right w:val="none" w:sz="0" w:space="0" w:color="auto"/>
          </w:divBdr>
        </w:div>
        <w:div w:id="1815102169">
          <w:marLeft w:val="274"/>
          <w:marRight w:val="0"/>
          <w:marTop w:val="0"/>
          <w:marBottom w:val="0"/>
          <w:divBdr>
            <w:top w:val="none" w:sz="0" w:space="0" w:color="auto"/>
            <w:left w:val="none" w:sz="0" w:space="0" w:color="auto"/>
            <w:bottom w:val="none" w:sz="0" w:space="0" w:color="auto"/>
            <w:right w:val="none" w:sz="0" w:space="0" w:color="auto"/>
          </w:divBdr>
        </w:div>
      </w:divsChild>
    </w:div>
    <w:div w:id="776952347">
      <w:bodyDiv w:val="1"/>
      <w:marLeft w:val="0"/>
      <w:marRight w:val="0"/>
      <w:marTop w:val="0"/>
      <w:marBottom w:val="0"/>
      <w:divBdr>
        <w:top w:val="none" w:sz="0" w:space="0" w:color="auto"/>
        <w:left w:val="none" w:sz="0" w:space="0" w:color="auto"/>
        <w:bottom w:val="none" w:sz="0" w:space="0" w:color="auto"/>
        <w:right w:val="none" w:sz="0" w:space="0" w:color="auto"/>
      </w:divBdr>
    </w:div>
    <w:div w:id="780035318">
      <w:bodyDiv w:val="1"/>
      <w:marLeft w:val="0"/>
      <w:marRight w:val="0"/>
      <w:marTop w:val="0"/>
      <w:marBottom w:val="0"/>
      <w:divBdr>
        <w:top w:val="none" w:sz="0" w:space="0" w:color="auto"/>
        <w:left w:val="none" w:sz="0" w:space="0" w:color="auto"/>
        <w:bottom w:val="none" w:sz="0" w:space="0" w:color="auto"/>
        <w:right w:val="none" w:sz="0" w:space="0" w:color="auto"/>
      </w:divBdr>
    </w:div>
    <w:div w:id="780488600">
      <w:bodyDiv w:val="1"/>
      <w:marLeft w:val="0"/>
      <w:marRight w:val="0"/>
      <w:marTop w:val="0"/>
      <w:marBottom w:val="0"/>
      <w:divBdr>
        <w:top w:val="none" w:sz="0" w:space="0" w:color="auto"/>
        <w:left w:val="none" w:sz="0" w:space="0" w:color="auto"/>
        <w:bottom w:val="none" w:sz="0" w:space="0" w:color="auto"/>
        <w:right w:val="none" w:sz="0" w:space="0" w:color="auto"/>
      </w:divBdr>
    </w:div>
    <w:div w:id="793988076">
      <w:bodyDiv w:val="1"/>
      <w:marLeft w:val="0"/>
      <w:marRight w:val="0"/>
      <w:marTop w:val="0"/>
      <w:marBottom w:val="0"/>
      <w:divBdr>
        <w:top w:val="none" w:sz="0" w:space="0" w:color="auto"/>
        <w:left w:val="none" w:sz="0" w:space="0" w:color="auto"/>
        <w:bottom w:val="none" w:sz="0" w:space="0" w:color="auto"/>
        <w:right w:val="none" w:sz="0" w:space="0" w:color="auto"/>
      </w:divBdr>
    </w:div>
    <w:div w:id="794911281">
      <w:bodyDiv w:val="1"/>
      <w:marLeft w:val="0"/>
      <w:marRight w:val="0"/>
      <w:marTop w:val="0"/>
      <w:marBottom w:val="0"/>
      <w:divBdr>
        <w:top w:val="none" w:sz="0" w:space="0" w:color="auto"/>
        <w:left w:val="none" w:sz="0" w:space="0" w:color="auto"/>
        <w:bottom w:val="none" w:sz="0" w:space="0" w:color="auto"/>
        <w:right w:val="none" w:sz="0" w:space="0" w:color="auto"/>
      </w:divBdr>
    </w:div>
    <w:div w:id="799421359">
      <w:bodyDiv w:val="1"/>
      <w:marLeft w:val="0"/>
      <w:marRight w:val="0"/>
      <w:marTop w:val="0"/>
      <w:marBottom w:val="0"/>
      <w:divBdr>
        <w:top w:val="none" w:sz="0" w:space="0" w:color="auto"/>
        <w:left w:val="none" w:sz="0" w:space="0" w:color="auto"/>
        <w:bottom w:val="none" w:sz="0" w:space="0" w:color="auto"/>
        <w:right w:val="none" w:sz="0" w:space="0" w:color="auto"/>
      </w:divBdr>
    </w:div>
    <w:div w:id="826554849">
      <w:bodyDiv w:val="1"/>
      <w:marLeft w:val="0"/>
      <w:marRight w:val="0"/>
      <w:marTop w:val="0"/>
      <w:marBottom w:val="0"/>
      <w:divBdr>
        <w:top w:val="none" w:sz="0" w:space="0" w:color="auto"/>
        <w:left w:val="none" w:sz="0" w:space="0" w:color="auto"/>
        <w:bottom w:val="none" w:sz="0" w:space="0" w:color="auto"/>
        <w:right w:val="none" w:sz="0" w:space="0" w:color="auto"/>
      </w:divBdr>
    </w:div>
    <w:div w:id="861017302">
      <w:bodyDiv w:val="1"/>
      <w:marLeft w:val="0"/>
      <w:marRight w:val="0"/>
      <w:marTop w:val="0"/>
      <w:marBottom w:val="0"/>
      <w:divBdr>
        <w:top w:val="none" w:sz="0" w:space="0" w:color="auto"/>
        <w:left w:val="none" w:sz="0" w:space="0" w:color="auto"/>
        <w:bottom w:val="none" w:sz="0" w:space="0" w:color="auto"/>
        <w:right w:val="none" w:sz="0" w:space="0" w:color="auto"/>
      </w:divBdr>
      <w:divsChild>
        <w:div w:id="213006455">
          <w:marLeft w:val="446"/>
          <w:marRight w:val="0"/>
          <w:marTop w:val="0"/>
          <w:marBottom w:val="0"/>
          <w:divBdr>
            <w:top w:val="none" w:sz="0" w:space="0" w:color="auto"/>
            <w:left w:val="none" w:sz="0" w:space="0" w:color="auto"/>
            <w:bottom w:val="none" w:sz="0" w:space="0" w:color="auto"/>
            <w:right w:val="none" w:sz="0" w:space="0" w:color="auto"/>
          </w:divBdr>
        </w:div>
      </w:divsChild>
    </w:div>
    <w:div w:id="869293795">
      <w:bodyDiv w:val="1"/>
      <w:marLeft w:val="0"/>
      <w:marRight w:val="0"/>
      <w:marTop w:val="0"/>
      <w:marBottom w:val="0"/>
      <w:divBdr>
        <w:top w:val="none" w:sz="0" w:space="0" w:color="auto"/>
        <w:left w:val="none" w:sz="0" w:space="0" w:color="auto"/>
        <w:bottom w:val="none" w:sz="0" w:space="0" w:color="auto"/>
        <w:right w:val="none" w:sz="0" w:space="0" w:color="auto"/>
      </w:divBdr>
    </w:div>
    <w:div w:id="894509754">
      <w:bodyDiv w:val="1"/>
      <w:marLeft w:val="0"/>
      <w:marRight w:val="0"/>
      <w:marTop w:val="0"/>
      <w:marBottom w:val="0"/>
      <w:divBdr>
        <w:top w:val="none" w:sz="0" w:space="0" w:color="auto"/>
        <w:left w:val="none" w:sz="0" w:space="0" w:color="auto"/>
        <w:bottom w:val="none" w:sz="0" w:space="0" w:color="auto"/>
        <w:right w:val="none" w:sz="0" w:space="0" w:color="auto"/>
      </w:divBdr>
    </w:div>
    <w:div w:id="934174640">
      <w:bodyDiv w:val="1"/>
      <w:marLeft w:val="0"/>
      <w:marRight w:val="0"/>
      <w:marTop w:val="0"/>
      <w:marBottom w:val="0"/>
      <w:divBdr>
        <w:top w:val="none" w:sz="0" w:space="0" w:color="auto"/>
        <w:left w:val="none" w:sz="0" w:space="0" w:color="auto"/>
        <w:bottom w:val="none" w:sz="0" w:space="0" w:color="auto"/>
        <w:right w:val="none" w:sz="0" w:space="0" w:color="auto"/>
      </w:divBdr>
    </w:div>
    <w:div w:id="968435854">
      <w:bodyDiv w:val="1"/>
      <w:marLeft w:val="0"/>
      <w:marRight w:val="0"/>
      <w:marTop w:val="0"/>
      <w:marBottom w:val="0"/>
      <w:divBdr>
        <w:top w:val="none" w:sz="0" w:space="0" w:color="auto"/>
        <w:left w:val="none" w:sz="0" w:space="0" w:color="auto"/>
        <w:bottom w:val="none" w:sz="0" w:space="0" w:color="auto"/>
        <w:right w:val="none" w:sz="0" w:space="0" w:color="auto"/>
      </w:divBdr>
      <w:divsChild>
        <w:div w:id="2062552687">
          <w:marLeft w:val="446"/>
          <w:marRight w:val="0"/>
          <w:marTop w:val="0"/>
          <w:marBottom w:val="0"/>
          <w:divBdr>
            <w:top w:val="none" w:sz="0" w:space="0" w:color="auto"/>
            <w:left w:val="none" w:sz="0" w:space="0" w:color="auto"/>
            <w:bottom w:val="none" w:sz="0" w:space="0" w:color="auto"/>
            <w:right w:val="none" w:sz="0" w:space="0" w:color="auto"/>
          </w:divBdr>
        </w:div>
      </w:divsChild>
    </w:div>
    <w:div w:id="978343121">
      <w:bodyDiv w:val="1"/>
      <w:marLeft w:val="0"/>
      <w:marRight w:val="0"/>
      <w:marTop w:val="0"/>
      <w:marBottom w:val="0"/>
      <w:divBdr>
        <w:top w:val="none" w:sz="0" w:space="0" w:color="auto"/>
        <w:left w:val="none" w:sz="0" w:space="0" w:color="auto"/>
        <w:bottom w:val="none" w:sz="0" w:space="0" w:color="auto"/>
        <w:right w:val="none" w:sz="0" w:space="0" w:color="auto"/>
      </w:divBdr>
      <w:divsChild>
        <w:div w:id="140315075">
          <w:marLeft w:val="274"/>
          <w:marRight w:val="0"/>
          <w:marTop w:val="0"/>
          <w:marBottom w:val="0"/>
          <w:divBdr>
            <w:top w:val="none" w:sz="0" w:space="0" w:color="auto"/>
            <w:left w:val="none" w:sz="0" w:space="0" w:color="auto"/>
            <w:bottom w:val="none" w:sz="0" w:space="0" w:color="auto"/>
            <w:right w:val="none" w:sz="0" w:space="0" w:color="auto"/>
          </w:divBdr>
        </w:div>
        <w:div w:id="721249699">
          <w:marLeft w:val="274"/>
          <w:marRight w:val="0"/>
          <w:marTop w:val="0"/>
          <w:marBottom w:val="0"/>
          <w:divBdr>
            <w:top w:val="none" w:sz="0" w:space="0" w:color="auto"/>
            <w:left w:val="none" w:sz="0" w:space="0" w:color="auto"/>
            <w:bottom w:val="none" w:sz="0" w:space="0" w:color="auto"/>
            <w:right w:val="none" w:sz="0" w:space="0" w:color="auto"/>
          </w:divBdr>
        </w:div>
        <w:div w:id="1735003996">
          <w:marLeft w:val="274"/>
          <w:marRight w:val="0"/>
          <w:marTop w:val="0"/>
          <w:marBottom w:val="0"/>
          <w:divBdr>
            <w:top w:val="none" w:sz="0" w:space="0" w:color="auto"/>
            <w:left w:val="none" w:sz="0" w:space="0" w:color="auto"/>
            <w:bottom w:val="none" w:sz="0" w:space="0" w:color="auto"/>
            <w:right w:val="none" w:sz="0" w:space="0" w:color="auto"/>
          </w:divBdr>
        </w:div>
      </w:divsChild>
    </w:div>
    <w:div w:id="1000155718">
      <w:bodyDiv w:val="1"/>
      <w:marLeft w:val="0"/>
      <w:marRight w:val="0"/>
      <w:marTop w:val="0"/>
      <w:marBottom w:val="0"/>
      <w:divBdr>
        <w:top w:val="none" w:sz="0" w:space="0" w:color="auto"/>
        <w:left w:val="none" w:sz="0" w:space="0" w:color="auto"/>
        <w:bottom w:val="none" w:sz="0" w:space="0" w:color="auto"/>
        <w:right w:val="none" w:sz="0" w:space="0" w:color="auto"/>
      </w:divBdr>
    </w:div>
    <w:div w:id="1013722794">
      <w:bodyDiv w:val="1"/>
      <w:marLeft w:val="0"/>
      <w:marRight w:val="0"/>
      <w:marTop w:val="0"/>
      <w:marBottom w:val="0"/>
      <w:divBdr>
        <w:top w:val="none" w:sz="0" w:space="0" w:color="auto"/>
        <w:left w:val="none" w:sz="0" w:space="0" w:color="auto"/>
        <w:bottom w:val="none" w:sz="0" w:space="0" w:color="auto"/>
        <w:right w:val="none" w:sz="0" w:space="0" w:color="auto"/>
      </w:divBdr>
    </w:div>
    <w:div w:id="1014460655">
      <w:bodyDiv w:val="1"/>
      <w:marLeft w:val="0"/>
      <w:marRight w:val="0"/>
      <w:marTop w:val="0"/>
      <w:marBottom w:val="0"/>
      <w:divBdr>
        <w:top w:val="none" w:sz="0" w:space="0" w:color="auto"/>
        <w:left w:val="none" w:sz="0" w:space="0" w:color="auto"/>
        <w:bottom w:val="none" w:sz="0" w:space="0" w:color="auto"/>
        <w:right w:val="none" w:sz="0" w:space="0" w:color="auto"/>
      </w:divBdr>
    </w:div>
    <w:div w:id="1055935344">
      <w:bodyDiv w:val="1"/>
      <w:marLeft w:val="0"/>
      <w:marRight w:val="0"/>
      <w:marTop w:val="0"/>
      <w:marBottom w:val="0"/>
      <w:divBdr>
        <w:top w:val="none" w:sz="0" w:space="0" w:color="auto"/>
        <w:left w:val="none" w:sz="0" w:space="0" w:color="auto"/>
        <w:bottom w:val="none" w:sz="0" w:space="0" w:color="auto"/>
        <w:right w:val="none" w:sz="0" w:space="0" w:color="auto"/>
      </w:divBdr>
      <w:divsChild>
        <w:div w:id="299849713">
          <w:marLeft w:val="418"/>
          <w:marRight w:val="0"/>
          <w:marTop w:val="0"/>
          <w:marBottom w:val="60"/>
          <w:divBdr>
            <w:top w:val="none" w:sz="0" w:space="0" w:color="auto"/>
            <w:left w:val="none" w:sz="0" w:space="0" w:color="auto"/>
            <w:bottom w:val="none" w:sz="0" w:space="0" w:color="auto"/>
            <w:right w:val="none" w:sz="0" w:space="0" w:color="auto"/>
          </w:divBdr>
        </w:div>
        <w:div w:id="372850640">
          <w:marLeft w:val="418"/>
          <w:marRight w:val="0"/>
          <w:marTop w:val="0"/>
          <w:marBottom w:val="60"/>
          <w:divBdr>
            <w:top w:val="none" w:sz="0" w:space="0" w:color="auto"/>
            <w:left w:val="none" w:sz="0" w:space="0" w:color="auto"/>
            <w:bottom w:val="none" w:sz="0" w:space="0" w:color="auto"/>
            <w:right w:val="none" w:sz="0" w:space="0" w:color="auto"/>
          </w:divBdr>
        </w:div>
        <w:div w:id="437599974">
          <w:marLeft w:val="418"/>
          <w:marRight w:val="0"/>
          <w:marTop w:val="0"/>
          <w:marBottom w:val="60"/>
          <w:divBdr>
            <w:top w:val="none" w:sz="0" w:space="0" w:color="auto"/>
            <w:left w:val="none" w:sz="0" w:space="0" w:color="auto"/>
            <w:bottom w:val="none" w:sz="0" w:space="0" w:color="auto"/>
            <w:right w:val="none" w:sz="0" w:space="0" w:color="auto"/>
          </w:divBdr>
        </w:div>
        <w:div w:id="785738807">
          <w:marLeft w:val="418"/>
          <w:marRight w:val="0"/>
          <w:marTop w:val="0"/>
          <w:marBottom w:val="60"/>
          <w:divBdr>
            <w:top w:val="none" w:sz="0" w:space="0" w:color="auto"/>
            <w:left w:val="none" w:sz="0" w:space="0" w:color="auto"/>
            <w:bottom w:val="none" w:sz="0" w:space="0" w:color="auto"/>
            <w:right w:val="none" w:sz="0" w:space="0" w:color="auto"/>
          </w:divBdr>
        </w:div>
        <w:div w:id="1071973361">
          <w:marLeft w:val="418"/>
          <w:marRight w:val="0"/>
          <w:marTop w:val="0"/>
          <w:marBottom w:val="60"/>
          <w:divBdr>
            <w:top w:val="none" w:sz="0" w:space="0" w:color="auto"/>
            <w:left w:val="none" w:sz="0" w:space="0" w:color="auto"/>
            <w:bottom w:val="none" w:sz="0" w:space="0" w:color="auto"/>
            <w:right w:val="none" w:sz="0" w:space="0" w:color="auto"/>
          </w:divBdr>
        </w:div>
      </w:divsChild>
    </w:div>
    <w:div w:id="1060594192">
      <w:bodyDiv w:val="1"/>
      <w:marLeft w:val="0"/>
      <w:marRight w:val="0"/>
      <w:marTop w:val="0"/>
      <w:marBottom w:val="0"/>
      <w:divBdr>
        <w:top w:val="none" w:sz="0" w:space="0" w:color="auto"/>
        <w:left w:val="none" w:sz="0" w:space="0" w:color="auto"/>
        <w:bottom w:val="none" w:sz="0" w:space="0" w:color="auto"/>
        <w:right w:val="none" w:sz="0" w:space="0" w:color="auto"/>
      </w:divBdr>
    </w:div>
    <w:div w:id="1061946486">
      <w:bodyDiv w:val="1"/>
      <w:marLeft w:val="0"/>
      <w:marRight w:val="0"/>
      <w:marTop w:val="0"/>
      <w:marBottom w:val="0"/>
      <w:divBdr>
        <w:top w:val="none" w:sz="0" w:space="0" w:color="auto"/>
        <w:left w:val="none" w:sz="0" w:space="0" w:color="auto"/>
        <w:bottom w:val="none" w:sz="0" w:space="0" w:color="auto"/>
        <w:right w:val="none" w:sz="0" w:space="0" w:color="auto"/>
      </w:divBdr>
      <w:divsChild>
        <w:div w:id="180701544">
          <w:marLeft w:val="418"/>
          <w:marRight w:val="0"/>
          <w:marTop w:val="0"/>
          <w:marBottom w:val="60"/>
          <w:divBdr>
            <w:top w:val="none" w:sz="0" w:space="0" w:color="auto"/>
            <w:left w:val="none" w:sz="0" w:space="0" w:color="auto"/>
            <w:bottom w:val="none" w:sz="0" w:space="0" w:color="auto"/>
            <w:right w:val="none" w:sz="0" w:space="0" w:color="auto"/>
          </w:divBdr>
        </w:div>
        <w:div w:id="181016003">
          <w:marLeft w:val="418"/>
          <w:marRight w:val="0"/>
          <w:marTop w:val="0"/>
          <w:marBottom w:val="60"/>
          <w:divBdr>
            <w:top w:val="none" w:sz="0" w:space="0" w:color="auto"/>
            <w:left w:val="none" w:sz="0" w:space="0" w:color="auto"/>
            <w:bottom w:val="none" w:sz="0" w:space="0" w:color="auto"/>
            <w:right w:val="none" w:sz="0" w:space="0" w:color="auto"/>
          </w:divBdr>
        </w:div>
        <w:div w:id="306978916">
          <w:marLeft w:val="418"/>
          <w:marRight w:val="0"/>
          <w:marTop w:val="0"/>
          <w:marBottom w:val="60"/>
          <w:divBdr>
            <w:top w:val="none" w:sz="0" w:space="0" w:color="auto"/>
            <w:left w:val="none" w:sz="0" w:space="0" w:color="auto"/>
            <w:bottom w:val="none" w:sz="0" w:space="0" w:color="auto"/>
            <w:right w:val="none" w:sz="0" w:space="0" w:color="auto"/>
          </w:divBdr>
        </w:div>
        <w:div w:id="731462256">
          <w:marLeft w:val="418"/>
          <w:marRight w:val="0"/>
          <w:marTop w:val="0"/>
          <w:marBottom w:val="60"/>
          <w:divBdr>
            <w:top w:val="none" w:sz="0" w:space="0" w:color="auto"/>
            <w:left w:val="none" w:sz="0" w:space="0" w:color="auto"/>
            <w:bottom w:val="none" w:sz="0" w:space="0" w:color="auto"/>
            <w:right w:val="none" w:sz="0" w:space="0" w:color="auto"/>
          </w:divBdr>
        </w:div>
        <w:div w:id="784733514">
          <w:marLeft w:val="418"/>
          <w:marRight w:val="0"/>
          <w:marTop w:val="0"/>
          <w:marBottom w:val="60"/>
          <w:divBdr>
            <w:top w:val="none" w:sz="0" w:space="0" w:color="auto"/>
            <w:left w:val="none" w:sz="0" w:space="0" w:color="auto"/>
            <w:bottom w:val="none" w:sz="0" w:space="0" w:color="auto"/>
            <w:right w:val="none" w:sz="0" w:space="0" w:color="auto"/>
          </w:divBdr>
        </w:div>
        <w:div w:id="922253345">
          <w:marLeft w:val="418"/>
          <w:marRight w:val="0"/>
          <w:marTop w:val="0"/>
          <w:marBottom w:val="60"/>
          <w:divBdr>
            <w:top w:val="none" w:sz="0" w:space="0" w:color="auto"/>
            <w:left w:val="none" w:sz="0" w:space="0" w:color="auto"/>
            <w:bottom w:val="none" w:sz="0" w:space="0" w:color="auto"/>
            <w:right w:val="none" w:sz="0" w:space="0" w:color="auto"/>
          </w:divBdr>
        </w:div>
        <w:div w:id="1078213383">
          <w:marLeft w:val="418"/>
          <w:marRight w:val="0"/>
          <w:marTop w:val="0"/>
          <w:marBottom w:val="60"/>
          <w:divBdr>
            <w:top w:val="none" w:sz="0" w:space="0" w:color="auto"/>
            <w:left w:val="none" w:sz="0" w:space="0" w:color="auto"/>
            <w:bottom w:val="none" w:sz="0" w:space="0" w:color="auto"/>
            <w:right w:val="none" w:sz="0" w:space="0" w:color="auto"/>
          </w:divBdr>
        </w:div>
        <w:div w:id="1081635376">
          <w:marLeft w:val="418"/>
          <w:marRight w:val="0"/>
          <w:marTop w:val="0"/>
          <w:marBottom w:val="60"/>
          <w:divBdr>
            <w:top w:val="none" w:sz="0" w:space="0" w:color="auto"/>
            <w:left w:val="none" w:sz="0" w:space="0" w:color="auto"/>
            <w:bottom w:val="none" w:sz="0" w:space="0" w:color="auto"/>
            <w:right w:val="none" w:sz="0" w:space="0" w:color="auto"/>
          </w:divBdr>
        </w:div>
        <w:div w:id="1884560670">
          <w:marLeft w:val="418"/>
          <w:marRight w:val="0"/>
          <w:marTop w:val="0"/>
          <w:marBottom w:val="60"/>
          <w:divBdr>
            <w:top w:val="none" w:sz="0" w:space="0" w:color="auto"/>
            <w:left w:val="none" w:sz="0" w:space="0" w:color="auto"/>
            <w:bottom w:val="none" w:sz="0" w:space="0" w:color="auto"/>
            <w:right w:val="none" w:sz="0" w:space="0" w:color="auto"/>
          </w:divBdr>
        </w:div>
        <w:div w:id="1967927690">
          <w:marLeft w:val="418"/>
          <w:marRight w:val="0"/>
          <w:marTop w:val="0"/>
          <w:marBottom w:val="60"/>
          <w:divBdr>
            <w:top w:val="none" w:sz="0" w:space="0" w:color="auto"/>
            <w:left w:val="none" w:sz="0" w:space="0" w:color="auto"/>
            <w:bottom w:val="none" w:sz="0" w:space="0" w:color="auto"/>
            <w:right w:val="none" w:sz="0" w:space="0" w:color="auto"/>
          </w:divBdr>
        </w:div>
      </w:divsChild>
    </w:div>
    <w:div w:id="1071659039">
      <w:bodyDiv w:val="1"/>
      <w:marLeft w:val="0"/>
      <w:marRight w:val="0"/>
      <w:marTop w:val="0"/>
      <w:marBottom w:val="0"/>
      <w:divBdr>
        <w:top w:val="none" w:sz="0" w:space="0" w:color="auto"/>
        <w:left w:val="none" w:sz="0" w:space="0" w:color="auto"/>
        <w:bottom w:val="none" w:sz="0" w:space="0" w:color="auto"/>
        <w:right w:val="none" w:sz="0" w:space="0" w:color="auto"/>
      </w:divBdr>
      <w:divsChild>
        <w:div w:id="667833428">
          <w:marLeft w:val="446"/>
          <w:marRight w:val="0"/>
          <w:marTop w:val="0"/>
          <w:marBottom w:val="0"/>
          <w:divBdr>
            <w:top w:val="none" w:sz="0" w:space="0" w:color="auto"/>
            <w:left w:val="none" w:sz="0" w:space="0" w:color="auto"/>
            <w:bottom w:val="none" w:sz="0" w:space="0" w:color="auto"/>
            <w:right w:val="none" w:sz="0" w:space="0" w:color="auto"/>
          </w:divBdr>
        </w:div>
      </w:divsChild>
    </w:div>
    <w:div w:id="1073547453">
      <w:bodyDiv w:val="1"/>
      <w:marLeft w:val="0"/>
      <w:marRight w:val="0"/>
      <w:marTop w:val="0"/>
      <w:marBottom w:val="0"/>
      <w:divBdr>
        <w:top w:val="none" w:sz="0" w:space="0" w:color="auto"/>
        <w:left w:val="none" w:sz="0" w:space="0" w:color="auto"/>
        <w:bottom w:val="none" w:sz="0" w:space="0" w:color="auto"/>
        <w:right w:val="none" w:sz="0" w:space="0" w:color="auto"/>
      </w:divBdr>
    </w:div>
    <w:div w:id="1086923006">
      <w:bodyDiv w:val="1"/>
      <w:marLeft w:val="0"/>
      <w:marRight w:val="0"/>
      <w:marTop w:val="0"/>
      <w:marBottom w:val="0"/>
      <w:divBdr>
        <w:top w:val="none" w:sz="0" w:space="0" w:color="auto"/>
        <w:left w:val="none" w:sz="0" w:space="0" w:color="auto"/>
        <w:bottom w:val="none" w:sz="0" w:space="0" w:color="auto"/>
        <w:right w:val="none" w:sz="0" w:space="0" w:color="auto"/>
      </w:divBdr>
    </w:div>
    <w:div w:id="1091395322">
      <w:bodyDiv w:val="1"/>
      <w:marLeft w:val="0"/>
      <w:marRight w:val="0"/>
      <w:marTop w:val="0"/>
      <w:marBottom w:val="0"/>
      <w:divBdr>
        <w:top w:val="none" w:sz="0" w:space="0" w:color="auto"/>
        <w:left w:val="none" w:sz="0" w:space="0" w:color="auto"/>
        <w:bottom w:val="none" w:sz="0" w:space="0" w:color="auto"/>
        <w:right w:val="none" w:sz="0" w:space="0" w:color="auto"/>
      </w:divBdr>
    </w:div>
    <w:div w:id="1125347462">
      <w:bodyDiv w:val="1"/>
      <w:marLeft w:val="0"/>
      <w:marRight w:val="0"/>
      <w:marTop w:val="0"/>
      <w:marBottom w:val="0"/>
      <w:divBdr>
        <w:top w:val="none" w:sz="0" w:space="0" w:color="auto"/>
        <w:left w:val="none" w:sz="0" w:space="0" w:color="auto"/>
        <w:bottom w:val="none" w:sz="0" w:space="0" w:color="auto"/>
        <w:right w:val="none" w:sz="0" w:space="0" w:color="auto"/>
      </w:divBdr>
    </w:div>
    <w:div w:id="1137454083">
      <w:bodyDiv w:val="1"/>
      <w:marLeft w:val="0"/>
      <w:marRight w:val="0"/>
      <w:marTop w:val="0"/>
      <w:marBottom w:val="0"/>
      <w:divBdr>
        <w:top w:val="none" w:sz="0" w:space="0" w:color="auto"/>
        <w:left w:val="none" w:sz="0" w:space="0" w:color="auto"/>
        <w:bottom w:val="none" w:sz="0" w:space="0" w:color="auto"/>
        <w:right w:val="none" w:sz="0" w:space="0" w:color="auto"/>
      </w:divBdr>
    </w:div>
    <w:div w:id="1186796253">
      <w:bodyDiv w:val="1"/>
      <w:marLeft w:val="0"/>
      <w:marRight w:val="0"/>
      <w:marTop w:val="0"/>
      <w:marBottom w:val="0"/>
      <w:divBdr>
        <w:top w:val="none" w:sz="0" w:space="0" w:color="auto"/>
        <w:left w:val="none" w:sz="0" w:space="0" w:color="auto"/>
        <w:bottom w:val="none" w:sz="0" w:space="0" w:color="auto"/>
        <w:right w:val="none" w:sz="0" w:space="0" w:color="auto"/>
      </w:divBdr>
      <w:divsChild>
        <w:div w:id="221991366">
          <w:marLeft w:val="446"/>
          <w:marRight w:val="0"/>
          <w:marTop w:val="0"/>
          <w:marBottom w:val="0"/>
          <w:divBdr>
            <w:top w:val="none" w:sz="0" w:space="0" w:color="auto"/>
            <w:left w:val="none" w:sz="0" w:space="0" w:color="auto"/>
            <w:bottom w:val="none" w:sz="0" w:space="0" w:color="auto"/>
            <w:right w:val="none" w:sz="0" w:space="0" w:color="auto"/>
          </w:divBdr>
        </w:div>
      </w:divsChild>
    </w:div>
    <w:div w:id="1192111813">
      <w:bodyDiv w:val="1"/>
      <w:marLeft w:val="0"/>
      <w:marRight w:val="0"/>
      <w:marTop w:val="0"/>
      <w:marBottom w:val="0"/>
      <w:divBdr>
        <w:top w:val="none" w:sz="0" w:space="0" w:color="auto"/>
        <w:left w:val="none" w:sz="0" w:space="0" w:color="auto"/>
        <w:bottom w:val="none" w:sz="0" w:space="0" w:color="auto"/>
        <w:right w:val="none" w:sz="0" w:space="0" w:color="auto"/>
      </w:divBdr>
    </w:div>
    <w:div w:id="1193961458">
      <w:bodyDiv w:val="1"/>
      <w:marLeft w:val="0"/>
      <w:marRight w:val="0"/>
      <w:marTop w:val="0"/>
      <w:marBottom w:val="0"/>
      <w:divBdr>
        <w:top w:val="none" w:sz="0" w:space="0" w:color="auto"/>
        <w:left w:val="none" w:sz="0" w:space="0" w:color="auto"/>
        <w:bottom w:val="none" w:sz="0" w:space="0" w:color="auto"/>
        <w:right w:val="none" w:sz="0" w:space="0" w:color="auto"/>
      </w:divBdr>
    </w:div>
    <w:div w:id="1196775014">
      <w:bodyDiv w:val="1"/>
      <w:marLeft w:val="0"/>
      <w:marRight w:val="0"/>
      <w:marTop w:val="0"/>
      <w:marBottom w:val="0"/>
      <w:divBdr>
        <w:top w:val="none" w:sz="0" w:space="0" w:color="auto"/>
        <w:left w:val="none" w:sz="0" w:space="0" w:color="auto"/>
        <w:bottom w:val="none" w:sz="0" w:space="0" w:color="auto"/>
        <w:right w:val="none" w:sz="0" w:space="0" w:color="auto"/>
      </w:divBdr>
    </w:div>
    <w:div w:id="1202980995">
      <w:bodyDiv w:val="1"/>
      <w:marLeft w:val="0"/>
      <w:marRight w:val="0"/>
      <w:marTop w:val="0"/>
      <w:marBottom w:val="0"/>
      <w:divBdr>
        <w:top w:val="none" w:sz="0" w:space="0" w:color="auto"/>
        <w:left w:val="none" w:sz="0" w:space="0" w:color="auto"/>
        <w:bottom w:val="none" w:sz="0" w:space="0" w:color="auto"/>
        <w:right w:val="none" w:sz="0" w:space="0" w:color="auto"/>
      </w:divBdr>
    </w:div>
    <w:div w:id="1226792752">
      <w:bodyDiv w:val="1"/>
      <w:marLeft w:val="0"/>
      <w:marRight w:val="0"/>
      <w:marTop w:val="0"/>
      <w:marBottom w:val="0"/>
      <w:divBdr>
        <w:top w:val="none" w:sz="0" w:space="0" w:color="auto"/>
        <w:left w:val="none" w:sz="0" w:space="0" w:color="auto"/>
        <w:bottom w:val="none" w:sz="0" w:space="0" w:color="auto"/>
        <w:right w:val="none" w:sz="0" w:space="0" w:color="auto"/>
      </w:divBdr>
    </w:div>
    <w:div w:id="1252929405">
      <w:bodyDiv w:val="1"/>
      <w:marLeft w:val="0"/>
      <w:marRight w:val="0"/>
      <w:marTop w:val="0"/>
      <w:marBottom w:val="0"/>
      <w:divBdr>
        <w:top w:val="none" w:sz="0" w:space="0" w:color="auto"/>
        <w:left w:val="none" w:sz="0" w:space="0" w:color="auto"/>
        <w:bottom w:val="none" w:sz="0" w:space="0" w:color="auto"/>
        <w:right w:val="none" w:sz="0" w:space="0" w:color="auto"/>
      </w:divBdr>
    </w:div>
    <w:div w:id="1261837322">
      <w:bodyDiv w:val="1"/>
      <w:marLeft w:val="0"/>
      <w:marRight w:val="0"/>
      <w:marTop w:val="0"/>
      <w:marBottom w:val="0"/>
      <w:divBdr>
        <w:top w:val="none" w:sz="0" w:space="0" w:color="auto"/>
        <w:left w:val="none" w:sz="0" w:space="0" w:color="auto"/>
        <w:bottom w:val="none" w:sz="0" w:space="0" w:color="auto"/>
        <w:right w:val="none" w:sz="0" w:space="0" w:color="auto"/>
      </w:divBdr>
      <w:divsChild>
        <w:div w:id="725564505">
          <w:marLeft w:val="274"/>
          <w:marRight w:val="0"/>
          <w:marTop w:val="0"/>
          <w:marBottom w:val="0"/>
          <w:divBdr>
            <w:top w:val="none" w:sz="0" w:space="0" w:color="auto"/>
            <w:left w:val="none" w:sz="0" w:space="0" w:color="auto"/>
            <w:bottom w:val="none" w:sz="0" w:space="0" w:color="auto"/>
            <w:right w:val="none" w:sz="0" w:space="0" w:color="auto"/>
          </w:divBdr>
        </w:div>
        <w:div w:id="2045251574">
          <w:marLeft w:val="274"/>
          <w:marRight w:val="0"/>
          <w:marTop w:val="0"/>
          <w:marBottom w:val="0"/>
          <w:divBdr>
            <w:top w:val="none" w:sz="0" w:space="0" w:color="auto"/>
            <w:left w:val="none" w:sz="0" w:space="0" w:color="auto"/>
            <w:bottom w:val="none" w:sz="0" w:space="0" w:color="auto"/>
            <w:right w:val="none" w:sz="0" w:space="0" w:color="auto"/>
          </w:divBdr>
        </w:div>
      </w:divsChild>
    </w:div>
    <w:div w:id="1271201867">
      <w:bodyDiv w:val="1"/>
      <w:marLeft w:val="0"/>
      <w:marRight w:val="0"/>
      <w:marTop w:val="0"/>
      <w:marBottom w:val="0"/>
      <w:divBdr>
        <w:top w:val="none" w:sz="0" w:space="0" w:color="auto"/>
        <w:left w:val="none" w:sz="0" w:space="0" w:color="auto"/>
        <w:bottom w:val="none" w:sz="0" w:space="0" w:color="auto"/>
        <w:right w:val="none" w:sz="0" w:space="0" w:color="auto"/>
      </w:divBdr>
    </w:div>
    <w:div w:id="1300762390">
      <w:bodyDiv w:val="1"/>
      <w:marLeft w:val="0"/>
      <w:marRight w:val="0"/>
      <w:marTop w:val="0"/>
      <w:marBottom w:val="0"/>
      <w:divBdr>
        <w:top w:val="none" w:sz="0" w:space="0" w:color="auto"/>
        <w:left w:val="none" w:sz="0" w:space="0" w:color="auto"/>
        <w:bottom w:val="none" w:sz="0" w:space="0" w:color="auto"/>
        <w:right w:val="none" w:sz="0" w:space="0" w:color="auto"/>
      </w:divBdr>
    </w:div>
    <w:div w:id="1301038386">
      <w:bodyDiv w:val="1"/>
      <w:marLeft w:val="0"/>
      <w:marRight w:val="0"/>
      <w:marTop w:val="0"/>
      <w:marBottom w:val="0"/>
      <w:divBdr>
        <w:top w:val="none" w:sz="0" w:space="0" w:color="auto"/>
        <w:left w:val="none" w:sz="0" w:space="0" w:color="auto"/>
        <w:bottom w:val="none" w:sz="0" w:space="0" w:color="auto"/>
        <w:right w:val="none" w:sz="0" w:space="0" w:color="auto"/>
      </w:divBdr>
      <w:divsChild>
        <w:div w:id="1910579514">
          <w:marLeft w:val="547"/>
          <w:marRight w:val="0"/>
          <w:marTop w:val="0"/>
          <w:marBottom w:val="0"/>
          <w:divBdr>
            <w:top w:val="none" w:sz="0" w:space="0" w:color="auto"/>
            <w:left w:val="none" w:sz="0" w:space="0" w:color="auto"/>
            <w:bottom w:val="none" w:sz="0" w:space="0" w:color="auto"/>
            <w:right w:val="none" w:sz="0" w:space="0" w:color="auto"/>
          </w:divBdr>
        </w:div>
      </w:divsChild>
    </w:div>
    <w:div w:id="1308701845">
      <w:bodyDiv w:val="1"/>
      <w:marLeft w:val="0"/>
      <w:marRight w:val="0"/>
      <w:marTop w:val="0"/>
      <w:marBottom w:val="0"/>
      <w:divBdr>
        <w:top w:val="none" w:sz="0" w:space="0" w:color="auto"/>
        <w:left w:val="none" w:sz="0" w:space="0" w:color="auto"/>
        <w:bottom w:val="none" w:sz="0" w:space="0" w:color="auto"/>
        <w:right w:val="none" w:sz="0" w:space="0" w:color="auto"/>
      </w:divBdr>
    </w:div>
    <w:div w:id="1356034026">
      <w:bodyDiv w:val="1"/>
      <w:marLeft w:val="0"/>
      <w:marRight w:val="0"/>
      <w:marTop w:val="0"/>
      <w:marBottom w:val="0"/>
      <w:divBdr>
        <w:top w:val="none" w:sz="0" w:space="0" w:color="auto"/>
        <w:left w:val="none" w:sz="0" w:space="0" w:color="auto"/>
        <w:bottom w:val="none" w:sz="0" w:space="0" w:color="auto"/>
        <w:right w:val="none" w:sz="0" w:space="0" w:color="auto"/>
      </w:divBdr>
      <w:divsChild>
        <w:div w:id="65226725">
          <w:marLeft w:val="274"/>
          <w:marRight w:val="0"/>
          <w:marTop w:val="0"/>
          <w:marBottom w:val="0"/>
          <w:divBdr>
            <w:top w:val="none" w:sz="0" w:space="0" w:color="auto"/>
            <w:left w:val="none" w:sz="0" w:space="0" w:color="auto"/>
            <w:bottom w:val="none" w:sz="0" w:space="0" w:color="auto"/>
            <w:right w:val="none" w:sz="0" w:space="0" w:color="auto"/>
          </w:divBdr>
        </w:div>
        <w:div w:id="349836100">
          <w:marLeft w:val="274"/>
          <w:marRight w:val="0"/>
          <w:marTop w:val="0"/>
          <w:marBottom w:val="0"/>
          <w:divBdr>
            <w:top w:val="none" w:sz="0" w:space="0" w:color="auto"/>
            <w:left w:val="none" w:sz="0" w:space="0" w:color="auto"/>
            <w:bottom w:val="none" w:sz="0" w:space="0" w:color="auto"/>
            <w:right w:val="none" w:sz="0" w:space="0" w:color="auto"/>
          </w:divBdr>
        </w:div>
        <w:div w:id="547571470">
          <w:marLeft w:val="274"/>
          <w:marRight w:val="0"/>
          <w:marTop w:val="0"/>
          <w:marBottom w:val="0"/>
          <w:divBdr>
            <w:top w:val="none" w:sz="0" w:space="0" w:color="auto"/>
            <w:left w:val="none" w:sz="0" w:space="0" w:color="auto"/>
            <w:bottom w:val="none" w:sz="0" w:space="0" w:color="auto"/>
            <w:right w:val="none" w:sz="0" w:space="0" w:color="auto"/>
          </w:divBdr>
        </w:div>
        <w:div w:id="1231966122">
          <w:marLeft w:val="274"/>
          <w:marRight w:val="0"/>
          <w:marTop w:val="0"/>
          <w:marBottom w:val="0"/>
          <w:divBdr>
            <w:top w:val="none" w:sz="0" w:space="0" w:color="auto"/>
            <w:left w:val="none" w:sz="0" w:space="0" w:color="auto"/>
            <w:bottom w:val="none" w:sz="0" w:space="0" w:color="auto"/>
            <w:right w:val="none" w:sz="0" w:space="0" w:color="auto"/>
          </w:divBdr>
        </w:div>
        <w:div w:id="1532109535">
          <w:marLeft w:val="274"/>
          <w:marRight w:val="0"/>
          <w:marTop w:val="0"/>
          <w:marBottom w:val="0"/>
          <w:divBdr>
            <w:top w:val="none" w:sz="0" w:space="0" w:color="auto"/>
            <w:left w:val="none" w:sz="0" w:space="0" w:color="auto"/>
            <w:bottom w:val="none" w:sz="0" w:space="0" w:color="auto"/>
            <w:right w:val="none" w:sz="0" w:space="0" w:color="auto"/>
          </w:divBdr>
        </w:div>
        <w:div w:id="1773821461">
          <w:marLeft w:val="274"/>
          <w:marRight w:val="0"/>
          <w:marTop w:val="0"/>
          <w:marBottom w:val="0"/>
          <w:divBdr>
            <w:top w:val="none" w:sz="0" w:space="0" w:color="auto"/>
            <w:left w:val="none" w:sz="0" w:space="0" w:color="auto"/>
            <w:bottom w:val="none" w:sz="0" w:space="0" w:color="auto"/>
            <w:right w:val="none" w:sz="0" w:space="0" w:color="auto"/>
          </w:divBdr>
        </w:div>
        <w:div w:id="2084183610">
          <w:marLeft w:val="274"/>
          <w:marRight w:val="0"/>
          <w:marTop w:val="0"/>
          <w:marBottom w:val="0"/>
          <w:divBdr>
            <w:top w:val="none" w:sz="0" w:space="0" w:color="auto"/>
            <w:left w:val="none" w:sz="0" w:space="0" w:color="auto"/>
            <w:bottom w:val="none" w:sz="0" w:space="0" w:color="auto"/>
            <w:right w:val="none" w:sz="0" w:space="0" w:color="auto"/>
          </w:divBdr>
        </w:div>
      </w:divsChild>
    </w:div>
    <w:div w:id="1356538458">
      <w:bodyDiv w:val="1"/>
      <w:marLeft w:val="0"/>
      <w:marRight w:val="0"/>
      <w:marTop w:val="0"/>
      <w:marBottom w:val="0"/>
      <w:divBdr>
        <w:top w:val="none" w:sz="0" w:space="0" w:color="auto"/>
        <w:left w:val="none" w:sz="0" w:space="0" w:color="auto"/>
        <w:bottom w:val="none" w:sz="0" w:space="0" w:color="auto"/>
        <w:right w:val="none" w:sz="0" w:space="0" w:color="auto"/>
      </w:divBdr>
      <w:divsChild>
        <w:div w:id="109934183">
          <w:marLeft w:val="418"/>
          <w:marRight w:val="0"/>
          <w:marTop w:val="0"/>
          <w:marBottom w:val="60"/>
          <w:divBdr>
            <w:top w:val="none" w:sz="0" w:space="0" w:color="auto"/>
            <w:left w:val="none" w:sz="0" w:space="0" w:color="auto"/>
            <w:bottom w:val="none" w:sz="0" w:space="0" w:color="auto"/>
            <w:right w:val="none" w:sz="0" w:space="0" w:color="auto"/>
          </w:divBdr>
        </w:div>
        <w:div w:id="788937932">
          <w:marLeft w:val="418"/>
          <w:marRight w:val="0"/>
          <w:marTop w:val="0"/>
          <w:marBottom w:val="60"/>
          <w:divBdr>
            <w:top w:val="none" w:sz="0" w:space="0" w:color="auto"/>
            <w:left w:val="none" w:sz="0" w:space="0" w:color="auto"/>
            <w:bottom w:val="none" w:sz="0" w:space="0" w:color="auto"/>
            <w:right w:val="none" w:sz="0" w:space="0" w:color="auto"/>
          </w:divBdr>
        </w:div>
        <w:div w:id="1730348982">
          <w:marLeft w:val="418"/>
          <w:marRight w:val="0"/>
          <w:marTop w:val="0"/>
          <w:marBottom w:val="60"/>
          <w:divBdr>
            <w:top w:val="none" w:sz="0" w:space="0" w:color="auto"/>
            <w:left w:val="none" w:sz="0" w:space="0" w:color="auto"/>
            <w:bottom w:val="none" w:sz="0" w:space="0" w:color="auto"/>
            <w:right w:val="none" w:sz="0" w:space="0" w:color="auto"/>
          </w:divBdr>
        </w:div>
      </w:divsChild>
    </w:div>
    <w:div w:id="1366977024">
      <w:bodyDiv w:val="1"/>
      <w:marLeft w:val="0"/>
      <w:marRight w:val="0"/>
      <w:marTop w:val="0"/>
      <w:marBottom w:val="0"/>
      <w:divBdr>
        <w:top w:val="none" w:sz="0" w:space="0" w:color="auto"/>
        <w:left w:val="none" w:sz="0" w:space="0" w:color="auto"/>
        <w:bottom w:val="none" w:sz="0" w:space="0" w:color="auto"/>
        <w:right w:val="none" w:sz="0" w:space="0" w:color="auto"/>
      </w:divBdr>
    </w:div>
    <w:div w:id="1397975763">
      <w:bodyDiv w:val="1"/>
      <w:marLeft w:val="0"/>
      <w:marRight w:val="0"/>
      <w:marTop w:val="0"/>
      <w:marBottom w:val="0"/>
      <w:divBdr>
        <w:top w:val="none" w:sz="0" w:space="0" w:color="auto"/>
        <w:left w:val="none" w:sz="0" w:space="0" w:color="auto"/>
        <w:bottom w:val="none" w:sz="0" w:space="0" w:color="auto"/>
        <w:right w:val="none" w:sz="0" w:space="0" w:color="auto"/>
      </w:divBdr>
    </w:div>
    <w:div w:id="1399548055">
      <w:bodyDiv w:val="1"/>
      <w:marLeft w:val="0"/>
      <w:marRight w:val="0"/>
      <w:marTop w:val="0"/>
      <w:marBottom w:val="0"/>
      <w:divBdr>
        <w:top w:val="none" w:sz="0" w:space="0" w:color="auto"/>
        <w:left w:val="none" w:sz="0" w:space="0" w:color="auto"/>
        <w:bottom w:val="none" w:sz="0" w:space="0" w:color="auto"/>
        <w:right w:val="none" w:sz="0" w:space="0" w:color="auto"/>
      </w:divBdr>
    </w:div>
    <w:div w:id="1410537212">
      <w:bodyDiv w:val="1"/>
      <w:marLeft w:val="0"/>
      <w:marRight w:val="0"/>
      <w:marTop w:val="0"/>
      <w:marBottom w:val="0"/>
      <w:divBdr>
        <w:top w:val="none" w:sz="0" w:space="0" w:color="auto"/>
        <w:left w:val="none" w:sz="0" w:space="0" w:color="auto"/>
        <w:bottom w:val="none" w:sz="0" w:space="0" w:color="auto"/>
        <w:right w:val="none" w:sz="0" w:space="0" w:color="auto"/>
      </w:divBdr>
    </w:div>
    <w:div w:id="1423990544">
      <w:bodyDiv w:val="1"/>
      <w:marLeft w:val="0"/>
      <w:marRight w:val="0"/>
      <w:marTop w:val="0"/>
      <w:marBottom w:val="0"/>
      <w:divBdr>
        <w:top w:val="none" w:sz="0" w:space="0" w:color="auto"/>
        <w:left w:val="none" w:sz="0" w:space="0" w:color="auto"/>
        <w:bottom w:val="none" w:sz="0" w:space="0" w:color="auto"/>
        <w:right w:val="none" w:sz="0" w:space="0" w:color="auto"/>
      </w:divBdr>
      <w:divsChild>
        <w:div w:id="684938445">
          <w:marLeft w:val="274"/>
          <w:marRight w:val="0"/>
          <w:marTop w:val="0"/>
          <w:marBottom w:val="0"/>
          <w:divBdr>
            <w:top w:val="none" w:sz="0" w:space="0" w:color="auto"/>
            <w:left w:val="none" w:sz="0" w:space="0" w:color="auto"/>
            <w:bottom w:val="none" w:sz="0" w:space="0" w:color="auto"/>
            <w:right w:val="none" w:sz="0" w:space="0" w:color="auto"/>
          </w:divBdr>
        </w:div>
      </w:divsChild>
    </w:div>
    <w:div w:id="1426881794">
      <w:bodyDiv w:val="1"/>
      <w:marLeft w:val="0"/>
      <w:marRight w:val="0"/>
      <w:marTop w:val="0"/>
      <w:marBottom w:val="0"/>
      <w:divBdr>
        <w:top w:val="none" w:sz="0" w:space="0" w:color="auto"/>
        <w:left w:val="none" w:sz="0" w:space="0" w:color="auto"/>
        <w:bottom w:val="none" w:sz="0" w:space="0" w:color="auto"/>
        <w:right w:val="none" w:sz="0" w:space="0" w:color="auto"/>
      </w:divBdr>
    </w:div>
    <w:div w:id="1441535409">
      <w:bodyDiv w:val="1"/>
      <w:marLeft w:val="0"/>
      <w:marRight w:val="0"/>
      <w:marTop w:val="0"/>
      <w:marBottom w:val="0"/>
      <w:divBdr>
        <w:top w:val="none" w:sz="0" w:space="0" w:color="auto"/>
        <w:left w:val="none" w:sz="0" w:space="0" w:color="auto"/>
        <w:bottom w:val="none" w:sz="0" w:space="0" w:color="auto"/>
        <w:right w:val="none" w:sz="0" w:space="0" w:color="auto"/>
      </w:divBdr>
      <w:divsChild>
        <w:div w:id="874804811">
          <w:marLeft w:val="274"/>
          <w:marRight w:val="0"/>
          <w:marTop w:val="0"/>
          <w:marBottom w:val="0"/>
          <w:divBdr>
            <w:top w:val="none" w:sz="0" w:space="0" w:color="auto"/>
            <w:left w:val="none" w:sz="0" w:space="0" w:color="auto"/>
            <w:bottom w:val="none" w:sz="0" w:space="0" w:color="auto"/>
            <w:right w:val="none" w:sz="0" w:space="0" w:color="auto"/>
          </w:divBdr>
        </w:div>
      </w:divsChild>
    </w:div>
    <w:div w:id="1455296355">
      <w:bodyDiv w:val="1"/>
      <w:marLeft w:val="0"/>
      <w:marRight w:val="0"/>
      <w:marTop w:val="0"/>
      <w:marBottom w:val="0"/>
      <w:divBdr>
        <w:top w:val="none" w:sz="0" w:space="0" w:color="auto"/>
        <w:left w:val="none" w:sz="0" w:space="0" w:color="auto"/>
        <w:bottom w:val="none" w:sz="0" w:space="0" w:color="auto"/>
        <w:right w:val="none" w:sz="0" w:space="0" w:color="auto"/>
      </w:divBdr>
    </w:div>
    <w:div w:id="1471364697">
      <w:bodyDiv w:val="1"/>
      <w:marLeft w:val="0"/>
      <w:marRight w:val="0"/>
      <w:marTop w:val="0"/>
      <w:marBottom w:val="0"/>
      <w:divBdr>
        <w:top w:val="none" w:sz="0" w:space="0" w:color="auto"/>
        <w:left w:val="none" w:sz="0" w:space="0" w:color="auto"/>
        <w:bottom w:val="none" w:sz="0" w:space="0" w:color="auto"/>
        <w:right w:val="none" w:sz="0" w:space="0" w:color="auto"/>
      </w:divBdr>
      <w:divsChild>
        <w:div w:id="41948780">
          <w:marLeft w:val="274"/>
          <w:marRight w:val="0"/>
          <w:marTop w:val="0"/>
          <w:marBottom w:val="0"/>
          <w:divBdr>
            <w:top w:val="none" w:sz="0" w:space="0" w:color="auto"/>
            <w:left w:val="none" w:sz="0" w:space="0" w:color="auto"/>
            <w:bottom w:val="none" w:sz="0" w:space="0" w:color="auto"/>
            <w:right w:val="none" w:sz="0" w:space="0" w:color="auto"/>
          </w:divBdr>
        </w:div>
        <w:div w:id="833841619">
          <w:marLeft w:val="274"/>
          <w:marRight w:val="0"/>
          <w:marTop w:val="0"/>
          <w:marBottom w:val="0"/>
          <w:divBdr>
            <w:top w:val="none" w:sz="0" w:space="0" w:color="auto"/>
            <w:left w:val="none" w:sz="0" w:space="0" w:color="auto"/>
            <w:bottom w:val="none" w:sz="0" w:space="0" w:color="auto"/>
            <w:right w:val="none" w:sz="0" w:space="0" w:color="auto"/>
          </w:divBdr>
        </w:div>
        <w:div w:id="1043674511">
          <w:marLeft w:val="274"/>
          <w:marRight w:val="0"/>
          <w:marTop w:val="0"/>
          <w:marBottom w:val="0"/>
          <w:divBdr>
            <w:top w:val="none" w:sz="0" w:space="0" w:color="auto"/>
            <w:left w:val="none" w:sz="0" w:space="0" w:color="auto"/>
            <w:bottom w:val="none" w:sz="0" w:space="0" w:color="auto"/>
            <w:right w:val="none" w:sz="0" w:space="0" w:color="auto"/>
          </w:divBdr>
        </w:div>
        <w:div w:id="1515800900">
          <w:marLeft w:val="274"/>
          <w:marRight w:val="0"/>
          <w:marTop w:val="0"/>
          <w:marBottom w:val="0"/>
          <w:divBdr>
            <w:top w:val="none" w:sz="0" w:space="0" w:color="auto"/>
            <w:left w:val="none" w:sz="0" w:space="0" w:color="auto"/>
            <w:bottom w:val="none" w:sz="0" w:space="0" w:color="auto"/>
            <w:right w:val="none" w:sz="0" w:space="0" w:color="auto"/>
          </w:divBdr>
        </w:div>
        <w:div w:id="2010790890">
          <w:marLeft w:val="274"/>
          <w:marRight w:val="0"/>
          <w:marTop w:val="0"/>
          <w:marBottom w:val="0"/>
          <w:divBdr>
            <w:top w:val="none" w:sz="0" w:space="0" w:color="auto"/>
            <w:left w:val="none" w:sz="0" w:space="0" w:color="auto"/>
            <w:bottom w:val="none" w:sz="0" w:space="0" w:color="auto"/>
            <w:right w:val="none" w:sz="0" w:space="0" w:color="auto"/>
          </w:divBdr>
        </w:div>
      </w:divsChild>
    </w:div>
    <w:div w:id="1479303549">
      <w:bodyDiv w:val="1"/>
      <w:marLeft w:val="0"/>
      <w:marRight w:val="0"/>
      <w:marTop w:val="0"/>
      <w:marBottom w:val="0"/>
      <w:divBdr>
        <w:top w:val="none" w:sz="0" w:space="0" w:color="auto"/>
        <w:left w:val="none" w:sz="0" w:space="0" w:color="auto"/>
        <w:bottom w:val="none" w:sz="0" w:space="0" w:color="auto"/>
        <w:right w:val="none" w:sz="0" w:space="0" w:color="auto"/>
      </w:divBdr>
    </w:div>
    <w:div w:id="1536886465">
      <w:bodyDiv w:val="1"/>
      <w:marLeft w:val="0"/>
      <w:marRight w:val="0"/>
      <w:marTop w:val="0"/>
      <w:marBottom w:val="0"/>
      <w:divBdr>
        <w:top w:val="none" w:sz="0" w:space="0" w:color="auto"/>
        <w:left w:val="none" w:sz="0" w:space="0" w:color="auto"/>
        <w:bottom w:val="none" w:sz="0" w:space="0" w:color="auto"/>
        <w:right w:val="none" w:sz="0" w:space="0" w:color="auto"/>
      </w:divBdr>
    </w:div>
    <w:div w:id="1537354961">
      <w:bodyDiv w:val="1"/>
      <w:marLeft w:val="0"/>
      <w:marRight w:val="0"/>
      <w:marTop w:val="0"/>
      <w:marBottom w:val="0"/>
      <w:divBdr>
        <w:top w:val="none" w:sz="0" w:space="0" w:color="auto"/>
        <w:left w:val="none" w:sz="0" w:space="0" w:color="auto"/>
        <w:bottom w:val="none" w:sz="0" w:space="0" w:color="auto"/>
        <w:right w:val="none" w:sz="0" w:space="0" w:color="auto"/>
      </w:divBdr>
    </w:div>
    <w:div w:id="1546795622">
      <w:bodyDiv w:val="1"/>
      <w:marLeft w:val="0"/>
      <w:marRight w:val="0"/>
      <w:marTop w:val="0"/>
      <w:marBottom w:val="0"/>
      <w:divBdr>
        <w:top w:val="none" w:sz="0" w:space="0" w:color="auto"/>
        <w:left w:val="none" w:sz="0" w:space="0" w:color="auto"/>
        <w:bottom w:val="none" w:sz="0" w:space="0" w:color="auto"/>
        <w:right w:val="none" w:sz="0" w:space="0" w:color="auto"/>
      </w:divBdr>
    </w:div>
    <w:div w:id="1596864422">
      <w:bodyDiv w:val="1"/>
      <w:marLeft w:val="0"/>
      <w:marRight w:val="0"/>
      <w:marTop w:val="0"/>
      <w:marBottom w:val="0"/>
      <w:divBdr>
        <w:top w:val="none" w:sz="0" w:space="0" w:color="auto"/>
        <w:left w:val="none" w:sz="0" w:space="0" w:color="auto"/>
        <w:bottom w:val="none" w:sz="0" w:space="0" w:color="auto"/>
        <w:right w:val="none" w:sz="0" w:space="0" w:color="auto"/>
      </w:divBdr>
    </w:div>
    <w:div w:id="1614247437">
      <w:bodyDiv w:val="1"/>
      <w:marLeft w:val="0"/>
      <w:marRight w:val="0"/>
      <w:marTop w:val="0"/>
      <w:marBottom w:val="0"/>
      <w:divBdr>
        <w:top w:val="none" w:sz="0" w:space="0" w:color="auto"/>
        <w:left w:val="none" w:sz="0" w:space="0" w:color="auto"/>
        <w:bottom w:val="none" w:sz="0" w:space="0" w:color="auto"/>
        <w:right w:val="none" w:sz="0" w:space="0" w:color="auto"/>
      </w:divBdr>
      <w:divsChild>
        <w:div w:id="312947563">
          <w:marLeft w:val="418"/>
          <w:marRight w:val="0"/>
          <w:marTop w:val="0"/>
          <w:marBottom w:val="60"/>
          <w:divBdr>
            <w:top w:val="none" w:sz="0" w:space="0" w:color="auto"/>
            <w:left w:val="none" w:sz="0" w:space="0" w:color="auto"/>
            <w:bottom w:val="none" w:sz="0" w:space="0" w:color="auto"/>
            <w:right w:val="none" w:sz="0" w:space="0" w:color="auto"/>
          </w:divBdr>
        </w:div>
        <w:div w:id="518131271">
          <w:marLeft w:val="418"/>
          <w:marRight w:val="0"/>
          <w:marTop w:val="0"/>
          <w:marBottom w:val="60"/>
          <w:divBdr>
            <w:top w:val="none" w:sz="0" w:space="0" w:color="auto"/>
            <w:left w:val="none" w:sz="0" w:space="0" w:color="auto"/>
            <w:bottom w:val="none" w:sz="0" w:space="0" w:color="auto"/>
            <w:right w:val="none" w:sz="0" w:space="0" w:color="auto"/>
          </w:divBdr>
        </w:div>
        <w:div w:id="1017464978">
          <w:marLeft w:val="418"/>
          <w:marRight w:val="0"/>
          <w:marTop w:val="0"/>
          <w:marBottom w:val="60"/>
          <w:divBdr>
            <w:top w:val="none" w:sz="0" w:space="0" w:color="auto"/>
            <w:left w:val="none" w:sz="0" w:space="0" w:color="auto"/>
            <w:bottom w:val="none" w:sz="0" w:space="0" w:color="auto"/>
            <w:right w:val="none" w:sz="0" w:space="0" w:color="auto"/>
          </w:divBdr>
        </w:div>
        <w:div w:id="1166634088">
          <w:marLeft w:val="418"/>
          <w:marRight w:val="0"/>
          <w:marTop w:val="0"/>
          <w:marBottom w:val="60"/>
          <w:divBdr>
            <w:top w:val="none" w:sz="0" w:space="0" w:color="auto"/>
            <w:left w:val="none" w:sz="0" w:space="0" w:color="auto"/>
            <w:bottom w:val="none" w:sz="0" w:space="0" w:color="auto"/>
            <w:right w:val="none" w:sz="0" w:space="0" w:color="auto"/>
          </w:divBdr>
        </w:div>
        <w:div w:id="1359432300">
          <w:marLeft w:val="418"/>
          <w:marRight w:val="0"/>
          <w:marTop w:val="0"/>
          <w:marBottom w:val="60"/>
          <w:divBdr>
            <w:top w:val="none" w:sz="0" w:space="0" w:color="auto"/>
            <w:left w:val="none" w:sz="0" w:space="0" w:color="auto"/>
            <w:bottom w:val="none" w:sz="0" w:space="0" w:color="auto"/>
            <w:right w:val="none" w:sz="0" w:space="0" w:color="auto"/>
          </w:divBdr>
        </w:div>
        <w:div w:id="1541747422">
          <w:marLeft w:val="418"/>
          <w:marRight w:val="0"/>
          <w:marTop w:val="0"/>
          <w:marBottom w:val="60"/>
          <w:divBdr>
            <w:top w:val="none" w:sz="0" w:space="0" w:color="auto"/>
            <w:left w:val="none" w:sz="0" w:space="0" w:color="auto"/>
            <w:bottom w:val="none" w:sz="0" w:space="0" w:color="auto"/>
            <w:right w:val="none" w:sz="0" w:space="0" w:color="auto"/>
          </w:divBdr>
        </w:div>
        <w:div w:id="1543516734">
          <w:marLeft w:val="418"/>
          <w:marRight w:val="0"/>
          <w:marTop w:val="0"/>
          <w:marBottom w:val="60"/>
          <w:divBdr>
            <w:top w:val="none" w:sz="0" w:space="0" w:color="auto"/>
            <w:left w:val="none" w:sz="0" w:space="0" w:color="auto"/>
            <w:bottom w:val="none" w:sz="0" w:space="0" w:color="auto"/>
            <w:right w:val="none" w:sz="0" w:space="0" w:color="auto"/>
          </w:divBdr>
        </w:div>
        <w:div w:id="1601833654">
          <w:marLeft w:val="418"/>
          <w:marRight w:val="0"/>
          <w:marTop w:val="0"/>
          <w:marBottom w:val="60"/>
          <w:divBdr>
            <w:top w:val="none" w:sz="0" w:space="0" w:color="auto"/>
            <w:left w:val="none" w:sz="0" w:space="0" w:color="auto"/>
            <w:bottom w:val="none" w:sz="0" w:space="0" w:color="auto"/>
            <w:right w:val="none" w:sz="0" w:space="0" w:color="auto"/>
          </w:divBdr>
        </w:div>
        <w:div w:id="2040666802">
          <w:marLeft w:val="418"/>
          <w:marRight w:val="0"/>
          <w:marTop w:val="0"/>
          <w:marBottom w:val="60"/>
          <w:divBdr>
            <w:top w:val="none" w:sz="0" w:space="0" w:color="auto"/>
            <w:left w:val="none" w:sz="0" w:space="0" w:color="auto"/>
            <w:bottom w:val="none" w:sz="0" w:space="0" w:color="auto"/>
            <w:right w:val="none" w:sz="0" w:space="0" w:color="auto"/>
          </w:divBdr>
        </w:div>
        <w:div w:id="2118862172">
          <w:marLeft w:val="418"/>
          <w:marRight w:val="0"/>
          <w:marTop w:val="0"/>
          <w:marBottom w:val="60"/>
          <w:divBdr>
            <w:top w:val="none" w:sz="0" w:space="0" w:color="auto"/>
            <w:left w:val="none" w:sz="0" w:space="0" w:color="auto"/>
            <w:bottom w:val="none" w:sz="0" w:space="0" w:color="auto"/>
            <w:right w:val="none" w:sz="0" w:space="0" w:color="auto"/>
          </w:divBdr>
        </w:div>
      </w:divsChild>
    </w:div>
    <w:div w:id="1616862908">
      <w:bodyDiv w:val="1"/>
      <w:marLeft w:val="0"/>
      <w:marRight w:val="0"/>
      <w:marTop w:val="0"/>
      <w:marBottom w:val="0"/>
      <w:divBdr>
        <w:top w:val="none" w:sz="0" w:space="0" w:color="auto"/>
        <w:left w:val="none" w:sz="0" w:space="0" w:color="auto"/>
        <w:bottom w:val="none" w:sz="0" w:space="0" w:color="auto"/>
        <w:right w:val="none" w:sz="0" w:space="0" w:color="auto"/>
      </w:divBdr>
      <w:divsChild>
        <w:div w:id="993725997">
          <w:marLeft w:val="547"/>
          <w:marRight w:val="0"/>
          <w:marTop w:val="0"/>
          <w:marBottom w:val="0"/>
          <w:divBdr>
            <w:top w:val="none" w:sz="0" w:space="0" w:color="auto"/>
            <w:left w:val="none" w:sz="0" w:space="0" w:color="auto"/>
            <w:bottom w:val="none" w:sz="0" w:space="0" w:color="auto"/>
            <w:right w:val="none" w:sz="0" w:space="0" w:color="auto"/>
          </w:divBdr>
        </w:div>
        <w:div w:id="1105685053">
          <w:marLeft w:val="547"/>
          <w:marRight w:val="0"/>
          <w:marTop w:val="0"/>
          <w:marBottom w:val="0"/>
          <w:divBdr>
            <w:top w:val="none" w:sz="0" w:space="0" w:color="auto"/>
            <w:left w:val="none" w:sz="0" w:space="0" w:color="auto"/>
            <w:bottom w:val="none" w:sz="0" w:space="0" w:color="auto"/>
            <w:right w:val="none" w:sz="0" w:space="0" w:color="auto"/>
          </w:divBdr>
        </w:div>
      </w:divsChild>
    </w:div>
    <w:div w:id="1627657714">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528882034">
          <w:marLeft w:val="446"/>
          <w:marRight w:val="0"/>
          <w:marTop w:val="0"/>
          <w:marBottom w:val="0"/>
          <w:divBdr>
            <w:top w:val="none" w:sz="0" w:space="0" w:color="auto"/>
            <w:left w:val="none" w:sz="0" w:space="0" w:color="auto"/>
            <w:bottom w:val="none" w:sz="0" w:space="0" w:color="auto"/>
            <w:right w:val="none" w:sz="0" w:space="0" w:color="auto"/>
          </w:divBdr>
        </w:div>
        <w:div w:id="711225692">
          <w:marLeft w:val="274"/>
          <w:marRight w:val="0"/>
          <w:marTop w:val="0"/>
          <w:marBottom w:val="0"/>
          <w:divBdr>
            <w:top w:val="none" w:sz="0" w:space="0" w:color="auto"/>
            <w:left w:val="none" w:sz="0" w:space="0" w:color="auto"/>
            <w:bottom w:val="none" w:sz="0" w:space="0" w:color="auto"/>
            <w:right w:val="none" w:sz="0" w:space="0" w:color="auto"/>
          </w:divBdr>
        </w:div>
        <w:div w:id="1251432780">
          <w:marLeft w:val="274"/>
          <w:marRight w:val="0"/>
          <w:marTop w:val="0"/>
          <w:marBottom w:val="0"/>
          <w:divBdr>
            <w:top w:val="none" w:sz="0" w:space="0" w:color="auto"/>
            <w:left w:val="none" w:sz="0" w:space="0" w:color="auto"/>
            <w:bottom w:val="none" w:sz="0" w:space="0" w:color="auto"/>
            <w:right w:val="none" w:sz="0" w:space="0" w:color="auto"/>
          </w:divBdr>
        </w:div>
        <w:div w:id="1396126164">
          <w:marLeft w:val="274"/>
          <w:marRight w:val="0"/>
          <w:marTop w:val="0"/>
          <w:marBottom w:val="0"/>
          <w:divBdr>
            <w:top w:val="none" w:sz="0" w:space="0" w:color="auto"/>
            <w:left w:val="none" w:sz="0" w:space="0" w:color="auto"/>
            <w:bottom w:val="none" w:sz="0" w:space="0" w:color="auto"/>
            <w:right w:val="none" w:sz="0" w:space="0" w:color="auto"/>
          </w:divBdr>
        </w:div>
        <w:div w:id="1402557959">
          <w:marLeft w:val="446"/>
          <w:marRight w:val="0"/>
          <w:marTop w:val="0"/>
          <w:marBottom w:val="0"/>
          <w:divBdr>
            <w:top w:val="none" w:sz="0" w:space="0" w:color="auto"/>
            <w:left w:val="none" w:sz="0" w:space="0" w:color="auto"/>
            <w:bottom w:val="none" w:sz="0" w:space="0" w:color="auto"/>
            <w:right w:val="none" w:sz="0" w:space="0" w:color="auto"/>
          </w:divBdr>
        </w:div>
        <w:div w:id="1508061109">
          <w:marLeft w:val="446"/>
          <w:marRight w:val="0"/>
          <w:marTop w:val="0"/>
          <w:marBottom w:val="0"/>
          <w:divBdr>
            <w:top w:val="none" w:sz="0" w:space="0" w:color="auto"/>
            <w:left w:val="none" w:sz="0" w:space="0" w:color="auto"/>
            <w:bottom w:val="none" w:sz="0" w:space="0" w:color="auto"/>
            <w:right w:val="none" w:sz="0" w:space="0" w:color="auto"/>
          </w:divBdr>
        </w:div>
        <w:div w:id="1727099387">
          <w:marLeft w:val="274"/>
          <w:marRight w:val="0"/>
          <w:marTop w:val="0"/>
          <w:marBottom w:val="0"/>
          <w:divBdr>
            <w:top w:val="none" w:sz="0" w:space="0" w:color="auto"/>
            <w:left w:val="none" w:sz="0" w:space="0" w:color="auto"/>
            <w:bottom w:val="none" w:sz="0" w:space="0" w:color="auto"/>
            <w:right w:val="none" w:sz="0" w:space="0" w:color="auto"/>
          </w:divBdr>
        </w:div>
      </w:divsChild>
    </w:div>
    <w:div w:id="1644843771">
      <w:bodyDiv w:val="1"/>
      <w:marLeft w:val="0"/>
      <w:marRight w:val="0"/>
      <w:marTop w:val="0"/>
      <w:marBottom w:val="0"/>
      <w:divBdr>
        <w:top w:val="none" w:sz="0" w:space="0" w:color="auto"/>
        <w:left w:val="none" w:sz="0" w:space="0" w:color="auto"/>
        <w:bottom w:val="none" w:sz="0" w:space="0" w:color="auto"/>
        <w:right w:val="none" w:sz="0" w:space="0" w:color="auto"/>
      </w:divBdr>
      <w:divsChild>
        <w:div w:id="1127699871">
          <w:marLeft w:val="274"/>
          <w:marRight w:val="0"/>
          <w:marTop w:val="0"/>
          <w:marBottom w:val="0"/>
          <w:divBdr>
            <w:top w:val="none" w:sz="0" w:space="0" w:color="auto"/>
            <w:left w:val="none" w:sz="0" w:space="0" w:color="auto"/>
            <w:bottom w:val="none" w:sz="0" w:space="0" w:color="auto"/>
            <w:right w:val="none" w:sz="0" w:space="0" w:color="auto"/>
          </w:divBdr>
        </w:div>
      </w:divsChild>
    </w:div>
    <w:div w:id="1651251775">
      <w:bodyDiv w:val="1"/>
      <w:marLeft w:val="0"/>
      <w:marRight w:val="0"/>
      <w:marTop w:val="0"/>
      <w:marBottom w:val="0"/>
      <w:divBdr>
        <w:top w:val="none" w:sz="0" w:space="0" w:color="auto"/>
        <w:left w:val="none" w:sz="0" w:space="0" w:color="auto"/>
        <w:bottom w:val="none" w:sz="0" w:space="0" w:color="auto"/>
        <w:right w:val="none" w:sz="0" w:space="0" w:color="auto"/>
      </w:divBdr>
      <w:divsChild>
        <w:div w:id="2111270202">
          <w:marLeft w:val="446"/>
          <w:marRight w:val="0"/>
          <w:marTop w:val="0"/>
          <w:marBottom w:val="0"/>
          <w:divBdr>
            <w:top w:val="none" w:sz="0" w:space="0" w:color="auto"/>
            <w:left w:val="none" w:sz="0" w:space="0" w:color="auto"/>
            <w:bottom w:val="none" w:sz="0" w:space="0" w:color="auto"/>
            <w:right w:val="none" w:sz="0" w:space="0" w:color="auto"/>
          </w:divBdr>
        </w:div>
      </w:divsChild>
    </w:div>
    <w:div w:id="1657878827">
      <w:bodyDiv w:val="1"/>
      <w:marLeft w:val="0"/>
      <w:marRight w:val="0"/>
      <w:marTop w:val="0"/>
      <w:marBottom w:val="0"/>
      <w:divBdr>
        <w:top w:val="none" w:sz="0" w:space="0" w:color="auto"/>
        <w:left w:val="none" w:sz="0" w:space="0" w:color="auto"/>
        <w:bottom w:val="none" w:sz="0" w:space="0" w:color="auto"/>
        <w:right w:val="none" w:sz="0" w:space="0" w:color="auto"/>
      </w:divBdr>
    </w:div>
    <w:div w:id="1705255816">
      <w:bodyDiv w:val="1"/>
      <w:marLeft w:val="0"/>
      <w:marRight w:val="0"/>
      <w:marTop w:val="0"/>
      <w:marBottom w:val="0"/>
      <w:divBdr>
        <w:top w:val="none" w:sz="0" w:space="0" w:color="auto"/>
        <w:left w:val="none" w:sz="0" w:space="0" w:color="auto"/>
        <w:bottom w:val="none" w:sz="0" w:space="0" w:color="auto"/>
        <w:right w:val="none" w:sz="0" w:space="0" w:color="auto"/>
      </w:divBdr>
      <w:divsChild>
        <w:div w:id="1782650334">
          <w:marLeft w:val="446"/>
          <w:marRight w:val="0"/>
          <w:marTop w:val="0"/>
          <w:marBottom w:val="0"/>
          <w:divBdr>
            <w:top w:val="none" w:sz="0" w:space="0" w:color="auto"/>
            <w:left w:val="none" w:sz="0" w:space="0" w:color="auto"/>
            <w:bottom w:val="none" w:sz="0" w:space="0" w:color="auto"/>
            <w:right w:val="none" w:sz="0" w:space="0" w:color="auto"/>
          </w:divBdr>
        </w:div>
      </w:divsChild>
    </w:div>
    <w:div w:id="1713846677">
      <w:bodyDiv w:val="1"/>
      <w:marLeft w:val="0"/>
      <w:marRight w:val="0"/>
      <w:marTop w:val="0"/>
      <w:marBottom w:val="0"/>
      <w:divBdr>
        <w:top w:val="none" w:sz="0" w:space="0" w:color="auto"/>
        <w:left w:val="none" w:sz="0" w:space="0" w:color="auto"/>
        <w:bottom w:val="none" w:sz="0" w:space="0" w:color="auto"/>
        <w:right w:val="none" w:sz="0" w:space="0" w:color="auto"/>
      </w:divBdr>
      <w:divsChild>
        <w:div w:id="431899274">
          <w:marLeft w:val="274"/>
          <w:marRight w:val="0"/>
          <w:marTop w:val="0"/>
          <w:marBottom w:val="0"/>
          <w:divBdr>
            <w:top w:val="none" w:sz="0" w:space="0" w:color="auto"/>
            <w:left w:val="none" w:sz="0" w:space="0" w:color="auto"/>
            <w:bottom w:val="none" w:sz="0" w:space="0" w:color="auto"/>
            <w:right w:val="none" w:sz="0" w:space="0" w:color="auto"/>
          </w:divBdr>
        </w:div>
        <w:div w:id="640622562">
          <w:marLeft w:val="274"/>
          <w:marRight w:val="0"/>
          <w:marTop w:val="0"/>
          <w:marBottom w:val="0"/>
          <w:divBdr>
            <w:top w:val="none" w:sz="0" w:space="0" w:color="auto"/>
            <w:left w:val="none" w:sz="0" w:space="0" w:color="auto"/>
            <w:bottom w:val="none" w:sz="0" w:space="0" w:color="auto"/>
            <w:right w:val="none" w:sz="0" w:space="0" w:color="auto"/>
          </w:divBdr>
        </w:div>
        <w:div w:id="700596728">
          <w:marLeft w:val="274"/>
          <w:marRight w:val="0"/>
          <w:marTop w:val="0"/>
          <w:marBottom w:val="0"/>
          <w:divBdr>
            <w:top w:val="none" w:sz="0" w:space="0" w:color="auto"/>
            <w:left w:val="none" w:sz="0" w:space="0" w:color="auto"/>
            <w:bottom w:val="none" w:sz="0" w:space="0" w:color="auto"/>
            <w:right w:val="none" w:sz="0" w:space="0" w:color="auto"/>
          </w:divBdr>
        </w:div>
        <w:div w:id="2040660131">
          <w:marLeft w:val="274"/>
          <w:marRight w:val="0"/>
          <w:marTop w:val="0"/>
          <w:marBottom w:val="0"/>
          <w:divBdr>
            <w:top w:val="none" w:sz="0" w:space="0" w:color="auto"/>
            <w:left w:val="none" w:sz="0" w:space="0" w:color="auto"/>
            <w:bottom w:val="none" w:sz="0" w:space="0" w:color="auto"/>
            <w:right w:val="none" w:sz="0" w:space="0" w:color="auto"/>
          </w:divBdr>
        </w:div>
      </w:divsChild>
    </w:div>
    <w:div w:id="1734234221">
      <w:bodyDiv w:val="1"/>
      <w:marLeft w:val="0"/>
      <w:marRight w:val="0"/>
      <w:marTop w:val="0"/>
      <w:marBottom w:val="0"/>
      <w:divBdr>
        <w:top w:val="none" w:sz="0" w:space="0" w:color="auto"/>
        <w:left w:val="none" w:sz="0" w:space="0" w:color="auto"/>
        <w:bottom w:val="none" w:sz="0" w:space="0" w:color="auto"/>
        <w:right w:val="none" w:sz="0" w:space="0" w:color="auto"/>
      </w:divBdr>
      <w:divsChild>
        <w:div w:id="50354382">
          <w:marLeft w:val="446"/>
          <w:marRight w:val="0"/>
          <w:marTop w:val="0"/>
          <w:marBottom w:val="0"/>
          <w:divBdr>
            <w:top w:val="none" w:sz="0" w:space="0" w:color="auto"/>
            <w:left w:val="none" w:sz="0" w:space="0" w:color="auto"/>
            <w:bottom w:val="none" w:sz="0" w:space="0" w:color="auto"/>
            <w:right w:val="none" w:sz="0" w:space="0" w:color="auto"/>
          </w:divBdr>
        </w:div>
      </w:divsChild>
    </w:div>
    <w:div w:id="1760062185">
      <w:bodyDiv w:val="1"/>
      <w:marLeft w:val="0"/>
      <w:marRight w:val="0"/>
      <w:marTop w:val="0"/>
      <w:marBottom w:val="0"/>
      <w:divBdr>
        <w:top w:val="none" w:sz="0" w:space="0" w:color="auto"/>
        <w:left w:val="none" w:sz="0" w:space="0" w:color="auto"/>
        <w:bottom w:val="none" w:sz="0" w:space="0" w:color="auto"/>
        <w:right w:val="none" w:sz="0" w:space="0" w:color="auto"/>
      </w:divBdr>
    </w:div>
    <w:div w:id="1814132936">
      <w:bodyDiv w:val="1"/>
      <w:marLeft w:val="0"/>
      <w:marRight w:val="0"/>
      <w:marTop w:val="0"/>
      <w:marBottom w:val="0"/>
      <w:divBdr>
        <w:top w:val="none" w:sz="0" w:space="0" w:color="auto"/>
        <w:left w:val="none" w:sz="0" w:space="0" w:color="auto"/>
        <w:bottom w:val="none" w:sz="0" w:space="0" w:color="auto"/>
        <w:right w:val="none" w:sz="0" w:space="0" w:color="auto"/>
      </w:divBdr>
      <w:divsChild>
        <w:div w:id="990788865">
          <w:marLeft w:val="446"/>
          <w:marRight w:val="0"/>
          <w:marTop w:val="0"/>
          <w:marBottom w:val="0"/>
          <w:divBdr>
            <w:top w:val="none" w:sz="0" w:space="0" w:color="auto"/>
            <w:left w:val="none" w:sz="0" w:space="0" w:color="auto"/>
            <w:bottom w:val="none" w:sz="0" w:space="0" w:color="auto"/>
            <w:right w:val="none" w:sz="0" w:space="0" w:color="auto"/>
          </w:divBdr>
        </w:div>
      </w:divsChild>
    </w:div>
    <w:div w:id="1824007312">
      <w:bodyDiv w:val="1"/>
      <w:marLeft w:val="0"/>
      <w:marRight w:val="0"/>
      <w:marTop w:val="0"/>
      <w:marBottom w:val="0"/>
      <w:divBdr>
        <w:top w:val="none" w:sz="0" w:space="0" w:color="auto"/>
        <w:left w:val="none" w:sz="0" w:space="0" w:color="auto"/>
        <w:bottom w:val="none" w:sz="0" w:space="0" w:color="auto"/>
        <w:right w:val="none" w:sz="0" w:space="0" w:color="auto"/>
      </w:divBdr>
    </w:div>
    <w:div w:id="1825270020">
      <w:bodyDiv w:val="1"/>
      <w:marLeft w:val="0"/>
      <w:marRight w:val="0"/>
      <w:marTop w:val="0"/>
      <w:marBottom w:val="0"/>
      <w:divBdr>
        <w:top w:val="none" w:sz="0" w:space="0" w:color="auto"/>
        <w:left w:val="none" w:sz="0" w:space="0" w:color="auto"/>
        <w:bottom w:val="none" w:sz="0" w:space="0" w:color="auto"/>
        <w:right w:val="none" w:sz="0" w:space="0" w:color="auto"/>
      </w:divBdr>
      <w:divsChild>
        <w:div w:id="1999574824">
          <w:marLeft w:val="446"/>
          <w:marRight w:val="0"/>
          <w:marTop w:val="0"/>
          <w:marBottom w:val="0"/>
          <w:divBdr>
            <w:top w:val="none" w:sz="0" w:space="0" w:color="auto"/>
            <w:left w:val="none" w:sz="0" w:space="0" w:color="auto"/>
            <w:bottom w:val="none" w:sz="0" w:space="0" w:color="auto"/>
            <w:right w:val="none" w:sz="0" w:space="0" w:color="auto"/>
          </w:divBdr>
        </w:div>
      </w:divsChild>
    </w:div>
    <w:div w:id="1832216480">
      <w:bodyDiv w:val="1"/>
      <w:marLeft w:val="0"/>
      <w:marRight w:val="0"/>
      <w:marTop w:val="0"/>
      <w:marBottom w:val="0"/>
      <w:divBdr>
        <w:top w:val="none" w:sz="0" w:space="0" w:color="auto"/>
        <w:left w:val="none" w:sz="0" w:space="0" w:color="auto"/>
        <w:bottom w:val="none" w:sz="0" w:space="0" w:color="auto"/>
        <w:right w:val="none" w:sz="0" w:space="0" w:color="auto"/>
      </w:divBdr>
    </w:div>
    <w:div w:id="1836526858">
      <w:bodyDiv w:val="1"/>
      <w:marLeft w:val="0"/>
      <w:marRight w:val="0"/>
      <w:marTop w:val="0"/>
      <w:marBottom w:val="0"/>
      <w:divBdr>
        <w:top w:val="none" w:sz="0" w:space="0" w:color="auto"/>
        <w:left w:val="none" w:sz="0" w:space="0" w:color="auto"/>
        <w:bottom w:val="none" w:sz="0" w:space="0" w:color="auto"/>
        <w:right w:val="none" w:sz="0" w:space="0" w:color="auto"/>
      </w:divBdr>
    </w:div>
    <w:div w:id="1839491237">
      <w:bodyDiv w:val="1"/>
      <w:marLeft w:val="0"/>
      <w:marRight w:val="0"/>
      <w:marTop w:val="0"/>
      <w:marBottom w:val="0"/>
      <w:divBdr>
        <w:top w:val="none" w:sz="0" w:space="0" w:color="auto"/>
        <w:left w:val="none" w:sz="0" w:space="0" w:color="auto"/>
        <w:bottom w:val="none" w:sz="0" w:space="0" w:color="auto"/>
        <w:right w:val="none" w:sz="0" w:space="0" w:color="auto"/>
      </w:divBdr>
      <w:divsChild>
        <w:div w:id="231700748">
          <w:marLeft w:val="446"/>
          <w:marRight w:val="0"/>
          <w:marTop w:val="0"/>
          <w:marBottom w:val="0"/>
          <w:divBdr>
            <w:top w:val="none" w:sz="0" w:space="0" w:color="auto"/>
            <w:left w:val="none" w:sz="0" w:space="0" w:color="auto"/>
            <w:bottom w:val="none" w:sz="0" w:space="0" w:color="auto"/>
            <w:right w:val="none" w:sz="0" w:space="0" w:color="auto"/>
          </w:divBdr>
        </w:div>
      </w:divsChild>
    </w:div>
    <w:div w:id="1850867714">
      <w:bodyDiv w:val="1"/>
      <w:marLeft w:val="0"/>
      <w:marRight w:val="0"/>
      <w:marTop w:val="0"/>
      <w:marBottom w:val="0"/>
      <w:divBdr>
        <w:top w:val="none" w:sz="0" w:space="0" w:color="auto"/>
        <w:left w:val="none" w:sz="0" w:space="0" w:color="auto"/>
        <w:bottom w:val="none" w:sz="0" w:space="0" w:color="auto"/>
        <w:right w:val="none" w:sz="0" w:space="0" w:color="auto"/>
      </w:divBdr>
      <w:divsChild>
        <w:div w:id="332149876">
          <w:marLeft w:val="547"/>
          <w:marRight w:val="0"/>
          <w:marTop w:val="0"/>
          <w:marBottom w:val="0"/>
          <w:divBdr>
            <w:top w:val="none" w:sz="0" w:space="0" w:color="auto"/>
            <w:left w:val="none" w:sz="0" w:space="0" w:color="auto"/>
            <w:bottom w:val="none" w:sz="0" w:space="0" w:color="auto"/>
            <w:right w:val="none" w:sz="0" w:space="0" w:color="auto"/>
          </w:divBdr>
        </w:div>
      </w:divsChild>
    </w:div>
    <w:div w:id="1874345989">
      <w:bodyDiv w:val="1"/>
      <w:marLeft w:val="0"/>
      <w:marRight w:val="0"/>
      <w:marTop w:val="0"/>
      <w:marBottom w:val="0"/>
      <w:divBdr>
        <w:top w:val="none" w:sz="0" w:space="0" w:color="auto"/>
        <w:left w:val="none" w:sz="0" w:space="0" w:color="auto"/>
        <w:bottom w:val="none" w:sz="0" w:space="0" w:color="auto"/>
        <w:right w:val="none" w:sz="0" w:space="0" w:color="auto"/>
      </w:divBdr>
    </w:div>
    <w:div w:id="1925802605">
      <w:bodyDiv w:val="1"/>
      <w:marLeft w:val="0"/>
      <w:marRight w:val="0"/>
      <w:marTop w:val="0"/>
      <w:marBottom w:val="0"/>
      <w:divBdr>
        <w:top w:val="none" w:sz="0" w:space="0" w:color="auto"/>
        <w:left w:val="none" w:sz="0" w:space="0" w:color="auto"/>
        <w:bottom w:val="none" w:sz="0" w:space="0" w:color="auto"/>
        <w:right w:val="none" w:sz="0" w:space="0" w:color="auto"/>
      </w:divBdr>
      <w:divsChild>
        <w:div w:id="1106998750">
          <w:marLeft w:val="446"/>
          <w:marRight w:val="0"/>
          <w:marTop w:val="0"/>
          <w:marBottom w:val="0"/>
          <w:divBdr>
            <w:top w:val="none" w:sz="0" w:space="0" w:color="auto"/>
            <w:left w:val="none" w:sz="0" w:space="0" w:color="auto"/>
            <w:bottom w:val="none" w:sz="0" w:space="0" w:color="auto"/>
            <w:right w:val="none" w:sz="0" w:space="0" w:color="auto"/>
          </w:divBdr>
        </w:div>
      </w:divsChild>
    </w:div>
    <w:div w:id="1946378781">
      <w:bodyDiv w:val="1"/>
      <w:marLeft w:val="0"/>
      <w:marRight w:val="0"/>
      <w:marTop w:val="0"/>
      <w:marBottom w:val="0"/>
      <w:divBdr>
        <w:top w:val="none" w:sz="0" w:space="0" w:color="auto"/>
        <w:left w:val="none" w:sz="0" w:space="0" w:color="auto"/>
        <w:bottom w:val="none" w:sz="0" w:space="0" w:color="auto"/>
        <w:right w:val="none" w:sz="0" w:space="0" w:color="auto"/>
      </w:divBdr>
    </w:div>
    <w:div w:id="1962229564">
      <w:bodyDiv w:val="1"/>
      <w:marLeft w:val="0"/>
      <w:marRight w:val="0"/>
      <w:marTop w:val="0"/>
      <w:marBottom w:val="0"/>
      <w:divBdr>
        <w:top w:val="none" w:sz="0" w:space="0" w:color="auto"/>
        <w:left w:val="none" w:sz="0" w:space="0" w:color="auto"/>
        <w:bottom w:val="none" w:sz="0" w:space="0" w:color="auto"/>
        <w:right w:val="none" w:sz="0" w:space="0" w:color="auto"/>
      </w:divBdr>
      <w:divsChild>
        <w:div w:id="737746816">
          <w:marLeft w:val="274"/>
          <w:marRight w:val="0"/>
          <w:marTop w:val="0"/>
          <w:marBottom w:val="0"/>
          <w:divBdr>
            <w:top w:val="none" w:sz="0" w:space="0" w:color="auto"/>
            <w:left w:val="none" w:sz="0" w:space="0" w:color="auto"/>
            <w:bottom w:val="none" w:sz="0" w:space="0" w:color="auto"/>
            <w:right w:val="none" w:sz="0" w:space="0" w:color="auto"/>
          </w:divBdr>
        </w:div>
        <w:div w:id="1191652261">
          <w:marLeft w:val="274"/>
          <w:marRight w:val="0"/>
          <w:marTop w:val="0"/>
          <w:marBottom w:val="0"/>
          <w:divBdr>
            <w:top w:val="none" w:sz="0" w:space="0" w:color="auto"/>
            <w:left w:val="none" w:sz="0" w:space="0" w:color="auto"/>
            <w:bottom w:val="none" w:sz="0" w:space="0" w:color="auto"/>
            <w:right w:val="none" w:sz="0" w:space="0" w:color="auto"/>
          </w:divBdr>
        </w:div>
        <w:div w:id="1223711423">
          <w:marLeft w:val="274"/>
          <w:marRight w:val="0"/>
          <w:marTop w:val="0"/>
          <w:marBottom w:val="0"/>
          <w:divBdr>
            <w:top w:val="none" w:sz="0" w:space="0" w:color="auto"/>
            <w:left w:val="none" w:sz="0" w:space="0" w:color="auto"/>
            <w:bottom w:val="none" w:sz="0" w:space="0" w:color="auto"/>
            <w:right w:val="none" w:sz="0" w:space="0" w:color="auto"/>
          </w:divBdr>
        </w:div>
      </w:divsChild>
    </w:div>
    <w:div w:id="1978679984">
      <w:bodyDiv w:val="1"/>
      <w:marLeft w:val="0"/>
      <w:marRight w:val="0"/>
      <w:marTop w:val="0"/>
      <w:marBottom w:val="0"/>
      <w:divBdr>
        <w:top w:val="none" w:sz="0" w:space="0" w:color="auto"/>
        <w:left w:val="none" w:sz="0" w:space="0" w:color="auto"/>
        <w:bottom w:val="none" w:sz="0" w:space="0" w:color="auto"/>
        <w:right w:val="none" w:sz="0" w:space="0" w:color="auto"/>
      </w:divBdr>
      <w:divsChild>
        <w:div w:id="187303613">
          <w:marLeft w:val="274"/>
          <w:marRight w:val="0"/>
          <w:marTop w:val="0"/>
          <w:marBottom w:val="0"/>
          <w:divBdr>
            <w:top w:val="none" w:sz="0" w:space="0" w:color="auto"/>
            <w:left w:val="none" w:sz="0" w:space="0" w:color="auto"/>
            <w:bottom w:val="none" w:sz="0" w:space="0" w:color="auto"/>
            <w:right w:val="none" w:sz="0" w:space="0" w:color="auto"/>
          </w:divBdr>
        </w:div>
        <w:div w:id="205408445">
          <w:marLeft w:val="274"/>
          <w:marRight w:val="0"/>
          <w:marTop w:val="0"/>
          <w:marBottom w:val="0"/>
          <w:divBdr>
            <w:top w:val="none" w:sz="0" w:space="0" w:color="auto"/>
            <w:left w:val="none" w:sz="0" w:space="0" w:color="auto"/>
            <w:bottom w:val="none" w:sz="0" w:space="0" w:color="auto"/>
            <w:right w:val="none" w:sz="0" w:space="0" w:color="auto"/>
          </w:divBdr>
        </w:div>
        <w:div w:id="352073598">
          <w:marLeft w:val="274"/>
          <w:marRight w:val="0"/>
          <w:marTop w:val="0"/>
          <w:marBottom w:val="0"/>
          <w:divBdr>
            <w:top w:val="none" w:sz="0" w:space="0" w:color="auto"/>
            <w:left w:val="none" w:sz="0" w:space="0" w:color="auto"/>
            <w:bottom w:val="none" w:sz="0" w:space="0" w:color="auto"/>
            <w:right w:val="none" w:sz="0" w:space="0" w:color="auto"/>
          </w:divBdr>
        </w:div>
        <w:div w:id="819688609">
          <w:marLeft w:val="547"/>
          <w:marRight w:val="0"/>
          <w:marTop w:val="0"/>
          <w:marBottom w:val="0"/>
          <w:divBdr>
            <w:top w:val="none" w:sz="0" w:space="0" w:color="auto"/>
            <w:left w:val="none" w:sz="0" w:space="0" w:color="auto"/>
            <w:bottom w:val="none" w:sz="0" w:space="0" w:color="auto"/>
            <w:right w:val="none" w:sz="0" w:space="0" w:color="auto"/>
          </w:divBdr>
        </w:div>
      </w:divsChild>
    </w:div>
    <w:div w:id="1995791471">
      <w:bodyDiv w:val="1"/>
      <w:marLeft w:val="0"/>
      <w:marRight w:val="0"/>
      <w:marTop w:val="0"/>
      <w:marBottom w:val="0"/>
      <w:divBdr>
        <w:top w:val="none" w:sz="0" w:space="0" w:color="auto"/>
        <w:left w:val="none" w:sz="0" w:space="0" w:color="auto"/>
        <w:bottom w:val="none" w:sz="0" w:space="0" w:color="auto"/>
        <w:right w:val="none" w:sz="0" w:space="0" w:color="auto"/>
      </w:divBdr>
      <w:divsChild>
        <w:div w:id="1105617806">
          <w:marLeft w:val="446"/>
          <w:marRight w:val="0"/>
          <w:marTop w:val="0"/>
          <w:marBottom w:val="0"/>
          <w:divBdr>
            <w:top w:val="none" w:sz="0" w:space="0" w:color="auto"/>
            <w:left w:val="none" w:sz="0" w:space="0" w:color="auto"/>
            <w:bottom w:val="none" w:sz="0" w:space="0" w:color="auto"/>
            <w:right w:val="none" w:sz="0" w:space="0" w:color="auto"/>
          </w:divBdr>
        </w:div>
      </w:divsChild>
    </w:div>
    <w:div w:id="2020616272">
      <w:bodyDiv w:val="1"/>
      <w:marLeft w:val="0"/>
      <w:marRight w:val="0"/>
      <w:marTop w:val="0"/>
      <w:marBottom w:val="0"/>
      <w:divBdr>
        <w:top w:val="none" w:sz="0" w:space="0" w:color="auto"/>
        <w:left w:val="none" w:sz="0" w:space="0" w:color="auto"/>
        <w:bottom w:val="none" w:sz="0" w:space="0" w:color="auto"/>
        <w:right w:val="none" w:sz="0" w:space="0" w:color="auto"/>
      </w:divBdr>
    </w:div>
    <w:div w:id="2022392447">
      <w:bodyDiv w:val="1"/>
      <w:marLeft w:val="0"/>
      <w:marRight w:val="0"/>
      <w:marTop w:val="0"/>
      <w:marBottom w:val="0"/>
      <w:divBdr>
        <w:top w:val="none" w:sz="0" w:space="0" w:color="auto"/>
        <w:left w:val="none" w:sz="0" w:space="0" w:color="auto"/>
        <w:bottom w:val="none" w:sz="0" w:space="0" w:color="auto"/>
        <w:right w:val="none" w:sz="0" w:space="0" w:color="auto"/>
      </w:divBdr>
    </w:div>
    <w:div w:id="2023773166">
      <w:bodyDiv w:val="1"/>
      <w:marLeft w:val="0"/>
      <w:marRight w:val="0"/>
      <w:marTop w:val="0"/>
      <w:marBottom w:val="0"/>
      <w:divBdr>
        <w:top w:val="none" w:sz="0" w:space="0" w:color="auto"/>
        <w:left w:val="none" w:sz="0" w:space="0" w:color="auto"/>
        <w:bottom w:val="none" w:sz="0" w:space="0" w:color="auto"/>
        <w:right w:val="none" w:sz="0" w:space="0" w:color="auto"/>
      </w:divBdr>
    </w:div>
    <w:div w:id="2027364285">
      <w:bodyDiv w:val="1"/>
      <w:marLeft w:val="0"/>
      <w:marRight w:val="0"/>
      <w:marTop w:val="0"/>
      <w:marBottom w:val="0"/>
      <w:divBdr>
        <w:top w:val="none" w:sz="0" w:space="0" w:color="auto"/>
        <w:left w:val="none" w:sz="0" w:space="0" w:color="auto"/>
        <w:bottom w:val="none" w:sz="0" w:space="0" w:color="auto"/>
        <w:right w:val="none" w:sz="0" w:space="0" w:color="auto"/>
      </w:divBdr>
      <w:divsChild>
        <w:div w:id="355040613">
          <w:marLeft w:val="547"/>
          <w:marRight w:val="0"/>
          <w:marTop w:val="0"/>
          <w:marBottom w:val="0"/>
          <w:divBdr>
            <w:top w:val="none" w:sz="0" w:space="0" w:color="auto"/>
            <w:left w:val="none" w:sz="0" w:space="0" w:color="auto"/>
            <w:bottom w:val="none" w:sz="0" w:space="0" w:color="auto"/>
            <w:right w:val="none" w:sz="0" w:space="0" w:color="auto"/>
          </w:divBdr>
        </w:div>
        <w:div w:id="1008481497">
          <w:marLeft w:val="547"/>
          <w:marRight w:val="0"/>
          <w:marTop w:val="0"/>
          <w:marBottom w:val="0"/>
          <w:divBdr>
            <w:top w:val="none" w:sz="0" w:space="0" w:color="auto"/>
            <w:left w:val="none" w:sz="0" w:space="0" w:color="auto"/>
            <w:bottom w:val="none" w:sz="0" w:space="0" w:color="auto"/>
            <w:right w:val="none" w:sz="0" w:space="0" w:color="auto"/>
          </w:divBdr>
        </w:div>
        <w:div w:id="1317876336">
          <w:marLeft w:val="547"/>
          <w:marRight w:val="0"/>
          <w:marTop w:val="0"/>
          <w:marBottom w:val="0"/>
          <w:divBdr>
            <w:top w:val="none" w:sz="0" w:space="0" w:color="auto"/>
            <w:left w:val="none" w:sz="0" w:space="0" w:color="auto"/>
            <w:bottom w:val="none" w:sz="0" w:space="0" w:color="auto"/>
            <w:right w:val="none" w:sz="0" w:space="0" w:color="auto"/>
          </w:divBdr>
        </w:div>
      </w:divsChild>
    </w:div>
    <w:div w:id="2034989771">
      <w:bodyDiv w:val="1"/>
      <w:marLeft w:val="0"/>
      <w:marRight w:val="0"/>
      <w:marTop w:val="0"/>
      <w:marBottom w:val="0"/>
      <w:divBdr>
        <w:top w:val="none" w:sz="0" w:space="0" w:color="auto"/>
        <w:left w:val="none" w:sz="0" w:space="0" w:color="auto"/>
        <w:bottom w:val="none" w:sz="0" w:space="0" w:color="auto"/>
        <w:right w:val="none" w:sz="0" w:space="0" w:color="auto"/>
      </w:divBdr>
    </w:div>
    <w:div w:id="2041127499">
      <w:bodyDiv w:val="1"/>
      <w:marLeft w:val="0"/>
      <w:marRight w:val="0"/>
      <w:marTop w:val="0"/>
      <w:marBottom w:val="0"/>
      <w:divBdr>
        <w:top w:val="none" w:sz="0" w:space="0" w:color="auto"/>
        <w:left w:val="none" w:sz="0" w:space="0" w:color="auto"/>
        <w:bottom w:val="none" w:sz="0" w:space="0" w:color="auto"/>
        <w:right w:val="none" w:sz="0" w:space="0" w:color="auto"/>
      </w:divBdr>
      <w:divsChild>
        <w:div w:id="155657796">
          <w:marLeft w:val="274"/>
          <w:marRight w:val="0"/>
          <w:marTop w:val="0"/>
          <w:marBottom w:val="0"/>
          <w:divBdr>
            <w:top w:val="none" w:sz="0" w:space="0" w:color="auto"/>
            <w:left w:val="none" w:sz="0" w:space="0" w:color="auto"/>
            <w:bottom w:val="none" w:sz="0" w:space="0" w:color="auto"/>
            <w:right w:val="none" w:sz="0" w:space="0" w:color="auto"/>
          </w:divBdr>
        </w:div>
        <w:div w:id="1099641978">
          <w:marLeft w:val="274"/>
          <w:marRight w:val="0"/>
          <w:marTop w:val="0"/>
          <w:marBottom w:val="0"/>
          <w:divBdr>
            <w:top w:val="none" w:sz="0" w:space="0" w:color="auto"/>
            <w:left w:val="none" w:sz="0" w:space="0" w:color="auto"/>
            <w:bottom w:val="none" w:sz="0" w:space="0" w:color="auto"/>
            <w:right w:val="none" w:sz="0" w:space="0" w:color="auto"/>
          </w:divBdr>
        </w:div>
        <w:div w:id="1148128918">
          <w:marLeft w:val="274"/>
          <w:marRight w:val="0"/>
          <w:marTop w:val="0"/>
          <w:marBottom w:val="0"/>
          <w:divBdr>
            <w:top w:val="none" w:sz="0" w:space="0" w:color="auto"/>
            <w:left w:val="none" w:sz="0" w:space="0" w:color="auto"/>
            <w:bottom w:val="none" w:sz="0" w:space="0" w:color="auto"/>
            <w:right w:val="none" w:sz="0" w:space="0" w:color="auto"/>
          </w:divBdr>
        </w:div>
        <w:div w:id="1182813620">
          <w:marLeft w:val="274"/>
          <w:marRight w:val="0"/>
          <w:marTop w:val="0"/>
          <w:marBottom w:val="0"/>
          <w:divBdr>
            <w:top w:val="none" w:sz="0" w:space="0" w:color="auto"/>
            <w:left w:val="none" w:sz="0" w:space="0" w:color="auto"/>
            <w:bottom w:val="none" w:sz="0" w:space="0" w:color="auto"/>
            <w:right w:val="none" w:sz="0" w:space="0" w:color="auto"/>
          </w:divBdr>
        </w:div>
        <w:div w:id="1233002383">
          <w:marLeft w:val="360"/>
          <w:marRight w:val="0"/>
          <w:marTop w:val="0"/>
          <w:marBottom w:val="0"/>
          <w:divBdr>
            <w:top w:val="none" w:sz="0" w:space="0" w:color="auto"/>
            <w:left w:val="none" w:sz="0" w:space="0" w:color="auto"/>
            <w:bottom w:val="none" w:sz="0" w:space="0" w:color="auto"/>
            <w:right w:val="none" w:sz="0" w:space="0" w:color="auto"/>
          </w:divBdr>
        </w:div>
        <w:div w:id="1405178716">
          <w:marLeft w:val="274"/>
          <w:marRight w:val="0"/>
          <w:marTop w:val="0"/>
          <w:marBottom w:val="0"/>
          <w:divBdr>
            <w:top w:val="none" w:sz="0" w:space="0" w:color="auto"/>
            <w:left w:val="none" w:sz="0" w:space="0" w:color="auto"/>
            <w:bottom w:val="none" w:sz="0" w:space="0" w:color="auto"/>
            <w:right w:val="none" w:sz="0" w:space="0" w:color="auto"/>
          </w:divBdr>
        </w:div>
      </w:divsChild>
    </w:div>
    <w:div w:id="2041971995">
      <w:bodyDiv w:val="1"/>
      <w:marLeft w:val="0"/>
      <w:marRight w:val="0"/>
      <w:marTop w:val="0"/>
      <w:marBottom w:val="0"/>
      <w:divBdr>
        <w:top w:val="none" w:sz="0" w:space="0" w:color="auto"/>
        <w:left w:val="none" w:sz="0" w:space="0" w:color="auto"/>
        <w:bottom w:val="none" w:sz="0" w:space="0" w:color="auto"/>
        <w:right w:val="none" w:sz="0" w:space="0" w:color="auto"/>
      </w:divBdr>
      <w:divsChild>
        <w:div w:id="59790550">
          <w:marLeft w:val="274"/>
          <w:marRight w:val="0"/>
          <w:marTop w:val="0"/>
          <w:marBottom w:val="0"/>
          <w:divBdr>
            <w:top w:val="none" w:sz="0" w:space="0" w:color="auto"/>
            <w:left w:val="none" w:sz="0" w:space="0" w:color="auto"/>
            <w:bottom w:val="none" w:sz="0" w:space="0" w:color="auto"/>
            <w:right w:val="none" w:sz="0" w:space="0" w:color="auto"/>
          </w:divBdr>
        </w:div>
        <w:div w:id="243684412">
          <w:marLeft w:val="274"/>
          <w:marRight w:val="0"/>
          <w:marTop w:val="0"/>
          <w:marBottom w:val="0"/>
          <w:divBdr>
            <w:top w:val="none" w:sz="0" w:space="0" w:color="auto"/>
            <w:left w:val="none" w:sz="0" w:space="0" w:color="auto"/>
            <w:bottom w:val="none" w:sz="0" w:space="0" w:color="auto"/>
            <w:right w:val="none" w:sz="0" w:space="0" w:color="auto"/>
          </w:divBdr>
        </w:div>
        <w:div w:id="438305635">
          <w:marLeft w:val="274"/>
          <w:marRight w:val="0"/>
          <w:marTop w:val="0"/>
          <w:marBottom w:val="0"/>
          <w:divBdr>
            <w:top w:val="none" w:sz="0" w:space="0" w:color="auto"/>
            <w:left w:val="none" w:sz="0" w:space="0" w:color="auto"/>
            <w:bottom w:val="none" w:sz="0" w:space="0" w:color="auto"/>
            <w:right w:val="none" w:sz="0" w:space="0" w:color="auto"/>
          </w:divBdr>
        </w:div>
        <w:div w:id="569462930">
          <w:marLeft w:val="274"/>
          <w:marRight w:val="0"/>
          <w:marTop w:val="0"/>
          <w:marBottom w:val="0"/>
          <w:divBdr>
            <w:top w:val="none" w:sz="0" w:space="0" w:color="auto"/>
            <w:left w:val="none" w:sz="0" w:space="0" w:color="auto"/>
            <w:bottom w:val="none" w:sz="0" w:space="0" w:color="auto"/>
            <w:right w:val="none" w:sz="0" w:space="0" w:color="auto"/>
          </w:divBdr>
        </w:div>
        <w:div w:id="1494641717">
          <w:marLeft w:val="274"/>
          <w:marRight w:val="0"/>
          <w:marTop w:val="0"/>
          <w:marBottom w:val="0"/>
          <w:divBdr>
            <w:top w:val="none" w:sz="0" w:space="0" w:color="auto"/>
            <w:left w:val="none" w:sz="0" w:space="0" w:color="auto"/>
            <w:bottom w:val="none" w:sz="0" w:space="0" w:color="auto"/>
            <w:right w:val="none" w:sz="0" w:space="0" w:color="auto"/>
          </w:divBdr>
        </w:div>
      </w:divsChild>
    </w:div>
    <w:div w:id="2048554929">
      <w:bodyDiv w:val="1"/>
      <w:marLeft w:val="0"/>
      <w:marRight w:val="0"/>
      <w:marTop w:val="0"/>
      <w:marBottom w:val="0"/>
      <w:divBdr>
        <w:top w:val="none" w:sz="0" w:space="0" w:color="auto"/>
        <w:left w:val="none" w:sz="0" w:space="0" w:color="auto"/>
        <w:bottom w:val="none" w:sz="0" w:space="0" w:color="auto"/>
        <w:right w:val="none" w:sz="0" w:space="0" w:color="auto"/>
      </w:divBdr>
    </w:div>
    <w:div w:id="2060664801">
      <w:bodyDiv w:val="1"/>
      <w:marLeft w:val="0"/>
      <w:marRight w:val="0"/>
      <w:marTop w:val="0"/>
      <w:marBottom w:val="0"/>
      <w:divBdr>
        <w:top w:val="none" w:sz="0" w:space="0" w:color="auto"/>
        <w:left w:val="none" w:sz="0" w:space="0" w:color="auto"/>
        <w:bottom w:val="none" w:sz="0" w:space="0" w:color="auto"/>
        <w:right w:val="none" w:sz="0" w:space="0" w:color="auto"/>
      </w:divBdr>
    </w:div>
    <w:div w:id="2064206986">
      <w:bodyDiv w:val="1"/>
      <w:marLeft w:val="0"/>
      <w:marRight w:val="0"/>
      <w:marTop w:val="0"/>
      <w:marBottom w:val="0"/>
      <w:divBdr>
        <w:top w:val="none" w:sz="0" w:space="0" w:color="auto"/>
        <w:left w:val="none" w:sz="0" w:space="0" w:color="auto"/>
        <w:bottom w:val="none" w:sz="0" w:space="0" w:color="auto"/>
        <w:right w:val="none" w:sz="0" w:space="0" w:color="auto"/>
      </w:divBdr>
      <w:divsChild>
        <w:div w:id="197474976">
          <w:marLeft w:val="274"/>
          <w:marRight w:val="0"/>
          <w:marTop w:val="0"/>
          <w:marBottom w:val="0"/>
          <w:divBdr>
            <w:top w:val="none" w:sz="0" w:space="0" w:color="auto"/>
            <w:left w:val="none" w:sz="0" w:space="0" w:color="auto"/>
            <w:bottom w:val="none" w:sz="0" w:space="0" w:color="auto"/>
            <w:right w:val="none" w:sz="0" w:space="0" w:color="auto"/>
          </w:divBdr>
        </w:div>
        <w:div w:id="247622182">
          <w:marLeft w:val="547"/>
          <w:marRight w:val="0"/>
          <w:marTop w:val="0"/>
          <w:marBottom w:val="0"/>
          <w:divBdr>
            <w:top w:val="none" w:sz="0" w:space="0" w:color="auto"/>
            <w:left w:val="none" w:sz="0" w:space="0" w:color="auto"/>
            <w:bottom w:val="none" w:sz="0" w:space="0" w:color="auto"/>
            <w:right w:val="none" w:sz="0" w:space="0" w:color="auto"/>
          </w:divBdr>
        </w:div>
        <w:div w:id="703290423">
          <w:marLeft w:val="274"/>
          <w:marRight w:val="0"/>
          <w:marTop w:val="0"/>
          <w:marBottom w:val="0"/>
          <w:divBdr>
            <w:top w:val="none" w:sz="0" w:space="0" w:color="auto"/>
            <w:left w:val="none" w:sz="0" w:space="0" w:color="auto"/>
            <w:bottom w:val="none" w:sz="0" w:space="0" w:color="auto"/>
            <w:right w:val="none" w:sz="0" w:space="0" w:color="auto"/>
          </w:divBdr>
        </w:div>
        <w:div w:id="1142039774">
          <w:marLeft w:val="274"/>
          <w:marRight w:val="0"/>
          <w:marTop w:val="0"/>
          <w:marBottom w:val="0"/>
          <w:divBdr>
            <w:top w:val="none" w:sz="0" w:space="0" w:color="auto"/>
            <w:left w:val="none" w:sz="0" w:space="0" w:color="auto"/>
            <w:bottom w:val="none" w:sz="0" w:space="0" w:color="auto"/>
            <w:right w:val="none" w:sz="0" w:space="0" w:color="auto"/>
          </w:divBdr>
        </w:div>
      </w:divsChild>
    </w:div>
    <w:div w:id="2079815575">
      <w:bodyDiv w:val="1"/>
      <w:marLeft w:val="0"/>
      <w:marRight w:val="0"/>
      <w:marTop w:val="0"/>
      <w:marBottom w:val="0"/>
      <w:divBdr>
        <w:top w:val="none" w:sz="0" w:space="0" w:color="auto"/>
        <w:left w:val="none" w:sz="0" w:space="0" w:color="auto"/>
        <w:bottom w:val="none" w:sz="0" w:space="0" w:color="auto"/>
        <w:right w:val="none" w:sz="0" w:space="0" w:color="auto"/>
      </w:divBdr>
      <w:divsChild>
        <w:div w:id="30305274">
          <w:marLeft w:val="446"/>
          <w:marRight w:val="0"/>
          <w:marTop w:val="0"/>
          <w:marBottom w:val="0"/>
          <w:divBdr>
            <w:top w:val="none" w:sz="0" w:space="0" w:color="auto"/>
            <w:left w:val="none" w:sz="0" w:space="0" w:color="auto"/>
            <w:bottom w:val="none" w:sz="0" w:space="0" w:color="auto"/>
            <w:right w:val="none" w:sz="0" w:space="0" w:color="auto"/>
          </w:divBdr>
        </w:div>
      </w:divsChild>
    </w:div>
    <w:div w:id="20896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au-fmincomereporting@kpmg.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engage.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incomereporting@kpmg.com.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nister.servicesaustralia.gov.au/media-releases/2021-12-07-update-services-australia-temporary-debt-paus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Univers 45 Light" pitchFamily="2" charset="0"/>
                <a:ea typeface="+mn-ea"/>
                <a:cs typeface="+mn-cs"/>
              </a:defRPr>
            </a:pPr>
            <a:r>
              <a:rPr lang="en-AU" sz="1000" b="0">
                <a:effectLst/>
              </a:rPr>
              <a:t>Do you recall hearing about or being notified about the above change before it was implemented?</a:t>
            </a:r>
          </a:p>
        </c:rich>
      </c:tx>
      <c:layout>
        <c:manualLayout>
          <c:xMode val="edge"/>
          <c:yMode val="edge"/>
          <c:x val="0.12249375202601667"/>
          <c:y val="0"/>
        </c:manualLayout>
      </c:layout>
      <c:overlay val="0"/>
      <c:spPr>
        <a:noFill/>
        <a:ln>
          <a:noFill/>
        </a:ln>
        <a:effectLst/>
      </c:spPr>
      <c:txPr>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Univers 45 Light" pitchFamily="2" charset="0"/>
              <a:ea typeface="+mn-ea"/>
              <a:cs typeface="+mn-cs"/>
            </a:defRPr>
          </a:pPr>
          <a:endParaRPr lang="en-US"/>
        </a:p>
      </c:txPr>
    </c:title>
    <c:autoTitleDeleted val="0"/>
    <c:plotArea>
      <c:layout>
        <c:manualLayout>
          <c:layoutTarget val="inner"/>
          <c:xMode val="edge"/>
          <c:yMode val="edge"/>
          <c:x val="6.1109194020070208E-2"/>
          <c:y val="0.3434539550480718"/>
          <c:w val="0.89821815101797531"/>
          <c:h val="0.51232294076447993"/>
        </c:manualLayout>
      </c:layout>
      <c:barChart>
        <c:barDir val="bar"/>
        <c:grouping val="stacked"/>
        <c:varyColors val="0"/>
        <c:ser>
          <c:idx val="0"/>
          <c:order val="0"/>
          <c:tx>
            <c:strRef>
              <c:f>Sheet1!$B$1</c:f>
              <c:strCache>
                <c:ptCount val="1"/>
                <c:pt idx="0">
                  <c:v>No</c:v>
                </c:pt>
              </c:strCache>
            </c:strRef>
          </c:tx>
          <c:spPr>
            <a:solidFill>
              <a:schemeClr val="tx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DD6E-4512-9D14-3A3740B1336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0.54</c:v>
                </c:pt>
              </c:numCache>
            </c:numRef>
          </c:val>
          <c:extLst>
            <c:ext xmlns:c16="http://schemas.microsoft.com/office/drawing/2014/chart" uri="{C3380CC4-5D6E-409C-BE32-E72D297353CC}">
              <c16:uniqueId val="{00000002-DD6E-4512-9D14-3A3740B1336C}"/>
            </c:ext>
          </c:extLst>
        </c:ser>
        <c:ser>
          <c:idx val="1"/>
          <c:order val="1"/>
          <c:tx>
            <c:strRef>
              <c:f>Sheet1!$C$1</c:f>
              <c:strCache>
                <c:ptCount val="1"/>
                <c:pt idx="0">
                  <c:v>Unsure</c:v>
                </c:pt>
              </c:strCache>
            </c:strRef>
          </c:tx>
          <c:spPr>
            <a:solidFill>
              <a:srgbClr val="00A6D2"/>
            </a:solidFill>
            <a:ln>
              <a:solidFill>
                <a:srgbClr val="00A6D2"/>
              </a:solid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Univers 45 Light" pitchFamily="2" charset="0"/>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DD6E-4512-9D14-3A3740B1336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0.16</c:v>
                </c:pt>
              </c:numCache>
            </c:numRef>
          </c:val>
          <c:extLst>
            <c:ext xmlns:c16="http://schemas.microsoft.com/office/drawing/2014/chart" uri="{C3380CC4-5D6E-409C-BE32-E72D297353CC}">
              <c16:uniqueId val="{00000004-DD6E-4512-9D14-3A3740B1336C}"/>
            </c:ext>
          </c:extLst>
        </c:ser>
        <c:ser>
          <c:idx val="2"/>
          <c:order val="2"/>
          <c:tx>
            <c:strRef>
              <c:f>Sheet1!$D$1</c:f>
              <c:strCache>
                <c:ptCount val="1"/>
                <c:pt idx="0">
                  <c:v>Yes</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0.3</c:v>
                </c:pt>
              </c:numCache>
            </c:numRef>
          </c:val>
          <c:extLst>
            <c:ext xmlns:c16="http://schemas.microsoft.com/office/drawing/2014/chart" uri="{C3380CC4-5D6E-409C-BE32-E72D297353CC}">
              <c16:uniqueId val="{00000005-DD6E-4512-9D14-3A3740B1336C}"/>
            </c:ext>
          </c:extLst>
        </c:ser>
        <c:dLbls>
          <c:dLblPos val="ctr"/>
          <c:showLegendKey val="0"/>
          <c:showVal val="1"/>
          <c:showCatName val="0"/>
          <c:showSerName val="0"/>
          <c:showPercent val="0"/>
          <c:showBubbleSize val="0"/>
        </c:dLbls>
        <c:gapWidth val="100"/>
        <c:overlap val="100"/>
        <c:axId val="105769776"/>
        <c:axId val="398604336"/>
      </c:barChart>
      <c:valAx>
        <c:axId val="398604336"/>
        <c:scaling>
          <c:orientation val="minMax"/>
        </c:scaling>
        <c:delete val="1"/>
        <c:axPos val="b"/>
        <c:numFmt formatCode="0%" sourceLinked="1"/>
        <c:majorTickMark val="out"/>
        <c:minorTickMark val="none"/>
        <c:tickLblPos val="nextTo"/>
        <c:crossAx val="105769776"/>
        <c:crosses val="autoZero"/>
        <c:crossBetween val="between"/>
      </c:valAx>
      <c:catAx>
        <c:axId val="105769776"/>
        <c:scaling>
          <c:orientation val="minMax"/>
        </c:scaling>
        <c:delete val="1"/>
        <c:axPos val="l"/>
        <c:numFmt formatCode="General" sourceLinked="1"/>
        <c:majorTickMark val="out"/>
        <c:minorTickMark val="none"/>
        <c:tickLblPos val="nextTo"/>
        <c:crossAx val="398604336"/>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lgn="just">
            <a:defRPr sz="1000" b="0" i="0" u="none" strike="noStrike" kern="1200" baseline="0">
              <a:solidFill>
                <a:schemeClr val="tx1">
                  <a:lumMod val="65000"/>
                  <a:lumOff val="35000"/>
                </a:schemeClr>
              </a:solidFill>
              <a:latin typeface="Univers 45 Light"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95000"/>
        </a:schemeClr>
      </a:solidFill>
      <a:round/>
    </a:ln>
    <a:effectLst/>
  </c:spPr>
  <c:txPr>
    <a:bodyPr/>
    <a:lstStyle/>
    <a:p>
      <a:pPr>
        <a:defRPr sz="1000">
          <a:latin typeface="Univers 45 Light"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Univers 45 Light" pitchFamily="2" charset="0"/>
                <a:ea typeface="+mn-ea"/>
                <a:cs typeface="+mn-cs"/>
              </a:defRPr>
            </a:pPr>
            <a:r>
              <a:rPr lang="en-AU" sz="1000" b="0">
                <a:effectLst/>
              </a:rPr>
              <a:t>Do you agree you felt adequately informed about your requirement to report in a different way moving forward?</a:t>
            </a:r>
          </a:p>
        </c:rich>
      </c:tx>
      <c:layout>
        <c:manualLayout>
          <c:xMode val="edge"/>
          <c:yMode val="edge"/>
          <c:x val="0.13134715025906735"/>
          <c:y val="6.6465256797583083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Univers 45 Light" pitchFamily="2" charset="0"/>
              <a:ea typeface="+mn-ea"/>
              <a:cs typeface="+mn-cs"/>
            </a:defRPr>
          </a:pPr>
          <a:endParaRPr lang="en-US"/>
        </a:p>
      </c:txPr>
    </c:title>
    <c:autoTitleDeleted val="0"/>
    <c:plotArea>
      <c:layout>
        <c:manualLayout>
          <c:layoutTarget val="inner"/>
          <c:xMode val="edge"/>
          <c:yMode val="edge"/>
          <c:x val="0.10316320021750269"/>
          <c:y val="0.40814398200224977"/>
          <c:w val="0.8960047822707421"/>
          <c:h val="0.51232294076447993"/>
        </c:manualLayout>
      </c:layout>
      <c:barChart>
        <c:barDir val="bar"/>
        <c:grouping val="stacked"/>
        <c:varyColors val="0"/>
        <c:ser>
          <c:idx val="0"/>
          <c:order val="0"/>
          <c:tx>
            <c:strRef>
              <c:f>Sheet1!$B$1</c:f>
              <c:strCache>
                <c:ptCount val="1"/>
                <c:pt idx="0">
                  <c:v>Strongly disagree</c:v>
                </c:pt>
              </c:strCache>
            </c:strRef>
          </c:tx>
          <c:spPr>
            <a:solidFill>
              <a:schemeClr val="tx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825E-45D1-9405-49D1D24DDDD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Sheet1!$B$2</c:f>
              <c:numCache>
                <c:formatCode>0%</c:formatCode>
                <c:ptCount val="1"/>
                <c:pt idx="0">
                  <c:v>0.27659574468089998</c:v>
                </c:pt>
              </c:numCache>
            </c:numRef>
          </c:val>
          <c:extLst>
            <c:ext xmlns:c16="http://schemas.microsoft.com/office/drawing/2014/chart" uri="{C3380CC4-5D6E-409C-BE32-E72D297353CC}">
              <c16:uniqueId val="{00000002-825E-45D1-9405-49D1D24DDDD3}"/>
            </c:ext>
          </c:extLst>
        </c:ser>
        <c:ser>
          <c:idx val="1"/>
          <c:order val="1"/>
          <c:tx>
            <c:strRef>
              <c:f>Sheet1!$C$1</c:f>
              <c:strCache>
                <c:ptCount val="1"/>
                <c:pt idx="0">
                  <c:v>Somewhat disagree</c:v>
                </c:pt>
              </c:strCache>
            </c:strRef>
          </c:tx>
          <c:spPr>
            <a:solidFill>
              <a:srgbClr val="00A6D2"/>
            </a:solidFill>
            <a:ln>
              <a:solidFill>
                <a:srgbClr val="00A6D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Sheet1!$C$2</c:f>
              <c:numCache>
                <c:formatCode>0%</c:formatCode>
                <c:ptCount val="1"/>
                <c:pt idx="0">
                  <c:v>0.27659574468089998</c:v>
                </c:pt>
              </c:numCache>
            </c:numRef>
          </c:val>
          <c:extLst>
            <c:ext xmlns:c16="http://schemas.microsoft.com/office/drawing/2014/chart" uri="{C3380CC4-5D6E-409C-BE32-E72D297353CC}">
              <c16:uniqueId val="{00000003-825E-45D1-9405-49D1D24DDDD3}"/>
            </c:ext>
          </c:extLst>
        </c:ser>
        <c:ser>
          <c:idx val="2"/>
          <c:order val="2"/>
          <c:tx>
            <c:strRef>
              <c:f>Sheet1!$D$1</c:f>
              <c:strCache>
                <c:ptCount val="1"/>
                <c:pt idx="0">
                  <c:v>Neutral</c:v>
                </c:pt>
              </c:strCache>
            </c:strRef>
          </c:tx>
          <c:spPr>
            <a:solidFill>
              <a:schemeClr val="bg1"/>
            </a:solidFill>
            <a:ln>
              <a:solidFill>
                <a:schemeClr val="tx1"/>
              </a:solidFill>
            </a:ln>
            <a:effectLst/>
          </c:spPr>
          <c:invertIfNegative val="0"/>
          <c:dPt>
            <c:idx val="0"/>
            <c:invertIfNegative val="0"/>
            <c:bubble3D val="0"/>
            <c:spPr>
              <a:solidFill>
                <a:schemeClr val="bg1"/>
              </a:solidFill>
              <a:ln>
                <a:solidFill>
                  <a:schemeClr val="tx1"/>
                </a:solidFill>
              </a:ln>
              <a:effectLst/>
            </c:spPr>
            <c:extLst>
              <c:ext xmlns:c16="http://schemas.microsoft.com/office/drawing/2014/chart" uri="{C3380CC4-5D6E-409C-BE32-E72D297353CC}">
                <c16:uniqueId val="{00000005-825E-45D1-9405-49D1D24DDDD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Sheet1!$D$2</c:f>
              <c:numCache>
                <c:formatCode>0%</c:formatCode>
                <c:ptCount val="1"/>
                <c:pt idx="0">
                  <c:v>0.19148936170210001</c:v>
                </c:pt>
              </c:numCache>
            </c:numRef>
          </c:val>
          <c:extLst>
            <c:ext xmlns:c16="http://schemas.microsoft.com/office/drawing/2014/chart" uri="{C3380CC4-5D6E-409C-BE32-E72D297353CC}">
              <c16:uniqueId val="{00000006-825E-45D1-9405-49D1D24DDDD3}"/>
            </c:ext>
          </c:extLst>
        </c:ser>
        <c:ser>
          <c:idx val="3"/>
          <c:order val="3"/>
          <c:tx>
            <c:strRef>
              <c:f>Sheet1!$E$1</c:f>
              <c:strCache>
                <c:ptCount val="1"/>
                <c:pt idx="0">
                  <c:v>Somewhat agree</c:v>
                </c:pt>
              </c:strCache>
            </c:strRef>
          </c:tx>
          <c:spPr>
            <a:solidFill>
              <a:schemeClr val="accent4">
                <a:lumMod val="75000"/>
              </a:schemeClr>
            </a:solidFill>
            <a:ln>
              <a:solidFill>
                <a:schemeClr val="accent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Sheet1!$E$2</c:f>
              <c:numCache>
                <c:formatCode>0%</c:formatCode>
                <c:ptCount val="1"/>
                <c:pt idx="0">
                  <c:v>0.1276595744681</c:v>
                </c:pt>
              </c:numCache>
            </c:numRef>
          </c:val>
          <c:extLst>
            <c:ext xmlns:c16="http://schemas.microsoft.com/office/drawing/2014/chart" uri="{C3380CC4-5D6E-409C-BE32-E72D297353CC}">
              <c16:uniqueId val="{00000007-825E-45D1-9405-49D1D24DDDD3}"/>
            </c:ext>
          </c:extLst>
        </c:ser>
        <c:ser>
          <c:idx val="4"/>
          <c:order val="4"/>
          <c:tx>
            <c:strRef>
              <c:f>Sheet1!$F$1</c:f>
              <c:strCache>
                <c:ptCount val="1"/>
                <c:pt idx="0">
                  <c:v>Strongly agree</c:v>
                </c:pt>
              </c:strCache>
            </c:strRef>
          </c:tx>
          <c:spPr>
            <a:solidFill>
              <a:srgbClr val="990099"/>
            </a:solidFill>
            <a:ln>
              <a:solidFill>
                <a:srgbClr val="990099"/>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Sheet1!$F$2</c:f>
              <c:numCache>
                <c:formatCode>0%</c:formatCode>
                <c:ptCount val="1"/>
                <c:pt idx="0">
                  <c:v>0.13</c:v>
                </c:pt>
              </c:numCache>
            </c:numRef>
          </c:val>
          <c:extLst>
            <c:ext xmlns:c16="http://schemas.microsoft.com/office/drawing/2014/chart" uri="{C3380CC4-5D6E-409C-BE32-E72D297353CC}">
              <c16:uniqueId val="{00000008-825E-45D1-9405-49D1D24DDDD3}"/>
            </c:ext>
          </c:extLst>
        </c:ser>
        <c:dLbls>
          <c:dLblPos val="ctr"/>
          <c:showLegendKey val="0"/>
          <c:showVal val="1"/>
          <c:showCatName val="0"/>
          <c:showSerName val="0"/>
          <c:showPercent val="0"/>
          <c:showBubbleSize val="0"/>
        </c:dLbls>
        <c:gapWidth val="100"/>
        <c:overlap val="100"/>
        <c:axId val="105769776"/>
        <c:axId val="398604336"/>
      </c:barChart>
      <c:valAx>
        <c:axId val="398604336"/>
        <c:scaling>
          <c:orientation val="minMax"/>
        </c:scaling>
        <c:delete val="1"/>
        <c:axPos val="b"/>
        <c:numFmt formatCode="0%" sourceLinked="1"/>
        <c:majorTickMark val="out"/>
        <c:minorTickMark val="none"/>
        <c:tickLblPos val="nextTo"/>
        <c:crossAx val="105769776"/>
        <c:crosses val="autoZero"/>
        <c:crossBetween val="between"/>
      </c:valAx>
      <c:catAx>
        <c:axId val="105769776"/>
        <c:scaling>
          <c:orientation val="minMax"/>
        </c:scaling>
        <c:delete val="1"/>
        <c:axPos val="l"/>
        <c:numFmt formatCode="General" sourceLinked="1"/>
        <c:majorTickMark val="out"/>
        <c:minorTickMark val="none"/>
        <c:tickLblPos val="nextTo"/>
        <c:crossAx val="398604336"/>
        <c:crosses val="autoZero"/>
        <c:auto val="1"/>
        <c:lblAlgn val="ctr"/>
        <c:lblOffset val="100"/>
        <c:noMultiLvlLbl val="0"/>
      </c:catAx>
      <c:spPr>
        <a:noFill/>
        <a:ln>
          <a:noFill/>
        </a:ln>
        <a:effectLst/>
      </c:spPr>
    </c:plotArea>
    <c:legend>
      <c:legendPos val="r"/>
      <c:layout>
        <c:manualLayout>
          <c:xMode val="edge"/>
          <c:yMode val="edge"/>
          <c:x val="6.6480883116702083E-2"/>
          <c:y val="0.81968801069677621"/>
          <c:w val="0.92023890439989819"/>
          <c:h val="0.14897977375469576"/>
        </c:manualLayout>
      </c:layout>
      <c:overlay val="0"/>
      <c:spPr>
        <a:noFill/>
        <a:ln>
          <a:noFill/>
        </a:ln>
        <a:effectLst/>
      </c:spPr>
      <c:txPr>
        <a:bodyPr rot="0" spcFirstLastPara="1" vertOverflow="ellipsis" vert="horz" wrap="square" anchor="ctr" anchorCtr="1"/>
        <a:lstStyle/>
        <a:p>
          <a:pPr algn="just">
            <a:defRPr sz="1000" b="0" i="0" u="none" strike="noStrike" kern="1200" baseline="0">
              <a:solidFill>
                <a:schemeClr val="tx1">
                  <a:lumMod val="65000"/>
                  <a:lumOff val="35000"/>
                </a:schemeClr>
              </a:solidFill>
              <a:latin typeface="Univers 45 Light"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95000"/>
        </a:schemeClr>
      </a:solidFill>
      <a:round/>
    </a:ln>
    <a:effectLst/>
  </c:spPr>
  <c:txPr>
    <a:bodyPr/>
    <a:lstStyle/>
    <a:p>
      <a:pPr>
        <a:defRPr sz="1000">
          <a:latin typeface="Univers 45 Light"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Univers 45 Light" pitchFamily="2" charset="0"/>
                <a:ea typeface="+mn-ea"/>
                <a:cs typeface="+mn-cs"/>
              </a:defRPr>
            </a:pPr>
            <a:r>
              <a:rPr lang="en-US" sz="1000" b="0" i="0" baseline="0">
                <a:effectLst/>
              </a:rPr>
              <a:t>Do you recall having any issues with reporting employment income during the transition period (December 2020)? </a:t>
            </a:r>
          </a:p>
        </c:rich>
      </c:tx>
      <c:layout>
        <c:manualLayout>
          <c:xMode val="edge"/>
          <c:yMode val="edge"/>
          <c:x val="0.13134715025906735"/>
          <c:y val="6.6465256797583083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Univers 45 Light" pitchFamily="2" charset="0"/>
              <a:ea typeface="+mn-ea"/>
              <a:cs typeface="+mn-cs"/>
            </a:defRPr>
          </a:pPr>
          <a:endParaRPr lang="en-US"/>
        </a:p>
      </c:txPr>
    </c:title>
    <c:autoTitleDeleted val="0"/>
    <c:plotArea>
      <c:layout>
        <c:manualLayout>
          <c:layoutTarget val="inner"/>
          <c:xMode val="edge"/>
          <c:yMode val="edge"/>
          <c:x val="0.13415036267876876"/>
          <c:y val="0.36501729736613114"/>
          <c:w val="0.82296361361204351"/>
          <c:h val="0.51232294076447993"/>
        </c:manualLayout>
      </c:layout>
      <c:barChart>
        <c:barDir val="bar"/>
        <c:grouping val="stacked"/>
        <c:varyColors val="0"/>
        <c:ser>
          <c:idx val="0"/>
          <c:order val="0"/>
          <c:tx>
            <c:strRef>
              <c:f>Sheet1!$B$1</c:f>
              <c:strCache>
                <c:ptCount val="1"/>
                <c:pt idx="0">
                  <c:v>No</c:v>
                </c:pt>
              </c:strCache>
            </c:strRef>
          </c:tx>
          <c:spPr>
            <a:solidFill>
              <a:schemeClr val="tx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B6D2-47AD-984B-83B0680D283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Recall</c:v>
                </c:pt>
              </c:strCache>
            </c:strRef>
          </c:cat>
          <c:val>
            <c:numRef>
              <c:f>Sheet1!$B$2</c:f>
              <c:numCache>
                <c:formatCode>0%</c:formatCode>
                <c:ptCount val="1"/>
                <c:pt idx="0">
                  <c:v>0.53</c:v>
                </c:pt>
              </c:numCache>
            </c:numRef>
          </c:val>
          <c:extLst>
            <c:ext xmlns:c16="http://schemas.microsoft.com/office/drawing/2014/chart" uri="{C3380CC4-5D6E-409C-BE32-E72D297353CC}">
              <c16:uniqueId val="{00000002-B6D2-47AD-984B-83B0680D2837}"/>
            </c:ext>
          </c:extLst>
        </c:ser>
        <c:ser>
          <c:idx val="1"/>
          <c:order val="1"/>
          <c:tx>
            <c:strRef>
              <c:f>Sheet1!$C$1</c:f>
              <c:strCache>
                <c:ptCount val="1"/>
                <c:pt idx="0">
                  <c:v>Yes</c:v>
                </c:pt>
              </c:strCache>
            </c:strRef>
          </c:tx>
          <c:spPr>
            <a:solidFill>
              <a:srgbClr val="00A6D2"/>
            </a:solidFill>
            <a:ln>
              <a:noFill/>
            </a:ln>
            <a:effectLst/>
          </c:spPr>
          <c:invertIfNegative val="0"/>
          <c:dPt>
            <c:idx val="0"/>
            <c:invertIfNegative val="0"/>
            <c:bubble3D val="0"/>
            <c:spPr>
              <a:solidFill>
                <a:srgbClr val="00A6D2"/>
              </a:solidFill>
              <a:ln>
                <a:solidFill>
                  <a:srgbClr val="00A6D2"/>
                </a:solidFill>
              </a:ln>
              <a:effectLst/>
            </c:spPr>
            <c:extLst>
              <c:ext xmlns:c16="http://schemas.microsoft.com/office/drawing/2014/chart" uri="{C3380CC4-5D6E-409C-BE32-E72D297353CC}">
                <c16:uniqueId val="{00000004-B6D2-47AD-984B-83B0680D283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Recall</c:v>
                </c:pt>
              </c:strCache>
            </c:strRef>
          </c:cat>
          <c:val>
            <c:numRef>
              <c:f>Sheet1!$C$2</c:f>
              <c:numCache>
                <c:formatCode>0%</c:formatCode>
                <c:ptCount val="1"/>
                <c:pt idx="0">
                  <c:v>0.47</c:v>
                </c:pt>
              </c:numCache>
            </c:numRef>
          </c:val>
          <c:extLst>
            <c:ext xmlns:c16="http://schemas.microsoft.com/office/drawing/2014/chart" uri="{C3380CC4-5D6E-409C-BE32-E72D297353CC}">
              <c16:uniqueId val="{00000005-B6D2-47AD-984B-83B0680D2837}"/>
            </c:ext>
          </c:extLst>
        </c:ser>
        <c:dLbls>
          <c:dLblPos val="ctr"/>
          <c:showLegendKey val="0"/>
          <c:showVal val="1"/>
          <c:showCatName val="0"/>
          <c:showSerName val="0"/>
          <c:showPercent val="0"/>
          <c:showBubbleSize val="0"/>
        </c:dLbls>
        <c:gapWidth val="100"/>
        <c:overlap val="100"/>
        <c:axId val="105769776"/>
        <c:axId val="398604336"/>
      </c:barChart>
      <c:valAx>
        <c:axId val="398604336"/>
        <c:scaling>
          <c:orientation val="minMax"/>
        </c:scaling>
        <c:delete val="1"/>
        <c:axPos val="b"/>
        <c:numFmt formatCode="0%" sourceLinked="1"/>
        <c:majorTickMark val="out"/>
        <c:minorTickMark val="none"/>
        <c:tickLblPos val="nextTo"/>
        <c:crossAx val="105769776"/>
        <c:crosses val="autoZero"/>
        <c:crossBetween val="between"/>
      </c:valAx>
      <c:catAx>
        <c:axId val="105769776"/>
        <c:scaling>
          <c:orientation val="minMax"/>
        </c:scaling>
        <c:delete val="1"/>
        <c:axPos val="l"/>
        <c:numFmt formatCode="General" sourceLinked="1"/>
        <c:majorTickMark val="out"/>
        <c:minorTickMark val="none"/>
        <c:tickLblPos val="nextTo"/>
        <c:crossAx val="398604336"/>
        <c:crosses val="autoZero"/>
        <c:auto val="1"/>
        <c:lblAlgn val="ctr"/>
        <c:lblOffset val="100"/>
        <c:noMultiLvlLbl val="0"/>
      </c:catAx>
      <c:spPr>
        <a:noFill/>
        <a:ln>
          <a:noFill/>
        </a:ln>
        <a:effectLst/>
      </c:spPr>
    </c:plotArea>
    <c:legend>
      <c:legendPos val="r"/>
      <c:layout>
        <c:manualLayout>
          <c:xMode val="edge"/>
          <c:yMode val="edge"/>
          <c:x val="0.87489168435618836"/>
          <c:y val="0.33538176411459214"/>
          <c:w val="7.4200834457445811E-2"/>
          <c:h val="0.453498174550085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nivers 45 Light"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95000"/>
        </a:schemeClr>
      </a:solidFill>
      <a:round/>
    </a:ln>
    <a:effectLst/>
  </c:spPr>
  <c:txPr>
    <a:bodyPr/>
    <a:lstStyle/>
    <a:p>
      <a:pPr>
        <a:defRPr sz="1000">
          <a:latin typeface="Univers 45 Light"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0" i="0" u="none" strike="noStrike" kern="1200" spc="0" baseline="0">
                <a:solidFill>
                  <a:schemeClr val="tx1">
                    <a:lumMod val="65000"/>
                    <a:lumOff val="35000"/>
                  </a:schemeClr>
                </a:solidFill>
                <a:latin typeface="Univers 45 Light" pitchFamily="2" charset="0"/>
                <a:ea typeface="+mn-ea"/>
                <a:cs typeface="+mn-cs"/>
              </a:defRPr>
            </a:pPr>
            <a:r>
              <a:rPr lang="en-AU" sz="1000"/>
              <a:t>To</a:t>
            </a:r>
            <a:r>
              <a:rPr lang="en-AU" sz="1000" baseline="0"/>
              <a:t> what extent do you agree with the following statements about the process of reporting employment income?</a:t>
            </a:r>
            <a:endParaRPr lang="en-AU" sz="1000"/>
          </a:p>
        </c:rich>
      </c:tx>
      <c:overlay val="0"/>
      <c:spPr>
        <a:noFill/>
        <a:ln>
          <a:noFill/>
        </a:ln>
        <a:effectLst/>
      </c:spPr>
      <c:txPr>
        <a:bodyPr rot="0" spcFirstLastPara="1" vertOverflow="ellipsis" vert="horz" wrap="square" anchor="ctr" anchorCtr="1"/>
        <a:lstStyle/>
        <a:p>
          <a:pPr algn="ctr" rtl="0">
            <a:defRPr sz="1000" b="0" i="0" u="none" strike="noStrike" kern="1200" spc="0" baseline="0">
              <a:solidFill>
                <a:schemeClr val="tx1">
                  <a:lumMod val="65000"/>
                  <a:lumOff val="35000"/>
                </a:schemeClr>
              </a:solidFill>
              <a:latin typeface="Univers 45 Light" pitchFamily="2" charset="0"/>
              <a:ea typeface="+mn-ea"/>
              <a:cs typeface="+mn-cs"/>
            </a:defRPr>
          </a:pPr>
          <a:endParaRPr lang="en-US"/>
        </a:p>
      </c:txPr>
    </c:title>
    <c:autoTitleDeleted val="0"/>
    <c:plotArea>
      <c:layout>
        <c:manualLayout>
          <c:layoutTarget val="inner"/>
          <c:xMode val="edge"/>
          <c:yMode val="edge"/>
          <c:x val="0.46620441187960654"/>
          <c:y val="0.16382761315140951"/>
          <c:w val="0.5172766511201925"/>
          <c:h val="0.73153012362004366"/>
        </c:manualLayout>
      </c:layout>
      <c:barChart>
        <c:barDir val="bar"/>
        <c:grouping val="percentStacked"/>
        <c:varyColors val="0"/>
        <c:ser>
          <c:idx val="0"/>
          <c:order val="0"/>
          <c:tx>
            <c:strRef>
              <c:f>Sheet1!$B$1</c:f>
              <c:strCache>
                <c:ptCount val="1"/>
                <c:pt idx="0">
                  <c:v>Somewhat/strongly disagree</c:v>
                </c:pt>
              </c:strCache>
            </c:strRef>
          </c:tx>
          <c:spPr>
            <a:solidFill>
              <a:schemeClr val="tx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 am satisfied with the current employment income reporting process</c:v>
                </c:pt>
                <c:pt idx="1">
                  <c:v>The current process is easy</c:v>
                </c:pt>
                <c:pt idx="2">
                  <c:v>I understand how to report</c:v>
                </c:pt>
                <c:pt idx="3">
                  <c:v>I know where to go to get help if I have trouble when reporting</c:v>
                </c:pt>
                <c:pt idx="4">
                  <c:v>The process meets my individual needs</c:v>
                </c:pt>
                <c:pt idx="5">
                  <c:v>The process does not take up too much time</c:v>
                </c:pt>
              </c:strCache>
            </c:strRef>
          </c:cat>
          <c:val>
            <c:numRef>
              <c:f>Sheet1!$B$2:$B$7</c:f>
              <c:numCache>
                <c:formatCode>0%</c:formatCode>
                <c:ptCount val="6"/>
                <c:pt idx="0">
                  <c:v>0.67307692307690004</c:v>
                </c:pt>
                <c:pt idx="1">
                  <c:v>0.59615384615379996</c:v>
                </c:pt>
                <c:pt idx="2">
                  <c:v>0.23529411764710001</c:v>
                </c:pt>
                <c:pt idx="3">
                  <c:v>0.36538461538459999</c:v>
                </c:pt>
                <c:pt idx="4">
                  <c:v>0.51923076923080003</c:v>
                </c:pt>
                <c:pt idx="5">
                  <c:v>0.48076923076919997</c:v>
                </c:pt>
              </c:numCache>
            </c:numRef>
          </c:val>
          <c:extLst>
            <c:ext xmlns:c16="http://schemas.microsoft.com/office/drawing/2014/chart" uri="{C3380CC4-5D6E-409C-BE32-E72D297353CC}">
              <c16:uniqueId val="{00000000-2367-4C6A-8687-D8B9087109D4}"/>
            </c:ext>
          </c:extLst>
        </c:ser>
        <c:ser>
          <c:idx val="1"/>
          <c:order val="1"/>
          <c:tx>
            <c:strRef>
              <c:f>Sheet1!$C$1</c:f>
              <c:strCache>
                <c:ptCount val="1"/>
                <c:pt idx="0">
                  <c:v>Neutral</c:v>
                </c:pt>
              </c:strCache>
            </c:strRef>
          </c:tx>
          <c:spPr>
            <a:solidFill>
              <a:srgbClr val="00A6D2"/>
            </a:solidFill>
            <a:ln>
              <a:solidFill>
                <a:srgbClr val="00A6D2"/>
              </a:solidFill>
            </a:ln>
            <a:effectLst/>
          </c:spPr>
          <c:invertIfNegative val="0"/>
          <c:dLbls>
            <c:dLbl>
              <c:idx val="1"/>
              <c:spPr>
                <a:solidFill>
                  <a:srgbClr val="00A6D2"/>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2367-4C6A-8687-D8B9087109D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 am satisfied with the current employment income reporting process</c:v>
                </c:pt>
                <c:pt idx="1">
                  <c:v>The current process is easy</c:v>
                </c:pt>
                <c:pt idx="2">
                  <c:v>I understand how to report</c:v>
                </c:pt>
                <c:pt idx="3">
                  <c:v>I know where to go to get help if I have trouble when reporting</c:v>
                </c:pt>
                <c:pt idx="4">
                  <c:v>The process meets my individual needs</c:v>
                </c:pt>
                <c:pt idx="5">
                  <c:v>The process does not take up too much time</c:v>
                </c:pt>
              </c:strCache>
            </c:strRef>
          </c:cat>
          <c:val>
            <c:numRef>
              <c:f>Sheet1!$C$2:$C$7</c:f>
              <c:numCache>
                <c:formatCode>0%</c:formatCode>
                <c:ptCount val="6"/>
                <c:pt idx="0">
                  <c:v>7.6923076923079994E-2</c:v>
                </c:pt>
                <c:pt idx="1">
                  <c:v>0.13461538461540001</c:v>
                </c:pt>
                <c:pt idx="2">
                  <c:v>0.1176470588235</c:v>
                </c:pt>
                <c:pt idx="3">
                  <c:v>0.13461538461540001</c:v>
                </c:pt>
                <c:pt idx="4">
                  <c:v>0.13461538461540001</c:v>
                </c:pt>
                <c:pt idx="5">
                  <c:v>9.6153846153850003E-2</c:v>
                </c:pt>
              </c:numCache>
            </c:numRef>
          </c:val>
          <c:extLst>
            <c:ext xmlns:c16="http://schemas.microsoft.com/office/drawing/2014/chart" uri="{C3380CC4-5D6E-409C-BE32-E72D297353CC}">
              <c16:uniqueId val="{00000002-2367-4C6A-8687-D8B9087109D4}"/>
            </c:ext>
          </c:extLst>
        </c:ser>
        <c:ser>
          <c:idx val="2"/>
          <c:order val="2"/>
          <c:tx>
            <c:strRef>
              <c:f>Sheet1!$D$1</c:f>
              <c:strCache>
                <c:ptCount val="1"/>
                <c:pt idx="0">
                  <c:v>Somewhat/strongly agree</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 am satisfied with the current employment income reporting process</c:v>
                </c:pt>
                <c:pt idx="1">
                  <c:v>The current process is easy</c:v>
                </c:pt>
                <c:pt idx="2">
                  <c:v>I understand how to report</c:v>
                </c:pt>
                <c:pt idx="3">
                  <c:v>I know where to go to get help if I have trouble when reporting</c:v>
                </c:pt>
                <c:pt idx="4">
                  <c:v>The process meets my individual needs</c:v>
                </c:pt>
                <c:pt idx="5">
                  <c:v>The process does not take up too much time</c:v>
                </c:pt>
              </c:strCache>
            </c:strRef>
          </c:cat>
          <c:val>
            <c:numRef>
              <c:f>Sheet1!$D$2:$D$7</c:f>
              <c:numCache>
                <c:formatCode>0%</c:formatCode>
                <c:ptCount val="6"/>
                <c:pt idx="0">
                  <c:v>0.25</c:v>
                </c:pt>
                <c:pt idx="1">
                  <c:v>0.26923076923080003</c:v>
                </c:pt>
                <c:pt idx="2">
                  <c:v>0.64705882352940003</c:v>
                </c:pt>
                <c:pt idx="3">
                  <c:v>0.5</c:v>
                </c:pt>
                <c:pt idx="4">
                  <c:v>0.34615384615380002</c:v>
                </c:pt>
                <c:pt idx="5">
                  <c:v>0.42307692307689998</c:v>
                </c:pt>
              </c:numCache>
            </c:numRef>
          </c:val>
          <c:extLst>
            <c:ext xmlns:c16="http://schemas.microsoft.com/office/drawing/2014/chart" uri="{C3380CC4-5D6E-409C-BE32-E72D297353CC}">
              <c16:uniqueId val="{00000003-2367-4C6A-8687-D8B9087109D4}"/>
            </c:ext>
          </c:extLst>
        </c:ser>
        <c:dLbls>
          <c:dLblPos val="ctr"/>
          <c:showLegendKey val="0"/>
          <c:showVal val="1"/>
          <c:showCatName val="0"/>
          <c:showSerName val="0"/>
          <c:showPercent val="0"/>
          <c:showBubbleSize val="0"/>
        </c:dLbls>
        <c:gapWidth val="49"/>
        <c:overlap val="100"/>
        <c:axId val="914875680"/>
        <c:axId val="914862784"/>
      </c:barChart>
      <c:catAx>
        <c:axId val="91487568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Univers 45 Light" pitchFamily="2" charset="0"/>
                <a:ea typeface="+mn-ea"/>
                <a:cs typeface="+mn-cs"/>
              </a:defRPr>
            </a:pPr>
            <a:endParaRPr lang="en-US"/>
          </a:p>
        </c:txPr>
        <c:crossAx val="914862784"/>
        <c:crosses val="autoZero"/>
        <c:auto val="1"/>
        <c:lblAlgn val="ctr"/>
        <c:lblOffset val="100"/>
        <c:noMultiLvlLbl val="0"/>
      </c:catAx>
      <c:valAx>
        <c:axId val="914862784"/>
        <c:scaling>
          <c:orientation val="minMax"/>
        </c:scaling>
        <c:delete val="1"/>
        <c:axPos val="t"/>
        <c:numFmt formatCode="0%" sourceLinked="1"/>
        <c:majorTickMark val="out"/>
        <c:minorTickMark val="none"/>
        <c:tickLblPos val="nextTo"/>
        <c:crossAx val="914875680"/>
        <c:crosses val="autoZero"/>
        <c:crossBetween val="between"/>
      </c:valAx>
      <c:spPr>
        <a:noFill/>
        <a:ln>
          <a:noFill/>
        </a:ln>
        <a:effectLst/>
      </c:spPr>
    </c:plotArea>
    <c:legend>
      <c:legendPos val="b"/>
      <c:layout>
        <c:manualLayout>
          <c:xMode val="edge"/>
          <c:yMode val="edge"/>
          <c:x val="3.0871003307607496E-2"/>
          <c:y val="0.9127807497345275"/>
          <c:w val="0.96703435223849499"/>
          <c:h val="6.951058828489811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Univers 45 Light"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Univers 45 Light"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Univers 45 Light" pitchFamily="2" charset="0"/>
                <a:ea typeface="+mn-ea"/>
                <a:cs typeface="+mn-cs"/>
              </a:defRPr>
            </a:pPr>
            <a:r>
              <a:rPr lang="en-AU" sz="1000" b="0">
                <a:effectLst/>
              </a:rPr>
              <a:t>Compared to this time two years ago (beginning of 2020), would you say your experience with the employment income reporting process has changed? </a:t>
            </a:r>
          </a:p>
        </c:rich>
      </c:tx>
      <c:layout>
        <c:manualLayout>
          <c:xMode val="edge"/>
          <c:yMode val="edge"/>
          <c:x val="0.13134715025906735"/>
          <c:y val="6.6465256797583083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Univers 45 Light" pitchFamily="2" charset="0"/>
              <a:ea typeface="+mn-ea"/>
              <a:cs typeface="+mn-cs"/>
            </a:defRPr>
          </a:pPr>
          <a:endParaRPr lang="en-US"/>
        </a:p>
      </c:txPr>
    </c:title>
    <c:autoTitleDeleted val="0"/>
    <c:plotArea>
      <c:layout>
        <c:manualLayout>
          <c:layoutTarget val="inner"/>
          <c:xMode val="edge"/>
          <c:yMode val="edge"/>
          <c:x val="6.3322562767303497E-2"/>
          <c:y val="0.36501729736613114"/>
          <c:w val="0.8960047822707421"/>
          <c:h val="0.51232294076447993"/>
        </c:manualLayout>
      </c:layout>
      <c:barChart>
        <c:barDir val="bar"/>
        <c:grouping val="stacked"/>
        <c:varyColors val="0"/>
        <c:ser>
          <c:idx val="0"/>
          <c:order val="0"/>
          <c:tx>
            <c:strRef>
              <c:f>Sheet1!$B$1</c:f>
              <c:strCache>
                <c:ptCount val="1"/>
                <c:pt idx="0">
                  <c:v>Significantly worsened</c:v>
                </c:pt>
              </c:strCache>
            </c:strRef>
          </c:tx>
          <c:spPr>
            <a:solidFill>
              <a:schemeClr val="tx1"/>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B0BC-4399-8590-3E9F51C61B9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Sheet1!$B$2</c:f>
              <c:numCache>
                <c:formatCode>0%</c:formatCode>
                <c:ptCount val="1"/>
                <c:pt idx="0">
                  <c:v>0.25</c:v>
                </c:pt>
              </c:numCache>
            </c:numRef>
          </c:val>
          <c:extLst>
            <c:ext xmlns:c16="http://schemas.microsoft.com/office/drawing/2014/chart" uri="{C3380CC4-5D6E-409C-BE32-E72D297353CC}">
              <c16:uniqueId val="{00000002-B0BC-4399-8590-3E9F51C61B90}"/>
            </c:ext>
          </c:extLst>
        </c:ser>
        <c:ser>
          <c:idx val="1"/>
          <c:order val="1"/>
          <c:tx>
            <c:strRef>
              <c:f>Sheet1!$C$1</c:f>
              <c:strCache>
                <c:ptCount val="1"/>
                <c:pt idx="0">
                  <c:v>Somewhat worsened</c:v>
                </c:pt>
              </c:strCache>
            </c:strRef>
          </c:tx>
          <c:spPr>
            <a:solidFill>
              <a:srgbClr val="00A6D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Sheet1!$C$2</c:f>
              <c:numCache>
                <c:formatCode>0%</c:formatCode>
                <c:ptCount val="1"/>
                <c:pt idx="0">
                  <c:v>0.1818181818182</c:v>
                </c:pt>
              </c:numCache>
            </c:numRef>
          </c:val>
          <c:extLst>
            <c:ext xmlns:c16="http://schemas.microsoft.com/office/drawing/2014/chart" uri="{C3380CC4-5D6E-409C-BE32-E72D297353CC}">
              <c16:uniqueId val="{00000003-B0BC-4399-8590-3E9F51C61B90}"/>
            </c:ext>
          </c:extLst>
        </c:ser>
        <c:ser>
          <c:idx val="2"/>
          <c:order val="2"/>
          <c:tx>
            <c:strRef>
              <c:f>Sheet1!$D$1</c:f>
              <c:strCache>
                <c:ptCount val="1"/>
                <c:pt idx="0">
                  <c:v>No change</c:v>
                </c:pt>
              </c:strCache>
            </c:strRef>
          </c:tx>
          <c:spPr>
            <a:solidFill>
              <a:schemeClr val="bg1">
                <a:lumMod val="85000"/>
              </a:schemeClr>
            </a:solidFill>
            <a:ln>
              <a:noFill/>
            </a:ln>
            <a:effectLst/>
          </c:spPr>
          <c:invertIfNegative val="0"/>
          <c:dPt>
            <c:idx val="0"/>
            <c:invertIfNegative val="0"/>
            <c:bubble3D val="0"/>
            <c:spPr>
              <a:noFill/>
              <a:ln>
                <a:solidFill>
                  <a:schemeClr val="tx1"/>
                </a:solidFill>
              </a:ln>
              <a:effectLst/>
            </c:spPr>
            <c:extLst>
              <c:ext xmlns:c16="http://schemas.microsoft.com/office/drawing/2014/chart" uri="{C3380CC4-5D6E-409C-BE32-E72D297353CC}">
                <c16:uniqueId val="{00000005-B0BC-4399-8590-3E9F51C61B9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Sheet1!$D$2</c:f>
              <c:numCache>
                <c:formatCode>0%</c:formatCode>
                <c:ptCount val="1"/>
                <c:pt idx="0">
                  <c:v>0.27272727272730002</c:v>
                </c:pt>
              </c:numCache>
            </c:numRef>
          </c:val>
          <c:extLst>
            <c:ext xmlns:c16="http://schemas.microsoft.com/office/drawing/2014/chart" uri="{C3380CC4-5D6E-409C-BE32-E72D297353CC}">
              <c16:uniqueId val="{00000006-B0BC-4399-8590-3E9F51C61B90}"/>
            </c:ext>
          </c:extLst>
        </c:ser>
        <c:ser>
          <c:idx val="3"/>
          <c:order val="3"/>
          <c:tx>
            <c:strRef>
              <c:f>Sheet1!$E$1</c:f>
              <c:strCache>
                <c:ptCount val="1"/>
                <c:pt idx="0">
                  <c:v>Somewhat improved</c:v>
                </c:pt>
              </c:strCache>
            </c:strRef>
          </c:tx>
          <c:spPr>
            <a:solidFill>
              <a:schemeClr val="accent4">
                <a:lumMod val="75000"/>
              </a:schemeClr>
            </a:solidFill>
            <a:ln>
              <a:solidFill>
                <a:schemeClr val="accent4">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Sheet1!$E$2</c:f>
              <c:numCache>
                <c:formatCode>0%</c:formatCode>
                <c:ptCount val="1"/>
                <c:pt idx="0">
                  <c:v>0.2</c:v>
                </c:pt>
              </c:numCache>
            </c:numRef>
          </c:val>
          <c:extLst>
            <c:ext xmlns:c16="http://schemas.microsoft.com/office/drawing/2014/chart" uri="{C3380CC4-5D6E-409C-BE32-E72D297353CC}">
              <c16:uniqueId val="{00000007-B0BC-4399-8590-3E9F51C61B90}"/>
            </c:ext>
          </c:extLst>
        </c:ser>
        <c:ser>
          <c:idx val="4"/>
          <c:order val="4"/>
          <c:tx>
            <c:strRef>
              <c:f>Sheet1!$F$1</c:f>
              <c:strCache>
                <c:ptCount val="1"/>
                <c:pt idx="0">
                  <c:v>Significantly improved</c:v>
                </c:pt>
              </c:strCache>
            </c:strRef>
          </c:tx>
          <c:spPr>
            <a:solidFill>
              <a:srgbClr val="990099"/>
            </a:solidFill>
            <a:ln>
              <a:solidFill>
                <a:srgbClr val="990099"/>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Univers 45 Light" pitchFamily="2"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Agreement with statement</c:v>
                </c:pt>
              </c:strCache>
            </c:strRef>
          </c:cat>
          <c:val>
            <c:numRef>
              <c:f>Sheet1!$F$2</c:f>
              <c:numCache>
                <c:formatCode>0%</c:formatCode>
                <c:ptCount val="1"/>
                <c:pt idx="0">
                  <c:v>9.0909090909089996E-2</c:v>
                </c:pt>
              </c:numCache>
            </c:numRef>
          </c:val>
          <c:extLst>
            <c:ext xmlns:c16="http://schemas.microsoft.com/office/drawing/2014/chart" uri="{C3380CC4-5D6E-409C-BE32-E72D297353CC}">
              <c16:uniqueId val="{00000008-B0BC-4399-8590-3E9F51C61B90}"/>
            </c:ext>
          </c:extLst>
        </c:ser>
        <c:dLbls>
          <c:dLblPos val="ctr"/>
          <c:showLegendKey val="0"/>
          <c:showVal val="1"/>
          <c:showCatName val="0"/>
          <c:showSerName val="0"/>
          <c:showPercent val="0"/>
          <c:showBubbleSize val="0"/>
        </c:dLbls>
        <c:gapWidth val="100"/>
        <c:overlap val="100"/>
        <c:axId val="105769776"/>
        <c:axId val="398604336"/>
      </c:barChart>
      <c:valAx>
        <c:axId val="398604336"/>
        <c:scaling>
          <c:orientation val="minMax"/>
        </c:scaling>
        <c:delete val="1"/>
        <c:axPos val="b"/>
        <c:numFmt formatCode="0%" sourceLinked="1"/>
        <c:majorTickMark val="out"/>
        <c:minorTickMark val="none"/>
        <c:tickLblPos val="nextTo"/>
        <c:crossAx val="105769776"/>
        <c:crosses val="autoZero"/>
        <c:crossBetween val="between"/>
      </c:valAx>
      <c:catAx>
        <c:axId val="105769776"/>
        <c:scaling>
          <c:orientation val="minMax"/>
        </c:scaling>
        <c:delete val="1"/>
        <c:axPos val="l"/>
        <c:numFmt formatCode="General" sourceLinked="1"/>
        <c:majorTickMark val="out"/>
        <c:minorTickMark val="none"/>
        <c:tickLblPos val="nextTo"/>
        <c:crossAx val="398604336"/>
        <c:crosses val="autoZero"/>
        <c:auto val="1"/>
        <c:lblAlgn val="ctr"/>
        <c:lblOffset val="100"/>
        <c:noMultiLvlLbl val="0"/>
      </c:catAx>
      <c:spPr>
        <a:noFill/>
        <a:ln>
          <a:noFill/>
        </a:ln>
        <a:effectLst/>
      </c:spPr>
    </c:plotArea>
    <c:legend>
      <c:legendPos val="r"/>
      <c:layout>
        <c:manualLayout>
          <c:xMode val="edge"/>
          <c:yMode val="edge"/>
          <c:x val="6.7199269414032411E-3"/>
          <c:y val="0.81968801069677621"/>
          <c:w val="0.99328007305859678"/>
          <c:h val="0.1803119893032239"/>
        </c:manualLayout>
      </c:layout>
      <c:overlay val="0"/>
      <c:spPr>
        <a:noFill/>
        <a:ln>
          <a:noFill/>
        </a:ln>
        <a:effectLst/>
      </c:spPr>
      <c:txPr>
        <a:bodyPr rot="0" spcFirstLastPara="1" vertOverflow="ellipsis" vert="horz" wrap="square" anchor="ctr" anchorCtr="1"/>
        <a:lstStyle/>
        <a:p>
          <a:pPr algn="just">
            <a:defRPr sz="800" b="0" i="0" u="none" strike="noStrike" kern="1200" baseline="0">
              <a:solidFill>
                <a:schemeClr val="tx1">
                  <a:lumMod val="65000"/>
                  <a:lumOff val="35000"/>
                </a:schemeClr>
              </a:solidFill>
              <a:latin typeface="Univers 45 Light"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95000"/>
        </a:schemeClr>
      </a:solidFill>
      <a:round/>
    </a:ln>
    <a:effectLst/>
  </c:spPr>
  <c:txPr>
    <a:bodyPr/>
    <a:lstStyle/>
    <a:p>
      <a:pPr>
        <a:defRPr sz="1000">
          <a:latin typeface="Univers 45 Light"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2D0475D5D3347930C7ACCE6259785" ma:contentTypeVersion="6" ma:contentTypeDescription="Create a new document." ma:contentTypeScope="" ma:versionID="cf625056b53f3fde19e16a55b29f471f">
  <xsd:schema xmlns:xsd="http://www.w3.org/2001/XMLSchema" xmlns:xs="http://www.w3.org/2001/XMLSchema" xmlns:p="http://schemas.microsoft.com/office/2006/metadata/properties" xmlns:ns2="0293aac2-1edb-4b32-9dc1-07d8e49e9522" xmlns:ns3="ba206b72-f710-4616-b5b0-94e95c0cce58" targetNamespace="http://schemas.microsoft.com/office/2006/metadata/properties" ma:root="true" ma:fieldsID="0913d6160230e57af5695bc4c0e7dde3" ns2:_="" ns3:_="">
    <xsd:import namespace="0293aac2-1edb-4b32-9dc1-07d8e49e9522"/>
    <xsd:import namespace="ba206b72-f710-4616-b5b0-94e95c0cc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3aac2-1edb-4b32-9dc1-07d8e49e9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206b72-f710-4616-b5b0-94e95c0cc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E30E-1D66-4663-8F22-F93FE247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3aac2-1edb-4b32-9dc1-07d8e49e9522"/>
    <ds:schemaRef ds:uri="ba206b72-f710-4616-b5b0-94e95c0cc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D9E93-5D60-4A55-9933-AF02B1EE3C95}">
  <ds:schemaRefs>
    <ds:schemaRef ds:uri="http://schemas.microsoft.com/sharepoint/v3/contenttype/forms"/>
  </ds:schemaRefs>
</ds:datastoreItem>
</file>

<file path=customXml/itemProps3.xml><?xml version="1.0" encoding="utf-8"?>
<ds:datastoreItem xmlns:ds="http://schemas.openxmlformats.org/officeDocument/2006/customXml" ds:itemID="{223C8F6A-D513-410D-8D21-A9AEA5240034}">
  <ds:schemaRefs>
    <ds:schemaRef ds:uri="http://schemas.microsoft.com/office/2006/documentManagement/types"/>
    <ds:schemaRef ds:uri="http://purl.org/dc/terms/"/>
    <ds:schemaRef ds:uri="http://purl.org/dc/elements/1.1/"/>
    <ds:schemaRef ds:uri="ba206b72-f710-4616-b5b0-94e95c0cce58"/>
    <ds:schemaRef ds:uri="http://purl.org/dc/dcmitype/"/>
    <ds:schemaRef ds:uri="http://schemas.microsoft.com/office/infopath/2007/PartnerControls"/>
    <ds:schemaRef ds:uri="0293aac2-1edb-4b32-9dc1-07d8e49e9522"/>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95CC002-78F5-4E3A-A03C-DE6F224C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15811</Words>
  <Characters>87995</Characters>
  <Application>Microsoft Office Word</Application>
  <DocSecurity>0</DocSecurity>
  <Lines>2201</Lines>
  <Paragraphs>1035</Paragraphs>
  <ScaleCrop>false</ScaleCrop>
  <HeadingPairs>
    <vt:vector size="2" baseType="variant">
      <vt:variant>
        <vt:lpstr>Title</vt:lpstr>
      </vt:variant>
      <vt:variant>
        <vt:i4>1</vt:i4>
      </vt:variant>
    </vt:vector>
  </HeadingPairs>
  <TitlesOfParts>
    <vt:vector size="1" baseType="lpstr">
      <vt:lpstr>Review of Social Services and Other Legislation Amendment (Simplifying Income Reporting and Other Measures) Act 2020</vt:lpstr>
    </vt:vector>
  </TitlesOfParts>
  <Company>KPMG</Company>
  <LinksUpToDate>false</LinksUpToDate>
  <CharactersWithSpaces>103095</CharactersWithSpaces>
  <SharedDoc>false</SharedDoc>
  <HLinks>
    <vt:vector size="114" baseType="variant">
      <vt:variant>
        <vt:i4>6750214</vt:i4>
      </vt:variant>
      <vt:variant>
        <vt:i4>183</vt:i4>
      </vt:variant>
      <vt:variant>
        <vt:i4>0</vt:i4>
      </vt:variant>
      <vt:variant>
        <vt:i4>5</vt:i4>
      </vt:variant>
      <vt:variant>
        <vt:lpwstr>mailto:incomereporting@kpmg.com.au</vt:lpwstr>
      </vt:variant>
      <vt:variant>
        <vt:lpwstr/>
      </vt:variant>
      <vt:variant>
        <vt:i4>983081</vt:i4>
      </vt:variant>
      <vt:variant>
        <vt:i4>180</vt:i4>
      </vt:variant>
      <vt:variant>
        <vt:i4>0</vt:i4>
      </vt:variant>
      <vt:variant>
        <vt:i4>5</vt:i4>
      </vt:variant>
      <vt:variant>
        <vt:lpwstr>mailto:au-fmincomereporting@kpmg.com.au</vt:lpwstr>
      </vt:variant>
      <vt:variant>
        <vt:lpwstr/>
      </vt:variant>
      <vt:variant>
        <vt:i4>3342434</vt:i4>
      </vt:variant>
      <vt:variant>
        <vt:i4>177</vt:i4>
      </vt:variant>
      <vt:variant>
        <vt:i4>0</vt:i4>
      </vt:variant>
      <vt:variant>
        <vt:i4>5</vt:i4>
      </vt:variant>
      <vt:variant>
        <vt:lpwstr>https://engage.dss.gov.au/</vt:lpwstr>
      </vt:variant>
      <vt:variant>
        <vt:lpwstr/>
      </vt:variant>
      <vt:variant>
        <vt:i4>2031669</vt:i4>
      </vt:variant>
      <vt:variant>
        <vt:i4>80</vt:i4>
      </vt:variant>
      <vt:variant>
        <vt:i4>0</vt:i4>
      </vt:variant>
      <vt:variant>
        <vt:i4>5</vt:i4>
      </vt:variant>
      <vt:variant>
        <vt:lpwstr/>
      </vt:variant>
      <vt:variant>
        <vt:lpwstr>_Toc104983824</vt:lpwstr>
      </vt:variant>
      <vt:variant>
        <vt:i4>2031669</vt:i4>
      </vt:variant>
      <vt:variant>
        <vt:i4>74</vt:i4>
      </vt:variant>
      <vt:variant>
        <vt:i4>0</vt:i4>
      </vt:variant>
      <vt:variant>
        <vt:i4>5</vt:i4>
      </vt:variant>
      <vt:variant>
        <vt:lpwstr/>
      </vt:variant>
      <vt:variant>
        <vt:lpwstr>_Toc104983823</vt:lpwstr>
      </vt:variant>
      <vt:variant>
        <vt:i4>2031669</vt:i4>
      </vt:variant>
      <vt:variant>
        <vt:i4>68</vt:i4>
      </vt:variant>
      <vt:variant>
        <vt:i4>0</vt:i4>
      </vt:variant>
      <vt:variant>
        <vt:i4>5</vt:i4>
      </vt:variant>
      <vt:variant>
        <vt:lpwstr/>
      </vt:variant>
      <vt:variant>
        <vt:lpwstr>_Toc104983822</vt:lpwstr>
      </vt:variant>
      <vt:variant>
        <vt:i4>2031669</vt:i4>
      </vt:variant>
      <vt:variant>
        <vt:i4>62</vt:i4>
      </vt:variant>
      <vt:variant>
        <vt:i4>0</vt:i4>
      </vt:variant>
      <vt:variant>
        <vt:i4>5</vt:i4>
      </vt:variant>
      <vt:variant>
        <vt:lpwstr/>
      </vt:variant>
      <vt:variant>
        <vt:lpwstr>_Toc104983821</vt:lpwstr>
      </vt:variant>
      <vt:variant>
        <vt:i4>2031669</vt:i4>
      </vt:variant>
      <vt:variant>
        <vt:i4>56</vt:i4>
      </vt:variant>
      <vt:variant>
        <vt:i4>0</vt:i4>
      </vt:variant>
      <vt:variant>
        <vt:i4>5</vt:i4>
      </vt:variant>
      <vt:variant>
        <vt:lpwstr/>
      </vt:variant>
      <vt:variant>
        <vt:lpwstr>_Toc104983820</vt:lpwstr>
      </vt:variant>
      <vt:variant>
        <vt:i4>1835061</vt:i4>
      </vt:variant>
      <vt:variant>
        <vt:i4>50</vt:i4>
      </vt:variant>
      <vt:variant>
        <vt:i4>0</vt:i4>
      </vt:variant>
      <vt:variant>
        <vt:i4>5</vt:i4>
      </vt:variant>
      <vt:variant>
        <vt:lpwstr/>
      </vt:variant>
      <vt:variant>
        <vt:lpwstr>_Toc104983819</vt:lpwstr>
      </vt:variant>
      <vt:variant>
        <vt:i4>1835061</vt:i4>
      </vt:variant>
      <vt:variant>
        <vt:i4>44</vt:i4>
      </vt:variant>
      <vt:variant>
        <vt:i4>0</vt:i4>
      </vt:variant>
      <vt:variant>
        <vt:i4>5</vt:i4>
      </vt:variant>
      <vt:variant>
        <vt:lpwstr/>
      </vt:variant>
      <vt:variant>
        <vt:lpwstr>_Toc104983818</vt:lpwstr>
      </vt:variant>
      <vt:variant>
        <vt:i4>1835061</vt:i4>
      </vt:variant>
      <vt:variant>
        <vt:i4>38</vt:i4>
      </vt:variant>
      <vt:variant>
        <vt:i4>0</vt:i4>
      </vt:variant>
      <vt:variant>
        <vt:i4>5</vt:i4>
      </vt:variant>
      <vt:variant>
        <vt:lpwstr/>
      </vt:variant>
      <vt:variant>
        <vt:lpwstr>_Toc104983817</vt:lpwstr>
      </vt:variant>
      <vt:variant>
        <vt:i4>1835061</vt:i4>
      </vt:variant>
      <vt:variant>
        <vt:i4>32</vt:i4>
      </vt:variant>
      <vt:variant>
        <vt:i4>0</vt:i4>
      </vt:variant>
      <vt:variant>
        <vt:i4>5</vt:i4>
      </vt:variant>
      <vt:variant>
        <vt:lpwstr/>
      </vt:variant>
      <vt:variant>
        <vt:lpwstr>_Toc104983816</vt:lpwstr>
      </vt:variant>
      <vt:variant>
        <vt:i4>1835061</vt:i4>
      </vt:variant>
      <vt:variant>
        <vt:i4>26</vt:i4>
      </vt:variant>
      <vt:variant>
        <vt:i4>0</vt:i4>
      </vt:variant>
      <vt:variant>
        <vt:i4>5</vt:i4>
      </vt:variant>
      <vt:variant>
        <vt:lpwstr/>
      </vt:variant>
      <vt:variant>
        <vt:lpwstr>_Toc104983815</vt:lpwstr>
      </vt:variant>
      <vt:variant>
        <vt:i4>1835061</vt:i4>
      </vt:variant>
      <vt:variant>
        <vt:i4>20</vt:i4>
      </vt:variant>
      <vt:variant>
        <vt:i4>0</vt:i4>
      </vt:variant>
      <vt:variant>
        <vt:i4>5</vt:i4>
      </vt:variant>
      <vt:variant>
        <vt:lpwstr/>
      </vt:variant>
      <vt:variant>
        <vt:lpwstr>_Toc104983814</vt:lpwstr>
      </vt:variant>
      <vt:variant>
        <vt:i4>1835061</vt:i4>
      </vt:variant>
      <vt:variant>
        <vt:i4>14</vt:i4>
      </vt:variant>
      <vt:variant>
        <vt:i4>0</vt:i4>
      </vt:variant>
      <vt:variant>
        <vt:i4>5</vt:i4>
      </vt:variant>
      <vt:variant>
        <vt:lpwstr/>
      </vt:variant>
      <vt:variant>
        <vt:lpwstr>_Toc104983813</vt:lpwstr>
      </vt:variant>
      <vt:variant>
        <vt:i4>1835061</vt:i4>
      </vt:variant>
      <vt:variant>
        <vt:i4>8</vt:i4>
      </vt:variant>
      <vt:variant>
        <vt:i4>0</vt:i4>
      </vt:variant>
      <vt:variant>
        <vt:i4>5</vt:i4>
      </vt:variant>
      <vt:variant>
        <vt:lpwstr/>
      </vt:variant>
      <vt:variant>
        <vt:lpwstr>_Toc104983812</vt:lpwstr>
      </vt:variant>
      <vt:variant>
        <vt:i4>1835061</vt:i4>
      </vt:variant>
      <vt:variant>
        <vt:i4>2</vt:i4>
      </vt:variant>
      <vt:variant>
        <vt:i4>0</vt:i4>
      </vt:variant>
      <vt:variant>
        <vt:i4>5</vt:i4>
      </vt:variant>
      <vt:variant>
        <vt:lpwstr/>
      </vt:variant>
      <vt:variant>
        <vt:lpwstr>_Toc104983811</vt:lpwstr>
      </vt:variant>
      <vt:variant>
        <vt:i4>3276909</vt:i4>
      </vt:variant>
      <vt:variant>
        <vt:i4>0</vt:i4>
      </vt:variant>
      <vt:variant>
        <vt:i4>0</vt:i4>
      </vt:variant>
      <vt:variant>
        <vt:i4>5</vt:i4>
      </vt:variant>
      <vt:variant>
        <vt:lpwstr>https://minister.servicesaustralia.gov.au/media-releases/2021-12-07-update-services-australia-temporary-debt-pause</vt:lpwstr>
      </vt:variant>
      <vt:variant>
        <vt:lpwstr/>
      </vt:variant>
      <vt:variant>
        <vt:i4>393331</vt:i4>
      </vt:variant>
      <vt:variant>
        <vt:i4>0</vt:i4>
      </vt:variant>
      <vt:variant>
        <vt:i4>0</vt:i4>
      </vt:variant>
      <vt:variant>
        <vt:i4>5</vt:i4>
      </vt:variant>
      <vt:variant>
        <vt:lpwstr>mailto:kpulbrook@kpmg.com.au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Social Services and Other Legislation Amendment (Simplifying Income Reporting and Other Measures) Act 2020</dc:title>
  <dc:subject/>
  <dc:creator>KPMG</dc:creator>
  <cp:keywords>[SEC=OFFICIAL]</cp:keywords>
  <dc:description>-</dc:description>
  <cp:lastModifiedBy>SINGH, Varinder</cp:lastModifiedBy>
  <cp:revision>2</cp:revision>
  <cp:lastPrinted>2022-05-18T14:22:00Z</cp:lastPrinted>
  <dcterms:created xsi:type="dcterms:W3CDTF">2022-09-26T04:39:00Z</dcterms:created>
  <dcterms:modified xsi:type="dcterms:W3CDTF">2022-09-26T04:39:00Z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0x010100E942D0475D5D3347930C7ACCE6259785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DDE9EE2251564DF8A548361415870E1C</vt:lpwstr>
  </property>
  <property fmtid="{D5CDD505-2E9C-101B-9397-08002B2CF9AE}" pid="10" name="PM_ProtectiveMarkingValue_Footer">
    <vt:lpwstr>OFFICIAL</vt:lpwstr>
  </property>
  <property fmtid="{D5CDD505-2E9C-101B-9397-08002B2CF9AE}" pid="11" name="PM_Originator_Hash_SHA1">
    <vt:lpwstr>236A989239C2E99BC4E9F4CD32C5F36B29392C83</vt:lpwstr>
  </property>
  <property fmtid="{D5CDD505-2E9C-101B-9397-08002B2CF9AE}" pid="12" name="PM_OriginationTimeStamp">
    <vt:lpwstr>2022-09-26T04:39:15Z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1B03BC97BE3F845B22E43C766D8287D9</vt:lpwstr>
  </property>
  <property fmtid="{D5CDD505-2E9C-101B-9397-08002B2CF9AE}" pid="22" name="PM_Hash_Salt">
    <vt:lpwstr>1B03BC97BE3F845B22E43C766D8287D9</vt:lpwstr>
  </property>
  <property fmtid="{D5CDD505-2E9C-101B-9397-08002B2CF9AE}" pid="23" name="PM_Hash_SHA1">
    <vt:lpwstr>A6C5222D541F54E5C97AEB9A95BD08ECA1AD3FE5</vt:lpwstr>
  </property>
  <property fmtid="{D5CDD505-2E9C-101B-9397-08002B2CF9AE}" pid="24" name="PM_OriginatorUserAccountName_SHA256">
    <vt:lpwstr>49F031444D5D289CCAF19212DE80C6DAD0958031720DFE2974C8EE9831617A92</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ies>
</file>