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6BE" w:rsidRDefault="00CF553B" w:rsidP="00537B50">
      <w:pPr>
        <w:spacing w:before="0" w:after="0"/>
        <w:ind w:left="-850"/>
      </w:pPr>
      <w:bookmarkStart w:id="0" w:name="_GoBack"/>
      <w:bookmarkEnd w:id="0"/>
      <w:r>
        <w:rPr>
          <w:noProof/>
        </w:rPr>
        <w:drawing>
          <wp:inline distT="0" distB="0" distL="0" distR="0" wp14:anchorId="58D75644" wp14:editId="581554D4">
            <wp:extent cx="7541998" cy="1436354"/>
            <wp:effectExtent l="0" t="0" r="1905" b="0"/>
            <wp:docPr id="1" name="Picture 1"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8">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rsidR="00C80192" w:rsidRDefault="00C80192" w:rsidP="00537B50">
      <w:pPr>
        <w:pStyle w:val="Smalltext"/>
        <w:ind w:right="-427"/>
      </w:pPr>
    </w:p>
    <w:p w:rsidR="00C80192" w:rsidRPr="00754D44" w:rsidRDefault="002826ED" w:rsidP="00C80192">
      <w:pPr>
        <w:pStyle w:val="Title"/>
      </w:pPr>
      <w:r>
        <w:t xml:space="preserve">Income Management Deductions Schedule 5: </w:t>
      </w:r>
      <w:r w:rsidR="003A0E80">
        <w:t>for the </w:t>
      </w:r>
      <w:r>
        <w:t>provision of priority needs goods</w:t>
      </w:r>
    </w:p>
    <w:p w:rsidR="002826ED" w:rsidRDefault="002826ED" w:rsidP="00C80192">
      <w:pPr>
        <w:pStyle w:val="Subtitle"/>
      </w:pPr>
    </w:p>
    <w:p w:rsidR="002826ED" w:rsidRDefault="002826ED" w:rsidP="00C80192">
      <w:pPr>
        <w:pStyle w:val="Subtitle"/>
      </w:pPr>
      <w:r>
        <w:t>Policy Framework</w:t>
      </w:r>
    </w:p>
    <w:p w:rsidR="002826ED" w:rsidRDefault="002826ED">
      <w:pPr>
        <w:spacing w:before="0" w:after="0" w:line="240" w:lineRule="auto"/>
        <w:rPr>
          <w:rFonts w:asciiTheme="majorHAnsi" w:eastAsiaTheme="majorEastAsia" w:hAnsiTheme="majorHAnsi" w:cstheme="majorBidi"/>
          <w:iCs/>
          <w:color w:val="000000" w:themeColor="text1"/>
          <w:sz w:val="36"/>
        </w:rPr>
      </w:pPr>
      <w:r>
        <w:br w:type="page"/>
      </w:r>
    </w:p>
    <w:p w:rsidR="00C80192" w:rsidRPr="00754D44" w:rsidRDefault="00C80192" w:rsidP="00C80192">
      <w:pPr>
        <w:pStyle w:val="Subtitle"/>
      </w:pPr>
    </w:p>
    <w:p w:rsidR="00C80192" w:rsidRDefault="002826ED" w:rsidP="00C80192">
      <w:pPr>
        <w:pStyle w:val="Heading1"/>
      </w:pPr>
      <w:r>
        <w:t>Definitions</w:t>
      </w:r>
    </w:p>
    <w:tbl>
      <w:tblPr>
        <w:tblW w:w="1009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4"/>
        <w:gridCol w:w="7410"/>
      </w:tblGrid>
      <w:tr w:rsidR="002826ED" w:rsidRPr="00E57112" w:rsidTr="002826ED">
        <w:trPr>
          <w:tblHeader/>
        </w:trPr>
        <w:tc>
          <w:tcPr>
            <w:tcW w:w="2684" w:type="dxa"/>
          </w:tcPr>
          <w:p w:rsidR="002826ED" w:rsidRPr="002826ED" w:rsidRDefault="002826ED" w:rsidP="002826ED">
            <w:pPr>
              <w:rPr>
                <w:b/>
              </w:rPr>
            </w:pPr>
            <w:bookmarkStart w:id="1" w:name="_Toc391890681"/>
            <w:r w:rsidRPr="002826ED">
              <w:rPr>
                <w:b/>
              </w:rPr>
              <w:t>Term</w:t>
            </w:r>
          </w:p>
        </w:tc>
        <w:tc>
          <w:tcPr>
            <w:tcW w:w="7410" w:type="dxa"/>
          </w:tcPr>
          <w:p w:rsidR="002826ED" w:rsidRPr="002826ED" w:rsidRDefault="002826ED" w:rsidP="002826ED">
            <w:pPr>
              <w:rPr>
                <w:b/>
              </w:rPr>
            </w:pPr>
            <w:r w:rsidRPr="002826ED">
              <w:rPr>
                <w:b/>
              </w:rPr>
              <w:t>Definition</w:t>
            </w:r>
          </w:p>
        </w:tc>
      </w:tr>
      <w:tr w:rsidR="002826ED" w:rsidRPr="00E57112" w:rsidTr="002826ED">
        <w:tc>
          <w:tcPr>
            <w:tcW w:w="2684" w:type="dxa"/>
          </w:tcPr>
          <w:p w:rsidR="002826ED" w:rsidRPr="002826ED" w:rsidRDefault="002826ED" w:rsidP="002826ED">
            <w:r w:rsidRPr="002826ED">
              <w:t>Approval Letter</w:t>
            </w:r>
          </w:p>
        </w:tc>
        <w:tc>
          <w:tcPr>
            <w:tcW w:w="7410" w:type="dxa"/>
          </w:tcPr>
          <w:p w:rsidR="002826ED" w:rsidRPr="002826ED" w:rsidRDefault="002826ED" w:rsidP="002826ED">
            <w:r w:rsidRPr="002826ED">
              <w:t>means a letter from the Department of Human Services (Human Services) to the Applicant notifying them that Human Services accepts their Business Application.</w:t>
            </w:r>
          </w:p>
        </w:tc>
      </w:tr>
      <w:tr w:rsidR="002826ED" w:rsidRPr="00E57112" w:rsidTr="002826ED">
        <w:tc>
          <w:tcPr>
            <w:tcW w:w="2684" w:type="dxa"/>
          </w:tcPr>
          <w:p w:rsidR="002826ED" w:rsidRPr="002826ED" w:rsidRDefault="002826ED" w:rsidP="002826ED">
            <w:r w:rsidRPr="002826ED">
              <w:t>Business Application</w:t>
            </w:r>
          </w:p>
        </w:tc>
        <w:tc>
          <w:tcPr>
            <w:tcW w:w="7410" w:type="dxa"/>
          </w:tcPr>
          <w:p w:rsidR="002826ED" w:rsidRPr="002826ED" w:rsidRDefault="002826ED" w:rsidP="002826ED">
            <w:r w:rsidRPr="002826ED">
              <w:t xml:space="preserve">means a request by the Applicant for Human Services to provide particular services to the Applicant, made in accordance with the form and procedure for completing that Business Application, published by Human Services at </w:t>
            </w:r>
            <w:hyperlink r:id="rId9" w:history="1">
              <w:r w:rsidRPr="002826ED">
                <w:t>www.humanservices.gov.au</w:t>
              </w:r>
            </w:hyperlink>
            <w:r w:rsidRPr="002826ED">
              <w:t xml:space="preserve"> from time to time.</w:t>
            </w:r>
          </w:p>
        </w:tc>
      </w:tr>
      <w:tr w:rsidR="002826ED" w:rsidRPr="00E57112" w:rsidTr="002826ED">
        <w:tc>
          <w:tcPr>
            <w:tcW w:w="2684" w:type="dxa"/>
          </w:tcPr>
          <w:p w:rsidR="002826ED" w:rsidRPr="002826ED" w:rsidRDefault="002826ED" w:rsidP="002826ED">
            <w:r w:rsidRPr="002826ED">
              <w:t xml:space="preserve">Declared Customer </w:t>
            </w:r>
          </w:p>
        </w:tc>
        <w:tc>
          <w:tcPr>
            <w:tcW w:w="7410" w:type="dxa"/>
          </w:tcPr>
          <w:p w:rsidR="002826ED" w:rsidRPr="002826ED" w:rsidRDefault="002826ED" w:rsidP="002826ED">
            <w:r w:rsidRPr="002826ED">
              <w:t>means a mutual customer of the Participant and Human Services who receives a payment and is subject to the Income Management regime under the Social Security (Administration) Act 1999 (</w:t>
            </w:r>
            <w:proofErr w:type="spellStart"/>
            <w:r w:rsidRPr="002826ED">
              <w:t>Cth</w:t>
            </w:r>
            <w:proofErr w:type="spellEnd"/>
            <w:r w:rsidRPr="002826ED">
              <w:t>).</w:t>
            </w:r>
          </w:p>
        </w:tc>
      </w:tr>
      <w:tr w:rsidR="002826ED" w:rsidRPr="00321119" w:rsidTr="002826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84" w:type="dxa"/>
          </w:tcPr>
          <w:p w:rsidR="002826ED" w:rsidRPr="002826ED" w:rsidRDefault="002826ED" w:rsidP="002826ED">
            <w:r w:rsidRPr="002826ED">
              <w:t>Department of Human Services Business Terms and Conditions</w:t>
            </w:r>
          </w:p>
        </w:tc>
        <w:tc>
          <w:tcPr>
            <w:tcW w:w="7410" w:type="dxa"/>
          </w:tcPr>
          <w:p w:rsidR="002826ED" w:rsidRPr="002826ED" w:rsidRDefault="002826ED" w:rsidP="002826ED">
            <w:r w:rsidRPr="002826ED">
              <w:t xml:space="preserve">set out the basis by which the Participant agrees with Human Services to participate in Income Management via a Schedule 4 or 5 Income Management contract.  </w:t>
            </w:r>
          </w:p>
        </w:tc>
      </w:tr>
      <w:tr w:rsidR="002826ED" w:rsidRPr="0079201B" w:rsidTr="002826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84" w:type="dxa"/>
          </w:tcPr>
          <w:p w:rsidR="002826ED" w:rsidRPr="002826ED" w:rsidRDefault="002826ED" w:rsidP="002826ED">
            <w:r w:rsidRPr="002826ED">
              <w:t>IM Deduction Contract</w:t>
            </w:r>
          </w:p>
        </w:tc>
        <w:tc>
          <w:tcPr>
            <w:tcW w:w="7410" w:type="dxa"/>
          </w:tcPr>
          <w:p w:rsidR="002826ED" w:rsidRPr="002826ED" w:rsidRDefault="002826ED" w:rsidP="002826ED">
            <w:r w:rsidRPr="002826ED">
              <w:t>the relationship between the Parties as constituted by the following documents, as varied from time to time in accordance with the T&amp;Cs and the relevant Schedules:</w:t>
            </w:r>
          </w:p>
          <w:p w:rsidR="002826ED" w:rsidRPr="002826ED" w:rsidRDefault="002826ED" w:rsidP="002826ED">
            <w:r w:rsidRPr="002826ED">
              <w:t>the Department of Human Services Business Terms and Conditions (T&amp;Cs);</w:t>
            </w:r>
          </w:p>
          <w:p w:rsidR="002826ED" w:rsidRPr="002826ED" w:rsidRDefault="002826ED" w:rsidP="002826ED">
            <w:r w:rsidRPr="002826ED">
              <w:t>Schedule 4 or Schedule 5 (as applicable) and any other Schedules referred to in the Approval Letter;</w:t>
            </w:r>
          </w:p>
          <w:p w:rsidR="002826ED" w:rsidRPr="002826ED" w:rsidRDefault="002826ED" w:rsidP="002826ED">
            <w:r w:rsidRPr="002826ED">
              <w:t>any agreed Special Conditions;</w:t>
            </w:r>
          </w:p>
          <w:p w:rsidR="002826ED" w:rsidRPr="002826ED" w:rsidRDefault="002826ED" w:rsidP="002826ED">
            <w:r w:rsidRPr="002826ED">
              <w:t>any further terms set out in the Approval Letter; and</w:t>
            </w:r>
          </w:p>
          <w:p w:rsidR="002826ED" w:rsidRPr="00104CB7" w:rsidRDefault="002826ED" w:rsidP="002826ED">
            <w:r w:rsidRPr="002826ED">
              <w:t>any representations, warranties and other information contained in a Business Application.</w:t>
            </w:r>
          </w:p>
        </w:tc>
      </w:tr>
      <w:tr w:rsidR="002826ED" w:rsidTr="002826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84"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r w:rsidRPr="002826ED">
              <w:t>Excluded Goods</w:t>
            </w:r>
          </w:p>
        </w:tc>
        <w:tc>
          <w:tcPr>
            <w:tcW w:w="7410" w:type="dxa"/>
            <w:tcBorders>
              <w:top w:val="single" w:sz="4" w:space="0" w:color="auto"/>
              <w:left w:val="single" w:sz="4" w:space="0" w:color="auto"/>
              <w:bottom w:val="single" w:sz="4" w:space="0" w:color="auto"/>
              <w:right w:val="single" w:sz="4" w:space="0" w:color="auto"/>
            </w:tcBorders>
            <w:hideMark/>
          </w:tcPr>
          <w:p w:rsidR="002826ED" w:rsidRPr="002826ED" w:rsidRDefault="002826ED" w:rsidP="002826ED">
            <w:r w:rsidRPr="002826ED">
              <w:t>means alcoholic beverages, home-brew kits, home-brew concentrate, tobacco products, pornographic material, gambling products, and any other goods which are specified in a legislative instrument made by the responsible Minister for the purposes of section 123T(1)(d) of the Social Security (Administration) Act 1999 (</w:t>
            </w:r>
            <w:proofErr w:type="spellStart"/>
            <w:r w:rsidRPr="002826ED">
              <w:t>Cth</w:t>
            </w:r>
            <w:proofErr w:type="spellEnd"/>
            <w:r w:rsidRPr="002826ED">
              <w:t xml:space="preserve">).  </w:t>
            </w:r>
          </w:p>
          <w:p w:rsidR="002826ED" w:rsidRPr="00104CB7" w:rsidRDefault="002826ED" w:rsidP="002826ED"/>
        </w:tc>
      </w:tr>
      <w:tr w:rsidR="002826ED" w:rsidRPr="00E57112" w:rsidTr="002826ED">
        <w:tc>
          <w:tcPr>
            <w:tcW w:w="2684" w:type="dxa"/>
          </w:tcPr>
          <w:p w:rsidR="002826ED" w:rsidRPr="002826ED" w:rsidRDefault="002826ED" w:rsidP="002826ED">
            <w:r w:rsidRPr="002826ED">
              <w:lastRenderedPageBreak/>
              <w:t>Food Security Area</w:t>
            </w:r>
          </w:p>
        </w:tc>
        <w:tc>
          <w:tcPr>
            <w:tcW w:w="7410" w:type="dxa"/>
          </w:tcPr>
          <w:p w:rsidR="002826ED" w:rsidRPr="002826ED" w:rsidRDefault="002826ED" w:rsidP="002826ED">
            <w:r w:rsidRPr="002826ED">
              <w:t>Has the same meaning as given by section 5 of the SFNT Act 2012.</w:t>
            </w:r>
          </w:p>
          <w:p w:rsidR="002826ED" w:rsidRPr="00C806D6" w:rsidRDefault="002826ED" w:rsidP="002826ED"/>
        </w:tc>
      </w:tr>
      <w:tr w:rsidR="002826ED" w:rsidRPr="00E57112" w:rsidTr="002826ED">
        <w:tc>
          <w:tcPr>
            <w:tcW w:w="2684" w:type="dxa"/>
          </w:tcPr>
          <w:p w:rsidR="002826ED" w:rsidRPr="002826ED" w:rsidRDefault="002826ED" w:rsidP="002826ED">
            <w:r w:rsidRPr="002826ED">
              <w:t xml:space="preserve">Priority Goods </w:t>
            </w:r>
          </w:p>
        </w:tc>
        <w:tc>
          <w:tcPr>
            <w:tcW w:w="7410" w:type="dxa"/>
          </w:tcPr>
          <w:p w:rsidR="002826ED" w:rsidRPr="002826ED" w:rsidRDefault="002826ED" w:rsidP="002826ED">
            <w:r w:rsidRPr="002826ED">
              <w:t>has the same meaning as “priority needs” in section 123TH of the Social Security (Administration) Act 1999 or as defined by legislative amendment made by the responsible Minister.</w:t>
            </w:r>
            <w:r w:rsidRPr="00EB40DA">
              <w:t xml:space="preserve">  </w:t>
            </w:r>
            <w:r w:rsidRPr="002826ED">
              <w:t>A list of Priority Goods for the purposes of a Schedules 5 IM Contract can be found in Glossary 1.</w:t>
            </w:r>
          </w:p>
        </w:tc>
      </w:tr>
      <w:tr w:rsidR="002826ED" w:rsidRPr="00E57112" w:rsidTr="002826ED">
        <w:tc>
          <w:tcPr>
            <w:tcW w:w="2684" w:type="dxa"/>
          </w:tcPr>
          <w:p w:rsidR="002826ED" w:rsidRPr="002826ED" w:rsidRDefault="002826ED" w:rsidP="002826ED">
            <w:r w:rsidRPr="002826ED">
              <w:t>Participant</w:t>
            </w:r>
          </w:p>
        </w:tc>
        <w:tc>
          <w:tcPr>
            <w:tcW w:w="7410" w:type="dxa"/>
          </w:tcPr>
          <w:p w:rsidR="002826ED" w:rsidRPr="002826ED" w:rsidRDefault="002826ED" w:rsidP="002826ED">
            <w:r w:rsidRPr="002826ED">
              <w:t>means the Applicant described in the Business Application that has been accepted by Human Services through the issue of an Approval Letter.</w:t>
            </w:r>
          </w:p>
        </w:tc>
      </w:tr>
      <w:tr w:rsidR="002826ED" w:rsidRPr="00E57112" w:rsidTr="002826ED">
        <w:tc>
          <w:tcPr>
            <w:tcW w:w="2684" w:type="dxa"/>
          </w:tcPr>
          <w:p w:rsidR="002826ED" w:rsidRPr="002826ED" w:rsidRDefault="002826ED" w:rsidP="002826ED">
            <w:r w:rsidRPr="002826ED">
              <w:t>Schedule 5 IM Deduction Contract</w:t>
            </w:r>
          </w:p>
        </w:tc>
        <w:tc>
          <w:tcPr>
            <w:tcW w:w="7410" w:type="dxa"/>
          </w:tcPr>
          <w:p w:rsidR="002826ED" w:rsidRPr="002826ED" w:rsidRDefault="002826ED" w:rsidP="002826ED">
            <w:r w:rsidRPr="002826ED">
              <w:t>means a contract set up to allow a Participant to receive and hold funds in an account held at the store for an income managed person to expend on priority needs at the store, in accordance with section</w:t>
            </w:r>
            <w:r w:rsidR="007E673B">
              <w:t xml:space="preserve"> </w:t>
            </w:r>
            <w:r w:rsidRPr="002826ED">
              <w:t>123YI of the Social Security (Administration) Act 1999 (</w:t>
            </w:r>
            <w:proofErr w:type="spellStart"/>
            <w:r w:rsidRPr="002826ED">
              <w:t>Cth</w:t>
            </w:r>
            <w:proofErr w:type="spellEnd"/>
            <w:r w:rsidRPr="002826ED">
              <w:t>)</w:t>
            </w:r>
          </w:p>
        </w:tc>
      </w:tr>
      <w:tr w:rsidR="002826ED" w:rsidTr="002826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84" w:type="dxa"/>
          </w:tcPr>
          <w:p w:rsidR="002826ED" w:rsidRPr="002826ED" w:rsidRDefault="002826ED" w:rsidP="002826ED">
            <w:r w:rsidRPr="002826ED">
              <w:t>SFNT Act 2012</w:t>
            </w:r>
          </w:p>
        </w:tc>
        <w:tc>
          <w:tcPr>
            <w:tcW w:w="7410" w:type="dxa"/>
          </w:tcPr>
          <w:p w:rsidR="002826ED" w:rsidRPr="002826ED" w:rsidRDefault="002826ED" w:rsidP="002826ED">
            <w:r w:rsidRPr="002826ED">
              <w:t xml:space="preserve">Means the </w:t>
            </w:r>
            <w:r w:rsidRPr="00963CF6">
              <w:rPr>
                <w:i/>
              </w:rPr>
              <w:t>Stronger Futures in the Northern Territory Act 2012</w:t>
            </w:r>
            <w:r w:rsidRPr="002826ED">
              <w:t>.</w:t>
            </w:r>
          </w:p>
        </w:tc>
      </w:tr>
      <w:tr w:rsidR="002826ED" w:rsidTr="002826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84" w:type="dxa"/>
          </w:tcPr>
          <w:p w:rsidR="002826ED" w:rsidRPr="002826ED" w:rsidRDefault="002826ED" w:rsidP="002826ED">
            <w:r w:rsidRPr="002826ED">
              <w:t>Special Conditions</w:t>
            </w:r>
          </w:p>
        </w:tc>
        <w:tc>
          <w:tcPr>
            <w:tcW w:w="7410" w:type="dxa"/>
          </w:tcPr>
          <w:p w:rsidR="002826ED" w:rsidRPr="002826ED" w:rsidRDefault="002826ED" w:rsidP="002826ED">
            <w:r w:rsidRPr="002826ED">
              <w:t>means any additional terms, conditions or requirements agreed by Human Services and a Participant, other than in the Department of Human Services Business Terms and Conditions and/or Schedule 5, which will (to the extent of any inconsistency) override any other provision of the Contract.</w:t>
            </w:r>
          </w:p>
        </w:tc>
      </w:tr>
      <w:tr w:rsidR="002826ED" w:rsidTr="002826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84" w:type="dxa"/>
          </w:tcPr>
          <w:p w:rsidR="002826ED" w:rsidRPr="002826ED" w:rsidRDefault="002826ED" w:rsidP="002826ED">
            <w:r w:rsidRPr="002826ED">
              <w:t>Store Account</w:t>
            </w:r>
          </w:p>
        </w:tc>
        <w:tc>
          <w:tcPr>
            <w:tcW w:w="7410" w:type="dxa"/>
          </w:tcPr>
          <w:p w:rsidR="002826ED" w:rsidRPr="002826ED" w:rsidRDefault="002826ED" w:rsidP="002826ED">
            <w:r w:rsidRPr="002826ED">
              <w:t>means an account held by the Participant for the benefit of an income managed customer for the purpose of providing goods and services.</w:t>
            </w:r>
          </w:p>
        </w:tc>
      </w:tr>
    </w:tbl>
    <w:p w:rsidR="002826ED" w:rsidRDefault="002826ED" w:rsidP="00342476"/>
    <w:p w:rsidR="002826ED" w:rsidRDefault="002826ED">
      <w:pPr>
        <w:spacing w:before="0" w:after="0" w:line="240" w:lineRule="auto"/>
      </w:pPr>
      <w:r>
        <w:br w:type="page"/>
      </w:r>
    </w:p>
    <w:p w:rsidR="002826ED" w:rsidRPr="007B7320" w:rsidRDefault="002826ED" w:rsidP="002826ED">
      <w:pPr>
        <w:pStyle w:val="Heading1"/>
      </w:pPr>
      <w:r>
        <w:lastRenderedPageBreak/>
        <w:t>1</w:t>
      </w:r>
      <w:r>
        <w:tab/>
      </w:r>
      <w:r w:rsidRPr="007B7320">
        <w:t>Purpose of this Framework</w:t>
      </w:r>
    </w:p>
    <w:p w:rsidR="002826ED" w:rsidRDefault="002826ED" w:rsidP="002826ED">
      <w:pPr>
        <w:rPr>
          <w:rFonts w:cs="Arial"/>
        </w:rPr>
      </w:pPr>
      <w:r>
        <w:rPr>
          <w:rFonts w:cs="Arial"/>
        </w:rPr>
        <w:t>The Income Management Deductions Schedule 5 Policy Framework (Framework) outlines the policy framework for organisations wishing to enter into a Schedule 5 IM Deduction Contract.</w:t>
      </w:r>
    </w:p>
    <w:p w:rsidR="002826ED" w:rsidRDefault="002826ED" w:rsidP="002826ED">
      <w:pPr>
        <w:rPr>
          <w:rFonts w:cs="Arial"/>
        </w:rPr>
      </w:pPr>
      <w:r>
        <w:rPr>
          <w:rFonts w:cs="Arial"/>
        </w:rPr>
        <w:t>The purpose of the Framework is to provide information to Applicants about the objectives of Income Management and the Schedule 5 IM Deduction Contract.</w:t>
      </w:r>
    </w:p>
    <w:p w:rsidR="002826ED" w:rsidRDefault="002826ED" w:rsidP="002826ED">
      <w:pPr>
        <w:rPr>
          <w:rFonts w:cs="Arial"/>
        </w:rPr>
      </w:pPr>
      <w:r>
        <w:rPr>
          <w:rFonts w:cs="Arial"/>
        </w:rPr>
        <w:t>The Framework does not form part of the Schedule 5 IM Deduction Contract.  To the extent of any inconsistency between a provision of this Framework and a provision of the Schedule 5 IM Deduction Contract, the provision of the Schedule 5 IM Deduction Contract takes precedence.</w:t>
      </w:r>
    </w:p>
    <w:p w:rsidR="002826ED" w:rsidRDefault="002826ED" w:rsidP="002826ED">
      <w:pPr>
        <w:rPr>
          <w:rFonts w:cs="Arial"/>
        </w:rPr>
      </w:pPr>
      <w:r>
        <w:rPr>
          <w:rFonts w:cs="Arial"/>
        </w:rPr>
        <w:t>Information about the service delivery and compliance aspects of a Schedule 5 IM Deduction Contract is contained in the Income Management Deductions Service Delivery and Compliance Guidelines. These guidelines are administered by the Australian Government Department of Human Services (Human Services).</w:t>
      </w:r>
    </w:p>
    <w:p w:rsidR="002826ED" w:rsidRDefault="002826ED" w:rsidP="002826ED">
      <w:pPr>
        <w:pStyle w:val="Heading1"/>
      </w:pPr>
      <w:r>
        <w:t>2</w:t>
      </w:r>
      <w:r>
        <w:tab/>
        <w:t>Payment of income managed funds to Participants</w:t>
      </w:r>
    </w:p>
    <w:p w:rsidR="002826ED" w:rsidRDefault="002826ED" w:rsidP="002826ED">
      <w:pPr>
        <w:rPr>
          <w:rFonts w:cs="Arial"/>
        </w:rPr>
      </w:pPr>
      <w:r>
        <w:rPr>
          <w:rFonts w:cs="Arial"/>
        </w:rPr>
        <w:t xml:space="preserve">Legislation governing methods of payment to Participants is outlined in section 123YI of the </w:t>
      </w:r>
      <w:r w:rsidRPr="00887FB6">
        <w:rPr>
          <w:rFonts w:cs="Arial"/>
          <w:i/>
        </w:rPr>
        <w:t>Social Security (Administration) A</w:t>
      </w:r>
      <w:r>
        <w:rPr>
          <w:rFonts w:cs="Arial"/>
          <w:i/>
        </w:rPr>
        <w:t>ct</w:t>
      </w:r>
      <w:r w:rsidRPr="00887FB6">
        <w:rPr>
          <w:rFonts w:cs="Arial"/>
          <w:i/>
        </w:rPr>
        <w:t xml:space="preserve"> 1999</w:t>
      </w:r>
      <w:r>
        <w:rPr>
          <w:rFonts w:cs="Arial"/>
        </w:rPr>
        <w:t xml:space="preserve"> (SSAA). </w:t>
      </w:r>
    </w:p>
    <w:p w:rsidR="002826ED" w:rsidRDefault="002826ED" w:rsidP="002826ED">
      <w:pPr>
        <w:rPr>
          <w:rFonts w:cs="Arial"/>
        </w:rPr>
      </w:pPr>
      <w:r>
        <w:rPr>
          <w:rFonts w:cs="Arial"/>
        </w:rPr>
        <w:t xml:space="preserve">Section 123YI allows Human Services to make payments to a Participant on condition that the Participant credits that amount to an account held at the store by a person on Income Management.  The person’s income management account is debited by an amount equal to the payment made to the Participant. </w:t>
      </w:r>
    </w:p>
    <w:p w:rsidR="002826ED" w:rsidRDefault="002826ED" w:rsidP="002826ED">
      <w:pPr>
        <w:rPr>
          <w:rFonts w:cs="Arial"/>
        </w:rPr>
      </w:pPr>
      <w:r w:rsidRPr="00AF2A2D">
        <w:rPr>
          <w:rFonts w:cs="Arial"/>
        </w:rPr>
        <w:t>The person (known as the Declared Customer in the Schedule 5 IM Deduction Contract)</w:t>
      </w:r>
      <w:r>
        <w:rPr>
          <w:rFonts w:cs="Arial"/>
        </w:rPr>
        <w:t xml:space="preserve"> will advise Human Services, as part of their allocation interview, </w:t>
      </w:r>
      <w:r w:rsidR="00963CF6">
        <w:rPr>
          <w:rFonts w:cs="Arial"/>
        </w:rPr>
        <w:t>to deduct</w:t>
      </w:r>
      <w:r>
        <w:rPr>
          <w:rFonts w:cs="Arial"/>
        </w:rPr>
        <w:t xml:space="preserve"> an amount from their income management account to be paid to the Participant on the person’s next available </w:t>
      </w:r>
      <w:r w:rsidRPr="00607022">
        <w:rPr>
          <w:rFonts w:cs="Arial"/>
        </w:rPr>
        <w:t>Payment date</w:t>
      </w:r>
      <w:r>
        <w:rPr>
          <w:rFonts w:cs="Arial"/>
        </w:rPr>
        <w:t>. The Participant must credit the full amount of the payment to the person’s ‘Declared Customer Store Account’.</w:t>
      </w:r>
    </w:p>
    <w:p w:rsidR="002826ED" w:rsidRDefault="002826ED" w:rsidP="002826ED">
      <w:pPr>
        <w:rPr>
          <w:rFonts w:cs="Arial"/>
        </w:rPr>
      </w:pPr>
      <w:r>
        <w:rPr>
          <w:rFonts w:cs="Arial"/>
        </w:rPr>
        <w:t>The Participant must allow the person to draw down on their store account to pay for goods available in the store. The goods supplied to the person must not be Excluded Goods as listed in Glossary (2).</w:t>
      </w:r>
    </w:p>
    <w:p w:rsidR="002826ED" w:rsidRPr="007814BE" w:rsidRDefault="002826ED" w:rsidP="002826ED">
      <w:pPr>
        <w:pStyle w:val="Heading1"/>
      </w:pPr>
      <w:r>
        <w:t>3</w:t>
      </w:r>
      <w:r>
        <w:tab/>
        <w:t>O</w:t>
      </w:r>
      <w:r w:rsidRPr="007814BE">
        <w:t>bjectives of Income Management and Schedule 5 IM Deduction Contracts</w:t>
      </w:r>
    </w:p>
    <w:p w:rsidR="002826ED" w:rsidRDefault="002826ED" w:rsidP="002826ED">
      <w:pPr>
        <w:rPr>
          <w:rFonts w:cs="Arial"/>
        </w:rPr>
      </w:pPr>
      <w:r>
        <w:rPr>
          <w:rFonts w:cs="Arial"/>
        </w:rPr>
        <w:t>The objectives of Income Management are:</w:t>
      </w:r>
    </w:p>
    <w:p w:rsidR="002826ED" w:rsidRDefault="002826ED" w:rsidP="00CB197C">
      <w:pPr>
        <w:numPr>
          <w:ilvl w:val="0"/>
          <w:numId w:val="8"/>
        </w:numPr>
        <w:spacing w:before="0" w:after="0" w:line="240" w:lineRule="auto"/>
        <w:rPr>
          <w:rFonts w:cs="Arial"/>
        </w:rPr>
      </w:pPr>
      <w:r w:rsidRPr="00232B40">
        <w:rPr>
          <w:rFonts w:cs="Arial"/>
        </w:rPr>
        <w:t>to reduce immediate hardship and deprivation by ensuring that the whole or part of certain welfare payments is directed to meeting the priority needs</w:t>
      </w:r>
      <w:r>
        <w:rPr>
          <w:rFonts w:cs="Arial"/>
        </w:rPr>
        <w:t xml:space="preserve"> of </w:t>
      </w:r>
      <w:r w:rsidRPr="00232B40">
        <w:rPr>
          <w:rFonts w:cs="Arial"/>
        </w:rPr>
        <w:t>welfare payment recipients and their children, partner</w:t>
      </w:r>
      <w:r>
        <w:rPr>
          <w:rFonts w:cs="Arial"/>
        </w:rPr>
        <w:t>s</w:t>
      </w:r>
      <w:r w:rsidRPr="00232B40">
        <w:rPr>
          <w:rFonts w:cs="Arial"/>
        </w:rPr>
        <w:t xml:space="preserve"> and any other dependents.</w:t>
      </w:r>
    </w:p>
    <w:p w:rsidR="002826ED" w:rsidRPr="00B33178" w:rsidRDefault="002826ED" w:rsidP="00CB197C">
      <w:pPr>
        <w:numPr>
          <w:ilvl w:val="0"/>
          <w:numId w:val="8"/>
        </w:numPr>
        <w:spacing w:before="0" w:after="0" w:line="240" w:lineRule="auto"/>
        <w:rPr>
          <w:rFonts w:cs="Arial"/>
        </w:rPr>
      </w:pPr>
      <w:r w:rsidRPr="00232B40">
        <w:rPr>
          <w:rFonts w:cs="Arial"/>
        </w:rPr>
        <w:t xml:space="preserve"> to ensure that recipients of certain welfare payments are given support </w:t>
      </w:r>
      <w:r w:rsidRPr="00B33178">
        <w:rPr>
          <w:rFonts w:cs="Arial"/>
        </w:rPr>
        <w:t xml:space="preserve">in budgeting to meet priority needs. </w:t>
      </w:r>
    </w:p>
    <w:p w:rsidR="002826ED" w:rsidRPr="00B33178" w:rsidRDefault="002826ED" w:rsidP="00CB197C">
      <w:pPr>
        <w:numPr>
          <w:ilvl w:val="0"/>
          <w:numId w:val="8"/>
        </w:numPr>
        <w:spacing w:before="0" w:after="0" w:line="240" w:lineRule="auto"/>
        <w:rPr>
          <w:rFonts w:cs="Arial"/>
        </w:rPr>
      </w:pPr>
      <w:r w:rsidRPr="007D049C">
        <w:rPr>
          <w:rFonts w:cs="Arial"/>
        </w:rPr>
        <w:t xml:space="preserve">to reduce the amount of certain welfare payments available to be spent on alcoholic beverages, </w:t>
      </w:r>
      <w:r w:rsidRPr="009A1117">
        <w:rPr>
          <w:rFonts w:cs="Arial"/>
        </w:rPr>
        <w:t xml:space="preserve">home-brew kits, home-brew concentrate </w:t>
      </w:r>
      <w:r w:rsidRPr="007D049C">
        <w:rPr>
          <w:rFonts w:cs="Arial"/>
        </w:rPr>
        <w:t>gambling, tobacco p</w:t>
      </w:r>
      <w:r w:rsidRPr="009C22EC">
        <w:rPr>
          <w:rFonts w:cs="Arial"/>
        </w:rPr>
        <w:t>roducts and pornographic material.</w:t>
      </w:r>
      <w:r w:rsidRPr="004F6BB1">
        <w:rPr>
          <w:rFonts w:cs="Arial"/>
        </w:rPr>
        <w:t xml:space="preserve"> </w:t>
      </w:r>
    </w:p>
    <w:p w:rsidR="002826ED" w:rsidRDefault="002826ED" w:rsidP="00CB197C">
      <w:pPr>
        <w:numPr>
          <w:ilvl w:val="0"/>
          <w:numId w:val="8"/>
        </w:numPr>
        <w:spacing w:before="0" w:after="0" w:line="240" w:lineRule="auto"/>
        <w:rPr>
          <w:rFonts w:cs="Arial"/>
        </w:rPr>
      </w:pPr>
      <w:r w:rsidRPr="00232B40">
        <w:rPr>
          <w:rFonts w:cs="Arial"/>
        </w:rPr>
        <w:t>to reduce the likelihood that recipients of welfare payments will be subject to harassment and abuse in relation to their welfare payments</w:t>
      </w:r>
      <w:r>
        <w:rPr>
          <w:rFonts w:cs="Arial"/>
        </w:rPr>
        <w:t>.</w:t>
      </w:r>
    </w:p>
    <w:p w:rsidR="002826ED" w:rsidRDefault="002826ED" w:rsidP="00CB197C">
      <w:pPr>
        <w:numPr>
          <w:ilvl w:val="0"/>
          <w:numId w:val="8"/>
        </w:numPr>
        <w:spacing w:before="0" w:after="0" w:line="240" w:lineRule="auto"/>
        <w:rPr>
          <w:rFonts w:cs="Arial"/>
        </w:rPr>
      </w:pPr>
      <w:r w:rsidRPr="00232B40">
        <w:rPr>
          <w:rFonts w:cs="Arial"/>
        </w:rPr>
        <w:lastRenderedPageBreak/>
        <w:t xml:space="preserve">to encourage socially responsible behaviour, including in relation to the care and education of children. </w:t>
      </w:r>
    </w:p>
    <w:p w:rsidR="002826ED" w:rsidRPr="00232B40" w:rsidRDefault="002826ED" w:rsidP="00CB197C">
      <w:pPr>
        <w:numPr>
          <w:ilvl w:val="0"/>
          <w:numId w:val="8"/>
        </w:numPr>
        <w:spacing w:before="0" w:after="0" w:line="240" w:lineRule="auto"/>
        <w:rPr>
          <w:rFonts w:cs="Arial"/>
        </w:rPr>
      </w:pPr>
      <w:r>
        <w:rPr>
          <w:rFonts w:cs="Arial"/>
        </w:rPr>
        <w:t>t</w:t>
      </w:r>
      <w:r w:rsidRPr="00232B40">
        <w:rPr>
          <w:rFonts w:cs="Arial"/>
        </w:rPr>
        <w:t>o improve the level of protection afforded to welfare recipients and their families</w:t>
      </w:r>
    </w:p>
    <w:p w:rsidR="002826ED" w:rsidRDefault="002826ED" w:rsidP="002826ED">
      <w:pPr>
        <w:rPr>
          <w:rFonts w:cs="Arial"/>
        </w:rPr>
      </w:pPr>
      <w:r>
        <w:rPr>
          <w:rFonts w:cs="Arial"/>
        </w:rPr>
        <w:t xml:space="preserve">Schedule 5 IM Deduction Contracts support both Declared Customers and Participants in the application of Income Management by providing access to income managed funds. </w:t>
      </w:r>
    </w:p>
    <w:p w:rsidR="002826ED" w:rsidRDefault="002826ED" w:rsidP="002826ED">
      <w:pPr>
        <w:rPr>
          <w:rFonts w:cs="Arial"/>
        </w:rPr>
      </w:pPr>
      <w:r>
        <w:rPr>
          <w:rFonts w:cs="Arial"/>
        </w:rPr>
        <w:t>The primary outcome is to:</w:t>
      </w:r>
    </w:p>
    <w:p w:rsidR="002826ED" w:rsidRDefault="002826ED" w:rsidP="00CB197C">
      <w:pPr>
        <w:numPr>
          <w:ilvl w:val="0"/>
          <w:numId w:val="9"/>
        </w:numPr>
        <w:spacing w:before="0" w:after="0" w:line="240" w:lineRule="auto"/>
        <w:rPr>
          <w:rFonts w:cs="Arial"/>
        </w:rPr>
      </w:pPr>
      <w:r>
        <w:rPr>
          <w:rFonts w:cs="Arial"/>
        </w:rPr>
        <w:t>provide people who are on income management with a simple mechanism to pay for Priority Goods that they wish to purchase using their income managed funds.  (See Glossary (1) for Priority Goods)</w:t>
      </w:r>
    </w:p>
    <w:p w:rsidR="002826ED" w:rsidRDefault="002826ED" w:rsidP="002826ED">
      <w:pPr>
        <w:rPr>
          <w:rFonts w:cs="Arial"/>
        </w:rPr>
      </w:pPr>
      <w:r>
        <w:rPr>
          <w:rFonts w:cs="Arial"/>
        </w:rPr>
        <w:t>The secondary outcome is to:</w:t>
      </w:r>
    </w:p>
    <w:p w:rsidR="002826ED" w:rsidRDefault="002826ED" w:rsidP="00CB197C">
      <w:pPr>
        <w:numPr>
          <w:ilvl w:val="0"/>
          <w:numId w:val="7"/>
        </w:numPr>
        <w:spacing w:before="0" w:after="0" w:line="240" w:lineRule="auto"/>
        <w:rPr>
          <w:rFonts w:cs="Arial"/>
        </w:rPr>
      </w:pPr>
      <w:r>
        <w:rPr>
          <w:rFonts w:cs="Arial"/>
        </w:rPr>
        <w:t>ensure that Participants receive payment for the provision of their goods from people on Income Management.</w:t>
      </w:r>
    </w:p>
    <w:p w:rsidR="002826ED" w:rsidRDefault="002826ED" w:rsidP="002826ED">
      <w:pPr>
        <w:pStyle w:val="Heading1"/>
      </w:pPr>
      <w:r>
        <w:t>4.</w:t>
      </w:r>
      <w:r>
        <w:tab/>
        <w:t>Participation in Income Management Schedule 5</w:t>
      </w:r>
    </w:p>
    <w:p w:rsidR="002826ED" w:rsidRPr="00077904" w:rsidRDefault="002826ED" w:rsidP="002826ED">
      <w:pPr>
        <w:rPr>
          <w:rFonts w:cs="Arial"/>
        </w:rPr>
      </w:pPr>
      <w:r>
        <w:rPr>
          <w:rFonts w:cs="Arial"/>
        </w:rPr>
        <w:t>For a Participant t</w:t>
      </w:r>
      <w:r w:rsidRPr="00077904">
        <w:rPr>
          <w:rFonts w:cs="Arial"/>
        </w:rPr>
        <w:t>o be eligible to become a Schedule 5 IM Participant, the requirements are:</w:t>
      </w:r>
    </w:p>
    <w:p w:rsidR="002826ED" w:rsidRPr="00077904" w:rsidRDefault="002826ED" w:rsidP="00CB197C">
      <w:pPr>
        <w:numPr>
          <w:ilvl w:val="0"/>
          <w:numId w:val="11"/>
        </w:numPr>
        <w:spacing w:before="0" w:after="0" w:line="240" w:lineRule="auto"/>
        <w:rPr>
          <w:rFonts w:cs="Arial"/>
        </w:rPr>
      </w:pPr>
      <w:r w:rsidRPr="00077904">
        <w:rPr>
          <w:rFonts w:cs="Arial"/>
        </w:rPr>
        <w:t>The main business of the Participant is the sale of priority goods and services; and</w:t>
      </w:r>
    </w:p>
    <w:p w:rsidR="002826ED" w:rsidRDefault="002826ED" w:rsidP="00CB197C">
      <w:pPr>
        <w:numPr>
          <w:ilvl w:val="0"/>
          <w:numId w:val="11"/>
        </w:numPr>
        <w:spacing w:before="0" w:after="0" w:line="240" w:lineRule="auto"/>
        <w:rPr>
          <w:rFonts w:cs="Arial"/>
        </w:rPr>
      </w:pPr>
      <w:r w:rsidRPr="00077904">
        <w:rPr>
          <w:rFonts w:cs="Arial"/>
        </w:rPr>
        <w:t>The Participant has the ability to prevent the sale of excluded goods and services.</w:t>
      </w:r>
    </w:p>
    <w:p w:rsidR="002826ED" w:rsidRDefault="002826ED" w:rsidP="002826ED">
      <w:pPr>
        <w:rPr>
          <w:rFonts w:cs="Arial"/>
        </w:rPr>
      </w:pPr>
      <w:r>
        <w:rPr>
          <w:rFonts w:cs="Arial"/>
        </w:rPr>
        <w:t>The type of organisations that DHS may approve to enter into a Schedule 5 IM Deduction Contract includes:</w:t>
      </w:r>
    </w:p>
    <w:p w:rsidR="002826ED" w:rsidRDefault="002826ED" w:rsidP="00CB197C">
      <w:pPr>
        <w:pStyle w:val="Char"/>
        <w:numPr>
          <w:ilvl w:val="0"/>
          <w:numId w:val="6"/>
        </w:numPr>
        <w:rPr>
          <w:iCs/>
          <w:sz w:val="24"/>
          <w:szCs w:val="24"/>
          <w:lang w:eastAsia="en-AU"/>
        </w:rPr>
      </w:pPr>
      <w:r>
        <w:rPr>
          <w:iCs/>
          <w:sz w:val="24"/>
          <w:szCs w:val="24"/>
          <w:lang w:eastAsia="en-AU"/>
        </w:rPr>
        <w:t xml:space="preserve">Food stores like bakeries, supermarkets, delicatessens, fruit and vegetables </w:t>
      </w:r>
      <w:proofErr w:type="spellStart"/>
      <w:r>
        <w:rPr>
          <w:iCs/>
          <w:sz w:val="24"/>
          <w:szCs w:val="24"/>
          <w:lang w:eastAsia="en-AU"/>
        </w:rPr>
        <w:t>etc</w:t>
      </w:r>
      <w:proofErr w:type="spellEnd"/>
      <w:r>
        <w:rPr>
          <w:iCs/>
          <w:sz w:val="24"/>
          <w:szCs w:val="24"/>
          <w:lang w:eastAsia="en-AU"/>
        </w:rPr>
        <w:t>;</w:t>
      </w:r>
    </w:p>
    <w:p w:rsidR="002826ED" w:rsidRDefault="002826ED" w:rsidP="00CB197C">
      <w:pPr>
        <w:pStyle w:val="Char"/>
        <w:numPr>
          <w:ilvl w:val="0"/>
          <w:numId w:val="6"/>
        </w:numPr>
        <w:rPr>
          <w:iCs/>
          <w:sz w:val="24"/>
          <w:szCs w:val="24"/>
          <w:lang w:eastAsia="en-AU"/>
        </w:rPr>
      </w:pPr>
      <w:r>
        <w:rPr>
          <w:iCs/>
          <w:sz w:val="24"/>
          <w:szCs w:val="24"/>
          <w:lang w:eastAsia="en-AU"/>
        </w:rPr>
        <w:t>Bookstore / art supplies;</w:t>
      </w:r>
    </w:p>
    <w:p w:rsidR="002826ED" w:rsidRDefault="002826ED" w:rsidP="00CB197C">
      <w:pPr>
        <w:pStyle w:val="Char"/>
        <w:numPr>
          <w:ilvl w:val="0"/>
          <w:numId w:val="6"/>
        </w:numPr>
        <w:rPr>
          <w:iCs/>
          <w:sz w:val="24"/>
          <w:szCs w:val="24"/>
          <w:lang w:eastAsia="en-AU"/>
        </w:rPr>
      </w:pPr>
      <w:r>
        <w:rPr>
          <w:iCs/>
          <w:sz w:val="24"/>
          <w:szCs w:val="24"/>
          <w:lang w:eastAsia="en-AU"/>
        </w:rPr>
        <w:t>Chemist / Pharmacy;</w:t>
      </w:r>
    </w:p>
    <w:p w:rsidR="002826ED" w:rsidRDefault="002826ED" w:rsidP="00CB197C">
      <w:pPr>
        <w:pStyle w:val="Char"/>
        <w:numPr>
          <w:ilvl w:val="0"/>
          <w:numId w:val="6"/>
        </w:numPr>
        <w:rPr>
          <w:iCs/>
          <w:sz w:val="24"/>
          <w:szCs w:val="24"/>
          <w:lang w:eastAsia="en-AU"/>
        </w:rPr>
      </w:pPr>
      <w:r>
        <w:rPr>
          <w:iCs/>
          <w:sz w:val="24"/>
          <w:szCs w:val="24"/>
          <w:lang w:eastAsia="en-AU"/>
        </w:rPr>
        <w:t>Clothes store / shoe store;</w:t>
      </w:r>
    </w:p>
    <w:p w:rsidR="002826ED" w:rsidRDefault="002826ED" w:rsidP="00CB197C">
      <w:pPr>
        <w:pStyle w:val="Char"/>
        <w:numPr>
          <w:ilvl w:val="0"/>
          <w:numId w:val="6"/>
        </w:numPr>
        <w:rPr>
          <w:iCs/>
          <w:sz w:val="24"/>
          <w:szCs w:val="24"/>
          <w:lang w:eastAsia="en-AU"/>
        </w:rPr>
      </w:pPr>
      <w:r>
        <w:rPr>
          <w:iCs/>
          <w:sz w:val="24"/>
          <w:szCs w:val="24"/>
          <w:lang w:eastAsia="en-AU"/>
        </w:rPr>
        <w:t>Community store;</w:t>
      </w:r>
    </w:p>
    <w:p w:rsidR="002826ED" w:rsidRDefault="002826ED" w:rsidP="00CB197C">
      <w:pPr>
        <w:pStyle w:val="Char"/>
        <w:numPr>
          <w:ilvl w:val="0"/>
          <w:numId w:val="6"/>
        </w:numPr>
        <w:rPr>
          <w:iCs/>
          <w:sz w:val="24"/>
          <w:szCs w:val="24"/>
          <w:lang w:eastAsia="en-AU"/>
        </w:rPr>
      </w:pPr>
      <w:r>
        <w:rPr>
          <w:iCs/>
          <w:sz w:val="24"/>
          <w:szCs w:val="24"/>
          <w:lang w:eastAsia="en-AU"/>
        </w:rPr>
        <w:t>Station store;</w:t>
      </w:r>
    </w:p>
    <w:p w:rsidR="002826ED" w:rsidRDefault="002826ED" w:rsidP="00CB197C">
      <w:pPr>
        <w:pStyle w:val="Char"/>
        <w:numPr>
          <w:ilvl w:val="0"/>
          <w:numId w:val="6"/>
        </w:numPr>
        <w:rPr>
          <w:iCs/>
          <w:sz w:val="24"/>
          <w:szCs w:val="24"/>
          <w:lang w:eastAsia="en-AU"/>
        </w:rPr>
      </w:pPr>
      <w:r>
        <w:rPr>
          <w:iCs/>
          <w:sz w:val="24"/>
          <w:szCs w:val="24"/>
          <w:lang w:eastAsia="en-AU"/>
        </w:rPr>
        <w:t>Airlines, travel agents;</w:t>
      </w:r>
    </w:p>
    <w:p w:rsidR="002826ED" w:rsidRDefault="002826ED" w:rsidP="00CB197C">
      <w:pPr>
        <w:pStyle w:val="Char"/>
        <w:numPr>
          <w:ilvl w:val="0"/>
          <w:numId w:val="6"/>
        </w:numPr>
        <w:rPr>
          <w:iCs/>
          <w:sz w:val="24"/>
          <w:szCs w:val="24"/>
          <w:lang w:eastAsia="en-AU"/>
        </w:rPr>
      </w:pPr>
      <w:r>
        <w:rPr>
          <w:iCs/>
          <w:sz w:val="24"/>
          <w:szCs w:val="24"/>
          <w:lang w:eastAsia="en-AU"/>
        </w:rPr>
        <w:t>Educational outlet;</w:t>
      </w:r>
    </w:p>
    <w:p w:rsidR="002826ED" w:rsidRPr="00A86485" w:rsidRDefault="002826ED" w:rsidP="00CB197C">
      <w:pPr>
        <w:pStyle w:val="Char"/>
        <w:numPr>
          <w:ilvl w:val="0"/>
          <w:numId w:val="6"/>
        </w:numPr>
        <w:rPr>
          <w:iCs/>
          <w:sz w:val="24"/>
          <w:szCs w:val="24"/>
          <w:lang w:eastAsia="en-AU"/>
        </w:rPr>
      </w:pPr>
      <w:r>
        <w:rPr>
          <w:iCs/>
          <w:sz w:val="24"/>
          <w:szCs w:val="24"/>
          <w:lang w:eastAsia="en-AU"/>
        </w:rPr>
        <w:t>Furniture store; second hand, whitegoods and hardware stores.</w:t>
      </w:r>
    </w:p>
    <w:p w:rsidR="002826ED" w:rsidRPr="007814BE" w:rsidRDefault="002826ED" w:rsidP="002826ED">
      <w:pPr>
        <w:pStyle w:val="Heading1"/>
      </w:pPr>
      <w:r>
        <w:t>5.</w:t>
      </w:r>
      <w:r>
        <w:tab/>
      </w:r>
      <w:r w:rsidRPr="007814BE">
        <w:t>Community Store Licence Requirements</w:t>
      </w:r>
    </w:p>
    <w:p w:rsidR="002826ED" w:rsidRPr="008B344B" w:rsidRDefault="002826ED" w:rsidP="002826ED">
      <w:r w:rsidRPr="008B344B">
        <w:rPr>
          <w:rFonts w:cs="Arial"/>
          <w:iCs/>
        </w:rPr>
        <w:t>Specific conditions apply to Participants in</w:t>
      </w:r>
      <w:r>
        <w:rPr>
          <w:rFonts w:cs="Arial"/>
          <w:iCs/>
        </w:rPr>
        <w:t xml:space="preserve"> the</w:t>
      </w:r>
      <w:r w:rsidRPr="008B344B">
        <w:rPr>
          <w:rFonts w:cs="Arial"/>
          <w:iCs/>
        </w:rPr>
        <w:t xml:space="preserve"> Northern Territory Food </w:t>
      </w:r>
      <w:r>
        <w:rPr>
          <w:rFonts w:cs="Arial"/>
          <w:iCs/>
        </w:rPr>
        <w:t>S</w:t>
      </w:r>
      <w:r w:rsidRPr="008B344B">
        <w:rPr>
          <w:rFonts w:cs="Arial"/>
          <w:iCs/>
        </w:rPr>
        <w:t xml:space="preserve">ecurity </w:t>
      </w:r>
      <w:r>
        <w:rPr>
          <w:rFonts w:cs="Arial"/>
          <w:iCs/>
        </w:rPr>
        <w:t>Area.</w:t>
      </w:r>
    </w:p>
    <w:p w:rsidR="002826ED" w:rsidRPr="00EF60C9" w:rsidRDefault="002826ED" w:rsidP="003A0E80">
      <w:r>
        <w:t>The Food Security Area</w:t>
      </w:r>
      <w:r w:rsidRPr="0093246F">
        <w:t xml:space="preserve"> is</w:t>
      </w:r>
      <w:r>
        <w:t xml:space="preserve"> all the Northern Territory, except for areas specified by the legislative instrument under section 74 </w:t>
      </w:r>
      <w:r w:rsidRPr="00765345">
        <w:rPr>
          <w:i/>
        </w:rPr>
        <w:t xml:space="preserve">SFNT </w:t>
      </w:r>
      <w:r>
        <w:rPr>
          <w:i/>
        </w:rPr>
        <w:t>A</w:t>
      </w:r>
      <w:r w:rsidRPr="00765345">
        <w:rPr>
          <w:i/>
        </w:rPr>
        <w:t xml:space="preserve">ct </w:t>
      </w:r>
      <w:r w:rsidRPr="00C14EBA">
        <w:rPr>
          <w:i/>
        </w:rPr>
        <w:t>2012</w:t>
      </w:r>
      <w:r>
        <w:t xml:space="preserve">, specifically the </w:t>
      </w:r>
      <w:r>
        <w:rPr>
          <w:i/>
        </w:rPr>
        <w:t>Stronger Futures in the Northern Territory (Food Security Areas) Rule 2012.</w:t>
      </w:r>
    </w:p>
    <w:p w:rsidR="002826ED" w:rsidRPr="002A5252" w:rsidRDefault="002826ED" w:rsidP="002826ED">
      <w:pPr>
        <w:rPr>
          <w:rFonts w:cs="Arial"/>
        </w:rPr>
      </w:pPr>
      <w:r w:rsidRPr="002A5252">
        <w:rPr>
          <w:rFonts w:cs="Arial"/>
        </w:rPr>
        <w:t xml:space="preserve">If it has been determined that a Participant in the Food </w:t>
      </w:r>
      <w:r>
        <w:rPr>
          <w:rFonts w:cs="Arial"/>
        </w:rPr>
        <w:t>S</w:t>
      </w:r>
      <w:r w:rsidRPr="002A5252">
        <w:rPr>
          <w:rFonts w:cs="Arial"/>
        </w:rPr>
        <w:t xml:space="preserve">ecurity </w:t>
      </w:r>
      <w:r>
        <w:rPr>
          <w:rFonts w:cs="Arial"/>
        </w:rPr>
        <w:t>A</w:t>
      </w:r>
      <w:r w:rsidRPr="002A5252">
        <w:rPr>
          <w:rFonts w:cs="Arial"/>
        </w:rPr>
        <w:t>rea requires a community store license, these Participants:</w:t>
      </w:r>
    </w:p>
    <w:p w:rsidR="002826ED" w:rsidRPr="008C7FC2" w:rsidRDefault="002826ED" w:rsidP="00CB197C">
      <w:pPr>
        <w:numPr>
          <w:ilvl w:val="0"/>
          <w:numId w:val="10"/>
        </w:numPr>
        <w:spacing w:before="0" w:after="0" w:line="240" w:lineRule="auto"/>
        <w:rPr>
          <w:lang w:eastAsia="en-US"/>
        </w:rPr>
      </w:pPr>
      <w:r>
        <w:rPr>
          <w:rFonts w:cs="Arial"/>
        </w:rPr>
        <w:t xml:space="preserve">must </w:t>
      </w:r>
      <w:r w:rsidRPr="008C7FC2">
        <w:rPr>
          <w:rFonts w:cs="Arial"/>
        </w:rPr>
        <w:t>at all times comply with all terms and conditions</w:t>
      </w:r>
      <w:r>
        <w:rPr>
          <w:rFonts w:cs="Arial"/>
        </w:rPr>
        <w:t xml:space="preserve"> </w:t>
      </w:r>
      <w:r w:rsidRPr="008C7FC2">
        <w:rPr>
          <w:rFonts w:cs="Arial"/>
        </w:rPr>
        <w:t xml:space="preserve">of the </w:t>
      </w:r>
      <w:r>
        <w:rPr>
          <w:rFonts w:cs="Arial"/>
        </w:rPr>
        <w:t>community s</w:t>
      </w:r>
      <w:r w:rsidRPr="008C7FC2">
        <w:rPr>
          <w:rFonts w:cs="Arial"/>
        </w:rPr>
        <w:t xml:space="preserve">tore </w:t>
      </w:r>
      <w:r>
        <w:rPr>
          <w:rFonts w:cs="Arial"/>
        </w:rPr>
        <w:t>l</w:t>
      </w:r>
      <w:r w:rsidRPr="008C7FC2">
        <w:rPr>
          <w:rFonts w:cs="Arial"/>
        </w:rPr>
        <w:t xml:space="preserve">icence, including any terms and conditions applicable to </w:t>
      </w:r>
      <w:r>
        <w:rPr>
          <w:rFonts w:cs="Arial"/>
        </w:rPr>
        <w:t>income management</w:t>
      </w:r>
      <w:r w:rsidRPr="008C7FC2">
        <w:rPr>
          <w:rFonts w:cs="Arial"/>
        </w:rPr>
        <w:t xml:space="preserve">; </w:t>
      </w:r>
      <w:r>
        <w:rPr>
          <w:rFonts w:cs="Arial"/>
        </w:rPr>
        <w:t>and</w:t>
      </w:r>
    </w:p>
    <w:p w:rsidR="002826ED" w:rsidRDefault="002826ED" w:rsidP="00CB197C">
      <w:pPr>
        <w:numPr>
          <w:ilvl w:val="0"/>
          <w:numId w:val="10"/>
        </w:numPr>
        <w:spacing w:before="0" w:after="0" w:line="240" w:lineRule="auto"/>
        <w:rPr>
          <w:lang w:eastAsia="en-US"/>
        </w:rPr>
      </w:pPr>
      <w:r w:rsidRPr="008C7FC2">
        <w:rPr>
          <w:rFonts w:cs="Arial"/>
        </w:rPr>
        <w:t xml:space="preserve">must promptly </w:t>
      </w:r>
      <w:r>
        <w:rPr>
          <w:rFonts w:cs="Arial"/>
        </w:rPr>
        <w:t>n</w:t>
      </w:r>
      <w:r w:rsidRPr="008C7FC2">
        <w:rPr>
          <w:rFonts w:cs="Arial"/>
        </w:rPr>
        <w:t xml:space="preserve">otify </w:t>
      </w:r>
      <w:r>
        <w:rPr>
          <w:rFonts w:cs="Arial"/>
        </w:rPr>
        <w:t>Human Services</w:t>
      </w:r>
      <w:r w:rsidRPr="008C7FC2">
        <w:rPr>
          <w:rFonts w:cs="Arial"/>
        </w:rPr>
        <w:t xml:space="preserve"> if its </w:t>
      </w:r>
      <w:r>
        <w:rPr>
          <w:rFonts w:cs="Arial"/>
        </w:rPr>
        <w:t>community s</w:t>
      </w:r>
      <w:r w:rsidRPr="008C7FC2">
        <w:rPr>
          <w:rFonts w:cs="Arial"/>
        </w:rPr>
        <w:t xml:space="preserve">tore </w:t>
      </w:r>
      <w:r>
        <w:rPr>
          <w:rFonts w:cs="Arial"/>
        </w:rPr>
        <w:t>l</w:t>
      </w:r>
      <w:r w:rsidRPr="008C7FC2">
        <w:rPr>
          <w:rFonts w:cs="Arial"/>
        </w:rPr>
        <w:t>icence is revoked, terminated or otherwise not renewed</w:t>
      </w:r>
      <w:r>
        <w:rPr>
          <w:rFonts w:cs="Arial"/>
        </w:rPr>
        <w:t>.</w:t>
      </w:r>
    </w:p>
    <w:p w:rsidR="002826ED" w:rsidRDefault="002826ED" w:rsidP="002826ED">
      <w:pPr>
        <w:pStyle w:val="Heading1"/>
        <w:rPr>
          <w:lang w:val="en-US"/>
        </w:rPr>
      </w:pPr>
      <w:r>
        <w:rPr>
          <w:lang w:eastAsia="en-US"/>
        </w:rPr>
        <w:br w:type="page"/>
      </w:r>
      <w:r>
        <w:rPr>
          <w:lang w:val="en-US"/>
        </w:rPr>
        <w:lastRenderedPageBreak/>
        <w:t>Glossary</w:t>
      </w:r>
    </w:p>
    <w:p w:rsidR="002826ED" w:rsidRDefault="002826ED" w:rsidP="002826ED">
      <w:pPr>
        <w:rPr>
          <w:rFonts w:cs="Arial"/>
        </w:rPr>
      </w:pPr>
    </w:p>
    <w:p w:rsidR="002826ED" w:rsidRPr="002826ED" w:rsidRDefault="002826ED" w:rsidP="002826ED">
      <w:pPr>
        <w:pStyle w:val="Heading2"/>
      </w:pPr>
      <w:r w:rsidRPr="002826ED">
        <w:t>(1)</w:t>
      </w:r>
      <w:r w:rsidRPr="002826ED">
        <w:tab/>
        <w:t xml:space="preserve">Schedule 5 Priority Goods </w:t>
      </w:r>
    </w:p>
    <w:p w:rsidR="002826ED" w:rsidRDefault="002826ED" w:rsidP="002826ED">
      <w:pPr>
        <w:rPr>
          <w:rFonts w:cs="Arial"/>
        </w:rPr>
      </w:pPr>
      <w:r>
        <w:rPr>
          <w:rFonts w:cs="Arial"/>
        </w:rPr>
        <w:t xml:space="preserve">Following is the list of Priority Goods for the purposes of approval for registered third party organisations to enter into a Schedule 5 IM Deduction Contract. The list is derived from section 123TH of the </w:t>
      </w:r>
      <w:r>
        <w:rPr>
          <w:rFonts w:cs="Arial"/>
          <w:i/>
        </w:rPr>
        <w:t>SSAA</w:t>
      </w:r>
      <w:r>
        <w:rPr>
          <w:rFonts w:cs="Arial"/>
        </w:rPr>
        <w:t xml:space="preserve"> which sets out the priority needs for person subject to income management.</w:t>
      </w:r>
    </w:p>
    <w:p w:rsidR="002826ED" w:rsidRDefault="002826ED" w:rsidP="002826ED">
      <w:pPr>
        <w:rPr>
          <w:rFonts w:cs="Arial"/>
        </w:rPr>
      </w:pPr>
    </w:p>
    <w:p w:rsidR="002826ED" w:rsidRDefault="002826ED" w:rsidP="00CB197C">
      <w:pPr>
        <w:numPr>
          <w:ilvl w:val="0"/>
          <w:numId w:val="5"/>
        </w:numPr>
        <w:spacing w:before="0" w:after="0" w:line="240" w:lineRule="auto"/>
        <w:rPr>
          <w:rFonts w:cs="Arial"/>
        </w:rPr>
      </w:pPr>
      <w:r>
        <w:rPr>
          <w:rFonts w:cs="Arial"/>
        </w:rPr>
        <w:t>food;</w:t>
      </w:r>
    </w:p>
    <w:p w:rsidR="002826ED" w:rsidRDefault="002826ED" w:rsidP="00CB197C">
      <w:pPr>
        <w:numPr>
          <w:ilvl w:val="0"/>
          <w:numId w:val="5"/>
        </w:numPr>
        <w:spacing w:before="0" w:after="0" w:line="240" w:lineRule="auto"/>
        <w:rPr>
          <w:rFonts w:cs="Arial"/>
        </w:rPr>
      </w:pPr>
      <w:r>
        <w:rPr>
          <w:rFonts w:cs="Arial"/>
        </w:rPr>
        <w:t>non-alcoholic beverages;</w:t>
      </w:r>
    </w:p>
    <w:p w:rsidR="002826ED" w:rsidRDefault="002826ED" w:rsidP="00CB197C">
      <w:pPr>
        <w:numPr>
          <w:ilvl w:val="0"/>
          <w:numId w:val="5"/>
        </w:numPr>
        <w:spacing w:before="0" w:after="0" w:line="240" w:lineRule="auto"/>
        <w:rPr>
          <w:rFonts w:cs="Arial"/>
        </w:rPr>
      </w:pPr>
      <w:r>
        <w:rPr>
          <w:rFonts w:cs="Arial"/>
        </w:rPr>
        <w:t>clothing;</w:t>
      </w:r>
    </w:p>
    <w:p w:rsidR="002826ED" w:rsidRDefault="002826ED" w:rsidP="00CB197C">
      <w:pPr>
        <w:numPr>
          <w:ilvl w:val="0"/>
          <w:numId w:val="5"/>
        </w:numPr>
        <w:spacing w:before="0" w:after="0" w:line="240" w:lineRule="auto"/>
        <w:rPr>
          <w:rFonts w:cs="Arial"/>
        </w:rPr>
      </w:pPr>
      <w:r>
        <w:rPr>
          <w:rFonts w:cs="Arial"/>
        </w:rPr>
        <w:t>footwear;</w:t>
      </w:r>
    </w:p>
    <w:p w:rsidR="002826ED" w:rsidRDefault="002826ED" w:rsidP="00CB197C">
      <w:pPr>
        <w:numPr>
          <w:ilvl w:val="0"/>
          <w:numId w:val="5"/>
        </w:numPr>
        <w:spacing w:before="0" w:after="0" w:line="240" w:lineRule="auto"/>
        <w:rPr>
          <w:rFonts w:cs="Arial"/>
        </w:rPr>
      </w:pPr>
      <w:r>
        <w:rPr>
          <w:rFonts w:cs="Arial"/>
        </w:rPr>
        <w:t>basic personal hygiene items;</w:t>
      </w:r>
    </w:p>
    <w:p w:rsidR="002826ED" w:rsidRDefault="002826ED" w:rsidP="00CB197C">
      <w:pPr>
        <w:numPr>
          <w:ilvl w:val="0"/>
          <w:numId w:val="5"/>
        </w:numPr>
        <w:spacing w:before="0" w:after="0" w:line="240" w:lineRule="auto"/>
        <w:rPr>
          <w:rFonts w:cs="Arial"/>
        </w:rPr>
      </w:pPr>
      <w:r>
        <w:rPr>
          <w:rFonts w:cs="Arial"/>
        </w:rPr>
        <w:t>basic household items;</w:t>
      </w:r>
    </w:p>
    <w:p w:rsidR="002826ED" w:rsidRDefault="002826ED" w:rsidP="00CB197C">
      <w:pPr>
        <w:numPr>
          <w:ilvl w:val="0"/>
          <w:numId w:val="5"/>
        </w:numPr>
        <w:spacing w:before="0" w:after="0" w:line="240" w:lineRule="auto"/>
        <w:rPr>
          <w:rFonts w:cs="Arial"/>
        </w:rPr>
      </w:pPr>
      <w:r>
        <w:rPr>
          <w:rFonts w:cs="Arial"/>
        </w:rPr>
        <w:t>health; including:</w:t>
      </w:r>
    </w:p>
    <w:p w:rsidR="002826ED" w:rsidRDefault="002826ED" w:rsidP="00CB197C">
      <w:pPr>
        <w:numPr>
          <w:ilvl w:val="1"/>
          <w:numId w:val="5"/>
        </w:numPr>
        <w:spacing w:before="0" w:after="0" w:line="240" w:lineRule="auto"/>
        <w:rPr>
          <w:rFonts w:cs="Arial"/>
        </w:rPr>
      </w:pPr>
      <w:r>
        <w:rPr>
          <w:rFonts w:cs="Arial"/>
        </w:rPr>
        <w:t>pharmacy items;</w:t>
      </w:r>
    </w:p>
    <w:p w:rsidR="002826ED" w:rsidRDefault="002826ED" w:rsidP="00CB197C">
      <w:pPr>
        <w:numPr>
          <w:ilvl w:val="0"/>
          <w:numId w:val="5"/>
        </w:numPr>
        <w:spacing w:before="0" w:after="0" w:line="240" w:lineRule="auto"/>
        <w:rPr>
          <w:rFonts w:cs="Arial"/>
        </w:rPr>
      </w:pPr>
      <w:r w:rsidRPr="0093246F">
        <w:rPr>
          <w:rFonts w:cs="Arial"/>
        </w:rPr>
        <w:t>education and training;</w:t>
      </w:r>
    </w:p>
    <w:p w:rsidR="002826ED" w:rsidRDefault="002826ED" w:rsidP="00CB197C">
      <w:pPr>
        <w:numPr>
          <w:ilvl w:val="0"/>
          <w:numId w:val="5"/>
        </w:numPr>
        <w:spacing w:before="0" w:after="0" w:line="240" w:lineRule="auto"/>
        <w:rPr>
          <w:rFonts w:cs="Arial"/>
        </w:rPr>
      </w:pPr>
      <w:r>
        <w:rPr>
          <w:rFonts w:cs="Arial"/>
        </w:rPr>
        <w:t>items required for the purpose of the person’s employment, including:</w:t>
      </w:r>
    </w:p>
    <w:p w:rsidR="002826ED" w:rsidRDefault="002826ED" w:rsidP="00CB197C">
      <w:pPr>
        <w:numPr>
          <w:ilvl w:val="1"/>
          <w:numId w:val="5"/>
        </w:numPr>
        <w:spacing w:before="0" w:after="0" w:line="240" w:lineRule="auto"/>
        <w:rPr>
          <w:rFonts w:cs="Arial"/>
        </w:rPr>
      </w:pPr>
      <w:r>
        <w:rPr>
          <w:rFonts w:cs="Arial"/>
        </w:rPr>
        <w:t>a uniform or other occupational clothing;</w:t>
      </w:r>
    </w:p>
    <w:p w:rsidR="002826ED" w:rsidRDefault="002826ED" w:rsidP="00CB197C">
      <w:pPr>
        <w:numPr>
          <w:ilvl w:val="1"/>
          <w:numId w:val="5"/>
        </w:numPr>
        <w:spacing w:before="0" w:after="0" w:line="240" w:lineRule="auto"/>
        <w:rPr>
          <w:rFonts w:cs="Arial"/>
        </w:rPr>
      </w:pPr>
      <w:r>
        <w:rPr>
          <w:rFonts w:cs="Arial"/>
        </w:rPr>
        <w:t xml:space="preserve">protective footwear; </w:t>
      </w:r>
    </w:p>
    <w:p w:rsidR="002826ED" w:rsidRDefault="002826ED" w:rsidP="00CB197C">
      <w:pPr>
        <w:numPr>
          <w:ilvl w:val="1"/>
          <w:numId w:val="5"/>
        </w:numPr>
        <w:spacing w:before="0" w:after="0" w:line="240" w:lineRule="auto"/>
        <w:rPr>
          <w:rFonts w:cs="Arial"/>
        </w:rPr>
      </w:pPr>
      <w:r>
        <w:rPr>
          <w:rFonts w:cs="Arial"/>
        </w:rPr>
        <w:t>tools of trade; and</w:t>
      </w:r>
    </w:p>
    <w:p w:rsidR="002826ED" w:rsidRDefault="002826ED" w:rsidP="00CB197C">
      <w:pPr>
        <w:numPr>
          <w:ilvl w:val="0"/>
          <w:numId w:val="5"/>
        </w:numPr>
        <w:spacing w:before="0" w:after="0" w:line="240" w:lineRule="auto"/>
        <w:rPr>
          <w:rFonts w:cs="Arial"/>
        </w:rPr>
      </w:pPr>
      <w:r>
        <w:rPr>
          <w:rFonts w:cs="Arial"/>
        </w:rPr>
        <w:t>public transport, where the public transport is  used wholly or partly for purposes in connection with any of the above needs;</w:t>
      </w:r>
    </w:p>
    <w:p w:rsidR="002826ED" w:rsidRDefault="002826ED" w:rsidP="00CB197C">
      <w:pPr>
        <w:numPr>
          <w:ilvl w:val="0"/>
          <w:numId w:val="5"/>
        </w:numPr>
        <w:spacing w:before="0" w:after="0" w:line="240" w:lineRule="auto"/>
        <w:rPr>
          <w:rFonts w:cs="Arial"/>
        </w:rPr>
      </w:pPr>
      <w:r>
        <w:rPr>
          <w:rFonts w:cs="Arial"/>
        </w:rPr>
        <w:t>the acquisition, repair, maintenance or operation of:</w:t>
      </w:r>
    </w:p>
    <w:p w:rsidR="002826ED" w:rsidRDefault="002826ED" w:rsidP="00CB197C">
      <w:pPr>
        <w:numPr>
          <w:ilvl w:val="1"/>
          <w:numId w:val="5"/>
        </w:numPr>
        <w:spacing w:before="0" w:after="0" w:line="240" w:lineRule="auto"/>
        <w:rPr>
          <w:rFonts w:cs="Arial"/>
        </w:rPr>
      </w:pPr>
      <w:r>
        <w:rPr>
          <w:rFonts w:cs="Arial"/>
        </w:rPr>
        <w:t>a motor vehicle;</w:t>
      </w:r>
    </w:p>
    <w:p w:rsidR="002826ED" w:rsidRDefault="002826ED" w:rsidP="00CB197C">
      <w:pPr>
        <w:numPr>
          <w:ilvl w:val="1"/>
          <w:numId w:val="5"/>
        </w:numPr>
        <w:spacing w:before="0" w:after="0" w:line="240" w:lineRule="auto"/>
        <w:rPr>
          <w:rFonts w:cs="Arial"/>
        </w:rPr>
      </w:pPr>
      <w:r>
        <w:rPr>
          <w:rFonts w:cs="Arial"/>
        </w:rPr>
        <w:t>a motor cycle; or</w:t>
      </w:r>
    </w:p>
    <w:p w:rsidR="002826ED" w:rsidRDefault="002826ED" w:rsidP="00CB197C">
      <w:pPr>
        <w:numPr>
          <w:ilvl w:val="1"/>
          <w:numId w:val="5"/>
        </w:numPr>
        <w:spacing w:before="0" w:after="0" w:line="240" w:lineRule="auto"/>
        <w:rPr>
          <w:rFonts w:cs="Arial"/>
        </w:rPr>
      </w:pPr>
      <w:r>
        <w:rPr>
          <w:rFonts w:cs="Arial"/>
        </w:rPr>
        <w:t>a bicycle;</w:t>
      </w:r>
    </w:p>
    <w:p w:rsidR="002826ED" w:rsidRDefault="002826ED" w:rsidP="002826ED">
      <w:pPr>
        <w:ind w:left="720"/>
        <w:rPr>
          <w:rFonts w:cs="Arial"/>
        </w:rPr>
      </w:pPr>
      <w:r>
        <w:rPr>
          <w:rFonts w:cs="Arial"/>
        </w:rPr>
        <w:t>that is used wholly or partly for purposes in connection with any of the above needs.</w:t>
      </w:r>
    </w:p>
    <w:p w:rsidR="002826ED" w:rsidRDefault="002826ED" w:rsidP="002826ED"/>
    <w:p w:rsidR="002826ED" w:rsidRPr="002826ED" w:rsidRDefault="002826ED" w:rsidP="002826ED">
      <w:pPr>
        <w:pStyle w:val="Heading2"/>
      </w:pPr>
      <w:r w:rsidRPr="002826ED">
        <w:t>(2)</w:t>
      </w:r>
      <w:r w:rsidRPr="002826ED">
        <w:tab/>
        <w:t xml:space="preserve">Schedule 5 Excluded Goods </w:t>
      </w:r>
    </w:p>
    <w:p w:rsidR="002826ED" w:rsidRDefault="002826ED" w:rsidP="002826ED">
      <w:pPr>
        <w:rPr>
          <w:rFonts w:cs="Arial"/>
        </w:rPr>
      </w:pPr>
      <w:r>
        <w:rPr>
          <w:rFonts w:cs="Arial"/>
        </w:rPr>
        <w:t>The following goods and services are Excluded Goods for the purposes of Schedule 5:</w:t>
      </w:r>
    </w:p>
    <w:p w:rsidR="002826ED" w:rsidRDefault="002826ED" w:rsidP="002826ED">
      <w:pPr>
        <w:pStyle w:val="Heading3"/>
      </w:pPr>
      <w:r>
        <w:t xml:space="preserve">Excluded Goods </w:t>
      </w:r>
    </w:p>
    <w:p w:rsidR="002826ED" w:rsidRDefault="002826ED" w:rsidP="002826ED">
      <w:pPr>
        <w:rPr>
          <w:rFonts w:cs="Arial"/>
        </w:rPr>
      </w:pPr>
      <w:r>
        <w:rPr>
          <w:rFonts w:cs="Arial"/>
        </w:rPr>
        <w:t>Each of the following are excluded goods for this purpose:</w:t>
      </w:r>
    </w:p>
    <w:p w:rsidR="002826ED" w:rsidRDefault="00625B00" w:rsidP="00CB197C">
      <w:pPr>
        <w:numPr>
          <w:ilvl w:val="0"/>
          <w:numId w:val="4"/>
        </w:numPr>
        <w:spacing w:before="0" w:after="0" w:line="240" w:lineRule="auto"/>
        <w:rPr>
          <w:rFonts w:cs="Arial"/>
        </w:rPr>
      </w:pPr>
      <w:hyperlink r:id="rId10" w:anchor="alcoholic_beverage" w:history="1">
        <w:r w:rsidR="002826ED">
          <w:rPr>
            <w:rFonts w:cs="Arial"/>
          </w:rPr>
          <w:t>alcoholic beverages</w:t>
        </w:r>
      </w:hyperlink>
      <w:r w:rsidR="002826ED">
        <w:rPr>
          <w:rFonts w:cs="Arial"/>
        </w:rPr>
        <w:t>;</w:t>
      </w:r>
    </w:p>
    <w:p w:rsidR="002826ED" w:rsidRDefault="002826ED" w:rsidP="00CB197C">
      <w:pPr>
        <w:numPr>
          <w:ilvl w:val="0"/>
          <w:numId w:val="4"/>
        </w:numPr>
        <w:spacing w:before="0" w:after="0" w:line="240" w:lineRule="auto"/>
        <w:rPr>
          <w:rFonts w:cs="Arial"/>
        </w:rPr>
      </w:pPr>
      <w:r>
        <w:rPr>
          <w:rFonts w:cs="Arial"/>
        </w:rPr>
        <w:t xml:space="preserve">tobacco products; </w:t>
      </w:r>
    </w:p>
    <w:p w:rsidR="002826ED" w:rsidRDefault="002826ED" w:rsidP="00CB197C">
      <w:pPr>
        <w:numPr>
          <w:ilvl w:val="0"/>
          <w:numId w:val="4"/>
        </w:numPr>
        <w:spacing w:before="0" w:after="0" w:line="240" w:lineRule="auto"/>
        <w:rPr>
          <w:rFonts w:cs="Arial"/>
        </w:rPr>
      </w:pPr>
      <w:r>
        <w:rPr>
          <w:rFonts w:cs="Arial"/>
        </w:rPr>
        <w:t xml:space="preserve">pornographic material; </w:t>
      </w:r>
    </w:p>
    <w:p w:rsidR="002826ED" w:rsidRDefault="002826ED" w:rsidP="00CB197C">
      <w:pPr>
        <w:numPr>
          <w:ilvl w:val="0"/>
          <w:numId w:val="4"/>
        </w:numPr>
        <w:spacing w:before="0" w:after="0" w:line="240" w:lineRule="auto"/>
        <w:rPr>
          <w:rFonts w:cs="Arial"/>
        </w:rPr>
      </w:pPr>
      <w:r>
        <w:rPr>
          <w:rFonts w:cs="Arial"/>
        </w:rPr>
        <w:t>gambling products; and</w:t>
      </w:r>
    </w:p>
    <w:p w:rsidR="002826ED" w:rsidRDefault="002826ED" w:rsidP="00CB197C">
      <w:pPr>
        <w:numPr>
          <w:ilvl w:val="0"/>
          <w:numId w:val="4"/>
        </w:numPr>
        <w:spacing w:before="0" w:after="0" w:line="240" w:lineRule="auto"/>
        <w:rPr>
          <w:rFonts w:cs="Arial"/>
        </w:rPr>
      </w:pPr>
      <w:r>
        <w:rPr>
          <w:rFonts w:cs="Arial"/>
        </w:rPr>
        <w:t>home-brew kits and home-brew concentrate;</w:t>
      </w:r>
    </w:p>
    <w:p w:rsidR="002826ED" w:rsidRDefault="002826ED" w:rsidP="00CB197C">
      <w:pPr>
        <w:numPr>
          <w:ilvl w:val="0"/>
          <w:numId w:val="4"/>
        </w:numPr>
        <w:spacing w:before="0" w:after="0" w:line="240" w:lineRule="auto"/>
        <w:rPr>
          <w:rFonts w:cs="Arial"/>
        </w:rPr>
      </w:pPr>
      <w:r>
        <w:rPr>
          <w:rFonts w:cs="Arial"/>
        </w:rPr>
        <w:t>goods specified in a legislative instrument by the Minister for the purposes of paragraph 123TI(1)(d) of the SSAA.</w:t>
      </w:r>
      <w:bookmarkEnd w:id="1"/>
    </w:p>
    <w:sectPr w:rsidR="002826ED" w:rsidSect="002826ED">
      <w:headerReference w:type="first" r:id="rId11"/>
      <w:pgSz w:w="11906" w:h="16838" w:code="9"/>
      <w:pgMar w:top="568" w:right="1134"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B00" w:rsidRDefault="00625B00">
      <w:r>
        <w:separator/>
      </w:r>
    </w:p>
  </w:endnote>
  <w:endnote w:type="continuationSeparator" w:id="0">
    <w:p w:rsidR="00625B00" w:rsidRDefault="0062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B00" w:rsidRDefault="00625B00">
      <w:r>
        <w:separator/>
      </w:r>
    </w:p>
  </w:footnote>
  <w:footnote w:type="continuationSeparator" w:id="0">
    <w:p w:rsidR="00625B00" w:rsidRDefault="00625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F3E" w:rsidRDefault="00625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0E62B3"/>
    <w:multiLevelType w:val="hybridMultilevel"/>
    <w:tmpl w:val="7F9CF6FA"/>
    <w:lvl w:ilvl="0" w:tplc="0C090011">
      <w:start w:val="1"/>
      <w:numFmt w:val="decimal"/>
      <w:lvlText w:val="%1)"/>
      <w:lvlJc w:val="left"/>
      <w:pPr>
        <w:tabs>
          <w:tab w:val="num" w:pos="1080"/>
        </w:tabs>
        <w:ind w:left="1080" w:hanging="360"/>
      </w:pPr>
      <w:rPr>
        <w:rFonts w:hint="default"/>
      </w:rPr>
    </w:lvl>
    <w:lvl w:ilvl="1" w:tplc="0C090003">
      <w:start w:val="1"/>
      <w:numFmt w:val="bullet"/>
      <w:lvlText w:val="o"/>
      <w:lvlJc w:val="left"/>
      <w:pPr>
        <w:tabs>
          <w:tab w:val="num" w:pos="1980"/>
        </w:tabs>
        <w:ind w:left="1980" w:hanging="360"/>
      </w:pPr>
      <w:rPr>
        <w:rFonts w:ascii="Courier New" w:hAnsi="Courier New" w:cs="Courier New" w:hint="default"/>
      </w:rPr>
    </w:lvl>
    <w:lvl w:ilvl="2" w:tplc="0C090001">
      <w:start w:val="1"/>
      <w:numFmt w:val="bullet"/>
      <w:lvlText w:val=""/>
      <w:lvlJc w:val="left"/>
      <w:pPr>
        <w:tabs>
          <w:tab w:val="num" w:pos="1080"/>
        </w:tabs>
        <w:ind w:left="1080" w:hanging="360"/>
      </w:pPr>
      <w:rPr>
        <w:rFonts w:ascii="Symbol" w:hAnsi="Symbol"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15:restartNumberingAfterBreak="0">
    <w:nsid w:val="35914A63"/>
    <w:multiLevelType w:val="hybridMultilevel"/>
    <w:tmpl w:val="FEC68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37103D"/>
    <w:multiLevelType w:val="hybridMultilevel"/>
    <w:tmpl w:val="6B4A9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8A2455"/>
    <w:multiLevelType w:val="hybridMultilevel"/>
    <w:tmpl w:val="239C8D8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4A740E0E"/>
    <w:multiLevelType w:val="multilevel"/>
    <w:tmpl w:val="A238E716"/>
    <w:lvl w:ilvl="0">
      <w:start w:val="1"/>
      <w:numFmt w:val="decimal"/>
      <w:pStyle w:val="MELegal1"/>
      <w:lvlText w:val="%1."/>
      <w:lvlJc w:val="left"/>
      <w:pPr>
        <w:tabs>
          <w:tab w:val="num" w:pos="851"/>
        </w:tabs>
        <w:ind w:left="851" w:hanging="851"/>
      </w:pPr>
      <w:rPr>
        <w:rFonts w:hint="default"/>
      </w:rPr>
    </w:lvl>
    <w:lvl w:ilvl="1">
      <w:start w:val="1"/>
      <w:numFmt w:val="decimal"/>
      <w:pStyle w:val="MELegal2"/>
      <w:lvlText w:val="2.%2"/>
      <w:lvlJc w:val="left"/>
      <w:pPr>
        <w:tabs>
          <w:tab w:val="num" w:pos="851"/>
        </w:tabs>
        <w:ind w:left="851" w:hanging="851"/>
      </w:pPr>
      <w:rPr>
        <w:rFonts w:ascii="Arial" w:hAnsi="Arial" w:hint="default"/>
        <w:b w:val="0"/>
        <w:i w:val="0"/>
        <w:sz w:val="22"/>
      </w:rPr>
    </w:lvl>
    <w:lvl w:ilvl="2">
      <w:start w:val="1"/>
      <w:numFmt w:val="lowerLetter"/>
      <w:pStyle w:val="MELegal3"/>
      <w:lvlText w:val="(%3)"/>
      <w:lvlJc w:val="left"/>
      <w:pPr>
        <w:tabs>
          <w:tab w:val="num" w:pos="1701"/>
        </w:tabs>
        <w:ind w:left="1701" w:hanging="850"/>
      </w:pPr>
      <w:rPr>
        <w:rFonts w:hint="default"/>
      </w:rPr>
    </w:lvl>
    <w:lvl w:ilvl="3">
      <w:start w:val="1"/>
      <w:numFmt w:val="lowerRoman"/>
      <w:pStyle w:val="MELegal4"/>
      <w:lvlText w:val="(%4)"/>
      <w:lvlJc w:val="left"/>
      <w:pPr>
        <w:tabs>
          <w:tab w:val="num" w:pos="2552"/>
        </w:tabs>
        <w:ind w:left="2552" w:hanging="851"/>
      </w:pPr>
      <w:rPr>
        <w:rFonts w:hint="default"/>
      </w:rPr>
    </w:lvl>
    <w:lvl w:ilvl="4">
      <w:start w:val="1"/>
      <w:numFmt w:val="upperLetter"/>
      <w:pStyle w:val="MELegal5"/>
      <w:lvlText w:val="(%5)"/>
      <w:lvlJc w:val="left"/>
      <w:pPr>
        <w:tabs>
          <w:tab w:val="num" w:pos="3402"/>
        </w:tabs>
        <w:ind w:left="3402" w:hanging="850"/>
      </w:pPr>
      <w:rPr>
        <w:rFonts w:hint="default"/>
      </w:rPr>
    </w:lvl>
    <w:lvl w:ilvl="5">
      <w:start w:val="1"/>
      <w:numFmt w:val="upperRoman"/>
      <w:pStyle w:val="MELegal6"/>
      <w:lvlText w:val="(%6)"/>
      <w:lvlJc w:val="left"/>
      <w:pPr>
        <w:tabs>
          <w:tab w:val="num" w:pos="4253"/>
        </w:tabs>
        <w:ind w:left="4253" w:hanging="851"/>
      </w:pPr>
      <w:rPr>
        <w:rFonts w:hint="default"/>
      </w:rPr>
    </w:lvl>
    <w:lvl w:ilvl="6">
      <w:start w:val="1"/>
      <w:numFmt w:val="decimal"/>
      <w:pStyle w:val="MELegal7"/>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4ADA592C"/>
    <w:multiLevelType w:val="hybridMultilevel"/>
    <w:tmpl w:val="5B80D9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79510D"/>
    <w:multiLevelType w:val="hybridMultilevel"/>
    <w:tmpl w:val="2E802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983CB8"/>
    <w:multiLevelType w:val="hybridMultilevel"/>
    <w:tmpl w:val="2286D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C90416"/>
    <w:multiLevelType w:val="hybridMultilevel"/>
    <w:tmpl w:val="B9348B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1"/>
  </w:num>
  <w:num w:numId="5">
    <w:abstractNumId w:val="6"/>
  </w:num>
  <w:num w:numId="6">
    <w:abstractNumId w:val="3"/>
  </w:num>
  <w:num w:numId="7">
    <w:abstractNumId w:val="7"/>
  </w:num>
  <w:num w:numId="8">
    <w:abstractNumId w:val="4"/>
  </w:num>
  <w:num w:numId="9">
    <w:abstractNumId w:val="8"/>
  </w:num>
  <w:num w:numId="10">
    <w:abstractNumId w:val="2"/>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B6"/>
    <w:rsid w:val="00002C18"/>
    <w:rsid w:val="00010549"/>
    <w:rsid w:val="00012F84"/>
    <w:rsid w:val="00013F99"/>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67CD0"/>
    <w:rsid w:val="00080F2E"/>
    <w:rsid w:val="00081CEB"/>
    <w:rsid w:val="00083791"/>
    <w:rsid w:val="00086E3C"/>
    <w:rsid w:val="00087B2C"/>
    <w:rsid w:val="00087DBD"/>
    <w:rsid w:val="00090570"/>
    <w:rsid w:val="00090753"/>
    <w:rsid w:val="00096F54"/>
    <w:rsid w:val="00097BFF"/>
    <w:rsid w:val="000A669D"/>
    <w:rsid w:val="000A66A8"/>
    <w:rsid w:val="000C014D"/>
    <w:rsid w:val="000D0178"/>
    <w:rsid w:val="000D4703"/>
    <w:rsid w:val="000D693C"/>
    <w:rsid w:val="000E12D4"/>
    <w:rsid w:val="00104669"/>
    <w:rsid w:val="00110028"/>
    <w:rsid w:val="00116EDF"/>
    <w:rsid w:val="00124B26"/>
    <w:rsid w:val="00130C4E"/>
    <w:rsid w:val="00131B54"/>
    <w:rsid w:val="001354B7"/>
    <w:rsid w:val="001404FA"/>
    <w:rsid w:val="001413C5"/>
    <w:rsid w:val="00142956"/>
    <w:rsid w:val="00143502"/>
    <w:rsid w:val="00144494"/>
    <w:rsid w:val="00144868"/>
    <w:rsid w:val="00157709"/>
    <w:rsid w:val="00167330"/>
    <w:rsid w:val="00167CF4"/>
    <w:rsid w:val="00185F6A"/>
    <w:rsid w:val="001943DD"/>
    <w:rsid w:val="00195374"/>
    <w:rsid w:val="001A127F"/>
    <w:rsid w:val="001A1F53"/>
    <w:rsid w:val="001A3CA4"/>
    <w:rsid w:val="001A3EA4"/>
    <w:rsid w:val="001B3AEC"/>
    <w:rsid w:val="001B5000"/>
    <w:rsid w:val="001B6F28"/>
    <w:rsid w:val="001D4585"/>
    <w:rsid w:val="001D5D54"/>
    <w:rsid w:val="001E41C8"/>
    <w:rsid w:val="001F3AD7"/>
    <w:rsid w:val="001F45EB"/>
    <w:rsid w:val="00207630"/>
    <w:rsid w:val="00213082"/>
    <w:rsid w:val="0021714E"/>
    <w:rsid w:val="00222187"/>
    <w:rsid w:val="00222C8D"/>
    <w:rsid w:val="00222E33"/>
    <w:rsid w:val="00227B95"/>
    <w:rsid w:val="0023523A"/>
    <w:rsid w:val="002353DF"/>
    <w:rsid w:val="00235F71"/>
    <w:rsid w:val="0025272A"/>
    <w:rsid w:val="00271922"/>
    <w:rsid w:val="0027204E"/>
    <w:rsid w:val="00273412"/>
    <w:rsid w:val="00274ACF"/>
    <w:rsid w:val="002826ED"/>
    <w:rsid w:val="00285F1B"/>
    <w:rsid w:val="00295831"/>
    <w:rsid w:val="00296F1B"/>
    <w:rsid w:val="002A40B9"/>
    <w:rsid w:val="002A6DF5"/>
    <w:rsid w:val="002D00B0"/>
    <w:rsid w:val="002D2E16"/>
    <w:rsid w:val="002F19EF"/>
    <w:rsid w:val="00302415"/>
    <w:rsid w:val="0030693C"/>
    <w:rsid w:val="003102F6"/>
    <w:rsid w:val="00313304"/>
    <w:rsid w:val="00313C48"/>
    <w:rsid w:val="00314D15"/>
    <w:rsid w:val="003162AD"/>
    <w:rsid w:val="00321148"/>
    <w:rsid w:val="00321798"/>
    <w:rsid w:val="00325F44"/>
    <w:rsid w:val="00326976"/>
    <w:rsid w:val="003311D7"/>
    <w:rsid w:val="00332B8B"/>
    <w:rsid w:val="00342476"/>
    <w:rsid w:val="00347104"/>
    <w:rsid w:val="0035213F"/>
    <w:rsid w:val="003555D2"/>
    <w:rsid w:val="00363DF3"/>
    <w:rsid w:val="003656B1"/>
    <w:rsid w:val="0037056B"/>
    <w:rsid w:val="00377173"/>
    <w:rsid w:val="003774DA"/>
    <w:rsid w:val="00392557"/>
    <w:rsid w:val="003945C0"/>
    <w:rsid w:val="003A06C2"/>
    <w:rsid w:val="003A0E80"/>
    <w:rsid w:val="003B6D2E"/>
    <w:rsid w:val="003C430D"/>
    <w:rsid w:val="003C7404"/>
    <w:rsid w:val="003D3C5A"/>
    <w:rsid w:val="003D404A"/>
    <w:rsid w:val="003E6FDA"/>
    <w:rsid w:val="003F3072"/>
    <w:rsid w:val="00401A2A"/>
    <w:rsid w:val="004103D7"/>
    <w:rsid w:val="0041307C"/>
    <w:rsid w:val="004167B4"/>
    <w:rsid w:val="00430D7E"/>
    <w:rsid w:val="00433B04"/>
    <w:rsid w:val="00440BD3"/>
    <w:rsid w:val="00446F93"/>
    <w:rsid w:val="00453343"/>
    <w:rsid w:val="004649E2"/>
    <w:rsid w:val="00464E8C"/>
    <w:rsid w:val="00466D36"/>
    <w:rsid w:val="00467185"/>
    <w:rsid w:val="0047050C"/>
    <w:rsid w:val="00475504"/>
    <w:rsid w:val="00480F21"/>
    <w:rsid w:val="00484FED"/>
    <w:rsid w:val="00493E58"/>
    <w:rsid w:val="00495AF1"/>
    <w:rsid w:val="004D44E8"/>
    <w:rsid w:val="004F775C"/>
    <w:rsid w:val="004F77BF"/>
    <w:rsid w:val="005015E4"/>
    <w:rsid w:val="0050291D"/>
    <w:rsid w:val="0050697E"/>
    <w:rsid w:val="00524B3C"/>
    <w:rsid w:val="005300B9"/>
    <w:rsid w:val="005315A9"/>
    <w:rsid w:val="005316BE"/>
    <w:rsid w:val="00532B56"/>
    <w:rsid w:val="00537B50"/>
    <w:rsid w:val="00540AD0"/>
    <w:rsid w:val="0054322A"/>
    <w:rsid w:val="00543923"/>
    <w:rsid w:val="005519C9"/>
    <w:rsid w:val="005523D1"/>
    <w:rsid w:val="00554A9C"/>
    <w:rsid w:val="00557624"/>
    <w:rsid w:val="0056023E"/>
    <w:rsid w:val="005658EF"/>
    <w:rsid w:val="005822A3"/>
    <w:rsid w:val="0059070B"/>
    <w:rsid w:val="00594445"/>
    <w:rsid w:val="005B1225"/>
    <w:rsid w:val="005C09F4"/>
    <w:rsid w:val="005C561A"/>
    <w:rsid w:val="005C5B93"/>
    <w:rsid w:val="005C66FF"/>
    <w:rsid w:val="005C785A"/>
    <w:rsid w:val="005D03CA"/>
    <w:rsid w:val="005D45AB"/>
    <w:rsid w:val="005E4662"/>
    <w:rsid w:val="005F093F"/>
    <w:rsid w:val="005F214A"/>
    <w:rsid w:val="005F4329"/>
    <w:rsid w:val="005F6BD6"/>
    <w:rsid w:val="00601C99"/>
    <w:rsid w:val="00607597"/>
    <w:rsid w:val="006255E4"/>
    <w:rsid w:val="00625B00"/>
    <w:rsid w:val="006325E2"/>
    <w:rsid w:val="00641020"/>
    <w:rsid w:val="006410C1"/>
    <w:rsid w:val="00647F05"/>
    <w:rsid w:val="006530EF"/>
    <w:rsid w:val="00654D06"/>
    <w:rsid w:val="00661536"/>
    <w:rsid w:val="006678ED"/>
    <w:rsid w:val="00667CCF"/>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E1F3C"/>
    <w:rsid w:val="006E6073"/>
    <w:rsid w:val="006F7300"/>
    <w:rsid w:val="00703C09"/>
    <w:rsid w:val="00712300"/>
    <w:rsid w:val="00720739"/>
    <w:rsid w:val="00721695"/>
    <w:rsid w:val="007242B4"/>
    <w:rsid w:val="00725FB2"/>
    <w:rsid w:val="00730C64"/>
    <w:rsid w:val="007322AF"/>
    <w:rsid w:val="00735477"/>
    <w:rsid w:val="00736DCA"/>
    <w:rsid w:val="00742399"/>
    <w:rsid w:val="007457E8"/>
    <w:rsid w:val="0074640C"/>
    <w:rsid w:val="0075003D"/>
    <w:rsid w:val="00751B37"/>
    <w:rsid w:val="00754D44"/>
    <w:rsid w:val="00767B7E"/>
    <w:rsid w:val="007746A9"/>
    <w:rsid w:val="00785465"/>
    <w:rsid w:val="00787656"/>
    <w:rsid w:val="007A67EA"/>
    <w:rsid w:val="007B15AF"/>
    <w:rsid w:val="007B7E83"/>
    <w:rsid w:val="007C1631"/>
    <w:rsid w:val="007C636F"/>
    <w:rsid w:val="007D0EF8"/>
    <w:rsid w:val="007D39EB"/>
    <w:rsid w:val="007E673B"/>
    <w:rsid w:val="00800A4D"/>
    <w:rsid w:val="00802E3B"/>
    <w:rsid w:val="008131E7"/>
    <w:rsid w:val="00813711"/>
    <w:rsid w:val="00814279"/>
    <w:rsid w:val="008263C2"/>
    <w:rsid w:val="008270B6"/>
    <w:rsid w:val="00842959"/>
    <w:rsid w:val="008451FE"/>
    <w:rsid w:val="008466A1"/>
    <w:rsid w:val="00846C1D"/>
    <w:rsid w:val="00851758"/>
    <w:rsid w:val="00856D5A"/>
    <w:rsid w:val="008609EB"/>
    <w:rsid w:val="00862D6D"/>
    <w:rsid w:val="008653E0"/>
    <w:rsid w:val="008657FB"/>
    <w:rsid w:val="00871D4F"/>
    <w:rsid w:val="00872731"/>
    <w:rsid w:val="00874FB3"/>
    <w:rsid w:val="00880BE3"/>
    <w:rsid w:val="00882588"/>
    <w:rsid w:val="00895792"/>
    <w:rsid w:val="008A3738"/>
    <w:rsid w:val="008A384C"/>
    <w:rsid w:val="008A6981"/>
    <w:rsid w:val="008B645B"/>
    <w:rsid w:val="008B67B8"/>
    <w:rsid w:val="008B774D"/>
    <w:rsid w:val="008C123E"/>
    <w:rsid w:val="008C3ED0"/>
    <w:rsid w:val="008C5585"/>
    <w:rsid w:val="008C5E94"/>
    <w:rsid w:val="008D4E4B"/>
    <w:rsid w:val="008E6E9D"/>
    <w:rsid w:val="008F1897"/>
    <w:rsid w:val="008F4774"/>
    <w:rsid w:val="008F68F7"/>
    <w:rsid w:val="008F7480"/>
    <w:rsid w:val="009037B6"/>
    <w:rsid w:val="00906CBE"/>
    <w:rsid w:val="00906FFA"/>
    <w:rsid w:val="00910384"/>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63CF6"/>
    <w:rsid w:val="0096485D"/>
    <w:rsid w:val="009900F0"/>
    <w:rsid w:val="00991769"/>
    <w:rsid w:val="00994E9F"/>
    <w:rsid w:val="00996931"/>
    <w:rsid w:val="009A0F18"/>
    <w:rsid w:val="009A4CD8"/>
    <w:rsid w:val="009A6AFA"/>
    <w:rsid w:val="009B3ED1"/>
    <w:rsid w:val="009C07EC"/>
    <w:rsid w:val="009C206F"/>
    <w:rsid w:val="009C433C"/>
    <w:rsid w:val="009D28B7"/>
    <w:rsid w:val="009D7E1A"/>
    <w:rsid w:val="009E2162"/>
    <w:rsid w:val="009F2F95"/>
    <w:rsid w:val="00A006EB"/>
    <w:rsid w:val="00A03709"/>
    <w:rsid w:val="00A06C77"/>
    <w:rsid w:val="00A10147"/>
    <w:rsid w:val="00A13D26"/>
    <w:rsid w:val="00A146A5"/>
    <w:rsid w:val="00A17411"/>
    <w:rsid w:val="00A2223D"/>
    <w:rsid w:val="00A223EF"/>
    <w:rsid w:val="00A34A74"/>
    <w:rsid w:val="00A35351"/>
    <w:rsid w:val="00A42ADE"/>
    <w:rsid w:val="00A60693"/>
    <w:rsid w:val="00A61146"/>
    <w:rsid w:val="00A67728"/>
    <w:rsid w:val="00A81A4F"/>
    <w:rsid w:val="00A82E14"/>
    <w:rsid w:val="00A901E9"/>
    <w:rsid w:val="00A9762C"/>
    <w:rsid w:val="00AA4067"/>
    <w:rsid w:val="00AB1A5B"/>
    <w:rsid w:val="00AC0A54"/>
    <w:rsid w:val="00AC125E"/>
    <w:rsid w:val="00AC45DF"/>
    <w:rsid w:val="00AC474D"/>
    <w:rsid w:val="00AC4DFD"/>
    <w:rsid w:val="00AC58FD"/>
    <w:rsid w:val="00AC60CD"/>
    <w:rsid w:val="00AD60E6"/>
    <w:rsid w:val="00AD793A"/>
    <w:rsid w:val="00AE457D"/>
    <w:rsid w:val="00AE5956"/>
    <w:rsid w:val="00AE619F"/>
    <w:rsid w:val="00AF373A"/>
    <w:rsid w:val="00AF7EFE"/>
    <w:rsid w:val="00B03BEE"/>
    <w:rsid w:val="00B049AA"/>
    <w:rsid w:val="00B0517E"/>
    <w:rsid w:val="00B056E2"/>
    <w:rsid w:val="00B11314"/>
    <w:rsid w:val="00B1192C"/>
    <w:rsid w:val="00B138E3"/>
    <w:rsid w:val="00B23267"/>
    <w:rsid w:val="00B25891"/>
    <w:rsid w:val="00B27149"/>
    <w:rsid w:val="00B40D26"/>
    <w:rsid w:val="00B4451B"/>
    <w:rsid w:val="00B51316"/>
    <w:rsid w:val="00B72D62"/>
    <w:rsid w:val="00B76920"/>
    <w:rsid w:val="00B843C8"/>
    <w:rsid w:val="00B951E2"/>
    <w:rsid w:val="00B96F37"/>
    <w:rsid w:val="00BA607C"/>
    <w:rsid w:val="00BB3E2A"/>
    <w:rsid w:val="00BC16F5"/>
    <w:rsid w:val="00BC287D"/>
    <w:rsid w:val="00BC4A76"/>
    <w:rsid w:val="00BD32E5"/>
    <w:rsid w:val="00BD7ADD"/>
    <w:rsid w:val="00BE41C3"/>
    <w:rsid w:val="00BE6767"/>
    <w:rsid w:val="00BE68D7"/>
    <w:rsid w:val="00BF0784"/>
    <w:rsid w:val="00BF7763"/>
    <w:rsid w:val="00C02ED3"/>
    <w:rsid w:val="00C04D5E"/>
    <w:rsid w:val="00C24EA2"/>
    <w:rsid w:val="00C24F70"/>
    <w:rsid w:val="00C25D5B"/>
    <w:rsid w:val="00C325C4"/>
    <w:rsid w:val="00C33479"/>
    <w:rsid w:val="00C47BA2"/>
    <w:rsid w:val="00C612DC"/>
    <w:rsid w:val="00C622CB"/>
    <w:rsid w:val="00C64D15"/>
    <w:rsid w:val="00C74F74"/>
    <w:rsid w:val="00C7554B"/>
    <w:rsid w:val="00C80192"/>
    <w:rsid w:val="00C83E31"/>
    <w:rsid w:val="00C916A4"/>
    <w:rsid w:val="00CA2A52"/>
    <w:rsid w:val="00CA2B15"/>
    <w:rsid w:val="00CA6490"/>
    <w:rsid w:val="00CB05BE"/>
    <w:rsid w:val="00CB197C"/>
    <w:rsid w:val="00CB5744"/>
    <w:rsid w:val="00CB7022"/>
    <w:rsid w:val="00CD1937"/>
    <w:rsid w:val="00CE214C"/>
    <w:rsid w:val="00CE6858"/>
    <w:rsid w:val="00CF50BE"/>
    <w:rsid w:val="00CF553B"/>
    <w:rsid w:val="00CF6A52"/>
    <w:rsid w:val="00CF7CCE"/>
    <w:rsid w:val="00D03583"/>
    <w:rsid w:val="00D117B4"/>
    <w:rsid w:val="00D169F7"/>
    <w:rsid w:val="00D21382"/>
    <w:rsid w:val="00D26D01"/>
    <w:rsid w:val="00D33DA3"/>
    <w:rsid w:val="00D416A8"/>
    <w:rsid w:val="00D45D9D"/>
    <w:rsid w:val="00D4723B"/>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C5665"/>
    <w:rsid w:val="00DD46FC"/>
    <w:rsid w:val="00DD4F44"/>
    <w:rsid w:val="00DD5B58"/>
    <w:rsid w:val="00DD5D8B"/>
    <w:rsid w:val="00DE0F9E"/>
    <w:rsid w:val="00DE5D76"/>
    <w:rsid w:val="00E04C8D"/>
    <w:rsid w:val="00E128D8"/>
    <w:rsid w:val="00E30D45"/>
    <w:rsid w:val="00E42FE4"/>
    <w:rsid w:val="00E46FAA"/>
    <w:rsid w:val="00E50FB5"/>
    <w:rsid w:val="00E5750B"/>
    <w:rsid w:val="00E60E2E"/>
    <w:rsid w:val="00E63A24"/>
    <w:rsid w:val="00E65D1B"/>
    <w:rsid w:val="00E67913"/>
    <w:rsid w:val="00E71A2D"/>
    <w:rsid w:val="00E7601A"/>
    <w:rsid w:val="00E81CCA"/>
    <w:rsid w:val="00E8698A"/>
    <w:rsid w:val="00E923F2"/>
    <w:rsid w:val="00EA31CC"/>
    <w:rsid w:val="00EB14DF"/>
    <w:rsid w:val="00EB2B64"/>
    <w:rsid w:val="00EB3A07"/>
    <w:rsid w:val="00EB4143"/>
    <w:rsid w:val="00EB4728"/>
    <w:rsid w:val="00EC207A"/>
    <w:rsid w:val="00EC3F31"/>
    <w:rsid w:val="00ED3C91"/>
    <w:rsid w:val="00ED4112"/>
    <w:rsid w:val="00EF1347"/>
    <w:rsid w:val="00EF2BEB"/>
    <w:rsid w:val="00F01129"/>
    <w:rsid w:val="00F03D93"/>
    <w:rsid w:val="00F03D9E"/>
    <w:rsid w:val="00F227BF"/>
    <w:rsid w:val="00F374B2"/>
    <w:rsid w:val="00F40AFC"/>
    <w:rsid w:val="00F4730E"/>
    <w:rsid w:val="00F50A92"/>
    <w:rsid w:val="00F53F24"/>
    <w:rsid w:val="00F63341"/>
    <w:rsid w:val="00F7536E"/>
    <w:rsid w:val="00F81F93"/>
    <w:rsid w:val="00F839A8"/>
    <w:rsid w:val="00F86F1B"/>
    <w:rsid w:val="00F92A21"/>
    <w:rsid w:val="00F92E9B"/>
    <w:rsid w:val="00F95814"/>
    <w:rsid w:val="00FA01D9"/>
    <w:rsid w:val="00FA031C"/>
    <w:rsid w:val="00FB13C1"/>
    <w:rsid w:val="00FB420B"/>
    <w:rsid w:val="00FC1C5F"/>
    <w:rsid w:val="00FC5A4D"/>
    <w:rsid w:val="00FC5C0C"/>
    <w:rsid w:val="00FC64EF"/>
    <w:rsid w:val="00FD2673"/>
    <w:rsid w:val="00FE22FA"/>
    <w:rsid w:val="00FE26C9"/>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BD110D-04C9-43DD-ABC9-FBE1DA75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72731"/>
    <w:pPr>
      <w:keepNext/>
      <w:keepLines/>
      <w:spacing w:before="240" w:line="240" w:lineRule="auto"/>
      <w:contextualSpacing/>
      <w:outlineLvl w:val="0"/>
    </w:pPr>
    <w:rPr>
      <w:rFonts w:ascii="Georgia" w:hAnsi="Georgia" w:cs="Arial"/>
      <w:bCs/>
      <w:color w:val="275D38"/>
      <w:kern w:val="32"/>
      <w:sz w:val="36"/>
      <w:szCs w:val="32"/>
    </w:rPr>
  </w:style>
  <w:style w:type="paragraph" w:styleId="Heading2">
    <w:name w:val="heading 2"/>
    <w:basedOn w:val="Normal"/>
    <w:next w:val="Normal"/>
    <w:link w:val="Heading2Char"/>
    <w:uiPriority w:val="2"/>
    <w:qFormat/>
    <w:rsid w:val="00872731"/>
    <w:pPr>
      <w:keepNext/>
      <w:keepLines/>
      <w:spacing w:before="240" w:line="240" w:lineRule="auto"/>
      <w:contextualSpacing/>
      <w:outlineLvl w:val="1"/>
    </w:pPr>
    <w:rPr>
      <w:rFonts w:ascii="Georgia" w:hAnsi="Georgia" w:cs="Arial"/>
      <w:bCs/>
      <w:iCs/>
      <w:color w:val="275D3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872731"/>
    <w:pPr>
      <w:spacing w:before="240" w:line="240" w:lineRule="auto"/>
      <w:contextualSpacing/>
      <w:outlineLvl w:val="0"/>
    </w:pPr>
    <w:rPr>
      <w:rFonts w:ascii="Georgia" w:hAnsi="Georgia" w:cs="Arial"/>
      <w:bCs/>
      <w:color w:val="275D38"/>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E65D1B"/>
    <w:rPr>
      <w:rFonts w:ascii="Arial" w:hAnsi="Arial"/>
      <w:sz w:val="24"/>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72731"/>
    <w:pPr>
      <w:spacing w:before="120" w:after="120"/>
      <w:ind w:left="397"/>
      <w:contextualSpacing/>
    </w:pPr>
    <w:rPr>
      <w:rFonts w:ascii="Georgia" w:hAnsi="Georgia" w:cs="Arial"/>
      <w:bCs/>
      <w:iCs/>
      <w:color w:val="275D38"/>
      <w:sz w:val="24"/>
      <w:szCs w:val="28"/>
    </w:rPr>
  </w:style>
  <w:style w:type="character" w:customStyle="1" w:styleId="Heading2Char">
    <w:name w:val="Heading 2 Char"/>
    <w:basedOn w:val="DefaultParagraphFont"/>
    <w:link w:val="Heading2"/>
    <w:uiPriority w:val="2"/>
    <w:rsid w:val="00872731"/>
    <w:rPr>
      <w:rFonts w:ascii="Georgia" w:hAnsi="Georgia" w:cs="Arial"/>
      <w:bCs/>
      <w:iCs/>
      <w:color w:val="275D38"/>
      <w:spacing w:val="4"/>
      <w:sz w:val="32"/>
      <w:szCs w:val="28"/>
    </w:rPr>
  </w:style>
  <w:style w:type="character" w:customStyle="1" w:styleId="PullouttextChar">
    <w:name w:val="Pullout text Char"/>
    <w:basedOn w:val="Heading2Char"/>
    <w:link w:val="Pullouttext"/>
    <w:uiPriority w:val="3"/>
    <w:rsid w:val="00872731"/>
    <w:rPr>
      <w:rFonts w:ascii="Georgia" w:hAnsi="Georgia" w:cs="Arial"/>
      <w:bCs/>
      <w:iCs/>
      <w:color w:val="275D3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72731"/>
    <w:rPr>
      <w:rFonts w:ascii="Georgia" w:hAnsi="Georgia" w:cs="Arial"/>
      <w:bCs/>
      <w:color w:val="275D3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872731"/>
    <w:rPr>
      <w:rFonts w:ascii="Georgia" w:hAnsi="Georgia" w:cs="Arial"/>
      <w:bCs/>
      <w:color w:val="275D3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DD5B5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DD5B58"/>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styleId="TableClassic2">
    <w:name w:val="Table Classic 2"/>
    <w:basedOn w:val="TableNormal"/>
    <w:rsid w:val="00E65D1B"/>
    <w:pPr>
      <w:spacing w:before="120" w:after="180" w:line="280" w:lineRule="atLeast"/>
    </w:pPr>
    <w:rPr>
      <w:rFonts w:ascii="Arial" w:hAnsi="Arial"/>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E65D1B"/>
    <w:pPr>
      <w:spacing w:before="120" w:after="180" w:line="280" w:lineRule="atLeast"/>
    </w:pPr>
    <w:rPr>
      <w:rFonts w:asciiTheme="minorHAnsi" w:hAnsiTheme="minorHAnsi"/>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65D1B"/>
    <w:pPr>
      <w:spacing w:before="120" w:after="180" w:line="280" w:lineRule="atLeast"/>
    </w:pPr>
    <w:rPr>
      <w:rFonts w:ascii="Arial" w:hAnsi="Arial"/>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65D1B"/>
    <w:pPr>
      <w:spacing w:before="120" w:after="180" w:line="280" w:lineRule="atLeast"/>
    </w:pPr>
    <w:rPr>
      <w:rFonts w:ascii="Arial" w:hAnsi="Arial"/>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E65D1B"/>
    <w:pPr>
      <w:spacing w:before="120" w:after="180" w:line="280" w:lineRule="atLeast"/>
    </w:pPr>
    <w:rPr>
      <w:rFonts w:ascii="Arial" w:hAnsi="Arial"/>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65D1B"/>
    <w:pPr>
      <w:spacing w:before="120" w:after="180" w:line="280" w:lineRule="atLeast"/>
    </w:pPr>
    <w:rPr>
      <w:rFonts w:ascii="Arial" w:hAnsi="Arial"/>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65D1B"/>
    <w:pPr>
      <w:spacing w:before="120" w:after="180" w:line="280" w:lineRule="atLeast"/>
    </w:pPr>
    <w:rPr>
      <w:rFonts w:ascii="Arial" w:hAnsi="Arial"/>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ColorfulList">
    <w:name w:val="Colorful List"/>
    <w:basedOn w:val="TableNormal"/>
    <w:uiPriority w:val="72"/>
    <w:rsid w:val="00E65D1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2">
    <w:name w:val="Colorful List Accent 2"/>
    <w:basedOn w:val="TableNormal"/>
    <w:uiPriority w:val="72"/>
    <w:rsid w:val="00E65D1B"/>
    <w:rPr>
      <w:color w:val="000000" w:themeColor="text1"/>
    </w:rPr>
    <w:tblPr>
      <w:tblStyleRowBandSize w:val="1"/>
      <w:tblStyleColBandSize w:val="1"/>
    </w:tblPr>
    <w:tcPr>
      <w:shd w:val="clear" w:color="auto" w:fill="F1FBE6" w:themeFill="accent2"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1" w:themeFill="accent2" w:themeFillTint="3F"/>
      </w:tcPr>
    </w:tblStylePr>
    <w:tblStylePr w:type="band1Horz">
      <w:tblPr/>
      <w:tcPr>
        <w:shd w:val="clear" w:color="auto" w:fill="E4F6CD" w:themeFill="accent2" w:themeFillTint="33"/>
      </w:tcPr>
    </w:tblStylePr>
  </w:style>
  <w:style w:type="character" w:styleId="CommentReference">
    <w:name w:val="annotation reference"/>
    <w:semiHidden/>
    <w:rsid w:val="002826ED"/>
    <w:rPr>
      <w:sz w:val="16"/>
      <w:szCs w:val="16"/>
    </w:rPr>
  </w:style>
  <w:style w:type="paragraph" w:customStyle="1" w:styleId="MELegal1">
    <w:name w:val="ME Legal 1"/>
    <w:basedOn w:val="Normal"/>
    <w:next w:val="Normal"/>
    <w:rsid w:val="002826ED"/>
    <w:pPr>
      <w:keepNext/>
      <w:keepLines/>
      <w:numPr>
        <w:numId w:val="3"/>
      </w:numPr>
      <w:spacing w:before="0" w:after="240" w:line="240" w:lineRule="auto"/>
      <w:outlineLvl w:val="0"/>
    </w:pPr>
    <w:rPr>
      <w:rFonts w:ascii="Times New Roman" w:hAnsi="Times New Roman"/>
      <w:b/>
      <w:spacing w:val="0"/>
      <w:szCs w:val="20"/>
      <w:lang w:eastAsia="en-US"/>
    </w:rPr>
  </w:style>
  <w:style w:type="paragraph" w:customStyle="1" w:styleId="MELegal2">
    <w:name w:val="ME Legal 2"/>
    <w:basedOn w:val="Normal"/>
    <w:next w:val="Normal"/>
    <w:rsid w:val="002826ED"/>
    <w:pPr>
      <w:keepNext/>
      <w:keepLines/>
      <w:numPr>
        <w:ilvl w:val="1"/>
        <w:numId w:val="3"/>
      </w:numPr>
      <w:spacing w:before="0" w:after="240" w:line="240" w:lineRule="auto"/>
      <w:outlineLvl w:val="1"/>
    </w:pPr>
    <w:rPr>
      <w:rFonts w:ascii="Times New Roman" w:hAnsi="Times New Roman"/>
      <w:spacing w:val="0"/>
      <w:szCs w:val="20"/>
      <w:lang w:eastAsia="en-US"/>
    </w:rPr>
  </w:style>
  <w:style w:type="paragraph" w:customStyle="1" w:styleId="MELegal3">
    <w:name w:val="ME Legal 3"/>
    <w:basedOn w:val="Normal"/>
    <w:next w:val="Normal"/>
    <w:rsid w:val="002826ED"/>
    <w:pPr>
      <w:numPr>
        <w:ilvl w:val="2"/>
        <w:numId w:val="3"/>
      </w:numPr>
      <w:spacing w:before="0" w:after="240" w:line="240" w:lineRule="auto"/>
      <w:outlineLvl w:val="2"/>
    </w:pPr>
    <w:rPr>
      <w:rFonts w:ascii="Times New Roman" w:hAnsi="Times New Roman"/>
      <w:spacing w:val="0"/>
      <w:szCs w:val="20"/>
      <w:lang w:eastAsia="en-US"/>
    </w:rPr>
  </w:style>
  <w:style w:type="paragraph" w:customStyle="1" w:styleId="MELegal4">
    <w:name w:val="ME Legal 4"/>
    <w:basedOn w:val="Normal"/>
    <w:next w:val="Normal"/>
    <w:rsid w:val="002826ED"/>
    <w:pPr>
      <w:numPr>
        <w:ilvl w:val="3"/>
        <w:numId w:val="3"/>
      </w:numPr>
      <w:spacing w:before="0" w:after="240" w:line="240" w:lineRule="auto"/>
      <w:outlineLvl w:val="3"/>
    </w:pPr>
    <w:rPr>
      <w:rFonts w:ascii="Times New Roman" w:hAnsi="Times New Roman"/>
      <w:spacing w:val="0"/>
      <w:szCs w:val="20"/>
      <w:lang w:eastAsia="en-US"/>
    </w:rPr>
  </w:style>
  <w:style w:type="paragraph" w:customStyle="1" w:styleId="MELegal5">
    <w:name w:val="ME Legal 5"/>
    <w:basedOn w:val="Normal"/>
    <w:next w:val="Normal"/>
    <w:rsid w:val="002826ED"/>
    <w:pPr>
      <w:numPr>
        <w:ilvl w:val="4"/>
        <w:numId w:val="3"/>
      </w:numPr>
      <w:spacing w:before="0" w:after="240" w:line="240" w:lineRule="auto"/>
      <w:outlineLvl w:val="4"/>
    </w:pPr>
    <w:rPr>
      <w:rFonts w:ascii="Times New Roman" w:hAnsi="Times New Roman"/>
      <w:spacing w:val="0"/>
      <w:szCs w:val="20"/>
      <w:lang w:eastAsia="en-US"/>
    </w:rPr>
  </w:style>
  <w:style w:type="paragraph" w:customStyle="1" w:styleId="MELegal6">
    <w:name w:val="ME Legal 6"/>
    <w:basedOn w:val="Normal"/>
    <w:next w:val="Normal"/>
    <w:rsid w:val="002826ED"/>
    <w:pPr>
      <w:numPr>
        <w:ilvl w:val="5"/>
        <w:numId w:val="3"/>
      </w:numPr>
      <w:spacing w:before="0" w:after="240" w:line="240" w:lineRule="auto"/>
      <w:outlineLvl w:val="5"/>
    </w:pPr>
    <w:rPr>
      <w:rFonts w:ascii="Times New Roman" w:hAnsi="Times New Roman"/>
      <w:spacing w:val="0"/>
      <w:szCs w:val="20"/>
      <w:lang w:eastAsia="en-US"/>
    </w:rPr>
  </w:style>
  <w:style w:type="paragraph" w:customStyle="1" w:styleId="MELegal7">
    <w:name w:val="ME Legal 7"/>
    <w:basedOn w:val="Normal"/>
    <w:next w:val="Normal"/>
    <w:rsid w:val="002826ED"/>
    <w:pPr>
      <w:numPr>
        <w:ilvl w:val="6"/>
        <w:numId w:val="3"/>
      </w:numPr>
      <w:spacing w:before="0" w:after="240" w:line="240" w:lineRule="auto"/>
      <w:outlineLvl w:val="6"/>
    </w:pPr>
    <w:rPr>
      <w:rFonts w:ascii="Times New Roman" w:hAnsi="Times New Roman"/>
      <w:spacing w:val="0"/>
      <w:szCs w:val="20"/>
      <w:lang w:eastAsia="en-US"/>
    </w:rPr>
  </w:style>
  <w:style w:type="paragraph" w:customStyle="1" w:styleId="Char">
    <w:name w:val="Char"/>
    <w:basedOn w:val="Normal"/>
    <w:rsid w:val="002826ED"/>
    <w:pPr>
      <w:spacing w:before="0" w:after="0" w:line="240" w:lineRule="auto"/>
    </w:pPr>
    <w:rPr>
      <w:rFonts w:cs="Arial"/>
      <w:spacing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ustlii.edu.au/au/legis/cth/consol_act/ssa1999338/s123tc.html" TargetMode="External"/><Relationship Id="rId4" Type="http://schemas.openxmlformats.org/officeDocument/2006/relationships/settings" Target="settings.xml"/><Relationship Id="rId9" Type="http://schemas.openxmlformats.org/officeDocument/2006/relationships/hyperlink" Target="http://www.humanservices.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Green.dotx" TargetMode="External"/></Relationships>
</file>

<file path=word/theme/theme1.xml><?xml version="1.0" encoding="utf-8"?>
<a:theme xmlns:a="http://schemas.openxmlformats.org/drawingml/2006/main" name="DSS Green">
  <a:themeElements>
    <a:clrScheme name="DSS Green">
      <a:dk1>
        <a:sysClr val="windowText" lastClr="000000"/>
      </a:dk1>
      <a:lt1>
        <a:sysClr val="window" lastClr="FFFFFF"/>
      </a:lt1>
      <a:dk2>
        <a:srgbClr val="000000"/>
      </a:dk2>
      <a:lt2>
        <a:srgbClr val="F8F8F8"/>
      </a:lt2>
      <a:accent1>
        <a:srgbClr val="275D38"/>
      </a:accent1>
      <a:accent2>
        <a:srgbClr val="78BE20"/>
      </a:accent2>
      <a:accent3>
        <a:srgbClr val="C2E189"/>
      </a:accent3>
      <a:accent4>
        <a:srgbClr val="275D38"/>
      </a:accent4>
      <a:accent5>
        <a:srgbClr val="78BE20"/>
      </a:accent5>
      <a:accent6>
        <a:srgbClr val="C2E189"/>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1FDB5-6FC5-4D5F-808A-541AA4372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Green</Template>
  <TotalTime>12</TotalTime>
  <Pages>6</Pages>
  <Words>1508</Words>
  <Characters>8340</Characters>
  <Application>Microsoft Office Word</Application>
  <DocSecurity>0</DocSecurity>
  <Lines>219</Lines>
  <Paragraphs>133</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MEADOWS, Katie</dc:creator>
  <cp:lastModifiedBy>DREW, Mel</cp:lastModifiedBy>
  <cp:revision>6</cp:revision>
  <cp:lastPrinted>2014-08-12T05:56:00Z</cp:lastPrinted>
  <dcterms:created xsi:type="dcterms:W3CDTF">2018-12-06T23:55:00Z</dcterms:created>
  <dcterms:modified xsi:type="dcterms:W3CDTF">2019-04-03T04:01:00Z</dcterms:modified>
</cp:coreProperties>
</file>