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D67D7" w14:textId="77E066C3" w:rsidR="003C428F" w:rsidRDefault="00E9679E" w:rsidP="003F2672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76D346BD" wp14:editId="1EC25217">
            <wp:extent cx="6729997" cy="1281176"/>
            <wp:effectExtent l="0" t="0" r="0" b="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997" cy="128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D67D8" w14:textId="216A9518" w:rsidR="003C428F" w:rsidRPr="00EA2EC1" w:rsidRDefault="00023731" w:rsidP="00EA2EC1">
      <w:pPr>
        <w:pStyle w:val="Heading1"/>
        <w:jc w:val="right"/>
        <w:rPr>
          <w:rFonts w:ascii="Arial" w:hAnsi="Arial"/>
          <w:color w:val="7030A0"/>
          <w:sz w:val="20"/>
          <w:szCs w:val="20"/>
        </w:rPr>
      </w:pPr>
      <w:r>
        <w:rPr>
          <w:rFonts w:ascii="Arial" w:hAnsi="Arial"/>
          <w:color w:val="7030A0"/>
          <w:sz w:val="20"/>
          <w:szCs w:val="20"/>
        </w:rPr>
        <w:t>December</w:t>
      </w:r>
      <w:r w:rsidR="00E9679E" w:rsidRPr="00EA2EC1">
        <w:rPr>
          <w:rFonts w:ascii="Arial" w:hAnsi="Arial"/>
          <w:color w:val="7030A0"/>
          <w:sz w:val="20"/>
          <w:szCs w:val="20"/>
        </w:rPr>
        <w:t xml:space="preserve"> </w:t>
      </w:r>
      <w:r w:rsidR="00EF6EB9" w:rsidRPr="00EA2EC1">
        <w:rPr>
          <w:rFonts w:ascii="Arial" w:hAnsi="Arial"/>
          <w:color w:val="7030A0"/>
          <w:sz w:val="20"/>
          <w:szCs w:val="20"/>
        </w:rPr>
        <w:t>2</w:t>
      </w:r>
      <w:r w:rsidR="003C428F" w:rsidRPr="00EA2EC1">
        <w:rPr>
          <w:rFonts w:ascii="Arial" w:hAnsi="Arial"/>
          <w:color w:val="7030A0"/>
          <w:sz w:val="20"/>
          <w:szCs w:val="20"/>
        </w:rPr>
        <w:t>0</w:t>
      </w:r>
      <w:r>
        <w:rPr>
          <w:rFonts w:ascii="Arial" w:hAnsi="Arial"/>
          <w:color w:val="7030A0"/>
          <w:sz w:val="20"/>
          <w:szCs w:val="20"/>
        </w:rPr>
        <w:t>22</w:t>
      </w:r>
    </w:p>
    <w:p w14:paraId="484A94D6" w14:textId="40C9FF7E" w:rsidR="00176B8D" w:rsidRDefault="0011748E" w:rsidP="003F2672">
      <w:pPr>
        <w:pStyle w:val="Heading1"/>
        <w:rPr>
          <w:color w:val="500778"/>
        </w:rPr>
      </w:pPr>
      <w:r w:rsidRPr="00EA2EC1">
        <w:rPr>
          <w:color w:val="500778"/>
          <w:sz w:val="52"/>
          <w:szCs w:val="52"/>
        </w:rPr>
        <w:t>N</w:t>
      </w:r>
      <w:r w:rsidR="00176B8D">
        <w:rPr>
          <w:color w:val="500778"/>
          <w:sz w:val="52"/>
          <w:szCs w:val="52"/>
        </w:rPr>
        <w:t>ational Rental Affordability Scheme</w:t>
      </w:r>
    </w:p>
    <w:p w14:paraId="12642B49" w14:textId="46FE4CD4" w:rsidR="00CB198F" w:rsidRDefault="00EF6EB9" w:rsidP="00CB198F">
      <w:pPr>
        <w:pStyle w:val="Heading1"/>
        <w:spacing w:after="240"/>
        <w:rPr>
          <w:rFonts w:cs="Times New Roman"/>
          <w:bCs w:val="0"/>
          <w:color w:val="auto"/>
          <w:spacing w:val="4"/>
          <w:kern w:val="0"/>
          <w:sz w:val="36"/>
          <w:szCs w:val="36"/>
        </w:rPr>
      </w:pPr>
      <w:r w:rsidRPr="00EA2EC1">
        <w:rPr>
          <w:rFonts w:cs="Times New Roman"/>
          <w:bCs w:val="0"/>
          <w:color w:val="auto"/>
          <w:spacing w:val="4"/>
          <w:kern w:val="0"/>
          <w:sz w:val="36"/>
          <w:szCs w:val="36"/>
        </w:rPr>
        <w:t>Income definition</w:t>
      </w:r>
      <w:r w:rsidR="008F23C6">
        <w:rPr>
          <w:rFonts w:cs="Times New Roman"/>
          <w:bCs w:val="0"/>
          <w:color w:val="auto"/>
          <w:spacing w:val="4"/>
          <w:kern w:val="0"/>
          <w:sz w:val="36"/>
          <w:szCs w:val="36"/>
        </w:rPr>
        <w:br/>
      </w:r>
    </w:p>
    <w:p w14:paraId="03DD67DA" w14:textId="4F307E25" w:rsidR="0011748E" w:rsidRPr="00CB198F" w:rsidRDefault="00F84DEA" w:rsidP="00CB198F">
      <w:pPr>
        <w:pStyle w:val="Heading1"/>
        <w:spacing w:after="240"/>
        <w:rPr>
          <w:color w:val="500778"/>
          <w:sz w:val="32"/>
        </w:rPr>
      </w:pPr>
      <w:r w:rsidRPr="00CB198F">
        <w:rPr>
          <w:color w:val="500778"/>
          <w:sz w:val="32"/>
        </w:rPr>
        <w:t>Income</w:t>
      </w:r>
    </w:p>
    <w:p w14:paraId="03DD67DC" w14:textId="34BE102B" w:rsidR="00840251" w:rsidRPr="00EA2EC1" w:rsidRDefault="001B4655" w:rsidP="006D4A88">
      <w:p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The purpose of this</w:t>
      </w:r>
      <w:r w:rsidR="00F84DEA" w:rsidRPr="00EA2EC1">
        <w:rPr>
          <w:sz w:val="24"/>
          <w:szCs w:val="24"/>
          <w:lang w:eastAsia="en-AU"/>
        </w:rPr>
        <w:t xml:space="preserve"> information sheet is to provide</w:t>
      </w:r>
      <w:r w:rsidR="00EA2EC1">
        <w:rPr>
          <w:sz w:val="24"/>
          <w:szCs w:val="24"/>
          <w:lang w:eastAsia="en-AU"/>
        </w:rPr>
        <w:t xml:space="preserve"> the following</w:t>
      </w:r>
      <w:r w:rsidR="00103205">
        <w:rPr>
          <w:sz w:val="24"/>
          <w:szCs w:val="24"/>
          <w:lang w:eastAsia="en-AU"/>
        </w:rPr>
        <w:t xml:space="preserve"> guidance for tenants of</w:t>
      </w:r>
      <w:r w:rsidR="00025723">
        <w:rPr>
          <w:sz w:val="24"/>
          <w:szCs w:val="24"/>
          <w:lang w:eastAsia="en-AU"/>
        </w:rPr>
        <w:t> </w:t>
      </w:r>
      <w:r w:rsidR="00103205">
        <w:rPr>
          <w:sz w:val="24"/>
          <w:szCs w:val="24"/>
          <w:lang w:eastAsia="en-AU"/>
        </w:rPr>
        <w:t>approved rental dwellings under the National Rental Affordability Scheme (NRAS, the</w:t>
      </w:r>
      <w:r w:rsidR="00025723">
        <w:rPr>
          <w:sz w:val="24"/>
          <w:szCs w:val="24"/>
          <w:lang w:eastAsia="en-AU"/>
        </w:rPr>
        <w:t> </w:t>
      </w:r>
      <w:r w:rsidR="00103205">
        <w:rPr>
          <w:sz w:val="24"/>
          <w:szCs w:val="24"/>
          <w:lang w:eastAsia="en-AU"/>
        </w:rPr>
        <w:t>Scheme)</w:t>
      </w:r>
      <w:r w:rsidR="00840251" w:rsidRPr="00EA2EC1">
        <w:rPr>
          <w:sz w:val="24"/>
          <w:szCs w:val="24"/>
          <w:lang w:eastAsia="en-AU"/>
        </w:rPr>
        <w:t>:</w:t>
      </w:r>
    </w:p>
    <w:p w14:paraId="03DD67DD" w14:textId="3B7C6655" w:rsidR="00840251" w:rsidRPr="00EA2EC1" w:rsidRDefault="00906D5F" w:rsidP="006D4A88">
      <w:pPr>
        <w:pStyle w:val="ListParagraph"/>
        <w:numPr>
          <w:ilvl w:val="0"/>
          <w:numId w:val="10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t</w:t>
      </w:r>
      <w:r w:rsidR="00840251" w:rsidRPr="00EA2EC1">
        <w:rPr>
          <w:sz w:val="24"/>
          <w:szCs w:val="24"/>
          <w:lang w:eastAsia="en-AU"/>
        </w:rPr>
        <w:t xml:space="preserve">he definition of income for </w:t>
      </w:r>
      <w:r w:rsidR="00734F7E" w:rsidRPr="00EA2EC1">
        <w:rPr>
          <w:sz w:val="24"/>
          <w:szCs w:val="24"/>
          <w:lang w:eastAsia="en-AU"/>
        </w:rPr>
        <w:t>NRAS</w:t>
      </w:r>
    </w:p>
    <w:p w14:paraId="03DD67DE" w14:textId="6832288D" w:rsidR="00840251" w:rsidRPr="00EA2EC1" w:rsidRDefault="00F84DEA" w:rsidP="006D4A88">
      <w:pPr>
        <w:pStyle w:val="ListParagraph"/>
        <w:numPr>
          <w:ilvl w:val="0"/>
          <w:numId w:val="10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examples</w:t>
      </w:r>
      <w:r w:rsidR="00840251" w:rsidRPr="00EA2EC1">
        <w:rPr>
          <w:sz w:val="24"/>
          <w:szCs w:val="24"/>
          <w:lang w:eastAsia="en-AU"/>
        </w:rPr>
        <w:t xml:space="preserve"> of income</w:t>
      </w:r>
    </w:p>
    <w:p w14:paraId="03DD67DF" w14:textId="674AAA8C" w:rsidR="00840251" w:rsidRPr="00EA2EC1" w:rsidRDefault="00840251" w:rsidP="006D4A88">
      <w:pPr>
        <w:pStyle w:val="ListParagraph"/>
        <w:numPr>
          <w:ilvl w:val="0"/>
          <w:numId w:val="10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examples of exempt income</w:t>
      </w:r>
    </w:p>
    <w:p w14:paraId="03DD67E0" w14:textId="7A1B104A" w:rsidR="00C25F7B" w:rsidRPr="00EA2EC1" w:rsidRDefault="00EA2EC1" w:rsidP="00A53D80">
      <w:pPr>
        <w:pStyle w:val="ListParagraph"/>
        <w:numPr>
          <w:ilvl w:val="0"/>
          <w:numId w:val="10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information on </w:t>
      </w:r>
      <w:r w:rsidR="00A53D80" w:rsidRPr="00EA2EC1">
        <w:rPr>
          <w:sz w:val="24"/>
          <w:szCs w:val="24"/>
          <w:lang w:eastAsia="en-AU"/>
        </w:rPr>
        <w:t>calculating the gross household income</w:t>
      </w:r>
      <w:r w:rsidR="00103205">
        <w:rPr>
          <w:sz w:val="24"/>
          <w:szCs w:val="24"/>
          <w:lang w:eastAsia="en-AU"/>
        </w:rPr>
        <w:t>, and</w:t>
      </w:r>
    </w:p>
    <w:p w14:paraId="75D2A6F8" w14:textId="77777777" w:rsidR="00CB198F" w:rsidRDefault="00C25F7B" w:rsidP="00CB198F">
      <w:pPr>
        <w:pStyle w:val="ListParagraph"/>
        <w:numPr>
          <w:ilvl w:val="0"/>
          <w:numId w:val="10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e</w:t>
      </w:r>
      <w:r w:rsidR="00A53D80" w:rsidRPr="00EA2EC1">
        <w:rPr>
          <w:sz w:val="24"/>
          <w:szCs w:val="24"/>
          <w:lang w:eastAsia="en-AU"/>
        </w:rPr>
        <w:t>xamples of documentation</w:t>
      </w:r>
      <w:r w:rsidR="0016778E" w:rsidRPr="00EA2EC1">
        <w:rPr>
          <w:sz w:val="24"/>
          <w:szCs w:val="24"/>
          <w:lang w:eastAsia="en-AU"/>
        </w:rPr>
        <w:t xml:space="preserve"> evidencing gross household income</w:t>
      </w:r>
      <w:r w:rsidR="00103205">
        <w:rPr>
          <w:sz w:val="24"/>
          <w:szCs w:val="24"/>
          <w:lang w:eastAsia="en-AU"/>
        </w:rPr>
        <w:t>.</w:t>
      </w:r>
    </w:p>
    <w:p w14:paraId="03DD67E2" w14:textId="007724FD" w:rsidR="00F84DEA" w:rsidRPr="008F23C6" w:rsidRDefault="00F84DEA" w:rsidP="008F23C6">
      <w:pPr>
        <w:pStyle w:val="Heading2"/>
        <w:rPr>
          <w:color w:val="7030A0"/>
          <w:sz w:val="32"/>
          <w:szCs w:val="32"/>
        </w:rPr>
      </w:pPr>
      <w:r w:rsidRPr="008F23C6">
        <w:rPr>
          <w:color w:val="7030A0"/>
          <w:sz w:val="32"/>
          <w:szCs w:val="32"/>
        </w:rPr>
        <w:t>Income definition</w:t>
      </w:r>
    </w:p>
    <w:p w14:paraId="03DD67E5" w14:textId="332A7C67" w:rsidR="00F84DEA" w:rsidRPr="00EA2EC1" w:rsidRDefault="00F84DEA" w:rsidP="00253F50">
      <w:pPr>
        <w:rPr>
          <w:sz w:val="24"/>
          <w:szCs w:val="24"/>
        </w:rPr>
      </w:pPr>
      <w:r w:rsidRPr="00EA2EC1">
        <w:rPr>
          <w:rFonts w:cs="Arial"/>
          <w:sz w:val="24"/>
          <w:szCs w:val="24"/>
        </w:rPr>
        <w:t xml:space="preserve">The </w:t>
      </w:r>
      <w:r w:rsidR="00103205">
        <w:rPr>
          <w:rFonts w:cs="Arial"/>
          <w:sz w:val="24"/>
          <w:szCs w:val="24"/>
        </w:rPr>
        <w:t xml:space="preserve">definition of income under the Scheme is separate but broadly consistent with the </w:t>
      </w:r>
      <w:r w:rsidRPr="00EA2EC1">
        <w:rPr>
          <w:rFonts w:cs="Arial"/>
          <w:sz w:val="24"/>
          <w:szCs w:val="24"/>
        </w:rPr>
        <w:t xml:space="preserve">definition </w:t>
      </w:r>
      <w:r w:rsidR="00103205">
        <w:rPr>
          <w:rFonts w:cs="Arial"/>
          <w:sz w:val="24"/>
          <w:szCs w:val="24"/>
        </w:rPr>
        <w:t xml:space="preserve">in </w:t>
      </w:r>
      <w:r w:rsidRPr="00EA2EC1">
        <w:rPr>
          <w:rFonts w:cs="Arial"/>
          <w:sz w:val="24"/>
          <w:szCs w:val="24"/>
        </w:rPr>
        <w:t xml:space="preserve">the </w:t>
      </w:r>
      <w:r w:rsidRPr="00EA2EC1">
        <w:rPr>
          <w:rFonts w:cs="Arial"/>
          <w:i/>
          <w:sz w:val="24"/>
          <w:szCs w:val="24"/>
        </w:rPr>
        <w:t>Social</w:t>
      </w:r>
      <w:r w:rsidR="002D4E54">
        <w:rPr>
          <w:rFonts w:cs="Arial"/>
          <w:i/>
          <w:sz w:val="24"/>
          <w:szCs w:val="24"/>
        </w:rPr>
        <w:t> </w:t>
      </w:r>
      <w:r w:rsidRPr="00EA2EC1">
        <w:rPr>
          <w:rFonts w:cs="Arial"/>
          <w:i/>
          <w:sz w:val="24"/>
          <w:szCs w:val="24"/>
        </w:rPr>
        <w:t>Security</w:t>
      </w:r>
      <w:r w:rsidR="002D4E54">
        <w:rPr>
          <w:rFonts w:cs="Arial"/>
          <w:i/>
          <w:sz w:val="24"/>
          <w:szCs w:val="24"/>
        </w:rPr>
        <w:t> </w:t>
      </w:r>
      <w:r w:rsidR="008E2D2D" w:rsidRPr="00EA2EC1">
        <w:rPr>
          <w:rFonts w:cs="Arial"/>
          <w:i/>
          <w:sz w:val="24"/>
          <w:szCs w:val="24"/>
        </w:rPr>
        <w:t>Act</w:t>
      </w:r>
      <w:r w:rsidR="002D4E54">
        <w:rPr>
          <w:rFonts w:cs="Arial"/>
          <w:i/>
          <w:sz w:val="24"/>
          <w:szCs w:val="24"/>
        </w:rPr>
        <w:t> </w:t>
      </w:r>
      <w:r w:rsidR="008E2D2D" w:rsidRPr="00EA2EC1">
        <w:rPr>
          <w:rFonts w:cs="Arial"/>
          <w:i/>
          <w:sz w:val="24"/>
          <w:szCs w:val="24"/>
        </w:rPr>
        <w:t>199</w:t>
      </w:r>
      <w:r w:rsidR="00906D5F" w:rsidRPr="00EA2EC1">
        <w:rPr>
          <w:rFonts w:cs="Arial"/>
          <w:i/>
          <w:sz w:val="24"/>
          <w:szCs w:val="24"/>
        </w:rPr>
        <w:t>1</w:t>
      </w:r>
      <w:r w:rsidR="008E2D2D" w:rsidRPr="00EA2EC1">
        <w:rPr>
          <w:rFonts w:cs="Arial"/>
          <w:sz w:val="24"/>
          <w:szCs w:val="24"/>
        </w:rPr>
        <w:t xml:space="preserve"> (the SS Act)</w:t>
      </w:r>
      <w:r w:rsidR="00734F7E" w:rsidRPr="00EA2EC1">
        <w:rPr>
          <w:rFonts w:cs="Arial"/>
          <w:sz w:val="24"/>
          <w:szCs w:val="24"/>
        </w:rPr>
        <w:t xml:space="preserve"> in that it takes into account</w:t>
      </w:r>
      <w:r w:rsidR="00EA2EC1">
        <w:rPr>
          <w:rFonts w:cs="Arial"/>
          <w:sz w:val="24"/>
          <w:szCs w:val="24"/>
        </w:rPr>
        <w:t xml:space="preserve"> a tenant’s</w:t>
      </w:r>
      <w:r w:rsidR="00734F7E" w:rsidRPr="00EA2EC1">
        <w:rPr>
          <w:rFonts w:cs="Arial"/>
          <w:sz w:val="24"/>
          <w:szCs w:val="24"/>
        </w:rPr>
        <w:t xml:space="preserve"> income that is</w:t>
      </w:r>
      <w:r w:rsidR="00EA2EC1">
        <w:rPr>
          <w:rFonts w:cs="Arial"/>
          <w:sz w:val="24"/>
          <w:szCs w:val="24"/>
        </w:rPr>
        <w:t xml:space="preserve"> </w:t>
      </w:r>
      <w:r w:rsidR="00F61A43" w:rsidRPr="00EA2EC1">
        <w:rPr>
          <w:sz w:val="24"/>
          <w:szCs w:val="24"/>
        </w:rPr>
        <w:t xml:space="preserve">earned, derived or </w:t>
      </w:r>
      <w:r w:rsidR="00130CFF" w:rsidRPr="00EA2EC1">
        <w:rPr>
          <w:sz w:val="24"/>
          <w:szCs w:val="24"/>
        </w:rPr>
        <w:t xml:space="preserve">received </w:t>
      </w:r>
      <w:r w:rsidR="00734F7E" w:rsidRPr="00EA2EC1">
        <w:rPr>
          <w:sz w:val="24"/>
          <w:szCs w:val="24"/>
        </w:rPr>
        <w:t>including</w:t>
      </w:r>
      <w:r w:rsidR="00F61A43" w:rsidRPr="00EA2EC1">
        <w:rPr>
          <w:sz w:val="24"/>
          <w:szCs w:val="24"/>
        </w:rPr>
        <w:t xml:space="preserve"> a periodical payment</w:t>
      </w:r>
      <w:r w:rsidR="003B6DB8">
        <w:rPr>
          <w:sz w:val="24"/>
          <w:szCs w:val="24"/>
        </w:rPr>
        <w:t>,</w:t>
      </w:r>
      <w:r w:rsidR="00F61A43" w:rsidRPr="00EA2EC1">
        <w:rPr>
          <w:sz w:val="24"/>
          <w:szCs w:val="24"/>
        </w:rPr>
        <w:t xml:space="preserve"> benefit received or allowance. </w:t>
      </w:r>
      <w:r w:rsidR="00103205">
        <w:rPr>
          <w:sz w:val="24"/>
          <w:szCs w:val="24"/>
        </w:rPr>
        <w:t>Examples of income and exempt income are set out below.</w:t>
      </w:r>
    </w:p>
    <w:p w14:paraId="11A7E0EB" w14:textId="2F35E11F" w:rsidR="00CB198F" w:rsidRDefault="009B1D61" w:rsidP="00CB198F">
      <w:pPr>
        <w:rPr>
          <w:sz w:val="24"/>
          <w:szCs w:val="24"/>
        </w:rPr>
      </w:pPr>
      <w:r w:rsidRPr="00EA2EC1">
        <w:rPr>
          <w:sz w:val="24"/>
          <w:szCs w:val="24"/>
        </w:rPr>
        <w:t>F</w:t>
      </w:r>
      <w:r w:rsidR="00434748" w:rsidRPr="00EA2EC1">
        <w:rPr>
          <w:sz w:val="24"/>
          <w:szCs w:val="24"/>
        </w:rPr>
        <w:t xml:space="preserve">or the purposes of </w:t>
      </w:r>
      <w:r w:rsidR="00103205">
        <w:rPr>
          <w:sz w:val="24"/>
          <w:szCs w:val="24"/>
        </w:rPr>
        <w:t>the Scheme</w:t>
      </w:r>
      <w:r w:rsidR="00434748" w:rsidRPr="00EA2EC1">
        <w:rPr>
          <w:sz w:val="24"/>
          <w:szCs w:val="24"/>
        </w:rPr>
        <w:t>,</w:t>
      </w:r>
      <w:r w:rsidR="00EA2EC1">
        <w:rPr>
          <w:sz w:val="24"/>
          <w:szCs w:val="24"/>
        </w:rPr>
        <w:t xml:space="preserve"> the tenant’s</w:t>
      </w:r>
      <w:r w:rsidRPr="00EA2EC1">
        <w:rPr>
          <w:sz w:val="24"/>
          <w:szCs w:val="24"/>
        </w:rPr>
        <w:t xml:space="preserve"> income</w:t>
      </w:r>
      <w:r w:rsidR="00434748" w:rsidRPr="00EA2EC1">
        <w:rPr>
          <w:sz w:val="24"/>
          <w:szCs w:val="24"/>
        </w:rPr>
        <w:t xml:space="preserve"> is not limited to taxable income but refers to the </w:t>
      </w:r>
      <w:r w:rsidR="0034242D" w:rsidRPr="00EA2EC1">
        <w:rPr>
          <w:sz w:val="24"/>
          <w:szCs w:val="24"/>
        </w:rPr>
        <w:t>‘</w:t>
      </w:r>
      <w:r w:rsidR="00434748" w:rsidRPr="00EA2EC1">
        <w:rPr>
          <w:sz w:val="24"/>
          <w:szCs w:val="24"/>
        </w:rPr>
        <w:t>gross income</w:t>
      </w:r>
      <w:r w:rsidR="0034242D" w:rsidRPr="00EA2EC1">
        <w:rPr>
          <w:sz w:val="24"/>
          <w:szCs w:val="24"/>
        </w:rPr>
        <w:t>’</w:t>
      </w:r>
      <w:r w:rsidR="00434748" w:rsidRPr="00EA2EC1">
        <w:rPr>
          <w:sz w:val="24"/>
          <w:szCs w:val="24"/>
        </w:rPr>
        <w:t xml:space="preserve"> of the household</w:t>
      </w:r>
      <w:r w:rsidR="0012370F" w:rsidRPr="00EA2EC1">
        <w:rPr>
          <w:sz w:val="24"/>
          <w:szCs w:val="24"/>
        </w:rPr>
        <w:t xml:space="preserve"> </w:t>
      </w:r>
      <w:r w:rsidR="00EA2EC1">
        <w:rPr>
          <w:sz w:val="24"/>
          <w:szCs w:val="24"/>
        </w:rPr>
        <w:t xml:space="preserve">that is living in the approved rental dwelling </w:t>
      </w:r>
      <w:r w:rsidR="0012370F" w:rsidRPr="00EA2EC1">
        <w:rPr>
          <w:sz w:val="24"/>
          <w:szCs w:val="24"/>
        </w:rPr>
        <w:t>(see</w:t>
      </w:r>
      <w:r w:rsidR="00025723">
        <w:rPr>
          <w:sz w:val="24"/>
          <w:szCs w:val="24"/>
        </w:rPr>
        <w:t> </w:t>
      </w:r>
      <w:r w:rsidR="0012370F" w:rsidRPr="005C063C">
        <w:rPr>
          <w:sz w:val="24"/>
          <w:szCs w:val="24"/>
        </w:rPr>
        <w:t>page 3</w:t>
      </w:r>
      <w:r w:rsidR="0012370F" w:rsidRPr="00EA2EC1">
        <w:rPr>
          <w:sz w:val="24"/>
          <w:szCs w:val="24"/>
        </w:rPr>
        <w:t xml:space="preserve"> to calculate an NRAS household)</w:t>
      </w:r>
      <w:r w:rsidR="00434748" w:rsidRPr="00EA2EC1">
        <w:rPr>
          <w:sz w:val="24"/>
          <w:szCs w:val="24"/>
        </w:rPr>
        <w:t xml:space="preserve">. </w:t>
      </w:r>
    </w:p>
    <w:p w14:paraId="03DD67E7" w14:textId="20204947" w:rsidR="00434748" w:rsidRPr="008F23C6" w:rsidRDefault="00434748" w:rsidP="008F23C6">
      <w:pPr>
        <w:pStyle w:val="Heading2"/>
        <w:rPr>
          <w:color w:val="7030A0"/>
          <w:sz w:val="32"/>
          <w:szCs w:val="32"/>
        </w:rPr>
      </w:pPr>
      <w:r w:rsidRPr="008F23C6">
        <w:rPr>
          <w:color w:val="7030A0"/>
          <w:sz w:val="32"/>
          <w:szCs w:val="32"/>
        </w:rPr>
        <w:t xml:space="preserve">Income Limits </w:t>
      </w:r>
    </w:p>
    <w:p w14:paraId="0A0B2495" w14:textId="4B94A861" w:rsidR="00B9316E" w:rsidRPr="005B2025" w:rsidRDefault="00F84DEA" w:rsidP="00B9316E">
      <w:pPr>
        <w:rPr>
          <w:rFonts w:cs="Arial"/>
          <w:sz w:val="24"/>
          <w:szCs w:val="24"/>
        </w:rPr>
      </w:pPr>
      <w:r w:rsidRPr="00EA2EC1">
        <w:rPr>
          <w:rFonts w:cs="Arial"/>
          <w:sz w:val="24"/>
          <w:szCs w:val="24"/>
        </w:rPr>
        <w:t>The income limits for a househo</w:t>
      </w:r>
      <w:r w:rsidR="005624F3" w:rsidRPr="00EA2EC1">
        <w:rPr>
          <w:rFonts w:cs="Arial"/>
          <w:sz w:val="24"/>
          <w:szCs w:val="24"/>
        </w:rPr>
        <w:t xml:space="preserve">ld are set out in </w:t>
      </w:r>
      <w:r w:rsidR="00D63704" w:rsidRPr="00EA2EC1">
        <w:rPr>
          <w:rFonts w:cs="Arial"/>
          <w:sz w:val="24"/>
          <w:szCs w:val="24"/>
        </w:rPr>
        <w:t>s</w:t>
      </w:r>
      <w:r w:rsidR="007F0470" w:rsidRPr="00EA2EC1">
        <w:rPr>
          <w:rFonts w:cs="Arial"/>
          <w:sz w:val="24"/>
          <w:szCs w:val="24"/>
        </w:rPr>
        <w:t>ection 41</w:t>
      </w:r>
      <w:r w:rsidRPr="00EA2EC1">
        <w:rPr>
          <w:rFonts w:cs="Arial"/>
          <w:sz w:val="24"/>
          <w:szCs w:val="24"/>
        </w:rPr>
        <w:t xml:space="preserve"> of the National Rental Affordability Scheme Regulations </w:t>
      </w:r>
      <w:r w:rsidR="007F0470" w:rsidRPr="00EA2EC1">
        <w:rPr>
          <w:rFonts w:cs="Arial"/>
          <w:sz w:val="24"/>
          <w:szCs w:val="24"/>
        </w:rPr>
        <w:t>2020</w:t>
      </w:r>
      <w:r w:rsidR="00D37F39" w:rsidRPr="00EA2EC1">
        <w:rPr>
          <w:rFonts w:cs="Arial"/>
          <w:sz w:val="24"/>
          <w:szCs w:val="24"/>
        </w:rPr>
        <w:t xml:space="preserve"> (the Regulations)</w:t>
      </w:r>
      <w:r w:rsidRPr="00EA2EC1">
        <w:rPr>
          <w:rFonts w:cs="Arial"/>
          <w:sz w:val="24"/>
          <w:szCs w:val="24"/>
        </w:rPr>
        <w:t xml:space="preserve">. Each </w:t>
      </w:r>
      <w:r w:rsidR="005C063C">
        <w:rPr>
          <w:rFonts w:cs="Arial"/>
          <w:sz w:val="24"/>
          <w:szCs w:val="24"/>
        </w:rPr>
        <w:t xml:space="preserve">NRAS </w:t>
      </w:r>
      <w:r w:rsidRPr="00EA2EC1">
        <w:rPr>
          <w:rFonts w:cs="Arial"/>
          <w:sz w:val="24"/>
          <w:szCs w:val="24"/>
        </w:rPr>
        <w:t>year</w:t>
      </w:r>
      <w:r w:rsidR="00EA2EC1">
        <w:rPr>
          <w:rFonts w:cs="Arial"/>
          <w:sz w:val="24"/>
          <w:szCs w:val="24"/>
        </w:rPr>
        <w:t>,</w:t>
      </w:r>
      <w:r w:rsidR="00734F7E" w:rsidRPr="00EA2EC1">
        <w:rPr>
          <w:rFonts w:cs="Arial"/>
          <w:sz w:val="24"/>
          <w:szCs w:val="24"/>
        </w:rPr>
        <w:t xml:space="preserve"> tenant</w:t>
      </w:r>
      <w:r w:rsidRPr="00EA2EC1">
        <w:rPr>
          <w:rFonts w:cs="Arial"/>
          <w:sz w:val="24"/>
          <w:szCs w:val="24"/>
        </w:rPr>
        <w:t xml:space="preserve"> income limits are cumulatively indexed </w:t>
      </w:r>
      <w:r w:rsidR="00B9316E">
        <w:rPr>
          <w:rFonts w:cs="Arial"/>
          <w:sz w:val="24"/>
          <w:szCs w:val="24"/>
        </w:rPr>
        <w:t>according to movements in the r</w:t>
      </w:r>
      <w:r w:rsidR="00B9316E" w:rsidRPr="000B4B1D">
        <w:rPr>
          <w:rFonts w:cs="Arial"/>
          <w:sz w:val="24"/>
          <w:szCs w:val="24"/>
        </w:rPr>
        <w:t xml:space="preserve">ents component of the Housing Group of the </w:t>
      </w:r>
      <w:r w:rsidR="00B9316E" w:rsidRPr="00EA2EC1">
        <w:rPr>
          <w:rFonts w:cs="Arial"/>
          <w:sz w:val="24"/>
          <w:szCs w:val="24"/>
        </w:rPr>
        <w:t>Consumer Price Index</w:t>
      </w:r>
      <w:r w:rsidR="00B9316E" w:rsidRPr="000B4B1D">
        <w:rPr>
          <w:rFonts w:cs="Arial"/>
          <w:sz w:val="24"/>
          <w:szCs w:val="24"/>
        </w:rPr>
        <w:t xml:space="preserve">, December quarter to December quarter published by the Australian Statistician </w:t>
      </w:r>
      <w:r w:rsidR="00B9316E">
        <w:rPr>
          <w:rFonts w:cs="Arial"/>
          <w:sz w:val="24"/>
          <w:szCs w:val="24"/>
        </w:rPr>
        <w:t>on</w:t>
      </w:r>
      <w:r w:rsidR="00B9316E" w:rsidRPr="000B4B1D">
        <w:rPr>
          <w:rFonts w:cs="Arial"/>
          <w:sz w:val="24"/>
          <w:szCs w:val="24"/>
        </w:rPr>
        <w:t xml:space="preserve"> 1 March of the immediately preceding NRAS year. </w:t>
      </w:r>
    </w:p>
    <w:p w14:paraId="415BC019" w14:textId="77777777" w:rsidR="00CB198F" w:rsidRDefault="00176B8D" w:rsidP="00CB198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DD67E9" w14:textId="039D3736" w:rsidR="00F84DEA" w:rsidRPr="008F23C6" w:rsidRDefault="00F84DEA" w:rsidP="008F23C6">
      <w:pPr>
        <w:pStyle w:val="Heading2"/>
        <w:rPr>
          <w:rFonts w:cs="Arial"/>
          <w:color w:val="7030A0"/>
          <w:sz w:val="32"/>
          <w:szCs w:val="32"/>
        </w:rPr>
      </w:pPr>
      <w:r w:rsidRPr="008F23C6">
        <w:rPr>
          <w:color w:val="7030A0"/>
          <w:sz w:val="32"/>
          <w:szCs w:val="32"/>
        </w:rPr>
        <w:lastRenderedPageBreak/>
        <w:t>Examples of income</w:t>
      </w:r>
    </w:p>
    <w:p w14:paraId="03DD67EA" w14:textId="05795AFD" w:rsidR="00F84DEA" w:rsidRPr="00EA2EC1" w:rsidRDefault="008E2D2D" w:rsidP="00F6351B">
      <w:p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 xml:space="preserve">The </w:t>
      </w:r>
      <w:r w:rsidR="00253F50" w:rsidRPr="00EA2EC1">
        <w:rPr>
          <w:rFonts w:cs="Arial"/>
          <w:sz w:val="24"/>
          <w:szCs w:val="24"/>
        </w:rPr>
        <w:t xml:space="preserve">Department of Social Services (the department) </w:t>
      </w:r>
      <w:r w:rsidRPr="00EA2EC1">
        <w:rPr>
          <w:sz w:val="24"/>
          <w:szCs w:val="24"/>
          <w:lang w:eastAsia="en-AU"/>
        </w:rPr>
        <w:t xml:space="preserve">considers </w:t>
      </w:r>
      <w:r w:rsidR="00491F2B">
        <w:rPr>
          <w:sz w:val="24"/>
          <w:szCs w:val="24"/>
          <w:lang w:eastAsia="en-AU"/>
        </w:rPr>
        <w:t xml:space="preserve">the following to be </w:t>
      </w:r>
      <w:r w:rsidR="00D63704" w:rsidRPr="00EA2EC1">
        <w:rPr>
          <w:sz w:val="24"/>
          <w:szCs w:val="24"/>
          <w:lang w:eastAsia="en-AU"/>
        </w:rPr>
        <w:t>examples of</w:t>
      </w:r>
      <w:r w:rsidR="00EA2EC1">
        <w:rPr>
          <w:sz w:val="24"/>
          <w:szCs w:val="24"/>
          <w:lang w:eastAsia="en-AU"/>
        </w:rPr>
        <w:t xml:space="preserve"> tenant</w:t>
      </w:r>
      <w:r w:rsidR="00D63704" w:rsidRPr="00EA2EC1">
        <w:rPr>
          <w:sz w:val="24"/>
          <w:szCs w:val="24"/>
          <w:lang w:eastAsia="en-AU"/>
        </w:rPr>
        <w:t xml:space="preserve"> income </w:t>
      </w:r>
      <w:r w:rsidR="00EA2EC1">
        <w:rPr>
          <w:sz w:val="24"/>
          <w:szCs w:val="24"/>
          <w:lang w:eastAsia="en-AU"/>
        </w:rPr>
        <w:t xml:space="preserve">under </w:t>
      </w:r>
      <w:r w:rsidR="00103205">
        <w:rPr>
          <w:sz w:val="24"/>
          <w:szCs w:val="24"/>
          <w:lang w:eastAsia="en-AU"/>
        </w:rPr>
        <w:t>the Scheme</w:t>
      </w:r>
      <w:r w:rsidR="00EA2EC1">
        <w:rPr>
          <w:sz w:val="24"/>
          <w:szCs w:val="24"/>
          <w:lang w:eastAsia="en-AU"/>
        </w:rPr>
        <w:t xml:space="preserve"> </w:t>
      </w:r>
      <w:r w:rsidR="00491F2B">
        <w:rPr>
          <w:sz w:val="24"/>
          <w:szCs w:val="24"/>
          <w:lang w:eastAsia="en-AU"/>
        </w:rPr>
        <w:t>(this is not an exhaustive list)</w:t>
      </w:r>
      <w:r w:rsidR="00D63704" w:rsidRPr="00EA2EC1">
        <w:rPr>
          <w:sz w:val="24"/>
          <w:szCs w:val="24"/>
          <w:lang w:eastAsia="en-AU"/>
        </w:rPr>
        <w:t xml:space="preserve">: </w:t>
      </w:r>
    </w:p>
    <w:p w14:paraId="03DD67EB" w14:textId="385D2993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gross income from earnings, including fringe ben</w:t>
      </w:r>
      <w:r w:rsidR="009E5648">
        <w:rPr>
          <w:sz w:val="24"/>
          <w:szCs w:val="24"/>
          <w:lang w:eastAsia="en-AU"/>
        </w:rPr>
        <w:t>efits (n</w:t>
      </w:r>
      <w:r w:rsidRPr="00EA2EC1">
        <w:rPr>
          <w:sz w:val="24"/>
          <w:szCs w:val="24"/>
          <w:lang w:eastAsia="en-AU"/>
        </w:rPr>
        <w:t xml:space="preserve">ote that the non-grossed </w:t>
      </w:r>
      <w:r w:rsidR="006A6B29">
        <w:rPr>
          <w:sz w:val="24"/>
          <w:szCs w:val="24"/>
          <w:lang w:eastAsia="en-AU"/>
        </w:rPr>
        <w:br/>
      </w:r>
      <w:r w:rsidRPr="00EA2EC1">
        <w:rPr>
          <w:sz w:val="24"/>
          <w:szCs w:val="24"/>
          <w:lang w:eastAsia="en-AU"/>
        </w:rPr>
        <w:t>up amount of a fringe benefit will be calculated as income</w:t>
      </w:r>
      <w:r w:rsidR="009E5648">
        <w:rPr>
          <w:sz w:val="24"/>
          <w:szCs w:val="24"/>
          <w:lang w:eastAsia="en-AU"/>
        </w:rPr>
        <w:t>)</w:t>
      </w:r>
      <w:r w:rsidR="00830DE8" w:rsidRPr="00EA2EC1">
        <w:rPr>
          <w:sz w:val="24"/>
          <w:szCs w:val="24"/>
          <w:lang w:eastAsia="en-AU"/>
        </w:rPr>
        <w:t xml:space="preserve"> </w:t>
      </w:r>
      <w:r w:rsidRPr="00EA2EC1">
        <w:rPr>
          <w:sz w:val="24"/>
          <w:szCs w:val="24"/>
          <w:lang w:eastAsia="en-AU"/>
        </w:rPr>
        <w:t xml:space="preserve"> </w:t>
      </w:r>
    </w:p>
    <w:p w14:paraId="03DD67EC" w14:textId="16015708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deemed income from financial investments</w:t>
      </w:r>
    </w:p>
    <w:p w14:paraId="03DD67ED" w14:textId="4C747BD6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employment income salary sacrificed into superannuation</w:t>
      </w:r>
      <w:r w:rsidR="005D0D7C" w:rsidRPr="00EA2EC1">
        <w:rPr>
          <w:sz w:val="24"/>
          <w:szCs w:val="24"/>
          <w:lang w:eastAsia="en-AU"/>
        </w:rPr>
        <w:t xml:space="preserve"> (r</w:t>
      </w:r>
      <w:r w:rsidR="005D0D7C" w:rsidRPr="00EA2EC1">
        <w:rPr>
          <w:rFonts w:cs="Arial"/>
          <w:sz w:val="24"/>
          <w:szCs w:val="24"/>
        </w:rPr>
        <w:t xml:space="preserve">eportable superannuation contributions which include amounts voluntarily salary sacrificed to superannuation </w:t>
      </w:r>
      <w:r w:rsidR="006A6B29">
        <w:rPr>
          <w:rFonts w:cs="Arial"/>
          <w:sz w:val="24"/>
          <w:szCs w:val="24"/>
        </w:rPr>
        <w:br/>
      </w:r>
      <w:r w:rsidR="005D0D7C" w:rsidRPr="00EA2EC1">
        <w:rPr>
          <w:rFonts w:cs="Arial"/>
          <w:sz w:val="24"/>
          <w:szCs w:val="24"/>
        </w:rPr>
        <w:t>is included in gross income)</w:t>
      </w:r>
    </w:p>
    <w:p w14:paraId="03DD67EE" w14:textId="7296E0E8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net income from businesses</w:t>
      </w:r>
      <w:r w:rsidR="00D63704" w:rsidRPr="00EA2EC1">
        <w:rPr>
          <w:sz w:val="24"/>
          <w:szCs w:val="24"/>
          <w:lang w:eastAsia="en-AU"/>
        </w:rPr>
        <w:t xml:space="preserve"> or</w:t>
      </w:r>
      <w:r w:rsidRPr="00EA2EC1">
        <w:rPr>
          <w:sz w:val="24"/>
          <w:szCs w:val="24"/>
          <w:lang w:eastAsia="en-AU"/>
        </w:rPr>
        <w:t xml:space="preserve"> </w:t>
      </w:r>
      <w:r w:rsidR="007F0470" w:rsidRPr="00EA2EC1">
        <w:rPr>
          <w:sz w:val="24"/>
          <w:szCs w:val="24"/>
          <w:lang w:eastAsia="en-AU"/>
        </w:rPr>
        <w:t xml:space="preserve">sole traders, </w:t>
      </w:r>
      <w:r w:rsidRPr="00EA2EC1">
        <w:rPr>
          <w:sz w:val="24"/>
          <w:szCs w:val="24"/>
          <w:lang w:eastAsia="en-AU"/>
        </w:rPr>
        <w:t>including farms</w:t>
      </w:r>
    </w:p>
    <w:p w14:paraId="03DD67EF" w14:textId="213F2383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family trust distributions or dividends from private company shares</w:t>
      </w:r>
    </w:p>
    <w:p w14:paraId="03DD67F0" w14:textId="0E421C8E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net income from rental property</w:t>
      </w:r>
    </w:p>
    <w:p w14:paraId="03DD67F1" w14:textId="194E1D66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income from boarders and lodgers</w:t>
      </w:r>
    </w:p>
    <w:p w14:paraId="03DD67F2" w14:textId="64CA932A" w:rsidR="00C757A9" w:rsidRPr="00EA2EC1" w:rsidRDefault="00C757A9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</w:rPr>
        <w:t>redundancy payments</w:t>
      </w:r>
    </w:p>
    <w:p w14:paraId="03DD67F3" w14:textId="4A7CAC8A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non-Australian pensions and income</w:t>
      </w:r>
    </w:p>
    <w:p w14:paraId="03DD67F4" w14:textId="2BF414C2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any income from sources outside Australia</w:t>
      </w:r>
    </w:p>
    <w:p w14:paraId="03DD67F5" w14:textId="4DCD1C29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a periodic payment from an immediate relative, that is father, mother, son, daughter, brother or sister</w:t>
      </w:r>
    </w:p>
    <w:p w14:paraId="03DD67F6" w14:textId="50BE27E3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income from income stream products, such as annuities and allocated products</w:t>
      </w:r>
    </w:p>
    <w:p w14:paraId="03DD67F7" w14:textId="2A0D04E2" w:rsidR="0068030C" w:rsidRPr="00EA2EC1" w:rsidRDefault="0068030C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</w:rPr>
        <w:t>scholarship or tuition payments paid into the student</w:t>
      </w:r>
      <w:r w:rsidR="00E92EB3" w:rsidRPr="00EA2EC1">
        <w:rPr>
          <w:sz w:val="24"/>
          <w:szCs w:val="24"/>
        </w:rPr>
        <w:t>’</w:t>
      </w:r>
      <w:r w:rsidRPr="00EA2EC1">
        <w:rPr>
          <w:sz w:val="24"/>
          <w:szCs w:val="24"/>
        </w:rPr>
        <w:t>s account</w:t>
      </w:r>
    </w:p>
    <w:p w14:paraId="03DD67F8" w14:textId="6CB5FF99" w:rsidR="00F84DEA" w:rsidRPr="00EA2EC1" w:rsidRDefault="00F84DE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 xml:space="preserve">a rent subsidy paid by the Commonwealth, </w:t>
      </w:r>
      <w:r w:rsidR="00EA2EC1">
        <w:rPr>
          <w:sz w:val="24"/>
          <w:szCs w:val="24"/>
          <w:lang w:eastAsia="en-AU"/>
        </w:rPr>
        <w:t xml:space="preserve">or </w:t>
      </w:r>
      <w:r w:rsidRPr="00EA2EC1">
        <w:rPr>
          <w:sz w:val="24"/>
          <w:szCs w:val="24"/>
          <w:lang w:eastAsia="en-AU"/>
        </w:rPr>
        <w:t xml:space="preserve">a </w:t>
      </w:r>
      <w:r w:rsidR="00EA2EC1">
        <w:rPr>
          <w:sz w:val="24"/>
          <w:szCs w:val="24"/>
          <w:lang w:eastAsia="en-AU"/>
        </w:rPr>
        <w:t>S</w:t>
      </w:r>
      <w:r w:rsidRPr="00EA2EC1">
        <w:rPr>
          <w:sz w:val="24"/>
          <w:szCs w:val="24"/>
          <w:lang w:eastAsia="en-AU"/>
        </w:rPr>
        <w:t xml:space="preserve">tate or </w:t>
      </w:r>
      <w:r w:rsidR="00EA2EC1">
        <w:rPr>
          <w:sz w:val="24"/>
          <w:szCs w:val="24"/>
          <w:lang w:eastAsia="en-AU"/>
        </w:rPr>
        <w:t>T</w:t>
      </w:r>
      <w:r w:rsidRPr="00EA2EC1">
        <w:rPr>
          <w:sz w:val="24"/>
          <w:szCs w:val="24"/>
          <w:lang w:eastAsia="en-AU"/>
        </w:rPr>
        <w:t>erritory</w:t>
      </w:r>
      <w:r w:rsidR="00EA2EC1">
        <w:rPr>
          <w:sz w:val="24"/>
          <w:szCs w:val="24"/>
          <w:lang w:eastAsia="en-AU"/>
        </w:rPr>
        <w:t xml:space="preserve"> Government</w:t>
      </w:r>
    </w:p>
    <w:p w14:paraId="580B5B4E" w14:textId="4D65A69B" w:rsidR="007F0470" w:rsidRPr="00EA2EC1" w:rsidRDefault="00DD342A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c</w:t>
      </w:r>
      <w:r w:rsidR="00F84DEA" w:rsidRPr="00EA2EC1">
        <w:rPr>
          <w:sz w:val="24"/>
          <w:szCs w:val="24"/>
          <w:lang w:eastAsia="en-AU"/>
        </w:rPr>
        <w:t xml:space="preserve">hild </w:t>
      </w:r>
      <w:r w:rsidR="005A66FD" w:rsidRPr="00EA2EC1">
        <w:rPr>
          <w:sz w:val="24"/>
          <w:szCs w:val="24"/>
          <w:lang w:eastAsia="en-AU"/>
        </w:rPr>
        <w:t>s</w:t>
      </w:r>
      <w:r w:rsidR="00F84DEA" w:rsidRPr="00EA2EC1">
        <w:rPr>
          <w:sz w:val="24"/>
          <w:szCs w:val="24"/>
          <w:lang w:eastAsia="en-AU"/>
        </w:rPr>
        <w:t>upport payments</w:t>
      </w:r>
      <w:r w:rsidR="00840251" w:rsidRPr="00EA2EC1">
        <w:rPr>
          <w:sz w:val="24"/>
          <w:szCs w:val="24"/>
          <w:lang w:eastAsia="en-AU"/>
        </w:rPr>
        <w:t xml:space="preserve"> </w:t>
      </w:r>
    </w:p>
    <w:p w14:paraId="03DD67FA" w14:textId="0F3C9BBF" w:rsidR="00F84DEA" w:rsidRPr="00EA2EC1" w:rsidRDefault="00E92EB3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i</w:t>
      </w:r>
      <w:r w:rsidR="00F84DEA" w:rsidRPr="00EA2EC1">
        <w:rPr>
          <w:sz w:val="24"/>
          <w:szCs w:val="24"/>
          <w:lang w:eastAsia="en-AU"/>
        </w:rPr>
        <w:t>ncome support payments</w:t>
      </w:r>
      <w:r w:rsidR="00470A54" w:rsidRPr="00EA2EC1">
        <w:rPr>
          <w:sz w:val="24"/>
          <w:szCs w:val="24"/>
          <w:lang w:eastAsia="en-AU"/>
        </w:rPr>
        <w:t>; and</w:t>
      </w:r>
    </w:p>
    <w:p w14:paraId="6A589760" w14:textId="770714CE" w:rsidR="00470A54" w:rsidRPr="00EA2EC1" w:rsidRDefault="00470A54" w:rsidP="00F6351B">
      <w:pPr>
        <w:pStyle w:val="ListParagraph"/>
        <w:numPr>
          <w:ilvl w:val="0"/>
          <w:numId w:val="13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 xml:space="preserve">loans received for personal use </w:t>
      </w:r>
      <w:r w:rsidR="009E5648">
        <w:rPr>
          <w:sz w:val="24"/>
          <w:szCs w:val="24"/>
          <w:lang w:eastAsia="en-AU"/>
        </w:rPr>
        <w:t>(</w:t>
      </w:r>
      <w:r w:rsidRPr="00EA2EC1">
        <w:rPr>
          <w:sz w:val="24"/>
          <w:szCs w:val="24"/>
          <w:lang w:eastAsia="en-AU"/>
        </w:rPr>
        <w:t>e.g. assist with bills, buy a car</w:t>
      </w:r>
      <w:r w:rsidR="009E5648">
        <w:rPr>
          <w:sz w:val="24"/>
          <w:szCs w:val="24"/>
          <w:lang w:eastAsia="en-AU"/>
        </w:rPr>
        <w:t>)</w:t>
      </w:r>
      <w:r w:rsidRPr="00EA2EC1">
        <w:rPr>
          <w:sz w:val="24"/>
          <w:szCs w:val="24"/>
          <w:lang w:eastAsia="en-AU"/>
        </w:rPr>
        <w:t>*</w:t>
      </w:r>
      <w:r w:rsidR="009E5648">
        <w:rPr>
          <w:sz w:val="24"/>
          <w:szCs w:val="24"/>
          <w:lang w:eastAsia="en-AU"/>
        </w:rPr>
        <w:t>.</w:t>
      </w:r>
    </w:p>
    <w:p w14:paraId="7F44CFA7" w14:textId="44D036EE" w:rsidR="008F23C6" w:rsidRDefault="009E5648" w:rsidP="008F23C6">
      <w:p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* </w:t>
      </w:r>
      <w:r w:rsidR="00253F50" w:rsidRPr="00EA2EC1">
        <w:rPr>
          <w:sz w:val="24"/>
          <w:szCs w:val="24"/>
          <w:lang w:eastAsia="en-AU"/>
        </w:rPr>
        <w:t>NB: When assessing tenant income according to the NRAS gross income limits, amounts received by</w:t>
      </w:r>
      <w:r w:rsidR="005C063C">
        <w:rPr>
          <w:sz w:val="24"/>
          <w:szCs w:val="24"/>
          <w:lang w:eastAsia="en-AU"/>
        </w:rPr>
        <w:t xml:space="preserve"> </w:t>
      </w:r>
      <w:r w:rsidR="00562774">
        <w:rPr>
          <w:sz w:val="24"/>
          <w:szCs w:val="24"/>
          <w:lang w:eastAsia="en-AU"/>
        </w:rPr>
        <w:t>the applicant (potential tenant and/or</w:t>
      </w:r>
      <w:r w:rsidR="00253F50" w:rsidRPr="00EA2EC1">
        <w:rPr>
          <w:sz w:val="24"/>
          <w:szCs w:val="24"/>
          <w:lang w:eastAsia="en-AU"/>
        </w:rPr>
        <w:t xml:space="preserve"> </w:t>
      </w:r>
      <w:r w:rsidR="00562774">
        <w:rPr>
          <w:sz w:val="24"/>
          <w:szCs w:val="24"/>
          <w:lang w:eastAsia="en-AU"/>
        </w:rPr>
        <w:t xml:space="preserve">eligible </w:t>
      </w:r>
      <w:r w:rsidR="005C063C">
        <w:rPr>
          <w:sz w:val="24"/>
          <w:szCs w:val="24"/>
          <w:lang w:eastAsia="en-AU"/>
        </w:rPr>
        <w:t>tenant</w:t>
      </w:r>
      <w:r w:rsidR="00562774">
        <w:rPr>
          <w:sz w:val="24"/>
          <w:szCs w:val="24"/>
          <w:lang w:eastAsia="en-AU"/>
        </w:rPr>
        <w:t>)</w:t>
      </w:r>
      <w:r w:rsidR="00253F50" w:rsidRPr="00EA2EC1">
        <w:rPr>
          <w:sz w:val="24"/>
          <w:szCs w:val="24"/>
          <w:lang w:eastAsia="en-AU"/>
        </w:rPr>
        <w:t xml:space="preserve"> that are repayments of</w:t>
      </w:r>
      <w:r w:rsidR="00025723">
        <w:rPr>
          <w:sz w:val="24"/>
          <w:szCs w:val="24"/>
          <w:lang w:eastAsia="en-AU"/>
        </w:rPr>
        <w:t> </w:t>
      </w:r>
      <w:r w:rsidR="00253F50" w:rsidRPr="00EA2EC1">
        <w:rPr>
          <w:sz w:val="24"/>
          <w:szCs w:val="24"/>
          <w:lang w:eastAsia="en-AU"/>
        </w:rPr>
        <w:t>a</w:t>
      </w:r>
      <w:r w:rsidR="00025723">
        <w:rPr>
          <w:sz w:val="24"/>
          <w:szCs w:val="24"/>
          <w:lang w:eastAsia="en-AU"/>
        </w:rPr>
        <w:t> </w:t>
      </w:r>
      <w:r w:rsidR="00253F50" w:rsidRPr="00EA2EC1">
        <w:rPr>
          <w:sz w:val="24"/>
          <w:szCs w:val="24"/>
          <w:lang w:eastAsia="en-AU"/>
        </w:rPr>
        <w:t xml:space="preserve">loan they have previously made (e.g. to a family member or friend) are generally </w:t>
      </w:r>
      <w:r w:rsidR="00253F50" w:rsidRPr="00103205">
        <w:rPr>
          <w:sz w:val="24"/>
          <w:szCs w:val="24"/>
          <w:u w:val="single"/>
          <w:lang w:eastAsia="en-AU"/>
        </w:rPr>
        <w:t>not</w:t>
      </w:r>
      <w:r w:rsidR="00253F50" w:rsidRPr="00EA2EC1">
        <w:rPr>
          <w:sz w:val="24"/>
          <w:szCs w:val="24"/>
          <w:lang w:eastAsia="en-AU"/>
        </w:rPr>
        <w:t xml:space="preserve"> considered income for NRAS eligibility purposes.  </w:t>
      </w:r>
    </w:p>
    <w:p w14:paraId="03DD67FC" w14:textId="4209711A" w:rsidR="00840251" w:rsidRPr="008F23C6" w:rsidRDefault="00840251" w:rsidP="008F23C6">
      <w:pPr>
        <w:pStyle w:val="Heading2"/>
        <w:rPr>
          <w:rFonts w:cs="Arial"/>
          <w:bCs/>
          <w:iCs/>
          <w:color w:val="7030A0"/>
          <w:sz w:val="32"/>
          <w:szCs w:val="32"/>
        </w:rPr>
      </w:pPr>
      <w:r w:rsidRPr="008F23C6">
        <w:rPr>
          <w:color w:val="7030A0"/>
          <w:sz w:val="32"/>
          <w:szCs w:val="32"/>
        </w:rPr>
        <w:t xml:space="preserve">Examples of exempt income </w:t>
      </w:r>
    </w:p>
    <w:p w14:paraId="7C0BE089" w14:textId="60A04B06" w:rsidR="00D96E09" w:rsidRPr="00012E35" w:rsidRDefault="00840251" w:rsidP="00EA2EC1">
      <w:r w:rsidRPr="00EA2EC1">
        <w:rPr>
          <w:sz w:val="24"/>
          <w:szCs w:val="24"/>
          <w:lang w:eastAsia="en-AU"/>
        </w:rPr>
        <w:t>Examples of exempt income include but are not limited to:</w:t>
      </w:r>
    </w:p>
    <w:p w14:paraId="4CC133D7" w14:textId="77777777" w:rsidR="003B6B8E" w:rsidRPr="003B6B8E" w:rsidRDefault="00D96E0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96E09">
        <w:rPr>
          <w:rFonts w:cs="Arial"/>
          <w:sz w:val="24"/>
          <w:szCs w:val="24"/>
        </w:rPr>
        <w:t xml:space="preserve">superannuation will not be considered income until the tenant reaches pension age </w:t>
      </w:r>
      <w:r w:rsidRPr="00D96E09">
        <w:rPr>
          <w:rFonts w:cs="Arial"/>
          <w:sz w:val="24"/>
          <w:szCs w:val="24"/>
        </w:rPr>
        <w:br/>
        <w:t>or starts to receive a pensi</w:t>
      </w:r>
      <w:r w:rsidR="003B6B8E">
        <w:rPr>
          <w:rFonts w:cs="Arial"/>
          <w:sz w:val="24"/>
          <w:szCs w:val="24"/>
        </w:rPr>
        <w:t>on or annuity out of that fund</w:t>
      </w:r>
    </w:p>
    <w:p w14:paraId="759A3AD0" w14:textId="35F9D731" w:rsidR="00D96E09" w:rsidRPr="00EA2EC1" w:rsidRDefault="006237ED" w:rsidP="003B6B8E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However,</w:t>
      </w:r>
      <w:r w:rsidR="00D96E09" w:rsidRPr="00D96E09">
        <w:rPr>
          <w:rFonts w:cs="Arial"/>
          <w:sz w:val="24"/>
          <w:szCs w:val="24"/>
        </w:rPr>
        <w:t xml:space="preserve"> if someone is transitioning to retirement, and receiving even a part payment out of their superannuation account, it would be considered income under the SS Act and for NRAS purposes</w:t>
      </w:r>
      <w:r w:rsidR="00D96E09" w:rsidRPr="00EA2EC1">
        <w:rPr>
          <w:sz w:val="24"/>
          <w:szCs w:val="24"/>
        </w:rPr>
        <w:t xml:space="preserve"> </w:t>
      </w:r>
    </w:p>
    <w:p w14:paraId="5F61232C" w14:textId="47BC5D1A" w:rsidR="00D96E09" w:rsidRPr="00EA2EC1" w:rsidRDefault="00D96E0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2EC1">
        <w:rPr>
          <w:sz w:val="24"/>
          <w:szCs w:val="24"/>
        </w:rPr>
        <w:t>compensation for loss of,</w:t>
      </w:r>
      <w:r w:rsidR="009E5648">
        <w:rPr>
          <w:sz w:val="24"/>
          <w:szCs w:val="24"/>
        </w:rPr>
        <w:t xml:space="preserve"> or damage to, building, plant</w:t>
      </w:r>
      <w:r w:rsidRPr="00EA2EC1">
        <w:rPr>
          <w:sz w:val="24"/>
          <w:szCs w:val="24"/>
        </w:rPr>
        <w:t xml:space="preserve"> effects</w:t>
      </w:r>
    </w:p>
    <w:p w14:paraId="03DD6800" w14:textId="044796BD" w:rsidR="0068030C" w:rsidRPr="00EA2EC1" w:rsidRDefault="0068030C" w:rsidP="00F6351B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EA2EC1">
        <w:rPr>
          <w:rFonts w:cs="Arial"/>
          <w:sz w:val="24"/>
          <w:szCs w:val="24"/>
        </w:rPr>
        <w:t>inheritance (</w:t>
      </w:r>
      <w:r w:rsidR="00E92EB3" w:rsidRPr="00EA2EC1">
        <w:rPr>
          <w:rFonts w:cs="Arial"/>
          <w:sz w:val="24"/>
          <w:szCs w:val="24"/>
        </w:rPr>
        <w:t xml:space="preserve">however, </w:t>
      </w:r>
      <w:r w:rsidRPr="00EA2EC1">
        <w:rPr>
          <w:sz w:val="24"/>
          <w:szCs w:val="24"/>
        </w:rPr>
        <w:t xml:space="preserve">any interest earned from </w:t>
      </w:r>
      <w:r w:rsidR="006237ED">
        <w:rPr>
          <w:sz w:val="24"/>
          <w:szCs w:val="24"/>
        </w:rPr>
        <w:t>an</w:t>
      </w:r>
      <w:r w:rsidR="006237ED" w:rsidRPr="00EA2EC1">
        <w:rPr>
          <w:sz w:val="24"/>
          <w:szCs w:val="24"/>
        </w:rPr>
        <w:t xml:space="preserve"> </w:t>
      </w:r>
      <w:r w:rsidRPr="00EA2EC1">
        <w:rPr>
          <w:sz w:val="24"/>
          <w:szCs w:val="24"/>
        </w:rPr>
        <w:t>inheritance,</w:t>
      </w:r>
      <w:r w:rsidR="006237ED">
        <w:rPr>
          <w:sz w:val="24"/>
          <w:szCs w:val="24"/>
        </w:rPr>
        <w:t xml:space="preserve"> for example</w:t>
      </w:r>
      <w:r w:rsidRPr="00EA2EC1">
        <w:rPr>
          <w:sz w:val="24"/>
          <w:szCs w:val="24"/>
        </w:rPr>
        <w:t xml:space="preserve"> </w:t>
      </w:r>
      <w:r w:rsidR="00E92EB3" w:rsidRPr="00EA2EC1">
        <w:rPr>
          <w:sz w:val="24"/>
          <w:szCs w:val="24"/>
        </w:rPr>
        <w:t xml:space="preserve">by </w:t>
      </w:r>
      <w:r w:rsidRPr="00EA2EC1">
        <w:rPr>
          <w:sz w:val="24"/>
          <w:szCs w:val="24"/>
        </w:rPr>
        <w:t xml:space="preserve">placing in a trust, or leaving in </w:t>
      </w:r>
      <w:r w:rsidR="00885DAC" w:rsidRPr="00EA2EC1">
        <w:rPr>
          <w:sz w:val="24"/>
          <w:szCs w:val="24"/>
        </w:rPr>
        <w:t xml:space="preserve">a </w:t>
      </w:r>
      <w:r w:rsidRPr="00EA2EC1">
        <w:rPr>
          <w:sz w:val="24"/>
          <w:szCs w:val="24"/>
        </w:rPr>
        <w:t xml:space="preserve">bank account </w:t>
      </w:r>
      <w:r w:rsidR="006237ED">
        <w:rPr>
          <w:sz w:val="24"/>
          <w:szCs w:val="24"/>
        </w:rPr>
        <w:t xml:space="preserve">where it is earning interest </w:t>
      </w:r>
      <w:r w:rsidRPr="00EA2EC1">
        <w:rPr>
          <w:sz w:val="24"/>
          <w:szCs w:val="24"/>
        </w:rPr>
        <w:t>would be assessed as income, that is, income from interest or dividends)</w:t>
      </w:r>
    </w:p>
    <w:p w14:paraId="03DD6801" w14:textId="0141C06D" w:rsidR="00850BA7" w:rsidRPr="00EA2EC1" w:rsidRDefault="00103205" w:rsidP="00F6351B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supported disability a</w:t>
      </w:r>
      <w:r w:rsidR="00850BA7" w:rsidRPr="00EA2EC1">
        <w:rPr>
          <w:sz w:val="24"/>
          <w:szCs w:val="24"/>
        </w:rPr>
        <w:t xml:space="preserve">ccommodation under an </w:t>
      </w:r>
      <w:r>
        <w:rPr>
          <w:sz w:val="24"/>
          <w:szCs w:val="24"/>
        </w:rPr>
        <w:t xml:space="preserve">National Disability Insurance Scheme (NDIS) </w:t>
      </w:r>
      <w:r w:rsidR="00850BA7" w:rsidRPr="00EA2EC1">
        <w:rPr>
          <w:sz w:val="24"/>
          <w:szCs w:val="24"/>
        </w:rPr>
        <w:t>plan</w:t>
      </w:r>
    </w:p>
    <w:p w14:paraId="03DD6802" w14:textId="055C0461" w:rsidR="00840251" w:rsidRPr="00EA2EC1" w:rsidRDefault="00840251" w:rsidP="00F6351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2EC1">
        <w:rPr>
          <w:sz w:val="24"/>
          <w:szCs w:val="24"/>
        </w:rPr>
        <w:t>lump sum compensation payments</w:t>
      </w:r>
    </w:p>
    <w:p w14:paraId="03DD6803" w14:textId="36209EEB" w:rsidR="0068030C" w:rsidRPr="00EA2EC1" w:rsidRDefault="0068030C" w:rsidP="00F6351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2EC1">
        <w:rPr>
          <w:sz w:val="24"/>
          <w:szCs w:val="24"/>
        </w:rPr>
        <w:lastRenderedPageBreak/>
        <w:t>scholarship or tuition payments paid directly to educational institutions</w:t>
      </w:r>
    </w:p>
    <w:p w14:paraId="03DD6804" w14:textId="1C7D7CDF" w:rsidR="006E0F31" w:rsidRPr="00EA2EC1" w:rsidRDefault="00E808B6" w:rsidP="00F6351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2EC1">
        <w:rPr>
          <w:sz w:val="24"/>
          <w:szCs w:val="24"/>
        </w:rPr>
        <w:t>s</w:t>
      </w:r>
      <w:r w:rsidR="006E0F31" w:rsidRPr="00EA2EC1">
        <w:rPr>
          <w:sz w:val="24"/>
          <w:szCs w:val="24"/>
        </w:rPr>
        <w:t>tate foster care allowance or benefit</w:t>
      </w:r>
    </w:p>
    <w:p w14:paraId="2244F715" w14:textId="152C2A91" w:rsidR="007F0470" w:rsidRPr="00EA2EC1" w:rsidRDefault="00840251" w:rsidP="00F6351B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EA2EC1">
        <w:rPr>
          <w:rFonts w:cs="Arial"/>
          <w:sz w:val="24"/>
          <w:szCs w:val="24"/>
        </w:rPr>
        <w:t xml:space="preserve">emergency relief or similar assistance </w:t>
      </w:r>
    </w:p>
    <w:p w14:paraId="14448334" w14:textId="55360C38" w:rsidR="007F0470" w:rsidRPr="00EA2EC1" w:rsidRDefault="00DD342A" w:rsidP="00F6351B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EA2EC1">
        <w:rPr>
          <w:rFonts w:cs="Arial"/>
          <w:sz w:val="24"/>
          <w:szCs w:val="24"/>
        </w:rPr>
        <w:t>c</w:t>
      </w:r>
      <w:r w:rsidR="007F0470" w:rsidRPr="00EA2EC1">
        <w:rPr>
          <w:rFonts w:cs="Arial"/>
          <w:sz w:val="24"/>
          <w:szCs w:val="24"/>
        </w:rPr>
        <w:t>osts of running a business e.g. staff wages, supplies</w:t>
      </w:r>
    </w:p>
    <w:p w14:paraId="37D970FA" w14:textId="258F083F" w:rsidR="00DD342A" w:rsidRPr="00EA2EC1" w:rsidRDefault="00DD342A" w:rsidP="00F6351B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EA2EC1">
        <w:rPr>
          <w:rFonts w:cs="Arial"/>
          <w:sz w:val="24"/>
          <w:szCs w:val="24"/>
        </w:rPr>
        <w:t>r</w:t>
      </w:r>
      <w:r w:rsidR="007F0470" w:rsidRPr="00EA2EC1">
        <w:rPr>
          <w:rFonts w:cs="Arial"/>
          <w:sz w:val="24"/>
          <w:szCs w:val="24"/>
        </w:rPr>
        <w:t xml:space="preserve">eceipt of periodic or lump sum payments of a previous loan made by </w:t>
      </w:r>
      <w:r w:rsidR="00253F50" w:rsidRPr="00EA2EC1">
        <w:rPr>
          <w:rFonts w:cs="Arial"/>
          <w:sz w:val="24"/>
          <w:szCs w:val="24"/>
        </w:rPr>
        <w:t>the tenant</w:t>
      </w:r>
      <w:r w:rsidR="007F0470" w:rsidRPr="00EA2EC1">
        <w:rPr>
          <w:rFonts w:cs="Arial"/>
          <w:sz w:val="24"/>
          <w:szCs w:val="24"/>
        </w:rPr>
        <w:t xml:space="preserve"> </w:t>
      </w:r>
    </w:p>
    <w:p w14:paraId="7E904674" w14:textId="118A42B8" w:rsidR="00107FE9" w:rsidRPr="00EA2EC1" w:rsidRDefault="00DD342A" w:rsidP="005D4285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EA2EC1">
        <w:rPr>
          <w:rFonts w:cs="Arial"/>
          <w:sz w:val="24"/>
          <w:szCs w:val="24"/>
        </w:rPr>
        <w:t>a payment under the NDIS as part of a tenant’s NDIS package</w:t>
      </w:r>
      <w:r w:rsidR="005D4285" w:rsidRPr="00EA2EC1">
        <w:rPr>
          <w:rFonts w:cs="Arial"/>
          <w:sz w:val="24"/>
          <w:szCs w:val="24"/>
        </w:rPr>
        <w:t xml:space="preserve">, </w:t>
      </w:r>
      <w:r w:rsidR="00107FE9" w:rsidRPr="00EA2EC1">
        <w:rPr>
          <w:rFonts w:cs="Arial"/>
          <w:sz w:val="24"/>
          <w:szCs w:val="24"/>
        </w:rPr>
        <w:t>and</w:t>
      </w:r>
    </w:p>
    <w:p w14:paraId="03DD6806" w14:textId="407128AF" w:rsidR="00840251" w:rsidRPr="00EA2EC1" w:rsidRDefault="00D96E09" w:rsidP="00171A22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="00107FE9" w:rsidRPr="00EA2EC1">
        <w:rPr>
          <w:rFonts w:cs="Arial"/>
          <w:sz w:val="24"/>
          <w:szCs w:val="24"/>
        </w:rPr>
        <w:t xml:space="preserve">oan repayments from a pre-existing loan made to family/friend by </w:t>
      </w:r>
      <w:r w:rsidR="00253F50" w:rsidRPr="00EA2EC1">
        <w:rPr>
          <w:rFonts w:cs="Arial"/>
          <w:sz w:val="24"/>
          <w:szCs w:val="24"/>
        </w:rPr>
        <w:t>the tenant</w:t>
      </w:r>
      <w:r w:rsidR="00107FE9" w:rsidRPr="00EA2EC1">
        <w:rPr>
          <w:rFonts w:cs="Arial"/>
          <w:sz w:val="24"/>
          <w:szCs w:val="24"/>
        </w:rPr>
        <w:t>.*</w:t>
      </w:r>
      <w:r w:rsidR="00840251" w:rsidRPr="00EA2EC1">
        <w:rPr>
          <w:rFonts w:cs="Arial"/>
          <w:sz w:val="24"/>
          <w:szCs w:val="24"/>
        </w:rPr>
        <w:t xml:space="preserve"> </w:t>
      </w:r>
    </w:p>
    <w:p w14:paraId="6797B04C" w14:textId="22DB7F46" w:rsidR="00CB198F" w:rsidRDefault="00562774" w:rsidP="00CB198F">
      <w:pPr>
        <w:rPr>
          <w:sz w:val="24"/>
          <w:szCs w:val="24"/>
          <w:lang w:eastAsia="en-AU"/>
        </w:rPr>
      </w:pPr>
      <w:r w:rsidRPr="00562774">
        <w:rPr>
          <w:sz w:val="24"/>
          <w:szCs w:val="24"/>
          <w:lang w:eastAsia="en-AU"/>
        </w:rPr>
        <w:t>* NB: When assessing tenant income according to the NRAS gross income limits, amounts received by the applicant (potential tenant and/or eligible tenant) that are repayments of</w:t>
      </w:r>
      <w:r w:rsidR="00025723">
        <w:rPr>
          <w:sz w:val="24"/>
          <w:szCs w:val="24"/>
          <w:lang w:eastAsia="en-AU"/>
        </w:rPr>
        <w:t> </w:t>
      </w:r>
      <w:r w:rsidRPr="00562774">
        <w:rPr>
          <w:sz w:val="24"/>
          <w:szCs w:val="24"/>
          <w:lang w:eastAsia="en-AU"/>
        </w:rPr>
        <w:t>a</w:t>
      </w:r>
      <w:r w:rsidR="00025723">
        <w:rPr>
          <w:sz w:val="24"/>
          <w:szCs w:val="24"/>
          <w:lang w:eastAsia="en-AU"/>
        </w:rPr>
        <w:t> </w:t>
      </w:r>
      <w:r w:rsidRPr="00562774">
        <w:rPr>
          <w:sz w:val="24"/>
          <w:szCs w:val="24"/>
          <w:lang w:eastAsia="en-AU"/>
        </w:rPr>
        <w:t xml:space="preserve">loan they have previously made (e.g. to a family member or friend) are generally </w:t>
      </w:r>
      <w:r w:rsidRPr="00E62028">
        <w:rPr>
          <w:sz w:val="24"/>
          <w:szCs w:val="24"/>
          <w:u w:val="single"/>
          <w:lang w:eastAsia="en-AU"/>
        </w:rPr>
        <w:t xml:space="preserve">not </w:t>
      </w:r>
      <w:r w:rsidRPr="00562774">
        <w:rPr>
          <w:sz w:val="24"/>
          <w:szCs w:val="24"/>
          <w:lang w:eastAsia="en-AU"/>
        </w:rPr>
        <w:t xml:space="preserve">considered income for NRAS eligibility purposes.  </w:t>
      </w:r>
    </w:p>
    <w:p w14:paraId="03DD6808" w14:textId="2D59C2EC" w:rsidR="00F61A43" w:rsidRPr="008F23C6" w:rsidRDefault="00A53D80" w:rsidP="008F23C6">
      <w:pPr>
        <w:pStyle w:val="Heading2"/>
        <w:rPr>
          <w:color w:val="7030A0"/>
          <w:sz w:val="32"/>
          <w:szCs w:val="32"/>
        </w:rPr>
      </w:pPr>
      <w:r w:rsidRPr="008F23C6">
        <w:rPr>
          <w:color w:val="7030A0"/>
          <w:sz w:val="32"/>
          <w:szCs w:val="32"/>
        </w:rPr>
        <w:t>Calculating gross household income</w:t>
      </w:r>
    </w:p>
    <w:p w14:paraId="03DD6809" w14:textId="19633E03" w:rsidR="003C65D9" w:rsidRPr="00EA2EC1" w:rsidRDefault="00F61A43" w:rsidP="00F61A43">
      <w:p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In order to rent a</w:t>
      </w:r>
      <w:r w:rsidR="006237ED">
        <w:rPr>
          <w:sz w:val="24"/>
          <w:szCs w:val="24"/>
          <w:lang w:eastAsia="en-AU"/>
        </w:rPr>
        <w:t xml:space="preserve"> rental dwelling</w:t>
      </w:r>
      <w:r w:rsidRPr="00EA2EC1">
        <w:rPr>
          <w:sz w:val="24"/>
          <w:szCs w:val="24"/>
          <w:lang w:eastAsia="en-AU"/>
        </w:rPr>
        <w:t xml:space="preserve">, tenants must meet certain eligibility criteria, including gross household income limits. </w:t>
      </w:r>
      <w:r w:rsidR="006237ED">
        <w:rPr>
          <w:sz w:val="24"/>
          <w:szCs w:val="24"/>
          <w:lang w:eastAsia="en-AU"/>
        </w:rPr>
        <w:t>Under</w:t>
      </w:r>
      <w:r w:rsidR="00D37F39" w:rsidRPr="00EA2EC1">
        <w:rPr>
          <w:sz w:val="24"/>
          <w:szCs w:val="24"/>
          <w:lang w:eastAsia="en-AU"/>
        </w:rPr>
        <w:t xml:space="preserve"> </w:t>
      </w:r>
      <w:r w:rsidR="00D63704" w:rsidRPr="00EA2EC1">
        <w:rPr>
          <w:sz w:val="24"/>
          <w:szCs w:val="24"/>
          <w:lang w:eastAsia="en-AU"/>
        </w:rPr>
        <w:t>s</w:t>
      </w:r>
      <w:r w:rsidR="007F0470" w:rsidRPr="00EA2EC1">
        <w:rPr>
          <w:sz w:val="24"/>
          <w:szCs w:val="24"/>
          <w:lang w:eastAsia="en-AU"/>
        </w:rPr>
        <w:t>ection 41</w:t>
      </w:r>
      <w:r w:rsidR="00D37F39" w:rsidRPr="00EA2EC1">
        <w:rPr>
          <w:sz w:val="24"/>
          <w:szCs w:val="24"/>
          <w:lang w:eastAsia="en-AU"/>
        </w:rPr>
        <w:t xml:space="preserve"> of the Regulations, w</w:t>
      </w:r>
      <w:r w:rsidRPr="00EA2EC1">
        <w:rPr>
          <w:sz w:val="24"/>
          <w:szCs w:val="24"/>
          <w:lang w:eastAsia="en-AU"/>
        </w:rPr>
        <w:t>hen assessing whether a</w:t>
      </w:r>
      <w:r w:rsidR="00025723">
        <w:rPr>
          <w:sz w:val="24"/>
          <w:szCs w:val="24"/>
          <w:lang w:eastAsia="en-AU"/>
        </w:rPr>
        <w:t> </w:t>
      </w:r>
      <w:r w:rsidRPr="00EA2EC1">
        <w:rPr>
          <w:sz w:val="24"/>
          <w:szCs w:val="24"/>
          <w:lang w:eastAsia="en-AU"/>
        </w:rPr>
        <w:t xml:space="preserve"> household will be eligible to rent an approved dwelling, approved participants must determine the gross household income for the</w:t>
      </w:r>
      <w:r w:rsidRPr="005C063C">
        <w:rPr>
          <w:b/>
          <w:sz w:val="24"/>
          <w:szCs w:val="24"/>
          <w:lang w:eastAsia="en-AU"/>
        </w:rPr>
        <w:t xml:space="preserve"> 12 months prior to the day on which the</w:t>
      </w:r>
      <w:r w:rsidR="007D1F83">
        <w:rPr>
          <w:b/>
          <w:sz w:val="24"/>
          <w:szCs w:val="24"/>
          <w:lang w:eastAsia="en-AU"/>
        </w:rPr>
        <w:t xml:space="preserve"> household would become </w:t>
      </w:r>
      <w:r w:rsidR="007D1F83" w:rsidRPr="007D1F83">
        <w:rPr>
          <w:sz w:val="24"/>
          <w:szCs w:val="24"/>
          <w:lang w:eastAsia="en-AU"/>
        </w:rPr>
        <w:t>tenants</w:t>
      </w:r>
      <w:r w:rsidR="007D1F83">
        <w:rPr>
          <w:sz w:val="24"/>
          <w:szCs w:val="24"/>
          <w:lang w:eastAsia="en-AU"/>
        </w:rPr>
        <w:t xml:space="preserve">. </w:t>
      </w:r>
      <w:r w:rsidR="003C65D9" w:rsidRPr="007D1F83">
        <w:rPr>
          <w:sz w:val="24"/>
          <w:szCs w:val="24"/>
          <w:lang w:eastAsia="en-AU"/>
        </w:rPr>
        <w:t>For</w:t>
      </w:r>
      <w:r w:rsidR="003C65D9" w:rsidRPr="00EA2EC1">
        <w:rPr>
          <w:sz w:val="24"/>
          <w:szCs w:val="24"/>
          <w:lang w:eastAsia="en-AU"/>
        </w:rPr>
        <w:t xml:space="preserve"> example, if a tenancy lease agreement for an NRAS dwelling commences on </w:t>
      </w:r>
      <w:r w:rsidR="00E92EB3" w:rsidRPr="00EA2EC1">
        <w:rPr>
          <w:sz w:val="24"/>
          <w:szCs w:val="24"/>
          <w:lang w:eastAsia="en-AU"/>
        </w:rPr>
        <w:t>1 </w:t>
      </w:r>
      <w:r w:rsidR="00DD342A" w:rsidRPr="00EA2EC1">
        <w:rPr>
          <w:sz w:val="24"/>
          <w:szCs w:val="24"/>
          <w:lang w:eastAsia="en-AU"/>
        </w:rPr>
        <w:t>April 2020</w:t>
      </w:r>
      <w:r w:rsidR="003C65D9" w:rsidRPr="00EA2EC1">
        <w:rPr>
          <w:sz w:val="24"/>
          <w:szCs w:val="24"/>
          <w:lang w:eastAsia="en-AU"/>
        </w:rPr>
        <w:t>, the tenant eligibility for NRAS would be</w:t>
      </w:r>
      <w:r w:rsidR="00F34688">
        <w:rPr>
          <w:sz w:val="24"/>
          <w:szCs w:val="24"/>
          <w:lang w:eastAsia="en-AU"/>
        </w:rPr>
        <w:t> </w:t>
      </w:r>
      <w:r w:rsidR="003C65D9" w:rsidRPr="00EA2EC1">
        <w:rPr>
          <w:sz w:val="24"/>
          <w:szCs w:val="24"/>
          <w:lang w:eastAsia="en-AU"/>
        </w:rPr>
        <w:t>assessed by</w:t>
      </w:r>
      <w:r w:rsidR="00025723">
        <w:rPr>
          <w:sz w:val="24"/>
          <w:szCs w:val="24"/>
          <w:lang w:eastAsia="en-AU"/>
        </w:rPr>
        <w:t> </w:t>
      </w:r>
      <w:r w:rsidR="003C65D9" w:rsidRPr="00EA2EC1">
        <w:rPr>
          <w:sz w:val="24"/>
          <w:szCs w:val="24"/>
          <w:lang w:eastAsia="en-AU"/>
        </w:rPr>
        <w:t xml:space="preserve">calculating the gross household income for the period </w:t>
      </w:r>
      <w:r w:rsidR="00E92EB3" w:rsidRPr="00EA2EC1">
        <w:rPr>
          <w:sz w:val="24"/>
          <w:szCs w:val="24"/>
          <w:lang w:eastAsia="en-AU"/>
        </w:rPr>
        <w:t>1 </w:t>
      </w:r>
      <w:r w:rsidR="00DD342A" w:rsidRPr="00EA2EC1">
        <w:rPr>
          <w:sz w:val="24"/>
          <w:szCs w:val="24"/>
          <w:lang w:eastAsia="en-AU"/>
        </w:rPr>
        <w:t>April 2019</w:t>
      </w:r>
      <w:r w:rsidR="003C65D9" w:rsidRPr="00EA2EC1">
        <w:rPr>
          <w:sz w:val="24"/>
          <w:szCs w:val="24"/>
          <w:lang w:eastAsia="en-AU"/>
        </w:rPr>
        <w:t xml:space="preserve"> to</w:t>
      </w:r>
      <w:r w:rsidR="00F34688">
        <w:rPr>
          <w:sz w:val="24"/>
          <w:szCs w:val="24"/>
          <w:lang w:eastAsia="en-AU"/>
        </w:rPr>
        <w:t> </w:t>
      </w:r>
      <w:r w:rsidR="00DD342A" w:rsidRPr="00EA2EC1">
        <w:rPr>
          <w:sz w:val="24"/>
          <w:szCs w:val="24"/>
          <w:lang w:eastAsia="en-AU"/>
        </w:rPr>
        <w:t>31</w:t>
      </w:r>
      <w:r w:rsidR="00F34688">
        <w:rPr>
          <w:sz w:val="24"/>
          <w:szCs w:val="24"/>
          <w:lang w:eastAsia="en-AU"/>
        </w:rPr>
        <w:t> </w:t>
      </w:r>
      <w:r w:rsidR="00DD342A" w:rsidRPr="00EA2EC1">
        <w:rPr>
          <w:sz w:val="24"/>
          <w:szCs w:val="24"/>
          <w:lang w:eastAsia="en-AU"/>
        </w:rPr>
        <w:t>March 2020</w:t>
      </w:r>
      <w:r w:rsidR="003C65D9" w:rsidRPr="00EA2EC1">
        <w:rPr>
          <w:sz w:val="24"/>
          <w:szCs w:val="24"/>
          <w:lang w:eastAsia="en-AU"/>
        </w:rPr>
        <w:t>.</w:t>
      </w:r>
    </w:p>
    <w:p w14:paraId="03DD680A" w14:textId="2D95E119" w:rsidR="003C65D9" w:rsidRPr="00EA2EC1" w:rsidRDefault="003C65D9" w:rsidP="00F61A43">
      <w:p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 xml:space="preserve">For NRAS purposes, a household </w:t>
      </w:r>
      <w:r w:rsidR="006237ED">
        <w:rPr>
          <w:sz w:val="24"/>
          <w:szCs w:val="24"/>
          <w:lang w:eastAsia="en-AU"/>
        </w:rPr>
        <w:t>consists of</w:t>
      </w:r>
      <w:r w:rsidR="006237ED" w:rsidRPr="00EA2EC1">
        <w:rPr>
          <w:sz w:val="24"/>
          <w:szCs w:val="24"/>
          <w:lang w:eastAsia="en-AU"/>
        </w:rPr>
        <w:t xml:space="preserve"> </w:t>
      </w:r>
      <w:r w:rsidRPr="00EA2EC1">
        <w:rPr>
          <w:sz w:val="24"/>
          <w:szCs w:val="24"/>
          <w:lang w:eastAsia="en-AU"/>
        </w:rPr>
        <w:t xml:space="preserve">all persons who </w:t>
      </w:r>
      <w:r w:rsidR="006237ED">
        <w:rPr>
          <w:sz w:val="24"/>
          <w:szCs w:val="24"/>
          <w:lang w:eastAsia="en-AU"/>
        </w:rPr>
        <w:t>are tenants of the dwelling</w:t>
      </w:r>
      <w:r w:rsidRPr="00EA2EC1">
        <w:rPr>
          <w:sz w:val="24"/>
          <w:szCs w:val="24"/>
          <w:lang w:eastAsia="en-AU"/>
        </w:rPr>
        <w:t>.</w:t>
      </w:r>
      <w:r w:rsidR="00073310" w:rsidRPr="00EA2EC1">
        <w:rPr>
          <w:sz w:val="24"/>
          <w:szCs w:val="24"/>
          <w:lang w:eastAsia="en-AU"/>
        </w:rPr>
        <w:t xml:space="preserve"> </w:t>
      </w:r>
      <w:r w:rsidR="00D96E09">
        <w:rPr>
          <w:sz w:val="24"/>
          <w:szCs w:val="24"/>
          <w:lang w:eastAsia="en-AU"/>
        </w:rPr>
        <w:t xml:space="preserve"> </w:t>
      </w:r>
      <w:r w:rsidRPr="00EA2EC1">
        <w:rPr>
          <w:sz w:val="24"/>
          <w:szCs w:val="24"/>
          <w:lang w:eastAsia="en-AU"/>
        </w:rPr>
        <w:t>All</w:t>
      </w:r>
      <w:r w:rsidR="00025723">
        <w:rPr>
          <w:sz w:val="24"/>
          <w:szCs w:val="24"/>
          <w:lang w:eastAsia="en-AU"/>
        </w:rPr>
        <w:t> </w:t>
      </w:r>
      <w:r w:rsidRPr="00EA2EC1">
        <w:rPr>
          <w:sz w:val="24"/>
          <w:szCs w:val="24"/>
          <w:lang w:eastAsia="en-AU"/>
        </w:rPr>
        <w:t xml:space="preserve">persons who ordinarily </w:t>
      </w:r>
      <w:r w:rsidR="006237ED">
        <w:rPr>
          <w:sz w:val="24"/>
          <w:szCs w:val="24"/>
          <w:lang w:eastAsia="en-AU"/>
        </w:rPr>
        <w:t>live</w:t>
      </w:r>
      <w:r w:rsidR="006237ED" w:rsidRPr="00EA2EC1">
        <w:rPr>
          <w:sz w:val="24"/>
          <w:szCs w:val="24"/>
          <w:lang w:eastAsia="en-AU"/>
        </w:rPr>
        <w:t xml:space="preserve"> </w:t>
      </w:r>
      <w:r w:rsidRPr="00EA2EC1">
        <w:rPr>
          <w:sz w:val="24"/>
          <w:szCs w:val="24"/>
          <w:lang w:eastAsia="en-AU"/>
        </w:rPr>
        <w:t xml:space="preserve">in </w:t>
      </w:r>
      <w:r w:rsidR="006237ED">
        <w:rPr>
          <w:sz w:val="24"/>
          <w:szCs w:val="24"/>
          <w:lang w:eastAsia="en-AU"/>
        </w:rPr>
        <w:t>an approved rental dwelling</w:t>
      </w:r>
      <w:r w:rsidRPr="00EA2EC1">
        <w:rPr>
          <w:sz w:val="24"/>
          <w:szCs w:val="24"/>
          <w:lang w:eastAsia="en-AU"/>
        </w:rPr>
        <w:t xml:space="preserve"> must have their income included as a member of the household.</w:t>
      </w:r>
    </w:p>
    <w:p w14:paraId="03DD680B" w14:textId="6559279B" w:rsidR="005D0D7C" w:rsidRPr="00EA2EC1" w:rsidRDefault="005D0D7C" w:rsidP="00F61A43">
      <w:p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Approved participants should request income documentation from potential NRAS tenants in</w:t>
      </w:r>
      <w:r w:rsidR="00025723">
        <w:rPr>
          <w:sz w:val="24"/>
          <w:szCs w:val="24"/>
          <w:lang w:eastAsia="en-AU"/>
        </w:rPr>
        <w:t> </w:t>
      </w:r>
      <w:r w:rsidRPr="00EA2EC1">
        <w:rPr>
          <w:sz w:val="24"/>
          <w:szCs w:val="24"/>
          <w:lang w:eastAsia="en-AU"/>
        </w:rPr>
        <w:t xml:space="preserve">order to assess the gross household income and substantiate tenant eligibility under the </w:t>
      </w:r>
      <w:r w:rsidR="00073310" w:rsidRPr="00EA2EC1">
        <w:rPr>
          <w:sz w:val="24"/>
          <w:szCs w:val="24"/>
          <w:lang w:eastAsia="en-AU"/>
        </w:rPr>
        <w:t>R</w:t>
      </w:r>
      <w:r w:rsidRPr="00EA2EC1">
        <w:rPr>
          <w:sz w:val="24"/>
          <w:szCs w:val="24"/>
          <w:lang w:eastAsia="en-AU"/>
        </w:rPr>
        <w:t xml:space="preserve">egulations. The </w:t>
      </w:r>
      <w:r w:rsidR="00073310" w:rsidRPr="00EA2EC1">
        <w:rPr>
          <w:sz w:val="24"/>
          <w:szCs w:val="24"/>
          <w:lang w:eastAsia="en-AU"/>
        </w:rPr>
        <w:t>d</w:t>
      </w:r>
      <w:r w:rsidRPr="00EA2EC1">
        <w:rPr>
          <w:sz w:val="24"/>
          <w:szCs w:val="24"/>
          <w:lang w:eastAsia="en-AU"/>
        </w:rPr>
        <w:t xml:space="preserve">epartment </w:t>
      </w:r>
      <w:r w:rsidR="006237ED">
        <w:rPr>
          <w:sz w:val="24"/>
          <w:szCs w:val="24"/>
          <w:lang w:eastAsia="en-AU"/>
        </w:rPr>
        <w:t>encourages</w:t>
      </w:r>
      <w:r w:rsidR="006237ED" w:rsidRPr="00EA2EC1">
        <w:rPr>
          <w:sz w:val="24"/>
          <w:szCs w:val="24"/>
          <w:lang w:eastAsia="en-AU"/>
        </w:rPr>
        <w:t xml:space="preserve"> </w:t>
      </w:r>
      <w:r w:rsidRPr="00EA2EC1">
        <w:rPr>
          <w:sz w:val="24"/>
          <w:szCs w:val="24"/>
          <w:lang w:eastAsia="en-AU"/>
        </w:rPr>
        <w:t xml:space="preserve">approved participants </w:t>
      </w:r>
      <w:r w:rsidR="006E56C1" w:rsidRPr="00EA2EC1">
        <w:rPr>
          <w:sz w:val="24"/>
          <w:szCs w:val="24"/>
          <w:lang w:eastAsia="en-AU"/>
        </w:rPr>
        <w:t xml:space="preserve">to </w:t>
      </w:r>
      <w:r w:rsidR="00F61A43" w:rsidRPr="00EA2EC1">
        <w:rPr>
          <w:sz w:val="24"/>
          <w:szCs w:val="24"/>
          <w:lang w:eastAsia="en-AU"/>
        </w:rPr>
        <w:t xml:space="preserve">discuss with tenants </w:t>
      </w:r>
      <w:r w:rsidRPr="00EA2EC1">
        <w:rPr>
          <w:sz w:val="24"/>
          <w:szCs w:val="24"/>
          <w:lang w:eastAsia="en-AU"/>
        </w:rPr>
        <w:t xml:space="preserve">the </w:t>
      </w:r>
      <w:r w:rsidR="006237ED">
        <w:rPr>
          <w:sz w:val="24"/>
          <w:szCs w:val="24"/>
          <w:lang w:eastAsia="en-AU"/>
        </w:rPr>
        <w:t xml:space="preserve">personal </w:t>
      </w:r>
      <w:r w:rsidRPr="00EA2EC1">
        <w:rPr>
          <w:sz w:val="24"/>
          <w:szCs w:val="24"/>
          <w:lang w:eastAsia="en-AU"/>
        </w:rPr>
        <w:t xml:space="preserve">information and documentation </w:t>
      </w:r>
      <w:r w:rsidR="006237ED">
        <w:rPr>
          <w:sz w:val="24"/>
          <w:szCs w:val="24"/>
          <w:lang w:eastAsia="en-AU"/>
        </w:rPr>
        <w:t xml:space="preserve">that is </w:t>
      </w:r>
      <w:r w:rsidRPr="00EA2EC1">
        <w:rPr>
          <w:sz w:val="24"/>
          <w:szCs w:val="24"/>
          <w:lang w:eastAsia="en-AU"/>
        </w:rPr>
        <w:t xml:space="preserve">required </w:t>
      </w:r>
      <w:r w:rsidR="00F61A43" w:rsidRPr="00EA2EC1">
        <w:rPr>
          <w:sz w:val="24"/>
          <w:szCs w:val="24"/>
          <w:lang w:eastAsia="en-AU"/>
        </w:rPr>
        <w:t xml:space="preserve">to </w:t>
      </w:r>
      <w:r w:rsidR="006237ED">
        <w:rPr>
          <w:sz w:val="24"/>
          <w:szCs w:val="24"/>
          <w:lang w:eastAsia="en-AU"/>
        </w:rPr>
        <w:t xml:space="preserve">be collected in order to </w:t>
      </w:r>
      <w:r w:rsidR="00F61A43" w:rsidRPr="00EA2EC1">
        <w:rPr>
          <w:sz w:val="24"/>
          <w:szCs w:val="24"/>
          <w:lang w:eastAsia="en-AU"/>
        </w:rPr>
        <w:t>calculate tenant eligibility.</w:t>
      </w:r>
    </w:p>
    <w:p w14:paraId="03DD680C" w14:textId="2901A4CF" w:rsidR="00A53D80" w:rsidRPr="00EA2EC1" w:rsidRDefault="006237ED" w:rsidP="00A53D80">
      <w:p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Eligible t</w:t>
      </w:r>
      <w:r w:rsidR="005D0D7C" w:rsidRPr="00EA2EC1">
        <w:rPr>
          <w:sz w:val="24"/>
          <w:szCs w:val="24"/>
          <w:lang w:eastAsia="en-AU"/>
        </w:rPr>
        <w:t>enants are required to substantiate the gross household income details to</w:t>
      </w:r>
      <w:r>
        <w:rPr>
          <w:sz w:val="24"/>
          <w:szCs w:val="24"/>
          <w:lang w:eastAsia="en-AU"/>
        </w:rPr>
        <w:t xml:space="preserve"> approved participants and to</w:t>
      </w:r>
      <w:r w:rsidR="005D0D7C" w:rsidRPr="00EA2EC1">
        <w:rPr>
          <w:sz w:val="24"/>
          <w:szCs w:val="24"/>
          <w:lang w:eastAsia="en-AU"/>
        </w:rPr>
        <w:t xml:space="preserve"> the Commonwealth in order to meet NRAS regulatory requirements.</w:t>
      </w:r>
      <w:r w:rsidR="00A53D80" w:rsidRPr="00EA2EC1">
        <w:rPr>
          <w:sz w:val="24"/>
          <w:szCs w:val="24"/>
          <w:lang w:eastAsia="en-AU"/>
        </w:rPr>
        <w:t xml:space="preserve"> </w:t>
      </w:r>
    </w:p>
    <w:p w14:paraId="655A0A15" w14:textId="7FF357EA" w:rsidR="00CB198F" w:rsidRDefault="00562774" w:rsidP="00CB198F">
      <w:pPr>
        <w:rPr>
          <w:sz w:val="24"/>
          <w:szCs w:val="24"/>
          <w:lang w:eastAsia="en-AU"/>
        </w:rPr>
      </w:pPr>
      <w:r w:rsidRPr="00E62028">
        <w:rPr>
          <w:sz w:val="24"/>
          <w:szCs w:val="24"/>
        </w:rPr>
        <w:t xml:space="preserve">The department has no responsibility for assessing tenant </w:t>
      </w:r>
      <w:r w:rsidR="00820C61" w:rsidRPr="00E62028">
        <w:rPr>
          <w:sz w:val="24"/>
          <w:szCs w:val="24"/>
        </w:rPr>
        <w:t>eligibility;</w:t>
      </w:r>
      <w:r w:rsidRPr="00E62028">
        <w:rPr>
          <w:sz w:val="24"/>
          <w:szCs w:val="24"/>
          <w:lang w:eastAsia="en-AU"/>
        </w:rPr>
        <w:t xml:space="preserve"> </w:t>
      </w:r>
      <w:r w:rsidR="00171A22" w:rsidRPr="00E62028">
        <w:rPr>
          <w:sz w:val="24"/>
          <w:szCs w:val="24"/>
          <w:lang w:eastAsia="en-AU"/>
        </w:rPr>
        <w:t>t</w:t>
      </w:r>
      <w:r w:rsidR="00A53D80" w:rsidRPr="00E62028">
        <w:rPr>
          <w:sz w:val="24"/>
          <w:szCs w:val="24"/>
          <w:lang w:eastAsia="en-AU"/>
        </w:rPr>
        <w:t xml:space="preserve">he selection of tenants for </w:t>
      </w:r>
      <w:r w:rsidR="006237ED" w:rsidRPr="00E62028">
        <w:rPr>
          <w:sz w:val="24"/>
          <w:szCs w:val="24"/>
          <w:lang w:eastAsia="en-AU"/>
        </w:rPr>
        <w:t xml:space="preserve">approved rental </w:t>
      </w:r>
      <w:r w:rsidR="00A53D80" w:rsidRPr="00E62028">
        <w:rPr>
          <w:sz w:val="24"/>
          <w:szCs w:val="24"/>
          <w:lang w:eastAsia="en-AU"/>
        </w:rPr>
        <w:t xml:space="preserve">dwellings is assessed by, and at the discretion of, the approved participant of the </w:t>
      </w:r>
      <w:r w:rsidR="006237ED" w:rsidRPr="00E62028">
        <w:rPr>
          <w:sz w:val="24"/>
          <w:szCs w:val="24"/>
          <w:lang w:eastAsia="en-AU"/>
        </w:rPr>
        <w:t>dwelling</w:t>
      </w:r>
      <w:r w:rsidR="00A53D80" w:rsidRPr="00E62028">
        <w:rPr>
          <w:sz w:val="24"/>
          <w:szCs w:val="24"/>
          <w:lang w:eastAsia="en-AU"/>
        </w:rPr>
        <w:t xml:space="preserve">. As long as Commonwealth and </w:t>
      </w:r>
      <w:r w:rsidR="006237ED" w:rsidRPr="00E62028">
        <w:rPr>
          <w:sz w:val="24"/>
          <w:szCs w:val="24"/>
          <w:lang w:eastAsia="en-AU"/>
        </w:rPr>
        <w:t>the S</w:t>
      </w:r>
      <w:r w:rsidR="00A53D80" w:rsidRPr="00E62028">
        <w:rPr>
          <w:sz w:val="24"/>
          <w:szCs w:val="24"/>
          <w:lang w:eastAsia="en-AU"/>
        </w:rPr>
        <w:t xml:space="preserve">tate </w:t>
      </w:r>
      <w:r w:rsidR="006237ED" w:rsidRPr="00E62028">
        <w:rPr>
          <w:sz w:val="24"/>
          <w:szCs w:val="24"/>
          <w:lang w:eastAsia="en-AU"/>
        </w:rPr>
        <w:t xml:space="preserve">or Territory tenant </w:t>
      </w:r>
      <w:r w:rsidR="00A53D80" w:rsidRPr="00E62028">
        <w:rPr>
          <w:sz w:val="24"/>
          <w:szCs w:val="24"/>
          <w:lang w:eastAsia="en-AU"/>
        </w:rPr>
        <w:t xml:space="preserve">eligibility requirements are met, decisions will be made in line with </w:t>
      </w:r>
      <w:r w:rsidR="00D63704" w:rsidRPr="00E62028">
        <w:rPr>
          <w:sz w:val="24"/>
          <w:szCs w:val="24"/>
          <w:lang w:eastAsia="en-AU"/>
        </w:rPr>
        <w:t>the approved</w:t>
      </w:r>
      <w:r w:rsidR="00D63704" w:rsidRPr="00EA2EC1">
        <w:rPr>
          <w:sz w:val="24"/>
          <w:szCs w:val="24"/>
          <w:lang w:eastAsia="en-AU"/>
        </w:rPr>
        <w:t xml:space="preserve"> participant</w:t>
      </w:r>
      <w:r w:rsidR="006237ED">
        <w:rPr>
          <w:sz w:val="24"/>
          <w:szCs w:val="24"/>
          <w:lang w:eastAsia="en-AU"/>
        </w:rPr>
        <w:t>’</w:t>
      </w:r>
      <w:r w:rsidR="00D63704" w:rsidRPr="00EA2EC1">
        <w:rPr>
          <w:sz w:val="24"/>
          <w:szCs w:val="24"/>
          <w:lang w:eastAsia="en-AU"/>
        </w:rPr>
        <w:t xml:space="preserve">s </w:t>
      </w:r>
      <w:r w:rsidR="00A53D80" w:rsidRPr="00EA2EC1">
        <w:rPr>
          <w:sz w:val="24"/>
          <w:szCs w:val="24"/>
          <w:lang w:eastAsia="en-AU"/>
        </w:rPr>
        <w:t>usual policies and procedures.</w:t>
      </w:r>
    </w:p>
    <w:p w14:paraId="03DD680E" w14:textId="758408FF" w:rsidR="000C591D" w:rsidRPr="008F23C6" w:rsidRDefault="00BC1A55" w:rsidP="008F23C6">
      <w:pPr>
        <w:pStyle w:val="Heading2"/>
        <w:rPr>
          <w:color w:val="7030A0"/>
          <w:sz w:val="32"/>
          <w:szCs w:val="32"/>
        </w:rPr>
      </w:pPr>
      <w:r w:rsidRPr="008F23C6">
        <w:rPr>
          <w:color w:val="7030A0"/>
          <w:sz w:val="32"/>
          <w:szCs w:val="32"/>
        </w:rPr>
        <w:t xml:space="preserve">Examples of </w:t>
      </w:r>
      <w:r w:rsidR="000C591D" w:rsidRPr="008F23C6">
        <w:rPr>
          <w:color w:val="7030A0"/>
          <w:sz w:val="32"/>
          <w:szCs w:val="32"/>
        </w:rPr>
        <w:t>documentation evidencing gross household income</w:t>
      </w:r>
    </w:p>
    <w:p w14:paraId="19CE50D3" w14:textId="09DBB81F" w:rsidR="009674D6" w:rsidRDefault="00840251" w:rsidP="00F6351B">
      <w:p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 xml:space="preserve">When determining household income for NRAS purposes, approved participants need </w:t>
      </w:r>
      <w:r w:rsidR="006A6B29">
        <w:rPr>
          <w:sz w:val="24"/>
          <w:szCs w:val="24"/>
          <w:lang w:eastAsia="en-AU"/>
        </w:rPr>
        <w:br/>
      </w:r>
      <w:r w:rsidRPr="00EA2EC1">
        <w:rPr>
          <w:sz w:val="24"/>
          <w:szCs w:val="24"/>
          <w:lang w:eastAsia="en-AU"/>
        </w:rPr>
        <w:t>to be satisfied that they have undertaken reasonable steps to determine the household income accurately</w:t>
      </w:r>
      <w:r w:rsidR="00372F07" w:rsidRPr="00EA2EC1">
        <w:rPr>
          <w:sz w:val="24"/>
          <w:szCs w:val="24"/>
          <w:lang w:eastAsia="en-AU"/>
        </w:rPr>
        <w:t xml:space="preserve">, </w:t>
      </w:r>
      <w:r w:rsidR="00372F07" w:rsidRPr="00EA2EC1">
        <w:rPr>
          <w:sz w:val="24"/>
          <w:szCs w:val="24"/>
        </w:rPr>
        <w:t xml:space="preserve">especially where this may have changed from the previous </w:t>
      </w:r>
      <w:r w:rsidR="00AD0ADD" w:rsidRPr="00562774">
        <w:rPr>
          <w:sz w:val="24"/>
          <w:szCs w:val="24"/>
        </w:rPr>
        <w:t>NRAS</w:t>
      </w:r>
      <w:r w:rsidR="00AD0ADD">
        <w:rPr>
          <w:sz w:val="24"/>
          <w:szCs w:val="24"/>
        </w:rPr>
        <w:t xml:space="preserve"> </w:t>
      </w:r>
      <w:r w:rsidR="00372F07" w:rsidRPr="00EA2EC1">
        <w:rPr>
          <w:sz w:val="24"/>
          <w:szCs w:val="24"/>
        </w:rPr>
        <w:t>year</w:t>
      </w:r>
      <w:r w:rsidRPr="00EA2EC1">
        <w:rPr>
          <w:sz w:val="24"/>
          <w:szCs w:val="24"/>
          <w:lang w:eastAsia="en-AU"/>
        </w:rPr>
        <w:t xml:space="preserve">. </w:t>
      </w:r>
    </w:p>
    <w:p w14:paraId="4D333F7F" w14:textId="77777777" w:rsidR="009674D6" w:rsidRDefault="009674D6">
      <w:p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br w:type="page"/>
      </w:r>
    </w:p>
    <w:p w14:paraId="03DD680F" w14:textId="392BB566" w:rsidR="00840251" w:rsidRPr="00EA2EC1" w:rsidRDefault="00372F07" w:rsidP="00F6351B">
      <w:pPr>
        <w:rPr>
          <w:rFonts w:ascii="Georgia" w:hAnsi="Georgia" w:cs="Arial"/>
          <w:bCs/>
          <w:iCs/>
          <w:color w:val="005A70"/>
          <w:spacing w:val="4"/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lastRenderedPageBreak/>
        <w:t>The Regulations do not stipulate the exact number and type</w:t>
      </w:r>
      <w:r w:rsidR="00D63704" w:rsidRPr="00EA2EC1">
        <w:rPr>
          <w:sz w:val="24"/>
          <w:szCs w:val="24"/>
          <w:lang w:eastAsia="en-AU"/>
        </w:rPr>
        <w:t>s</w:t>
      </w:r>
      <w:r w:rsidRPr="00EA2EC1">
        <w:rPr>
          <w:sz w:val="24"/>
          <w:szCs w:val="24"/>
          <w:lang w:eastAsia="en-AU"/>
        </w:rPr>
        <w:t xml:space="preserve"> of evidence required</w:t>
      </w:r>
      <w:r w:rsidR="00D63704" w:rsidRPr="00EA2EC1">
        <w:rPr>
          <w:sz w:val="24"/>
          <w:szCs w:val="24"/>
          <w:lang w:eastAsia="en-AU"/>
        </w:rPr>
        <w:t xml:space="preserve"> to</w:t>
      </w:r>
      <w:r w:rsidR="00F34688">
        <w:rPr>
          <w:sz w:val="24"/>
          <w:szCs w:val="24"/>
          <w:lang w:eastAsia="en-AU"/>
        </w:rPr>
        <w:t> </w:t>
      </w:r>
      <w:r w:rsidR="00D63704" w:rsidRPr="00EA2EC1">
        <w:rPr>
          <w:sz w:val="24"/>
          <w:szCs w:val="24"/>
          <w:lang w:eastAsia="en-AU"/>
        </w:rPr>
        <w:t>show household income</w:t>
      </w:r>
      <w:r w:rsidRPr="00EA2EC1">
        <w:rPr>
          <w:sz w:val="24"/>
          <w:szCs w:val="24"/>
          <w:lang w:eastAsia="en-AU"/>
        </w:rPr>
        <w:t xml:space="preserve">; decisions </w:t>
      </w:r>
      <w:r w:rsidR="00AD0ADD">
        <w:rPr>
          <w:sz w:val="24"/>
          <w:szCs w:val="24"/>
          <w:lang w:eastAsia="en-AU"/>
        </w:rPr>
        <w:t>about what amount and type</w:t>
      </w:r>
      <w:r w:rsidR="00333674">
        <w:rPr>
          <w:sz w:val="24"/>
          <w:szCs w:val="24"/>
          <w:lang w:eastAsia="en-AU"/>
        </w:rPr>
        <w:t>s</w:t>
      </w:r>
      <w:r w:rsidR="00AD0ADD">
        <w:rPr>
          <w:sz w:val="24"/>
          <w:szCs w:val="24"/>
          <w:lang w:eastAsia="en-AU"/>
        </w:rPr>
        <w:t xml:space="preserve"> of </w:t>
      </w:r>
      <w:r w:rsidR="00333674">
        <w:rPr>
          <w:sz w:val="24"/>
          <w:szCs w:val="24"/>
          <w:lang w:eastAsia="en-AU"/>
        </w:rPr>
        <w:t>evidence are</w:t>
      </w:r>
      <w:r w:rsidR="00AD0ADD">
        <w:rPr>
          <w:sz w:val="24"/>
          <w:szCs w:val="24"/>
          <w:lang w:eastAsia="en-AU"/>
        </w:rPr>
        <w:t xml:space="preserve"> suff</w:t>
      </w:r>
      <w:r w:rsidR="00333674">
        <w:rPr>
          <w:sz w:val="24"/>
          <w:szCs w:val="24"/>
          <w:lang w:eastAsia="en-AU"/>
        </w:rPr>
        <w:t>ici</w:t>
      </w:r>
      <w:r w:rsidR="00AD0ADD">
        <w:rPr>
          <w:sz w:val="24"/>
          <w:szCs w:val="24"/>
          <w:lang w:eastAsia="en-AU"/>
        </w:rPr>
        <w:t>e</w:t>
      </w:r>
      <w:r w:rsidR="00333674">
        <w:rPr>
          <w:sz w:val="24"/>
          <w:szCs w:val="24"/>
          <w:lang w:eastAsia="en-AU"/>
        </w:rPr>
        <w:t>n</w:t>
      </w:r>
      <w:r w:rsidR="00AD0ADD">
        <w:rPr>
          <w:sz w:val="24"/>
          <w:szCs w:val="24"/>
          <w:lang w:eastAsia="en-AU"/>
        </w:rPr>
        <w:t xml:space="preserve">t </w:t>
      </w:r>
      <w:r w:rsidRPr="00EA2EC1">
        <w:rPr>
          <w:sz w:val="24"/>
          <w:szCs w:val="24"/>
          <w:lang w:eastAsia="en-AU"/>
        </w:rPr>
        <w:t xml:space="preserve">are made by the approved participant. </w:t>
      </w:r>
      <w:r w:rsidR="00840251" w:rsidRPr="00EA2EC1">
        <w:rPr>
          <w:sz w:val="24"/>
          <w:szCs w:val="24"/>
          <w:lang w:eastAsia="en-AU"/>
        </w:rPr>
        <w:t>To</w:t>
      </w:r>
      <w:r w:rsidR="00F34688">
        <w:rPr>
          <w:sz w:val="24"/>
          <w:szCs w:val="24"/>
          <w:lang w:eastAsia="en-AU"/>
        </w:rPr>
        <w:t> </w:t>
      </w:r>
      <w:r w:rsidR="00840251" w:rsidRPr="00EA2EC1">
        <w:rPr>
          <w:sz w:val="24"/>
          <w:szCs w:val="24"/>
          <w:lang w:eastAsia="en-AU"/>
        </w:rPr>
        <w:t>provide some guidance</w:t>
      </w:r>
      <w:r w:rsidR="006E0F31" w:rsidRPr="00EA2EC1">
        <w:rPr>
          <w:sz w:val="24"/>
          <w:szCs w:val="24"/>
          <w:lang w:eastAsia="en-AU"/>
        </w:rPr>
        <w:t xml:space="preserve"> t</w:t>
      </w:r>
      <w:r w:rsidR="00FB2635" w:rsidRPr="00EA2EC1">
        <w:rPr>
          <w:sz w:val="24"/>
          <w:szCs w:val="24"/>
          <w:lang w:eastAsia="en-AU"/>
        </w:rPr>
        <w:t>he</w:t>
      </w:r>
      <w:r w:rsidR="00840251" w:rsidRPr="00EA2EC1">
        <w:rPr>
          <w:sz w:val="24"/>
          <w:szCs w:val="24"/>
          <w:lang w:eastAsia="en-AU"/>
        </w:rPr>
        <w:t xml:space="preserve"> following documents may be</w:t>
      </w:r>
      <w:r w:rsidR="00F34688">
        <w:rPr>
          <w:sz w:val="24"/>
          <w:szCs w:val="24"/>
          <w:lang w:eastAsia="en-AU"/>
        </w:rPr>
        <w:t> </w:t>
      </w:r>
      <w:r w:rsidR="0016778E" w:rsidRPr="00EA2EC1">
        <w:rPr>
          <w:sz w:val="24"/>
          <w:szCs w:val="24"/>
          <w:lang w:eastAsia="en-AU"/>
        </w:rPr>
        <w:t>used</w:t>
      </w:r>
      <w:r w:rsidR="00840251" w:rsidRPr="00EA2EC1">
        <w:rPr>
          <w:sz w:val="24"/>
          <w:szCs w:val="24"/>
          <w:lang w:eastAsia="en-AU"/>
        </w:rPr>
        <w:t xml:space="preserve"> in </w:t>
      </w:r>
      <w:r w:rsidR="0016778E" w:rsidRPr="00EA2EC1">
        <w:rPr>
          <w:sz w:val="24"/>
          <w:szCs w:val="24"/>
          <w:lang w:eastAsia="en-AU"/>
        </w:rPr>
        <w:t>assessing gross</w:t>
      </w:r>
      <w:r w:rsidR="00840251" w:rsidRPr="00EA2EC1">
        <w:rPr>
          <w:sz w:val="24"/>
          <w:szCs w:val="24"/>
          <w:lang w:eastAsia="en-AU"/>
        </w:rPr>
        <w:t xml:space="preserve"> household income</w:t>
      </w:r>
      <w:r w:rsidR="00333674">
        <w:rPr>
          <w:sz w:val="24"/>
          <w:szCs w:val="24"/>
          <w:lang w:eastAsia="en-AU"/>
        </w:rPr>
        <w:t xml:space="preserve"> </w:t>
      </w:r>
      <w:r w:rsidR="00333674" w:rsidRPr="00EA2EC1">
        <w:rPr>
          <w:sz w:val="24"/>
          <w:szCs w:val="24"/>
          <w:lang w:eastAsia="en-AU"/>
        </w:rPr>
        <w:t>(not an exhaustive list)</w:t>
      </w:r>
      <w:r w:rsidR="00840251" w:rsidRPr="00EA2EC1">
        <w:rPr>
          <w:sz w:val="24"/>
          <w:szCs w:val="24"/>
          <w:lang w:eastAsia="en-AU"/>
        </w:rPr>
        <w:t>:</w:t>
      </w:r>
    </w:p>
    <w:p w14:paraId="03DD6810" w14:textId="3C950F8B" w:rsidR="00840251" w:rsidRPr="00EA2EC1" w:rsidRDefault="00BC1A55" w:rsidP="00F6351B">
      <w:pPr>
        <w:pStyle w:val="ListParagraph"/>
        <w:numPr>
          <w:ilvl w:val="0"/>
          <w:numId w:val="11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c</w:t>
      </w:r>
      <w:r w:rsidR="00FB2635" w:rsidRPr="00EA2EC1">
        <w:rPr>
          <w:sz w:val="24"/>
          <w:szCs w:val="24"/>
          <w:lang w:eastAsia="en-AU"/>
        </w:rPr>
        <w:t>opies of pay slips</w:t>
      </w:r>
    </w:p>
    <w:p w14:paraId="03DD6811" w14:textId="3D822156" w:rsidR="00840251" w:rsidRPr="00EA2EC1" w:rsidRDefault="00BC1A55" w:rsidP="00F6351B">
      <w:pPr>
        <w:pStyle w:val="ListParagraph"/>
        <w:numPr>
          <w:ilvl w:val="0"/>
          <w:numId w:val="11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c</w:t>
      </w:r>
      <w:r w:rsidR="00840251" w:rsidRPr="00EA2EC1">
        <w:rPr>
          <w:sz w:val="24"/>
          <w:szCs w:val="24"/>
          <w:lang w:eastAsia="en-AU"/>
        </w:rPr>
        <w:t>opies of bank statements</w:t>
      </w:r>
    </w:p>
    <w:p w14:paraId="03DD6812" w14:textId="1E2B9BD8" w:rsidR="00840251" w:rsidRDefault="00BC1A55" w:rsidP="00F6351B">
      <w:pPr>
        <w:pStyle w:val="ListParagraph"/>
        <w:numPr>
          <w:ilvl w:val="0"/>
          <w:numId w:val="11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n</w:t>
      </w:r>
      <w:r w:rsidR="00840251" w:rsidRPr="00EA2EC1">
        <w:rPr>
          <w:sz w:val="24"/>
          <w:szCs w:val="24"/>
          <w:lang w:eastAsia="en-AU"/>
        </w:rPr>
        <w:t xml:space="preserve">otice of assessment </w:t>
      </w:r>
      <w:r w:rsidR="00333674">
        <w:rPr>
          <w:sz w:val="24"/>
          <w:szCs w:val="24"/>
          <w:lang w:eastAsia="en-AU"/>
        </w:rPr>
        <w:t>of</w:t>
      </w:r>
      <w:r w:rsidR="00333674" w:rsidRPr="00EA2EC1">
        <w:rPr>
          <w:sz w:val="24"/>
          <w:szCs w:val="24"/>
          <w:lang w:eastAsia="en-AU"/>
        </w:rPr>
        <w:t xml:space="preserve"> </w:t>
      </w:r>
      <w:r w:rsidR="00840251" w:rsidRPr="00EA2EC1">
        <w:rPr>
          <w:sz w:val="24"/>
          <w:szCs w:val="24"/>
          <w:lang w:eastAsia="en-AU"/>
        </w:rPr>
        <w:t>annual tax returns</w:t>
      </w:r>
    </w:p>
    <w:p w14:paraId="331AC620" w14:textId="6B39E6EB" w:rsidR="001C5AE0" w:rsidRPr="00EA2EC1" w:rsidRDefault="001C5AE0" w:rsidP="00F6351B">
      <w:pPr>
        <w:pStyle w:val="ListParagraph"/>
        <w:numPr>
          <w:ilvl w:val="0"/>
          <w:numId w:val="11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annual income statement or payment summary</w:t>
      </w:r>
    </w:p>
    <w:p w14:paraId="03DD6813" w14:textId="40C73766" w:rsidR="00840251" w:rsidRPr="00EA2EC1" w:rsidRDefault="00BC1A55" w:rsidP="00F6351B">
      <w:pPr>
        <w:pStyle w:val="ListParagraph"/>
        <w:numPr>
          <w:ilvl w:val="0"/>
          <w:numId w:val="11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l</w:t>
      </w:r>
      <w:r w:rsidR="00840251" w:rsidRPr="00EA2EC1">
        <w:rPr>
          <w:sz w:val="24"/>
          <w:szCs w:val="24"/>
          <w:lang w:eastAsia="en-AU"/>
        </w:rPr>
        <w:t>etters from employers – current and/or past</w:t>
      </w:r>
    </w:p>
    <w:p w14:paraId="03DD6814" w14:textId="3518512A" w:rsidR="00840251" w:rsidRDefault="00BC1A55" w:rsidP="00F6351B">
      <w:pPr>
        <w:pStyle w:val="ListParagraph"/>
        <w:numPr>
          <w:ilvl w:val="0"/>
          <w:numId w:val="11"/>
        </w:num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>s</w:t>
      </w:r>
      <w:r w:rsidR="00840251" w:rsidRPr="00EA2EC1">
        <w:rPr>
          <w:sz w:val="24"/>
          <w:szCs w:val="24"/>
          <w:lang w:eastAsia="en-AU"/>
        </w:rPr>
        <w:t>tatements from Centrelink</w:t>
      </w:r>
    </w:p>
    <w:p w14:paraId="3AEF4308" w14:textId="23252349" w:rsidR="00333674" w:rsidRDefault="00BC1A55">
      <w:pPr>
        <w:pStyle w:val="ListParagraph"/>
        <w:numPr>
          <w:ilvl w:val="0"/>
          <w:numId w:val="11"/>
        </w:numPr>
        <w:rPr>
          <w:sz w:val="24"/>
          <w:szCs w:val="24"/>
          <w:lang w:eastAsia="en-AU"/>
        </w:rPr>
      </w:pPr>
      <w:r w:rsidRPr="00333674">
        <w:rPr>
          <w:sz w:val="24"/>
          <w:szCs w:val="24"/>
          <w:lang w:eastAsia="en-AU"/>
        </w:rPr>
        <w:t>w</w:t>
      </w:r>
      <w:r w:rsidR="00840251" w:rsidRPr="00333674">
        <w:rPr>
          <w:sz w:val="24"/>
          <w:szCs w:val="24"/>
          <w:lang w:eastAsia="en-AU"/>
        </w:rPr>
        <w:t>ritten evidence of overseas income, such as pensions</w:t>
      </w:r>
      <w:r w:rsidR="00333674" w:rsidRPr="00333674">
        <w:rPr>
          <w:sz w:val="24"/>
          <w:szCs w:val="24"/>
          <w:lang w:eastAsia="en-AU"/>
        </w:rPr>
        <w:t xml:space="preserve"> or dividend statements;</w:t>
      </w:r>
      <w:r w:rsidR="00333674">
        <w:rPr>
          <w:sz w:val="24"/>
          <w:szCs w:val="24"/>
          <w:lang w:eastAsia="en-AU"/>
        </w:rPr>
        <w:t xml:space="preserve"> or</w:t>
      </w:r>
    </w:p>
    <w:p w14:paraId="03DD6816" w14:textId="1FEBFA55" w:rsidR="00840251" w:rsidRPr="00333674" w:rsidRDefault="00BC1A55">
      <w:pPr>
        <w:pStyle w:val="ListParagraph"/>
        <w:numPr>
          <w:ilvl w:val="0"/>
          <w:numId w:val="11"/>
        </w:numPr>
        <w:rPr>
          <w:sz w:val="24"/>
          <w:szCs w:val="24"/>
          <w:lang w:eastAsia="en-AU"/>
        </w:rPr>
      </w:pPr>
      <w:r w:rsidRPr="00333674">
        <w:rPr>
          <w:sz w:val="24"/>
          <w:szCs w:val="24"/>
          <w:lang w:eastAsia="en-AU"/>
        </w:rPr>
        <w:t>s</w:t>
      </w:r>
      <w:r w:rsidR="00840251" w:rsidRPr="00333674">
        <w:rPr>
          <w:sz w:val="24"/>
          <w:szCs w:val="24"/>
          <w:lang w:eastAsia="en-AU"/>
        </w:rPr>
        <w:t>tatements that provide information about other sources of income.</w:t>
      </w:r>
    </w:p>
    <w:p w14:paraId="03DD683B" w14:textId="49D60725" w:rsidR="0068030C" w:rsidRPr="00EA2EC1" w:rsidRDefault="0068030C" w:rsidP="0068030C">
      <w:pPr>
        <w:spacing w:after="240"/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 xml:space="preserve">As a last resort, in the event an approved participant is unable to provide evidence of the gross income of a tenant from the last 12 months, </w:t>
      </w:r>
      <w:r w:rsidR="00B447C7" w:rsidRPr="00EA2EC1">
        <w:rPr>
          <w:sz w:val="24"/>
          <w:szCs w:val="24"/>
          <w:lang w:eastAsia="en-AU"/>
        </w:rPr>
        <w:t>approved participants</w:t>
      </w:r>
      <w:r w:rsidRPr="00EA2EC1">
        <w:rPr>
          <w:sz w:val="24"/>
          <w:szCs w:val="24"/>
          <w:lang w:eastAsia="en-AU"/>
        </w:rPr>
        <w:t xml:space="preserve"> may </w:t>
      </w:r>
      <w:r w:rsidR="00B447C7" w:rsidRPr="00EA2EC1">
        <w:rPr>
          <w:sz w:val="24"/>
          <w:szCs w:val="24"/>
          <w:lang w:eastAsia="en-AU"/>
        </w:rPr>
        <w:t>consider</w:t>
      </w:r>
      <w:r w:rsidRPr="00EA2EC1">
        <w:rPr>
          <w:sz w:val="24"/>
          <w:szCs w:val="24"/>
          <w:lang w:eastAsia="en-AU"/>
        </w:rPr>
        <w:t xml:space="preserve"> a</w:t>
      </w:r>
      <w:r w:rsidR="002D4E54">
        <w:rPr>
          <w:sz w:val="24"/>
          <w:szCs w:val="24"/>
          <w:lang w:eastAsia="en-AU"/>
        </w:rPr>
        <w:t> </w:t>
      </w:r>
      <w:r w:rsidRPr="00EA2EC1">
        <w:rPr>
          <w:sz w:val="24"/>
          <w:szCs w:val="24"/>
          <w:lang w:eastAsia="en-AU"/>
        </w:rPr>
        <w:t>statutory declaration from the tenant</w:t>
      </w:r>
      <w:r w:rsidR="00B447C7" w:rsidRPr="00EA2EC1">
        <w:rPr>
          <w:sz w:val="24"/>
          <w:szCs w:val="24"/>
          <w:lang w:eastAsia="en-AU"/>
        </w:rPr>
        <w:t xml:space="preserve"> as acceptable evidence</w:t>
      </w:r>
      <w:r w:rsidRPr="00EA2EC1">
        <w:rPr>
          <w:sz w:val="24"/>
          <w:szCs w:val="24"/>
          <w:lang w:eastAsia="en-AU"/>
        </w:rPr>
        <w:t>. Please note</w:t>
      </w:r>
      <w:r w:rsidR="00333674">
        <w:rPr>
          <w:sz w:val="24"/>
          <w:szCs w:val="24"/>
          <w:lang w:eastAsia="en-AU"/>
        </w:rPr>
        <w:t>:</w:t>
      </w:r>
      <w:r w:rsidRPr="00EA2EC1">
        <w:rPr>
          <w:sz w:val="24"/>
          <w:szCs w:val="24"/>
          <w:lang w:eastAsia="en-AU"/>
        </w:rPr>
        <w:t xml:space="preserve"> sole reliance by</w:t>
      </w:r>
      <w:r w:rsidR="002D4E54">
        <w:rPr>
          <w:sz w:val="24"/>
          <w:szCs w:val="24"/>
          <w:lang w:eastAsia="en-AU"/>
        </w:rPr>
        <w:t> </w:t>
      </w:r>
      <w:r w:rsidRPr="00EA2EC1">
        <w:rPr>
          <w:sz w:val="24"/>
          <w:szCs w:val="24"/>
          <w:lang w:eastAsia="en-AU"/>
        </w:rPr>
        <w:t>the approved participant on a statutory declaration is at the risk of the approved participant</w:t>
      </w:r>
      <w:r w:rsidR="00333674">
        <w:rPr>
          <w:sz w:val="24"/>
          <w:szCs w:val="24"/>
          <w:lang w:eastAsia="en-AU"/>
        </w:rPr>
        <w:t xml:space="preserve"> and the</w:t>
      </w:r>
      <w:r w:rsidR="00F511D4" w:rsidRPr="00EA2EC1">
        <w:rPr>
          <w:sz w:val="24"/>
          <w:szCs w:val="24"/>
          <w:lang w:eastAsia="en-AU"/>
        </w:rPr>
        <w:t xml:space="preserve"> </w:t>
      </w:r>
      <w:r w:rsidR="00253F50" w:rsidRPr="00EA2EC1">
        <w:rPr>
          <w:sz w:val="24"/>
          <w:szCs w:val="24"/>
          <w:lang w:eastAsia="en-AU"/>
        </w:rPr>
        <w:t>d</w:t>
      </w:r>
      <w:r w:rsidR="00F511D4" w:rsidRPr="00EA2EC1">
        <w:rPr>
          <w:sz w:val="24"/>
          <w:szCs w:val="24"/>
          <w:lang w:eastAsia="en-AU"/>
        </w:rPr>
        <w:t>epartment may request evidence that an approved participant has</w:t>
      </w:r>
      <w:r w:rsidR="00333674">
        <w:rPr>
          <w:sz w:val="24"/>
          <w:szCs w:val="24"/>
          <w:lang w:eastAsia="en-AU"/>
        </w:rPr>
        <w:t xml:space="preserve"> done all in its power to</w:t>
      </w:r>
      <w:r w:rsidR="00F511D4" w:rsidRPr="00EA2EC1">
        <w:rPr>
          <w:sz w:val="24"/>
          <w:szCs w:val="24"/>
          <w:lang w:eastAsia="en-AU"/>
        </w:rPr>
        <w:t xml:space="preserve"> obtain </w:t>
      </w:r>
      <w:r w:rsidR="005A66FD" w:rsidRPr="00EA2EC1">
        <w:rPr>
          <w:sz w:val="24"/>
          <w:szCs w:val="24"/>
          <w:lang w:eastAsia="en-AU"/>
        </w:rPr>
        <w:t xml:space="preserve">other </w:t>
      </w:r>
      <w:r w:rsidR="00F511D4" w:rsidRPr="00EA2EC1">
        <w:rPr>
          <w:sz w:val="24"/>
          <w:szCs w:val="24"/>
          <w:lang w:eastAsia="en-AU"/>
        </w:rPr>
        <w:t>evidence of a tenant’s gross income.</w:t>
      </w:r>
    </w:p>
    <w:p w14:paraId="40A59978" w14:textId="77777777" w:rsidR="00CB198F" w:rsidRDefault="00333674" w:rsidP="00CB198F">
      <w:p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 xml:space="preserve">Under section 49 of the Regulations, approved participants must keep copies </w:t>
      </w:r>
      <w:r>
        <w:rPr>
          <w:sz w:val="24"/>
          <w:szCs w:val="24"/>
          <w:lang w:eastAsia="en-AU"/>
        </w:rPr>
        <w:br/>
      </w:r>
      <w:r w:rsidRPr="00EA2EC1">
        <w:rPr>
          <w:sz w:val="24"/>
          <w:szCs w:val="24"/>
          <w:lang w:eastAsia="en-AU"/>
        </w:rPr>
        <w:t>(for a minimum of 5 years) of any documents obtained as evidence of income, as the department may undertake an audit of approved participants' NRAS dwellings to ensure that the requirements of the Scheme are being met.</w:t>
      </w:r>
    </w:p>
    <w:p w14:paraId="03DD683C" w14:textId="31846F10" w:rsidR="00840251" w:rsidRPr="008F23C6" w:rsidRDefault="00A53D80" w:rsidP="008F23C6">
      <w:pPr>
        <w:pStyle w:val="Heading2"/>
        <w:rPr>
          <w:color w:val="7030A0"/>
          <w:sz w:val="32"/>
          <w:szCs w:val="32"/>
        </w:rPr>
      </w:pPr>
      <w:r w:rsidRPr="008F23C6">
        <w:rPr>
          <w:color w:val="7030A0"/>
          <w:sz w:val="32"/>
          <w:szCs w:val="32"/>
        </w:rPr>
        <w:t>Existing tenant eligibility</w:t>
      </w:r>
    </w:p>
    <w:p w14:paraId="0E0A5C5C" w14:textId="5D412747" w:rsidR="00CB198F" w:rsidRDefault="00F61A43" w:rsidP="00CB198F">
      <w:pPr>
        <w:rPr>
          <w:color w:val="500778"/>
        </w:rPr>
      </w:pPr>
      <w:r w:rsidRPr="00EA2EC1">
        <w:rPr>
          <w:sz w:val="24"/>
          <w:szCs w:val="24"/>
          <w:lang w:eastAsia="en-AU"/>
        </w:rPr>
        <w:t>For existing tenants and calculating ongoing tenant eligibility, please see</w:t>
      </w:r>
      <w:r w:rsidR="0016778E" w:rsidRPr="00EA2EC1">
        <w:rPr>
          <w:sz w:val="24"/>
          <w:szCs w:val="24"/>
          <w:lang w:eastAsia="en-AU"/>
        </w:rPr>
        <w:t xml:space="preserve"> the information sheet title</w:t>
      </w:r>
      <w:r w:rsidR="0016778E" w:rsidRPr="00025723">
        <w:rPr>
          <w:sz w:val="24"/>
          <w:szCs w:val="24"/>
          <w:lang w:eastAsia="en-AU"/>
        </w:rPr>
        <w:t>d</w:t>
      </w:r>
      <w:r w:rsidR="00CB198F" w:rsidRPr="00025723">
        <w:t xml:space="preserve"> </w:t>
      </w:r>
      <w:hyperlink r:id="rId9" w:history="1">
        <w:r w:rsidR="00CB198F" w:rsidRPr="00025723">
          <w:rPr>
            <w:rStyle w:val="Hyperlink"/>
            <w:sz w:val="24"/>
            <w:szCs w:val="24"/>
            <w:lang w:eastAsia="en-AU"/>
          </w:rPr>
          <w:t>Information Sheet: Eligible Tenants</w:t>
        </w:r>
      </w:hyperlink>
      <w:r w:rsidR="00CB198F" w:rsidRPr="00025723">
        <w:rPr>
          <w:sz w:val="24"/>
          <w:szCs w:val="24"/>
          <w:lang w:eastAsia="en-AU"/>
        </w:rPr>
        <w:t>.</w:t>
      </w:r>
      <w:r w:rsidR="00CB198F" w:rsidRPr="00EA2EC1">
        <w:rPr>
          <w:color w:val="500778"/>
        </w:rPr>
        <w:t xml:space="preserve"> </w:t>
      </w:r>
    </w:p>
    <w:p w14:paraId="03DD683E" w14:textId="0FB78231" w:rsidR="0011748E" w:rsidRPr="008F23C6" w:rsidRDefault="0011748E" w:rsidP="008F23C6">
      <w:pPr>
        <w:pStyle w:val="Heading2"/>
        <w:rPr>
          <w:color w:val="7030A0"/>
          <w:sz w:val="32"/>
          <w:szCs w:val="32"/>
        </w:rPr>
      </w:pPr>
      <w:r w:rsidRPr="008F23C6">
        <w:rPr>
          <w:color w:val="7030A0"/>
          <w:sz w:val="32"/>
          <w:szCs w:val="32"/>
        </w:rPr>
        <w:t>Further information</w:t>
      </w:r>
    </w:p>
    <w:p w14:paraId="03DD683F" w14:textId="29BD7F0A" w:rsidR="003C428F" w:rsidRPr="00EA2EC1" w:rsidRDefault="0011748E" w:rsidP="003C428F">
      <w:pPr>
        <w:rPr>
          <w:sz w:val="24"/>
          <w:szCs w:val="24"/>
          <w:lang w:eastAsia="en-AU"/>
        </w:rPr>
      </w:pPr>
      <w:r w:rsidRPr="00EA2EC1">
        <w:rPr>
          <w:sz w:val="24"/>
          <w:szCs w:val="24"/>
          <w:lang w:eastAsia="en-AU"/>
        </w:rPr>
        <w:t xml:space="preserve">Further queries on </w:t>
      </w:r>
      <w:r w:rsidR="00F61A43" w:rsidRPr="00EA2EC1">
        <w:rPr>
          <w:sz w:val="24"/>
          <w:szCs w:val="24"/>
          <w:lang w:eastAsia="en-AU"/>
        </w:rPr>
        <w:t>the definition of income and associated enquiries</w:t>
      </w:r>
      <w:r w:rsidRPr="00EA2EC1">
        <w:rPr>
          <w:sz w:val="24"/>
          <w:szCs w:val="24"/>
          <w:lang w:eastAsia="en-AU"/>
        </w:rPr>
        <w:t xml:space="preserve"> </w:t>
      </w:r>
      <w:r w:rsidR="00D9322A" w:rsidRPr="00EA2EC1">
        <w:rPr>
          <w:sz w:val="24"/>
          <w:szCs w:val="24"/>
          <w:lang w:eastAsia="en-AU"/>
        </w:rPr>
        <w:t>(such as</w:t>
      </w:r>
      <w:r w:rsidR="003B29A9" w:rsidRPr="00EA2EC1">
        <w:rPr>
          <w:sz w:val="24"/>
          <w:szCs w:val="24"/>
          <w:lang w:eastAsia="en-AU"/>
        </w:rPr>
        <w:t xml:space="preserve"> guidance </w:t>
      </w:r>
      <w:r w:rsidR="009D58D1" w:rsidRPr="00EA2EC1">
        <w:rPr>
          <w:sz w:val="24"/>
          <w:szCs w:val="24"/>
          <w:lang w:eastAsia="en-AU"/>
        </w:rPr>
        <w:br/>
      </w:r>
      <w:r w:rsidR="003B29A9" w:rsidRPr="00EA2EC1">
        <w:rPr>
          <w:sz w:val="24"/>
          <w:szCs w:val="24"/>
          <w:lang w:eastAsia="en-AU"/>
        </w:rPr>
        <w:t>on</w:t>
      </w:r>
      <w:r w:rsidR="00D9322A" w:rsidRPr="00EA2EC1">
        <w:rPr>
          <w:sz w:val="24"/>
          <w:szCs w:val="24"/>
          <w:lang w:eastAsia="en-AU"/>
        </w:rPr>
        <w:t xml:space="preserve"> documentation required from tenants) </w:t>
      </w:r>
      <w:r w:rsidRPr="00EA2EC1">
        <w:rPr>
          <w:sz w:val="24"/>
          <w:szCs w:val="24"/>
          <w:lang w:eastAsia="en-AU"/>
        </w:rPr>
        <w:t xml:space="preserve">can be sent to </w:t>
      </w:r>
      <w:hyperlink r:id="rId10" w:history="1">
        <w:r w:rsidRPr="00EA2EC1">
          <w:rPr>
            <w:b/>
            <w:sz w:val="24"/>
            <w:szCs w:val="24"/>
            <w:u w:val="single"/>
            <w:lang w:eastAsia="en-AU"/>
          </w:rPr>
          <w:t>nras@dss.gov.au</w:t>
        </w:r>
      </w:hyperlink>
      <w:r w:rsidR="00E62028">
        <w:rPr>
          <w:sz w:val="24"/>
          <w:szCs w:val="24"/>
          <w:lang w:eastAsia="en-AU"/>
        </w:rPr>
        <w:t xml:space="preserve"> or contact your </w:t>
      </w:r>
      <w:hyperlink r:id="rId11" w:history="1">
        <w:r w:rsidR="00E62028" w:rsidRPr="00F80B2C">
          <w:rPr>
            <w:rStyle w:val="Hyperlink"/>
            <w:sz w:val="24"/>
            <w:szCs w:val="24"/>
            <w:lang w:eastAsia="en-AU"/>
          </w:rPr>
          <w:t>approved participant or property manager</w:t>
        </w:r>
      </w:hyperlink>
      <w:r w:rsidR="00FC1DFC" w:rsidRPr="00025723">
        <w:rPr>
          <w:sz w:val="24"/>
          <w:szCs w:val="24"/>
          <w:lang w:eastAsia="en-AU"/>
        </w:rPr>
        <w:t>.</w:t>
      </w:r>
    </w:p>
    <w:p w14:paraId="03DD6840" w14:textId="77777777"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 w:rsidSect="00BE75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1021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A8178" w14:textId="77777777" w:rsidR="00F61C6E" w:rsidRDefault="00F61C6E">
      <w:pPr>
        <w:spacing w:after="0" w:line="240" w:lineRule="auto"/>
      </w:pPr>
      <w:r>
        <w:separator/>
      </w:r>
    </w:p>
  </w:endnote>
  <w:endnote w:type="continuationSeparator" w:id="0">
    <w:p w14:paraId="37931BDF" w14:textId="77777777" w:rsidR="00F61C6E" w:rsidRDefault="00F6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0360" w14:textId="77777777" w:rsidR="00F770EF" w:rsidRDefault="00F77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23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D6847" w14:textId="528C4772" w:rsidR="00660831" w:rsidRDefault="006608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0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D6848" w14:textId="77777777" w:rsidR="00660831" w:rsidRDefault="00660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852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D6849" w14:textId="45FE3CCB" w:rsidR="00660831" w:rsidRDefault="006608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DD684A" w14:textId="77777777" w:rsidR="00660831" w:rsidRDefault="00660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B495F" w14:textId="77777777" w:rsidR="00F61C6E" w:rsidRDefault="00F61C6E">
      <w:pPr>
        <w:spacing w:after="0" w:line="240" w:lineRule="auto"/>
      </w:pPr>
      <w:r>
        <w:separator/>
      </w:r>
    </w:p>
  </w:footnote>
  <w:footnote w:type="continuationSeparator" w:id="0">
    <w:p w14:paraId="5452CE27" w14:textId="77777777" w:rsidR="00F61C6E" w:rsidRDefault="00F6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D9B1" w14:textId="77777777" w:rsidR="00F770EF" w:rsidRDefault="00F77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577B1" w14:textId="77777777" w:rsidR="00F770EF" w:rsidRDefault="00F77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5DD3A" w14:textId="77777777" w:rsidR="00F770EF" w:rsidRDefault="00F77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A06"/>
    <w:multiLevelType w:val="hybridMultilevel"/>
    <w:tmpl w:val="6E621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2B4"/>
    <w:multiLevelType w:val="hybridMultilevel"/>
    <w:tmpl w:val="33104E88"/>
    <w:lvl w:ilvl="0" w:tplc="73C60A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DA1"/>
    <w:multiLevelType w:val="hybridMultilevel"/>
    <w:tmpl w:val="21A8B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3091"/>
    <w:multiLevelType w:val="hybridMultilevel"/>
    <w:tmpl w:val="CB1EB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9DF"/>
    <w:multiLevelType w:val="hybridMultilevel"/>
    <w:tmpl w:val="2A10F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A6F01"/>
    <w:multiLevelType w:val="hybridMultilevel"/>
    <w:tmpl w:val="99F6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B6DF6"/>
    <w:multiLevelType w:val="hybridMultilevel"/>
    <w:tmpl w:val="BF26B26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3E05FE">
      <w:start w:val="1"/>
      <w:numFmt w:val="lowerLetter"/>
      <w:lvlText w:val="(%2)"/>
      <w:lvlJc w:val="left"/>
      <w:pPr>
        <w:ind w:left="1530" w:hanging="45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874DA"/>
    <w:multiLevelType w:val="hybridMultilevel"/>
    <w:tmpl w:val="4FE20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A3"/>
    <w:multiLevelType w:val="hybridMultilevel"/>
    <w:tmpl w:val="64349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6329A"/>
    <w:multiLevelType w:val="hybridMultilevel"/>
    <w:tmpl w:val="11A8D724"/>
    <w:lvl w:ilvl="0" w:tplc="73C60A94">
      <w:numFmt w:val="bullet"/>
      <w:lvlText w:val="•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8203AB1"/>
    <w:multiLevelType w:val="hybridMultilevel"/>
    <w:tmpl w:val="C2E6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B0891"/>
    <w:multiLevelType w:val="hybridMultilevel"/>
    <w:tmpl w:val="9D30B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F2627"/>
    <w:multiLevelType w:val="hybridMultilevel"/>
    <w:tmpl w:val="A45E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F6B82"/>
    <w:multiLevelType w:val="hybridMultilevel"/>
    <w:tmpl w:val="5BF8C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52754"/>
    <w:multiLevelType w:val="hybridMultilevel"/>
    <w:tmpl w:val="17682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94B33"/>
    <w:multiLevelType w:val="hybridMultilevel"/>
    <w:tmpl w:val="DF06A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C77A2"/>
    <w:multiLevelType w:val="hybridMultilevel"/>
    <w:tmpl w:val="44E0D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825EF"/>
    <w:multiLevelType w:val="hybridMultilevel"/>
    <w:tmpl w:val="18E4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34B4"/>
    <w:multiLevelType w:val="hybridMultilevel"/>
    <w:tmpl w:val="2E8E42CA"/>
    <w:lvl w:ilvl="0" w:tplc="73C60A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B08A7"/>
    <w:multiLevelType w:val="hybridMultilevel"/>
    <w:tmpl w:val="53160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5"/>
  </w:num>
  <w:num w:numId="4">
    <w:abstractNumId w:val="6"/>
  </w:num>
  <w:num w:numId="5">
    <w:abstractNumId w:val="16"/>
  </w:num>
  <w:num w:numId="6">
    <w:abstractNumId w:val="1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10"/>
  </w:num>
  <w:num w:numId="12">
    <w:abstractNumId w:val="5"/>
  </w:num>
  <w:num w:numId="13">
    <w:abstractNumId w:val="4"/>
  </w:num>
  <w:num w:numId="14">
    <w:abstractNumId w:val="0"/>
  </w:num>
  <w:num w:numId="15">
    <w:abstractNumId w:val="12"/>
  </w:num>
  <w:num w:numId="16">
    <w:abstractNumId w:val="14"/>
  </w:num>
  <w:num w:numId="17">
    <w:abstractNumId w:val="3"/>
  </w:num>
  <w:num w:numId="18">
    <w:abstractNumId w:val="11"/>
  </w:num>
  <w:num w:numId="19">
    <w:abstractNumId w:val="17"/>
  </w:num>
  <w:num w:numId="20">
    <w:abstractNumId w:val="7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8E"/>
    <w:rsid w:val="00016553"/>
    <w:rsid w:val="00023731"/>
    <w:rsid w:val="00025723"/>
    <w:rsid w:val="00073310"/>
    <w:rsid w:val="000802D7"/>
    <w:rsid w:val="00093DA4"/>
    <w:rsid w:val="000C591D"/>
    <w:rsid w:val="000C7FC0"/>
    <w:rsid w:val="000E2655"/>
    <w:rsid w:val="001017C7"/>
    <w:rsid w:val="00103205"/>
    <w:rsid w:val="00107FE9"/>
    <w:rsid w:val="0011748E"/>
    <w:rsid w:val="00122B3D"/>
    <w:rsid w:val="0012370F"/>
    <w:rsid w:val="00127D64"/>
    <w:rsid w:val="00130CFF"/>
    <w:rsid w:val="001672FE"/>
    <w:rsid w:val="0016778E"/>
    <w:rsid w:val="00171A22"/>
    <w:rsid w:val="00176B8D"/>
    <w:rsid w:val="00185663"/>
    <w:rsid w:val="001A65B2"/>
    <w:rsid w:val="001B4655"/>
    <w:rsid w:val="001B73DA"/>
    <w:rsid w:val="001C5AE0"/>
    <w:rsid w:val="001D4CE4"/>
    <w:rsid w:val="001E630D"/>
    <w:rsid w:val="00253F50"/>
    <w:rsid w:val="00296867"/>
    <w:rsid w:val="002D4E54"/>
    <w:rsid w:val="002E0C1F"/>
    <w:rsid w:val="003108A6"/>
    <w:rsid w:val="00316B7E"/>
    <w:rsid w:val="00333674"/>
    <w:rsid w:val="0034242D"/>
    <w:rsid w:val="00352A0B"/>
    <w:rsid w:val="00364874"/>
    <w:rsid w:val="00372F07"/>
    <w:rsid w:val="00385E3F"/>
    <w:rsid w:val="00393D8C"/>
    <w:rsid w:val="003B29A9"/>
    <w:rsid w:val="003B2BB8"/>
    <w:rsid w:val="003B6B8E"/>
    <w:rsid w:val="003B6DB8"/>
    <w:rsid w:val="003C428F"/>
    <w:rsid w:val="003C65D9"/>
    <w:rsid w:val="003D34FF"/>
    <w:rsid w:val="003D3C81"/>
    <w:rsid w:val="003F2672"/>
    <w:rsid w:val="00434748"/>
    <w:rsid w:val="00441947"/>
    <w:rsid w:val="00470A54"/>
    <w:rsid w:val="00481208"/>
    <w:rsid w:val="004841EC"/>
    <w:rsid w:val="0048700F"/>
    <w:rsid w:val="00491F2B"/>
    <w:rsid w:val="00491F55"/>
    <w:rsid w:val="004B54CA"/>
    <w:rsid w:val="004B5F1F"/>
    <w:rsid w:val="004E5CBF"/>
    <w:rsid w:val="004F7F96"/>
    <w:rsid w:val="005149F6"/>
    <w:rsid w:val="00547F11"/>
    <w:rsid w:val="00551467"/>
    <w:rsid w:val="005624F3"/>
    <w:rsid w:val="00562774"/>
    <w:rsid w:val="0056534E"/>
    <w:rsid w:val="00574741"/>
    <w:rsid w:val="00575DFA"/>
    <w:rsid w:val="00577433"/>
    <w:rsid w:val="00585174"/>
    <w:rsid w:val="00596452"/>
    <w:rsid w:val="005A66FD"/>
    <w:rsid w:val="005C063C"/>
    <w:rsid w:val="005C3AA9"/>
    <w:rsid w:val="005D07BB"/>
    <w:rsid w:val="005D0D7C"/>
    <w:rsid w:val="005D4285"/>
    <w:rsid w:val="005E0FD3"/>
    <w:rsid w:val="006237ED"/>
    <w:rsid w:val="00657DF3"/>
    <w:rsid w:val="00660831"/>
    <w:rsid w:val="0068030C"/>
    <w:rsid w:val="00685285"/>
    <w:rsid w:val="006A4CE7"/>
    <w:rsid w:val="006A6B29"/>
    <w:rsid w:val="006D4A88"/>
    <w:rsid w:val="006D7E25"/>
    <w:rsid w:val="006E0F31"/>
    <w:rsid w:val="006E56C1"/>
    <w:rsid w:val="007114A5"/>
    <w:rsid w:val="00727873"/>
    <w:rsid w:val="00734EB2"/>
    <w:rsid w:val="00734F7E"/>
    <w:rsid w:val="00736BB0"/>
    <w:rsid w:val="00755F53"/>
    <w:rsid w:val="0076421B"/>
    <w:rsid w:val="007723CA"/>
    <w:rsid w:val="00785261"/>
    <w:rsid w:val="00796C54"/>
    <w:rsid w:val="007B0256"/>
    <w:rsid w:val="007B776B"/>
    <w:rsid w:val="007C0DE9"/>
    <w:rsid w:val="007D1F83"/>
    <w:rsid w:val="007D6E50"/>
    <w:rsid w:val="007F0470"/>
    <w:rsid w:val="00820C61"/>
    <w:rsid w:val="00830DE8"/>
    <w:rsid w:val="00835873"/>
    <w:rsid w:val="00840251"/>
    <w:rsid w:val="00845283"/>
    <w:rsid w:val="00850BA7"/>
    <w:rsid w:val="00856B20"/>
    <w:rsid w:val="00867843"/>
    <w:rsid w:val="00874059"/>
    <w:rsid w:val="00885DAC"/>
    <w:rsid w:val="008A4FB4"/>
    <w:rsid w:val="008C4093"/>
    <w:rsid w:val="008C55E5"/>
    <w:rsid w:val="008C65DE"/>
    <w:rsid w:val="008E2D2D"/>
    <w:rsid w:val="008F23C6"/>
    <w:rsid w:val="00905005"/>
    <w:rsid w:val="00906D5F"/>
    <w:rsid w:val="009225F0"/>
    <w:rsid w:val="00930E71"/>
    <w:rsid w:val="009477AA"/>
    <w:rsid w:val="009674D6"/>
    <w:rsid w:val="00977DCA"/>
    <w:rsid w:val="009851EA"/>
    <w:rsid w:val="009B1D61"/>
    <w:rsid w:val="009D0EE1"/>
    <w:rsid w:val="009D3C3E"/>
    <w:rsid w:val="009D58D1"/>
    <w:rsid w:val="009E5648"/>
    <w:rsid w:val="00A027B5"/>
    <w:rsid w:val="00A06F1D"/>
    <w:rsid w:val="00A10247"/>
    <w:rsid w:val="00A11632"/>
    <w:rsid w:val="00A53D80"/>
    <w:rsid w:val="00A56E14"/>
    <w:rsid w:val="00A60419"/>
    <w:rsid w:val="00A75CFD"/>
    <w:rsid w:val="00A75E58"/>
    <w:rsid w:val="00A76D77"/>
    <w:rsid w:val="00AA3293"/>
    <w:rsid w:val="00AB0B66"/>
    <w:rsid w:val="00AB2FE1"/>
    <w:rsid w:val="00AD0ADD"/>
    <w:rsid w:val="00B14439"/>
    <w:rsid w:val="00B35E22"/>
    <w:rsid w:val="00B447C7"/>
    <w:rsid w:val="00B61F38"/>
    <w:rsid w:val="00B76BD6"/>
    <w:rsid w:val="00B9316E"/>
    <w:rsid w:val="00BA2DB9"/>
    <w:rsid w:val="00BC1A55"/>
    <w:rsid w:val="00BD1150"/>
    <w:rsid w:val="00BE017D"/>
    <w:rsid w:val="00BE7148"/>
    <w:rsid w:val="00BE75D8"/>
    <w:rsid w:val="00C23E95"/>
    <w:rsid w:val="00C25F7B"/>
    <w:rsid w:val="00C416AD"/>
    <w:rsid w:val="00C55CE2"/>
    <w:rsid w:val="00C55DAB"/>
    <w:rsid w:val="00C66902"/>
    <w:rsid w:val="00C757A9"/>
    <w:rsid w:val="00C76548"/>
    <w:rsid w:val="00CB198F"/>
    <w:rsid w:val="00CF284A"/>
    <w:rsid w:val="00D37F39"/>
    <w:rsid w:val="00D41FE4"/>
    <w:rsid w:val="00D63704"/>
    <w:rsid w:val="00D65645"/>
    <w:rsid w:val="00D7113E"/>
    <w:rsid w:val="00D9052D"/>
    <w:rsid w:val="00D9322A"/>
    <w:rsid w:val="00D96E09"/>
    <w:rsid w:val="00DA287D"/>
    <w:rsid w:val="00DB2C50"/>
    <w:rsid w:val="00DD342A"/>
    <w:rsid w:val="00DD39C7"/>
    <w:rsid w:val="00E26585"/>
    <w:rsid w:val="00E62028"/>
    <w:rsid w:val="00E720F5"/>
    <w:rsid w:val="00E73160"/>
    <w:rsid w:val="00E808B6"/>
    <w:rsid w:val="00E92EB3"/>
    <w:rsid w:val="00E9679E"/>
    <w:rsid w:val="00EA2EC1"/>
    <w:rsid w:val="00EB1EA7"/>
    <w:rsid w:val="00EC2E74"/>
    <w:rsid w:val="00ED399D"/>
    <w:rsid w:val="00EF6EB9"/>
    <w:rsid w:val="00F25414"/>
    <w:rsid w:val="00F34688"/>
    <w:rsid w:val="00F430DD"/>
    <w:rsid w:val="00F45CB5"/>
    <w:rsid w:val="00F511D4"/>
    <w:rsid w:val="00F61A43"/>
    <w:rsid w:val="00F61C6E"/>
    <w:rsid w:val="00F6351B"/>
    <w:rsid w:val="00F770EF"/>
    <w:rsid w:val="00F80B2C"/>
    <w:rsid w:val="00F84DEA"/>
    <w:rsid w:val="00FB2635"/>
    <w:rsid w:val="00FC1DFC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DD6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672"/>
    <w:pPr>
      <w:spacing w:before="240" w:after="360" w:line="240" w:lineRule="auto"/>
      <w:contextualSpacing/>
      <w:outlineLvl w:val="0"/>
    </w:pPr>
    <w:rPr>
      <w:rFonts w:ascii="Georgia" w:eastAsia="Times New Roman" w:hAnsi="Georgia" w:cs="Arial"/>
      <w:bCs/>
      <w:color w:val="005A70"/>
      <w:kern w:val="28"/>
      <w:sz w:val="7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672"/>
    <w:pPr>
      <w:spacing w:before="360" w:after="180" w:line="280" w:lineRule="atLeast"/>
      <w:outlineLvl w:val="1"/>
    </w:pPr>
    <w:rPr>
      <w:rFonts w:ascii="Georgia" w:eastAsia="Times New Roman" w:hAnsi="Georgia" w:cs="Times New Roman"/>
      <w:color w:val="215868" w:themeColor="accent5" w:themeShade="80"/>
      <w:spacing w:val="4"/>
      <w:sz w:val="40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672"/>
    <w:pPr>
      <w:keepNext/>
      <w:keepLines/>
      <w:spacing w:before="240" w:after="180" w:line="240" w:lineRule="auto"/>
      <w:contextualSpacing/>
      <w:outlineLvl w:val="2"/>
    </w:pPr>
    <w:rPr>
      <w:rFonts w:ascii="Georgia" w:eastAsia="Times New Roman" w:hAnsi="Georgia" w:cs="Arial"/>
      <w:bCs/>
      <w:iCs/>
      <w:color w:val="005A70"/>
      <w:spacing w:val="4"/>
      <w:sz w:val="32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72"/>
    <w:rPr>
      <w:rFonts w:ascii="Georgia" w:eastAsia="Times New Roman" w:hAnsi="Georgia" w:cs="Arial"/>
      <w:bCs/>
      <w:color w:val="005A70"/>
      <w:kern w:val="28"/>
      <w:sz w:val="7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F2672"/>
    <w:rPr>
      <w:rFonts w:ascii="Georgia" w:eastAsia="Times New Roman" w:hAnsi="Georgia" w:cs="Times New Roman"/>
      <w:color w:val="215868" w:themeColor="accent5" w:themeShade="80"/>
      <w:spacing w:val="4"/>
      <w:sz w:val="40"/>
      <w:szCs w:val="3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F2672"/>
    <w:rPr>
      <w:rFonts w:ascii="Georgia" w:eastAsia="Times New Roman" w:hAnsi="Georgia" w:cs="Arial"/>
      <w:bCs/>
      <w:iCs/>
      <w:color w:val="005A70"/>
      <w:spacing w:val="4"/>
      <w:sz w:val="32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rsid w:val="0011748E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pacing w:val="4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11748E"/>
    <w:rPr>
      <w:rFonts w:ascii="Arial" w:eastAsia="Times New Roman" w:hAnsi="Arial" w:cs="Times New Roman"/>
      <w:spacing w:val="4"/>
      <w:sz w:val="24"/>
      <w:szCs w:val="24"/>
      <w:lang w:eastAsia="en-AU"/>
    </w:rPr>
  </w:style>
  <w:style w:type="table" w:styleId="TableGrid">
    <w:name w:val="Table Grid"/>
    <w:basedOn w:val="TableNormal"/>
    <w:rsid w:val="0011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3D"/>
    <w:rPr>
      <w:rFonts w:ascii="Arial" w:hAnsi="Arial"/>
    </w:rPr>
  </w:style>
  <w:style w:type="paragraph" w:styleId="NormalWeb">
    <w:name w:val="Normal (Web)"/>
    <w:basedOn w:val="Normal"/>
    <w:uiPriority w:val="99"/>
    <w:rsid w:val="00F8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41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6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6AD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50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5E5"/>
    <w:rPr>
      <w:color w:val="800080" w:themeColor="followedHyperlink"/>
      <w:u w:val="single"/>
    </w:rPr>
  </w:style>
  <w:style w:type="paragraph" w:customStyle="1" w:styleId="definition">
    <w:name w:val="definition"/>
    <w:basedOn w:val="Normal"/>
    <w:rsid w:val="00BC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BC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BC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housing-support-programs-services-housing-national-rental-affordability-scheme/how-to-apply-for-an-nras-proper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ras@dss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ss.gov.au/housing-support/programs-services/housing/national-rental-affordability-scheme/eligible-tenan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CFD296-31D2-47E6-9CBF-F47E18CD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7417</Characters>
  <Application>Microsoft Office Word</Application>
  <DocSecurity>0</DocSecurity>
  <Lines>139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[SEC=OFFICIAL]</cp:keywords>
  <cp:lastModifiedBy/>
  <cp:revision>1</cp:revision>
  <dcterms:created xsi:type="dcterms:W3CDTF">2022-12-13T23:13:00Z</dcterms:created>
  <dcterms:modified xsi:type="dcterms:W3CDTF">2022-12-13T23:14:00Z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3C1474F575A8480BB2F3895C1E68AF21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2022-12-13T23:14:02Z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385708A8902FBCE8A951EAFD19D26D90</vt:lpwstr>
  </property>
  <property fmtid="{D5CDD505-2E9C-101B-9397-08002B2CF9AE}" pid="21" name="PM_Hash_Salt">
    <vt:lpwstr>D4DE578278D13D6645780FDC4D792107</vt:lpwstr>
  </property>
  <property fmtid="{D5CDD505-2E9C-101B-9397-08002B2CF9AE}" pid="22" name="PM_Hash_SHA1">
    <vt:lpwstr>78429F84533E1D273A4635E6C795C21E61F357BF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